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0C5E5" w14:textId="27011339" w:rsidR="00E578B7" w:rsidRPr="002E6AA1" w:rsidRDefault="001B3CA0" w:rsidP="001B3CA0">
      <w:pPr>
        <w:pStyle w:val="Title"/>
        <w:spacing w:before="240"/>
      </w:pPr>
      <w:r>
        <w:t>Terms of Reference</w:t>
      </w:r>
    </w:p>
    <w:p w14:paraId="05688786" w14:textId="77777777" w:rsidR="001B3CA0" w:rsidRPr="00BB3BAC" w:rsidRDefault="001B3CA0" w:rsidP="001B3CA0">
      <w:pPr>
        <w:keepNext/>
        <w:keepLines/>
        <w:spacing w:after="0" w:line="276" w:lineRule="auto"/>
        <w:jc w:val="both"/>
        <w:outlineLvl w:val="0"/>
        <w:rPr>
          <w:rFonts w:ascii="Century Gothic" w:eastAsiaTheme="majorEastAsia" w:hAnsi="Century Gothic" w:cstheme="majorBidi"/>
          <w:b/>
          <w:i/>
          <w:color w:val="014463" w:themeColor="text2"/>
          <w:sz w:val="30"/>
          <w:szCs w:val="30"/>
        </w:rPr>
      </w:pPr>
      <w:r w:rsidRPr="00BB3BAC">
        <w:rPr>
          <w:rFonts w:ascii="Century Gothic" w:eastAsiaTheme="majorEastAsia" w:hAnsi="Century Gothic" w:cstheme="majorBidi"/>
          <w:b/>
          <w:color w:val="014463" w:themeColor="text2"/>
          <w:sz w:val="30"/>
          <w:szCs w:val="30"/>
        </w:rPr>
        <w:t xml:space="preserve">Review of the </w:t>
      </w:r>
      <w:r w:rsidRPr="00BB3BAC">
        <w:rPr>
          <w:rFonts w:ascii="Century Gothic" w:eastAsiaTheme="majorEastAsia" w:hAnsi="Century Gothic" w:cstheme="majorBidi"/>
          <w:b/>
          <w:i/>
          <w:color w:val="014463" w:themeColor="text2"/>
          <w:sz w:val="30"/>
          <w:szCs w:val="30"/>
        </w:rPr>
        <w:t>Workplace Gender Equality Act 2012</w:t>
      </w:r>
    </w:p>
    <w:p w14:paraId="705B980D" w14:textId="77777777" w:rsidR="001B3CA0" w:rsidRPr="00BB3BAC" w:rsidRDefault="001B3CA0" w:rsidP="001B3CA0">
      <w:pPr>
        <w:pStyle w:val="Heading2"/>
      </w:pPr>
      <w:r w:rsidRPr="00BB3BAC">
        <w:t xml:space="preserve">Context </w:t>
      </w:r>
    </w:p>
    <w:p w14:paraId="6462323A" w14:textId="1DE3850F" w:rsidR="001B3CA0" w:rsidRPr="001B3CA0" w:rsidRDefault="001B3CA0" w:rsidP="001B3CA0">
      <w:pPr>
        <w:pStyle w:val="BodyText"/>
      </w:pPr>
      <w:r w:rsidRPr="00BB3BAC">
        <w:t xml:space="preserve">The Government announced in the Women’s Budget Statement 2021-22 a targeted review (the Review) of the </w:t>
      </w:r>
      <w:r w:rsidRPr="00BB3BAC">
        <w:rPr>
          <w:i/>
        </w:rPr>
        <w:t xml:space="preserve">Workplace Gender Equality Act 2012 </w:t>
      </w:r>
      <w:r w:rsidRPr="00BB3BAC">
        <w:rPr>
          <w:iCs/>
        </w:rPr>
        <w:t>(the WGE Act)</w:t>
      </w:r>
      <w:r>
        <w:rPr>
          <w:iCs/>
        </w:rPr>
        <w:t xml:space="preserve">. </w:t>
      </w:r>
      <w:r w:rsidRPr="00BB3BAC">
        <w:t xml:space="preserve">This followed the Workplace Gender Equality Agency’s 2019-20 Progress Report, which recommended a review of </w:t>
      </w:r>
      <w:r w:rsidRPr="00BB3BAC">
        <w:rPr>
          <w:iCs/>
        </w:rPr>
        <w:t>the WGE Act to drive further progress on gender equality in Australia</w:t>
      </w:r>
      <w:r w:rsidRPr="00BB3BAC">
        <w:t xml:space="preserve">. </w:t>
      </w:r>
    </w:p>
    <w:p w14:paraId="42FDBAC1" w14:textId="530820C8" w:rsidR="001B3CA0" w:rsidRPr="001B3CA0" w:rsidRDefault="001B3CA0" w:rsidP="001B3CA0">
      <w:pPr>
        <w:pStyle w:val="BodyText"/>
      </w:pPr>
      <w:r w:rsidRPr="00BB3BAC">
        <w:t xml:space="preserve">The WGE Act replaced the </w:t>
      </w:r>
      <w:r w:rsidRPr="00BB3BAC">
        <w:rPr>
          <w:i/>
        </w:rPr>
        <w:t xml:space="preserve">Equal Opportunity for Women in the Workplace Act 1999 </w:t>
      </w:r>
      <w:r w:rsidRPr="00BB3BAC">
        <w:rPr>
          <w:iCs/>
        </w:rPr>
        <w:t>and</w:t>
      </w:r>
      <w:r w:rsidRPr="00BB3BAC">
        <w:t xml:space="preserve"> has not been reviewed since its introduction in 2012. </w:t>
      </w:r>
    </w:p>
    <w:p w14:paraId="604444DE" w14:textId="4CFF8F93" w:rsidR="001B3CA0" w:rsidRPr="001B3CA0" w:rsidRDefault="001B3CA0" w:rsidP="001B3CA0">
      <w:pPr>
        <w:pStyle w:val="BodyText"/>
      </w:pPr>
      <w:r w:rsidRPr="001B3CA0">
        <w:t xml:space="preserve">The Review will consider if the Workplace Gender Equality Agency (WGEA) – a statutory agency created by the WGE Act – has appropriate powers, tools and levers to achieve the </w:t>
      </w:r>
      <w:bookmarkStart w:id="0" w:name="_Hlk76128650"/>
      <w:r w:rsidRPr="001B3CA0">
        <w:t xml:space="preserve">objectives of the WGE Act, including to promote and improve gender equality in Australian workplaces, support employers to </w:t>
      </w:r>
      <w:r w:rsidRPr="001B3CA0">
        <w:lastRenderedPageBreak/>
        <w:t xml:space="preserve">remove barriers to the full and equal participation of women in the workplace and to eliminate discrimination on the basis of gender in relation to employment matters. </w:t>
      </w:r>
      <w:bookmarkEnd w:id="0"/>
    </w:p>
    <w:p w14:paraId="3612ECCA" w14:textId="77777777" w:rsidR="001B3CA0" w:rsidRPr="001B3CA0" w:rsidRDefault="001B3CA0" w:rsidP="001B3CA0">
      <w:pPr>
        <w:pStyle w:val="BodyText"/>
      </w:pPr>
      <w:r w:rsidRPr="001B3CA0">
        <w:t xml:space="preserve">In the Women’s Budget Statement 2021-22, the Government also committed to amending the WGE Act to require Australian Public Service organisations to report to WGEA on gender equality initiatives.  This amendment will create a more comprehensive, representative and accurate data set of the Australian workforce.  </w:t>
      </w:r>
    </w:p>
    <w:p w14:paraId="5ED049A4" w14:textId="77777777" w:rsidR="001B3CA0" w:rsidRPr="00BB3BAC" w:rsidRDefault="001B3CA0" w:rsidP="001B3CA0">
      <w:pPr>
        <w:pStyle w:val="Heading2"/>
        <w:rPr>
          <w:rFonts w:ascii="Century Gothic" w:hAnsi="Century Gothic"/>
          <w:color w:val="1B232C" w:themeColor="accent1" w:themeShade="BF"/>
          <w:sz w:val="26"/>
          <w:szCs w:val="26"/>
        </w:rPr>
      </w:pPr>
      <w:r w:rsidRPr="001B3CA0">
        <w:t>Scope</w:t>
      </w:r>
      <w:r w:rsidRPr="00BB3BAC">
        <w:rPr>
          <w:rFonts w:ascii="Century Gothic" w:hAnsi="Century Gothic"/>
          <w:color w:val="1B232C" w:themeColor="accent1" w:themeShade="BF"/>
          <w:sz w:val="26"/>
          <w:szCs w:val="26"/>
        </w:rPr>
        <w:tab/>
      </w:r>
    </w:p>
    <w:p w14:paraId="3509BC44" w14:textId="400718F5" w:rsidR="001B3CA0" w:rsidRDefault="001B3CA0" w:rsidP="001B3CA0">
      <w:pPr>
        <w:pStyle w:val="BodyText"/>
        <w:rPr>
          <w:rFonts w:eastAsia="Times New Roman" w:cs="Times New Roman"/>
          <w:lang w:eastAsia="en-AU"/>
        </w:rPr>
      </w:pPr>
      <w:r w:rsidRPr="00BB3BAC">
        <w:t>The targeted Review will examine the application of the WGE Act and assess the effectiveness of WGEA’s existing practices in the promotion and improvement of gender equality in employment and in workplaces.  The Review will also identify areas of future focus for WGEA to further promote gender equality over the next ten years</w:t>
      </w:r>
      <w:r w:rsidRPr="00BB3BAC">
        <w:rPr>
          <w:rFonts w:cs="Times New Roman"/>
          <w:lang w:eastAsia="en-AU"/>
        </w:rPr>
        <w:t xml:space="preserve">, including reducing gender pay gaps, and if needed, recommend </w:t>
      </w:r>
      <w:r w:rsidRPr="00BB3BAC">
        <w:rPr>
          <w:rFonts w:eastAsia="Times New Roman" w:cs="Times New Roman"/>
          <w:lang w:eastAsia="en-AU"/>
        </w:rPr>
        <w:t xml:space="preserve">options for reform of the </w:t>
      </w:r>
      <w:r w:rsidRPr="00BB3BAC">
        <w:t xml:space="preserve">WGE </w:t>
      </w:r>
      <w:r w:rsidRPr="00BB3BAC">
        <w:rPr>
          <w:rFonts w:eastAsia="Times New Roman" w:cs="Times New Roman"/>
          <w:lang w:eastAsia="en-AU"/>
        </w:rPr>
        <w:t>Act and its related instruments.</w:t>
      </w:r>
    </w:p>
    <w:p w14:paraId="51885B09" w14:textId="77777777" w:rsidR="001B3CA0" w:rsidRPr="001B3CA0" w:rsidRDefault="001B3CA0" w:rsidP="001B3CA0">
      <w:pPr>
        <w:pStyle w:val="BodyText"/>
      </w:pPr>
      <w:r w:rsidRPr="001B3CA0">
        <w:t>The Review will consider:</w:t>
      </w:r>
    </w:p>
    <w:p w14:paraId="77195C68" w14:textId="77777777" w:rsidR="001B3CA0" w:rsidRPr="001B3CA0" w:rsidRDefault="001B3CA0" w:rsidP="001B3CA0">
      <w:pPr>
        <w:pStyle w:val="BodyText"/>
        <w:numPr>
          <w:ilvl w:val="0"/>
          <w:numId w:val="31"/>
        </w:numPr>
      </w:pPr>
      <w:r w:rsidRPr="001B3CA0">
        <w:t>coverage of the WGE Act, including size and types of organisations required to report;</w:t>
      </w:r>
    </w:p>
    <w:p w14:paraId="22FAF074" w14:textId="77777777" w:rsidR="001B3CA0" w:rsidRPr="001B3CA0" w:rsidRDefault="001B3CA0" w:rsidP="001B3CA0">
      <w:pPr>
        <w:pStyle w:val="BodyText"/>
        <w:numPr>
          <w:ilvl w:val="0"/>
          <w:numId w:val="31"/>
        </w:numPr>
      </w:pPr>
      <w:r w:rsidRPr="001B3CA0">
        <w:lastRenderedPageBreak/>
        <w:t>reporting requirements and data collected under the six gender equality indicators, set out in the Workplace Gender Equality (Matters in relation to Gender Equality) Instrument;</w:t>
      </w:r>
    </w:p>
    <w:p w14:paraId="0FE7508F" w14:textId="77777777" w:rsidR="001B3CA0" w:rsidRPr="001B3CA0" w:rsidRDefault="001B3CA0" w:rsidP="001B3CA0">
      <w:pPr>
        <w:pStyle w:val="BodyText"/>
        <w:numPr>
          <w:ilvl w:val="0"/>
          <w:numId w:val="31"/>
        </w:numPr>
      </w:pPr>
      <w:r w:rsidRPr="001B3CA0">
        <w:t xml:space="preserve">benchmarks, public reporting, data quality and analysis, and sharing of data, with consideration given to the sharing of data between WGEA and other agencies such as the Australian Bureau of Statistics and the Australian Taxation Office; </w:t>
      </w:r>
    </w:p>
    <w:p w14:paraId="380A3D31" w14:textId="77777777" w:rsidR="001B3CA0" w:rsidRPr="001B3CA0" w:rsidRDefault="001B3CA0" w:rsidP="001B3CA0">
      <w:pPr>
        <w:pStyle w:val="BodyText"/>
        <w:numPr>
          <w:ilvl w:val="0"/>
          <w:numId w:val="31"/>
        </w:numPr>
      </w:pPr>
      <w:r w:rsidRPr="001B3CA0">
        <w:t xml:space="preserve">reviewing compliance, minimum standards and actions relating to non-compliance with the WGE Act; and </w:t>
      </w:r>
    </w:p>
    <w:p w14:paraId="7BDA3FF6" w14:textId="77777777" w:rsidR="001B3CA0" w:rsidRPr="001B3CA0" w:rsidRDefault="001B3CA0" w:rsidP="001B3CA0">
      <w:pPr>
        <w:pStyle w:val="BodyText"/>
        <w:numPr>
          <w:ilvl w:val="0"/>
          <w:numId w:val="31"/>
        </w:numPr>
      </w:pPr>
      <w:r w:rsidRPr="001B3CA0">
        <w:t xml:space="preserve">other actions which can contribute to improvements in gender equality in the workplace. </w:t>
      </w:r>
    </w:p>
    <w:p w14:paraId="7417BE5A" w14:textId="77777777" w:rsidR="001B3CA0" w:rsidRDefault="001B3CA0">
      <w:r>
        <w:br w:type="page"/>
      </w:r>
    </w:p>
    <w:p w14:paraId="43A18AB7" w14:textId="5C4C3EF2" w:rsidR="001B3CA0" w:rsidRPr="001B3CA0" w:rsidRDefault="001B3CA0" w:rsidP="001B3CA0">
      <w:pPr>
        <w:pStyle w:val="BodyText"/>
      </w:pPr>
      <w:r w:rsidRPr="001B3CA0">
        <w:lastRenderedPageBreak/>
        <w:t>The Review will take into account:</w:t>
      </w:r>
    </w:p>
    <w:p w14:paraId="27535870" w14:textId="77777777" w:rsidR="001B3CA0" w:rsidRPr="001B3CA0" w:rsidRDefault="001B3CA0" w:rsidP="001B3CA0">
      <w:pPr>
        <w:pStyle w:val="BodyText"/>
        <w:numPr>
          <w:ilvl w:val="0"/>
          <w:numId w:val="32"/>
        </w:numPr>
      </w:pPr>
      <w:r w:rsidRPr="001B3CA0">
        <w:t xml:space="preserve">WGEA input on the effectiveness of the WGE Act in achieving its purposes, including the WGEA Progress Report 2019-20 and its outlined opportunities for improvement, and input from a broad range of stakeholders; </w:t>
      </w:r>
    </w:p>
    <w:p w14:paraId="43747EE1" w14:textId="77777777" w:rsidR="001B3CA0" w:rsidRPr="001B3CA0" w:rsidRDefault="001B3CA0" w:rsidP="001B3CA0">
      <w:pPr>
        <w:pStyle w:val="BodyText"/>
        <w:numPr>
          <w:ilvl w:val="0"/>
          <w:numId w:val="32"/>
        </w:numPr>
      </w:pPr>
      <w:r w:rsidRPr="001B3CA0">
        <w:t xml:space="preserve">The Government’s deregulation agenda, including whether there are opportunities to reduce the reporting burden on business through streamlining reporting tools or better sharing of data (such as from Single Touch Payroll) between Commonwealth agencies; </w:t>
      </w:r>
    </w:p>
    <w:p w14:paraId="67344E6F" w14:textId="77777777" w:rsidR="001B3CA0" w:rsidRPr="001B3CA0" w:rsidRDefault="001B3CA0" w:rsidP="001B3CA0">
      <w:pPr>
        <w:pStyle w:val="BodyText"/>
        <w:numPr>
          <w:ilvl w:val="0"/>
          <w:numId w:val="32"/>
        </w:numPr>
      </w:pPr>
      <w:r w:rsidRPr="001B3CA0">
        <w:t xml:space="preserve">Any changes needed for WGEA to implement the recommendations of the Respect@Work national inquiry and the Government’s response; and </w:t>
      </w:r>
    </w:p>
    <w:p w14:paraId="5CB1EA37" w14:textId="77777777" w:rsidR="001B3CA0" w:rsidRPr="001B3CA0" w:rsidRDefault="001B3CA0" w:rsidP="001B3CA0">
      <w:pPr>
        <w:pStyle w:val="BodyText"/>
        <w:numPr>
          <w:ilvl w:val="0"/>
          <w:numId w:val="32"/>
        </w:numPr>
      </w:pPr>
      <w:r w:rsidRPr="001B3CA0">
        <w:t>Australian and international evidence and approaches.</w:t>
      </w:r>
    </w:p>
    <w:p w14:paraId="4B3C58C1" w14:textId="77777777" w:rsidR="001B3CA0" w:rsidRPr="001B3CA0" w:rsidRDefault="001B3CA0" w:rsidP="001B3CA0">
      <w:pPr>
        <w:pStyle w:val="Heading2"/>
      </w:pPr>
      <w:r w:rsidRPr="001B3CA0">
        <w:t>Stakeholder Consultation</w:t>
      </w:r>
    </w:p>
    <w:p w14:paraId="72FDD66F" w14:textId="1E90F6CB" w:rsidR="001B3CA0" w:rsidRPr="001B3CA0" w:rsidRDefault="001B3CA0" w:rsidP="001B3CA0">
      <w:pPr>
        <w:pStyle w:val="BodyText"/>
        <w:rPr>
          <w:lang w:eastAsia="en-AU"/>
        </w:rPr>
      </w:pPr>
      <w:r w:rsidRPr="00BB3BAC">
        <w:rPr>
          <w:lang w:eastAsia="en-AU"/>
        </w:rPr>
        <w:t>The review will be informed by consultation with targeted representatives from the business and not-for-profit sectors</w:t>
      </w:r>
      <w:r w:rsidRPr="00BB3BAC">
        <w:rPr>
          <w:color w:val="000000" w:themeColor="text1"/>
          <w:lang w:eastAsia="en-AU"/>
        </w:rPr>
        <w:t xml:space="preserve">, employee organisations, </w:t>
      </w:r>
      <w:r w:rsidRPr="00BB3BAC">
        <w:rPr>
          <w:lang w:eastAsia="en-AU"/>
        </w:rPr>
        <w:t xml:space="preserve">higher education providers, relevant government agencies, including the Department of the Prime Minister and Cabinet (PM&amp;C), Treasury, Department of </w:t>
      </w:r>
      <w:r w:rsidRPr="00BB3BAC">
        <w:rPr>
          <w:lang w:eastAsia="en-AU"/>
        </w:rPr>
        <w:lastRenderedPageBreak/>
        <w:t xml:space="preserve">Finance, the Australian Bureau of Statistics, the Australian Taxation Office, the Australian Public Service Commission and the Human Rights Commission, the women’s sector, users of the WGEA data and other interested parties. </w:t>
      </w:r>
    </w:p>
    <w:p w14:paraId="0F1842DC" w14:textId="77777777" w:rsidR="001B3CA0" w:rsidRPr="001B3CA0" w:rsidRDefault="001B3CA0" w:rsidP="001B3CA0">
      <w:pPr>
        <w:pStyle w:val="Heading2"/>
      </w:pPr>
      <w:bookmarkStart w:id="1" w:name="_Hlk79144854"/>
      <w:r w:rsidRPr="001B3CA0">
        <w:t>Governance and Deliver</w:t>
      </w:r>
      <w:bookmarkStart w:id="2" w:name="_GoBack"/>
      <w:bookmarkEnd w:id="2"/>
      <w:r w:rsidRPr="001B3CA0">
        <w:t>ables</w:t>
      </w:r>
    </w:p>
    <w:p w14:paraId="5A915100" w14:textId="1B42A184" w:rsidR="003F5F4B" w:rsidRPr="00621E8C" w:rsidRDefault="001B3CA0" w:rsidP="00621E8C">
      <w:pPr>
        <w:pStyle w:val="BodyText"/>
        <w:rPr>
          <w:rFonts w:ascii="Century Gothic" w:hAnsi="Century Gothic"/>
        </w:rPr>
      </w:pPr>
      <w:r w:rsidRPr="00BB3BAC">
        <w:t>The Review will commence in September 2021. It will be led by a WGEA Review Team in PM&amp;C, in consultation with WGEA, and with guidance from external Expert Advisers. The project sponsor is the Deputy Secretary Social Policy in PM&amp;C. A report will be provided before the end of 2021 to the Minister for Women as the Minister with portfolio responsibility for WGEA</w:t>
      </w:r>
      <w:bookmarkEnd w:id="1"/>
      <w:r w:rsidR="00621E8C" w:rsidRPr="00BB3BAC">
        <w:rPr>
          <w:rFonts w:ascii="Century Gothic" w:hAnsi="Century Gothic"/>
        </w:rPr>
        <w:t xml:space="preserve"> </w:t>
      </w:r>
      <w:r w:rsidR="00621E8C" w:rsidRPr="00621E8C">
        <w:t>and to the Minister for Women’s Economic Security.</w:t>
      </w:r>
    </w:p>
    <w:sectPr w:rsidR="003F5F4B" w:rsidRPr="00621E8C" w:rsidSect="00BE193C">
      <w:headerReference w:type="default" r:id="rId12"/>
      <w:footerReference w:type="default" r:id="rId13"/>
      <w:headerReference w:type="first" r:id="rId14"/>
      <w:footerReference w:type="first" r:id="rId15"/>
      <w:pgSz w:w="11906" w:h="16838"/>
      <w:pgMar w:top="1559" w:right="851" w:bottom="1701"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88B36" w14:textId="77777777" w:rsidR="00EC7D0F" w:rsidRDefault="00EC7D0F" w:rsidP="00B95533">
      <w:pPr>
        <w:spacing w:after="0" w:line="240" w:lineRule="auto"/>
      </w:pPr>
      <w:r>
        <w:separator/>
      </w:r>
    </w:p>
  </w:endnote>
  <w:endnote w:type="continuationSeparator" w:id="0">
    <w:p w14:paraId="6491752D" w14:textId="77777777" w:rsidR="00EC7D0F" w:rsidRDefault="00EC7D0F"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0BE71" w14:textId="77777777" w:rsidR="00BE64F3" w:rsidRPr="00A477A0" w:rsidRDefault="00BE64F3" w:rsidP="00F651C4">
    <w:pPr>
      <w:pStyle w:val="Footerline"/>
      <w:rPr>
        <w:color w:val="014463" w:themeColor="text2"/>
      </w:rPr>
    </w:pPr>
    <w:r w:rsidRPr="00A477A0">
      <w:rPr>
        <w:color w:val="014463" w:themeColor="text2"/>
        <w:lang w:eastAsia="en-AU"/>
      </w:rPr>
      <mc:AlternateContent>
        <mc:Choice Requires="wps">
          <w:drawing>
            <wp:anchor distT="45720" distB="45720" distL="114300" distR="114300" simplePos="0" relativeHeight="251665408" behindDoc="0" locked="1" layoutInCell="1" allowOverlap="1" wp14:anchorId="2E58DDFD" wp14:editId="666C463C">
              <wp:simplePos x="0" y="0"/>
              <wp:positionH relativeFrom="margin">
                <wp:align>right</wp:align>
              </wp:positionH>
              <wp:positionV relativeFrom="page">
                <wp:posOffset>9963150</wp:posOffset>
              </wp:positionV>
              <wp:extent cx="330835" cy="335915"/>
              <wp:effectExtent l="0" t="0" r="12065" b="698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 cy="335915"/>
                      </a:xfrm>
                      <a:prstGeom prst="rect">
                        <a:avLst/>
                      </a:prstGeom>
                      <a:noFill/>
                      <a:ln w="9525">
                        <a:noFill/>
                        <a:miter lim="800000"/>
                        <a:headEnd/>
                        <a:tailEnd/>
                      </a:ln>
                    </wps:spPr>
                    <wps:txbx>
                      <w:txbxContent>
                        <w:p w14:paraId="6E2421EC" w14:textId="02C35B02" w:rsidR="00BE64F3" w:rsidRPr="00281E3E" w:rsidRDefault="00BE64F3" w:rsidP="00281E3E">
                          <w:pPr>
                            <w:pStyle w:val="Footer"/>
                            <w:spacing w:after="0"/>
                            <w:jc w:val="right"/>
                          </w:pPr>
                          <w:r w:rsidRPr="00281E3E">
                            <w:fldChar w:fldCharType="begin"/>
                          </w:r>
                          <w:r w:rsidRPr="00281E3E">
                            <w:instrText xml:space="preserve"> PAGE   \* MERGEFORMAT </w:instrText>
                          </w:r>
                          <w:r w:rsidRPr="00281E3E">
                            <w:fldChar w:fldCharType="separate"/>
                          </w:r>
                          <w:r w:rsidR="004A086E">
                            <w:rPr>
                              <w:noProof/>
                            </w:rPr>
                            <w:t>2</w:t>
                          </w:r>
                          <w:r w:rsidRPr="00281E3E">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E58DDFD" id="_x0000_t202" coordsize="21600,21600" o:spt="202" path="m,l,21600r21600,l21600,xe">
              <v:stroke joinstyle="miter"/>
              <v:path gradientshapeok="t" o:connecttype="rect"/>
            </v:shapetype>
            <v:shape id="Text Box 2" o:spid="_x0000_s1026" type="#_x0000_t202" style="position:absolute;margin-left:-25.15pt;margin-top:784.5pt;width:26.05pt;height:26.4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" filled="f" stroked="f">
              <v:textbox inset="0,0,0,0">
                <w:txbxContent>
                  <w:p w14:paraId="6E2421EC" w14:textId="02C35B02" w:rsidR="00BE64F3" w:rsidRPr="00281E3E" w:rsidRDefault="00BE64F3" w:rsidP="00281E3E">
                    <w:pPr>
                      <w:pStyle w:val="Footer"/>
                      <w:spacing w:after="0"/>
                      <w:jc w:val="right"/>
                    </w:pPr>
                    <w:r w:rsidRPr="00281E3E">
                      <w:fldChar w:fldCharType="begin"/>
                    </w:r>
                    <w:r w:rsidRPr="00281E3E">
                      <w:instrText xml:space="preserve"> PAGE   \* MERGEFORMAT </w:instrText>
                    </w:r>
                    <w:r w:rsidRPr="00281E3E">
                      <w:fldChar w:fldCharType="separate"/>
                    </w:r>
                    <w:r w:rsidR="004A086E">
                      <w:rPr>
                        <w:noProof/>
                      </w:rPr>
                      <w:t>2</w:t>
                    </w:r>
                    <w:r w:rsidRPr="00281E3E">
                      <w:fldChar w:fldCharType="end"/>
                    </w:r>
                  </w:p>
                </w:txbxContent>
              </v:textbox>
              <w10:wrap anchorx="margin" anchory="page"/>
              <w10:anchorlock/>
            </v:shape>
          </w:pict>
        </mc:Fallback>
      </mc:AlternateContent>
    </w:r>
  </w:p>
  <w:p w14:paraId="5E54949E" w14:textId="47F8EE93" w:rsidR="00BE193C" w:rsidRPr="00281E3E" w:rsidRDefault="00BE64F3" w:rsidP="00BE193C">
    <w:pPr>
      <w:pStyle w:val="Footer"/>
    </w:pPr>
    <w:r w:rsidRPr="00281E3E">
      <w:t>PM&amp;C |</w:t>
    </w:r>
    <w:r w:rsidR="00BE193C" w:rsidRPr="00BE193C">
      <w:t xml:space="preserve"> </w:t>
    </w:r>
    <w:r w:rsidR="00BE193C">
      <w:t xml:space="preserve">Review of the </w:t>
    </w:r>
    <w:r w:rsidR="00BE193C" w:rsidRPr="00BE193C">
      <w:rPr>
        <w:i/>
      </w:rPr>
      <w:t>Workplace Gender Equality Act 2012</w:t>
    </w:r>
    <w:r w:rsidR="00BE193C">
      <w:t xml:space="preserve"> </w:t>
    </w:r>
    <w:fldSimple w:instr=" STYLEREF  &quot;Title&quot;  \* MERGEFORMAT ">
      <w:r w:rsidR="004A086E">
        <w:rPr>
          <w:noProof/>
        </w:rPr>
        <w:t>Terms of Reference</w:t>
      </w:r>
    </w:fldSimple>
  </w:p>
  <w:p w14:paraId="7B3646DA" w14:textId="358F87AC" w:rsidR="00BE64F3" w:rsidRPr="00281E3E" w:rsidRDefault="00BE64F3" w:rsidP="00281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C4B48" w14:textId="4677DC21" w:rsidR="00BE64F3" w:rsidRPr="00281E3E" w:rsidRDefault="00BE64F3" w:rsidP="00BE193C">
    <w:pPr>
      <w:pStyle w:val="Footer"/>
      <w:spacing w:before="240"/>
    </w:pPr>
    <w:r w:rsidRPr="00281E3E">
      <w:rPr>
        <w:noProof/>
        <w:lang w:eastAsia="en-AU"/>
      </w:rPr>
      <mc:AlternateContent>
        <mc:Choice Requires="wps">
          <w:drawing>
            <wp:anchor distT="45720" distB="45720" distL="114300" distR="114300" simplePos="0" relativeHeight="251669504" behindDoc="0" locked="1" layoutInCell="1" allowOverlap="1" wp14:anchorId="1A80E798" wp14:editId="4DE035B1">
              <wp:simplePos x="0" y="0"/>
              <wp:positionH relativeFrom="margin">
                <wp:align>right</wp:align>
              </wp:positionH>
              <wp:positionV relativeFrom="page">
                <wp:posOffset>10031095</wp:posOffset>
              </wp:positionV>
              <wp:extent cx="330835" cy="414020"/>
              <wp:effectExtent l="0" t="0" r="12065" b="50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 cy="414020"/>
                      </a:xfrm>
                      <a:prstGeom prst="rect">
                        <a:avLst/>
                      </a:prstGeom>
                      <a:noFill/>
                      <a:ln w="9525">
                        <a:noFill/>
                        <a:miter lim="800000"/>
                        <a:headEnd/>
                        <a:tailEnd/>
                      </a:ln>
                    </wps:spPr>
                    <wps:txbx>
                      <w:txbxContent>
                        <w:p w14:paraId="0305C91D" w14:textId="0C555A48" w:rsidR="00BE64F3" w:rsidRPr="00D171A8" w:rsidRDefault="00BE64F3"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4A086E">
                            <w:rPr>
                              <w:noProof/>
                            </w:rPr>
                            <w:t>1</w:t>
                          </w:r>
                          <w:r w:rsidRPr="00D171A8">
                            <w:rPr>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A80E798" id="_x0000_t202" coordsize="21600,21600" o:spt="202" path="m,l,21600r21600,l21600,xe">
              <v:stroke joinstyle="miter"/>
              <v:path gradientshapeok="t" o:connecttype="rect"/>
            </v:shapetype>
            <v:shape id="_x0000_s1031" type="#_x0000_t202" style="position:absolute;margin-left:-25.15pt;margin-top:789.85pt;width:26.05pt;height:32.6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" filled="f" stroked="f">
              <v:textbox inset="0,0,0,0">
                <w:txbxContent>
                  <w:p w14:paraId="0305C91D" w14:textId="0C555A48" w:rsidR="00BE64F3" w:rsidRPr="00D171A8" w:rsidRDefault="00BE64F3" w:rsidP="00281E3E">
                    <w:pPr>
                      <w:pStyle w:val="Footer"/>
                      <w:spacing w:after="0"/>
                      <w:jc w:val="right"/>
                      <w:rPr>
                        <w:b/>
                      </w:rPr>
                    </w:pPr>
                    <w:r w:rsidRPr="00D171A8">
                      <w:rPr>
                        <w:b/>
                      </w:rPr>
                      <w:fldChar w:fldCharType="begin"/>
                    </w:r>
                    <w:r w:rsidRPr="00D171A8">
                      <w:instrText xml:space="preserve"> PAGE   \* MERGEFORMAT </w:instrText>
                    </w:r>
                    <w:r w:rsidRPr="00D171A8">
                      <w:rPr>
                        <w:b/>
                      </w:rPr>
                      <w:fldChar w:fldCharType="separate"/>
                    </w:r>
                    <w:r w:rsidR="004A086E">
                      <w:rPr>
                        <w:noProof/>
                      </w:rPr>
                      <w:t>1</w:t>
                    </w:r>
                    <w:r w:rsidRPr="00D171A8">
                      <w:rPr>
                        <w:b/>
                        <w:noProof/>
                      </w:rPr>
                      <w:fldChar w:fldCharType="end"/>
                    </w:r>
                  </w:p>
                </w:txbxContent>
              </v:textbox>
              <w10:wrap anchorx="margin" anchory="page"/>
              <w10:anchorlock/>
            </v:shape>
          </w:pict>
        </mc:Fallback>
      </mc:AlternateContent>
    </w:r>
    <w:r w:rsidRPr="00281E3E">
      <w:t xml:space="preserve">PM&amp;C | </w:t>
    </w:r>
    <w:r w:rsidR="00BE193C">
      <w:t xml:space="preserve">Review of the </w:t>
    </w:r>
    <w:r w:rsidR="00BE193C" w:rsidRPr="00BE193C">
      <w:rPr>
        <w:i/>
      </w:rPr>
      <w:t>Workplace Gender Equality Act 2012</w:t>
    </w:r>
    <w:r w:rsidR="00BE193C">
      <w:t xml:space="preserve"> </w:t>
    </w:r>
    <w:r w:rsidRPr="00281E3E">
      <w:fldChar w:fldCharType="begin"/>
    </w:r>
    <w:r w:rsidRPr="00281E3E">
      <w:instrText xml:space="preserve"> STYLEREF  "</w:instrText>
    </w:r>
    <w:r w:rsidR="00250BE6" w:rsidRPr="00281E3E">
      <w:instrText>Title</w:instrText>
    </w:r>
    <w:r w:rsidRPr="00281E3E">
      <w:instrText xml:space="preserve">"  \* MERGEFORMAT </w:instrText>
    </w:r>
    <w:r w:rsidRPr="00281E3E">
      <w:fldChar w:fldCharType="separate"/>
    </w:r>
    <w:r w:rsidR="004A086E">
      <w:rPr>
        <w:noProof/>
      </w:rPr>
      <w:t>Terms of Reference</w:t>
    </w:r>
    <w:r w:rsidRPr="00281E3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106C0" w14:textId="77777777" w:rsidR="00EC7D0F" w:rsidRPr="007A6FC6" w:rsidRDefault="00EC7D0F" w:rsidP="00B95533">
      <w:pPr>
        <w:spacing w:after="0" w:line="240" w:lineRule="auto"/>
        <w:rPr>
          <w:color w:val="014463" w:themeColor="accent2"/>
        </w:rPr>
      </w:pPr>
      <w:r w:rsidRPr="007A6FC6">
        <w:rPr>
          <w:color w:val="014463" w:themeColor="accent2"/>
        </w:rPr>
        <w:separator/>
      </w:r>
    </w:p>
  </w:footnote>
  <w:footnote w:type="continuationSeparator" w:id="0">
    <w:p w14:paraId="126CA37C" w14:textId="77777777" w:rsidR="00EC7D0F" w:rsidRPr="007A6FC6" w:rsidRDefault="00EC7D0F" w:rsidP="00B95533">
      <w:pPr>
        <w:spacing w:after="0" w:line="240" w:lineRule="auto"/>
        <w:rPr>
          <w:color w:val="014463" w:themeColor="accent2"/>
        </w:rPr>
      </w:pPr>
      <w:r w:rsidRPr="007A6FC6">
        <w:rPr>
          <w:color w:val="014463" w:themeColor="accen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F4A4" w14:textId="33F3D964" w:rsidR="00A10AC2" w:rsidRDefault="004A086E" w:rsidP="00510499">
    <w:pPr>
      <w:pStyle w:val="ProtectiveMarking"/>
    </w:pPr>
    <w:sdt>
      <w:sdtPr>
        <w:alias w:val="Classification"/>
        <w:tag w:val="Classification"/>
        <w:id w:val="-1692129413"/>
        <w:dataBinding w:xpath="/root[1]/Classification[1]" w:storeItemID="{F533AE62-A212-4B26-92DA-A3B336E8AE06}"/>
        <w:text/>
      </w:sdtPr>
      <w:sdtEndPr/>
      <w:sdtContent>
        <w:r w:rsidR="00A10AC2">
          <w:t>Choose Classification</w:t>
        </w:r>
      </w:sdtContent>
    </w:sdt>
  </w:p>
  <w:p w14:paraId="48FDFB77" w14:textId="77777777" w:rsidR="00A10AC2" w:rsidRDefault="00A10AC2">
    <w:pPr>
      <w:pStyle w:val="Header"/>
    </w:pPr>
  </w:p>
  <w:p w14:paraId="52A4CD6F" w14:textId="2CE79EA8" w:rsidR="00BE64F3" w:rsidRDefault="00BE193C">
    <w:pPr>
      <w:pStyle w:val="Header"/>
    </w:pPr>
    <w:r>
      <w:rPr>
        <w:noProof/>
        <w:lang w:eastAsia="en-AU"/>
      </w:rPr>
      <mc:AlternateContent>
        <mc:Choice Requires="wpg">
          <w:drawing>
            <wp:anchor distT="0" distB="0" distL="114300" distR="114300" simplePos="0" relativeHeight="251691008" behindDoc="0" locked="0" layoutInCell="1" allowOverlap="1" wp14:anchorId="4748E876" wp14:editId="1BE7B0C2">
              <wp:simplePos x="0" y="0"/>
              <wp:positionH relativeFrom="margin">
                <wp:align>left</wp:align>
              </wp:positionH>
              <wp:positionV relativeFrom="page">
                <wp:align>center</wp:align>
              </wp:positionV>
              <wp:extent cx="6480000" cy="9344025"/>
              <wp:effectExtent l="0" t="19050" r="35560" b="28575"/>
              <wp:wrapNone/>
              <wp:docPr id="192" name="Group 192"/>
              <wp:cNvGraphicFramePr/>
              <a:graphic xmlns:a="http://schemas.openxmlformats.org/drawingml/2006/main">
                <a:graphicData uri="http://schemas.microsoft.com/office/word/2010/wordprocessingGroup">
                  <wpg:wgp>
                    <wpg:cNvGrpSpPr/>
                    <wpg:grpSpPr>
                      <a:xfrm>
                        <a:off x="0" y="0"/>
                        <a:ext cx="6480000" cy="9344025"/>
                        <a:chOff x="0" y="0"/>
                        <a:chExt cx="6480000" cy="9344025"/>
                      </a:xfrm>
                    </wpg:grpSpPr>
                    <wps:wsp>
                      <wps:cNvPr id="193" name="Straight Connector 193"/>
                      <wps:cNvCnPr/>
                      <wps:spPr>
                        <a:xfrm>
                          <a:off x="0" y="0"/>
                          <a:ext cx="64800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194" name="Straight Connector 194"/>
                      <wps:cNvCnPr/>
                      <wps:spPr>
                        <a:xfrm>
                          <a:off x="0" y="9344025"/>
                          <a:ext cx="64800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3806179" id="Group 192" o:spid="_x0000_s1026" style="position:absolute;margin-left:0;margin-top:0;width:510.25pt;height:735.75pt;z-index:251691008;mso-position-horizontal:left;mso-position-horizontal-relative:margin;mso-position-vertical:center;mso-position-vertical-relative:page" coordsize="64800,9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">
              <v:line id="Straight Connector 193" o:spid="_x0000_s1027" style="position:absolute;visibility:visible;mso-wrap-style:square" from="0,0" to="64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" strokecolor="#014463 [3215]" strokeweight="2.25pt">
                <v:stroke joinstyle="miter"/>
              </v:line>
              <v:line id="Straight Connector 194" o:spid="_x0000_s1028" style="position:absolute;visibility:visible;mso-wrap-style:square" from="0,93440" to="64800,9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" strokecolor="#014463 [3215]" strokeweight="2.25pt">
                <v:stroke joinstyle="miter"/>
              </v:line>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1288F" w14:textId="26C2066A" w:rsidR="00BE64F3" w:rsidRDefault="00BE193C">
    <w:pPr>
      <w:pStyle w:val="Header"/>
    </w:pPr>
    <w:r>
      <w:rPr>
        <w:rFonts w:asciiTheme="minorHAnsi" w:hAnsiTheme="minorHAnsi"/>
        <w:b w:val="0"/>
        <w:caps/>
        <w:noProof/>
        <w:color w:val="191919" w:themeColor="text1" w:themeTint="E6"/>
        <w:lang w:eastAsia="en-AU"/>
      </w:rPr>
      <mc:AlternateContent>
        <mc:Choice Requires="wpg">
          <w:drawing>
            <wp:anchor distT="0" distB="0" distL="114300" distR="114300" simplePos="0" relativeHeight="251693056" behindDoc="0" locked="0" layoutInCell="1" allowOverlap="1" wp14:anchorId="267FFD90" wp14:editId="2A239E8C">
              <wp:simplePos x="0" y="0"/>
              <wp:positionH relativeFrom="margin">
                <wp:align>center</wp:align>
              </wp:positionH>
              <wp:positionV relativeFrom="page">
                <wp:posOffset>73504</wp:posOffset>
              </wp:positionV>
              <wp:extent cx="7344000" cy="10014857"/>
              <wp:effectExtent l="0" t="0" r="9525" b="24765"/>
              <wp:wrapNone/>
              <wp:docPr id="37" name="Group 37"/>
              <wp:cNvGraphicFramePr/>
              <a:graphic xmlns:a="http://schemas.openxmlformats.org/drawingml/2006/main">
                <a:graphicData uri="http://schemas.microsoft.com/office/word/2010/wordprocessingGroup">
                  <wpg:wgp>
                    <wpg:cNvGrpSpPr/>
                    <wpg:grpSpPr>
                      <a:xfrm>
                        <a:off x="0" y="0"/>
                        <a:ext cx="7344000" cy="10014857"/>
                        <a:chOff x="0" y="0"/>
                        <a:chExt cx="7344000" cy="10014857"/>
                      </a:xfrm>
                    </wpg:grpSpPr>
                    <wps:wsp>
                      <wps:cNvPr id="38" name="Text Box 2"/>
                      <wps:cNvSpPr txBox="1">
                        <a:spLocks noChangeArrowheads="1"/>
                      </wps:cNvSpPr>
                      <wps:spPr bwMode="auto">
                        <a:xfrm>
                          <a:off x="0" y="0"/>
                          <a:ext cx="7344000" cy="1123200"/>
                        </a:xfrm>
                        <a:prstGeom prst="rect">
                          <a:avLst/>
                        </a:prstGeom>
                        <a:gradFill>
                          <a:gsLst>
                            <a:gs pos="0">
                              <a:schemeClr val="tx2"/>
                            </a:gs>
                            <a:gs pos="100000">
                              <a:schemeClr val="accent1"/>
                            </a:gs>
                          </a:gsLst>
                          <a:lin ang="0" scaled="0"/>
                        </a:gradFill>
                        <a:ln w="19050">
                          <a:noFill/>
                          <a:miter lim="800000"/>
                          <a:headEnd/>
                          <a:tailEnd/>
                        </a:ln>
                      </wps:spPr>
                      <wps:txbx>
                        <w:txbxContent>
                          <w:p w14:paraId="70F4FD6A" w14:textId="77777777" w:rsidR="00C86AD9" w:rsidRPr="009B300F" w:rsidRDefault="00C86AD9" w:rsidP="00510499">
                            <w:pPr>
                              <w:spacing w:after="0" w:line="240" w:lineRule="auto"/>
                              <w:rPr>
                                <w14:textFill>
                                  <w14:gradFill>
                                    <w14:gsLst>
                                      <w14:gs w14:pos="0">
                                        <w14:schemeClr w14:val="accent1"/>
                                      </w14:gs>
                                      <w14:gs w14:pos="100000">
                                        <w14:srgbClr w14:val="25303B"/>
                                      </w14:gs>
                                    </w14:gsLst>
                                    <w14:lin w14:ang="0" w14:scaled="0"/>
                                  </w14:gradFill>
                                </w14:textFill>
                              </w:rPr>
                            </w:pPr>
                            <w:r w:rsidRPr="009B300F">
                              <w:rPr>
                                <w:noProof/>
                                <w:lang w:eastAsia="en-AU"/>
                                <w14:textFill>
                                  <w14:gradFill>
                                    <w14:gsLst>
                                      <w14:gs w14:pos="0">
                                        <w14:schemeClr w14:val="accent1"/>
                                      </w14:gs>
                                      <w14:gs w14:pos="100000">
                                        <w14:srgbClr w14:val="25303B"/>
                                      </w14:gs>
                                    </w14:gsLst>
                                    <w14:lin w14:ang="0" w14:scaled="0"/>
                                  </w14:gradFill>
                                </w14:textFill>
                              </w:rPr>
                              <w:drawing>
                                <wp:inline distT="0" distB="0" distL="0" distR="0" wp14:anchorId="40A17707" wp14:editId="30D292EF">
                                  <wp:extent cx="2483996" cy="692338"/>
                                  <wp:effectExtent l="0" t="0" r="0" b="0"/>
                                  <wp:docPr id="2" name="Graphic 19" descr="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0"/>
                                            <a:ext cx="2483996" cy="692338"/>
                                          </a:xfrm>
                                          <a:prstGeom prst="rect">
                                            <a:avLst/>
                                          </a:prstGeom>
                                        </pic:spPr>
                                      </pic:pic>
                                    </a:graphicData>
                                  </a:graphic>
                                </wp:inline>
                              </w:drawing>
                            </w:r>
                          </w:p>
                        </w:txbxContent>
                      </wps:txbx>
                      <wps:bodyPr rot="0" vert="horz" wrap="square" lIns="432000" tIns="0" rIns="0" bIns="0" anchor="ctr" anchorCtr="0">
                        <a:noAutofit/>
                      </wps:bodyPr>
                    </wps:wsp>
                    <wps:wsp>
                      <wps:cNvPr id="39" name="Straight Connector 39"/>
                      <wps:cNvCnPr/>
                      <wps:spPr>
                        <a:xfrm>
                          <a:off x="435429" y="10014857"/>
                          <a:ext cx="6480000"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67FFD90" id="Group 37" o:spid="_x0000_s1027" style="position:absolute;margin-left:0;margin-top:5.8pt;width:578.25pt;height:788.55pt;z-index:251693056;mso-position-horizontal:center;mso-position-horizontal-relative:margin;mso-position-vertical-relative:page" coordsize="73440,100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">
              <v:shapetype id="_x0000_t202" coordsize="21600,21600" o:spt="202" path="m,l,21600r21600,l21600,xe">
                <v:stroke joinstyle="miter"/>
                <v:path gradientshapeok="t" o:connecttype="rect"/>
              </v:shapetype>
              <v:shape id="_x0000_s1028" type="#_x0000_t202" style="position:absolute;width:73440;height:11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" fillcolor="#014463 [3215]" stroked="f" strokeweight="1.5pt">
                <v:fill color2="#25303b [3204]" angle="90" focus="100%" type="gradient">
                  <o:fill v:ext="view" type="gradientUnscaled"/>
                </v:fill>
                <v:textbox inset="12mm,0,0,0">
                  <w:txbxContent>
                    <w:p w14:paraId="70F4FD6A" w14:textId="77777777" w:rsidR="00C86AD9" w:rsidRPr="009B300F" w:rsidRDefault="00C86AD9" w:rsidP="00510499">
                      <w:pPr>
                        <w:spacing w:after="0" w:line="240" w:lineRule="auto"/>
                        <w:rPr>
                          <w14:textFill>
                            <w14:gradFill>
                              <w14:gsLst>
                                <w14:gs w14:pos="0">
                                  <w14:schemeClr w14:val="accent1"/>
                                </w14:gs>
                                <w14:gs w14:pos="100000">
                                  <w14:srgbClr w14:val="25303B"/>
                                </w14:gs>
                              </w14:gsLst>
                              <w14:lin w14:ang="0" w14:scaled="0"/>
                            </w14:gradFill>
                          </w14:textFill>
                        </w:rPr>
                      </w:pPr>
                      <w:r w:rsidRPr="009B300F">
                        <w:rPr>
                          <w:noProof/>
                          <w:lang w:eastAsia="en-AU"/>
                          <w14:textFill>
                            <w14:gradFill>
                              <w14:gsLst>
                                <w14:gs w14:pos="0">
                                  <w14:schemeClr w14:val="accent1"/>
                                </w14:gs>
                                <w14:gs w14:pos="100000">
                                  <w14:srgbClr w14:val="25303B"/>
                                </w14:gs>
                              </w14:gsLst>
                              <w14:lin w14:ang="0" w14:scaled="0"/>
                            </w14:gradFill>
                          </w14:textFill>
                        </w:rPr>
                        <w:drawing>
                          <wp:inline distT="0" distB="0" distL="0" distR="0" wp14:anchorId="40A17707" wp14:editId="30D292EF">
                            <wp:extent cx="2483996" cy="692338"/>
                            <wp:effectExtent l="0" t="0" r="0" b="0"/>
                            <wp:docPr id="2" name="Graphic 19" descr="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M&amp;C_strip (EPS).svg"/>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0"/>
                                      <a:ext cx="2483996" cy="692338"/>
                                    </a:xfrm>
                                    <a:prstGeom prst="rect">
                                      <a:avLst/>
                                    </a:prstGeom>
                                  </pic:spPr>
                                </pic:pic>
                              </a:graphicData>
                            </a:graphic>
                          </wp:inline>
                        </w:drawing>
                      </w:r>
                    </w:p>
                  </w:txbxContent>
                </v:textbox>
              </v:shape>
              <v:line id="Straight Connector 39" o:spid="_x0000_s1029" style="position:absolute;visibility:visible;mso-wrap-style:square" from="4354,100148" to="69154,100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" strokecolor="#014463 [3215]" strokeweight="2.25pt">
                <v:stroke joinstyle="miter"/>
              </v:line>
              <w10:wrap anchorx="margin" anchory="page"/>
            </v:group>
          </w:pict>
        </mc:Fallback>
      </mc:AlternateContent>
    </w:r>
    <w:r w:rsidR="00C86AD9">
      <w:rPr>
        <w:noProof/>
        <w:lang w:eastAsia="en-AU"/>
      </w:rPr>
      <mc:AlternateContent>
        <mc:Choice Requires="wps">
          <w:drawing>
            <wp:anchor distT="0" distB="0" distL="114300" distR="114300" simplePos="0" relativeHeight="251695104" behindDoc="0" locked="1" layoutInCell="1" allowOverlap="1" wp14:anchorId="6A7AEADA" wp14:editId="79E0B8DD">
              <wp:simplePos x="0" y="0"/>
              <wp:positionH relativeFrom="page">
                <wp:posOffset>0</wp:posOffset>
              </wp:positionH>
              <wp:positionV relativeFrom="page">
                <wp:posOffset>0</wp:posOffset>
              </wp:positionV>
              <wp:extent cx="7559675" cy="1216660"/>
              <wp:effectExtent l="0" t="0" r="0" b="2540"/>
              <wp:wrapTopAndBottom/>
              <wp:docPr id="56" name="Text Box 56" descr="Australian Government Department of the Prime Minister and Cabin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1216660"/>
                      </a:xfrm>
                      <a:prstGeom prst="rect">
                        <a:avLst/>
                      </a:prstGeom>
                      <a:noFill/>
                      <a:ln w="9525">
                        <a:noFill/>
                        <a:miter lim="800000"/>
                        <a:headEnd/>
                        <a:tailEnd/>
                      </a:ln>
                    </wps:spPr>
                    <wps:txbx>
                      <w:txbxContent>
                        <w:p w14:paraId="45BBEBBA" w14:textId="2FB30642" w:rsidR="00C86AD9" w:rsidRPr="00C91A83" w:rsidRDefault="00C86AD9" w:rsidP="00EC68DB">
                          <w:pPr>
                            <w:pStyle w:val="SectionNameRev"/>
                          </w:pPr>
                        </w:p>
                      </w:txbxContent>
                    </wps:txbx>
                    <wps:bodyPr rot="0" vert="horz" wrap="square" lIns="0" tIns="108000" rIns="540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A7AEADA" id="_x0000_t202" coordsize="21600,21600" o:spt="202" path="m,l,21600r21600,l21600,xe">
              <v:stroke joinstyle="miter"/>
              <v:path gradientshapeok="t" o:connecttype="rect"/>
            </v:shapetype>
            <v:shape id="Text Box 56" o:spid="_x0000_s1027" type="#_x0000_t202" alt="Australian Government Department of the Prime Minister and Cabinet" style="position:absolute;margin-left:0;margin-top:0;width:595.25pt;height:95.8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" filled="f" stroked="f">
              <v:textbox inset="0,3mm,15mm,0">
                <w:txbxContent>
                  <w:p w14:paraId="45BBEBBA" w14:textId="2FB30642" w:rsidR="00C86AD9" w:rsidRPr="00C91A83" w:rsidRDefault="00C86AD9" w:rsidP="00EC68DB">
                    <w:pPr>
                      <w:pStyle w:val="SectionNameRev"/>
                    </w:pPr>
                  </w:p>
                </w:txbxContent>
              </v:textbox>
              <w10:wrap type="topAndBottom" anchorx="page" anchory="page"/>
              <w10:anchorlock/>
            </v:shape>
          </w:pict>
        </mc:Fallback>
      </mc:AlternateContent>
    </w:r>
    <w:r w:rsidR="00C86AD9">
      <w:rPr>
        <w:rFonts w:asciiTheme="minorHAnsi" w:hAnsiTheme="minorHAnsi"/>
        <w:b w:val="0"/>
        <w:caps/>
        <w:noProof/>
        <w:color w:val="191919" w:themeColor="text1" w:themeTint="E6"/>
        <w:lang w:eastAsia="en-AU"/>
      </w:rPr>
      <mc:AlternateContent>
        <mc:Choice Requires="wps">
          <w:drawing>
            <wp:anchor distT="0" distB="0" distL="114300" distR="114300" simplePos="0" relativeHeight="251694080" behindDoc="1" locked="0" layoutInCell="1" allowOverlap="1" wp14:anchorId="30677E97" wp14:editId="1649DD32">
              <wp:simplePos x="0" y="0"/>
              <wp:positionH relativeFrom="page">
                <wp:posOffset>108585</wp:posOffset>
              </wp:positionH>
              <wp:positionV relativeFrom="page">
                <wp:posOffset>108585</wp:posOffset>
              </wp:positionV>
              <wp:extent cx="7344000" cy="1123200"/>
              <wp:effectExtent l="0" t="0" r="0" b="1270"/>
              <wp:wrapTopAndBottom/>
              <wp:docPr id="36" name="Rectangle 36"/>
              <wp:cNvGraphicFramePr/>
              <a:graphic xmlns:a="http://schemas.openxmlformats.org/drawingml/2006/main">
                <a:graphicData uri="http://schemas.microsoft.com/office/word/2010/wordprocessingShape">
                  <wps:wsp>
                    <wps:cNvSpPr/>
                    <wps:spPr>
                      <a:xfrm>
                        <a:off x="0" y="0"/>
                        <a:ext cx="7344000" cy="1123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0039F" id="Rectangle 36" o:spid="_x0000_s1026" style="position:absolute;margin-left:8.55pt;margin-top:8.55pt;width:578.25pt;height:88.4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" filled="f" stroked="f" strokeweight="1pt">
              <w10:wrap type="topAndBottom"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754028"/>
    <w:multiLevelType w:val="hybridMultilevel"/>
    <w:tmpl w:val="FB323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8247EE"/>
    <w:multiLevelType w:val="hybridMultilevel"/>
    <w:tmpl w:val="83FE19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6" w15:restartNumberingAfterBreak="0">
    <w:nsid w:val="3FD45B3E"/>
    <w:multiLevelType w:val="multilevel"/>
    <w:tmpl w:val="9338399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8"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9" w15:restartNumberingAfterBreak="0">
    <w:nsid w:val="608F21F8"/>
    <w:multiLevelType w:val="multilevel"/>
    <w:tmpl w:val="326A59DC"/>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0" w15:restartNumberingAfterBreak="0">
    <w:nsid w:val="665F0A32"/>
    <w:multiLevelType w:val="hybridMultilevel"/>
    <w:tmpl w:val="AAE49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000CE7"/>
    <w:multiLevelType w:val="hybridMultilevel"/>
    <w:tmpl w:val="53067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2EF1E09"/>
    <w:multiLevelType w:val="multilevel"/>
    <w:tmpl w:val="3E04AE2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3"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15" w15:restartNumberingAfterBreak="0">
    <w:nsid w:val="7CE53A8F"/>
    <w:multiLevelType w:val="hybridMultilevel"/>
    <w:tmpl w:val="61F45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13"/>
  </w:num>
  <w:num w:numId="5">
    <w:abstractNumId w:val="9"/>
  </w:num>
  <w:num w:numId="6">
    <w:abstractNumId w:val="8"/>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5"/>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5"/>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5"/>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5"/>
    <w:lvlOverride w:ilvl="0">
      <w:startOverride w:val="1"/>
      <w:lvl w:ilvl="0">
        <w:start w:val="1"/>
        <w:numFmt w:val="decimal"/>
        <w:pStyle w:val="TableNumbering"/>
        <w:lvlText w:val="%1."/>
        <w:lvlJc w:val="left"/>
        <w:pPr>
          <w:ind w:left="397" w:hanging="397"/>
        </w:pPr>
        <w:rPr>
          <w:rFonts w:hint="default"/>
          <w:color w:val="A9111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9"/>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9"/>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5"/>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5"/>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1"/>
  </w:num>
  <w:num w:numId="18">
    <w:abstractNumId w:val="1"/>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7"/>
  </w:num>
  <w:num w:numId="20">
    <w:abstractNumId w:val="14"/>
  </w:num>
  <w:num w:numId="21">
    <w:abstractNumId w:val="0"/>
  </w:num>
  <w:num w:numId="22">
    <w:abstractNumId w:val="12"/>
  </w:num>
  <w:num w:numId="23">
    <w:abstractNumId w:val="12"/>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5"/>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5"/>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5"/>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abstractNumId w:val="3"/>
  </w:num>
  <w:num w:numId="28">
    <w:abstractNumId w:val="15"/>
  </w:num>
  <w:num w:numId="29">
    <w:abstractNumId w:val="6"/>
  </w:num>
  <w:num w:numId="30">
    <w:abstractNumId w:val="4"/>
  </w:num>
  <w:num w:numId="31">
    <w:abstractNumId w:val="11"/>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removePersonalInformation/>
  <w:removeDateAndTim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696"/>
    <w:rsid w:val="00002F73"/>
    <w:rsid w:val="00007EB1"/>
    <w:rsid w:val="00014206"/>
    <w:rsid w:val="000230F3"/>
    <w:rsid w:val="00023AC4"/>
    <w:rsid w:val="000304B2"/>
    <w:rsid w:val="00031B5C"/>
    <w:rsid w:val="00034FEC"/>
    <w:rsid w:val="0004082F"/>
    <w:rsid w:val="00042E89"/>
    <w:rsid w:val="00044BF9"/>
    <w:rsid w:val="000503A6"/>
    <w:rsid w:val="00053CD9"/>
    <w:rsid w:val="00057B46"/>
    <w:rsid w:val="00063034"/>
    <w:rsid w:val="00073D52"/>
    <w:rsid w:val="00076AD1"/>
    <w:rsid w:val="000803CA"/>
    <w:rsid w:val="00091BCD"/>
    <w:rsid w:val="0009265A"/>
    <w:rsid w:val="00094B02"/>
    <w:rsid w:val="00095BF3"/>
    <w:rsid w:val="000A041E"/>
    <w:rsid w:val="000A08CA"/>
    <w:rsid w:val="000A0E4C"/>
    <w:rsid w:val="000D106A"/>
    <w:rsid w:val="000D113F"/>
    <w:rsid w:val="000E351D"/>
    <w:rsid w:val="000E60F7"/>
    <w:rsid w:val="000F1B86"/>
    <w:rsid w:val="000F23B0"/>
    <w:rsid w:val="000F5917"/>
    <w:rsid w:val="001007B9"/>
    <w:rsid w:val="00105ECB"/>
    <w:rsid w:val="00131315"/>
    <w:rsid w:val="00132268"/>
    <w:rsid w:val="001336CF"/>
    <w:rsid w:val="0015537B"/>
    <w:rsid w:val="001727AF"/>
    <w:rsid w:val="00176EA5"/>
    <w:rsid w:val="00177611"/>
    <w:rsid w:val="0017798C"/>
    <w:rsid w:val="001809C6"/>
    <w:rsid w:val="001850CB"/>
    <w:rsid w:val="001953CF"/>
    <w:rsid w:val="00195BA8"/>
    <w:rsid w:val="001A1957"/>
    <w:rsid w:val="001A2F86"/>
    <w:rsid w:val="001B0144"/>
    <w:rsid w:val="001B10ED"/>
    <w:rsid w:val="001B3CA0"/>
    <w:rsid w:val="001C2FC8"/>
    <w:rsid w:val="001D283B"/>
    <w:rsid w:val="001E11E3"/>
    <w:rsid w:val="001E4245"/>
    <w:rsid w:val="001F3722"/>
    <w:rsid w:val="001F738E"/>
    <w:rsid w:val="0020007C"/>
    <w:rsid w:val="0021247A"/>
    <w:rsid w:val="002229A5"/>
    <w:rsid w:val="002317BD"/>
    <w:rsid w:val="00231B22"/>
    <w:rsid w:val="00237365"/>
    <w:rsid w:val="00250BE6"/>
    <w:rsid w:val="00252F38"/>
    <w:rsid w:val="00260C56"/>
    <w:rsid w:val="00271572"/>
    <w:rsid w:val="00277016"/>
    <w:rsid w:val="0027769C"/>
    <w:rsid w:val="00281E3E"/>
    <w:rsid w:val="00284710"/>
    <w:rsid w:val="00294D1D"/>
    <w:rsid w:val="002955DD"/>
    <w:rsid w:val="002A0289"/>
    <w:rsid w:val="002A371E"/>
    <w:rsid w:val="002B4B0A"/>
    <w:rsid w:val="002C0866"/>
    <w:rsid w:val="002C2696"/>
    <w:rsid w:val="002C5F5B"/>
    <w:rsid w:val="002C777D"/>
    <w:rsid w:val="002D40B1"/>
    <w:rsid w:val="002D45CD"/>
    <w:rsid w:val="002D75F9"/>
    <w:rsid w:val="002E07AC"/>
    <w:rsid w:val="002E6AA1"/>
    <w:rsid w:val="002F57C6"/>
    <w:rsid w:val="00307A69"/>
    <w:rsid w:val="00312E4A"/>
    <w:rsid w:val="0031546F"/>
    <w:rsid w:val="00316B0D"/>
    <w:rsid w:val="003300DB"/>
    <w:rsid w:val="0033088D"/>
    <w:rsid w:val="00335425"/>
    <w:rsid w:val="003371F0"/>
    <w:rsid w:val="00345B55"/>
    <w:rsid w:val="003500C6"/>
    <w:rsid w:val="00363AE5"/>
    <w:rsid w:val="003848EF"/>
    <w:rsid w:val="00385B65"/>
    <w:rsid w:val="00391929"/>
    <w:rsid w:val="003A3E57"/>
    <w:rsid w:val="003C6961"/>
    <w:rsid w:val="003D21A3"/>
    <w:rsid w:val="003D33F7"/>
    <w:rsid w:val="003E6B8B"/>
    <w:rsid w:val="003F017E"/>
    <w:rsid w:val="003F17BC"/>
    <w:rsid w:val="003F1A1E"/>
    <w:rsid w:val="003F5F4B"/>
    <w:rsid w:val="003F7E70"/>
    <w:rsid w:val="004163FA"/>
    <w:rsid w:val="00423E92"/>
    <w:rsid w:val="004257F1"/>
    <w:rsid w:val="004366AE"/>
    <w:rsid w:val="0044371A"/>
    <w:rsid w:val="00454696"/>
    <w:rsid w:val="004616FF"/>
    <w:rsid w:val="004759ED"/>
    <w:rsid w:val="004945F7"/>
    <w:rsid w:val="004957BB"/>
    <w:rsid w:val="00497F14"/>
    <w:rsid w:val="004A086E"/>
    <w:rsid w:val="004B2CB0"/>
    <w:rsid w:val="004B7B8B"/>
    <w:rsid w:val="004C18F6"/>
    <w:rsid w:val="004C6518"/>
    <w:rsid w:val="004D0B40"/>
    <w:rsid w:val="004D24EB"/>
    <w:rsid w:val="004D688C"/>
    <w:rsid w:val="004E58AE"/>
    <w:rsid w:val="004F73E8"/>
    <w:rsid w:val="00523958"/>
    <w:rsid w:val="0053301E"/>
    <w:rsid w:val="005400C8"/>
    <w:rsid w:val="00543E44"/>
    <w:rsid w:val="00543FDE"/>
    <w:rsid w:val="00552F1C"/>
    <w:rsid w:val="00562166"/>
    <w:rsid w:val="00574F28"/>
    <w:rsid w:val="0058793B"/>
    <w:rsid w:val="005A0DE7"/>
    <w:rsid w:val="005A355D"/>
    <w:rsid w:val="005B210C"/>
    <w:rsid w:val="005B241C"/>
    <w:rsid w:val="005B27D0"/>
    <w:rsid w:val="005C7655"/>
    <w:rsid w:val="005C7C79"/>
    <w:rsid w:val="005D2D7A"/>
    <w:rsid w:val="005F3D48"/>
    <w:rsid w:val="005F79CC"/>
    <w:rsid w:val="00603EA6"/>
    <w:rsid w:val="00603FC1"/>
    <w:rsid w:val="0061381E"/>
    <w:rsid w:val="006159CC"/>
    <w:rsid w:val="006173D0"/>
    <w:rsid w:val="006201D7"/>
    <w:rsid w:val="006208C6"/>
    <w:rsid w:val="00621E8C"/>
    <w:rsid w:val="006267BF"/>
    <w:rsid w:val="00626CA4"/>
    <w:rsid w:val="0062796C"/>
    <w:rsid w:val="006427AA"/>
    <w:rsid w:val="006429D7"/>
    <w:rsid w:val="006454DC"/>
    <w:rsid w:val="00657D2D"/>
    <w:rsid w:val="00663EAD"/>
    <w:rsid w:val="006719C9"/>
    <w:rsid w:val="00675B34"/>
    <w:rsid w:val="00682080"/>
    <w:rsid w:val="00684ABF"/>
    <w:rsid w:val="00685BF1"/>
    <w:rsid w:val="00692AE7"/>
    <w:rsid w:val="00697F67"/>
    <w:rsid w:val="006A131D"/>
    <w:rsid w:val="006A2795"/>
    <w:rsid w:val="006A39D8"/>
    <w:rsid w:val="006A72D0"/>
    <w:rsid w:val="006B0488"/>
    <w:rsid w:val="006B089B"/>
    <w:rsid w:val="006B3301"/>
    <w:rsid w:val="006B56FC"/>
    <w:rsid w:val="006C0869"/>
    <w:rsid w:val="006C7B63"/>
    <w:rsid w:val="006E086B"/>
    <w:rsid w:val="006E2EA3"/>
    <w:rsid w:val="006E350F"/>
    <w:rsid w:val="006E70FF"/>
    <w:rsid w:val="00711110"/>
    <w:rsid w:val="00714E79"/>
    <w:rsid w:val="007239F8"/>
    <w:rsid w:val="00753B4D"/>
    <w:rsid w:val="00754949"/>
    <w:rsid w:val="007660B9"/>
    <w:rsid w:val="00780AC4"/>
    <w:rsid w:val="00781797"/>
    <w:rsid w:val="007836C4"/>
    <w:rsid w:val="007956C4"/>
    <w:rsid w:val="007A27C5"/>
    <w:rsid w:val="007A52E1"/>
    <w:rsid w:val="007A5D24"/>
    <w:rsid w:val="007A6FC6"/>
    <w:rsid w:val="007C3F60"/>
    <w:rsid w:val="007D680C"/>
    <w:rsid w:val="007F7FED"/>
    <w:rsid w:val="008051C4"/>
    <w:rsid w:val="00805B42"/>
    <w:rsid w:val="00806393"/>
    <w:rsid w:val="0081512D"/>
    <w:rsid w:val="00817B50"/>
    <w:rsid w:val="00820E0F"/>
    <w:rsid w:val="00825410"/>
    <w:rsid w:val="008275B9"/>
    <w:rsid w:val="0083261D"/>
    <w:rsid w:val="00832D89"/>
    <w:rsid w:val="0083503B"/>
    <w:rsid w:val="00840865"/>
    <w:rsid w:val="00841D41"/>
    <w:rsid w:val="008436AB"/>
    <w:rsid w:val="00844739"/>
    <w:rsid w:val="0084486B"/>
    <w:rsid w:val="0086151D"/>
    <w:rsid w:val="00864C25"/>
    <w:rsid w:val="0086672B"/>
    <w:rsid w:val="008668C0"/>
    <w:rsid w:val="008678C1"/>
    <w:rsid w:val="00873DED"/>
    <w:rsid w:val="00877425"/>
    <w:rsid w:val="008777F4"/>
    <w:rsid w:val="00880786"/>
    <w:rsid w:val="008A6759"/>
    <w:rsid w:val="008B493F"/>
    <w:rsid w:val="008C115E"/>
    <w:rsid w:val="008D0504"/>
    <w:rsid w:val="008D1256"/>
    <w:rsid w:val="008D275A"/>
    <w:rsid w:val="008E109E"/>
    <w:rsid w:val="008E66E6"/>
    <w:rsid w:val="008F112A"/>
    <w:rsid w:val="00900D4B"/>
    <w:rsid w:val="00902CAC"/>
    <w:rsid w:val="009036CA"/>
    <w:rsid w:val="00917F95"/>
    <w:rsid w:val="00923EDF"/>
    <w:rsid w:val="00935AD4"/>
    <w:rsid w:val="00937CE1"/>
    <w:rsid w:val="0094513B"/>
    <w:rsid w:val="0094688C"/>
    <w:rsid w:val="00963FB3"/>
    <w:rsid w:val="00973090"/>
    <w:rsid w:val="0099436F"/>
    <w:rsid w:val="009959E0"/>
    <w:rsid w:val="00996BEA"/>
    <w:rsid w:val="009A33FB"/>
    <w:rsid w:val="009A5056"/>
    <w:rsid w:val="009B1A44"/>
    <w:rsid w:val="009B300F"/>
    <w:rsid w:val="009B3CCA"/>
    <w:rsid w:val="009B4379"/>
    <w:rsid w:val="009D161E"/>
    <w:rsid w:val="009D498B"/>
    <w:rsid w:val="009F751D"/>
    <w:rsid w:val="00A00EF2"/>
    <w:rsid w:val="00A069F9"/>
    <w:rsid w:val="00A07F0E"/>
    <w:rsid w:val="00A10AC2"/>
    <w:rsid w:val="00A173EC"/>
    <w:rsid w:val="00A17F9A"/>
    <w:rsid w:val="00A244E6"/>
    <w:rsid w:val="00A3076D"/>
    <w:rsid w:val="00A346CA"/>
    <w:rsid w:val="00A477A0"/>
    <w:rsid w:val="00A47C07"/>
    <w:rsid w:val="00A50BDE"/>
    <w:rsid w:val="00A61711"/>
    <w:rsid w:val="00A62F19"/>
    <w:rsid w:val="00A63A3E"/>
    <w:rsid w:val="00A66C34"/>
    <w:rsid w:val="00A73CFD"/>
    <w:rsid w:val="00A77E87"/>
    <w:rsid w:val="00A80863"/>
    <w:rsid w:val="00A81616"/>
    <w:rsid w:val="00A8365E"/>
    <w:rsid w:val="00A9488D"/>
    <w:rsid w:val="00A94E35"/>
    <w:rsid w:val="00A95355"/>
    <w:rsid w:val="00AB350C"/>
    <w:rsid w:val="00AB3C78"/>
    <w:rsid w:val="00AC1AA3"/>
    <w:rsid w:val="00AC4EB2"/>
    <w:rsid w:val="00AD0F94"/>
    <w:rsid w:val="00AE0E38"/>
    <w:rsid w:val="00AE11C4"/>
    <w:rsid w:val="00AE297B"/>
    <w:rsid w:val="00AE58D5"/>
    <w:rsid w:val="00AE6686"/>
    <w:rsid w:val="00AF7794"/>
    <w:rsid w:val="00B06546"/>
    <w:rsid w:val="00B13055"/>
    <w:rsid w:val="00B24D0A"/>
    <w:rsid w:val="00B3317D"/>
    <w:rsid w:val="00B36583"/>
    <w:rsid w:val="00B37705"/>
    <w:rsid w:val="00B455C1"/>
    <w:rsid w:val="00B53058"/>
    <w:rsid w:val="00B87E45"/>
    <w:rsid w:val="00B95533"/>
    <w:rsid w:val="00BB0F68"/>
    <w:rsid w:val="00BB1FFF"/>
    <w:rsid w:val="00BB2567"/>
    <w:rsid w:val="00BC24CA"/>
    <w:rsid w:val="00BD113A"/>
    <w:rsid w:val="00BD2B9F"/>
    <w:rsid w:val="00BD3DA8"/>
    <w:rsid w:val="00BD45D5"/>
    <w:rsid w:val="00BE193C"/>
    <w:rsid w:val="00BE64F3"/>
    <w:rsid w:val="00C00697"/>
    <w:rsid w:val="00C0095A"/>
    <w:rsid w:val="00C13A34"/>
    <w:rsid w:val="00C464A7"/>
    <w:rsid w:val="00C51C42"/>
    <w:rsid w:val="00C52329"/>
    <w:rsid w:val="00C57F4E"/>
    <w:rsid w:val="00C66A73"/>
    <w:rsid w:val="00C67AA6"/>
    <w:rsid w:val="00C80CAE"/>
    <w:rsid w:val="00C86AD9"/>
    <w:rsid w:val="00C86F22"/>
    <w:rsid w:val="00C91A83"/>
    <w:rsid w:val="00C9650F"/>
    <w:rsid w:val="00C9741E"/>
    <w:rsid w:val="00CA33C7"/>
    <w:rsid w:val="00CB2C58"/>
    <w:rsid w:val="00CB38A3"/>
    <w:rsid w:val="00CB3B70"/>
    <w:rsid w:val="00CC1475"/>
    <w:rsid w:val="00CC6B7E"/>
    <w:rsid w:val="00CD730D"/>
    <w:rsid w:val="00CE1635"/>
    <w:rsid w:val="00CF0D33"/>
    <w:rsid w:val="00CF7819"/>
    <w:rsid w:val="00D171A8"/>
    <w:rsid w:val="00D4602A"/>
    <w:rsid w:val="00D4643A"/>
    <w:rsid w:val="00D46EB7"/>
    <w:rsid w:val="00D52159"/>
    <w:rsid w:val="00D54CE5"/>
    <w:rsid w:val="00D55E22"/>
    <w:rsid w:val="00D611A9"/>
    <w:rsid w:val="00D621F3"/>
    <w:rsid w:val="00D9012E"/>
    <w:rsid w:val="00D90897"/>
    <w:rsid w:val="00D93BE5"/>
    <w:rsid w:val="00DA3036"/>
    <w:rsid w:val="00DB015B"/>
    <w:rsid w:val="00DB35E7"/>
    <w:rsid w:val="00DB5E67"/>
    <w:rsid w:val="00DB6F16"/>
    <w:rsid w:val="00DC3380"/>
    <w:rsid w:val="00DD6C35"/>
    <w:rsid w:val="00DE193D"/>
    <w:rsid w:val="00DE710F"/>
    <w:rsid w:val="00DE7EED"/>
    <w:rsid w:val="00E02E5D"/>
    <w:rsid w:val="00E14B90"/>
    <w:rsid w:val="00E23B18"/>
    <w:rsid w:val="00E401B3"/>
    <w:rsid w:val="00E46F31"/>
    <w:rsid w:val="00E50185"/>
    <w:rsid w:val="00E578B7"/>
    <w:rsid w:val="00E63231"/>
    <w:rsid w:val="00E7329A"/>
    <w:rsid w:val="00E73F85"/>
    <w:rsid w:val="00E76451"/>
    <w:rsid w:val="00E8016F"/>
    <w:rsid w:val="00E80E52"/>
    <w:rsid w:val="00E816CE"/>
    <w:rsid w:val="00E90FB5"/>
    <w:rsid w:val="00EA0688"/>
    <w:rsid w:val="00EB25EA"/>
    <w:rsid w:val="00EC0059"/>
    <w:rsid w:val="00EC68DB"/>
    <w:rsid w:val="00EC7D0F"/>
    <w:rsid w:val="00ED0CB2"/>
    <w:rsid w:val="00ED334F"/>
    <w:rsid w:val="00EE08F2"/>
    <w:rsid w:val="00EE1DD7"/>
    <w:rsid w:val="00EF125F"/>
    <w:rsid w:val="00EF2497"/>
    <w:rsid w:val="00EF38A6"/>
    <w:rsid w:val="00F017E0"/>
    <w:rsid w:val="00F03B20"/>
    <w:rsid w:val="00F065A0"/>
    <w:rsid w:val="00F21C70"/>
    <w:rsid w:val="00F27CBE"/>
    <w:rsid w:val="00F4121E"/>
    <w:rsid w:val="00F4212B"/>
    <w:rsid w:val="00F46D66"/>
    <w:rsid w:val="00F4704F"/>
    <w:rsid w:val="00F651C4"/>
    <w:rsid w:val="00F7682E"/>
    <w:rsid w:val="00F92C57"/>
    <w:rsid w:val="00F9344F"/>
    <w:rsid w:val="00FB20C4"/>
    <w:rsid w:val="00FB3C96"/>
    <w:rsid w:val="00FB60EF"/>
    <w:rsid w:val="00FC0A4A"/>
    <w:rsid w:val="00FC3D4F"/>
    <w:rsid w:val="00FC5756"/>
    <w:rsid w:val="00FD659E"/>
    <w:rsid w:val="00FE6A0D"/>
    <w:rsid w:val="00FE7253"/>
    <w:rsid w:val="00FF6000"/>
    <w:rsid w:val="00FF6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1657FB"/>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BD2B9F"/>
    <w:pPr>
      <w:keepNext/>
      <w:keepLines/>
      <w:outlineLvl w:val="0"/>
    </w:pPr>
    <w:rPr>
      <w:rFonts w:asciiTheme="majorHAnsi" w:hAnsiTheme="majorHAnsi"/>
      <w:b/>
      <w:color w:val="014463" w:themeColor="text2"/>
      <w:sz w:val="60"/>
      <w:szCs w:val="60"/>
    </w:rPr>
  </w:style>
  <w:style w:type="paragraph" w:styleId="Heading2">
    <w:name w:val="heading 2"/>
    <w:basedOn w:val="Normal"/>
    <w:next w:val="BodyText"/>
    <w:link w:val="Heading2Char"/>
    <w:uiPriority w:val="9"/>
    <w:unhideWhenUsed/>
    <w:qFormat/>
    <w:rsid w:val="0020007C"/>
    <w:pPr>
      <w:keepNext/>
      <w:keepLines/>
      <w:spacing w:before="480" w:after="240"/>
      <w:outlineLvl w:val="1"/>
    </w:pPr>
    <w:rPr>
      <w:rFonts w:asciiTheme="majorHAnsi" w:eastAsiaTheme="majorEastAsia" w:hAnsiTheme="majorHAnsi" w:cstheme="majorBidi"/>
      <w:b/>
      <w:color w:val="014463" w:themeColor="text2"/>
      <w:sz w:val="40"/>
      <w:szCs w:val="40"/>
    </w:rPr>
  </w:style>
  <w:style w:type="paragraph" w:styleId="Heading3">
    <w:name w:val="heading 3"/>
    <w:basedOn w:val="Normal"/>
    <w:next w:val="BodyText"/>
    <w:link w:val="Heading3Char"/>
    <w:uiPriority w:val="9"/>
    <w:unhideWhenUsed/>
    <w:qFormat/>
    <w:rsid w:val="0020007C"/>
    <w:pPr>
      <w:keepNext/>
      <w:keepLines/>
      <w:spacing w:before="240" w:after="160" w:line="240" w:lineRule="auto"/>
      <w:outlineLvl w:val="2"/>
    </w:pPr>
    <w:rPr>
      <w:rFonts w:asciiTheme="majorHAnsi" w:eastAsiaTheme="majorEastAsia" w:hAnsiTheme="majorHAnsi" w:cstheme="majorBidi"/>
      <w:color w:val="014463" w:themeColor="text2"/>
      <w:sz w:val="30"/>
      <w:szCs w:val="30"/>
    </w:rPr>
  </w:style>
  <w:style w:type="paragraph" w:styleId="Heading4">
    <w:name w:val="heading 4"/>
    <w:basedOn w:val="BodyText"/>
    <w:next w:val="BodyText"/>
    <w:link w:val="Heading4Char"/>
    <w:uiPriority w:val="9"/>
    <w:qFormat/>
    <w:rsid w:val="0020007C"/>
    <w:pPr>
      <w:spacing w:before="240"/>
      <w:outlineLvl w:val="3"/>
    </w:pPr>
    <w:rPr>
      <w:rFonts w:asciiTheme="majorHAnsi" w:hAnsiTheme="majorHAnsi"/>
      <w:color w:val="014463"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BD2B9F"/>
    <w:rPr>
      <w:rFonts w:asciiTheme="majorHAnsi" w:hAnsiTheme="majorHAnsi"/>
      <w:b/>
      <w:color w:val="014463" w:themeColor="text2"/>
      <w:sz w:val="60"/>
      <w:szCs w:val="60"/>
    </w:rPr>
  </w:style>
  <w:style w:type="table" w:customStyle="1" w:styleId="PMCDefaultTableStyle">
    <w:name w:val="PMC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basedOn w:val="Normal"/>
    <w:uiPriority w:val="34"/>
    <w:semiHidden/>
    <w:qFormat/>
    <w:rsid w:val="00820E0F"/>
    <w:pPr>
      <w:ind w:left="720"/>
      <w:contextualSpacing/>
    </w:pPr>
  </w:style>
  <w:style w:type="paragraph" w:customStyle="1" w:styleId="TableBullet">
    <w:name w:val="Table Bullet"/>
    <w:basedOn w:val="ListParagraph"/>
    <w:uiPriority w:val="11"/>
    <w:qFormat/>
    <w:rsid w:val="00552F1C"/>
    <w:pPr>
      <w:numPr>
        <w:numId w:val="2"/>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20007C"/>
    <w:rPr>
      <w:rFonts w:asciiTheme="majorHAnsi" w:eastAsiaTheme="majorEastAsia" w:hAnsiTheme="majorHAnsi" w:cstheme="majorBidi"/>
      <w:b/>
      <w:color w:val="014463" w:themeColor="text2"/>
      <w:sz w:val="40"/>
      <w:szCs w:val="40"/>
    </w:rPr>
  </w:style>
  <w:style w:type="paragraph" w:customStyle="1" w:styleId="NumberedListlvl1">
    <w:name w:val="Numbered List lvl1"/>
    <w:basedOn w:val="ListParagraph"/>
    <w:uiPriority w:val="9"/>
    <w:qFormat/>
    <w:rsid w:val="00A244E6"/>
    <w:pPr>
      <w:numPr>
        <w:numId w:val="22"/>
      </w:numPr>
      <w:spacing w:after="0"/>
      <w:contextualSpacing w:val="0"/>
    </w:pPr>
  </w:style>
  <w:style w:type="paragraph" w:customStyle="1" w:styleId="BulletedListlvl1">
    <w:name w:val="Bulleted List lvl1"/>
    <w:uiPriority w:val="10"/>
    <w:qFormat/>
    <w:rsid w:val="0086151D"/>
    <w:pPr>
      <w:numPr>
        <w:numId w:val="5"/>
      </w:numPr>
      <w:spacing w:after="0"/>
    </w:pPr>
  </w:style>
  <w:style w:type="paragraph" w:customStyle="1" w:styleId="NumberedListlvl2">
    <w:name w:val="Numbered List lvl2"/>
    <w:basedOn w:val="NumberedListlvl1"/>
    <w:uiPriority w:val="9"/>
    <w:rsid w:val="00E7329A"/>
    <w:pPr>
      <w:numPr>
        <w:ilvl w:val="1"/>
      </w:numPr>
    </w:pPr>
  </w:style>
  <w:style w:type="paragraph" w:styleId="BodyText">
    <w:name w:val="Body Text"/>
    <w:basedOn w:val="Normal"/>
    <w:link w:val="BodyTextChar"/>
    <w:qFormat/>
    <w:rsid w:val="00552F1C"/>
  </w:style>
  <w:style w:type="character" w:customStyle="1" w:styleId="BodyTextChar">
    <w:name w:val="Body Text Char"/>
    <w:basedOn w:val="DefaultParagraphFont"/>
    <w:link w:val="BodyText"/>
    <w:rsid w:val="00552F1C"/>
    <w:rPr>
      <w:color w:val="262626" w:themeColor="text1" w:themeTint="D9"/>
    </w:rPr>
  </w:style>
  <w:style w:type="paragraph" w:customStyle="1" w:styleId="BulletedListlvl2">
    <w:name w:val="Bulleted List lvl2"/>
    <w:basedOn w:val="BulletedListlvl1"/>
    <w:uiPriority w:val="10"/>
    <w:rsid w:val="00E7329A"/>
    <w:pPr>
      <w:numPr>
        <w:ilvl w:val="1"/>
        <w:numId w:val="14"/>
      </w:numPr>
    </w:pPr>
  </w:style>
  <w:style w:type="paragraph" w:customStyle="1" w:styleId="TableBody">
    <w:name w:val="Table Body"/>
    <w:basedOn w:val="Normal"/>
    <w:uiPriority w:val="11"/>
    <w:qFormat/>
    <w:rsid w:val="00552F1C"/>
    <w:pPr>
      <w:spacing w:before="40" w:after="40"/>
    </w:pPr>
    <w:rPr>
      <w:sz w:val="18"/>
    </w:rPr>
  </w:style>
  <w:style w:type="character" w:customStyle="1" w:styleId="Heading3Char">
    <w:name w:val="Heading 3 Char"/>
    <w:basedOn w:val="DefaultParagraphFont"/>
    <w:link w:val="Heading3"/>
    <w:uiPriority w:val="9"/>
    <w:rsid w:val="0020007C"/>
    <w:rPr>
      <w:rFonts w:asciiTheme="majorHAnsi" w:eastAsiaTheme="majorEastAsia" w:hAnsiTheme="majorHAnsi" w:cstheme="majorBidi"/>
      <w:color w:val="014463" w:themeColor="text2"/>
      <w:sz w:val="30"/>
      <w:szCs w:val="30"/>
    </w:rPr>
  </w:style>
  <w:style w:type="paragraph" w:customStyle="1" w:styleId="NumberedListlvl3">
    <w:name w:val="Numbered List lvl3"/>
    <w:basedOn w:val="NumberedListlvl1"/>
    <w:uiPriority w:val="9"/>
    <w:rsid w:val="00A244E6"/>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20007C"/>
    <w:rPr>
      <w:rFonts w:asciiTheme="majorHAnsi" w:hAnsiTheme="majorHAnsi"/>
      <w:color w:val="014463" w:themeColor="text2"/>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semiHidden/>
    <w:rsid w:val="001A1957"/>
    <w:pPr>
      <w:spacing w:after="0" w:line="240" w:lineRule="auto"/>
      <w:jc w:val="center"/>
    </w:pPr>
    <w:rPr>
      <w:rFonts w:asciiTheme="majorHAnsi" w:hAnsiTheme="majorHAnsi"/>
      <w:caps/>
      <w:noProof/>
      <w:color w:val="CD1719"/>
      <w:sz w:val="16"/>
    </w:rPr>
  </w:style>
  <w:style w:type="table" w:customStyle="1" w:styleId="PMCTableStyle2">
    <w:name w:val="PMC Table Style 2"/>
    <w:basedOn w:val="TableNormal"/>
    <w:uiPriority w:val="99"/>
    <w:rsid w:val="00603EA6"/>
    <w:pPr>
      <w:spacing w:before="60" w:after="60"/>
    </w:pPr>
    <w:tblPr>
      <w:tblStyleRowBandSize w:val="1"/>
      <w:tblBorders>
        <w:top w:val="single" w:sz="4" w:space="0" w:color="E4E9EE" w:themeColor="accent1" w:themeTint="1A"/>
        <w:left w:val="single" w:sz="4" w:space="0" w:color="E4E9EE" w:themeColor="accent1" w:themeTint="1A"/>
        <w:bottom w:val="single" w:sz="18" w:space="0" w:color="014463" w:themeColor="text2"/>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014463" w:themeFill="text2"/>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FC0A4A"/>
    <w:pPr>
      <w:ind w:left="567" w:right="567"/>
    </w:pPr>
    <w:rPr>
      <w:rFonts w:asciiTheme="majorHAnsi" w:hAnsiTheme="majorHAnsi"/>
      <w:color w:val="014463" w:themeColor="text2"/>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0E351D"/>
    <w:pPr>
      <w:numPr>
        <w:numId w:val="3"/>
      </w:numPr>
      <w:spacing w:before="40" w:after="40" w:line="240" w:lineRule="auto"/>
      <w:ind w:left="284" w:hanging="284"/>
    </w:pPr>
    <w:rPr>
      <w:sz w:val="18"/>
    </w:rPr>
  </w:style>
  <w:style w:type="paragraph" w:styleId="Caption">
    <w:name w:val="caption"/>
    <w:basedOn w:val="Normal"/>
    <w:next w:val="Normal"/>
    <w:uiPriority w:val="35"/>
    <w:unhideWhenUsed/>
    <w:qFormat/>
    <w:rsid w:val="0020007C"/>
    <w:pPr>
      <w:keepNext/>
      <w:tabs>
        <w:tab w:val="left" w:pos="851"/>
        <w:tab w:val="left" w:pos="1017"/>
      </w:tabs>
      <w:spacing w:before="120"/>
      <w:ind w:left="851" w:hanging="851"/>
    </w:pPr>
    <w:rPr>
      <w:rFonts w:asciiTheme="majorHAnsi" w:hAnsiTheme="majorHAnsi"/>
      <w:b/>
      <w:iCs/>
      <w:color w:val="014463" w:themeColor="text2"/>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20007C"/>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60" w:after="60" w:line="240" w:lineRule="atLeast"/>
      <w:ind w:left="198" w:right="215"/>
    </w:pPr>
    <w:rPr>
      <w:rFonts w:asciiTheme="majorHAnsi" w:eastAsia="Times New Roman" w:hAnsiTheme="majorHAnsi" w:cs="Times New Roman"/>
      <w:b/>
      <w:color w:val="014463" w:themeColor="text2"/>
      <w:sz w:val="24"/>
      <w:szCs w:val="24"/>
      <w:lang w:val="en-US"/>
    </w:rPr>
  </w:style>
  <w:style w:type="paragraph" w:customStyle="1" w:styleId="EmphasisPanelBody">
    <w:name w:val="Emphasis Panel Body"/>
    <w:basedOn w:val="Normal"/>
    <w:uiPriority w:val="11"/>
    <w:qFormat/>
    <w:rsid w:val="00A63A3E"/>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left="198" w:right="215"/>
    </w:pPr>
    <w:rPr>
      <w:rFonts w:eastAsia="Times New Roman" w:cstheme="minorHAnsi"/>
      <w:szCs w:val="22"/>
      <w:lang w:val="en-US"/>
    </w:rPr>
  </w:style>
  <w:style w:type="paragraph" w:customStyle="1" w:styleId="EmphasisPanelBullet">
    <w:name w:val="Emphasis Panel Bullet"/>
    <w:uiPriority w:val="11"/>
    <w:qFormat/>
    <w:rsid w:val="00A63A3E"/>
    <w:pPr>
      <w:keepLines/>
      <w:numPr>
        <w:numId w:val="20"/>
      </w:numPr>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FC0A4A"/>
    <w:rPr>
      <w:rFonts w:asciiTheme="majorHAnsi" w:hAnsiTheme="majorHAnsi"/>
      <w:color w:val="014463" w:themeColor="text2"/>
      <w:sz w:val="24"/>
      <w:szCs w:val="24"/>
    </w:rPr>
  </w:style>
  <w:style w:type="paragraph" w:customStyle="1" w:styleId="BulletedListlvl3">
    <w:name w:val="Bulleted List lvl3"/>
    <w:basedOn w:val="BulletedListlvl2"/>
    <w:uiPriority w:val="10"/>
    <w:rsid w:val="00A244E6"/>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86672B"/>
  </w:style>
  <w:style w:type="character" w:customStyle="1" w:styleId="TitleChar">
    <w:name w:val="Title Char"/>
    <w:basedOn w:val="DefaultParagraphFont"/>
    <w:link w:val="Title"/>
    <w:rsid w:val="0086672B"/>
    <w:rPr>
      <w:rFonts w:asciiTheme="majorHAnsi" w:hAnsiTheme="majorHAnsi"/>
      <w:b/>
      <w:color w:val="014463" w:themeColor="text2"/>
      <w:sz w:val="60"/>
      <w:szCs w:val="60"/>
    </w:rPr>
  </w:style>
  <w:style w:type="paragraph" w:styleId="Subtitle">
    <w:name w:val="Subtitle"/>
    <w:basedOn w:val="Normal"/>
    <w:next w:val="BodyText"/>
    <w:link w:val="SubtitleChar"/>
    <w:uiPriority w:val="1"/>
    <w:qFormat/>
    <w:rsid w:val="004E58AE"/>
    <w:pPr>
      <w:numPr>
        <w:ilvl w:val="1"/>
      </w:numPr>
      <w:spacing w:before="120" w:after="360"/>
    </w:pPr>
    <w:rPr>
      <w:rFonts w:asciiTheme="majorHAnsi" w:eastAsiaTheme="minorEastAsia" w:hAnsiTheme="majorHAnsi"/>
      <w:color w:val="014463" w:themeColor="text2"/>
      <w:spacing w:val="15"/>
      <w:sz w:val="28"/>
      <w:szCs w:val="22"/>
    </w:rPr>
  </w:style>
  <w:style w:type="character" w:customStyle="1" w:styleId="SubtitleChar">
    <w:name w:val="Subtitle Char"/>
    <w:basedOn w:val="DefaultParagraphFont"/>
    <w:link w:val="Subtitle"/>
    <w:uiPriority w:val="1"/>
    <w:rsid w:val="004E58AE"/>
    <w:rPr>
      <w:rFonts w:asciiTheme="majorHAnsi" w:eastAsiaTheme="minorEastAsia" w:hAnsiTheme="majorHAnsi"/>
      <w:color w:val="014463" w:themeColor="text2"/>
      <w:spacing w:val="15"/>
      <w:sz w:val="28"/>
      <w:szCs w:val="22"/>
    </w:rPr>
  </w:style>
  <w:style w:type="paragraph" w:customStyle="1" w:styleId="SectionNameRev">
    <w:name w:val="Section Name Rev"/>
    <w:basedOn w:val="Normal"/>
    <w:uiPriority w:val="11"/>
    <w:semiHidden/>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paragraph" w:customStyle="1" w:styleId="Bullet">
    <w:name w:val="Bullet"/>
    <w:basedOn w:val="Normal"/>
    <w:link w:val="BulletChar"/>
    <w:rsid w:val="001B3CA0"/>
    <w:pPr>
      <w:numPr>
        <w:numId w:val="29"/>
      </w:numPr>
      <w:spacing w:after="160" w:line="259" w:lineRule="auto"/>
    </w:pPr>
    <w:rPr>
      <w:rFonts w:eastAsia="Times New Roman" w:cstheme="minorHAnsi"/>
      <w:iCs/>
      <w:color w:val="auto"/>
      <w:sz w:val="24"/>
      <w:szCs w:val="24"/>
      <w:lang w:eastAsia="en-AU"/>
    </w:rPr>
  </w:style>
  <w:style w:type="character" w:customStyle="1" w:styleId="BulletChar">
    <w:name w:val="Bullet Char"/>
    <w:basedOn w:val="DefaultParagraphFont"/>
    <w:link w:val="Bullet"/>
    <w:rsid w:val="001B3CA0"/>
    <w:rPr>
      <w:rFonts w:eastAsia="Times New Roman" w:cstheme="minorHAnsi"/>
      <w:iCs/>
      <w:color w:val="auto"/>
      <w:sz w:val="24"/>
      <w:szCs w:val="24"/>
      <w:lang w:eastAsia="en-AU"/>
    </w:rPr>
  </w:style>
  <w:style w:type="paragraph" w:customStyle="1" w:styleId="Dash">
    <w:name w:val="Dash"/>
    <w:basedOn w:val="Normal"/>
    <w:rsid w:val="001B3CA0"/>
    <w:pPr>
      <w:numPr>
        <w:ilvl w:val="1"/>
        <w:numId w:val="29"/>
      </w:numPr>
      <w:spacing w:after="160" w:line="259" w:lineRule="auto"/>
    </w:pPr>
    <w:rPr>
      <w:rFonts w:eastAsia="Times New Roman" w:cstheme="minorHAnsi"/>
      <w:iCs/>
      <w:color w:val="auto"/>
      <w:sz w:val="24"/>
      <w:szCs w:val="24"/>
      <w:lang w:eastAsia="en-AU"/>
    </w:rPr>
  </w:style>
  <w:style w:type="paragraph" w:customStyle="1" w:styleId="DoubleDot">
    <w:name w:val="Double Dot"/>
    <w:basedOn w:val="Normal"/>
    <w:rsid w:val="001B3CA0"/>
    <w:pPr>
      <w:numPr>
        <w:ilvl w:val="2"/>
        <w:numId w:val="29"/>
      </w:numPr>
      <w:spacing w:after="160" w:line="259" w:lineRule="auto"/>
    </w:pPr>
    <w:rPr>
      <w:rFonts w:eastAsia="Times New Roman" w:cstheme="minorHAnsi"/>
      <w:iCs/>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pt PMC Corporate">
      <a:dk1>
        <a:srgbClr val="000000"/>
      </a:dk1>
      <a:lt1>
        <a:sysClr val="window" lastClr="FFFFFF"/>
      </a:lt1>
      <a:dk2>
        <a:srgbClr val="014463"/>
      </a:dk2>
      <a:lt2>
        <a:srgbClr val="D1D1D1"/>
      </a:lt2>
      <a:accent1>
        <a:srgbClr val="25303B"/>
      </a:accent1>
      <a:accent2>
        <a:srgbClr val="014463"/>
      </a:accent2>
      <a:accent3>
        <a:srgbClr val="0A6446"/>
      </a:accent3>
      <a:accent4>
        <a:srgbClr val="C85A17"/>
      </a:accent4>
      <a:accent5>
        <a:srgbClr val="F7A600"/>
      </a:accent5>
      <a:accent6>
        <a:srgbClr val="A91117"/>
      </a:accent6>
      <a:hlink>
        <a:srgbClr val="7398C8"/>
      </a:hlink>
      <a:folHlink>
        <a:srgbClr val="7398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ShareHubID xmlns="166541c0-0594-4e6a-9105-c24d4b6de6f7">DOC21-286586</ShareHubID>
    <TaxCatchAll xmlns="166541c0-0594-4e6a-9105-c24d4b6de6f7">
      <Value>18</Value>
      <Value>57</Value>
    </TaxCatchAll>
    <PMCNotes xmlns="166541c0-0594-4e6a-9105-c24d4b6de6f7" xsi:nil="true"/>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Cabinet</TermName>
          <TermId xmlns="http://schemas.microsoft.com/office/infopath/2007/PartnerControls">84cba657-17c1-4642-9e59-a0df180c2be5</TermId>
        </TermInfo>
      </Terms>
    </hc4a8f51d7584793bcee84017ea96cb3>
  </documentManagement>
</p:properties>
</file>

<file path=customXml/item3.xml><?xml version="1.0" encoding="utf-8"?>
<root>
  <Name/>
  <Classification>Choose Classification</Classification>
  <DLM/>
  <SectionName>[Section Name]</SectionName>
  <DH/>
  <Byline/>
</root>
</file>

<file path=customXml/item4.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B4AB1F25-1993-4F5C-B036-8DEA06AC4871}">
  <ds:schemaRefs>
    <ds:schemaRef ds:uri="http://schemas.microsoft.com/sharepoint/v3/contenttype/forms"/>
  </ds:schemaRefs>
</ds:datastoreItem>
</file>

<file path=customXml/itemProps2.xml><?xml version="1.0" encoding="utf-8"?>
<ds:datastoreItem xmlns:ds="http://schemas.openxmlformats.org/officeDocument/2006/customXml" ds:itemID="{1108AAE5-C5F7-4DD6-ADA0-E0C546F7B832}">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166541c0-0594-4e6a-9105-c24d4b6de6f7"/>
    <ds:schemaRef ds:uri="http://schemas.openxmlformats.org/package/2006/metadata/core-properties"/>
    <ds:schemaRef ds:uri="685f9fda-bd71-4433-b331-92feb9553089"/>
    <ds:schemaRef ds:uri="http://www.w3.org/XML/1998/namespace"/>
    <ds:schemaRef ds:uri="http://purl.org/dc/dcmitype/"/>
  </ds:schemaRefs>
</ds:datastoreItem>
</file>

<file path=customXml/itemProps3.xml><?xml version="1.0" encoding="utf-8"?>
<ds:datastoreItem xmlns:ds="http://schemas.openxmlformats.org/officeDocument/2006/customXml" ds:itemID="{F533AE62-A212-4B26-92DA-A3B336E8AE06}">
  <ds:schemaRefs/>
</ds:datastoreItem>
</file>

<file path=customXml/itemProps4.xml><?xml version="1.0" encoding="utf-8"?>
<ds:datastoreItem xmlns:ds="http://schemas.openxmlformats.org/officeDocument/2006/customXml" ds:itemID="{C6E30796-9715-4E9D-B75A-70B71BF13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0CA979-E247-4259-803A-C5D717289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3562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2021-10-20T07:18:00Z</dcterms:created>
  <dcterms:modified xsi:type="dcterms:W3CDTF">2021-10-20T07:18:00Z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Caveat">
    <vt:lpwstr/>
  </property>
  <property fmtid="{D5CDD505-2E9C-101B-9397-08002B2CF9AE}" pid="4" name="ESearchTags">
    <vt:lpwstr>18;#Cabinet|84cba657-17c1-4642-9e59-a0df180c2be5</vt:lpwstr>
  </property>
  <property fmtid="{D5CDD505-2E9C-101B-9397-08002B2CF9AE}" pid="5" name="HPRMSecurityLevel">
    <vt:lpwstr>57;#OFFICIAL|11463c70-78df-4e3b-b0ff-f66cd3cb26ec</vt:lpwstr>
  </property>
  <property fmtid="{D5CDD505-2E9C-101B-9397-08002B2CF9AE}" pid="6" name="PMC.ESearch.TagGeneratedTime">
    <vt:lpwstr>2021-10-20T18:21:43</vt:lpwstr>
  </property>
</Properties>
</file>