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B136F" w14:textId="5E416E41" w:rsidR="00E92551" w:rsidRPr="00F957C6" w:rsidRDefault="00A84031" w:rsidP="00A46B1B">
      <w:pPr>
        <w:pStyle w:val="Title"/>
        <w:spacing w:line="276" w:lineRule="auto"/>
        <w:ind w:left="1134"/>
        <w:contextualSpacing w:val="0"/>
      </w:pPr>
      <w:bookmarkStart w:id="0" w:name="_GoBack"/>
      <w:bookmarkEnd w:id="0"/>
      <w:r>
        <w:rPr>
          <w:sz w:val="90"/>
          <w:szCs w:val="90"/>
          <w:lang w:eastAsia="en-AU"/>
        </w:rPr>
        <w:drawing>
          <wp:anchor distT="0" distB="0" distL="114300" distR="114300" simplePos="0" relativeHeight="251658242" behindDoc="0" locked="0" layoutInCell="1" allowOverlap="1" wp14:anchorId="1C5AA724" wp14:editId="36C9C3B2">
            <wp:simplePos x="0" y="0"/>
            <wp:positionH relativeFrom="column">
              <wp:posOffset>3870252</wp:posOffset>
            </wp:positionH>
            <wp:positionV relativeFrom="paragraph">
              <wp:posOffset>5053148</wp:posOffset>
            </wp:positionV>
            <wp:extent cx="1683944" cy="799362"/>
            <wp:effectExtent l="0" t="0" r="0" b="1270"/>
            <wp:wrapNone/>
            <wp:docPr id="1" name="Picture 1" title="National Achives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944" cy="799362"/>
                    </a:xfrm>
                    <a:prstGeom prst="rect">
                      <a:avLst/>
                    </a:prstGeom>
                  </pic:spPr>
                </pic:pic>
              </a:graphicData>
            </a:graphic>
            <wp14:sizeRelH relativeFrom="margin">
              <wp14:pctWidth>0</wp14:pctWidth>
            </wp14:sizeRelH>
            <wp14:sizeRelV relativeFrom="margin">
              <wp14:pctHeight>0</wp14:pctHeight>
            </wp14:sizeRelV>
          </wp:anchor>
        </w:drawing>
      </w:r>
      <w:r>
        <w:rPr>
          <w:sz w:val="90"/>
          <w:szCs w:val="90"/>
          <w:lang w:eastAsia="en-AU"/>
        </w:rPr>
        <w:drawing>
          <wp:anchor distT="0" distB="0" distL="114300" distR="114300" simplePos="0" relativeHeight="251658241" behindDoc="0" locked="0" layoutInCell="1" allowOverlap="1" wp14:anchorId="49D3FA3A" wp14:editId="46BC27E2">
            <wp:simplePos x="0" y="0"/>
            <wp:positionH relativeFrom="column">
              <wp:posOffset>710358</wp:posOffset>
            </wp:positionH>
            <wp:positionV relativeFrom="paragraph">
              <wp:posOffset>4555673</wp:posOffset>
            </wp:positionV>
            <wp:extent cx="1819746" cy="2200758"/>
            <wp:effectExtent l="0" t="0" r="9525" b="0"/>
            <wp:wrapNone/>
            <wp:docPr id="113" name="Picture 113" title="Department of Prime Minister and Cabinet brand ex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4507" cy="2206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0CA2">
        <w:rPr>
          <w:sz w:val="90"/>
          <w:szCs w:val="90"/>
          <w:lang w:eastAsia="en-AU"/>
        </w:rPr>
        <mc:AlternateContent>
          <mc:Choice Requires="wpg">
            <w:drawing>
              <wp:anchor distT="0" distB="0" distL="114300" distR="114300" simplePos="0" relativeHeight="251658240" behindDoc="1" locked="0" layoutInCell="1" allowOverlap="1" wp14:anchorId="7210BC8C" wp14:editId="73BCC13C">
                <wp:simplePos x="0" y="0"/>
                <wp:positionH relativeFrom="column">
                  <wp:posOffset>-712633</wp:posOffset>
                </wp:positionH>
                <wp:positionV relativeFrom="paragraph">
                  <wp:posOffset>-1915160</wp:posOffset>
                </wp:positionV>
                <wp:extent cx="696871" cy="10813774"/>
                <wp:effectExtent l="0" t="0" r="8255" b="6985"/>
                <wp:wrapNone/>
                <wp:docPr id="9" name="Group 9" descr="Decorative"/>
                <wp:cNvGraphicFramePr/>
                <a:graphic xmlns:a="http://schemas.openxmlformats.org/drawingml/2006/main">
                  <a:graphicData uri="http://schemas.microsoft.com/office/word/2010/wordprocessingGroup">
                    <wpg:wgp>
                      <wpg:cNvGrpSpPr/>
                      <wpg:grpSpPr>
                        <a:xfrm>
                          <a:off x="0" y="0"/>
                          <a:ext cx="696871" cy="10813774"/>
                          <a:chOff x="0" y="0"/>
                          <a:chExt cx="696871" cy="10813774"/>
                        </a:xfrm>
                      </wpg:grpSpPr>
                      <wps:wsp>
                        <wps:cNvPr id="2" name="Rectangle 2" descr="Decorative"/>
                        <wps:cNvSpPr/>
                        <wps:spPr>
                          <a:xfrm>
                            <a:off x="0" y="0"/>
                            <a:ext cx="226060" cy="10813774"/>
                          </a:xfrm>
                          <a:prstGeom prst="rect">
                            <a:avLst/>
                          </a:prstGeom>
                          <a:solidFill>
                            <a:srgbClr val="00A9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descr="Decorative"/>
                        <wps:cNvSpPr/>
                        <wps:spPr>
                          <a:xfrm>
                            <a:off x="226336" y="0"/>
                            <a:ext cx="470535" cy="10813415"/>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7601ACE" id="Group 9" o:spid="_x0000_s1026" alt="Decorative" style="position:absolute;margin-left:-56.1pt;margin-top:-150.8pt;width:54.85pt;height:851.5pt;z-index:-251658240" coordsize="6968,1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">
                <v:rect id="Rectangle 2" o:spid="_x0000_s1027" alt="Decorative" style="position:absolute;width:2260;height:108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" fillcolor="#00a9d1" stroked="f" strokeweight="1pt"/>
                <v:rect id="Rectangle 3" o:spid="_x0000_s1028" alt="Decorative" style="position:absolute;left:2263;width:4705;height:108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1b375c [3204]" stroked="f" strokeweight="1pt"/>
              </v:group>
            </w:pict>
          </mc:Fallback>
        </mc:AlternateContent>
      </w:r>
      <w:r w:rsidR="00050CA2" w:rsidRPr="0091208E">
        <w:rPr>
          <w:sz w:val="84"/>
          <w:szCs w:val="84"/>
        </w:rPr>
        <w:t xml:space="preserve">Review of </w:t>
      </w:r>
      <w:r w:rsidR="0091208E" w:rsidRPr="0091208E">
        <w:rPr>
          <w:sz w:val="84"/>
          <w:szCs w:val="84"/>
        </w:rPr>
        <w:t xml:space="preserve">the transfer of </w:t>
      </w:r>
      <w:r w:rsidR="0091208E">
        <w:rPr>
          <w:sz w:val="84"/>
          <w:szCs w:val="84"/>
        </w:rPr>
        <w:t xml:space="preserve">the </w:t>
      </w:r>
      <w:r w:rsidR="00050CA2" w:rsidRPr="0091208E">
        <w:rPr>
          <w:sz w:val="84"/>
          <w:szCs w:val="84"/>
        </w:rPr>
        <w:t xml:space="preserve">2003 Cabinet records </w:t>
      </w:r>
      <w:r w:rsidR="0091208E" w:rsidRPr="0091208E">
        <w:rPr>
          <w:sz w:val="84"/>
          <w:szCs w:val="84"/>
        </w:rPr>
        <w:t>from PM&amp;C</w:t>
      </w:r>
      <w:r w:rsidR="00050CA2" w:rsidRPr="0091208E">
        <w:rPr>
          <w:sz w:val="84"/>
          <w:szCs w:val="84"/>
        </w:rPr>
        <w:t xml:space="preserve"> to the National Archives of Australia</w:t>
      </w:r>
    </w:p>
    <w:p w14:paraId="7A956C4D" w14:textId="7ED15B6C" w:rsidR="005226B9" w:rsidRDefault="005226B9" w:rsidP="00BC2ABB">
      <w:pPr>
        <w:pStyle w:val="Subtitle"/>
        <w:spacing w:line="360" w:lineRule="auto"/>
        <w:ind w:left="1134"/>
        <w:sectPr w:rsidR="005226B9" w:rsidSect="00050CA2">
          <w:headerReference w:type="even" r:id="rId10"/>
          <w:headerReference w:type="default" r:id="rId11"/>
          <w:footerReference w:type="even" r:id="rId12"/>
          <w:footerReference w:type="default" r:id="rId13"/>
          <w:headerReference w:type="first" r:id="rId14"/>
          <w:footerReference w:type="first" r:id="rId15"/>
          <w:pgSz w:w="11906" w:h="16838"/>
          <w:pgMar w:top="2977" w:right="1134" w:bottom="1701" w:left="1134" w:header="709" w:footer="709" w:gutter="0"/>
          <w:cols w:space="708"/>
          <w:docGrid w:linePitch="360"/>
        </w:sectPr>
      </w:pPr>
    </w:p>
    <w:p w14:paraId="6BBCCDA8" w14:textId="71DCBA39" w:rsidR="00794D7B" w:rsidRPr="00073642" w:rsidRDefault="00794D7B" w:rsidP="00073642">
      <w:pPr>
        <w:pStyle w:val="CopyrightHeading1"/>
        <w:rPr>
          <w:sz w:val="24"/>
        </w:rPr>
      </w:pPr>
      <w:r w:rsidRPr="00073642">
        <w:rPr>
          <w:rStyle w:val="Strong"/>
          <w:b/>
          <w:bCs w:val="0"/>
        </w:rPr>
        <w:lastRenderedPageBreak/>
        <w:t>Copyright Statement</w:t>
      </w:r>
    </w:p>
    <w:p w14:paraId="452A94A0" w14:textId="64D75973"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Style w:val="Strong"/>
          <w:rFonts w:asciiTheme="minorHAnsi" w:eastAsiaTheme="majorEastAsia" w:hAnsiTheme="minorHAnsi" w:cstheme="minorHAnsi"/>
          <w:color w:val="2C2B2B"/>
          <w:sz w:val="18"/>
          <w:szCs w:val="18"/>
        </w:rPr>
        <w:t>Review of the transfer of the 2003 Cabinet records fro</w:t>
      </w:r>
      <w:r w:rsidR="00771FA7" w:rsidRPr="00073642">
        <w:rPr>
          <w:rStyle w:val="Strong"/>
          <w:rFonts w:asciiTheme="minorHAnsi" w:eastAsiaTheme="majorEastAsia" w:hAnsiTheme="minorHAnsi" w:cstheme="minorHAnsi"/>
          <w:color w:val="2C2B2B"/>
          <w:sz w:val="18"/>
          <w:szCs w:val="18"/>
        </w:rPr>
        <w:t xml:space="preserve">m PM&amp;C to the National Archives of Australia </w:t>
      </w:r>
    </w:p>
    <w:p w14:paraId="0D949BDD" w14:textId="77777777"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Fonts w:asciiTheme="minorHAnsi" w:hAnsiTheme="minorHAnsi" w:cstheme="minorHAnsi"/>
          <w:color w:val="2C2B2B"/>
          <w:sz w:val="18"/>
          <w:szCs w:val="18"/>
        </w:rPr>
        <w:t>© Commonwealth of Australia 2023</w:t>
      </w:r>
    </w:p>
    <w:p w14:paraId="192C29AE" w14:textId="77777777"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Fonts w:asciiTheme="minorHAnsi" w:hAnsiTheme="minorHAnsi" w:cstheme="minorHAnsi"/>
          <w:color w:val="2C2B2B"/>
          <w:sz w:val="18"/>
          <w:szCs w:val="18"/>
        </w:rPr>
        <w:t>ISBN 978-1-925365-41-2 (online)</w:t>
      </w:r>
    </w:p>
    <w:p w14:paraId="71D9D87F" w14:textId="77777777" w:rsidR="00073642" w:rsidRDefault="00794D7B" w:rsidP="00073642">
      <w:pPr>
        <w:pStyle w:val="CopyrightHeading2"/>
        <w:spacing w:before="360"/>
        <w:rPr>
          <w:rStyle w:val="Strong"/>
        </w:rPr>
      </w:pPr>
      <w:r w:rsidRPr="00073642">
        <w:rPr>
          <w:rStyle w:val="Strong"/>
        </w:rPr>
        <w:t>Copyright Notice</w:t>
      </w:r>
    </w:p>
    <w:p w14:paraId="7AD47F89" w14:textId="157CDA92" w:rsidR="00794D7B" w:rsidRPr="00073642" w:rsidRDefault="00794D7B" w:rsidP="00073642">
      <w:pPr>
        <w:pStyle w:val="CopyrightHeading2"/>
      </w:pPr>
      <w:r w:rsidRPr="00073642">
        <w:t>With the exception of the Commonwealth Coat of Arms, this work is licensed under a Creative Commons Attribution 4.0 International licence (CC BY 4.0)(</w:t>
      </w:r>
      <w:hyperlink r:id="rId16" w:history="1">
        <w:r w:rsidRPr="00073642">
          <w:rPr>
            <w:rStyle w:val="Hyperlink"/>
            <w:color w:val="1772AF"/>
          </w:rPr>
          <w:t>https://creativecommons.org/licenses/by/4.0/</w:t>
        </w:r>
      </w:hyperlink>
      <w:r w:rsidRPr="00073642">
        <w:t>).</w:t>
      </w:r>
    </w:p>
    <w:p w14:paraId="452D9FCF" w14:textId="77777777"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Fonts w:asciiTheme="minorHAnsi" w:hAnsiTheme="minorHAnsi" w:cstheme="minorHAnsi"/>
          <w:noProof/>
          <w:color w:val="1772AF"/>
          <w:sz w:val="18"/>
          <w:szCs w:val="18"/>
        </w:rPr>
        <w:drawing>
          <wp:inline distT="0" distB="0" distL="0" distR="0" wp14:anchorId="0B4F9141" wp14:editId="06841AB9">
            <wp:extent cx="829945" cy="285115"/>
            <wp:effectExtent l="0" t="0" r="8255" b="635"/>
            <wp:docPr id="5" name="Picture 5" descr="cc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945" cy="285115"/>
                    </a:xfrm>
                    <a:prstGeom prst="rect">
                      <a:avLst/>
                    </a:prstGeom>
                    <a:noFill/>
                    <a:ln>
                      <a:noFill/>
                    </a:ln>
                  </pic:spPr>
                </pic:pic>
              </a:graphicData>
            </a:graphic>
          </wp:inline>
        </w:drawing>
      </w:r>
    </w:p>
    <w:p w14:paraId="10916581" w14:textId="77777777" w:rsidR="00073642" w:rsidRDefault="00794D7B" w:rsidP="00073642">
      <w:pPr>
        <w:pStyle w:val="CopyrightHeading2"/>
        <w:spacing w:before="360"/>
        <w:rPr>
          <w:rStyle w:val="Strong"/>
        </w:rPr>
      </w:pPr>
      <w:r w:rsidRPr="00073642">
        <w:rPr>
          <w:rStyle w:val="Strong"/>
        </w:rPr>
        <w:t>Third party copyright</w:t>
      </w:r>
    </w:p>
    <w:p w14:paraId="1BBABD6A" w14:textId="60F0CA65" w:rsidR="00794D7B" w:rsidRPr="00073642" w:rsidRDefault="00794D7B" w:rsidP="00073642">
      <w:pPr>
        <w:pStyle w:val="CopyrightHeading2"/>
      </w:pPr>
      <w:r w:rsidRPr="00073642">
        <w:t>Wherever a third party holds copyright in this material, the copyright remains with that party.  Their permission may be required to use the material. Please contact them directly.</w:t>
      </w:r>
    </w:p>
    <w:p w14:paraId="493187C7" w14:textId="77777777" w:rsidR="00073642" w:rsidRDefault="00794D7B" w:rsidP="00073642">
      <w:pPr>
        <w:pStyle w:val="CopyrightHeading2"/>
        <w:spacing w:before="360"/>
        <w:rPr>
          <w:rStyle w:val="Strong"/>
        </w:rPr>
      </w:pPr>
      <w:r w:rsidRPr="00073642">
        <w:rPr>
          <w:rStyle w:val="Strong"/>
        </w:rPr>
        <w:t>Attribution</w:t>
      </w:r>
    </w:p>
    <w:p w14:paraId="66014008" w14:textId="6134FF43" w:rsidR="00794D7B" w:rsidRPr="00073642" w:rsidRDefault="00794D7B" w:rsidP="00073642">
      <w:pPr>
        <w:pStyle w:val="CopyrightHeading2"/>
      </w:pPr>
      <w:r w:rsidRPr="00073642">
        <w:t>This publication should be attributed as follows:</w:t>
      </w:r>
    </w:p>
    <w:p w14:paraId="59027069" w14:textId="48341D53"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Fonts w:asciiTheme="minorHAnsi" w:hAnsiTheme="minorHAnsi" w:cstheme="minorHAnsi"/>
          <w:color w:val="2C2B2B"/>
          <w:sz w:val="18"/>
          <w:szCs w:val="18"/>
        </w:rPr>
        <w:t>© Commonwealth of Australia, Department of the Prime Minister and Cabinet,</w:t>
      </w:r>
      <w:r w:rsidRPr="00073642">
        <w:rPr>
          <w:rStyle w:val="Emphasis"/>
          <w:rFonts w:asciiTheme="minorHAnsi" w:eastAsiaTheme="majorEastAsia" w:hAnsiTheme="minorHAnsi" w:cstheme="minorHAnsi"/>
          <w:color w:val="2C2B2B"/>
          <w:sz w:val="18"/>
          <w:szCs w:val="18"/>
        </w:rPr>
        <w:t xml:space="preserve"> </w:t>
      </w:r>
      <w:r w:rsidRPr="00073642">
        <w:rPr>
          <w:rStyle w:val="Emphasis"/>
          <w:rFonts w:asciiTheme="minorHAnsi" w:eastAsiaTheme="majorEastAsia" w:hAnsiTheme="minorHAnsi" w:cstheme="minorHAnsi"/>
          <w:i w:val="0"/>
          <w:color w:val="2C2B2B"/>
          <w:sz w:val="18"/>
          <w:szCs w:val="18"/>
        </w:rPr>
        <w:t>Review of the transfer of th</w:t>
      </w:r>
      <w:r w:rsidR="00771FA7" w:rsidRPr="00073642">
        <w:rPr>
          <w:rStyle w:val="Emphasis"/>
          <w:rFonts w:asciiTheme="minorHAnsi" w:eastAsiaTheme="majorEastAsia" w:hAnsiTheme="minorHAnsi" w:cstheme="minorHAnsi"/>
          <w:i w:val="0"/>
          <w:color w:val="2C2B2B"/>
          <w:sz w:val="18"/>
          <w:szCs w:val="18"/>
        </w:rPr>
        <w:t>e 2003 Cabinet records from PM&amp;C</w:t>
      </w:r>
      <w:r w:rsidRPr="00073642">
        <w:rPr>
          <w:rStyle w:val="Emphasis"/>
          <w:rFonts w:asciiTheme="minorHAnsi" w:eastAsiaTheme="majorEastAsia" w:hAnsiTheme="minorHAnsi" w:cstheme="minorHAnsi"/>
          <w:i w:val="0"/>
          <w:color w:val="2C2B2B"/>
          <w:sz w:val="18"/>
          <w:szCs w:val="18"/>
        </w:rPr>
        <w:t xml:space="preserve"> to the National Archives of Australia </w:t>
      </w:r>
    </w:p>
    <w:p w14:paraId="2625C219" w14:textId="77777777" w:rsidR="00073642" w:rsidRDefault="00794D7B" w:rsidP="00073642">
      <w:pPr>
        <w:pStyle w:val="NormalWeb"/>
        <w:shd w:val="clear" w:color="auto" w:fill="FFFFFF"/>
        <w:spacing w:before="360" w:beforeAutospacing="0" w:after="0" w:afterAutospacing="0"/>
        <w:rPr>
          <w:rStyle w:val="Strong"/>
          <w:rFonts w:asciiTheme="minorHAnsi" w:eastAsiaTheme="majorEastAsia" w:hAnsiTheme="minorHAnsi" w:cstheme="minorHAnsi"/>
          <w:color w:val="2C2B2B"/>
          <w:sz w:val="18"/>
          <w:szCs w:val="18"/>
        </w:rPr>
      </w:pPr>
      <w:r w:rsidRPr="00073642">
        <w:rPr>
          <w:rStyle w:val="Strong"/>
          <w:rFonts w:asciiTheme="minorHAnsi" w:eastAsiaTheme="majorEastAsia" w:hAnsiTheme="minorHAnsi" w:cstheme="minorHAnsi"/>
          <w:color w:val="2C2B2B"/>
          <w:sz w:val="18"/>
          <w:szCs w:val="18"/>
        </w:rPr>
        <w:t>Use of the Coat of Arms</w:t>
      </w:r>
    </w:p>
    <w:p w14:paraId="4D9F4F80" w14:textId="52EB40E7" w:rsidR="00794D7B" w:rsidRPr="00073642" w:rsidRDefault="00794D7B" w:rsidP="00794D7B">
      <w:pPr>
        <w:pStyle w:val="NormalWeb"/>
        <w:shd w:val="clear" w:color="auto" w:fill="FFFFFF"/>
        <w:spacing w:before="150" w:beforeAutospacing="0" w:after="0" w:afterAutospacing="0"/>
        <w:rPr>
          <w:rFonts w:asciiTheme="minorHAnsi" w:hAnsiTheme="minorHAnsi" w:cstheme="minorHAnsi"/>
          <w:color w:val="2C2B2B"/>
          <w:sz w:val="18"/>
          <w:szCs w:val="18"/>
        </w:rPr>
      </w:pPr>
      <w:r w:rsidRPr="00073642">
        <w:rPr>
          <w:rFonts w:asciiTheme="minorHAnsi" w:hAnsiTheme="minorHAnsi" w:cstheme="minorHAnsi"/>
          <w:color w:val="2C2B2B"/>
          <w:sz w:val="18"/>
          <w:szCs w:val="18"/>
        </w:rPr>
        <w:t>The terms under which the Coat of Arms can be used are detailed on the following website:</w:t>
      </w:r>
      <w:r w:rsidRPr="00073642">
        <w:rPr>
          <w:rFonts w:asciiTheme="minorHAnsi" w:hAnsiTheme="minorHAnsi" w:cstheme="minorHAnsi"/>
          <w:color w:val="2C2B2B"/>
          <w:sz w:val="18"/>
          <w:szCs w:val="18"/>
        </w:rPr>
        <w:br/>
      </w:r>
      <w:hyperlink r:id="rId19" w:history="1">
        <w:r w:rsidRPr="00073642">
          <w:rPr>
            <w:rStyle w:val="Hyperlink"/>
            <w:rFonts w:asciiTheme="minorHAnsi" w:eastAsiaTheme="majorEastAsia" w:hAnsiTheme="minorHAnsi" w:cstheme="minorHAnsi"/>
            <w:color w:val="1772AF"/>
            <w:sz w:val="18"/>
            <w:szCs w:val="18"/>
          </w:rPr>
          <w:t>https://pmc.gov.au/cca</w:t>
        </w:r>
      </w:hyperlink>
    </w:p>
    <w:p w14:paraId="37EC7262" w14:textId="77777777" w:rsidR="00073642" w:rsidRDefault="00794D7B" w:rsidP="00073642">
      <w:pPr>
        <w:pStyle w:val="CopyrightHeading2"/>
        <w:spacing w:before="360"/>
        <w:rPr>
          <w:rStyle w:val="Strong"/>
        </w:rPr>
      </w:pPr>
      <w:r w:rsidRPr="00073642">
        <w:rPr>
          <w:rStyle w:val="Strong"/>
        </w:rPr>
        <w:t>Contact us</w:t>
      </w:r>
    </w:p>
    <w:p w14:paraId="368013D9" w14:textId="4FD19FCE" w:rsidR="00794D7B" w:rsidRPr="00073642" w:rsidRDefault="00794D7B" w:rsidP="00073642">
      <w:pPr>
        <w:pStyle w:val="CopyrightHeading2"/>
      </w:pPr>
      <w:r w:rsidRPr="00073642">
        <w:t>Enquiries regarding this document are welcome at:</w:t>
      </w:r>
    </w:p>
    <w:p w14:paraId="6A864345" w14:textId="77777777" w:rsidR="00794D7B" w:rsidRPr="00073642" w:rsidRDefault="00794D7B" w:rsidP="00794D7B">
      <w:pPr>
        <w:pStyle w:val="NormalWeb"/>
        <w:shd w:val="clear" w:color="auto" w:fill="FFFFFF"/>
        <w:spacing w:before="0" w:beforeAutospacing="0" w:after="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 xml:space="preserve">Department of the Prime Minister and Cabinet </w:t>
      </w:r>
    </w:p>
    <w:p w14:paraId="3BCFAD4C" w14:textId="77777777" w:rsidR="00794D7B" w:rsidRPr="00073642" w:rsidRDefault="00794D7B" w:rsidP="00794D7B">
      <w:pPr>
        <w:pStyle w:val="NormalWeb"/>
        <w:shd w:val="clear" w:color="auto" w:fill="FFFFFF"/>
        <w:spacing w:before="0" w:beforeAutospacing="0" w:after="24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 xml:space="preserve">Andrew Fisher Building </w:t>
      </w:r>
    </w:p>
    <w:p w14:paraId="2938006C" w14:textId="77777777" w:rsidR="00794D7B" w:rsidRPr="00073642" w:rsidRDefault="00794D7B" w:rsidP="00794D7B">
      <w:pPr>
        <w:pStyle w:val="NormalWeb"/>
        <w:shd w:val="clear" w:color="auto" w:fill="FFFFFF"/>
        <w:spacing w:before="0" w:beforeAutospacing="0" w:after="24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 xml:space="preserve">PO Box 6500 Canberra ACT 2600 Australia </w:t>
      </w:r>
    </w:p>
    <w:p w14:paraId="6474F178" w14:textId="406BE189" w:rsidR="00794D7B" w:rsidRPr="00073642" w:rsidRDefault="00073642" w:rsidP="00794D7B">
      <w:pPr>
        <w:pStyle w:val="NormalWeb"/>
        <w:shd w:val="clear" w:color="auto" w:fill="FFFFFF"/>
        <w:spacing w:before="0" w:beforeAutospacing="0" w:after="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Internet: www.pmc.gov.au</w:t>
      </w:r>
    </w:p>
    <w:p w14:paraId="7560784F" w14:textId="77777777" w:rsidR="00794D7B" w:rsidRPr="00073642" w:rsidRDefault="00794D7B" w:rsidP="00794D7B">
      <w:pPr>
        <w:pStyle w:val="NormalWeb"/>
        <w:shd w:val="clear" w:color="auto" w:fill="FFFFFF"/>
        <w:spacing w:before="0" w:beforeAutospacing="0" w:after="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Telephone: +61 2 6271 5111 (International)</w:t>
      </w:r>
    </w:p>
    <w:p w14:paraId="10F4683C" w14:textId="77777777" w:rsidR="00794D7B" w:rsidRPr="00073642" w:rsidRDefault="00794D7B" w:rsidP="00794D7B">
      <w:pPr>
        <w:pStyle w:val="NormalWeb"/>
        <w:shd w:val="clear" w:color="auto" w:fill="FFFFFF"/>
        <w:spacing w:before="0" w:beforeAutospacing="0" w:after="0" w:afterAutospacing="0"/>
        <w:rPr>
          <w:rStyle w:val="Emphasis"/>
          <w:rFonts w:asciiTheme="minorHAnsi" w:eastAsiaTheme="majorEastAsia" w:hAnsiTheme="minorHAnsi" w:cstheme="minorHAnsi"/>
          <w:i w:val="0"/>
          <w:color w:val="2C2B2B"/>
          <w:sz w:val="18"/>
          <w:szCs w:val="18"/>
        </w:rPr>
      </w:pPr>
      <w:r w:rsidRPr="00073642">
        <w:rPr>
          <w:rStyle w:val="Emphasis"/>
          <w:rFonts w:asciiTheme="minorHAnsi" w:eastAsiaTheme="majorEastAsia" w:hAnsiTheme="minorHAnsi" w:cstheme="minorHAnsi"/>
          <w:i w:val="0"/>
          <w:color w:val="2C2B2B"/>
          <w:sz w:val="18"/>
          <w:szCs w:val="18"/>
        </w:rPr>
        <w:t xml:space="preserve">Other contact details available on the website. </w:t>
      </w:r>
    </w:p>
    <w:p w14:paraId="5A26E3CB" w14:textId="17DC6E7B" w:rsidR="00472D83" w:rsidRPr="00472D83" w:rsidRDefault="00472D83" w:rsidP="00794D7B">
      <w:pPr>
        <w:pageBreakBefore/>
        <w:spacing w:line="240" w:lineRule="auto"/>
        <w:rPr>
          <w:rFonts w:asciiTheme="majorHAnsi" w:hAnsiTheme="majorHAnsi" w:cstheme="majorHAnsi"/>
          <w:color w:val="002060"/>
          <w:sz w:val="48"/>
          <w:szCs w:val="48"/>
        </w:rPr>
      </w:pPr>
      <w:r w:rsidRPr="00472D83">
        <w:rPr>
          <w:rFonts w:asciiTheme="majorHAnsi" w:hAnsiTheme="majorHAnsi" w:cstheme="majorHAnsi"/>
          <w:color w:val="002060"/>
          <w:sz w:val="48"/>
          <w:szCs w:val="48"/>
        </w:rPr>
        <w:lastRenderedPageBreak/>
        <w:t>Letter to the Secretary and Director-General</w:t>
      </w:r>
    </w:p>
    <w:p w14:paraId="77D1119F" w14:textId="072FB355" w:rsidR="0074493E" w:rsidRPr="00BC2ABB" w:rsidRDefault="00472D83" w:rsidP="00816FB2">
      <w:pPr>
        <w:spacing w:line="240" w:lineRule="auto"/>
        <w:rPr>
          <w:sz w:val="28"/>
          <w:szCs w:val="28"/>
        </w:rPr>
      </w:pPr>
      <w:r>
        <w:rPr>
          <w:sz w:val="28"/>
          <w:szCs w:val="28"/>
        </w:rPr>
        <w:br/>
      </w:r>
      <w:r w:rsidR="0074493E" w:rsidRPr="00BC2ABB">
        <w:rPr>
          <w:sz w:val="28"/>
          <w:szCs w:val="28"/>
        </w:rPr>
        <w:t>Professor Glyn Davis AC</w:t>
      </w:r>
      <w:r w:rsidR="0074493E" w:rsidRPr="00BC2ABB">
        <w:rPr>
          <w:sz w:val="28"/>
          <w:szCs w:val="28"/>
        </w:rPr>
        <w:br/>
        <w:t xml:space="preserve">Secretary, Department of the Prime Minister and Cabinet </w:t>
      </w:r>
    </w:p>
    <w:p w14:paraId="2A9DFECB" w14:textId="744029EA" w:rsidR="0074493E" w:rsidRPr="00BC2ABB" w:rsidRDefault="0074493E" w:rsidP="00816FB2">
      <w:pPr>
        <w:spacing w:line="240" w:lineRule="auto"/>
        <w:rPr>
          <w:sz w:val="28"/>
          <w:szCs w:val="28"/>
        </w:rPr>
      </w:pPr>
      <w:r w:rsidRPr="00BC2ABB">
        <w:rPr>
          <w:sz w:val="28"/>
          <w:szCs w:val="28"/>
        </w:rPr>
        <w:t>Simon Froude</w:t>
      </w:r>
      <w:r w:rsidRPr="00BC2ABB">
        <w:rPr>
          <w:sz w:val="28"/>
          <w:szCs w:val="28"/>
        </w:rPr>
        <w:br/>
        <w:t>Director-General, National Archives of Australia</w:t>
      </w:r>
      <w:r w:rsidR="00816FB2">
        <w:rPr>
          <w:sz w:val="28"/>
          <w:szCs w:val="28"/>
        </w:rPr>
        <w:br/>
      </w:r>
    </w:p>
    <w:p w14:paraId="5B5942BC" w14:textId="093463AF" w:rsidR="00886BA0" w:rsidRPr="00BC2ABB" w:rsidRDefault="00E72D80" w:rsidP="002527A5">
      <w:pPr>
        <w:spacing w:line="240" w:lineRule="auto"/>
        <w:jc w:val="both"/>
        <w:rPr>
          <w:sz w:val="28"/>
          <w:szCs w:val="28"/>
        </w:rPr>
      </w:pPr>
      <w:r w:rsidRPr="00BC2ABB">
        <w:rPr>
          <w:sz w:val="28"/>
          <w:szCs w:val="28"/>
        </w:rPr>
        <w:t>Attached is the r</w:t>
      </w:r>
      <w:r w:rsidR="0074493E" w:rsidRPr="00BC2ABB">
        <w:rPr>
          <w:sz w:val="28"/>
          <w:szCs w:val="28"/>
        </w:rPr>
        <w:t>eview</w:t>
      </w:r>
      <w:r w:rsidRPr="00BC2ABB">
        <w:rPr>
          <w:sz w:val="28"/>
          <w:szCs w:val="28"/>
        </w:rPr>
        <w:t xml:space="preserve"> conducted</w:t>
      </w:r>
      <w:r w:rsidR="0074493E" w:rsidRPr="00BC2ABB">
        <w:rPr>
          <w:sz w:val="28"/>
          <w:szCs w:val="28"/>
        </w:rPr>
        <w:t xml:space="preserve"> into the transfer of 2003 Cabinet records</w:t>
      </w:r>
      <w:r w:rsidRPr="00BC2ABB">
        <w:rPr>
          <w:sz w:val="28"/>
          <w:szCs w:val="28"/>
        </w:rPr>
        <w:t xml:space="preserve"> by the Department of the Prime Minister and Cabinet</w:t>
      </w:r>
      <w:r w:rsidR="0074493E" w:rsidRPr="00BC2ABB">
        <w:rPr>
          <w:sz w:val="28"/>
          <w:szCs w:val="28"/>
        </w:rPr>
        <w:t xml:space="preserve"> </w:t>
      </w:r>
      <w:r w:rsidR="00A37000" w:rsidRPr="00BC2ABB">
        <w:rPr>
          <w:sz w:val="28"/>
          <w:szCs w:val="28"/>
        </w:rPr>
        <w:t xml:space="preserve">(PM&amp;C) </w:t>
      </w:r>
      <w:r w:rsidR="0074493E" w:rsidRPr="00BC2ABB">
        <w:rPr>
          <w:sz w:val="28"/>
          <w:szCs w:val="28"/>
        </w:rPr>
        <w:t>to the National Archives of Australia</w:t>
      </w:r>
      <w:r w:rsidR="00A37000" w:rsidRPr="00BC2ABB">
        <w:rPr>
          <w:sz w:val="28"/>
          <w:szCs w:val="28"/>
        </w:rPr>
        <w:t xml:space="preserve"> (NAA)</w:t>
      </w:r>
      <w:r w:rsidR="0074493E" w:rsidRPr="00BC2ABB">
        <w:rPr>
          <w:sz w:val="28"/>
          <w:szCs w:val="28"/>
        </w:rPr>
        <w:t>.</w:t>
      </w:r>
    </w:p>
    <w:p w14:paraId="781D754D" w14:textId="4CF508E1" w:rsidR="00AF3C31" w:rsidRDefault="00A37000" w:rsidP="002527A5">
      <w:pPr>
        <w:spacing w:line="240" w:lineRule="auto"/>
        <w:jc w:val="both"/>
        <w:rPr>
          <w:sz w:val="28"/>
          <w:szCs w:val="28"/>
        </w:rPr>
      </w:pPr>
      <w:r w:rsidRPr="00BC2ABB">
        <w:rPr>
          <w:sz w:val="28"/>
          <w:szCs w:val="28"/>
        </w:rPr>
        <w:t>PM&amp;C’s failure to provide the NAA with a complete set of 2003 Cabinet records was a result of administrative error</w:t>
      </w:r>
      <w:r w:rsidR="004179A3">
        <w:rPr>
          <w:sz w:val="28"/>
          <w:szCs w:val="28"/>
        </w:rPr>
        <w:t xml:space="preserve"> arising fr</w:t>
      </w:r>
      <w:r w:rsidR="007539B5">
        <w:rPr>
          <w:sz w:val="28"/>
          <w:szCs w:val="28"/>
        </w:rPr>
        <w:t>om both the impact of the COVID</w:t>
      </w:r>
      <w:r w:rsidR="007539B5">
        <w:rPr>
          <w:sz w:val="28"/>
          <w:szCs w:val="28"/>
        </w:rPr>
        <w:noBreakHyphen/>
      </w:r>
      <w:r w:rsidR="004179A3">
        <w:rPr>
          <w:sz w:val="28"/>
          <w:szCs w:val="28"/>
        </w:rPr>
        <w:t>19 pandemic in 2020 and from syst</w:t>
      </w:r>
      <w:r w:rsidR="00387DA9">
        <w:rPr>
          <w:sz w:val="28"/>
          <w:szCs w:val="28"/>
        </w:rPr>
        <w:t>em</w:t>
      </w:r>
      <w:r w:rsidR="004179A3">
        <w:rPr>
          <w:sz w:val="28"/>
          <w:szCs w:val="28"/>
        </w:rPr>
        <w:t>ic shortcomings</w:t>
      </w:r>
      <w:r w:rsidR="00AA6DBD">
        <w:rPr>
          <w:sz w:val="28"/>
          <w:szCs w:val="28"/>
        </w:rPr>
        <w:t>.</w:t>
      </w:r>
      <w:r w:rsidRPr="00BC2ABB">
        <w:rPr>
          <w:sz w:val="28"/>
          <w:szCs w:val="28"/>
        </w:rPr>
        <w:t xml:space="preserve"> </w:t>
      </w:r>
      <w:r w:rsidR="00AF3C31">
        <w:rPr>
          <w:sz w:val="28"/>
          <w:szCs w:val="28"/>
        </w:rPr>
        <w:t>Any suggestion of political interference of influence is without foundation.</w:t>
      </w:r>
    </w:p>
    <w:p w14:paraId="7925C28B" w14:textId="2A955C0A" w:rsidR="00A37000" w:rsidRPr="00037B09" w:rsidRDefault="00A37000" w:rsidP="002527A5">
      <w:pPr>
        <w:spacing w:line="240" w:lineRule="auto"/>
        <w:jc w:val="both"/>
        <w:rPr>
          <w:sz w:val="28"/>
          <w:szCs w:val="28"/>
        </w:rPr>
      </w:pPr>
      <w:r w:rsidRPr="00BC2ABB">
        <w:rPr>
          <w:sz w:val="28"/>
          <w:szCs w:val="28"/>
        </w:rPr>
        <w:t>As at 19 December 2023, 78</w:t>
      </w:r>
      <w:r w:rsidR="004179A3">
        <w:rPr>
          <w:sz w:val="28"/>
          <w:szCs w:val="28"/>
        </w:rPr>
        <w:t> </w:t>
      </w:r>
      <w:r w:rsidRPr="00BC2ABB">
        <w:rPr>
          <w:sz w:val="28"/>
          <w:szCs w:val="28"/>
        </w:rPr>
        <w:t xml:space="preserve">Cabinet </w:t>
      </w:r>
      <w:r w:rsidR="002D2132">
        <w:rPr>
          <w:sz w:val="28"/>
          <w:szCs w:val="28"/>
        </w:rPr>
        <w:t>records</w:t>
      </w:r>
      <w:r w:rsidRPr="00BC2ABB">
        <w:rPr>
          <w:sz w:val="28"/>
          <w:szCs w:val="28"/>
        </w:rPr>
        <w:t xml:space="preserve"> from 2003 had not been transferred from PM&amp;C to the NAA. </w:t>
      </w:r>
      <w:r w:rsidR="002410D3">
        <w:rPr>
          <w:sz w:val="28"/>
          <w:szCs w:val="28"/>
        </w:rPr>
        <w:t>77 of t</w:t>
      </w:r>
      <w:r w:rsidRPr="00BC2ABB">
        <w:rPr>
          <w:sz w:val="28"/>
          <w:szCs w:val="28"/>
        </w:rPr>
        <w:t xml:space="preserve">hese </w:t>
      </w:r>
      <w:r w:rsidR="002D2132">
        <w:rPr>
          <w:sz w:val="28"/>
          <w:szCs w:val="28"/>
        </w:rPr>
        <w:t>records</w:t>
      </w:r>
      <w:r w:rsidRPr="00BC2ABB">
        <w:rPr>
          <w:sz w:val="28"/>
          <w:szCs w:val="28"/>
        </w:rPr>
        <w:t xml:space="preserve"> were provided to the NAA on 31 December 2023</w:t>
      </w:r>
      <w:r w:rsidR="00953071">
        <w:rPr>
          <w:sz w:val="28"/>
          <w:szCs w:val="28"/>
        </w:rPr>
        <w:t xml:space="preserve"> and one recor</w:t>
      </w:r>
      <w:r w:rsidR="00AF3C31">
        <w:rPr>
          <w:sz w:val="28"/>
          <w:szCs w:val="28"/>
        </w:rPr>
        <w:t>d was provided on 5 January 2024</w:t>
      </w:r>
      <w:r w:rsidR="00953071">
        <w:rPr>
          <w:sz w:val="28"/>
          <w:szCs w:val="28"/>
        </w:rPr>
        <w:t xml:space="preserve">, after PM&amp;C </w:t>
      </w:r>
      <w:r w:rsidR="00555D77">
        <w:rPr>
          <w:sz w:val="28"/>
          <w:szCs w:val="28"/>
        </w:rPr>
        <w:t>discovered</w:t>
      </w:r>
      <w:r w:rsidR="00953071">
        <w:rPr>
          <w:sz w:val="28"/>
          <w:szCs w:val="28"/>
        </w:rPr>
        <w:t xml:space="preserve"> that </w:t>
      </w:r>
      <w:r w:rsidR="0091208E">
        <w:rPr>
          <w:sz w:val="28"/>
          <w:szCs w:val="28"/>
        </w:rPr>
        <w:t>the</w:t>
      </w:r>
      <w:r w:rsidR="00555D77">
        <w:rPr>
          <w:sz w:val="28"/>
          <w:szCs w:val="28"/>
        </w:rPr>
        <w:t xml:space="preserve"> record</w:t>
      </w:r>
      <w:r w:rsidR="00953071">
        <w:rPr>
          <w:sz w:val="28"/>
          <w:szCs w:val="28"/>
        </w:rPr>
        <w:t xml:space="preserve"> had been left off the transfer list. </w:t>
      </w:r>
      <w:r w:rsidRPr="00BC2ABB">
        <w:rPr>
          <w:sz w:val="28"/>
          <w:szCs w:val="28"/>
        </w:rPr>
        <w:t xml:space="preserve">During the course of my </w:t>
      </w:r>
      <w:r w:rsidR="000806F0">
        <w:rPr>
          <w:sz w:val="28"/>
          <w:szCs w:val="28"/>
        </w:rPr>
        <w:t>R</w:t>
      </w:r>
      <w:r w:rsidRPr="00BC2ABB">
        <w:rPr>
          <w:sz w:val="28"/>
          <w:szCs w:val="28"/>
        </w:rPr>
        <w:t xml:space="preserve">eview, I discovered a further four Cabinet records from </w:t>
      </w:r>
      <w:r w:rsidRPr="00037B09">
        <w:rPr>
          <w:sz w:val="28"/>
          <w:szCs w:val="28"/>
        </w:rPr>
        <w:t>200</w:t>
      </w:r>
      <w:r w:rsidR="00953071">
        <w:rPr>
          <w:sz w:val="28"/>
          <w:szCs w:val="28"/>
        </w:rPr>
        <w:t>3</w:t>
      </w:r>
      <w:r w:rsidR="001637D0" w:rsidRPr="00037B09">
        <w:rPr>
          <w:sz w:val="28"/>
          <w:szCs w:val="28"/>
        </w:rPr>
        <w:t xml:space="preserve"> </w:t>
      </w:r>
      <w:r w:rsidR="00953071">
        <w:rPr>
          <w:sz w:val="28"/>
          <w:szCs w:val="28"/>
        </w:rPr>
        <w:t>which</w:t>
      </w:r>
      <w:r w:rsidR="001637D0" w:rsidRPr="00037B09">
        <w:rPr>
          <w:sz w:val="28"/>
          <w:szCs w:val="28"/>
        </w:rPr>
        <w:t xml:space="preserve"> </w:t>
      </w:r>
      <w:r w:rsidRPr="00037B09">
        <w:rPr>
          <w:sz w:val="28"/>
          <w:szCs w:val="28"/>
        </w:rPr>
        <w:t xml:space="preserve">had not been transferred to the NAA. </w:t>
      </w:r>
      <w:r w:rsidR="004179A3" w:rsidRPr="00037B09">
        <w:rPr>
          <w:sz w:val="28"/>
          <w:szCs w:val="28"/>
        </w:rPr>
        <w:t>T</w:t>
      </w:r>
      <w:r w:rsidRPr="00037B09">
        <w:rPr>
          <w:sz w:val="28"/>
          <w:szCs w:val="28"/>
        </w:rPr>
        <w:t xml:space="preserve">hese </w:t>
      </w:r>
      <w:r w:rsidR="001637D0" w:rsidRPr="00037B09">
        <w:rPr>
          <w:sz w:val="28"/>
          <w:szCs w:val="28"/>
        </w:rPr>
        <w:t>f</w:t>
      </w:r>
      <w:r w:rsidR="00953071">
        <w:rPr>
          <w:sz w:val="28"/>
          <w:szCs w:val="28"/>
        </w:rPr>
        <w:t>our</w:t>
      </w:r>
      <w:r w:rsidR="004179A3" w:rsidRPr="00037B09">
        <w:rPr>
          <w:sz w:val="28"/>
          <w:szCs w:val="28"/>
        </w:rPr>
        <w:t> </w:t>
      </w:r>
      <w:r w:rsidR="00555D77">
        <w:rPr>
          <w:sz w:val="28"/>
          <w:szCs w:val="28"/>
        </w:rPr>
        <w:t xml:space="preserve">additional </w:t>
      </w:r>
      <w:r w:rsidRPr="00037B09">
        <w:rPr>
          <w:sz w:val="28"/>
          <w:szCs w:val="28"/>
        </w:rPr>
        <w:t>Cabinet records were transferred</w:t>
      </w:r>
      <w:r w:rsidR="004179A3" w:rsidRPr="00037B09">
        <w:rPr>
          <w:sz w:val="28"/>
          <w:szCs w:val="28"/>
        </w:rPr>
        <w:t xml:space="preserve"> on 5 January 2024</w:t>
      </w:r>
      <w:r w:rsidR="0091208E">
        <w:rPr>
          <w:sz w:val="28"/>
          <w:szCs w:val="28"/>
        </w:rPr>
        <w:t>. I am</w:t>
      </w:r>
      <w:r w:rsidRPr="00037B09">
        <w:rPr>
          <w:sz w:val="28"/>
          <w:szCs w:val="28"/>
        </w:rPr>
        <w:t xml:space="preserve"> satisfied that all 2003 Cabinet records </w:t>
      </w:r>
      <w:r w:rsidR="004179A3" w:rsidRPr="00037B09">
        <w:rPr>
          <w:sz w:val="28"/>
          <w:szCs w:val="28"/>
        </w:rPr>
        <w:t xml:space="preserve">are now with the NAA. </w:t>
      </w:r>
      <w:r w:rsidRPr="00037B09">
        <w:rPr>
          <w:sz w:val="28"/>
          <w:szCs w:val="28"/>
        </w:rPr>
        <w:t xml:space="preserve"> </w:t>
      </w:r>
    </w:p>
    <w:p w14:paraId="7FEE6AB7" w14:textId="2E1095BA" w:rsidR="00E838AE" w:rsidRPr="00037B09" w:rsidRDefault="00E72D80" w:rsidP="002527A5">
      <w:pPr>
        <w:spacing w:line="240" w:lineRule="auto"/>
        <w:jc w:val="both"/>
        <w:rPr>
          <w:sz w:val="28"/>
          <w:szCs w:val="28"/>
        </w:rPr>
      </w:pPr>
      <w:r w:rsidRPr="00037B09">
        <w:rPr>
          <w:sz w:val="28"/>
          <w:szCs w:val="28"/>
        </w:rPr>
        <w:t>Further to those matters that go directly to the Terms of Reference</w:t>
      </w:r>
      <w:r w:rsidR="00886BA0" w:rsidRPr="00037B09">
        <w:rPr>
          <w:sz w:val="28"/>
          <w:szCs w:val="28"/>
        </w:rPr>
        <w:t>, I have observed issues regarding</w:t>
      </w:r>
      <w:r w:rsidR="00E838AE" w:rsidRPr="00037B09">
        <w:rPr>
          <w:sz w:val="28"/>
          <w:szCs w:val="28"/>
        </w:rPr>
        <w:t xml:space="preserve"> appropriate</w:t>
      </w:r>
      <w:r w:rsidR="00886BA0" w:rsidRPr="00037B09">
        <w:rPr>
          <w:sz w:val="28"/>
          <w:szCs w:val="28"/>
        </w:rPr>
        <w:t xml:space="preserve"> record-keeping,</w:t>
      </w:r>
      <w:r w:rsidR="00E838AE" w:rsidRPr="00037B09">
        <w:rPr>
          <w:sz w:val="28"/>
          <w:szCs w:val="28"/>
        </w:rPr>
        <w:t xml:space="preserve"> hand</w:t>
      </w:r>
      <w:r w:rsidR="00C73E9E" w:rsidRPr="00037B09">
        <w:rPr>
          <w:sz w:val="28"/>
          <w:szCs w:val="28"/>
        </w:rPr>
        <w:t>l</w:t>
      </w:r>
      <w:r w:rsidR="00E838AE" w:rsidRPr="00037B09">
        <w:rPr>
          <w:sz w:val="28"/>
          <w:szCs w:val="28"/>
        </w:rPr>
        <w:t>ing of classified material and</w:t>
      </w:r>
      <w:r w:rsidRPr="00037B09">
        <w:rPr>
          <w:sz w:val="28"/>
          <w:szCs w:val="28"/>
        </w:rPr>
        <w:t xml:space="preserve"> the department’s</w:t>
      </w:r>
      <w:r w:rsidR="00E838AE" w:rsidRPr="00037B09">
        <w:rPr>
          <w:sz w:val="28"/>
          <w:szCs w:val="28"/>
        </w:rPr>
        <w:t xml:space="preserve"> compliance with transfer requirements as set out in the </w:t>
      </w:r>
      <w:r w:rsidR="00E838AE" w:rsidRPr="00037B09">
        <w:rPr>
          <w:i/>
          <w:sz w:val="28"/>
          <w:szCs w:val="28"/>
        </w:rPr>
        <w:t>Archives Act 1983</w:t>
      </w:r>
      <w:r w:rsidR="00E838AE" w:rsidRPr="00037B09">
        <w:rPr>
          <w:sz w:val="28"/>
          <w:szCs w:val="28"/>
        </w:rPr>
        <w:t xml:space="preserve">. </w:t>
      </w:r>
      <w:r w:rsidR="004179A3" w:rsidRPr="00037B09">
        <w:rPr>
          <w:sz w:val="28"/>
          <w:szCs w:val="28"/>
        </w:rPr>
        <w:t xml:space="preserve">It is possible </w:t>
      </w:r>
      <w:r w:rsidR="005F6AC8" w:rsidRPr="00037B09">
        <w:rPr>
          <w:sz w:val="28"/>
          <w:szCs w:val="28"/>
        </w:rPr>
        <w:t xml:space="preserve">that </w:t>
      </w:r>
      <w:r w:rsidR="00886BA0" w:rsidRPr="00037B09">
        <w:rPr>
          <w:sz w:val="28"/>
          <w:szCs w:val="28"/>
        </w:rPr>
        <w:t>these matters</w:t>
      </w:r>
      <w:r w:rsidR="00E838AE" w:rsidRPr="00037B09">
        <w:rPr>
          <w:sz w:val="28"/>
          <w:szCs w:val="28"/>
        </w:rPr>
        <w:t xml:space="preserve"> may have </w:t>
      </w:r>
      <w:r w:rsidR="004179A3" w:rsidRPr="00037B09">
        <w:rPr>
          <w:sz w:val="28"/>
          <w:szCs w:val="28"/>
        </w:rPr>
        <w:t xml:space="preserve">wider </w:t>
      </w:r>
      <w:r w:rsidR="00E838AE" w:rsidRPr="00037B09">
        <w:rPr>
          <w:sz w:val="28"/>
          <w:szCs w:val="28"/>
        </w:rPr>
        <w:t>relevancy across government</w:t>
      </w:r>
      <w:r w:rsidR="004179A3" w:rsidRPr="00037B09">
        <w:rPr>
          <w:sz w:val="28"/>
          <w:szCs w:val="28"/>
        </w:rPr>
        <w:t xml:space="preserve">. </w:t>
      </w:r>
    </w:p>
    <w:p w14:paraId="7880F653" w14:textId="763879B9" w:rsidR="0074493E" w:rsidRPr="00037B09" w:rsidRDefault="0074493E" w:rsidP="002527A5">
      <w:pPr>
        <w:spacing w:line="240" w:lineRule="auto"/>
        <w:jc w:val="both"/>
        <w:rPr>
          <w:sz w:val="28"/>
          <w:szCs w:val="28"/>
        </w:rPr>
      </w:pPr>
      <w:r w:rsidRPr="00037B09">
        <w:rPr>
          <w:sz w:val="28"/>
          <w:szCs w:val="28"/>
        </w:rPr>
        <w:t xml:space="preserve">During the course </w:t>
      </w:r>
      <w:r w:rsidR="007539B5" w:rsidRPr="00037B09">
        <w:rPr>
          <w:sz w:val="28"/>
          <w:szCs w:val="28"/>
        </w:rPr>
        <w:t xml:space="preserve">of the Review, officials in PM&amp;C </w:t>
      </w:r>
      <w:r w:rsidRPr="00037B09">
        <w:rPr>
          <w:sz w:val="28"/>
          <w:szCs w:val="28"/>
        </w:rPr>
        <w:t xml:space="preserve">and </w:t>
      </w:r>
      <w:r w:rsidR="000059C4" w:rsidRPr="00037B09">
        <w:rPr>
          <w:sz w:val="28"/>
          <w:szCs w:val="28"/>
        </w:rPr>
        <w:t xml:space="preserve">the </w:t>
      </w:r>
      <w:r w:rsidRPr="00037B09">
        <w:rPr>
          <w:sz w:val="28"/>
          <w:szCs w:val="28"/>
        </w:rPr>
        <w:t xml:space="preserve">NAA engaged </w:t>
      </w:r>
      <w:r w:rsidR="009847EE" w:rsidRPr="00037B09">
        <w:rPr>
          <w:sz w:val="28"/>
          <w:szCs w:val="28"/>
        </w:rPr>
        <w:t>cooperatively</w:t>
      </w:r>
      <w:r w:rsidRPr="00037B09">
        <w:rPr>
          <w:sz w:val="28"/>
          <w:szCs w:val="28"/>
        </w:rPr>
        <w:t xml:space="preserve">, providing information and responses in </w:t>
      </w:r>
      <w:r w:rsidR="007539B5" w:rsidRPr="00037B09">
        <w:rPr>
          <w:sz w:val="28"/>
          <w:szCs w:val="28"/>
        </w:rPr>
        <w:t>a timely and professional manner</w:t>
      </w:r>
      <w:r w:rsidRPr="00037B09">
        <w:rPr>
          <w:sz w:val="28"/>
          <w:szCs w:val="28"/>
        </w:rPr>
        <w:t>.</w:t>
      </w:r>
    </w:p>
    <w:p w14:paraId="0676B422" w14:textId="3A69A30E" w:rsidR="0074493E" w:rsidRPr="00037B09" w:rsidRDefault="0074493E" w:rsidP="002527A5">
      <w:pPr>
        <w:spacing w:line="240" w:lineRule="auto"/>
        <w:jc w:val="both"/>
        <w:rPr>
          <w:sz w:val="28"/>
          <w:szCs w:val="28"/>
        </w:rPr>
      </w:pPr>
      <w:r w:rsidRPr="00037B09">
        <w:rPr>
          <w:sz w:val="28"/>
          <w:szCs w:val="28"/>
        </w:rPr>
        <w:lastRenderedPageBreak/>
        <w:t>I note the excellent work of the Secretariat, led by Tim Wardle and Alex</w:t>
      </w:r>
      <w:r w:rsidR="002A6EAF" w:rsidRPr="00037B09">
        <w:rPr>
          <w:sz w:val="28"/>
          <w:szCs w:val="28"/>
        </w:rPr>
        <w:t>andra</w:t>
      </w:r>
      <w:r w:rsidR="007539B5" w:rsidRPr="00037B09">
        <w:rPr>
          <w:sz w:val="28"/>
          <w:szCs w:val="28"/>
        </w:rPr>
        <w:t xml:space="preserve"> Hancock from PM&amp;C.</w:t>
      </w:r>
    </w:p>
    <w:p w14:paraId="12E93813" w14:textId="16FF4FDB" w:rsidR="0074493E" w:rsidRPr="00037B09" w:rsidRDefault="0074493E" w:rsidP="002527A5">
      <w:pPr>
        <w:spacing w:line="240" w:lineRule="auto"/>
        <w:jc w:val="both"/>
        <w:rPr>
          <w:sz w:val="28"/>
          <w:szCs w:val="28"/>
        </w:rPr>
      </w:pPr>
      <w:r w:rsidRPr="00037B09">
        <w:rPr>
          <w:sz w:val="28"/>
          <w:szCs w:val="28"/>
        </w:rPr>
        <w:t>Through</w:t>
      </w:r>
      <w:r w:rsidR="00C73E9E" w:rsidRPr="00037B09">
        <w:rPr>
          <w:sz w:val="28"/>
          <w:szCs w:val="28"/>
        </w:rPr>
        <w:t>out</w:t>
      </w:r>
      <w:r w:rsidRPr="00037B09">
        <w:rPr>
          <w:sz w:val="28"/>
          <w:szCs w:val="28"/>
        </w:rPr>
        <w:t xml:space="preserve"> the report I refer to ‘we’ or ‘our’, recognising the team effort involved in the Review. However, </w:t>
      </w:r>
      <w:r w:rsidR="004179A3" w:rsidRPr="00037B09">
        <w:rPr>
          <w:sz w:val="28"/>
          <w:szCs w:val="28"/>
        </w:rPr>
        <w:t xml:space="preserve">I am responsible alone </w:t>
      </w:r>
      <w:r w:rsidRPr="00037B09">
        <w:rPr>
          <w:sz w:val="28"/>
          <w:szCs w:val="28"/>
        </w:rPr>
        <w:t>for the recommendations and views expressed herein</w:t>
      </w:r>
      <w:r w:rsidR="004179A3" w:rsidRPr="00037B09">
        <w:rPr>
          <w:sz w:val="28"/>
          <w:szCs w:val="28"/>
        </w:rPr>
        <w:t xml:space="preserve">. </w:t>
      </w:r>
    </w:p>
    <w:p w14:paraId="1818DB77" w14:textId="77777777" w:rsidR="0074493E" w:rsidRPr="00037B09" w:rsidRDefault="0074493E" w:rsidP="00816FB2">
      <w:pPr>
        <w:spacing w:line="240" w:lineRule="auto"/>
        <w:rPr>
          <w:sz w:val="28"/>
          <w:szCs w:val="28"/>
        </w:rPr>
      </w:pPr>
    </w:p>
    <w:p w14:paraId="0CA81E4E" w14:textId="7E9B4FAD" w:rsidR="0074493E" w:rsidRPr="00037B09" w:rsidRDefault="002527A5" w:rsidP="00816FB2">
      <w:pPr>
        <w:spacing w:line="240" w:lineRule="auto"/>
        <w:rPr>
          <w:sz w:val="28"/>
          <w:szCs w:val="28"/>
        </w:rPr>
      </w:pPr>
      <w:r>
        <w:rPr>
          <w:noProof/>
          <w:sz w:val="28"/>
          <w:szCs w:val="28"/>
          <w:lang w:eastAsia="en-AU"/>
        </w:rPr>
        <w:drawing>
          <wp:inline distT="0" distB="0" distL="0" distR="0" wp14:anchorId="70151D24" wp14:editId="12F9743F">
            <wp:extent cx="3084723" cy="700302"/>
            <wp:effectExtent l="0" t="0" r="1905" b="5080"/>
            <wp:docPr id="4" name="Picture 4" descr="C:\Users\pmc15990\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mc15990\AppData\Local\Microsoft\Windows\INetCache\Content.Word\Captur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7637" cy="710044"/>
                    </a:xfrm>
                    <a:prstGeom prst="rect">
                      <a:avLst/>
                    </a:prstGeom>
                    <a:noFill/>
                    <a:ln>
                      <a:noFill/>
                    </a:ln>
                  </pic:spPr>
                </pic:pic>
              </a:graphicData>
            </a:graphic>
          </wp:inline>
        </w:drawing>
      </w:r>
      <w:r w:rsidR="00816FB2">
        <w:rPr>
          <w:sz w:val="28"/>
          <w:szCs w:val="28"/>
        </w:rPr>
        <w:br/>
      </w:r>
    </w:p>
    <w:p w14:paraId="781F26A0" w14:textId="02876139" w:rsidR="00794D7B" w:rsidRDefault="0074493E" w:rsidP="00816FB2">
      <w:pPr>
        <w:spacing w:line="240" w:lineRule="auto"/>
        <w:rPr>
          <w:sz w:val="28"/>
          <w:szCs w:val="28"/>
        </w:rPr>
        <w:sectPr w:rsidR="00794D7B" w:rsidSect="00794D7B">
          <w:headerReference w:type="default" r:id="rId21"/>
          <w:footerReference w:type="default" r:id="rId22"/>
          <w:headerReference w:type="first" r:id="rId23"/>
          <w:pgSz w:w="11906" w:h="16838"/>
          <w:pgMar w:top="1701" w:right="1134" w:bottom="1843" w:left="1134" w:header="993" w:footer="709" w:gutter="0"/>
          <w:pgNumType w:fmt="lowerRoman" w:start="1"/>
          <w:cols w:space="708"/>
          <w:docGrid w:linePitch="360"/>
        </w:sectPr>
      </w:pPr>
      <w:r w:rsidRPr="00037B09">
        <w:rPr>
          <w:sz w:val="28"/>
          <w:szCs w:val="28"/>
        </w:rPr>
        <w:t xml:space="preserve">Dennis Richardson </w:t>
      </w:r>
      <w:r w:rsidR="00E72D80" w:rsidRPr="00037B09">
        <w:rPr>
          <w:sz w:val="28"/>
          <w:szCs w:val="28"/>
        </w:rPr>
        <w:t>AC</w:t>
      </w:r>
      <w:r w:rsidR="00794D7B">
        <w:rPr>
          <w:sz w:val="28"/>
          <w:szCs w:val="28"/>
        </w:rPr>
        <w:br/>
        <w:t>Independent Reviewer</w:t>
      </w:r>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sz w:val="28"/>
          <w:szCs w:val="28"/>
        </w:rPr>
      </w:sdtEndPr>
      <w:sdtContent>
        <w:p w14:paraId="17E11D5E" w14:textId="1B8CCABD" w:rsidR="000F6F29" w:rsidRPr="00037B09" w:rsidRDefault="000F6F29" w:rsidP="00794D7B">
          <w:pPr>
            <w:pStyle w:val="TOCHeading"/>
            <w:spacing w:line="360" w:lineRule="auto"/>
            <w:rPr>
              <w:sz w:val="52"/>
            </w:rPr>
          </w:pPr>
          <w:r w:rsidRPr="00037B09">
            <w:rPr>
              <w:sz w:val="52"/>
            </w:rPr>
            <w:t>Contents</w:t>
          </w:r>
        </w:p>
        <w:p w14:paraId="4A8F2E3A" w14:textId="2A729358" w:rsidR="00771FA7" w:rsidRDefault="000F6F29">
          <w:pPr>
            <w:pStyle w:val="TOC1"/>
            <w:tabs>
              <w:tab w:val="right" w:leader="dot" w:pos="9628"/>
            </w:tabs>
            <w:rPr>
              <w:noProof/>
              <w:szCs w:val="22"/>
              <w:lang w:eastAsia="en-AU"/>
            </w:rPr>
          </w:pPr>
          <w:r w:rsidRPr="00BB4E32">
            <w:rPr>
              <w:sz w:val="28"/>
              <w:szCs w:val="28"/>
            </w:rPr>
            <w:fldChar w:fldCharType="begin"/>
          </w:r>
          <w:r w:rsidRPr="00BB4E32">
            <w:rPr>
              <w:sz w:val="28"/>
              <w:szCs w:val="28"/>
            </w:rPr>
            <w:instrText xml:space="preserve"> TOC \o "1-3" \h \z \u </w:instrText>
          </w:r>
          <w:r w:rsidRPr="00BB4E32">
            <w:rPr>
              <w:sz w:val="28"/>
              <w:szCs w:val="28"/>
            </w:rPr>
            <w:fldChar w:fldCharType="separate"/>
          </w:r>
          <w:hyperlink w:anchor="_Toc157432097" w:history="1">
            <w:r w:rsidR="00771FA7" w:rsidRPr="00567B19">
              <w:rPr>
                <w:rStyle w:val="Hyperlink"/>
                <w:noProof/>
              </w:rPr>
              <w:t>Acronyms, abbreviations and definitions</w:t>
            </w:r>
            <w:r w:rsidR="00771FA7">
              <w:rPr>
                <w:noProof/>
                <w:webHidden/>
              </w:rPr>
              <w:tab/>
            </w:r>
            <w:r w:rsidR="00771FA7">
              <w:rPr>
                <w:noProof/>
                <w:webHidden/>
              </w:rPr>
              <w:fldChar w:fldCharType="begin"/>
            </w:r>
            <w:r w:rsidR="00771FA7">
              <w:rPr>
                <w:noProof/>
                <w:webHidden/>
              </w:rPr>
              <w:instrText xml:space="preserve"> PAGEREF _Toc157432097 \h </w:instrText>
            </w:r>
            <w:r w:rsidR="00771FA7">
              <w:rPr>
                <w:noProof/>
                <w:webHidden/>
              </w:rPr>
            </w:r>
            <w:r w:rsidR="00771FA7">
              <w:rPr>
                <w:noProof/>
                <w:webHidden/>
              </w:rPr>
              <w:fldChar w:fldCharType="separate"/>
            </w:r>
            <w:r w:rsidR="00073642">
              <w:rPr>
                <w:noProof/>
                <w:webHidden/>
              </w:rPr>
              <w:t>1</w:t>
            </w:r>
            <w:r w:rsidR="00771FA7">
              <w:rPr>
                <w:noProof/>
                <w:webHidden/>
              </w:rPr>
              <w:fldChar w:fldCharType="end"/>
            </w:r>
          </w:hyperlink>
        </w:p>
        <w:p w14:paraId="71ED37EA" w14:textId="4EA35426" w:rsidR="00771FA7" w:rsidRDefault="0032612E">
          <w:pPr>
            <w:pStyle w:val="TOC1"/>
            <w:tabs>
              <w:tab w:val="right" w:leader="dot" w:pos="9628"/>
            </w:tabs>
            <w:rPr>
              <w:noProof/>
              <w:szCs w:val="22"/>
              <w:lang w:eastAsia="en-AU"/>
            </w:rPr>
          </w:pPr>
          <w:hyperlink w:anchor="_Toc157432098" w:history="1">
            <w:r w:rsidR="00771FA7" w:rsidRPr="00567B19">
              <w:rPr>
                <w:rStyle w:val="Hyperlink"/>
                <w:noProof/>
              </w:rPr>
              <w:t>Executive summary</w:t>
            </w:r>
            <w:r w:rsidR="00771FA7">
              <w:rPr>
                <w:noProof/>
                <w:webHidden/>
              </w:rPr>
              <w:tab/>
            </w:r>
            <w:r w:rsidR="00771FA7">
              <w:rPr>
                <w:noProof/>
                <w:webHidden/>
              </w:rPr>
              <w:fldChar w:fldCharType="begin"/>
            </w:r>
            <w:r w:rsidR="00771FA7">
              <w:rPr>
                <w:noProof/>
                <w:webHidden/>
              </w:rPr>
              <w:instrText xml:space="preserve"> PAGEREF _Toc157432098 \h </w:instrText>
            </w:r>
            <w:r w:rsidR="00771FA7">
              <w:rPr>
                <w:noProof/>
                <w:webHidden/>
              </w:rPr>
            </w:r>
            <w:r w:rsidR="00771FA7">
              <w:rPr>
                <w:noProof/>
                <w:webHidden/>
              </w:rPr>
              <w:fldChar w:fldCharType="separate"/>
            </w:r>
            <w:r w:rsidR="00073642">
              <w:rPr>
                <w:noProof/>
                <w:webHidden/>
              </w:rPr>
              <w:t>5</w:t>
            </w:r>
            <w:r w:rsidR="00771FA7">
              <w:rPr>
                <w:noProof/>
                <w:webHidden/>
              </w:rPr>
              <w:fldChar w:fldCharType="end"/>
            </w:r>
          </w:hyperlink>
        </w:p>
        <w:p w14:paraId="34870BD6" w14:textId="62993A36" w:rsidR="00771FA7" w:rsidRDefault="0032612E">
          <w:pPr>
            <w:pStyle w:val="TOC2"/>
            <w:tabs>
              <w:tab w:val="right" w:leader="dot" w:pos="9628"/>
            </w:tabs>
            <w:rPr>
              <w:noProof/>
              <w:szCs w:val="22"/>
              <w:lang w:eastAsia="en-AU"/>
            </w:rPr>
          </w:pPr>
          <w:hyperlink w:anchor="_Toc157432099" w:history="1">
            <w:r w:rsidR="00771FA7" w:rsidRPr="00567B19">
              <w:rPr>
                <w:rStyle w:val="Hyperlink"/>
                <w:noProof/>
              </w:rPr>
              <w:t>Background</w:t>
            </w:r>
            <w:r w:rsidR="00771FA7">
              <w:rPr>
                <w:noProof/>
                <w:webHidden/>
              </w:rPr>
              <w:tab/>
            </w:r>
            <w:r w:rsidR="00771FA7">
              <w:rPr>
                <w:noProof/>
                <w:webHidden/>
              </w:rPr>
              <w:fldChar w:fldCharType="begin"/>
            </w:r>
            <w:r w:rsidR="00771FA7">
              <w:rPr>
                <w:noProof/>
                <w:webHidden/>
              </w:rPr>
              <w:instrText xml:space="preserve"> PAGEREF _Toc157432099 \h </w:instrText>
            </w:r>
            <w:r w:rsidR="00771FA7">
              <w:rPr>
                <w:noProof/>
                <w:webHidden/>
              </w:rPr>
            </w:r>
            <w:r w:rsidR="00771FA7">
              <w:rPr>
                <w:noProof/>
                <w:webHidden/>
              </w:rPr>
              <w:fldChar w:fldCharType="separate"/>
            </w:r>
            <w:r w:rsidR="00073642">
              <w:rPr>
                <w:noProof/>
                <w:webHidden/>
              </w:rPr>
              <w:t>5</w:t>
            </w:r>
            <w:r w:rsidR="00771FA7">
              <w:rPr>
                <w:noProof/>
                <w:webHidden/>
              </w:rPr>
              <w:fldChar w:fldCharType="end"/>
            </w:r>
          </w:hyperlink>
        </w:p>
        <w:p w14:paraId="3BDDE616" w14:textId="3B60520C" w:rsidR="00771FA7" w:rsidRDefault="0032612E">
          <w:pPr>
            <w:pStyle w:val="TOC2"/>
            <w:tabs>
              <w:tab w:val="right" w:leader="dot" w:pos="9628"/>
            </w:tabs>
            <w:rPr>
              <w:noProof/>
              <w:szCs w:val="22"/>
              <w:lang w:eastAsia="en-AU"/>
            </w:rPr>
          </w:pPr>
          <w:hyperlink w:anchor="_Toc157432100" w:history="1">
            <w:r w:rsidR="00771FA7" w:rsidRPr="00567B19">
              <w:rPr>
                <w:rStyle w:val="Hyperlink"/>
                <w:noProof/>
              </w:rPr>
              <w:t>Focus</w:t>
            </w:r>
            <w:r w:rsidR="00771FA7">
              <w:rPr>
                <w:noProof/>
                <w:webHidden/>
              </w:rPr>
              <w:tab/>
            </w:r>
            <w:r w:rsidR="00771FA7">
              <w:rPr>
                <w:noProof/>
                <w:webHidden/>
              </w:rPr>
              <w:fldChar w:fldCharType="begin"/>
            </w:r>
            <w:r w:rsidR="00771FA7">
              <w:rPr>
                <w:noProof/>
                <w:webHidden/>
              </w:rPr>
              <w:instrText xml:space="preserve"> PAGEREF _Toc157432100 \h </w:instrText>
            </w:r>
            <w:r w:rsidR="00771FA7">
              <w:rPr>
                <w:noProof/>
                <w:webHidden/>
              </w:rPr>
            </w:r>
            <w:r w:rsidR="00771FA7">
              <w:rPr>
                <w:noProof/>
                <w:webHidden/>
              </w:rPr>
              <w:fldChar w:fldCharType="separate"/>
            </w:r>
            <w:r w:rsidR="00073642">
              <w:rPr>
                <w:noProof/>
                <w:webHidden/>
              </w:rPr>
              <w:t>7</w:t>
            </w:r>
            <w:r w:rsidR="00771FA7">
              <w:rPr>
                <w:noProof/>
                <w:webHidden/>
              </w:rPr>
              <w:fldChar w:fldCharType="end"/>
            </w:r>
          </w:hyperlink>
        </w:p>
        <w:p w14:paraId="4AD0AF8F" w14:textId="751E397E" w:rsidR="00771FA7" w:rsidRDefault="0032612E">
          <w:pPr>
            <w:pStyle w:val="TOC2"/>
            <w:tabs>
              <w:tab w:val="right" w:leader="dot" w:pos="9628"/>
            </w:tabs>
            <w:rPr>
              <w:noProof/>
              <w:szCs w:val="22"/>
              <w:lang w:eastAsia="en-AU"/>
            </w:rPr>
          </w:pPr>
          <w:hyperlink w:anchor="_Toc157432101" w:history="1">
            <w:r w:rsidR="00771FA7" w:rsidRPr="00567B19">
              <w:rPr>
                <w:rStyle w:val="Hyperlink"/>
                <w:noProof/>
              </w:rPr>
              <w:t>Key Findings</w:t>
            </w:r>
            <w:r w:rsidR="00771FA7">
              <w:rPr>
                <w:noProof/>
                <w:webHidden/>
              </w:rPr>
              <w:tab/>
            </w:r>
            <w:r w:rsidR="00771FA7">
              <w:rPr>
                <w:noProof/>
                <w:webHidden/>
              </w:rPr>
              <w:fldChar w:fldCharType="begin"/>
            </w:r>
            <w:r w:rsidR="00771FA7">
              <w:rPr>
                <w:noProof/>
                <w:webHidden/>
              </w:rPr>
              <w:instrText xml:space="preserve"> PAGEREF _Toc157432101 \h </w:instrText>
            </w:r>
            <w:r w:rsidR="00771FA7">
              <w:rPr>
                <w:noProof/>
                <w:webHidden/>
              </w:rPr>
            </w:r>
            <w:r w:rsidR="00771FA7">
              <w:rPr>
                <w:noProof/>
                <w:webHidden/>
              </w:rPr>
              <w:fldChar w:fldCharType="separate"/>
            </w:r>
            <w:r w:rsidR="00073642">
              <w:rPr>
                <w:noProof/>
                <w:webHidden/>
              </w:rPr>
              <w:t>8</w:t>
            </w:r>
            <w:r w:rsidR="00771FA7">
              <w:rPr>
                <w:noProof/>
                <w:webHidden/>
              </w:rPr>
              <w:fldChar w:fldCharType="end"/>
            </w:r>
          </w:hyperlink>
        </w:p>
        <w:p w14:paraId="42EBEB6C" w14:textId="5A6E0721" w:rsidR="00771FA7" w:rsidRDefault="0032612E">
          <w:pPr>
            <w:pStyle w:val="TOC3"/>
            <w:tabs>
              <w:tab w:val="right" w:leader="dot" w:pos="9628"/>
            </w:tabs>
            <w:rPr>
              <w:noProof/>
              <w:szCs w:val="22"/>
              <w:lang w:eastAsia="en-AU"/>
            </w:rPr>
          </w:pPr>
          <w:hyperlink w:anchor="_Toc157432102" w:history="1">
            <w:r w:rsidR="00771FA7" w:rsidRPr="00567B19">
              <w:rPr>
                <w:rStyle w:val="Hyperlink"/>
                <w:noProof/>
              </w:rPr>
              <w:t>Transfer of 2003 Cabinet records</w:t>
            </w:r>
            <w:r w:rsidR="00771FA7">
              <w:rPr>
                <w:noProof/>
                <w:webHidden/>
              </w:rPr>
              <w:tab/>
            </w:r>
            <w:r w:rsidR="00771FA7">
              <w:rPr>
                <w:noProof/>
                <w:webHidden/>
              </w:rPr>
              <w:fldChar w:fldCharType="begin"/>
            </w:r>
            <w:r w:rsidR="00771FA7">
              <w:rPr>
                <w:noProof/>
                <w:webHidden/>
              </w:rPr>
              <w:instrText xml:space="preserve"> PAGEREF _Toc157432102 \h </w:instrText>
            </w:r>
            <w:r w:rsidR="00771FA7">
              <w:rPr>
                <w:noProof/>
                <w:webHidden/>
              </w:rPr>
            </w:r>
            <w:r w:rsidR="00771FA7">
              <w:rPr>
                <w:noProof/>
                <w:webHidden/>
              </w:rPr>
              <w:fldChar w:fldCharType="separate"/>
            </w:r>
            <w:r w:rsidR="00073642">
              <w:rPr>
                <w:noProof/>
                <w:webHidden/>
              </w:rPr>
              <w:t>8</w:t>
            </w:r>
            <w:r w:rsidR="00771FA7">
              <w:rPr>
                <w:noProof/>
                <w:webHidden/>
              </w:rPr>
              <w:fldChar w:fldCharType="end"/>
            </w:r>
          </w:hyperlink>
        </w:p>
        <w:p w14:paraId="6FB36C57" w14:textId="407C0A15" w:rsidR="00771FA7" w:rsidRDefault="0032612E">
          <w:pPr>
            <w:pStyle w:val="TOC3"/>
            <w:tabs>
              <w:tab w:val="right" w:leader="dot" w:pos="9628"/>
            </w:tabs>
            <w:rPr>
              <w:noProof/>
              <w:szCs w:val="22"/>
              <w:lang w:eastAsia="en-AU"/>
            </w:rPr>
          </w:pPr>
          <w:hyperlink w:anchor="_Toc157432103" w:history="1">
            <w:r w:rsidR="00771FA7" w:rsidRPr="00567B19">
              <w:rPr>
                <w:rStyle w:val="Hyperlink"/>
                <w:noProof/>
              </w:rPr>
              <w:t>Iraq war</w:t>
            </w:r>
            <w:r w:rsidR="00771FA7">
              <w:rPr>
                <w:noProof/>
                <w:webHidden/>
              </w:rPr>
              <w:tab/>
            </w:r>
            <w:r w:rsidR="00771FA7">
              <w:rPr>
                <w:noProof/>
                <w:webHidden/>
              </w:rPr>
              <w:fldChar w:fldCharType="begin"/>
            </w:r>
            <w:r w:rsidR="00771FA7">
              <w:rPr>
                <w:noProof/>
                <w:webHidden/>
              </w:rPr>
              <w:instrText xml:space="preserve"> PAGEREF _Toc157432103 \h </w:instrText>
            </w:r>
            <w:r w:rsidR="00771FA7">
              <w:rPr>
                <w:noProof/>
                <w:webHidden/>
              </w:rPr>
            </w:r>
            <w:r w:rsidR="00771FA7">
              <w:rPr>
                <w:noProof/>
                <w:webHidden/>
              </w:rPr>
              <w:fldChar w:fldCharType="separate"/>
            </w:r>
            <w:r w:rsidR="00073642">
              <w:rPr>
                <w:noProof/>
                <w:webHidden/>
              </w:rPr>
              <w:t>8</w:t>
            </w:r>
            <w:r w:rsidR="00771FA7">
              <w:rPr>
                <w:noProof/>
                <w:webHidden/>
              </w:rPr>
              <w:fldChar w:fldCharType="end"/>
            </w:r>
          </w:hyperlink>
        </w:p>
        <w:p w14:paraId="51504B34" w14:textId="005A06E2" w:rsidR="00771FA7" w:rsidRDefault="0032612E">
          <w:pPr>
            <w:pStyle w:val="TOC3"/>
            <w:tabs>
              <w:tab w:val="right" w:leader="dot" w:pos="9628"/>
            </w:tabs>
            <w:rPr>
              <w:noProof/>
              <w:szCs w:val="22"/>
              <w:lang w:eastAsia="en-AU"/>
            </w:rPr>
          </w:pPr>
          <w:hyperlink w:anchor="_Toc157432104" w:history="1">
            <w:r w:rsidR="00771FA7" w:rsidRPr="00567B19">
              <w:rPr>
                <w:rStyle w:val="Hyperlink"/>
                <w:noProof/>
              </w:rPr>
              <w:t>PM&amp;C and NAA Processes and Practices</w:t>
            </w:r>
            <w:r w:rsidR="00771FA7">
              <w:rPr>
                <w:noProof/>
                <w:webHidden/>
              </w:rPr>
              <w:tab/>
            </w:r>
            <w:r w:rsidR="00771FA7">
              <w:rPr>
                <w:noProof/>
                <w:webHidden/>
              </w:rPr>
              <w:fldChar w:fldCharType="begin"/>
            </w:r>
            <w:r w:rsidR="00771FA7">
              <w:rPr>
                <w:noProof/>
                <w:webHidden/>
              </w:rPr>
              <w:instrText xml:space="preserve"> PAGEREF _Toc157432104 \h </w:instrText>
            </w:r>
            <w:r w:rsidR="00771FA7">
              <w:rPr>
                <w:noProof/>
                <w:webHidden/>
              </w:rPr>
            </w:r>
            <w:r w:rsidR="00771FA7">
              <w:rPr>
                <w:noProof/>
                <w:webHidden/>
              </w:rPr>
              <w:fldChar w:fldCharType="separate"/>
            </w:r>
            <w:r w:rsidR="00073642">
              <w:rPr>
                <w:noProof/>
                <w:webHidden/>
              </w:rPr>
              <w:t>9</w:t>
            </w:r>
            <w:r w:rsidR="00771FA7">
              <w:rPr>
                <w:noProof/>
                <w:webHidden/>
              </w:rPr>
              <w:fldChar w:fldCharType="end"/>
            </w:r>
          </w:hyperlink>
        </w:p>
        <w:p w14:paraId="1061DEA3" w14:textId="3B3D04A2" w:rsidR="00771FA7" w:rsidRDefault="0032612E">
          <w:pPr>
            <w:pStyle w:val="TOC1"/>
            <w:tabs>
              <w:tab w:val="right" w:leader="dot" w:pos="9628"/>
            </w:tabs>
            <w:rPr>
              <w:noProof/>
              <w:szCs w:val="22"/>
              <w:lang w:eastAsia="en-AU"/>
            </w:rPr>
          </w:pPr>
          <w:hyperlink w:anchor="_Toc157432105" w:history="1">
            <w:r w:rsidR="00771FA7" w:rsidRPr="00567B19">
              <w:rPr>
                <w:rStyle w:val="Hyperlink"/>
                <w:noProof/>
              </w:rPr>
              <w:t>Recommendations</w:t>
            </w:r>
            <w:r w:rsidR="00771FA7">
              <w:rPr>
                <w:noProof/>
                <w:webHidden/>
              </w:rPr>
              <w:tab/>
            </w:r>
            <w:r w:rsidR="00771FA7">
              <w:rPr>
                <w:noProof/>
                <w:webHidden/>
              </w:rPr>
              <w:fldChar w:fldCharType="begin"/>
            </w:r>
            <w:r w:rsidR="00771FA7">
              <w:rPr>
                <w:noProof/>
                <w:webHidden/>
              </w:rPr>
              <w:instrText xml:space="preserve"> PAGEREF _Toc157432105 \h </w:instrText>
            </w:r>
            <w:r w:rsidR="00771FA7">
              <w:rPr>
                <w:noProof/>
                <w:webHidden/>
              </w:rPr>
            </w:r>
            <w:r w:rsidR="00771FA7">
              <w:rPr>
                <w:noProof/>
                <w:webHidden/>
              </w:rPr>
              <w:fldChar w:fldCharType="separate"/>
            </w:r>
            <w:r w:rsidR="00073642">
              <w:rPr>
                <w:noProof/>
                <w:webHidden/>
              </w:rPr>
              <w:t>11</w:t>
            </w:r>
            <w:r w:rsidR="00771FA7">
              <w:rPr>
                <w:noProof/>
                <w:webHidden/>
              </w:rPr>
              <w:fldChar w:fldCharType="end"/>
            </w:r>
          </w:hyperlink>
        </w:p>
        <w:p w14:paraId="15A6D767" w14:textId="58A1743E" w:rsidR="00771FA7" w:rsidRDefault="0032612E">
          <w:pPr>
            <w:pStyle w:val="TOC2"/>
            <w:tabs>
              <w:tab w:val="right" w:leader="dot" w:pos="9628"/>
            </w:tabs>
            <w:rPr>
              <w:noProof/>
              <w:szCs w:val="22"/>
              <w:lang w:eastAsia="en-AU"/>
            </w:rPr>
          </w:pPr>
          <w:hyperlink w:anchor="_Toc157432106" w:history="1">
            <w:r w:rsidR="00771FA7" w:rsidRPr="00567B19">
              <w:rPr>
                <w:rStyle w:val="Hyperlink"/>
                <w:noProof/>
              </w:rPr>
              <w:t>Recommendation 1</w:t>
            </w:r>
            <w:r w:rsidR="00771FA7">
              <w:rPr>
                <w:noProof/>
                <w:webHidden/>
              </w:rPr>
              <w:tab/>
            </w:r>
            <w:r w:rsidR="00771FA7">
              <w:rPr>
                <w:noProof/>
                <w:webHidden/>
              </w:rPr>
              <w:fldChar w:fldCharType="begin"/>
            </w:r>
            <w:r w:rsidR="00771FA7">
              <w:rPr>
                <w:noProof/>
                <w:webHidden/>
              </w:rPr>
              <w:instrText xml:space="preserve"> PAGEREF _Toc157432106 \h </w:instrText>
            </w:r>
            <w:r w:rsidR="00771FA7">
              <w:rPr>
                <w:noProof/>
                <w:webHidden/>
              </w:rPr>
            </w:r>
            <w:r w:rsidR="00771FA7">
              <w:rPr>
                <w:noProof/>
                <w:webHidden/>
              </w:rPr>
              <w:fldChar w:fldCharType="separate"/>
            </w:r>
            <w:r w:rsidR="00073642">
              <w:rPr>
                <w:noProof/>
                <w:webHidden/>
              </w:rPr>
              <w:t>11</w:t>
            </w:r>
            <w:r w:rsidR="00771FA7">
              <w:rPr>
                <w:noProof/>
                <w:webHidden/>
              </w:rPr>
              <w:fldChar w:fldCharType="end"/>
            </w:r>
          </w:hyperlink>
        </w:p>
        <w:p w14:paraId="3CA24922" w14:textId="5A37232F" w:rsidR="00771FA7" w:rsidRDefault="0032612E">
          <w:pPr>
            <w:pStyle w:val="TOC2"/>
            <w:tabs>
              <w:tab w:val="right" w:leader="dot" w:pos="9628"/>
            </w:tabs>
            <w:rPr>
              <w:noProof/>
              <w:szCs w:val="22"/>
              <w:lang w:eastAsia="en-AU"/>
            </w:rPr>
          </w:pPr>
          <w:hyperlink w:anchor="_Toc157432107" w:history="1">
            <w:r w:rsidR="00771FA7" w:rsidRPr="00567B19">
              <w:rPr>
                <w:rStyle w:val="Hyperlink"/>
                <w:noProof/>
              </w:rPr>
              <w:t>Recommendation 2</w:t>
            </w:r>
            <w:r w:rsidR="00771FA7">
              <w:rPr>
                <w:noProof/>
                <w:webHidden/>
              </w:rPr>
              <w:tab/>
            </w:r>
            <w:r w:rsidR="00771FA7">
              <w:rPr>
                <w:noProof/>
                <w:webHidden/>
              </w:rPr>
              <w:fldChar w:fldCharType="begin"/>
            </w:r>
            <w:r w:rsidR="00771FA7">
              <w:rPr>
                <w:noProof/>
                <w:webHidden/>
              </w:rPr>
              <w:instrText xml:space="preserve"> PAGEREF _Toc157432107 \h </w:instrText>
            </w:r>
            <w:r w:rsidR="00771FA7">
              <w:rPr>
                <w:noProof/>
                <w:webHidden/>
              </w:rPr>
            </w:r>
            <w:r w:rsidR="00771FA7">
              <w:rPr>
                <w:noProof/>
                <w:webHidden/>
              </w:rPr>
              <w:fldChar w:fldCharType="separate"/>
            </w:r>
            <w:r w:rsidR="00073642">
              <w:rPr>
                <w:noProof/>
                <w:webHidden/>
              </w:rPr>
              <w:t>12</w:t>
            </w:r>
            <w:r w:rsidR="00771FA7">
              <w:rPr>
                <w:noProof/>
                <w:webHidden/>
              </w:rPr>
              <w:fldChar w:fldCharType="end"/>
            </w:r>
          </w:hyperlink>
        </w:p>
        <w:p w14:paraId="38DC7877" w14:textId="08E7CD4A" w:rsidR="00771FA7" w:rsidRDefault="0032612E">
          <w:pPr>
            <w:pStyle w:val="TOC3"/>
            <w:tabs>
              <w:tab w:val="right" w:leader="dot" w:pos="9628"/>
            </w:tabs>
            <w:rPr>
              <w:noProof/>
              <w:szCs w:val="22"/>
              <w:lang w:eastAsia="en-AU"/>
            </w:rPr>
          </w:pPr>
          <w:hyperlink w:anchor="_Toc157432108" w:history="1">
            <w:r w:rsidR="00771FA7" w:rsidRPr="00567B19">
              <w:rPr>
                <w:rStyle w:val="Hyperlink"/>
                <w:noProof/>
              </w:rPr>
              <w:t>Implementation considerations</w:t>
            </w:r>
            <w:r w:rsidR="00771FA7">
              <w:rPr>
                <w:noProof/>
                <w:webHidden/>
              </w:rPr>
              <w:tab/>
            </w:r>
            <w:r w:rsidR="00771FA7">
              <w:rPr>
                <w:noProof/>
                <w:webHidden/>
              </w:rPr>
              <w:fldChar w:fldCharType="begin"/>
            </w:r>
            <w:r w:rsidR="00771FA7">
              <w:rPr>
                <w:noProof/>
                <w:webHidden/>
              </w:rPr>
              <w:instrText xml:space="preserve"> PAGEREF _Toc157432108 \h </w:instrText>
            </w:r>
            <w:r w:rsidR="00771FA7">
              <w:rPr>
                <w:noProof/>
                <w:webHidden/>
              </w:rPr>
            </w:r>
            <w:r w:rsidR="00771FA7">
              <w:rPr>
                <w:noProof/>
                <w:webHidden/>
              </w:rPr>
              <w:fldChar w:fldCharType="separate"/>
            </w:r>
            <w:r w:rsidR="00073642">
              <w:rPr>
                <w:noProof/>
                <w:webHidden/>
              </w:rPr>
              <w:t>12</w:t>
            </w:r>
            <w:r w:rsidR="00771FA7">
              <w:rPr>
                <w:noProof/>
                <w:webHidden/>
              </w:rPr>
              <w:fldChar w:fldCharType="end"/>
            </w:r>
          </w:hyperlink>
        </w:p>
        <w:p w14:paraId="7D064245" w14:textId="4958496E" w:rsidR="00771FA7" w:rsidRDefault="0032612E">
          <w:pPr>
            <w:pStyle w:val="TOC2"/>
            <w:tabs>
              <w:tab w:val="right" w:leader="dot" w:pos="9628"/>
            </w:tabs>
            <w:rPr>
              <w:noProof/>
              <w:szCs w:val="22"/>
              <w:lang w:eastAsia="en-AU"/>
            </w:rPr>
          </w:pPr>
          <w:hyperlink w:anchor="_Toc157432109" w:history="1">
            <w:r w:rsidR="00771FA7" w:rsidRPr="00567B19">
              <w:rPr>
                <w:rStyle w:val="Hyperlink"/>
                <w:noProof/>
              </w:rPr>
              <w:t>Recommendation 3</w:t>
            </w:r>
            <w:r w:rsidR="00771FA7">
              <w:rPr>
                <w:noProof/>
                <w:webHidden/>
              </w:rPr>
              <w:tab/>
            </w:r>
            <w:r w:rsidR="00771FA7">
              <w:rPr>
                <w:noProof/>
                <w:webHidden/>
              </w:rPr>
              <w:fldChar w:fldCharType="begin"/>
            </w:r>
            <w:r w:rsidR="00771FA7">
              <w:rPr>
                <w:noProof/>
                <w:webHidden/>
              </w:rPr>
              <w:instrText xml:space="preserve"> PAGEREF _Toc157432109 \h </w:instrText>
            </w:r>
            <w:r w:rsidR="00771FA7">
              <w:rPr>
                <w:noProof/>
                <w:webHidden/>
              </w:rPr>
            </w:r>
            <w:r w:rsidR="00771FA7">
              <w:rPr>
                <w:noProof/>
                <w:webHidden/>
              </w:rPr>
              <w:fldChar w:fldCharType="separate"/>
            </w:r>
            <w:r w:rsidR="00073642">
              <w:rPr>
                <w:noProof/>
                <w:webHidden/>
              </w:rPr>
              <w:t>12</w:t>
            </w:r>
            <w:r w:rsidR="00771FA7">
              <w:rPr>
                <w:noProof/>
                <w:webHidden/>
              </w:rPr>
              <w:fldChar w:fldCharType="end"/>
            </w:r>
          </w:hyperlink>
        </w:p>
        <w:p w14:paraId="7429577C" w14:textId="0930A65A" w:rsidR="00771FA7" w:rsidRDefault="0032612E">
          <w:pPr>
            <w:pStyle w:val="TOC3"/>
            <w:tabs>
              <w:tab w:val="right" w:leader="dot" w:pos="9628"/>
            </w:tabs>
            <w:rPr>
              <w:noProof/>
              <w:szCs w:val="22"/>
              <w:lang w:eastAsia="en-AU"/>
            </w:rPr>
          </w:pPr>
          <w:hyperlink w:anchor="_Toc157432110" w:history="1">
            <w:r w:rsidR="00771FA7" w:rsidRPr="00567B19">
              <w:rPr>
                <w:rStyle w:val="Hyperlink"/>
                <w:noProof/>
              </w:rPr>
              <w:t>Implementation considerations</w:t>
            </w:r>
            <w:r w:rsidR="00771FA7">
              <w:rPr>
                <w:noProof/>
                <w:webHidden/>
              </w:rPr>
              <w:tab/>
            </w:r>
            <w:r w:rsidR="00771FA7">
              <w:rPr>
                <w:noProof/>
                <w:webHidden/>
              </w:rPr>
              <w:fldChar w:fldCharType="begin"/>
            </w:r>
            <w:r w:rsidR="00771FA7">
              <w:rPr>
                <w:noProof/>
                <w:webHidden/>
              </w:rPr>
              <w:instrText xml:space="preserve"> PAGEREF _Toc157432110 \h </w:instrText>
            </w:r>
            <w:r w:rsidR="00771FA7">
              <w:rPr>
                <w:noProof/>
                <w:webHidden/>
              </w:rPr>
            </w:r>
            <w:r w:rsidR="00771FA7">
              <w:rPr>
                <w:noProof/>
                <w:webHidden/>
              </w:rPr>
              <w:fldChar w:fldCharType="separate"/>
            </w:r>
            <w:r w:rsidR="00073642">
              <w:rPr>
                <w:noProof/>
                <w:webHidden/>
              </w:rPr>
              <w:t>12</w:t>
            </w:r>
            <w:r w:rsidR="00771FA7">
              <w:rPr>
                <w:noProof/>
                <w:webHidden/>
              </w:rPr>
              <w:fldChar w:fldCharType="end"/>
            </w:r>
          </w:hyperlink>
        </w:p>
        <w:p w14:paraId="710E2B27" w14:textId="4B2CC7F4" w:rsidR="00771FA7" w:rsidRDefault="0032612E">
          <w:pPr>
            <w:pStyle w:val="TOC2"/>
            <w:tabs>
              <w:tab w:val="right" w:leader="dot" w:pos="9628"/>
            </w:tabs>
            <w:rPr>
              <w:noProof/>
              <w:szCs w:val="22"/>
              <w:lang w:eastAsia="en-AU"/>
            </w:rPr>
          </w:pPr>
          <w:hyperlink w:anchor="_Toc157432111" w:history="1">
            <w:r w:rsidR="00771FA7" w:rsidRPr="00567B19">
              <w:rPr>
                <w:rStyle w:val="Hyperlink"/>
                <w:noProof/>
              </w:rPr>
              <w:t>Recommendation 4</w:t>
            </w:r>
            <w:r w:rsidR="00771FA7">
              <w:rPr>
                <w:noProof/>
                <w:webHidden/>
              </w:rPr>
              <w:tab/>
            </w:r>
            <w:r w:rsidR="00771FA7">
              <w:rPr>
                <w:noProof/>
                <w:webHidden/>
              </w:rPr>
              <w:fldChar w:fldCharType="begin"/>
            </w:r>
            <w:r w:rsidR="00771FA7">
              <w:rPr>
                <w:noProof/>
                <w:webHidden/>
              </w:rPr>
              <w:instrText xml:space="preserve"> PAGEREF _Toc157432111 \h </w:instrText>
            </w:r>
            <w:r w:rsidR="00771FA7">
              <w:rPr>
                <w:noProof/>
                <w:webHidden/>
              </w:rPr>
            </w:r>
            <w:r w:rsidR="00771FA7">
              <w:rPr>
                <w:noProof/>
                <w:webHidden/>
              </w:rPr>
              <w:fldChar w:fldCharType="separate"/>
            </w:r>
            <w:r w:rsidR="00073642">
              <w:rPr>
                <w:noProof/>
                <w:webHidden/>
              </w:rPr>
              <w:t>13</w:t>
            </w:r>
            <w:r w:rsidR="00771FA7">
              <w:rPr>
                <w:noProof/>
                <w:webHidden/>
              </w:rPr>
              <w:fldChar w:fldCharType="end"/>
            </w:r>
          </w:hyperlink>
        </w:p>
        <w:p w14:paraId="479A61CA" w14:textId="687C250F" w:rsidR="00771FA7" w:rsidRDefault="0032612E">
          <w:pPr>
            <w:pStyle w:val="TOC3"/>
            <w:tabs>
              <w:tab w:val="right" w:leader="dot" w:pos="9628"/>
            </w:tabs>
            <w:rPr>
              <w:noProof/>
              <w:szCs w:val="22"/>
              <w:lang w:eastAsia="en-AU"/>
            </w:rPr>
          </w:pPr>
          <w:hyperlink w:anchor="_Toc157432112" w:history="1">
            <w:r w:rsidR="00771FA7" w:rsidRPr="00567B19">
              <w:rPr>
                <w:rStyle w:val="Hyperlink"/>
                <w:noProof/>
              </w:rPr>
              <w:t>Implementation considerations</w:t>
            </w:r>
            <w:r w:rsidR="00771FA7">
              <w:rPr>
                <w:noProof/>
                <w:webHidden/>
              </w:rPr>
              <w:tab/>
            </w:r>
            <w:r w:rsidR="00771FA7">
              <w:rPr>
                <w:noProof/>
                <w:webHidden/>
              </w:rPr>
              <w:fldChar w:fldCharType="begin"/>
            </w:r>
            <w:r w:rsidR="00771FA7">
              <w:rPr>
                <w:noProof/>
                <w:webHidden/>
              </w:rPr>
              <w:instrText xml:space="preserve"> PAGEREF _Toc157432112 \h </w:instrText>
            </w:r>
            <w:r w:rsidR="00771FA7">
              <w:rPr>
                <w:noProof/>
                <w:webHidden/>
              </w:rPr>
            </w:r>
            <w:r w:rsidR="00771FA7">
              <w:rPr>
                <w:noProof/>
                <w:webHidden/>
              </w:rPr>
              <w:fldChar w:fldCharType="separate"/>
            </w:r>
            <w:r w:rsidR="00073642">
              <w:rPr>
                <w:noProof/>
                <w:webHidden/>
              </w:rPr>
              <w:t>13</w:t>
            </w:r>
            <w:r w:rsidR="00771FA7">
              <w:rPr>
                <w:noProof/>
                <w:webHidden/>
              </w:rPr>
              <w:fldChar w:fldCharType="end"/>
            </w:r>
          </w:hyperlink>
        </w:p>
        <w:p w14:paraId="08A66E82" w14:textId="68EA2023" w:rsidR="00771FA7" w:rsidRDefault="0032612E">
          <w:pPr>
            <w:pStyle w:val="TOC2"/>
            <w:tabs>
              <w:tab w:val="right" w:leader="dot" w:pos="9628"/>
            </w:tabs>
            <w:rPr>
              <w:noProof/>
              <w:szCs w:val="22"/>
              <w:lang w:eastAsia="en-AU"/>
            </w:rPr>
          </w:pPr>
          <w:hyperlink w:anchor="_Toc157432113" w:history="1">
            <w:r w:rsidR="00771FA7" w:rsidRPr="00567B19">
              <w:rPr>
                <w:rStyle w:val="Hyperlink"/>
                <w:noProof/>
              </w:rPr>
              <w:t>Recommendation 5</w:t>
            </w:r>
            <w:r w:rsidR="00771FA7">
              <w:rPr>
                <w:noProof/>
                <w:webHidden/>
              </w:rPr>
              <w:tab/>
            </w:r>
            <w:r w:rsidR="00771FA7">
              <w:rPr>
                <w:noProof/>
                <w:webHidden/>
              </w:rPr>
              <w:fldChar w:fldCharType="begin"/>
            </w:r>
            <w:r w:rsidR="00771FA7">
              <w:rPr>
                <w:noProof/>
                <w:webHidden/>
              </w:rPr>
              <w:instrText xml:space="preserve"> PAGEREF _Toc157432113 \h </w:instrText>
            </w:r>
            <w:r w:rsidR="00771FA7">
              <w:rPr>
                <w:noProof/>
                <w:webHidden/>
              </w:rPr>
            </w:r>
            <w:r w:rsidR="00771FA7">
              <w:rPr>
                <w:noProof/>
                <w:webHidden/>
              </w:rPr>
              <w:fldChar w:fldCharType="separate"/>
            </w:r>
            <w:r w:rsidR="00073642">
              <w:rPr>
                <w:noProof/>
                <w:webHidden/>
              </w:rPr>
              <w:t>14</w:t>
            </w:r>
            <w:r w:rsidR="00771FA7">
              <w:rPr>
                <w:noProof/>
                <w:webHidden/>
              </w:rPr>
              <w:fldChar w:fldCharType="end"/>
            </w:r>
          </w:hyperlink>
        </w:p>
        <w:p w14:paraId="73EA28D2" w14:textId="3B170005" w:rsidR="00771FA7" w:rsidRDefault="0032612E">
          <w:pPr>
            <w:pStyle w:val="TOC1"/>
            <w:tabs>
              <w:tab w:val="right" w:leader="dot" w:pos="9628"/>
            </w:tabs>
            <w:rPr>
              <w:noProof/>
              <w:szCs w:val="22"/>
              <w:lang w:eastAsia="en-AU"/>
            </w:rPr>
          </w:pPr>
          <w:hyperlink w:anchor="_Toc157432114" w:history="1">
            <w:r w:rsidR="00771FA7" w:rsidRPr="00567B19">
              <w:rPr>
                <w:rStyle w:val="Hyperlink"/>
                <w:noProof/>
              </w:rPr>
              <w:t>1. Scope of the Review</w:t>
            </w:r>
            <w:r w:rsidR="00771FA7">
              <w:rPr>
                <w:noProof/>
                <w:webHidden/>
              </w:rPr>
              <w:tab/>
            </w:r>
            <w:r w:rsidR="00771FA7">
              <w:rPr>
                <w:noProof/>
                <w:webHidden/>
              </w:rPr>
              <w:fldChar w:fldCharType="begin"/>
            </w:r>
            <w:r w:rsidR="00771FA7">
              <w:rPr>
                <w:noProof/>
                <w:webHidden/>
              </w:rPr>
              <w:instrText xml:space="preserve"> PAGEREF _Toc157432114 \h </w:instrText>
            </w:r>
            <w:r w:rsidR="00771FA7">
              <w:rPr>
                <w:noProof/>
                <w:webHidden/>
              </w:rPr>
            </w:r>
            <w:r w:rsidR="00771FA7">
              <w:rPr>
                <w:noProof/>
                <w:webHidden/>
              </w:rPr>
              <w:fldChar w:fldCharType="separate"/>
            </w:r>
            <w:r w:rsidR="00073642">
              <w:rPr>
                <w:noProof/>
                <w:webHidden/>
              </w:rPr>
              <w:t>15</w:t>
            </w:r>
            <w:r w:rsidR="00771FA7">
              <w:rPr>
                <w:noProof/>
                <w:webHidden/>
              </w:rPr>
              <w:fldChar w:fldCharType="end"/>
            </w:r>
          </w:hyperlink>
        </w:p>
        <w:p w14:paraId="792CF7F2" w14:textId="3B77CFF7" w:rsidR="00771FA7" w:rsidRDefault="0032612E">
          <w:pPr>
            <w:pStyle w:val="TOC2"/>
            <w:tabs>
              <w:tab w:val="right" w:leader="dot" w:pos="9628"/>
            </w:tabs>
            <w:rPr>
              <w:noProof/>
              <w:szCs w:val="22"/>
              <w:lang w:eastAsia="en-AU"/>
            </w:rPr>
          </w:pPr>
          <w:hyperlink w:anchor="_Toc157432115" w:history="1">
            <w:r w:rsidR="00771FA7" w:rsidRPr="00567B19">
              <w:rPr>
                <w:rStyle w:val="Hyperlink"/>
                <w:noProof/>
              </w:rPr>
              <w:t>Terms of reference</w:t>
            </w:r>
            <w:r w:rsidR="00771FA7">
              <w:rPr>
                <w:noProof/>
                <w:webHidden/>
              </w:rPr>
              <w:tab/>
            </w:r>
            <w:r w:rsidR="00771FA7">
              <w:rPr>
                <w:noProof/>
                <w:webHidden/>
              </w:rPr>
              <w:fldChar w:fldCharType="begin"/>
            </w:r>
            <w:r w:rsidR="00771FA7">
              <w:rPr>
                <w:noProof/>
                <w:webHidden/>
              </w:rPr>
              <w:instrText xml:space="preserve"> PAGEREF _Toc157432115 \h </w:instrText>
            </w:r>
            <w:r w:rsidR="00771FA7">
              <w:rPr>
                <w:noProof/>
                <w:webHidden/>
              </w:rPr>
            </w:r>
            <w:r w:rsidR="00771FA7">
              <w:rPr>
                <w:noProof/>
                <w:webHidden/>
              </w:rPr>
              <w:fldChar w:fldCharType="separate"/>
            </w:r>
            <w:r w:rsidR="00073642">
              <w:rPr>
                <w:noProof/>
                <w:webHidden/>
              </w:rPr>
              <w:t>15</w:t>
            </w:r>
            <w:r w:rsidR="00771FA7">
              <w:rPr>
                <w:noProof/>
                <w:webHidden/>
              </w:rPr>
              <w:fldChar w:fldCharType="end"/>
            </w:r>
          </w:hyperlink>
        </w:p>
        <w:p w14:paraId="4D310243" w14:textId="2E1FA2E9" w:rsidR="00771FA7" w:rsidRDefault="0032612E">
          <w:pPr>
            <w:pStyle w:val="TOC2"/>
            <w:tabs>
              <w:tab w:val="right" w:leader="dot" w:pos="9628"/>
            </w:tabs>
            <w:rPr>
              <w:noProof/>
              <w:szCs w:val="22"/>
              <w:lang w:eastAsia="en-AU"/>
            </w:rPr>
          </w:pPr>
          <w:hyperlink w:anchor="_Toc157432116" w:history="1">
            <w:r w:rsidR="00771FA7" w:rsidRPr="00567B19">
              <w:rPr>
                <w:rStyle w:val="Hyperlink"/>
                <w:noProof/>
              </w:rPr>
              <w:t>Consultation</w:t>
            </w:r>
            <w:r w:rsidR="00771FA7">
              <w:rPr>
                <w:noProof/>
                <w:webHidden/>
              </w:rPr>
              <w:tab/>
            </w:r>
            <w:r w:rsidR="00771FA7">
              <w:rPr>
                <w:noProof/>
                <w:webHidden/>
              </w:rPr>
              <w:fldChar w:fldCharType="begin"/>
            </w:r>
            <w:r w:rsidR="00771FA7">
              <w:rPr>
                <w:noProof/>
                <w:webHidden/>
              </w:rPr>
              <w:instrText xml:space="preserve"> PAGEREF _Toc157432116 \h </w:instrText>
            </w:r>
            <w:r w:rsidR="00771FA7">
              <w:rPr>
                <w:noProof/>
                <w:webHidden/>
              </w:rPr>
            </w:r>
            <w:r w:rsidR="00771FA7">
              <w:rPr>
                <w:noProof/>
                <w:webHidden/>
              </w:rPr>
              <w:fldChar w:fldCharType="separate"/>
            </w:r>
            <w:r w:rsidR="00073642">
              <w:rPr>
                <w:noProof/>
                <w:webHidden/>
              </w:rPr>
              <w:t>15</w:t>
            </w:r>
            <w:r w:rsidR="00771FA7">
              <w:rPr>
                <w:noProof/>
                <w:webHidden/>
              </w:rPr>
              <w:fldChar w:fldCharType="end"/>
            </w:r>
          </w:hyperlink>
        </w:p>
        <w:p w14:paraId="6C30AE36" w14:textId="052BBB89" w:rsidR="00771FA7" w:rsidRDefault="0032612E">
          <w:pPr>
            <w:pStyle w:val="TOC2"/>
            <w:tabs>
              <w:tab w:val="right" w:leader="dot" w:pos="9628"/>
            </w:tabs>
            <w:rPr>
              <w:noProof/>
              <w:szCs w:val="22"/>
              <w:lang w:eastAsia="en-AU"/>
            </w:rPr>
          </w:pPr>
          <w:hyperlink w:anchor="_Toc157432117" w:history="1">
            <w:r w:rsidR="00771FA7" w:rsidRPr="00567B19">
              <w:rPr>
                <w:rStyle w:val="Hyperlink"/>
                <w:noProof/>
              </w:rPr>
              <w:t>External advice</w:t>
            </w:r>
            <w:r w:rsidR="00771FA7">
              <w:rPr>
                <w:noProof/>
                <w:webHidden/>
              </w:rPr>
              <w:tab/>
            </w:r>
            <w:r w:rsidR="00771FA7">
              <w:rPr>
                <w:noProof/>
                <w:webHidden/>
              </w:rPr>
              <w:fldChar w:fldCharType="begin"/>
            </w:r>
            <w:r w:rsidR="00771FA7">
              <w:rPr>
                <w:noProof/>
                <w:webHidden/>
              </w:rPr>
              <w:instrText xml:space="preserve"> PAGEREF _Toc157432117 \h </w:instrText>
            </w:r>
            <w:r w:rsidR="00771FA7">
              <w:rPr>
                <w:noProof/>
                <w:webHidden/>
              </w:rPr>
            </w:r>
            <w:r w:rsidR="00771FA7">
              <w:rPr>
                <w:noProof/>
                <w:webHidden/>
              </w:rPr>
              <w:fldChar w:fldCharType="separate"/>
            </w:r>
            <w:r w:rsidR="00073642">
              <w:rPr>
                <w:noProof/>
                <w:webHidden/>
              </w:rPr>
              <w:t>15</w:t>
            </w:r>
            <w:r w:rsidR="00771FA7">
              <w:rPr>
                <w:noProof/>
                <w:webHidden/>
              </w:rPr>
              <w:fldChar w:fldCharType="end"/>
            </w:r>
          </w:hyperlink>
        </w:p>
        <w:p w14:paraId="229840B6" w14:textId="73F5A8BD" w:rsidR="00771FA7" w:rsidRDefault="0032612E">
          <w:pPr>
            <w:pStyle w:val="TOC2"/>
            <w:tabs>
              <w:tab w:val="right" w:leader="dot" w:pos="9628"/>
            </w:tabs>
            <w:rPr>
              <w:noProof/>
              <w:szCs w:val="22"/>
              <w:lang w:eastAsia="en-AU"/>
            </w:rPr>
          </w:pPr>
          <w:hyperlink w:anchor="_Toc157432118" w:history="1">
            <w:r w:rsidR="00771FA7" w:rsidRPr="00567B19">
              <w:rPr>
                <w:rStyle w:val="Hyperlink"/>
                <w:noProof/>
              </w:rPr>
              <w:t>Governance</w:t>
            </w:r>
            <w:r w:rsidR="00771FA7">
              <w:rPr>
                <w:noProof/>
                <w:webHidden/>
              </w:rPr>
              <w:tab/>
            </w:r>
            <w:r w:rsidR="00771FA7">
              <w:rPr>
                <w:noProof/>
                <w:webHidden/>
              </w:rPr>
              <w:fldChar w:fldCharType="begin"/>
            </w:r>
            <w:r w:rsidR="00771FA7">
              <w:rPr>
                <w:noProof/>
                <w:webHidden/>
              </w:rPr>
              <w:instrText xml:space="preserve"> PAGEREF _Toc157432118 \h </w:instrText>
            </w:r>
            <w:r w:rsidR="00771FA7">
              <w:rPr>
                <w:noProof/>
                <w:webHidden/>
              </w:rPr>
            </w:r>
            <w:r w:rsidR="00771FA7">
              <w:rPr>
                <w:noProof/>
                <w:webHidden/>
              </w:rPr>
              <w:fldChar w:fldCharType="separate"/>
            </w:r>
            <w:r w:rsidR="00073642">
              <w:rPr>
                <w:noProof/>
                <w:webHidden/>
              </w:rPr>
              <w:t>16</w:t>
            </w:r>
            <w:r w:rsidR="00771FA7">
              <w:rPr>
                <w:noProof/>
                <w:webHidden/>
              </w:rPr>
              <w:fldChar w:fldCharType="end"/>
            </w:r>
          </w:hyperlink>
        </w:p>
        <w:p w14:paraId="45F73998" w14:textId="04549B1F" w:rsidR="00771FA7" w:rsidRDefault="0032612E">
          <w:pPr>
            <w:pStyle w:val="TOC1"/>
            <w:tabs>
              <w:tab w:val="right" w:leader="dot" w:pos="9628"/>
            </w:tabs>
            <w:rPr>
              <w:noProof/>
              <w:szCs w:val="22"/>
              <w:lang w:eastAsia="en-AU"/>
            </w:rPr>
          </w:pPr>
          <w:hyperlink w:anchor="_Toc157432119" w:history="1">
            <w:r w:rsidR="00771FA7" w:rsidRPr="00567B19">
              <w:rPr>
                <w:rStyle w:val="Hyperlink"/>
                <w:noProof/>
              </w:rPr>
              <w:t>2. Allegations in the media</w:t>
            </w:r>
            <w:r w:rsidR="00771FA7">
              <w:rPr>
                <w:noProof/>
                <w:webHidden/>
              </w:rPr>
              <w:tab/>
            </w:r>
            <w:r w:rsidR="00771FA7">
              <w:rPr>
                <w:noProof/>
                <w:webHidden/>
              </w:rPr>
              <w:fldChar w:fldCharType="begin"/>
            </w:r>
            <w:r w:rsidR="00771FA7">
              <w:rPr>
                <w:noProof/>
                <w:webHidden/>
              </w:rPr>
              <w:instrText xml:space="preserve"> PAGEREF _Toc157432119 \h </w:instrText>
            </w:r>
            <w:r w:rsidR="00771FA7">
              <w:rPr>
                <w:noProof/>
                <w:webHidden/>
              </w:rPr>
            </w:r>
            <w:r w:rsidR="00771FA7">
              <w:rPr>
                <w:noProof/>
                <w:webHidden/>
              </w:rPr>
              <w:fldChar w:fldCharType="separate"/>
            </w:r>
            <w:r w:rsidR="00073642">
              <w:rPr>
                <w:noProof/>
                <w:webHidden/>
              </w:rPr>
              <w:t>17</w:t>
            </w:r>
            <w:r w:rsidR="00771FA7">
              <w:rPr>
                <w:noProof/>
                <w:webHidden/>
              </w:rPr>
              <w:fldChar w:fldCharType="end"/>
            </w:r>
          </w:hyperlink>
        </w:p>
        <w:p w14:paraId="38694DE4" w14:textId="6643FA2B" w:rsidR="00771FA7" w:rsidRDefault="0032612E">
          <w:pPr>
            <w:pStyle w:val="TOC1"/>
            <w:tabs>
              <w:tab w:val="right" w:leader="dot" w:pos="9628"/>
            </w:tabs>
            <w:rPr>
              <w:noProof/>
              <w:szCs w:val="22"/>
              <w:lang w:eastAsia="en-AU"/>
            </w:rPr>
          </w:pPr>
          <w:hyperlink w:anchor="_Toc157432120" w:history="1">
            <w:r w:rsidR="00771FA7" w:rsidRPr="00567B19">
              <w:rPr>
                <w:rStyle w:val="Hyperlink"/>
                <w:noProof/>
              </w:rPr>
              <w:t>3. Legislative framework and Cabinet operations</w:t>
            </w:r>
            <w:r w:rsidR="00771FA7">
              <w:rPr>
                <w:noProof/>
                <w:webHidden/>
              </w:rPr>
              <w:tab/>
            </w:r>
            <w:r w:rsidR="00771FA7">
              <w:rPr>
                <w:noProof/>
                <w:webHidden/>
              </w:rPr>
              <w:fldChar w:fldCharType="begin"/>
            </w:r>
            <w:r w:rsidR="00771FA7">
              <w:rPr>
                <w:noProof/>
                <w:webHidden/>
              </w:rPr>
              <w:instrText xml:space="preserve"> PAGEREF _Toc157432120 \h </w:instrText>
            </w:r>
            <w:r w:rsidR="00771FA7">
              <w:rPr>
                <w:noProof/>
                <w:webHidden/>
              </w:rPr>
            </w:r>
            <w:r w:rsidR="00771FA7">
              <w:rPr>
                <w:noProof/>
                <w:webHidden/>
              </w:rPr>
              <w:fldChar w:fldCharType="separate"/>
            </w:r>
            <w:r w:rsidR="00073642">
              <w:rPr>
                <w:noProof/>
                <w:webHidden/>
              </w:rPr>
              <w:t>18</w:t>
            </w:r>
            <w:r w:rsidR="00771FA7">
              <w:rPr>
                <w:noProof/>
                <w:webHidden/>
              </w:rPr>
              <w:fldChar w:fldCharType="end"/>
            </w:r>
          </w:hyperlink>
        </w:p>
        <w:p w14:paraId="3ADDFD38" w14:textId="491C3404" w:rsidR="00771FA7" w:rsidRDefault="0032612E">
          <w:pPr>
            <w:pStyle w:val="TOC2"/>
            <w:tabs>
              <w:tab w:val="right" w:leader="dot" w:pos="9628"/>
            </w:tabs>
            <w:rPr>
              <w:noProof/>
              <w:szCs w:val="22"/>
              <w:lang w:eastAsia="en-AU"/>
            </w:rPr>
          </w:pPr>
          <w:hyperlink w:anchor="_Toc157432121" w:history="1">
            <w:r w:rsidR="00771FA7" w:rsidRPr="00567B19">
              <w:rPr>
                <w:rStyle w:val="Hyperlink"/>
                <w:noProof/>
              </w:rPr>
              <w:t>Legislative framework</w:t>
            </w:r>
            <w:r w:rsidR="00771FA7">
              <w:rPr>
                <w:noProof/>
                <w:webHidden/>
              </w:rPr>
              <w:tab/>
            </w:r>
            <w:r w:rsidR="00771FA7">
              <w:rPr>
                <w:noProof/>
                <w:webHidden/>
              </w:rPr>
              <w:fldChar w:fldCharType="begin"/>
            </w:r>
            <w:r w:rsidR="00771FA7">
              <w:rPr>
                <w:noProof/>
                <w:webHidden/>
              </w:rPr>
              <w:instrText xml:space="preserve"> PAGEREF _Toc157432121 \h </w:instrText>
            </w:r>
            <w:r w:rsidR="00771FA7">
              <w:rPr>
                <w:noProof/>
                <w:webHidden/>
              </w:rPr>
            </w:r>
            <w:r w:rsidR="00771FA7">
              <w:rPr>
                <w:noProof/>
                <w:webHidden/>
              </w:rPr>
              <w:fldChar w:fldCharType="separate"/>
            </w:r>
            <w:r w:rsidR="00073642">
              <w:rPr>
                <w:noProof/>
                <w:webHidden/>
              </w:rPr>
              <w:t>18</w:t>
            </w:r>
            <w:r w:rsidR="00771FA7">
              <w:rPr>
                <w:noProof/>
                <w:webHidden/>
              </w:rPr>
              <w:fldChar w:fldCharType="end"/>
            </w:r>
          </w:hyperlink>
        </w:p>
        <w:p w14:paraId="71481B91" w14:textId="5B0DCE24" w:rsidR="00771FA7" w:rsidRDefault="0032612E">
          <w:pPr>
            <w:pStyle w:val="TOC3"/>
            <w:tabs>
              <w:tab w:val="right" w:leader="dot" w:pos="9628"/>
            </w:tabs>
            <w:rPr>
              <w:noProof/>
              <w:szCs w:val="22"/>
              <w:lang w:eastAsia="en-AU"/>
            </w:rPr>
          </w:pPr>
          <w:hyperlink w:anchor="_Toc157432122" w:history="1">
            <w:r w:rsidR="00771FA7" w:rsidRPr="00567B19">
              <w:rPr>
                <w:rStyle w:val="Hyperlink"/>
                <w:noProof/>
              </w:rPr>
              <w:t>Transfer of Commonwealth records to the National Archives of Australia</w:t>
            </w:r>
            <w:r w:rsidR="00771FA7">
              <w:rPr>
                <w:noProof/>
                <w:webHidden/>
              </w:rPr>
              <w:tab/>
            </w:r>
            <w:r w:rsidR="00771FA7">
              <w:rPr>
                <w:noProof/>
                <w:webHidden/>
              </w:rPr>
              <w:fldChar w:fldCharType="begin"/>
            </w:r>
            <w:r w:rsidR="00771FA7">
              <w:rPr>
                <w:noProof/>
                <w:webHidden/>
              </w:rPr>
              <w:instrText xml:space="preserve"> PAGEREF _Toc157432122 \h </w:instrText>
            </w:r>
            <w:r w:rsidR="00771FA7">
              <w:rPr>
                <w:noProof/>
                <w:webHidden/>
              </w:rPr>
            </w:r>
            <w:r w:rsidR="00771FA7">
              <w:rPr>
                <w:noProof/>
                <w:webHidden/>
              </w:rPr>
              <w:fldChar w:fldCharType="separate"/>
            </w:r>
            <w:r w:rsidR="00073642">
              <w:rPr>
                <w:noProof/>
                <w:webHidden/>
              </w:rPr>
              <w:t>18</w:t>
            </w:r>
            <w:r w:rsidR="00771FA7">
              <w:rPr>
                <w:noProof/>
                <w:webHidden/>
              </w:rPr>
              <w:fldChar w:fldCharType="end"/>
            </w:r>
          </w:hyperlink>
        </w:p>
        <w:p w14:paraId="76567BCA" w14:textId="4804B71F" w:rsidR="00771FA7" w:rsidRDefault="0032612E">
          <w:pPr>
            <w:pStyle w:val="TOC3"/>
            <w:tabs>
              <w:tab w:val="right" w:leader="dot" w:pos="9628"/>
            </w:tabs>
            <w:rPr>
              <w:noProof/>
              <w:szCs w:val="22"/>
              <w:lang w:eastAsia="en-AU"/>
            </w:rPr>
          </w:pPr>
          <w:hyperlink w:anchor="_Toc157432123" w:history="1">
            <w:r w:rsidR="00771FA7" w:rsidRPr="00567B19">
              <w:rPr>
                <w:rStyle w:val="Hyperlink"/>
                <w:noProof/>
              </w:rPr>
              <w:t>Records Disposal Schedule No. S.492</w:t>
            </w:r>
            <w:r w:rsidR="00771FA7">
              <w:rPr>
                <w:noProof/>
                <w:webHidden/>
              </w:rPr>
              <w:tab/>
            </w:r>
            <w:r w:rsidR="00771FA7">
              <w:rPr>
                <w:noProof/>
                <w:webHidden/>
              </w:rPr>
              <w:fldChar w:fldCharType="begin"/>
            </w:r>
            <w:r w:rsidR="00771FA7">
              <w:rPr>
                <w:noProof/>
                <w:webHidden/>
              </w:rPr>
              <w:instrText xml:space="preserve"> PAGEREF _Toc157432123 \h </w:instrText>
            </w:r>
            <w:r w:rsidR="00771FA7">
              <w:rPr>
                <w:noProof/>
                <w:webHidden/>
              </w:rPr>
            </w:r>
            <w:r w:rsidR="00771FA7">
              <w:rPr>
                <w:noProof/>
                <w:webHidden/>
              </w:rPr>
              <w:fldChar w:fldCharType="separate"/>
            </w:r>
            <w:r w:rsidR="00073642">
              <w:rPr>
                <w:noProof/>
                <w:webHidden/>
              </w:rPr>
              <w:t>19</w:t>
            </w:r>
            <w:r w:rsidR="00771FA7">
              <w:rPr>
                <w:noProof/>
                <w:webHidden/>
              </w:rPr>
              <w:fldChar w:fldCharType="end"/>
            </w:r>
          </w:hyperlink>
        </w:p>
        <w:p w14:paraId="6ED7E6CC" w14:textId="794819E7" w:rsidR="00771FA7" w:rsidRDefault="0032612E">
          <w:pPr>
            <w:pStyle w:val="TOC3"/>
            <w:tabs>
              <w:tab w:val="right" w:leader="dot" w:pos="9628"/>
            </w:tabs>
            <w:rPr>
              <w:noProof/>
              <w:szCs w:val="22"/>
              <w:lang w:eastAsia="en-AU"/>
            </w:rPr>
          </w:pPr>
          <w:hyperlink w:anchor="_Toc157432124" w:history="1">
            <w:r w:rsidR="00771FA7" w:rsidRPr="00567B19">
              <w:rPr>
                <w:rStyle w:val="Hyperlink"/>
                <w:noProof/>
              </w:rPr>
              <w:t>Application of the transfer obligations of Cabinet records</w:t>
            </w:r>
            <w:r w:rsidR="00771FA7">
              <w:rPr>
                <w:noProof/>
                <w:webHidden/>
              </w:rPr>
              <w:tab/>
            </w:r>
            <w:r w:rsidR="00771FA7">
              <w:rPr>
                <w:noProof/>
                <w:webHidden/>
              </w:rPr>
              <w:fldChar w:fldCharType="begin"/>
            </w:r>
            <w:r w:rsidR="00771FA7">
              <w:rPr>
                <w:noProof/>
                <w:webHidden/>
              </w:rPr>
              <w:instrText xml:space="preserve"> PAGEREF _Toc157432124 \h </w:instrText>
            </w:r>
            <w:r w:rsidR="00771FA7">
              <w:rPr>
                <w:noProof/>
                <w:webHidden/>
              </w:rPr>
            </w:r>
            <w:r w:rsidR="00771FA7">
              <w:rPr>
                <w:noProof/>
                <w:webHidden/>
              </w:rPr>
              <w:fldChar w:fldCharType="separate"/>
            </w:r>
            <w:r w:rsidR="00073642">
              <w:rPr>
                <w:noProof/>
                <w:webHidden/>
              </w:rPr>
              <w:t>20</w:t>
            </w:r>
            <w:r w:rsidR="00771FA7">
              <w:rPr>
                <w:noProof/>
                <w:webHidden/>
              </w:rPr>
              <w:fldChar w:fldCharType="end"/>
            </w:r>
          </w:hyperlink>
        </w:p>
        <w:p w14:paraId="6BBE0808" w14:textId="19E324B9" w:rsidR="00771FA7" w:rsidRDefault="0032612E">
          <w:pPr>
            <w:pStyle w:val="TOC3"/>
            <w:tabs>
              <w:tab w:val="right" w:leader="dot" w:pos="9628"/>
            </w:tabs>
            <w:rPr>
              <w:noProof/>
              <w:szCs w:val="22"/>
              <w:lang w:eastAsia="en-AU"/>
            </w:rPr>
          </w:pPr>
          <w:hyperlink w:anchor="_Toc157432125" w:history="1">
            <w:r w:rsidR="00771FA7" w:rsidRPr="00567B19">
              <w:rPr>
                <w:rStyle w:val="Hyperlink"/>
                <w:noProof/>
              </w:rPr>
              <w:t>Exemptions to transfer</w:t>
            </w:r>
            <w:r w:rsidR="00771FA7">
              <w:rPr>
                <w:noProof/>
                <w:webHidden/>
              </w:rPr>
              <w:tab/>
            </w:r>
            <w:r w:rsidR="00771FA7">
              <w:rPr>
                <w:noProof/>
                <w:webHidden/>
              </w:rPr>
              <w:fldChar w:fldCharType="begin"/>
            </w:r>
            <w:r w:rsidR="00771FA7">
              <w:rPr>
                <w:noProof/>
                <w:webHidden/>
              </w:rPr>
              <w:instrText xml:space="preserve"> PAGEREF _Toc157432125 \h </w:instrText>
            </w:r>
            <w:r w:rsidR="00771FA7">
              <w:rPr>
                <w:noProof/>
                <w:webHidden/>
              </w:rPr>
            </w:r>
            <w:r w:rsidR="00771FA7">
              <w:rPr>
                <w:noProof/>
                <w:webHidden/>
              </w:rPr>
              <w:fldChar w:fldCharType="separate"/>
            </w:r>
            <w:r w:rsidR="00073642">
              <w:rPr>
                <w:noProof/>
                <w:webHidden/>
              </w:rPr>
              <w:t>22</w:t>
            </w:r>
            <w:r w:rsidR="00771FA7">
              <w:rPr>
                <w:noProof/>
                <w:webHidden/>
              </w:rPr>
              <w:fldChar w:fldCharType="end"/>
            </w:r>
          </w:hyperlink>
        </w:p>
        <w:p w14:paraId="744718B5" w14:textId="741A5BD1" w:rsidR="00771FA7" w:rsidRDefault="0032612E">
          <w:pPr>
            <w:pStyle w:val="TOC3"/>
            <w:tabs>
              <w:tab w:val="right" w:leader="dot" w:pos="9628"/>
            </w:tabs>
            <w:rPr>
              <w:noProof/>
              <w:szCs w:val="22"/>
              <w:lang w:eastAsia="en-AU"/>
            </w:rPr>
          </w:pPr>
          <w:hyperlink w:anchor="_Toc157432126" w:history="1">
            <w:r w:rsidR="00771FA7" w:rsidRPr="00567B19">
              <w:rPr>
                <w:rStyle w:val="Hyperlink"/>
                <w:noProof/>
              </w:rPr>
              <w:t>Records in open access period to be publicly available</w:t>
            </w:r>
            <w:r w:rsidR="00771FA7">
              <w:rPr>
                <w:noProof/>
                <w:webHidden/>
              </w:rPr>
              <w:tab/>
            </w:r>
            <w:r w:rsidR="00771FA7">
              <w:rPr>
                <w:noProof/>
                <w:webHidden/>
              </w:rPr>
              <w:fldChar w:fldCharType="begin"/>
            </w:r>
            <w:r w:rsidR="00771FA7">
              <w:rPr>
                <w:noProof/>
                <w:webHidden/>
              </w:rPr>
              <w:instrText xml:space="preserve"> PAGEREF _Toc157432126 \h </w:instrText>
            </w:r>
            <w:r w:rsidR="00771FA7">
              <w:rPr>
                <w:noProof/>
                <w:webHidden/>
              </w:rPr>
            </w:r>
            <w:r w:rsidR="00771FA7">
              <w:rPr>
                <w:noProof/>
                <w:webHidden/>
              </w:rPr>
              <w:fldChar w:fldCharType="separate"/>
            </w:r>
            <w:r w:rsidR="00073642">
              <w:rPr>
                <w:noProof/>
                <w:webHidden/>
              </w:rPr>
              <w:t>23</w:t>
            </w:r>
            <w:r w:rsidR="00771FA7">
              <w:rPr>
                <w:noProof/>
                <w:webHidden/>
              </w:rPr>
              <w:fldChar w:fldCharType="end"/>
            </w:r>
          </w:hyperlink>
        </w:p>
        <w:p w14:paraId="668BD70E" w14:textId="523B5421" w:rsidR="00771FA7" w:rsidRDefault="0032612E">
          <w:pPr>
            <w:pStyle w:val="TOC2"/>
            <w:tabs>
              <w:tab w:val="right" w:leader="dot" w:pos="9628"/>
            </w:tabs>
            <w:rPr>
              <w:noProof/>
              <w:szCs w:val="22"/>
              <w:lang w:eastAsia="en-AU"/>
            </w:rPr>
          </w:pPr>
          <w:hyperlink w:anchor="_Toc157432127" w:history="1">
            <w:r w:rsidR="00771FA7" w:rsidRPr="00567B19">
              <w:rPr>
                <w:rStyle w:val="Hyperlink"/>
                <w:noProof/>
              </w:rPr>
              <w:t>Cabinet</w:t>
            </w:r>
            <w:r w:rsidR="00771FA7">
              <w:rPr>
                <w:noProof/>
                <w:webHidden/>
              </w:rPr>
              <w:tab/>
            </w:r>
            <w:r w:rsidR="00771FA7">
              <w:rPr>
                <w:noProof/>
                <w:webHidden/>
              </w:rPr>
              <w:fldChar w:fldCharType="begin"/>
            </w:r>
            <w:r w:rsidR="00771FA7">
              <w:rPr>
                <w:noProof/>
                <w:webHidden/>
              </w:rPr>
              <w:instrText xml:space="preserve"> PAGEREF _Toc157432127 \h </w:instrText>
            </w:r>
            <w:r w:rsidR="00771FA7">
              <w:rPr>
                <w:noProof/>
                <w:webHidden/>
              </w:rPr>
            </w:r>
            <w:r w:rsidR="00771FA7">
              <w:rPr>
                <w:noProof/>
                <w:webHidden/>
              </w:rPr>
              <w:fldChar w:fldCharType="separate"/>
            </w:r>
            <w:r w:rsidR="00073642">
              <w:rPr>
                <w:noProof/>
                <w:webHidden/>
              </w:rPr>
              <w:t>24</w:t>
            </w:r>
            <w:r w:rsidR="00771FA7">
              <w:rPr>
                <w:noProof/>
                <w:webHidden/>
              </w:rPr>
              <w:fldChar w:fldCharType="end"/>
            </w:r>
          </w:hyperlink>
        </w:p>
        <w:p w14:paraId="1DC6254E" w14:textId="5196B75B" w:rsidR="00771FA7" w:rsidRDefault="0032612E">
          <w:pPr>
            <w:pStyle w:val="TOC1"/>
            <w:tabs>
              <w:tab w:val="right" w:leader="dot" w:pos="9628"/>
            </w:tabs>
            <w:rPr>
              <w:noProof/>
              <w:szCs w:val="22"/>
              <w:lang w:eastAsia="en-AU"/>
            </w:rPr>
          </w:pPr>
          <w:hyperlink w:anchor="_Toc157432128" w:history="1">
            <w:r w:rsidR="00771FA7" w:rsidRPr="00567B19">
              <w:rPr>
                <w:rStyle w:val="Hyperlink"/>
                <w:noProof/>
              </w:rPr>
              <w:t>4. The transfer of Cabinet records from PM&amp;C to the NAA</w:t>
            </w:r>
            <w:r w:rsidR="00771FA7">
              <w:rPr>
                <w:noProof/>
                <w:webHidden/>
              </w:rPr>
              <w:tab/>
            </w:r>
            <w:r w:rsidR="00771FA7">
              <w:rPr>
                <w:noProof/>
                <w:webHidden/>
              </w:rPr>
              <w:fldChar w:fldCharType="begin"/>
            </w:r>
            <w:r w:rsidR="00771FA7">
              <w:rPr>
                <w:noProof/>
                <w:webHidden/>
              </w:rPr>
              <w:instrText xml:space="preserve"> PAGEREF _Toc157432128 \h </w:instrText>
            </w:r>
            <w:r w:rsidR="00771FA7">
              <w:rPr>
                <w:noProof/>
                <w:webHidden/>
              </w:rPr>
            </w:r>
            <w:r w:rsidR="00771FA7">
              <w:rPr>
                <w:noProof/>
                <w:webHidden/>
              </w:rPr>
              <w:fldChar w:fldCharType="separate"/>
            </w:r>
            <w:r w:rsidR="00073642">
              <w:rPr>
                <w:noProof/>
                <w:webHidden/>
              </w:rPr>
              <w:t>26</w:t>
            </w:r>
            <w:r w:rsidR="00771FA7">
              <w:rPr>
                <w:noProof/>
                <w:webHidden/>
              </w:rPr>
              <w:fldChar w:fldCharType="end"/>
            </w:r>
          </w:hyperlink>
        </w:p>
        <w:p w14:paraId="5591E66B" w14:textId="3A488693" w:rsidR="00771FA7" w:rsidRDefault="0032612E">
          <w:pPr>
            <w:pStyle w:val="TOC2"/>
            <w:tabs>
              <w:tab w:val="right" w:leader="dot" w:pos="9628"/>
            </w:tabs>
            <w:rPr>
              <w:noProof/>
              <w:szCs w:val="22"/>
              <w:lang w:eastAsia="en-AU"/>
            </w:rPr>
          </w:pPr>
          <w:hyperlink w:anchor="_Toc157432129" w:history="1">
            <w:r w:rsidR="00771FA7" w:rsidRPr="00567B19">
              <w:rPr>
                <w:rStyle w:val="Hyperlink"/>
                <w:noProof/>
              </w:rPr>
              <w:t>Background</w:t>
            </w:r>
            <w:r w:rsidR="00771FA7">
              <w:rPr>
                <w:noProof/>
                <w:webHidden/>
              </w:rPr>
              <w:tab/>
            </w:r>
            <w:r w:rsidR="00771FA7">
              <w:rPr>
                <w:noProof/>
                <w:webHidden/>
              </w:rPr>
              <w:fldChar w:fldCharType="begin"/>
            </w:r>
            <w:r w:rsidR="00771FA7">
              <w:rPr>
                <w:noProof/>
                <w:webHidden/>
              </w:rPr>
              <w:instrText xml:space="preserve"> PAGEREF _Toc157432129 \h </w:instrText>
            </w:r>
            <w:r w:rsidR="00771FA7">
              <w:rPr>
                <w:noProof/>
                <w:webHidden/>
              </w:rPr>
            </w:r>
            <w:r w:rsidR="00771FA7">
              <w:rPr>
                <w:noProof/>
                <w:webHidden/>
              </w:rPr>
              <w:fldChar w:fldCharType="separate"/>
            </w:r>
            <w:r w:rsidR="00073642">
              <w:rPr>
                <w:noProof/>
                <w:webHidden/>
              </w:rPr>
              <w:t>26</w:t>
            </w:r>
            <w:r w:rsidR="00771FA7">
              <w:rPr>
                <w:noProof/>
                <w:webHidden/>
              </w:rPr>
              <w:fldChar w:fldCharType="end"/>
            </w:r>
          </w:hyperlink>
        </w:p>
        <w:p w14:paraId="594182D7" w14:textId="1D118E0E" w:rsidR="00771FA7" w:rsidRDefault="0032612E">
          <w:pPr>
            <w:pStyle w:val="TOC2"/>
            <w:tabs>
              <w:tab w:val="right" w:leader="dot" w:pos="9628"/>
            </w:tabs>
            <w:rPr>
              <w:noProof/>
              <w:szCs w:val="22"/>
              <w:lang w:eastAsia="en-AU"/>
            </w:rPr>
          </w:pPr>
          <w:hyperlink w:anchor="_Toc157432130" w:history="1">
            <w:r w:rsidR="00771FA7" w:rsidRPr="00567B19">
              <w:rPr>
                <w:rStyle w:val="Hyperlink"/>
                <w:noProof/>
              </w:rPr>
              <w:t>PM&amp;C’s standard transfer process</w:t>
            </w:r>
            <w:r w:rsidR="00771FA7">
              <w:rPr>
                <w:noProof/>
                <w:webHidden/>
              </w:rPr>
              <w:tab/>
            </w:r>
            <w:r w:rsidR="00771FA7">
              <w:rPr>
                <w:noProof/>
                <w:webHidden/>
              </w:rPr>
              <w:fldChar w:fldCharType="begin"/>
            </w:r>
            <w:r w:rsidR="00771FA7">
              <w:rPr>
                <w:noProof/>
                <w:webHidden/>
              </w:rPr>
              <w:instrText xml:space="preserve"> PAGEREF _Toc157432130 \h </w:instrText>
            </w:r>
            <w:r w:rsidR="00771FA7">
              <w:rPr>
                <w:noProof/>
                <w:webHidden/>
              </w:rPr>
            </w:r>
            <w:r w:rsidR="00771FA7">
              <w:rPr>
                <w:noProof/>
                <w:webHidden/>
              </w:rPr>
              <w:fldChar w:fldCharType="separate"/>
            </w:r>
            <w:r w:rsidR="00073642">
              <w:rPr>
                <w:noProof/>
                <w:webHidden/>
              </w:rPr>
              <w:t>26</w:t>
            </w:r>
            <w:r w:rsidR="00771FA7">
              <w:rPr>
                <w:noProof/>
                <w:webHidden/>
              </w:rPr>
              <w:fldChar w:fldCharType="end"/>
            </w:r>
          </w:hyperlink>
        </w:p>
        <w:p w14:paraId="4145687E" w14:textId="0DA7264B" w:rsidR="00771FA7" w:rsidRDefault="0032612E">
          <w:pPr>
            <w:pStyle w:val="TOC2"/>
            <w:tabs>
              <w:tab w:val="right" w:leader="dot" w:pos="9628"/>
            </w:tabs>
            <w:rPr>
              <w:noProof/>
              <w:szCs w:val="22"/>
              <w:lang w:eastAsia="en-AU"/>
            </w:rPr>
          </w:pPr>
          <w:hyperlink w:anchor="_Toc157432131" w:history="1">
            <w:r w:rsidR="00771FA7" w:rsidRPr="00567B19">
              <w:rPr>
                <w:rStyle w:val="Hyperlink"/>
                <w:noProof/>
              </w:rPr>
              <w:t>The 2020 transfer</w:t>
            </w:r>
            <w:r w:rsidR="00771FA7">
              <w:rPr>
                <w:noProof/>
                <w:webHidden/>
              </w:rPr>
              <w:tab/>
            </w:r>
            <w:r w:rsidR="00771FA7">
              <w:rPr>
                <w:noProof/>
                <w:webHidden/>
              </w:rPr>
              <w:fldChar w:fldCharType="begin"/>
            </w:r>
            <w:r w:rsidR="00771FA7">
              <w:rPr>
                <w:noProof/>
                <w:webHidden/>
              </w:rPr>
              <w:instrText xml:space="preserve"> PAGEREF _Toc157432131 \h </w:instrText>
            </w:r>
            <w:r w:rsidR="00771FA7">
              <w:rPr>
                <w:noProof/>
                <w:webHidden/>
              </w:rPr>
            </w:r>
            <w:r w:rsidR="00771FA7">
              <w:rPr>
                <w:noProof/>
                <w:webHidden/>
              </w:rPr>
              <w:fldChar w:fldCharType="separate"/>
            </w:r>
            <w:r w:rsidR="00073642">
              <w:rPr>
                <w:noProof/>
                <w:webHidden/>
              </w:rPr>
              <w:t>28</w:t>
            </w:r>
            <w:r w:rsidR="00771FA7">
              <w:rPr>
                <w:noProof/>
                <w:webHidden/>
              </w:rPr>
              <w:fldChar w:fldCharType="end"/>
            </w:r>
          </w:hyperlink>
        </w:p>
        <w:p w14:paraId="1EC68351" w14:textId="4157B3CB" w:rsidR="00771FA7" w:rsidRDefault="0032612E">
          <w:pPr>
            <w:pStyle w:val="TOC3"/>
            <w:tabs>
              <w:tab w:val="right" w:leader="dot" w:pos="9628"/>
            </w:tabs>
            <w:rPr>
              <w:noProof/>
              <w:szCs w:val="22"/>
              <w:lang w:eastAsia="en-AU"/>
            </w:rPr>
          </w:pPr>
          <w:hyperlink w:anchor="_Toc157432132" w:history="1">
            <w:r w:rsidR="00771FA7" w:rsidRPr="00567B19">
              <w:rPr>
                <w:rStyle w:val="Hyperlink"/>
                <w:noProof/>
              </w:rPr>
              <w:t>COVID-19</w:t>
            </w:r>
            <w:r w:rsidR="00771FA7">
              <w:rPr>
                <w:noProof/>
                <w:webHidden/>
              </w:rPr>
              <w:tab/>
            </w:r>
            <w:r w:rsidR="00771FA7">
              <w:rPr>
                <w:noProof/>
                <w:webHidden/>
              </w:rPr>
              <w:fldChar w:fldCharType="begin"/>
            </w:r>
            <w:r w:rsidR="00771FA7">
              <w:rPr>
                <w:noProof/>
                <w:webHidden/>
              </w:rPr>
              <w:instrText xml:space="preserve"> PAGEREF _Toc157432132 \h </w:instrText>
            </w:r>
            <w:r w:rsidR="00771FA7">
              <w:rPr>
                <w:noProof/>
                <w:webHidden/>
              </w:rPr>
            </w:r>
            <w:r w:rsidR="00771FA7">
              <w:rPr>
                <w:noProof/>
                <w:webHidden/>
              </w:rPr>
              <w:fldChar w:fldCharType="separate"/>
            </w:r>
            <w:r w:rsidR="00073642">
              <w:rPr>
                <w:noProof/>
                <w:webHidden/>
              </w:rPr>
              <w:t>28</w:t>
            </w:r>
            <w:r w:rsidR="00771FA7">
              <w:rPr>
                <w:noProof/>
                <w:webHidden/>
              </w:rPr>
              <w:fldChar w:fldCharType="end"/>
            </w:r>
          </w:hyperlink>
        </w:p>
        <w:p w14:paraId="40A87039" w14:textId="0CBEFCF6" w:rsidR="00771FA7" w:rsidRDefault="0032612E">
          <w:pPr>
            <w:pStyle w:val="TOC3"/>
            <w:tabs>
              <w:tab w:val="right" w:leader="dot" w:pos="9628"/>
            </w:tabs>
            <w:rPr>
              <w:noProof/>
              <w:szCs w:val="22"/>
              <w:lang w:eastAsia="en-AU"/>
            </w:rPr>
          </w:pPr>
          <w:hyperlink w:anchor="_Toc157432133" w:history="1">
            <w:r w:rsidR="00771FA7" w:rsidRPr="00567B19">
              <w:rPr>
                <w:rStyle w:val="Hyperlink"/>
                <w:noProof/>
              </w:rPr>
              <w:t>Systemic issues</w:t>
            </w:r>
            <w:r w:rsidR="00771FA7">
              <w:rPr>
                <w:noProof/>
                <w:webHidden/>
              </w:rPr>
              <w:tab/>
            </w:r>
            <w:r w:rsidR="00771FA7">
              <w:rPr>
                <w:noProof/>
                <w:webHidden/>
              </w:rPr>
              <w:fldChar w:fldCharType="begin"/>
            </w:r>
            <w:r w:rsidR="00771FA7">
              <w:rPr>
                <w:noProof/>
                <w:webHidden/>
              </w:rPr>
              <w:instrText xml:space="preserve"> PAGEREF _Toc157432133 \h </w:instrText>
            </w:r>
            <w:r w:rsidR="00771FA7">
              <w:rPr>
                <w:noProof/>
                <w:webHidden/>
              </w:rPr>
            </w:r>
            <w:r w:rsidR="00771FA7">
              <w:rPr>
                <w:noProof/>
                <w:webHidden/>
              </w:rPr>
              <w:fldChar w:fldCharType="separate"/>
            </w:r>
            <w:r w:rsidR="00073642">
              <w:rPr>
                <w:noProof/>
                <w:webHidden/>
              </w:rPr>
              <w:t>30</w:t>
            </w:r>
            <w:r w:rsidR="00771FA7">
              <w:rPr>
                <w:noProof/>
                <w:webHidden/>
              </w:rPr>
              <w:fldChar w:fldCharType="end"/>
            </w:r>
          </w:hyperlink>
        </w:p>
        <w:p w14:paraId="18E62495" w14:textId="3F6490E0" w:rsidR="00771FA7" w:rsidRDefault="0032612E">
          <w:pPr>
            <w:pStyle w:val="TOC3"/>
            <w:tabs>
              <w:tab w:val="right" w:leader="dot" w:pos="9628"/>
            </w:tabs>
            <w:rPr>
              <w:noProof/>
              <w:szCs w:val="22"/>
              <w:lang w:eastAsia="en-AU"/>
            </w:rPr>
          </w:pPr>
          <w:hyperlink w:anchor="_Toc157432134" w:history="1">
            <w:r w:rsidR="00771FA7" w:rsidRPr="00567B19">
              <w:rPr>
                <w:rStyle w:val="Hyperlink"/>
                <w:noProof/>
              </w:rPr>
              <w:t>Inadequate security clearances</w:t>
            </w:r>
            <w:r w:rsidR="00771FA7">
              <w:rPr>
                <w:noProof/>
                <w:webHidden/>
              </w:rPr>
              <w:tab/>
            </w:r>
            <w:r w:rsidR="00771FA7">
              <w:rPr>
                <w:noProof/>
                <w:webHidden/>
              </w:rPr>
              <w:fldChar w:fldCharType="begin"/>
            </w:r>
            <w:r w:rsidR="00771FA7">
              <w:rPr>
                <w:noProof/>
                <w:webHidden/>
              </w:rPr>
              <w:instrText xml:space="preserve"> PAGEREF _Toc157432134 \h </w:instrText>
            </w:r>
            <w:r w:rsidR="00771FA7">
              <w:rPr>
                <w:noProof/>
                <w:webHidden/>
              </w:rPr>
            </w:r>
            <w:r w:rsidR="00771FA7">
              <w:rPr>
                <w:noProof/>
                <w:webHidden/>
              </w:rPr>
              <w:fldChar w:fldCharType="separate"/>
            </w:r>
            <w:r w:rsidR="00073642">
              <w:rPr>
                <w:noProof/>
                <w:webHidden/>
              </w:rPr>
              <w:t>31</w:t>
            </w:r>
            <w:r w:rsidR="00771FA7">
              <w:rPr>
                <w:noProof/>
                <w:webHidden/>
              </w:rPr>
              <w:fldChar w:fldCharType="end"/>
            </w:r>
          </w:hyperlink>
        </w:p>
        <w:p w14:paraId="501634DB" w14:textId="5A0A8908" w:rsidR="00771FA7" w:rsidRDefault="0032612E">
          <w:pPr>
            <w:pStyle w:val="TOC3"/>
            <w:tabs>
              <w:tab w:val="right" w:leader="dot" w:pos="9628"/>
            </w:tabs>
            <w:rPr>
              <w:noProof/>
              <w:szCs w:val="22"/>
              <w:lang w:eastAsia="en-AU"/>
            </w:rPr>
          </w:pPr>
          <w:hyperlink w:anchor="_Toc157432135" w:history="1">
            <w:r w:rsidR="00771FA7" w:rsidRPr="00567B19">
              <w:rPr>
                <w:rStyle w:val="Hyperlink"/>
                <w:noProof/>
              </w:rPr>
              <w:t>No senior executive or political interference</w:t>
            </w:r>
            <w:r w:rsidR="00771FA7">
              <w:rPr>
                <w:noProof/>
                <w:webHidden/>
              </w:rPr>
              <w:tab/>
            </w:r>
            <w:r w:rsidR="00771FA7">
              <w:rPr>
                <w:noProof/>
                <w:webHidden/>
              </w:rPr>
              <w:fldChar w:fldCharType="begin"/>
            </w:r>
            <w:r w:rsidR="00771FA7">
              <w:rPr>
                <w:noProof/>
                <w:webHidden/>
              </w:rPr>
              <w:instrText xml:space="preserve"> PAGEREF _Toc157432135 \h </w:instrText>
            </w:r>
            <w:r w:rsidR="00771FA7">
              <w:rPr>
                <w:noProof/>
                <w:webHidden/>
              </w:rPr>
            </w:r>
            <w:r w:rsidR="00771FA7">
              <w:rPr>
                <w:noProof/>
                <w:webHidden/>
              </w:rPr>
              <w:fldChar w:fldCharType="separate"/>
            </w:r>
            <w:r w:rsidR="00073642">
              <w:rPr>
                <w:noProof/>
                <w:webHidden/>
              </w:rPr>
              <w:t>31</w:t>
            </w:r>
            <w:r w:rsidR="00771FA7">
              <w:rPr>
                <w:noProof/>
                <w:webHidden/>
              </w:rPr>
              <w:fldChar w:fldCharType="end"/>
            </w:r>
          </w:hyperlink>
        </w:p>
        <w:p w14:paraId="7EF68F65" w14:textId="386A68B7" w:rsidR="00771FA7" w:rsidRDefault="0032612E">
          <w:pPr>
            <w:pStyle w:val="TOC1"/>
            <w:tabs>
              <w:tab w:val="right" w:leader="dot" w:pos="9628"/>
            </w:tabs>
            <w:rPr>
              <w:noProof/>
              <w:szCs w:val="22"/>
              <w:lang w:eastAsia="en-AU"/>
            </w:rPr>
          </w:pPr>
          <w:hyperlink w:anchor="_Toc157432136" w:history="1">
            <w:r w:rsidR="00771FA7" w:rsidRPr="00567B19">
              <w:rPr>
                <w:rStyle w:val="Hyperlink"/>
                <w:noProof/>
              </w:rPr>
              <w:t>5. Confirming transfer of 2003 Cabinet records</w:t>
            </w:r>
            <w:r w:rsidR="00771FA7">
              <w:rPr>
                <w:noProof/>
                <w:webHidden/>
              </w:rPr>
              <w:tab/>
            </w:r>
            <w:r w:rsidR="00771FA7">
              <w:rPr>
                <w:noProof/>
                <w:webHidden/>
              </w:rPr>
              <w:fldChar w:fldCharType="begin"/>
            </w:r>
            <w:r w:rsidR="00771FA7">
              <w:rPr>
                <w:noProof/>
                <w:webHidden/>
              </w:rPr>
              <w:instrText xml:space="preserve"> PAGEREF _Toc157432136 \h </w:instrText>
            </w:r>
            <w:r w:rsidR="00771FA7">
              <w:rPr>
                <w:noProof/>
                <w:webHidden/>
              </w:rPr>
            </w:r>
            <w:r w:rsidR="00771FA7">
              <w:rPr>
                <w:noProof/>
                <w:webHidden/>
              </w:rPr>
              <w:fldChar w:fldCharType="separate"/>
            </w:r>
            <w:r w:rsidR="00073642">
              <w:rPr>
                <w:noProof/>
                <w:webHidden/>
              </w:rPr>
              <w:t>34</w:t>
            </w:r>
            <w:r w:rsidR="00771FA7">
              <w:rPr>
                <w:noProof/>
                <w:webHidden/>
              </w:rPr>
              <w:fldChar w:fldCharType="end"/>
            </w:r>
          </w:hyperlink>
        </w:p>
        <w:p w14:paraId="53E80DBA" w14:textId="41420997" w:rsidR="00771FA7" w:rsidRDefault="0032612E">
          <w:pPr>
            <w:pStyle w:val="TOC2"/>
            <w:tabs>
              <w:tab w:val="right" w:leader="dot" w:pos="9628"/>
            </w:tabs>
            <w:rPr>
              <w:noProof/>
              <w:szCs w:val="22"/>
              <w:lang w:eastAsia="en-AU"/>
            </w:rPr>
          </w:pPr>
          <w:hyperlink w:anchor="_Toc157432137" w:history="1">
            <w:r w:rsidR="00771FA7" w:rsidRPr="00567B19">
              <w:rPr>
                <w:rStyle w:val="Hyperlink"/>
                <w:noProof/>
              </w:rPr>
              <w:t>December 2023</w:t>
            </w:r>
            <w:r w:rsidR="00771FA7">
              <w:rPr>
                <w:noProof/>
                <w:webHidden/>
              </w:rPr>
              <w:tab/>
            </w:r>
            <w:r w:rsidR="00771FA7">
              <w:rPr>
                <w:noProof/>
                <w:webHidden/>
              </w:rPr>
              <w:fldChar w:fldCharType="begin"/>
            </w:r>
            <w:r w:rsidR="00771FA7">
              <w:rPr>
                <w:noProof/>
                <w:webHidden/>
              </w:rPr>
              <w:instrText xml:space="preserve"> PAGEREF _Toc157432137 \h </w:instrText>
            </w:r>
            <w:r w:rsidR="00771FA7">
              <w:rPr>
                <w:noProof/>
                <w:webHidden/>
              </w:rPr>
            </w:r>
            <w:r w:rsidR="00771FA7">
              <w:rPr>
                <w:noProof/>
                <w:webHidden/>
              </w:rPr>
              <w:fldChar w:fldCharType="separate"/>
            </w:r>
            <w:r w:rsidR="00073642">
              <w:rPr>
                <w:noProof/>
                <w:webHidden/>
              </w:rPr>
              <w:t>34</w:t>
            </w:r>
            <w:r w:rsidR="00771FA7">
              <w:rPr>
                <w:noProof/>
                <w:webHidden/>
              </w:rPr>
              <w:fldChar w:fldCharType="end"/>
            </w:r>
          </w:hyperlink>
        </w:p>
        <w:p w14:paraId="0863721D" w14:textId="0BD81A3A" w:rsidR="00771FA7" w:rsidRDefault="0032612E">
          <w:pPr>
            <w:pStyle w:val="TOC2"/>
            <w:tabs>
              <w:tab w:val="right" w:leader="dot" w:pos="9628"/>
            </w:tabs>
            <w:rPr>
              <w:noProof/>
              <w:szCs w:val="22"/>
              <w:lang w:eastAsia="en-AU"/>
            </w:rPr>
          </w:pPr>
          <w:hyperlink w:anchor="_Toc157432138" w:history="1">
            <w:r w:rsidR="00771FA7" w:rsidRPr="00567B19">
              <w:rPr>
                <w:rStyle w:val="Hyperlink"/>
                <w:noProof/>
              </w:rPr>
              <w:t>Additional Cabinet records</w:t>
            </w:r>
            <w:r w:rsidR="00771FA7">
              <w:rPr>
                <w:noProof/>
                <w:webHidden/>
              </w:rPr>
              <w:tab/>
            </w:r>
            <w:r w:rsidR="00771FA7">
              <w:rPr>
                <w:noProof/>
                <w:webHidden/>
              </w:rPr>
              <w:fldChar w:fldCharType="begin"/>
            </w:r>
            <w:r w:rsidR="00771FA7">
              <w:rPr>
                <w:noProof/>
                <w:webHidden/>
              </w:rPr>
              <w:instrText xml:space="preserve"> PAGEREF _Toc157432138 \h </w:instrText>
            </w:r>
            <w:r w:rsidR="00771FA7">
              <w:rPr>
                <w:noProof/>
                <w:webHidden/>
              </w:rPr>
            </w:r>
            <w:r w:rsidR="00771FA7">
              <w:rPr>
                <w:noProof/>
                <w:webHidden/>
              </w:rPr>
              <w:fldChar w:fldCharType="separate"/>
            </w:r>
            <w:r w:rsidR="00073642">
              <w:rPr>
                <w:noProof/>
                <w:webHidden/>
              </w:rPr>
              <w:t>35</w:t>
            </w:r>
            <w:r w:rsidR="00771FA7">
              <w:rPr>
                <w:noProof/>
                <w:webHidden/>
              </w:rPr>
              <w:fldChar w:fldCharType="end"/>
            </w:r>
          </w:hyperlink>
        </w:p>
        <w:p w14:paraId="6A1D7855" w14:textId="638D94C3" w:rsidR="00771FA7" w:rsidRDefault="0032612E">
          <w:pPr>
            <w:pStyle w:val="TOC2"/>
            <w:tabs>
              <w:tab w:val="right" w:leader="dot" w:pos="9628"/>
            </w:tabs>
            <w:rPr>
              <w:noProof/>
              <w:szCs w:val="22"/>
              <w:lang w:eastAsia="en-AU"/>
            </w:rPr>
          </w:pPr>
          <w:hyperlink w:anchor="_Toc157432139" w:history="1">
            <w:r w:rsidR="00771FA7" w:rsidRPr="00567B19">
              <w:rPr>
                <w:rStyle w:val="Hyperlink"/>
                <w:noProof/>
              </w:rPr>
              <w:t>Iraq war records</w:t>
            </w:r>
            <w:r w:rsidR="00771FA7">
              <w:rPr>
                <w:noProof/>
                <w:webHidden/>
              </w:rPr>
              <w:tab/>
            </w:r>
            <w:r w:rsidR="00771FA7">
              <w:rPr>
                <w:noProof/>
                <w:webHidden/>
              </w:rPr>
              <w:fldChar w:fldCharType="begin"/>
            </w:r>
            <w:r w:rsidR="00771FA7">
              <w:rPr>
                <w:noProof/>
                <w:webHidden/>
              </w:rPr>
              <w:instrText xml:space="preserve"> PAGEREF _Toc157432139 \h </w:instrText>
            </w:r>
            <w:r w:rsidR="00771FA7">
              <w:rPr>
                <w:noProof/>
                <w:webHidden/>
              </w:rPr>
            </w:r>
            <w:r w:rsidR="00771FA7">
              <w:rPr>
                <w:noProof/>
                <w:webHidden/>
              </w:rPr>
              <w:fldChar w:fldCharType="separate"/>
            </w:r>
            <w:r w:rsidR="00073642">
              <w:rPr>
                <w:noProof/>
                <w:webHidden/>
              </w:rPr>
              <w:t>36</w:t>
            </w:r>
            <w:r w:rsidR="00771FA7">
              <w:rPr>
                <w:noProof/>
                <w:webHidden/>
              </w:rPr>
              <w:fldChar w:fldCharType="end"/>
            </w:r>
          </w:hyperlink>
        </w:p>
        <w:p w14:paraId="079E3EC2" w14:textId="2A1AB32D" w:rsidR="00771FA7" w:rsidRDefault="0032612E">
          <w:pPr>
            <w:pStyle w:val="TOC1"/>
            <w:tabs>
              <w:tab w:val="right" w:leader="dot" w:pos="9628"/>
            </w:tabs>
            <w:rPr>
              <w:noProof/>
              <w:szCs w:val="22"/>
              <w:lang w:eastAsia="en-AU"/>
            </w:rPr>
          </w:pPr>
          <w:hyperlink w:anchor="_Toc157432140" w:history="1">
            <w:r w:rsidR="00771FA7" w:rsidRPr="00567B19">
              <w:rPr>
                <w:rStyle w:val="Hyperlink"/>
                <w:noProof/>
              </w:rPr>
              <w:t>6. Transfer of 2004-2007 Cabinet records</w:t>
            </w:r>
            <w:r w:rsidR="00771FA7">
              <w:rPr>
                <w:noProof/>
                <w:webHidden/>
              </w:rPr>
              <w:tab/>
            </w:r>
            <w:r w:rsidR="00771FA7">
              <w:rPr>
                <w:noProof/>
                <w:webHidden/>
              </w:rPr>
              <w:fldChar w:fldCharType="begin"/>
            </w:r>
            <w:r w:rsidR="00771FA7">
              <w:rPr>
                <w:noProof/>
                <w:webHidden/>
              </w:rPr>
              <w:instrText xml:space="preserve"> PAGEREF _Toc157432140 \h </w:instrText>
            </w:r>
            <w:r w:rsidR="00771FA7">
              <w:rPr>
                <w:noProof/>
                <w:webHidden/>
              </w:rPr>
            </w:r>
            <w:r w:rsidR="00771FA7">
              <w:rPr>
                <w:noProof/>
                <w:webHidden/>
              </w:rPr>
              <w:fldChar w:fldCharType="separate"/>
            </w:r>
            <w:r w:rsidR="00073642">
              <w:rPr>
                <w:noProof/>
                <w:webHidden/>
              </w:rPr>
              <w:t>38</w:t>
            </w:r>
            <w:r w:rsidR="00771FA7">
              <w:rPr>
                <w:noProof/>
                <w:webHidden/>
              </w:rPr>
              <w:fldChar w:fldCharType="end"/>
            </w:r>
          </w:hyperlink>
        </w:p>
        <w:p w14:paraId="5CDA3ED7" w14:textId="2DD42CDC" w:rsidR="00771FA7" w:rsidRDefault="0032612E">
          <w:pPr>
            <w:pStyle w:val="TOC1"/>
            <w:tabs>
              <w:tab w:val="right" w:leader="dot" w:pos="9628"/>
            </w:tabs>
            <w:rPr>
              <w:noProof/>
              <w:szCs w:val="22"/>
              <w:lang w:eastAsia="en-AU"/>
            </w:rPr>
          </w:pPr>
          <w:hyperlink w:anchor="_Toc157432141" w:history="1">
            <w:r w:rsidR="00771FA7" w:rsidRPr="00567B19">
              <w:rPr>
                <w:rStyle w:val="Hyperlink"/>
                <w:noProof/>
              </w:rPr>
              <w:t>7. National Archives of Australia and National Security Committee of Cabinet</w:t>
            </w:r>
            <w:r w:rsidR="00771FA7">
              <w:rPr>
                <w:noProof/>
                <w:webHidden/>
              </w:rPr>
              <w:tab/>
            </w:r>
            <w:r w:rsidR="00771FA7">
              <w:rPr>
                <w:noProof/>
                <w:webHidden/>
              </w:rPr>
              <w:fldChar w:fldCharType="begin"/>
            </w:r>
            <w:r w:rsidR="00771FA7">
              <w:rPr>
                <w:noProof/>
                <w:webHidden/>
              </w:rPr>
              <w:instrText xml:space="preserve"> PAGEREF _Toc157432141 \h </w:instrText>
            </w:r>
            <w:r w:rsidR="00771FA7">
              <w:rPr>
                <w:noProof/>
                <w:webHidden/>
              </w:rPr>
            </w:r>
            <w:r w:rsidR="00771FA7">
              <w:rPr>
                <w:noProof/>
                <w:webHidden/>
              </w:rPr>
              <w:fldChar w:fldCharType="separate"/>
            </w:r>
            <w:r w:rsidR="00073642">
              <w:rPr>
                <w:noProof/>
                <w:webHidden/>
              </w:rPr>
              <w:t>39</w:t>
            </w:r>
            <w:r w:rsidR="00771FA7">
              <w:rPr>
                <w:noProof/>
                <w:webHidden/>
              </w:rPr>
              <w:fldChar w:fldCharType="end"/>
            </w:r>
          </w:hyperlink>
        </w:p>
        <w:p w14:paraId="3BA997F2" w14:textId="41BF157E" w:rsidR="00771FA7" w:rsidRDefault="0032612E">
          <w:pPr>
            <w:pStyle w:val="TOC2"/>
            <w:tabs>
              <w:tab w:val="right" w:leader="dot" w:pos="9628"/>
            </w:tabs>
            <w:rPr>
              <w:noProof/>
              <w:szCs w:val="22"/>
              <w:lang w:eastAsia="en-AU"/>
            </w:rPr>
          </w:pPr>
          <w:hyperlink w:anchor="_Toc157432142" w:history="1">
            <w:r w:rsidR="00771FA7" w:rsidRPr="00567B19">
              <w:rPr>
                <w:rStyle w:val="Hyperlink"/>
                <w:noProof/>
              </w:rPr>
              <w:t>Legislative requirements under the Archives Act</w:t>
            </w:r>
            <w:r w:rsidR="00771FA7">
              <w:rPr>
                <w:noProof/>
                <w:webHidden/>
              </w:rPr>
              <w:tab/>
            </w:r>
            <w:r w:rsidR="00771FA7">
              <w:rPr>
                <w:noProof/>
                <w:webHidden/>
              </w:rPr>
              <w:fldChar w:fldCharType="begin"/>
            </w:r>
            <w:r w:rsidR="00771FA7">
              <w:rPr>
                <w:noProof/>
                <w:webHidden/>
              </w:rPr>
              <w:instrText xml:space="preserve"> PAGEREF _Toc157432142 \h </w:instrText>
            </w:r>
            <w:r w:rsidR="00771FA7">
              <w:rPr>
                <w:noProof/>
                <w:webHidden/>
              </w:rPr>
            </w:r>
            <w:r w:rsidR="00771FA7">
              <w:rPr>
                <w:noProof/>
                <w:webHidden/>
              </w:rPr>
              <w:fldChar w:fldCharType="separate"/>
            </w:r>
            <w:r w:rsidR="00073642">
              <w:rPr>
                <w:noProof/>
                <w:webHidden/>
              </w:rPr>
              <w:t>39</w:t>
            </w:r>
            <w:r w:rsidR="00771FA7">
              <w:rPr>
                <w:noProof/>
                <w:webHidden/>
              </w:rPr>
              <w:fldChar w:fldCharType="end"/>
            </w:r>
          </w:hyperlink>
        </w:p>
        <w:p w14:paraId="7436F095" w14:textId="6113E9AC" w:rsidR="00771FA7" w:rsidRDefault="0032612E">
          <w:pPr>
            <w:pStyle w:val="TOC2"/>
            <w:tabs>
              <w:tab w:val="right" w:leader="dot" w:pos="9628"/>
            </w:tabs>
            <w:rPr>
              <w:noProof/>
              <w:szCs w:val="22"/>
              <w:lang w:eastAsia="en-AU"/>
            </w:rPr>
          </w:pPr>
          <w:hyperlink w:anchor="_Toc157432143" w:history="1">
            <w:r w:rsidR="00771FA7" w:rsidRPr="00567B19">
              <w:rPr>
                <w:rStyle w:val="Hyperlink"/>
                <w:noProof/>
              </w:rPr>
              <w:t>Inadequate security clearances</w:t>
            </w:r>
            <w:r w:rsidR="00771FA7">
              <w:rPr>
                <w:noProof/>
                <w:webHidden/>
              </w:rPr>
              <w:tab/>
            </w:r>
            <w:r w:rsidR="00771FA7">
              <w:rPr>
                <w:noProof/>
                <w:webHidden/>
              </w:rPr>
              <w:fldChar w:fldCharType="begin"/>
            </w:r>
            <w:r w:rsidR="00771FA7">
              <w:rPr>
                <w:noProof/>
                <w:webHidden/>
              </w:rPr>
              <w:instrText xml:space="preserve"> PAGEREF _Toc157432143 \h </w:instrText>
            </w:r>
            <w:r w:rsidR="00771FA7">
              <w:rPr>
                <w:noProof/>
                <w:webHidden/>
              </w:rPr>
            </w:r>
            <w:r w:rsidR="00771FA7">
              <w:rPr>
                <w:noProof/>
                <w:webHidden/>
              </w:rPr>
              <w:fldChar w:fldCharType="separate"/>
            </w:r>
            <w:r w:rsidR="00073642">
              <w:rPr>
                <w:noProof/>
                <w:webHidden/>
              </w:rPr>
              <w:t>39</w:t>
            </w:r>
            <w:r w:rsidR="00771FA7">
              <w:rPr>
                <w:noProof/>
                <w:webHidden/>
              </w:rPr>
              <w:fldChar w:fldCharType="end"/>
            </w:r>
          </w:hyperlink>
        </w:p>
        <w:p w14:paraId="7AB883E1" w14:textId="2FCA9BA7" w:rsidR="00771FA7" w:rsidRDefault="0032612E">
          <w:pPr>
            <w:pStyle w:val="TOC2"/>
            <w:tabs>
              <w:tab w:val="right" w:leader="dot" w:pos="9628"/>
            </w:tabs>
            <w:rPr>
              <w:noProof/>
              <w:szCs w:val="22"/>
              <w:lang w:eastAsia="en-AU"/>
            </w:rPr>
          </w:pPr>
          <w:hyperlink w:anchor="_Toc157432144" w:history="1">
            <w:r w:rsidR="00771FA7" w:rsidRPr="00567B19">
              <w:rPr>
                <w:rStyle w:val="Hyperlink"/>
                <w:noProof/>
              </w:rPr>
              <w:t>The proactive public release scheme</w:t>
            </w:r>
            <w:r w:rsidR="00771FA7">
              <w:rPr>
                <w:noProof/>
                <w:webHidden/>
              </w:rPr>
              <w:tab/>
            </w:r>
            <w:r w:rsidR="00771FA7">
              <w:rPr>
                <w:noProof/>
                <w:webHidden/>
              </w:rPr>
              <w:fldChar w:fldCharType="begin"/>
            </w:r>
            <w:r w:rsidR="00771FA7">
              <w:rPr>
                <w:noProof/>
                <w:webHidden/>
              </w:rPr>
              <w:instrText xml:space="preserve"> PAGEREF _Toc157432144 \h </w:instrText>
            </w:r>
            <w:r w:rsidR="00771FA7">
              <w:rPr>
                <w:noProof/>
                <w:webHidden/>
              </w:rPr>
            </w:r>
            <w:r w:rsidR="00771FA7">
              <w:rPr>
                <w:noProof/>
                <w:webHidden/>
              </w:rPr>
              <w:fldChar w:fldCharType="separate"/>
            </w:r>
            <w:r w:rsidR="00073642">
              <w:rPr>
                <w:noProof/>
                <w:webHidden/>
              </w:rPr>
              <w:t>40</w:t>
            </w:r>
            <w:r w:rsidR="00771FA7">
              <w:rPr>
                <w:noProof/>
                <w:webHidden/>
              </w:rPr>
              <w:fldChar w:fldCharType="end"/>
            </w:r>
          </w:hyperlink>
        </w:p>
        <w:p w14:paraId="13A84368" w14:textId="495876EF" w:rsidR="00771FA7" w:rsidRDefault="0032612E">
          <w:pPr>
            <w:pStyle w:val="TOC2"/>
            <w:tabs>
              <w:tab w:val="right" w:leader="dot" w:pos="9628"/>
            </w:tabs>
            <w:rPr>
              <w:noProof/>
              <w:szCs w:val="22"/>
              <w:lang w:eastAsia="en-AU"/>
            </w:rPr>
          </w:pPr>
          <w:hyperlink w:anchor="_Toc157432145" w:history="1">
            <w:r w:rsidR="00771FA7" w:rsidRPr="00567B19">
              <w:rPr>
                <w:rStyle w:val="Hyperlink"/>
                <w:noProof/>
              </w:rPr>
              <w:t>National Security Committee of Cabinet</w:t>
            </w:r>
            <w:r w:rsidR="00771FA7">
              <w:rPr>
                <w:noProof/>
                <w:webHidden/>
              </w:rPr>
              <w:tab/>
            </w:r>
            <w:r w:rsidR="00771FA7">
              <w:rPr>
                <w:noProof/>
                <w:webHidden/>
              </w:rPr>
              <w:fldChar w:fldCharType="begin"/>
            </w:r>
            <w:r w:rsidR="00771FA7">
              <w:rPr>
                <w:noProof/>
                <w:webHidden/>
              </w:rPr>
              <w:instrText xml:space="preserve"> PAGEREF _Toc157432145 \h </w:instrText>
            </w:r>
            <w:r w:rsidR="00771FA7">
              <w:rPr>
                <w:noProof/>
                <w:webHidden/>
              </w:rPr>
            </w:r>
            <w:r w:rsidR="00771FA7">
              <w:rPr>
                <w:noProof/>
                <w:webHidden/>
              </w:rPr>
              <w:fldChar w:fldCharType="separate"/>
            </w:r>
            <w:r w:rsidR="00073642">
              <w:rPr>
                <w:noProof/>
                <w:webHidden/>
              </w:rPr>
              <w:t>40</w:t>
            </w:r>
            <w:r w:rsidR="00771FA7">
              <w:rPr>
                <w:noProof/>
                <w:webHidden/>
              </w:rPr>
              <w:fldChar w:fldCharType="end"/>
            </w:r>
          </w:hyperlink>
        </w:p>
        <w:p w14:paraId="392E9937" w14:textId="3A8DC64C" w:rsidR="00771FA7" w:rsidRDefault="0032612E">
          <w:pPr>
            <w:pStyle w:val="TOC2"/>
            <w:tabs>
              <w:tab w:val="right" w:leader="dot" w:pos="9628"/>
            </w:tabs>
            <w:rPr>
              <w:noProof/>
              <w:szCs w:val="22"/>
              <w:lang w:eastAsia="en-AU"/>
            </w:rPr>
          </w:pPr>
          <w:hyperlink w:anchor="_Toc157432146" w:history="1">
            <w:r w:rsidR="00771FA7" w:rsidRPr="00567B19">
              <w:rPr>
                <w:rStyle w:val="Hyperlink"/>
                <w:noProof/>
              </w:rPr>
              <w:t>Records remain available for public access</w:t>
            </w:r>
            <w:r w:rsidR="00771FA7">
              <w:rPr>
                <w:noProof/>
                <w:webHidden/>
              </w:rPr>
              <w:tab/>
            </w:r>
            <w:r w:rsidR="00771FA7">
              <w:rPr>
                <w:noProof/>
                <w:webHidden/>
              </w:rPr>
              <w:fldChar w:fldCharType="begin"/>
            </w:r>
            <w:r w:rsidR="00771FA7">
              <w:rPr>
                <w:noProof/>
                <w:webHidden/>
              </w:rPr>
              <w:instrText xml:space="preserve"> PAGEREF _Toc157432146 \h </w:instrText>
            </w:r>
            <w:r w:rsidR="00771FA7">
              <w:rPr>
                <w:noProof/>
                <w:webHidden/>
              </w:rPr>
            </w:r>
            <w:r w:rsidR="00771FA7">
              <w:rPr>
                <w:noProof/>
                <w:webHidden/>
              </w:rPr>
              <w:fldChar w:fldCharType="separate"/>
            </w:r>
            <w:r w:rsidR="00073642">
              <w:rPr>
                <w:noProof/>
                <w:webHidden/>
              </w:rPr>
              <w:t>41</w:t>
            </w:r>
            <w:r w:rsidR="00771FA7">
              <w:rPr>
                <w:noProof/>
                <w:webHidden/>
              </w:rPr>
              <w:fldChar w:fldCharType="end"/>
            </w:r>
          </w:hyperlink>
        </w:p>
        <w:p w14:paraId="4BB8A1CE" w14:textId="585315E0" w:rsidR="00771FA7" w:rsidRDefault="0032612E">
          <w:pPr>
            <w:pStyle w:val="TOC1"/>
            <w:tabs>
              <w:tab w:val="right" w:leader="dot" w:pos="9628"/>
            </w:tabs>
            <w:rPr>
              <w:noProof/>
              <w:szCs w:val="22"/>
              <w:lang w:eastAsia="en-AU"/>
            </w:rPr>
          </w:pPr>
          <w:hyperlink w:anchor="_Toc157432147" w:history="1">
            <w:r w:rsidR="00771FA7" w:rsidRPr="00567B19">
              <w:rPr>
                <w:rStyle w:val="Hyperlink"/>
                <w:noProof/>
              </w:rPr>
              <w:t>References</w:t>
            </w:r>
            <w:r w:rsidR="00771FA7">
              <w:rPr>
                <w:noProof/>
                <w:webHidden/>
              </w:rPr>
              <w:tab/>
            </w:r>
            <w:r w:rsidR="00771FA7">
              <w:rPr>
                <w:noProof/>
                <w:webHidden/>
              </w:rPr>
              <w:fldChar w:fldCharType="begin"/>
            </w:r>
            <w:r w:rsidR="00771FA7">
              <w:rPr>
                <w:noProof/>
                <w:webHidden/>
              </w:rPr>
              <w:instrText xml:space="preserve"> PAGEREF _Toc157432147 \h </w:instrText>
            </w:r>
            <w:r w:rsidR="00771FA7">
              <w:rPr>
                <w:noProof/>
                <w:webHidden/>
              </w:rPr>
            </w:r>
            <w:r w:rsidR="00771FA7">
              <w:rPr>
                <w:noProof/>
                <w:webHidden/>
              </w:rPr>
              <w:fldChar w:fldCharType="separate"/>
            </w:r>
            <w:r w:rsidR="00073642">
              <w:rPr>
                <w:noProof/>
                <w:webHidden/>
              </w:rPr>
              <w:t>42</w:t>
            </w:r>
            <w:r w:rsidR="00771FA7">
              <w:rPr>
                <w:noProof/>
                <w:webHidden/>
              </w:rPr>
              <w:fldChar w:fldCharType="end"/>
            </w:r>
          </w:hyperlink>
        </w:p>
        <w:p w14:paraId="052438FA" w14:textId="1388919E" w:rsidR="00771FA7" w:rsidRDefault="0032612E">
          <w:pPr>
            <w:pStyle w:val="TOC2"/>
            <w:tabs>
              <w:tab w:val="right" w:leader="dot" w:pos="9628"/>
            </w:tabs>
            <w:rPr>
              <w:noProof/>
              <w:szCs w:val="22"/>
              <w:lang w:eastAsia="en-AU"/>
            </w:rPr>
          </w:pPr>
          <w:hyperlink w:anchor="_Toc157432148" w:history="1">
            <w:r w:rsidR="00771FA7" w:rsidRPr="00567B19">
              <w:rPr>
                <w:rStyle w:val="Hyperlink"/>
                <w:noProof/>
              </w:rPr>
              <w:t>Articles/Books/Reports</w:t>
            </w:r>
            <w:r w:rsidR="00771FA7">
              <w:rPr>
                <w:noProof/>
                <w:webHidden/>
              </w:rPr>
              <w:tab/>
            </w:r>
            <w:r w:rsidR="00771FA7">
              <w:rPr>
                <w:noProof/>
                <w:webHidden/>
              </w:rPr>
              <w:fldChar w:fldCharType="begin"/>
            </w:r>
            <w:r w:rsidR="00771FA7">
              <w:rPr>
                <w:noProof/>
                <w:webHidden/>
              </w:rPr>
              <w:instrText xml:space="preserve"> PAGEREF _Toc157432148 \h </w:instrText>
            </w:r>
            <w:r w:rsidR="00771FA7">
              <w:rPr>
                <w:noProof/>
                <w:webHidden/>
              </w:rPr>
            </w:r>
            <w:r w:rsidR="00771FA7">
              <w:rPr>
                <w:noProof/>
                <w:webHidden/>
              </w:rPr>
              <w:fldChar w:fldCharType="separate"/>
            </w:r>
            <w:r w:rsidR="00073642">
              <w:rPr>
                <w:noProof/>
                <w:webHidden/>
              </w:rPr>
              <w:t>42</w:t>
            </w:r>
            <w:r w:rsidR="00771FA7">
              <w:rPr>
                <w:noProof/>
                <w:webHidden/>
              </w:rPr>
              <w:fldChar w:fldCharType="end"/>
            </w:r>
          </w:hyperlink>
        </w:p>
        <w:p w14:paraId="59AA79D4" w14:textId="7AE44196" w:rsidR="00771FA7" w:rsidRDefault="0032612E">
          <w:pPr>
            <w:pStyle w:val="TOC2"/>
            <w:tabs>
              <w:tab w:val="right" w:leader="dot" w:pos="9628"/>
            </w:tabs>
            <w:rPr>
              <w:noProof/>
              <w:szCs w:val="22"/>
              <w:lang w:eastAsia="en-AU"/>
            </w:rPr>
          </w:pPr>
          <w:hyperlink w:anchor="_Toc157432149" w:history="1">
            <w:r w:rsidR="00771FA7" w:rsidRPr="00567B19">
              <w:rPr>
                <w:rStyle w:val="Hyperlink"/>
                <w:noProof/>
              </w:rPr>
              <w:t>Legislation</w:t>
            </w:r>
            <w:r w:rsidR="00771FA7">
              <w:rPr>
                <w:noProof/>
                <w:webHidden/>
              </w:rPr>
              <w:tab/>
            </w:r>
            <w:r w:rsidR="00771FA7">
              <w:rPr>
                <w:noProof/>
                <w:webHidden/>
              </w:rPr>
              <w:fldChar w:fldCharType="begin"/>
            </w:r>
            <w:r w:rsidR="00771FA7">
              <w:rPr>
                <w:noProof/>
                <w:webHidden/>
              </w:rPr>
              <w:instrText xml:space="preserve"> PAGEREF _Toc157432149 \h </w:instrText>
            </w:r>
            <w:r w:rsidR="00771FA7">
              <w:rPr>
                <w:noProof/>
                <w:webHidden/>
              </w:rPr>
            </w:r>
            <w:r w:rsidR="00771FA7">
              <w:rPr>
                <w:noProof/>
                <w:webHidden/>
              </w:rPr>
              <w:fldChar w:fldCharType="separate"/>
            </w:r>
            <w:r w:rsidR="00073642">
              <w:rPr>
                <w:noProof/>
                <w:webHidden/>
              </w:rPr>
              <w:t>42</w:t>
            </w:r>
            <w:r w:rsidR="00771FA7">
              <w:rPr>
                <w:noProof/>
                <w:webHidden/>
              </w:rPr>
              <w:fldChar w:fldCharType="end"/>
            </w:r>
          </w:hyperlink>
        </w:p>
        <w:p w14:paraId="7C109DE4" w14:textId="258E8A6B" w:rsidR="00771FA7" w:rsidRDefault="0032612E">
          <w:pPr>
            <w:pStyle w:val="TOC2"/>
            <w:tabs>
              <w:tab w:val="right" w:leader="dot" w:pos="9628"/>
            </w:tabs>
            <w:rPr>
              <w:noProof/>
              <w:szCs w:val="22"/>
              <w:lang w:eastAsia="en-AU"/>
            </w:rPr>
          </w:pPr>
          <w:hyperlink w:anchor="_Toc157432150" w:history="1">
            <w:r w:rsidR="00771FA7" w:rsidRPr="00567B19">
              <w:rPr>
                <w:rStyle w:val="Hyperlink"/>
                <w:noProof/>
              </w:rPr>
              <w:t>Other</w:t>
            </w:r>
            <w:r w:rsidR="00771FA7">
              <w:rPr>
                <w:noProof/>
                <w:webHidden/>
              </w:rPr>
              <w:tab/>
            </w:r>
            <w:r w:rsidR="00771FA7">
              <w:rPr>
                <w:noProof/>
                <w:webHidden/>
              </w:rPr>
              <w:fldChar w:fldCharType="begin"/>
            </w:r>
            <w:r w:rsidR="00771FA7">
              <w:rPr>
                <w:noProof/>
                <w:webHidden/>
              </w:rPr>
              <w:instrText xml:space="preserve"> PAGEREF _Toc157432150 \h </w:instrText>
            </w:r>
            <w:r w:rsidR="00771FA7">
              <w:rPr>
                <w:noProof/>
                <w:webHidden/>
              </w:rPr>
            </w:r>
            <w:r w:rsidR="00771FA7">
              <w:rPr>
                <w:noProof/>
                <w:webHidden/>
              </w:rPr>
              <w:fldChar w:fldCharType="separate"/>
            </w:r>
            <w:r w:rsidR="00073642">
              <w:rPr>
                <w:noProof/>
                <w:webHidden/>
              </w:rPr>
              <w:t>42</w:t>
            </w:r>
            <w:r w:rsidR="00771FA7">
              <w:rPr>
                <w:noProof/>
                <w:webHidden/>
              </w:rPr>
              <w:fldChar w:fldCharType="end"/>
            </w:r>
          </w:hyperlink>
        </w:p>
        <w:p w14:paraId="62BBF76C" w14:textId="7575FD9C" w:rsidR="00771FA7" w:rsidRDefault="000F6F29" w:rsidP="00BC2ABB">
          <w:pPr>
            <w:spacing w:line="360" w:lineRule="auto"/>
            <w:rPr>
              <w:b/>
              <w:bCs/>
              <w:noProof/>
              <w:sz w:val="28"/>
              <w:szCs w:val="28"/>
            </w:rPr>
            <w:sectPr w:rsidR="00771FA7" w:rsidSect="00BD171D">
              <w:footerReference w:type="default" r:id="rId24"/>
              <w:pgSz w:w="11906" w:h="16838"/>
              <w:pgMar w:top="1701" w:right="1134" w:bottom="1843" w:left="1134" w:header="993" w:footer="709" w:gutter="0"/>
              <w:pgNumType w:start="1"/>
              <w:cols w:space="708"/>
              <w:docGrid w:linePitch="360"/>
            </w:sectPr>
          </w:pPr>
          <w:r w:rsidRPr="00BB4E32">
            <w:rPr>
              <w:b/>
              <w:bCs/>
              <w:noProof/>
              <w:sz w:val="28"/>
              <w:szCs w:val="28"/>
            </w:rPr>
            <w:fldChar w:fldCharType="end"/>
          </w:r>
        </w:p>
        <w:p w14:paraId="478C6FB4" w14:textId="23A3ECB1" w:rsidR="000F6F29" w:rsidRPr="00472D83" w:rsidRDefault="0032612E" w:rsidP="00BC2ABB">
          <w:pPr>
            <w:spacing w:line="360" w:lineRule="auto"/>
            <w:rPr>
              <w:rFonts w:asciiTheme="majorHAnsi" w:eastAsiaTheme="majorEastAsia" w:hAnsiTheme="majorHAnsi" w:cstheme="majorBidi"/>
              <w:noProof/>
              <w:color w:val="1B375C" w:themeColor="accent1"/>
              <w:sz w:val="28"/>
              <w:szCs w:val="28"/>
            </w:rPr>
          </w:pPr>
        </w:p>
      </w:sdtContent>
    </w:sdt>
    <w:p w14:paraId="1065ABFB" w14:textId="681B23B5" w:rsidR="00117A77" w:rsidRPr="00037B09" w:rsidRDefault="00E838AE" w:rsidP="00771FA7">
      <w:pPr>
        <w:pStyle w:val="Heading1"/>
        <w:spacing w:line="360" w:lineRule="auto"/>
        <w:rPr>
          <w:noProof/>
        </w:rPr>
      </w:pPr>
      <w:bookmarkStart w:id="1" w:name="_Toc155699022"/>
      <w:bookmarkStart w:id="2" w:name="_Toc155700964"/>
      <w:bookmarkStart w:id="3" w:name="_Toc155799944"/>
      <w:bookmarkStart w:id="4" w:name="_Toc155875090"/>
      <w:bookmarkStart w:id="5" w:name="_Toc156565949"/>
      <w:bookmarkStart w:id="6" w:name="_Toc157432097"/>
      <w:r w:rsidRPr="00037B09">
        <w:rPr>
          <w:noProof/>
        </w:rPr>
        <w:t>Acronyms</w:t>
      </w:r>
      <w:r w:rsidR="00B345E3">
        <w:rPr>
          <w:noProof/>
        </w:rPr>
        <w:t xml:space="preserve">, </w:t>
      </w:r>
      <w:r w:rsidRPr="00037B09">
        <w:rPr>
          <w:noProof/>
        </w:rPr>
        <w:t>abbreviations</w:t>
      </w:r>
      <w:bookmarkEnd w:id="1"/>
      <w:bookmarkEnd w:id="2"/>
      <w:bookmarkEnd w:id="3"/>
      <w:bookmarkEnd w:id="4"/>
      <w:bookmarkEnd w:id="5"/>
      <w:r w:rsidR="00B345E3">
        <w:rPr>
          <w:noProof/>
        </w:rPr>
        <w:t xml:space="preserve"> and definitions</w:t>
      </w:r>
      <w:bookmarkEnd w:id="6"/>
      <w:r w:rsidR="00B345E3">
        <w:rPr>
          <w:noProof/>
        </w:rPr>
        <w:t xml:space="preserve"> </w:t>
      </w:r>
    </w:p>
    <w:p w14:paraId="278384F1" w14:textId="60367306" w:rsidR="00E838AE" w:rsidRPr="00037B09" w:rsidRDefault="00E838AE" w:rsidP="00BC2ABB">
      <w:pPr>
        <w:spacing w:line="360" w:lineRule="auto"/>
        <w:rPr>
          <w:sz w:val="28"/>
          <w:szCs w:val="28"/>
        </w:rPr>
      </w:pPr>
      <w:r w:rsidRPr="00037B09">
        <w:rPr>
          <w:sz w:val="28"/>
          <w:szCs w:val="28"/>
        </w:rPr>
        <w:t>Table 1. Acronyms</w:t>
      </w:r>
      <w:r w:rsidR="00084FA2">
        <w:rPr>
          <w:sz w:val="28"/>
          <w:szCs w:val="28"/>
        </w:rPr>
        <w:t>,</w:t>
      </w:r>
      <w:r w:rsidRPr="00037B09">
        <w:rPr>
          <w:sz w:val="28"/>
          <w:szCs w:val="28"/>
        </w:rPr>
        <w:t xml:space="preserve"> abbreviations</w:t>
      </w:r>
      <w:r w:rsidR="00084FA2">
        <w:rPr>
          <w:sz w:val="28"/>
          <w:szCs w:val="28"/>
        </w:rPr>
        <w:t xml:space="preserve"> and definitions </w:t>
      </w:r>
    </w:p>
    <w:tbl>
      <w:tblPr>
        <w:tblStyle w:val="Custom1"/>
        <w:tblW w:w="0" w:type="auto"/>
        <w:tblLook w:val="04A0" w:firstRow="1" w:lastRow="0" w:firstColumn="1" w:lastColumn="0" w:noHBand="0" w:noVBand="1"/>
        <w:tblCaption w:val="Acronyms and abbreviations"/>
        <w:tblDescription w:val="Summary of meanings for certain acronyms and abbreviations used throughout the report."/>
      </w:tblPr>
      <w:tblGrid>
        <w:gridCol w:w="4814"/>
        <w:gridCol w:w="4814"/>
      </w:tblGrid>
      <w:tr w:rsidR="00E838AE" w:rsidRPr="00037B09" w14:paraId="0726E9D2" w14:textId="77777777" w:rsidTr="0003050F">
        <w:trPr>
          <w:cnfStyle w:val="100000000000" w:firstRow="1" w:lastRow="0" w:firstColumn="0" w:lastColumn="0" w:oddVBand="0" w:evenVBand="0" w:oddHBand="0" w:evenHBand="0" w:firstRowFirstColumn="0" w:firstRowLastColumn="0" w:lastRowFirstColumn="0" w:lastRowLastColumn="0"/>
          <w:tblHeader/>
        </w:trPr>
        <w:tc>
          <w:tcPr>
            <w:tcW w:w="4814" w:type="dxa"/>
          </w:tcPr>
          <w:p w14:paraId="7B8FDED6" w14:textId="77777777" w:rsidR="00E838AE" w:rsidRPr="00037B09" w:rsidRDefault="00E838AE" w:rsidP="00BC2ABB">
            <w:pPr>
              <w:spacing w:line="360" w:lineRule="auto"/>
              <w:rPr>
                <w:sz w:val="28"/>
                <w:szCs w:val="28"/>
              </w:rPr>
            </w:pPr>
            <w:r w:rsidRPr="00037B09">
              <w:rPr>
                <w:sz w:val="28"/>
                <w:szCs w:val="28"/>
              </w:rPr>
              <w:t>Term</w:t>
            </w:r>
          </w:p>
        </w:tc>
        <w:tc>
          <w:tcPr>
            <w:tcW w:w="4814" w:type="dxa"/>
          </w:tcPr>
          <w:p w14:paraId="5964B2A9" w14:textId="77777777" w:rsidR="00E838AE" w:rsidRPr="00037B09" w:rsidRDefault="00E838AE" w:rsidP="00BC2ABB">
            <w:pPr>
              <w:spacing w:line="360" w:lineRule="auto"/>
              <w:rPr>
                <w:sz w:val="28"/>
                <w:szCs w:val="28"/>
              </w:rPr>
            </w:pPr>
            <w:r w:rsidRPr="00037B09">
              <w:rPr>
                <w:sz w:val="28"/>
                <w:szCs w:val="28"/>
              </w:rPr>
              <w:t>Meaning</w:t>
            </w:r>
          </w:p>
        </w:tc>
      </w:tr>
      <w:tr w:rsidR="00916D2A" w:rsidRPr="00037B09" w14:paraId="3CD8C935"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6A4A34AB" w14:textId="77777777" w:rsidR="00916D2A" w:rsidRPr="00037B09" w:rsidRDefault="00916D2A" w:rsidP="00BC2ABB">
            <w:pPr>
              <w:spacing w:line="360" w:lineRule="auto"/>
              <w:rPr>
                <w:sz w:val="28"/>
                <w:szCs w:val="28"/>
              </w:rPr>
            </w:pPr>
            <w:r w:rsidRPr="00037B09">
              <w:rPr>
                <w:sz w:val="28"/>
                <w:szCs w:val="28"/>
              </w:rPr>
              <w:t>Archives Act</w:t>
            </w:r>
          </w:p>
        </w:tc>
        <w:tc>
          <w:tcPr>
            <w:tcW w:w="4814" w:type="dxa"/>
          </w:tcPr>
          <w:p w14:paraId="3BD3866D" w14:textId="77777777" w:rsidR="00916D2A" w:rsidRPr="00037B09" w:rsidRDefault="00916D2A" w:rsidP="00BC2ABB">
            <w:pPr>
              <w:spacing w:line="360" w:lineRule="auto"/>
              <w:rPr>
                <w:i/>
                <w:sz w:val="28"/>
                <w:szCs w:val="28"/>
              </w:rPr>
            </w:pPr>
            <w:r w:rsidRPr="00037B09">
              <w:rPr>
                <w:i/>
                <w:sz w:val="28"/>
                <w:szCs w:val="28"/>
              </w:rPr>
              <w:t>Archives Act 1983</w:t>
            </w:r>
          </w:p>
        </w:tc>
      </w:tr>
      <w:tr w:rsidR="00916D2A" w:rsidRPr="00037B09" w14:paraId="3C3C780B" w14:textId="77777777" w:rsidTr="00E838AE">
        <w:tc>
          <w:tcPr>
            <w:tcW w:w="4814" w:type="dxa"/>
          </w:tcPr>
          <w:p w14:paraId="63ABC647" w14:textId="71C9EC98" w:rsidR="00916D2A" w:rsidRPr="00037B09" w:rsidRDefault="00916D2A" w:rsidP="00916D2A">
            <w:pPr>
              <w:spacing w:line="360" w:lineRule="auto"/>
              <w:rPr>
                <w:sz w:val="28"/>
                <w:szCs w:val="28"/>
              </w:rPr>
            </w:pPr>
            <w:r w:rsidRPr="00037B09">
              <w:rPr>
                <w:sz w:val="28"/>
                <w:szCs w:val="28"/>
              </w:rPr>
              <w:t>Cabinet document</w:t>
            </w:r>
          </w:p>
        </w:tc>
        <w:tc>
          <w:tcPr>
            <w:tcW w:w="4814" w:type="dxa"/>
          </w:tcPr>
          <w:p w14:paraId="4FE26B55" w14:textId="0EB16803" w:rsidR="00916D2A" w:rsidRPr="00037B09" w:rsidRDefault="00916D2A" w:rsidP="006B5E06">
            <w:pPr>
              <w:spacing w:line="360" w:lineRule="auto"/>
              <w:rPr>
                <w:sz w:val="28"/>
                <w:szCs w:val="28"/>
              </w:rPr>
            </w:pPr>
            <w:r w:rsidRPr="00037B09">
              <w:rPr>
                <w:sz w:val="28"/>
                <w:szCs w:val="28"/>
              </w:rPr>
              <w:t xml:space="preserve">Any material </w:t>
            </w:r>
            <w:r w:rsidR="006B5E06" w:rsidRPr="00037B09">
              <w:rPr>
                <w:sz w:val="28"/>
                <w:szCs w:val="28"/>
              </w:rPr>
              <w:t xml:space="preserve">that </w:t>
            </w:r>
            <w:r w:rsidRPr="00037B09">
              <w:rPr>
                <w:sz w:val="28"/>
                <w:szCs w:val="28"/>
              </w:rPr>
              <w:t>departments and agencies prepare</w:t>
            </w:r>
            <w:r w:rsidR="006B5E06" w:rsidRPr="00037B09">
              <w:rPr>
                <w:sz w:val="28"/>
                <w:szCs w:val="28"/>
              </w:rPr>
              <w:t xml:space="preserve"> that is: intended for submission</w:t>
            </w:r>
            <w:r w:rsidRPr="00037B09">
              <w:rPr>
                <w:sz w:val="28"/>
                <w:szCs w:val="28"/>
              </w:rPr>
              <w:t xml:space="preserve"> to the </w:t>
            </w:r>
            <w:r w:rsidR="006B5E06" w:rsidRPr="00037B09">
              <w:rPr>
                <w:sz w:val="28"/>
                <w:szCs w:val="28"/>
              </w:rPr>
              <w:t>Cabinet; or a document dealing with Cabinet meetings (agendas, Cabinet minutes and notes taken by Cabinet note takers)</w:t>
            </w:r>
          </w:p>
        </w:tc>
      </w:tr>
      <w:tr w:rsidR="00916D2A" w:rsidRPr="00037B09" w14:paraId="4C38FE7B"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76D60181" w14:textId="77777777" w:rsidR="00916D2A" w:rsidRPr="00037B09" w:rsidRDefault="00916D2A" w:rsidP="00BC2ABB">
            <w:pPr>
              <w:spacing w:line="360" w:lineRule="auto"/>
              <w:rPr>
                <w:sz w:val="28"/>
                <w:szCs w:val="28"/>
              </w:rPr>
            </w:pPr>
            <w:r w:rsidRPr="00037B09">
              <w:rPr>
                <w:sz w:val="28"/>
                <w:szCs w:val="28"/>
              </w:rPr>
              <w:t>Cabinet Handbook</w:t>
            </w:r>
          </w:p>
        </w:tc>
        <w:tc>
          <w:tcPr>
            <w:tcW w:w="4814" w:type="dxa"/>
          </w:tcPr>
          <w:p w14:paraId="0B04A4F5" w14:textId="77777777" w:rsidR="00916D2A" w:rsidRPr="00037B09" w:rsidRDefault="00916D2A" w:rsidP="00BC2ABB">
            <w:pPr>
              <w:spacing w:line="360" w:lineRule="auto"/>
              <w:rPr>
                <w:sz w:val="28"/>
                <w:szCs w:val="28"/>
              </w:rPr>
            </w:pPr>
            <w:r w:rsidRPr="00037B09">
              <w:rPr>
                <w:sz w:val="28"/>
                <w:szCs w:val="28"/>
              </w:rPr>
              <w:t>Sets out the structure, practices and processes of the Government’s Cabinet and its committees.</w:t>
            </w:r>
          </w:p>
        </w:tc>
      </w:tr>
      <w:tr w:rsidR="00916D2A" w:rsidRPr="00037B09" w14:paraId="5D7B4C00" w14:textId="77777777" w:rsidTr="00E838AE">
        <w:tc>
          <w:tcPr>
            <w:tcW w:w="4814" w:type="dxa"/>
          </w:tcPr>
          <w:p w14:paraId="4187865B" w14:textId="77777777" w:rsidR="00916D2A" w:rsidRPr="00037B09" w:rsidRDefault="00916D2A" w:rsidP="00BC2ABB">
            <w:pPr>
              <w:spacing w:line="360" w:lineRule="auto"/>
              <w:rPr>
                <w:sz w:val="28"/>
                <w:szCs w:val="28"/>
              </w:rPr>
            </w:pPr>
            <w:r w:rsidRPr="00037B09">
              <w:rPr>
                <w:sz w:val="28"/>
                <w:szCs w:val="28"/>
              </w:rPr>
              <w:t xml:space="preserve">Cabinet notebook </w:t>
            </w:r>
          </w:p>
        </w:tc>
        <w:tc>
          <w:tcPr>
            <w:tcW w:w="4814" w:type="dxa"/>
          </w:tcPr>
          <w:p w14:paraId="073A2A74" w14:textId="77777777" w:rsidR="00916D2A" w:rsidRPr="00037B09" w:rsidRDefault="00916D2A" w:rsidP="00473BCC">
            <w:pPr>
              <w:spacing w:line="360" w:lineRule="auto"/>
              <w:rPr>
                <w:sz w:val="28"/>
                <w:szCs w:val="28"/>
              </w:rPr>
            </w:pPr>
            <w:r w:rsidRPr="00037B09">
              <w:rPr>
                <w:sz w:val="28"/>
                <w:szCs w:val="28"/>
              </w:rPr>
              <w:t xml:space="preserve">Notebook or other record that contains notes of discussions and deliberations taking place in a meeting of the Cabinet or of a </w:t>
            </w:r>
            <w:r w:rsidRPr="00037B09">
              <w:rPr>
                <w:sz w:val="28"/>
                <w:szCs w:val="28"/>
              </w:rPr>
              <w:lastRenderedPageBreak/>
              <w:t>committee of the Cabinet, under the authority of the Secretary of PM&amp;C.</w:t>
            </w:r>
          </w:p>
        </w:tc>
      </w:tr>
      <w:tr w:rsidR="00916D2A" w:rsidRPr="00037B09" w14:paraId="42E6BC7D"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5E1F8E1D" w14:textId="44AB3AF1" w:rsidR="00916D2A" w:rsidRPr="00037B09" w:rsidRDefault="00916D2A" w:rsidP="00BC2ABB">
            <w:pPr>
              <w:spacing w:line="360" w:lineRule="auto"/>
              <w:rPr>
                <w:sz w:val="28"/>
                <w:szCs w:val="28"/>
              </w:rPr>
            </w:pPr>
            <w:r w:rsidRPr="00037B09">
              <w:rPr>
                <w:sz w:val="28"/>
                <w:szCs w:val="28"/>
              </w:rPr>
              <w:lastRenderedPageBreak/>
              <w:t>Cabinet record</w:t>
            </w:r>
          </w:p>
          <w:p w14:paraId="7B9BE0DF" w14:textId="77777777" w:rsidR="00916D2A" w:rsidRPr="00037B09" w:rsidRDefault="00916D2A" w:rsidP="00BC2ABB">
            <w:pPr>
              <w:spacing w:line="360" w:lineRule="auto"/>
              <w:rPr>
                <w:sz w:val="28"/>
                <w:szCs w:val="28"/>
              </w:rPr>
            </w:pPr>
          </w:p>
        </w:tc>
        <w:tc>
          <w:tcPr>
            <w:tcW w:w="4814" w:type="dxa"/>
          </w:tcPr>
          <w:p w14:paraId="310CD152" w14:textId="77777777" w:rsidR="007539B5" w:rsidRPr="00037B09" w:rsidRDefault="007539B5" w:rsidP="007539B5">
            <w:pPr>
              <w:spacing w:line="360" w:lineRule="auto"/>
              <w:rPr>
                <w:sz w:val="28"/>
                <w:szCs w:val="28"/>
              </w:rPr>
            </w:pPr>
            <w:r w:rsidRPr="00037B09">
              <w:rPr>
                <w:sz w:val="28"/>
                <w:szCs w:val="28"/>
              </w:rPr>
              <w:t>An aggregation of related Cabinet documents that may be transferred to the National Archives of Australia.</w:t>
            </w:r>
          </w:p>
          <w:p w14:paraId="59DB08A0" w14:textId="53C708FC" w:rsidR="00916D2A" w:rsidRPr="00037B09" w:rsidRDefault="007539B5" w:rsidP="007539B5">
            <w:pPr>
              <w:spacing w:line="360" w:lineRule="auto"/>
              <w:rPr>
                <w:sz w:val="28"/>
                <w:szCs w:val="28"/>
              </w:rPr>
            </w:pPr>
            <w:r w:rsidRPr="00037B09">
              <w:rPr>
                <w:sz w:val="28"/>
                <w:szCs w:val="28"/>
              </w:rPr>
              <w:t>A Cabinet record can hold a single or multiple Cabinet minutes or other Cabinet documents.</w:t>
            </w:r>
          </w:p>
        </w:tc>
      </w:tr>
      <w:tr w:rsidR="00916D2A" w:rsidRPr="00037B09" w14:paraId="7F3310D7" w14:textId="77777777" w:rsidTr="00E838AE">
        <w:tc>
          <w:tcPr>
            <w:tcW w:w="4814" w:type="dxa"/>
          </w:tcPr>
          <w:p w14:paraId="28D9E380" w14:textId="77777777" w:rsidR="00916D2A" w:rsidRPr="00037B09" w:rsidRDefault="00916D2A" w:rsidP="00BC2ABB">
            <w:pPr>
              <w:spacing w:line="360" w:lineRule="auto"/>
              <w:rPr>
                <w:sz w:val="28"/>
                <w:szCs w:val="28"/>
              </w:rPr>
            </w:pPr>
            <w:r w:rsidRPr="00037B09">
              <w:rPr>
                <w:sz w:val="28"/>
                <w:szCs w:val="28"/>
              </w:rPr>
              <w:t xml:space="preserve">CabNet+ </w:t>
            </w:r>
          </w:p>
        </w:tc>
        <w:tc>
          <w:tcPr>
            <w:tcW w:w="4814" w:type="dxa"/>
          </w:tcPr>
          <w:p w14:paraId="49F9620B" w14:textId="77777777" w:rsidR="00916D2A" w:rsidRPr="00037B09" w:rsidRDefault="00916D2A" w:rsidP="00D215CE">
            <w:pPr>
              <w:spacing w:line="360" w:lineRule="auto"/>
              <w:rPr>
                <w:sz w:val="28"/>
                <w:szCs w:val="28"/>
              </w:rPr>
            </w:pPr>
            <w:r w:rsidRPr="00037B09">
              <w:rPr>
                <w:sz w:val="28"/>
                <w:szCs w:val="28"/>
              </w:rPr>
              <w:t>Real-time, secure, whole of Australian government information and technology system used to support the Commonwealth’s end to end Cabinet process.</w:t>
            </w:r>
          </w:p>
        </w:tc>
      </w:tr>
      <w:tr w:rsidR="00916D2A" w:rsidRPr="00037B09" w14:paraId="05FE1431"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651A07EE" w14:textId="77777777" w:rsidR="00916D2A" w:rsidRPr="00037B09" w:rsidRDefault="00916D2A" w:rsidP="00BC2ABB">
            <w:pPr>
              <w:spacing w:line="360" w:lineRule="auto"/>
              <w:rPr>
                <w:sz w:val="28"/>
                <w:szCs w:val="28"/>
              </w:rPr>
            </w:pPr>
            <w:r w:rsidRPr="00037B09">
              <w:rPr>
                <w:sz w:val="28"/>
                <w:szCs w:val="28"/>
              </w:rPr>
              <w:t xml:space="preserve">Commonwealth record </w:t>
            </w:r>
          </w:p>
        </w:tc>
        <w:tc>
          <w:tcPr>
            <w:tcW w:w="4814" w:type="dxa"/>
          </w:tcPr>
          <w:p w14:paraId="1A62C552" w14:textId="77777777" w:rsidR="00F00A3E" w:rsidRPr="00037B09" w:rsidRDefault="00916D2A" w:rsidP="00F00A3E">
            <w:pPr>
              <w:spacing w:line="360" w:lineRule="auto"/>
              <w:rPr>
                <w:sz w:val="28"/>
                <w:szCs w:val="28"/>
              </w:rPr>
            </w:pPr>
            <w:r w:rsidRPr="00037B09">
              <w:rPr>
                <w:sz w:val="28"/>
                <w:szCs w:val="28"/>
              </w:rPr>
              <w:t xml:space="preserve">A record that is the property of the Commonwealth or of a Commonwealth institution; or a record that is to be deemed to be a Commonwealth record by virtue of a </w:t>
            </w:r>
            <w:r w:rsidRPr="00037B09">
              <w:rPr>
                <w:sz w:val="28"/>
                <w:szCs w:val="28"/>
              </w:rPr>
              <w:lastRenderedPageBreak/>
              <w:t xml:space="preserve">regulation or by virtue of section 22 of the Archives Act. </w:t>
            </w:r>
          </w:p>
          <w:p w14:paraId="32AF312B" w14:textId="45F6713B" w:rsidR="00916D2A" w:rsidRPr="00037B09" w:rsidRDefault="00916D2A" w:rsidP="00F00A3E">
            <w:pPr>
              <w:spacing w:line="360" w:lineRule="auto"/>
              <w:rPr>
                <w:sz w:val="28"/>
                <w:szCs w:val="28"/>
              </w:rPr>
            </w:pPr>
            <w:r w:rsidRPr="00037B09">
              <w:rPr>
                <w:sz w:val="28"/>
                <w:szCs w:val="28"/>
              </w:rPr>
              <w:t xml:space="preserve">This definition does not include a record that is exempt material under the Archives Act. </w:t>
            </w:r>
          </w:p>
        </w:tc>
      </w:tr>
      <w:tr w:rsidR="00204D5E" w:rsidRPr="00037B09" w14:paraId="7A120897" w14:textId="77777777" w:rsidTr="00E838AE">
        <w:tc>
          <w:tcPr>
            <w:tcW w:w="4814" w:type="dxa"/>
          </w:tcPr>
          <w:p w14:paraId="7DA25BBC" w14:textId="662E617E" w:rsidR="00204D5E" w:rsidRPr="00037B09" w:rsidRDefault="00204D5E" w:rsidP="00BC2ABB">
            <w:pPr>
              <w:spacing w:line="360" w:lineRule="auto"/>
              <w:rPr>
                <w:sz w:val="28"/>
                <w:szCs w:val="28"/>
              </w:rPr>
            </w:pPr>
            <w:r w:rsidRPr="00037B09">
              <w:rPr>
                <w:sz w:val="28"/>
                <w:szCs w:val="28"/>
              </w:rPr>
              <w:lastRenderedPageBreak/>
              <w:t>Commonwealth institution</w:t>
            </w:r>
          </w:p>
        </w:tc>
        <w:tc>
          <w:tcPr>
            <w:tcW w:w="4814" w:type="dxa"/>
          </w:tcPr>
          <w:p w14:paraId="58A62CD0" w14:textId="0B6C69AA" w:rsidR="00204D5E" w:rsidRPr="00037B09" w:rsidRDefault="00204D5E" w:rsidP="00204D5E">
            <w:pPr>
              <w:spacing w:line="360" w:lineRule="auto"/>
              <w:rPr>
                <w:sz w:val="28"/>
                <w:szCs w:val="28"/>
              </w:rPr>
            </w:pPr>
            <w:r w:rsidRPr="00037B09">
              <w:rPr>
                <w:sz w:val="28"/>
                <w:szCs w:val="28"/>
              </w:rPr>
              <w:t xml:space="preserve">The official establishment of the Governor-General; the Executive Council; Senate; House of Representatives; a Department; a Federal court or court of a territory other than the Northern Territory or Norfolk Island; an authority of the Commonwealth; or the Administration of an external Territory. </w:t>
            </w:r>
          </w:p>
        </w:tc>
      </w:tr>
      <w:tr w:rsidR="00916D2A" w:rsidRPr="00037B09" w14:paraId="6C840A58"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7F595FE8" w14:textId="77777777" w:rsidR="00916D2A" w:rsidRPr="00037B09" w:rsidRDefault="00916D2A" w:rsidP="00BC2ABB">
            <w:pPr>
              <w:spacing w:line="360" w:lineRule="auto"/>
              <w:rPr>
                <w:sz w:val="28"/>
                <w:szCs w:val="28"/>
              </w:rPr>
            </w:pPr>
            <w:r w:rsidRPr="00037B09">
              <w:rPr>
                <w:sz w:val="28"/>
                <w:szCs w:val="28"/>
              </w:rPr>
              <w:t>NAA</w:t>
            </w:r>
          </w:p>
        </w:tc>
        <w:tc>
          <w:tcPr>
            <w:tcW w:w="4814" w:type="dxa"/>
          </w:tcPr>
          <w:p w14:paraId="22C14BC2" w14:textId="77777777" w:rsidR="00916D2A" w:rsidRPr="00037B09" w:rsidRDefault="00916D2A" w:rsidP="00BC2ABB">
            <w:pPr>
              <w:spacing w:line="360" w:lineRule="auto"/>
              <w:rPr>
                <w:sz w:val="28"/>
                <w:szCs w:val="28"/>
              </w:rPr>
            </w:pPr>
            <w:r w:rsidRPr="00037B09">
              <w:rPr>
                <w:sz w:val="28"/>
                <w:szCs w:val="28"/>
              </w:rPr>
              <w:t>National Archives of Australia</w:t>
            </w:r>
          </w:p>
        </w:tc>
      </w:tr>
      <w:tr w:rsidR="00916D2A" w:rsidRPr="00037B09" w14:paraId="0B3842B6" w14:textId="77777777" w:rsidTr="00E838AE">
        <w:tc>
          <w:tcPr>
            <w:tcW w:w="4814" w:type="dxa"/>
          </w:tcPr>
          <w:p w14:paraId="208DCD01" w14:textId="77777777" w:rsidR="00916D2A" w:rsidRPr="00037B09" w:rsidRDefault="00916D2A" w:rsidP="00BC2ABB">
            <w:pPr>
              <w:spacing w:line="360" w:lineRule="auto"/>
              <w:rPr>
                <w:sz w:val="28"/>
                <w:szCs w:val="28"/>
              </w:rPr>
            </w:pPr>
            <w:r w:rsidRPr="00037B09">
              <w:rPr>
                <w:sz w:val="28"/>
                <w:szCs w:val="28"/>
              </w:rPr>
              <w:t>NSC</w:t>
            </w:r>
          </w:p>
        </w:tc>
        <w:tc>
          <w:tcPr>
            <w:tcW w:w="4814" w:type="dxa"/>
          </w:tcPr>
          <w:p w14:paraId="7AFE5CBA" w14:textId="77777777" w:rsidR="00916D2A" w:rsidRPr="00037B09" w:rsidRDefault="00916D2A" w:rsidP="00BC2ABB">
            <w:pPr>
              <w:spacing w:line="360" w:lineRule="auto"/>
              <w:rPr>
                <w:sz w:val="28"/>
                <w:szCs w:val="28"/>
              </w:rPr>
            </w:pPr>
            <w:r w:rsidRPr="00037B09">
              <w:rPr>
                <w:sz w:val="28"/>
                <w:szCs w:val="28"/>
              </w:rPr>
              <w:t>National Security Committee of Cabinet</w:t>
            </w:r>
          </w:p>
        </w:tc>
      </w:tr>
      <w:tr w:rsidR="00916D2A" w:rsidRPr="00037B09" w14:paraId="132651B8"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0863EC67" w14:textId="77777777" w:rsidR="00916D2A" w:rsidRPr="00037B09" w:rsidRDefault="00916D2A" w:rsidP="00BC2ABB">
            <w:pPr>
              <w:spacing w:line="360" w:lineRule="auto"/>
              <w:rPr>
                <w:sz w:val="28"/>
                <w:szCs w:val="28"/>
              </w:rPr>
            </w:pPr>
            <w:r w:rsidRPr="00037B09">
              <w:rPr>
                <w:sz w:val="28"/>
                <w:szCs w:val="28"/>
              </w:rPr>
              <w:t xml:space="preserve">NV 1 </w:t>
            </w:r>
          </w:p>
        </w:tc>
        <w:tc>
          <w:tcPr>
            <w:tcW w:w="4814" w:type="dxa"/>
          </w:tcPr>
          <w:p w14:paraId="7C70EC4D" w14:textId="77777777" w:rsidR="00916D2A" w:rsidRPr="00037B09" w:rsidRDefault="00916D2A" w:rsidP="00BC2ABB">
            <w:pPr>
              <w:spacing w:line="360" w:lineRule="auto"/>
              <w:rPr>
                <w:sz w:val="28"/>
                <w:szCs w:val="28"/>
              </w:rPr>
            </w:pPr>
            <w:r w:rsidRPr="00037B09">
              <w:rPr>
                <w:sz w:val="28"/>
                <w:szCs w:val="28"/>
              </w:rPr>
              <w:t>Negative Vetting 1 security clearance</w:t>
            </w:r>
          </w:p>
        </w:tc>
      </w:tr>
      <w:tr w:rsidR="00916D2A" w:rsidRPr="00037B09" w14:paraId="7A056B98" w14:textId="77777777" w:rsidTr="00E838AE">
        <w:tc>
          <w:tcPr>
            <w:tcW w:w="4814" w:type="dxa"/>
          </w:tcPr>
          <w:p w14:paraId="4019AA2E" w14:textId="77777777" w:rsidR="00916D2A" w:rsidRPr="00037B09" w:rsidRDefault="00916D2A" w:rsidP="00BC2ABB">
            <w:pPr>
              <w:spacing w:line="360" w:lineRule="auto"/>
              <w:rPr>
                <w:sz w:val="28"/>
                <w:szCs w:val="28"/>
              </w:rPr>
            </w:pPr>
            <w:r w:rsidRPr="00037B09">
              <w:rPr>
                <w:sz w:val="28"/>
                <w:szCs w:val="28"/>
              </w:rPr>
              <w:lastRenderedPageBreak/>
              <w:t>NV 2</w:t>
            </w:r>
          </w:p>
        </w:tc>
        <w:tc>
          <w:tcPr>
            <w:tcW w:w="4814" w:type="dxa"/>
          </w:tcPr>
          <w:p w14:paraId="33A2723D" w14:textId="77777777" w:rsidR="00916D2A" w:rsidRPr="00037B09" w:rsidRDefault="00916D2A" w:rsidP="00BC2ABB">
            <w:pPr>
              <w:spacing w:line="360" w:lineRule="auto"/>
              <w:rPr>
                <w:sz w:val="28"/>
                <w:szCs w:val="28"/>
              </w:rPr>
            </w:pPr>
            <w:r w:rsidRPr="00037B09">
              <w:rPr>
                <w:sz w:val="28"/>
                <w:szCs w:val="28"/>
              </w:rPr>
              <w:t>Negative Vetting 2 security clearance</w:t>
            </w:r>
          </w:p>
        </w:tc>
      </w:tr>
      <w:tr w:rsidR="00916D2A" w:rsidRPr="00037B09" w14:paraId="47DD0D13"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3CFD9377" w14:textId="77777777" w:rsidR="00916D2A" w:rsidRPr="00037B09" w:rsidRDefault="00916D2A" w:rsidP="00BC2ABB">
            <w:pPr>
              <w:spacing w:line="360" w:lineRule="auto"/>
              <w:rPr>
                <w:sz w:val="28"/>
                <w:szCs w:val="28"/>
              </w:rPr>
            </w:pPr>
            <w:r w:rsidRPr="00037B09">
              <w:rPr>
                <w:sz w:val="28"/>
                <w:szCs w:val="28"/>
              </w:rPr>
              <w:t xml:space="preserve">PM&amp;C </w:t>
            </w:r>
          </w:p>
        </w:tc>
        <w:tc>
          <w:tcPr>
            <w:tcW w:w="4814" w:type="dxa"/>
          </w:tcPr>
          <w:p w14:paraId="670F0FC6" w14:textId="77777777" w:rsidR="00916D2A" w:rsidRPr="00037B09" w:rsidRDefault="00916D2A" w:rsidP="00BC2ABB">
            <w:pPr>
              <w:spacing w:line="360" w:lineRule="auto"/>
              <w:rPr>
                <w:sz w:val="28"/>
                <w:szCs w:val="28"/>
              </w:rPr>
            </w:pPr>
            <w:r w:rsidRPr="00037B09">
              <w:rPr>
                <w:sz w:val="28"/>
                <w:szCs w:val="28"/>
              </w:rPr>
              <w:t>Department of the Prime Minister and Cabinet</w:t>
            </w:r>
          </w:p>
        </w:tc>
      </w:tr>
      <w:tr w:rsidR="00916D2A" w:rsidRPr="00037B09" w14:paraId="23FFE666" w14:textId="77777777" w:rsidTr="00E838AE">
        <w:tc>
          <w:tcPr>
            <w:tcW w:w="4814" w:type="dxa"/>
          </w:tcPr>
          <w:p w14:paraId="064B6C32" w14:textId="77777777" w:rsidR="00916D2A" w:rsidRPr="00037B09" w:rsidRDefault="00916D2A" w:rsidP="00BC2ABB">
            <w:pPr>
              <w:spacing w:line="360" w:lineRule="auto"/>
              <w:rPr>
                <w:sz w:val="28"/>
                <w:szCs w:val="28"/>
              </w:rPr>
            </w:pPr>
            <w:r w:rsidRPr="00037B09">
              <w:rPr>
                <w:sz w:val="28"/>
                <w:szCs w:val="28"/>
              </w:rPr>
              <w:t>PMO</w:t>
            </w:r>
          </w:p>
        </w:tc>
        <w:tc>
          <w:tcPr>
            <w:tcW w:w="4814" w:type="dxa"/>
          </w:tcPr>
          <w:p w14:paraId="168268EC" w14:textId="77777777" w:rsidR="00916D2A" w:rsidRPr="00037B09" w:rsidRDefault="00916D2A" w:rsidP="00BC2ABB">
            <w:pPr>
              <w:spacing w:line="360" w:lineRule="auto"/>
              <w:rPr>
                <w:sz w:val="28"/>
                <w:szCs w:val="28"/>
              </w:rPr>
            </w:pPr>
            <w:r w:rsidRPr="00037B09">
              <w:rPr>
                <w:sz w:val="28"/>
                <w:szCs w:val="28"/>
              </w:rPr>
              <w:t xml:space="preserve">Prime Minister’s Office </w:t>
            </w:r>
          </w:p>
        </w:tc>
      </w:tr>
      <w:tr w:rsidR="00916D2A" w:rsidRPr="00037B09" w14:paraId="3FD7CD58"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2B36A787" w14:textId="77777777" w:rsidR="00916D2A" w:rsidRPr="00037B09" w:rsidRDefault="00916D2A" w:rsidP="00BC2ABB">
            <w:pPr>
              <w:spacing w:line="360" w:lineRule="auto"/>
              <w:rPr>
                <w:sz w:val="28"/>
                <w:szCs w:val="28"/>
              </w:rPr>
            </w:pPr>
            <w:r w:rsidRPr="00037B09">
              <w:rPr>
                <w:sz w:val="28"/>
                <w:szCs w:val="28"/>
              </w:rPr>
              <w:t>PSPF</w:t>
            </w:r>
          </w:p>
        </w:tc>
        <w:tc>
          <w:tcPr>
            <w:tcW w:w="4814" w:type="dxa"/>
          </w:tcPr>
          <w:p w14:paraId="6AC5C307" w14:textId="77777777" w:rsidR="00916D2A" w:rsidRPr="00037B09" w:rsidRDefault="00916D2A" w:rsidP="00BC2ABB">
            <w:pPr>
              <w:spacing w:line="360" w:lineRule="auto"/>
              <w:rPr>
                <w:sz w:val="28"/>
                <w:szCs w:val="28"/>
              </w:rPr>
            </w:pPr>
            <w:r w:rsidRPr="00037B09">
              <w:rPr>
                <w:sz w:val="28"/>
                <w:szCs w:val="28"/>
              </w:rPr>
              <w:t>Protective Security Policy Framework</w:t>
            </w:r>
          </w:p>
        </w:tc>
      </w:tr>
      <w:tr w:rsidR="00916D2A" w:rsidRPr="00037B09" w14:paraId="0F9D39B5" w14:textId="77777777" w:rsidTr="00E838AE">
        <w:tc>
          <w:tcPr>
            <w:tcW w:w="4814" w:type="dxa"/>
          </w:tcPr>
          <w:p w14:paraId="54ED6EBA" w14:textId="77777777" w:rsidR="00916D2A" w:rsidRPr="00037B09" w:rsidRDefault="00916D2A" w:rsidP="00BC2ABB">
            <w:pPr>
              <w:spacing w:line="360" w:lineRule="auto"/>
              <w:rPr>
                <w:sz w:val="28"/>
                <w:szCs w:val="28"/>
              </w:rPr>
            </w:pPr>
            <w:r w:rsidRPr="00037B09">
              <w:rPr>
                <w:sz w:val="28"/>
                <w:szCs w:val="28"/>
              </w:rPr>
              <w:t xml:space="preserve">Schedule </w:t>
            </w:r>
          </w:p>
        </w:tc>
        <w:tc>
          <w:tcPr>
            <w:tcW w:w="4814" w:type="dxa"/>
          </w:tcPr>
          <w:p w14:paraId="33BDB388" w14:textId="77777777" w:rsidR="00916D2A" w:rsidRPr="00037B09" w:rsidRDefault="00916D2A" w:rsidP="00BC2ABB">
            <w:pPr>
              <w:spacing w:line="360" w:lineRule="auto"/>
              <w:rPr>
                <w:sz w:val="28"/>
                <w:szCs w:val="28"/>
              </w:rPr>
            </w:pPr>
            <w:r w:rsidRPr="00037B09">
              <w:rPr>
                <w:sz w:val="28"/>
                <w:szCs w:val="28"/>
              </w:rPr>
              <w:t>Records Disposal Schedule No. S.492</w:t>
            </w:r>
          </w:p>
        </w:tc>
      </w:tr>
      <w:tr w:rsidR="00F00A3E" w:rsidRPr="00037B09" w14:paraId="34407BAA"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30D4BDDD" w14:textId="59C75CE3" w:rsidR="00F00A3E" w:rsidRPr="00037B09" w:rsidRDefault="00F00A3E" w:rsidP="00F00A3E">
            <w:pPr>
              <w:spacing w:line="360" w:lineRule="auto"/>
              <w:rPr>
                <w:sz w:val="28"/>
                <w:szCs w:val="28"/>
              </w:rPr>
            </w:pPr>
            <w:r w:rsidRPr="00037B09">
              <w:rPr>
                <w:sz w:val="28"/>
                <w:szCs w:val="28"/>
              </w:rPr>
              <w:t>RMU</w:t>
            </w:r>
          </w:p>
        </w:tc>
        <w:tc>
          <w:tcPr>
            <w:tcW w:w="4814" w:type="dxa"/>
          </w:tcPr>
          <w:p w14:paraId="6C848DCA" w14:textId="4890101F" w:rsidR="00F00A3E" w:rsidRPr="00037B09" w:rsidRDefault="00F00A3E" w:rsidP="00F00A3E">
            <w:pPr>
              <w:spacing w:line="360" w:lineRule="auto"/>
              <w:rPr>
                <w:sz w:val="28"/>
                <w:szCs w:val="28"/>
              </w:rPr>
            </w:pPr>
            <w:r w:rsidRPr="00037B09">
              <w:rPr>
                <w:sz w:val="28"/>
                <w:szCs w:val="28"/>
              </w:rPr>
              <w:t xml:space="preserve">Records Management Unit </w:t>
            </w:r>
          </w:p>
        </w:tc>
      </w:tr>
      <w:tr w:rsidR="00F00A3E" w:rsidRPr="00037B09" w14:paraId="15F207B8" w14:textId="77777777" w:rsidTr="00E838AE">
        <w:tc>
          <w:tcPr>
            <w:tcW w:w="4814" w:type="dxa"/>
          </w:tcPr>
          <w:p w14:paraId="1DBB8B4E" w14:textId="6AB4CC7F" w:rsidR="00F00A3E" w:rsidRPr="00037B09" w:rsidRDefault="00F00A3E" w:rsidP="00F00A3E">
            <w:pPr>
              <w:spacing w:line="360" w:lineRule="auto"/>
              <w:rPr>
                <w:sz w:val="28"/>
                <w:szCs w:val="28"/>
              </w:rPr>
            </w:pPr>
            <w:r w:rsidRPr="00037B09">
              <w:rPr>
                <w:sz w:val="28"/>
                <w:szCs w:val="28"/>
              </w:rPr>
              <w:t>SCIF</w:t>
            </w:r>
          </w:p>
        </w:tc>
        <w:tc>
          <w:tcPr>
            <w:tcW w:w="4814" w:type="dxa"/>
          </w:tcPr>
          <w:p w14:paraId="3EDBEBCE" w14:textId="2D0FB431" w:rsidR="00F00A3E" w:rsidRPr="00037B09" w:rsidRDefault="00F00A3E" w:rsidP="00F00A3E">
            <w:pPr>
              <w:spacing w:line="360" w:lineRule="auto"/>
              <w:rPr>
                <w:sz w:val="28"/>
                <w:szCs w:val="28"/>
              </w:rPr>
            </w:pPr>
            <w:r w:rsidRPr="00037B09">
              <w:rPr>
                <w:sz w:val="28"/>
                <w:szCs w:val="28"/>
              </w:rPr>
              <w:t xml:space="preserve">Sensitive Compartmented Information Facility </w:t>
            </w:r>
          </w:p>
        </w:tc>
      </w:tr>
      <w:tr w:rsidR="00F00A3E" w:rsidRPr="00037B09" w14:paraId="477F1ECA" w14:textId="77777777" w:rsidTr="00E838AE">
        <w:trPr>
          <w:cnfStyle w:val="000000100000" w:firstRow="0" w:lastRow="0" w:firstColumn="0" w:lastColumn="0" w:oddVBand="0" w:evenVBand="0" w:oddHBand="1" w:evenHBand="0" w:firstRowFirstColumn="0" w:firstRowLastColumn="0" w:lastRowFirstColumn="0" w:lastRowLastColumn="0"/>
        </w:trPr>
        <w:tc>
          <w:tcPr>
            <w:tcW w:w="4814" w:type="dxa"/>
          </w:tcPr>
          <w:p w14:paraId="011ED512" w14:textId="7D8DEB7D" w:rsidR="00F00A3E" w:rsidRPr="00037B09" w:rsidRDefault="00F00A3E" w:rsidP="00F00A3E">
            <w:pPr>
              <w:spacing w:line="360" w:lineRule="auto"/>
              <w:rPr>
                <w:sz w:val="28"/>
                <w:szCs w:val="28"/>
              </w:rPr>
            </w:pPr>
            <w:r w:rsidRPr="00037B09">
              <w:rPr>
                <w:sz w:val="28"/>
                <w:szCs w:val="28"/>
              </w:rPr>
              <w:t>TSPV</w:t>
            </w:r>
          </w:p>
        </w:tc>
        <w:tc>
          <w:tcPr>
            <w:tcW w:w="4814" w:type="dxa"/>
          </w:tcPr>
          <w:p w14:paraId="16E0C1FF" w14:textId="6D551D24" w:rsidR="00F00A3E" w:rsidRPr="00037B09" w:rsidRDefault="00F00A3E" w:rsidP="00F00A3E">
            <w:pPr>
              <w:spacing w:line="360" w:lineRule="auto"/>
              <w:rPr>
                <w:sz w:val="28"/>
                <w:szCs w:val="28"/>
              </w:rPr>
            </w:pPr>
            <w:r w:rsidRPr="00037B09">
              <w:rPr>
                <w:sz w:val="28"/>
                <w:szCs w:val="28"/>
              </w:rPr>
              <w:t>Top Secret Positive Vetting security clearance</w:t>
            </w:r>
          </w:p>
        </w:tc>
      </w:tr>
    </w:tbl>
    <w:p w14:paraId="1E07F671" w14:textId="6155D6FE" w:rsidR="00E838AE" w:rsidRPr="00037B09" w:rsidRDefault="00E838AE" w:rsidP="00BC2ABB">
      <w:pPr>
        <w:spacing w:after="200" w:line="360" w:lineRule="auto"/>
      </w:pPr>
      <w:r w:rsidRPr="00037B09">
        <w:br w:type="page"/>
      </w:r>
    </w:p>
    <w:p w14:paraId="328601CD" w14:textId="77777777" w:rsidR="00082022" w:rsidRPr="00037B09" w:rsidRDefault="00082022" w:rsidP="00BC2ABB">
      <w:pPr>
        <w:pStyle w:val="Heading1"/>
        <w:spacing w:line="360" w:lineRule="auto"/>
        <w:rPr>
          <w:noProof/>
          <w:sz w:val="52"/>
        </w:rPr>
      </w:pPr>
      <w:bookmarkStart w:id="7" w:name="_Toc155699023"/>
      <w:bookmarkStart w:id="8" w:name="_Toc155700965"/>
      <w:bookmarkStart w:id="9" w:name="_Toc155799945"/>
      <w:bookmarkStart w:id="10" w:name="_Toc155875091"/>
      <w:bookmarkStart w:id="11" w:name="_Toc156565950"/>
      <w:bookmarkStart w:id="12" w:name="_Toc157432098"/>
      <w:bookmarkStart w:id="13" w:name="_Toc96091122"/>
      <w:bookmarkStart w:id="14" w:name="_Toc96094525"/>
      <w:bookmarkStart w:id="15" w:name="_Toc96094558"/>
      <w:bookmarkStart w:id="16" w:name="_Toc96326913"/>
      <w:bookmarkStart w:id="17" w:name="_Toc96695013"/>
      <w:bookmarkStart w:id="18" w:name="_Toc96695081"/>
      <w:r w:rsidRPr="00037B09">
        <w:rPr>
          <w:noProof/>
          <w:sz w:val="52"/>
        </w:rPr>
        <w:lastRenderedPageBreak/>
        <w:t>Executive summary</w:t>
      </w:r>
      <w:bookmarkEnd w:id="7"/>
      <w:bookmarkEnd w:id="8"/>
      <w:bookmarkEnd w:id="9"/>
      <w:bookmarkEnd w:id="10"/>
      <w:bookmarkEnd w:id="11"/>
      <w:bookmarkEnd w:id="12"/>
    </w:p>
    <w:p w14:paraId="32B3F17A" w14:textId="55762553" w:rsidR="00C102E6" w:rsidRPr="00037B09" w:rsidRDefault="00C102E6" w:rsidP="00771FA7">
      <w:pPr>
        <w:pStyle w:val="ListParagraph"/>
        <w:numPr>
          <w:ilvl w:val="0"/>
          <w:numId w:val="11"/>
        </w:numPr>
        <w:spacing w:line="360" w:lineRule="auto"/>
        <w:ind w:left="709" w:hanging="709"/>
        <w:contextualSpacing w:val="0"/>
        <w:rPr>
          <w:sz w:val="28"/>
          <w:szCs w:val="28"/>
        </w:rPr>
      </w:pPr>
      <w:r w:rsidRPr="00037B09">
        <w:rPr>
          <w:sz w:val="28"/>
          <w:szCs w:val="28"/>
        </w:rPr>
        <w:t>Following a media query</w:t>
      </w:r>
      <w:r w:rsidR="00885726" w:rsidRPr="00037B09">
        <w:rPr>
          <w:sz w:val="28"/>
          <w:szCs w:val="28"/>
        </w:rPr>
        <w:t xml:space="preserve"> on 18 December 2023</w:t>
      </w:r>
      <w:r w:rsidRPr="00037B09">
        <w:rPr>
          <w:sz w:val="28"/>
          <w:szCs w:val="28"/>
        </w:rPr>
        <w:t xml:space="preserve">, the Department of the Prime Minister and Cabinet (PM&amp;C) identified that it had failed to transfer </w:t>
      </w:r>
      <w:r w:rsidR="002D2132" w:rsidRPr="00037B09">
        <w:rPr>
          <w:sz w:val="28"/>
          <w:szCs w:val="28"/>
        </w:rPr>
        <w:t xml:space="preserve">78 </w:t>
      </w:r>
      <w:r w:rsidRPr="00037B09">
        <w:rPr>
          <w:sz w:val="28"/>
          <w:szCs w:val="28"/>
        </w:rPr>
        <w:t xml:space="preserve">Cabinet records from 2003 to the National Archives of Australia (NAA), </w:t>
      </w:r>
      <w:r w:rsidR="002150AA" w:rsidRPr="00037B09">
        <w:rPr>
          <w:sz w:val="28"/>
          <w:szCs w:val="28"/>
        </w:rPr>
        <w:t xml:space="preserve">in line with historical arrangements. </w:t>
      </w:r>
      <w:r w:rsidR="00885726" w:rsidRPr="00037B09">
        <w:rPr>
          <w:sz w:val="28"/>
          <w:szCs w:val="28"/>
        </w:rPr>
        <w:t xml:space="preserve"> </w:t>
      </w:r>
    </w:p>
    <w:p w14:paraId="49D4AA03" w14:textId="6E9ED261" w:rsidR="004C0D37" w:rsidRPr="00037B09" w:rsidRDefault="00EB09E8" w:rsidP="00771FA7">
      <w:pPr>
        <w:pStyle w:val="ListParagraph"/>
        <w:numPr>
          <w:ilvl w:val="0"/>
          <w:numId w:val="11"/>
        </w:numPr>
        <w:spacing w:line="360" w:lineRule="auto"/>
        <w:ind w:left="709" w:hanging="709"/>
        <w:contextualSpacing w:val="0"/>
        <w:rPr>
          <w:sz w:val="28"/>
          <w:szCs w:val="28"/>
        </w:rPr>
      </w:pPr>
      <w:r w:rsidRPr="00037B09">
        <w:rPr>
          <w:sz w:val="28"/>
          <w:szCs w:val="28"/>
        </w:rPr>
        <w:t>On 1 Jan</w:t>
      </w:r>
      <w:r w:rsidR="00886BA0" w:rsidRPr="00037B09">
        <w:rPr>
          <w:sz w:val="28"/>
          <w:szCs w:val="28"/>
        </w:rPr>
        <w:t>uary 2024, Professor Glyn Davis AC, Sec</w:t>
      </w:r>
      <w:r w:rsidR="006A6DFD" w:rsidRPr="00037B09">
        <w:rPr>
          <w:sz w:val="28"/>
          <w:szCs w:val="28"/>
        </w:rPr>
        <w:t xml:space="preserve">retary of </w:t>
      </w:r>
      <w:r w:rsidR="004C0D37" w:rsidRPr="00037B09">
        <w:rPr>
          <w:sz w:val="28"/>
          <w:szCs w:val="28"/>
        </w:rPr>
        <w:t>PM&amp;</w:t>
      </w:r>
      <w:r w:rsidR="002A6EAF" w:rsidRPr="00037B09">
        <w:rPr>
          <w:sz w:val="28"/>
          <w:szCs w:val="28"/>
        </w:rPr>
        <w:t>C</w:t>
      </w:r>
      <w:r w:rsidRPr="00037B09">
        <w:rPr>
          <w:sz w:val="28"/>
          <w:szCs w:val="28"/>
        </w:rPr>
        <w:t xml:space="preserve"> </w:t>
      </w:r>
      <w:r w:rsidR="004C0D37" w:rsidRPr="00037B09">
        <w:rPr>
          <w:sz w:val="28"/>
          <w:szCs w:val="28"/>
        </w:rPr>
        <w:t>commissioned an independent review of the transfer process</w:t>
      </w:r>
      <w:r w:rsidR="002D651D" w:rsidRPr="00037B09">
        <w:rPr>
          <w:sz w:val="28"/>
          <w:szCs w:val="28"/>
        </w:rPr>
        <w:t xml:space="preserve"> for the 20</w:t>
      </w:r>
      <w:r w:rsidR="00D323D4" w:rsidRPr="00037B09">
        <w:rPr>
          <w:sz w:val="28"/>
          <w:szCs w:val="28"/>
        </w:rPr>
        <w:t>0</w:t>
      </w:r>
      <w:r w:rsidR="002D651D" w:rsidRPr="00037B09">
        <w:rPr>
          <w:sz w:val="28"/>
          <w:szCs w:val="28"/>
        </w:rPr>
        <w:t>3 records</w:t>
      </w:r>
      <w:r w:rsidR="004C0D37" w:rsidRPr="00037B09">
        <w:rPr>
          <w:sz w:val="28"/>
          <w:szCs w:val="28"/>
        </w:rPr>
        <w:t xml:space="preserve"> and to confirm all relevant records </w:t>
      </w:r>
      <w:r w:rsidR="00FD09BF" w:rsidRPr="00037B09">
        <w:rPr>
          <w:sz w:val="28"/>
          <w:szCs w:val="28"/>
        </w:rPr>
        <w:t>had been</w:t>
      </w:r>
      <w:r w:rsidR="004C0D37" w:rsidRPr="00037B09">
        <w:rPr>
          <w:sz w:val="28"/>
          <w:szCs w:val="28"/>
        </w:rPr>
        <w:t xml:space="preserve"> transferred to the NAA.</w:t>
      </w:r>
      <w:r w:rsidR="004C0D37" w:rsidRPr="00037B09">
        <w:rPr>
          <w:rStyle w:val="FootnoteReference"/>
          <w:sz w:val="28"/>
          <w:szCs w:val="28"/>
        </w:rPr>
        <w:footnoteReference w:id="2"/>
      </w:r>
    </w:p>
    <w:p w14:paraId="7E8B09AE" w14:textId="77777777" w:rsidR="004C0D37" w:rsidRPr="00037B09" w:rsidRDefault="004C0D37" w:rsidP="00BC2ABB">
      <w:pPr>
        <w:pStyle w:val="Heading2"/>
        <w:spacing w:line="360" w:lineRule="auto"/>
        <w:rPr>
          <w:sz w:val="32"/>
        </w:rPr>
      </w:pPr>
      <w:bookmarkStart w:id="19" w:name="_Toc155699024"/>
      <w:bookmarkStart w:id="20" w:name="_Toc155700966"/>
      <w:bookmarkStart w:id="21" w:name="_Toc155799946"/>
      <w:bookmarkStart w:id="22" w:name="_Toc155875092"/>
      <w:bookmarkStart w:id="23" w:name="_Toc156565951"/>
      <w:bookmarkStart w:id="24" w:name="_Toc157432099"/>
      <w:r w:rsidRPr="00037B09">
        <w:rPr>
          <w:sz w:val="32"/>
        </w:rPr>
        <w:t>Background</w:t>
      </w:r>
      <w:bookmarkEnd w:id="19"/>
      <w:bookmarkEnd w:id="20"/>
      <w:bookmarkEnd w:id="21"/>
      <w:bookmarkEnd w:id="22"/>
      <w:bookmarkEnd w:id="23"/>
      <w:bookmarkEnd w:id="24"/>
    </w:p>
    <w:p w14:paraId="36FF5B30" w14:textId="0879CB89" w:rsidR="00082022" w:rsidRPr="00037B09" w:rsidRDefault="006A6DFD"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The Cabinet is the focal point of </w:t>
      </w:r>
      <w:r w:rsidR="00E12959" w:rsidRPr="00037B09">
        <w:rPr>
          <w:sz w:val="28"/>
          <w:szCs w:val="28"/>
        </w:rPr>
        <w:t>Government</w:t>
      </w:r>
      <w:r w:rsidRPr="00037B09">
        <w:rPr>
          <w:sz w:val="28"/>
          <w:szCs w:val="28"/>
        </w:rPr>
        <w:t xml:space="preserve"> decision-making.</w:t>
      </w:r>
      <w:r w:rsidRPr="00037B09">
        <w:rPr>
          <w:rStyle w:val="FootnoteReference"/>
          <w:sz w:val="28"/>
          <w:szCs w:val="28"/>
        </w:rPr>
        <w:footnoteReference w:id="3"/>
      </w:r>
      <w:r w:rsidRPr="00037B09">
        <w:rPr>
          <w:sz w:val="28"/>
          <w:szCs w:val="28"/>
        </w:rPr>
        <w:t xml:space="preserve"> At all relevant times, the Secretary of PM&amp;C is the custodian of Cabinet records</w:t>
      </w:r>
      <w:r w:rsidR="00AD37CB" w:rsidRPr="00037B09">
        <w:rPr>
          <w:sz w:val="28"/>
          <w:szCs w:val="28"/>
        </w:rPr>
        <w:t>.</w:t>
      </w:r>
      <w:r w:rsidR="00AD37CB" w:rsidRPr="00037B09">
        <w:rPr>
          <w:rStyle w:val="FootnoteReference"/>
          <w:sz w:val="28"/>
          <w:szCs w:val="28"/>
        </w:rPr>
        <w:footnoteReference w:id="4"/>
      </w:r>
      <w:r w:rsidRPr="00037B09">
        <w:rPr>
          <w:sz w:val="28"/>
          <w:szCs w:val="28"/>
        </w:rPr>
        <w:t xml:space="preserve"> </w:t>
      </w:r>
    </w:p>
    <w:p w14:paraId="0895BA3F" w14:textId="07DA8EC0" w:rsidR="00886BA0" w:rsidRPr="00037B09" w:rsidRDefault="009A203B"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The </w:t>
      </w:r>
      <w:r w:rsidR="007A3DCB" w:rsidRPr="00037B09">
        <w:rPr>
          <w:i/>
          <w:sz w:val="28"/>
          <w:szCs w:val="28"/>
        </w:rPr>
        <w:t xml:space="preserve">Archives Act 1983 </w:t>
      </w:r>
      <w:r w:rsidR="007A3DCB" w:rsidRPr="00037B09">
        <w:rPr>
          <w:sz w:val="28"/>
          <w:szCs w:val="28"/>
        </w:rPr>
        <w:t>(Cth) (Archives Act)</w:t>
      </w:r>
      <w:r w:rsidRPr="00037B09">
        <w:rPr>
          <w:sz w:val="28"/>
          <w:szCs w:val="28"/>
        </w:rPr>
        <w:t xml:space="preserve"> sets out the</w:t>
      </w:r>
      <w:r w:rsidR="00CB7E73" w:rsidRPr="00037B09">
        <w:rPr>
          <w:sz w:val="28"/>
          <w:szCs w:val="28"/>
        </w:rPr>
        <w:t xml:space="preserve"> legislative requirement for Commonwealth institutions to transfer Commonwealth records t</w:t>
      </w:r>
      <w:r w:rsidR="00885726" w:rsidRPr="00037B09">
        <w:rPr>
          <w:sz w:val="28"/>
          <w:szCs w:val="28"/>
        </w:rPr>
        <w:t xml:space="preserve">hat have been determined to be part of the archival resources of </w:t>
      </w:r>
      <w:r w:rsidR="00885726" w:rsidRPr="00037B09">
        <w:rPr>
          <w:sz w:val="28"/>
          <w:szCs w:val="28"/>
        </w:rPr>
        <w:lastRenderedPageBreak/>
        <w:t>the Commonwealth t</w:t>
      </w:r>
      <w:r w:rsidR="00CB7E73" w:rsidRPr="00037B09">
        <w:rPr>
          <w:sz w:val="28"/>
          <w:szCs w:val="28"/>
        </w:rPr>
        <w:t>o the custody of the NAA</w:t>
      </w:r>
      <w:r w:rsidR="00915131" w:rsidRPr="00037B09">
        <w:rPr>
          <w:sz w:val="28"/>
          <w:szCs w:val="28"/>
        </w:rPr>
        <w:t xml:space="preserve"> within a specified timeframe</w:t>
      </w:r>
      <w:r w:rsidR="00885726" w:rsidRPr="00037B09">
        <w:rPr>
          <w:sz w:val="28"/>
          <w:szCs w:val="28"/>
        </w:rPr>
        <w:t xml:space="preserve">, </w:t>
      </w:r>
      <w:r w:rsidRPr="00037B09">
        <w:rPr>
          <w:sz w:val="28"/>
          <w:szCs w:val="28"/>
        </w:rPr>
        <w:t>usually 15 years after they come</w:t>
      </w:r>
      <w:r w:rsidR="00885726" w:rsidRPr="00037B09">
        <w:rPr>
          <w:sz w:val="28"/>
          <w:szCs w:val="28"/>
        </w:rPr>
        <w:t xml:space="preserve"> into existence</w:t>
      </w:r>
      <w:r w:rsidR="00CB7E73" w:rsidRPr="00037B09">
        <w:rPr>
          <w:sz w:val="28"/>
          <w:szCs w:val="28"/>
        </w:rPr>
        <w:t>.</w:t>
      </w:r>
      <w:r w:rsidR="00C647AF" w:rsidRPr="00037B09">
        <w:rPr>
          <w:rStyle w:val="FootnoteReference"/>
          <w:sz w:val="28"/>
          <w:szCs w:val="28"/>
        </w:rPr>
        <w:footnoteReference w:id="5"/>
      </w:r>
      <w:r w:rsidR="00CB7E73" w:rsidRPr="00037B09">
        <w:rPr>
          <w:sz w:val="28"/>
          <w:szCs w:val="28"/>
        </w:rPr>
        <w:t xml:space="preserve"> </w:t>
      </w:r>
      <w:r w:rsidR="00BF533B" w:rsidRPr="00037B09">
        <w:rPr>
          <w:sz w:val="28"/>
          <w:szCs w:val="28"/>
        </w:rPr>
        <w:t xml:space="preserve"> </w:t>
      </w:r>
      <w:r w:rsidR="00010663" w:rsidRPr="00037B09">
        <w:rPr>
          <w:sz w:val="28"/>
          <w:szCs w:val="28"/>
        </w:rPr>
        <w:t>The Review was</w:t>
      </w:r>
      <w:r w:rsidR="00BF533B" w:rsidRPr="00037B09">
        <w:rPr>
          <w:sz w:val="28"/>
          <w:szCs w:val="28"/>
        </w:rPr>
        <w:t xml:space="preserve"> advised that</w:t>
      </w:r>
      <w:r w:rsidR="00010663" w:rsidRPr="00037B09">
        <w:rPr>
          <w:sz w:val="28"/>
          <w:szCs w:val="28"/>
        </w:rPr>
        <w:t xml:space="preserve"> no determination has been made under section 3C of the Archives Act specifying that</w:t>
      </w:r>
      <w:r w:rsidR="00BF533B" w:rsidRPr="00037B09">
        <w:rPr>
          <w:sz w:val="28"/>
          <w:szCs w:val="28"/>
        </w:rPr>
        <w:t xml:space="preserve"> </w:t>
      </w:r>
      <w:r w:rsidR="002150AA" w:rsidRPr="00037B09">
        <w:rPr>
          <w:sz w:val="28"/>
          <w:szCs w:val="28"/>
        </w:rPr>
        <w:t xml:space="preserve">Cabinet records </w:t>
      </w:r>
      <w:r w:rsidR="00BF533B" w:rsidRPr="00037B09">
        <w:rPr>
          <w:sz w:val="28"/>
          <w:szCs w:val="28"/>
        </w:rPr>
        <w:t xml:space="preserve">are </w:t>
      </w:r>
      <w:r w:rsidR="002150AA" w:rsidRPr="00037B09">
        <w:rPr>
          <w:sz w:val="28"/>
          <w:szCs w:val="28"/>
        </w:rPr>
        <w:t xml:space="preserve">part of the archival resources of the Commonwealth. They are instead subject to historical arrangements </w:t>
      </w:r>
      <w:r w:rsidR="007A3DCB" w:rsidRPr="00037B09">
        <w:rPr>
          <w:sz w:val="28"/>
          <w:szCs w:val="28"/>
        </w:rPr>
        <w:t>(</w:t>
      </w:r>
      <w:r w:rsidR="00010663" w:rsidRPr="00037B09">
        <w:rPr>
          <w:sz w:val="28"/>
          <w:szCs w:val="28"/>
        </w:rPr>
        <w:t>which pre-date the introduction of section 3C</w:t>
      </w:r>
      <w:r w:rsidR="007A3DCB" w:rsidRPr="00037B09">
        <w:rPr>
          <w:sz w:val="28"/>
          <w:szCs w:val="28"/>
        </w:rPr>
        <w:t xml:space="preserve"> in 2008)</w:t>
      </w:r>
      <w:r w:rsidR="00010663" w:rsidRPr="00037B09">
        <w:rPr>
          <w:sz w:val="28"/>
          <w:szCs w:val="28"/>
        </w:rPr>
        <w:t xml:space="preserve">, </w:t>
      </w:r>
      <w:r w:rsidR="002150AA" w:rsidRPr="00037B09">
        <w:rPr>
          <w:sz w:val="28"/>
          <w:szCs w:val="28"/>
        </w:rPr>
        <w:t xml:space="preserve">under which they are transferred to the NAA before they enter the ‘open access period’. </w:t>
      </w:r>
    </w:p>
    <w:p w14:paraId="1FA1A6B7" w14:textId="25467931" w:rsidR="00885726" w:rsidRPr="00037B09" w:rsidRDefault="00886BA0"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The Archives Act requires that the NAA provide public access to </w:t>
      </w:r>
      <w:r w:rsidR="006646C2" w:rsidRPr="00037B09">
        <w:rPr>
          <w:sz w:val="28"/>
          <w:szCs w:val="28"/>
        </w:rPr>
        <w:t xml:space="preserve">all eligible Cabinet </w:t>
      </w:r>
      <w:r w:rsidR="00F568CC" w:rsidRPr="00037B09">
        <w:rPr>
          <w:sz w:val="28"/>
          <w:szCs w:val="28"/>
        </w:rPr>
        <w:t xml:space="preserve">records </w:t>
      </w:r>
      <w:r w:rsidR="002D651D" w:rsidRPr="00037B09">
        <w:rPr>
          <w:sz w:val="28"/>
          <w:szCs w:val="28"/>
        </w:rPr>
        <w:t>once they enter the ‘open access period’</w:t>
      </w:r>
      <w:r w:rsidR="00885726" w:rsidRPr="00037B09">
        <w:rPr>
          <w:sz w:val="28"/>
          <w:szCs w:val="28"/>
        </w:rPr>
        <w:t>.</w:t>
      </w:r>
      <w:r w:rsidR="002B4402" w:rsidRPr="00037B09">
        <w:rPr>
          <w:rStyle w:val="FootnoteReference"/>
          <w:sz w:val="28"/>
          <w:szCs w:val="28"/>
        </w:rPr>
        <w:footnoteReference w:id="6"/>
      </w:r>
      <w:r w:rsidR="00885726" w:rsidRPr="00037B09">
        <w:rPr>
          <w:sz w:val="28"/>
          <w:szCs w:val="28"/>
        </w:rPr>
        <w:t xml:space="preserve"> For records created after </w:t>
      </w:r>
      <w:r w:rsidR="00C048FB" w:rsidRPr="00037B09">
        <w:rPr>
          <w:sz w:val="28"/>
          <w:szCs w:val="28"/>
        </w:rPr>
        <w:t>1 January 2000</w:t>
      </w:r>
      <w:r w:rsidR="00885726" w:rsidRPr="00037B09">
        <w:rPr>
          <w:sz w:val="28"/>
          <w:szCs w:val="28"/>
        </w:rPr>
        <w:t>, the open access period for a record commences on 1 January in the year that is 21 years after the record came into existence</w:t>
      </w:r>
      <w:r w:rsidR="001666D7" w:rsidRPr="00037B09">
        <w:rPr>
          <w:sz w:val="28"/>
          <w:szCs w:val="28"/>
        </w:rPr>
        <w:t>.</w:t>
      </w:r>
    </w:p>
    <w:p w14:paraId="6E3246B6" w14:textId="48EC879A" w:rsidR="00EE23D6" w:rsidRPr="00037B09" w:rsidRDefault="00885726"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Given the public interest in Cabinet deliberations, and to promote its work, the NAA </w:t>
      </w:r>
      <w:r w:rsidR="00886BA0" w:rsidRPr="00037B09">
        <w:rPr>
          <w:sz w:val="28"/>
          <w:szCs w:val="28"/>
        </w:rPr>
        <w:t>conduct</w:t>
      </w:r>
      <w:r w:rsidR="009A203B" w:rsidRPr="00037B09">
        <w:rPr>
          <w:sz w:val="28"/>
          <w:szCs w:val="28"/>
        </w:rPr>
        <w:t>s</w:t>
      </w:r>
      <w:r w:rsidR="00886BA0" w:rsidRPr="00037B09">
        <w:rPr>
          <w:sz w:val="28"/>
          <w:szCs w:val="28"/>
        </w:rPr>
        <w:t xml:space="preserve"> a proactive public</w:t>
      </w:r>
      <w:r w:rsidRPr="00037B09">
        <w:rPr>
          <w:sz w:val="28"/>
          <w:szCs w:val="28"/>
        </w:rPr>
        <w:t xml:space="preserve"> release on 1 January each year of selected Cabinet records that are ente</w:t>
      </w:r>
      <w:r w:rsidR="00C647AF" w:rsidRPr="00037B09">
        <w:rPr>
          <w:sz w:val="28"/>
          <w:szCs w:val="28"/>
        </w:rPr>
        <w:t>ring the open access period. To </w:t>
      </w:r>
      <w:r w:rsidRPr="00037B09">
        <w:rPr>
          <w:sz w:val="28"/>
          <w:szCs w:val="28"/>
        </w:rPr>
        <w:t xml:space="preserve">support the proactive release, the </w:t>
      </w:r>
      <w:r w:rsidR="009A203B" w:rsidRPr="00037B09">
        <w:rPr>
          <w:sz w:val="28"/>
          <w:szCs w:val="28"/>
        </w:rPr>
        <w:t>NAA</w:t>
      </w:r>
      <w:r w:rsidRPr="00037B09">
        <w:rPr>
          <w:sz w:val="28"/>
          <w:szCs w:val="28"/>
        </w:rPr>
        <w:t xml:space="preserve"> provides access to</w:t>
      </w:r>
      <w:r w:rsidR="00E12959" w:rsidRPr="00037B09">
        <w:rPr>
          <w:sz w:val="28"/>
          <w:szCs w:val="28"/>
        </w:rPr>
        <w:t xml:space="preserve"> </w:t>
      </w:r>
      <w:r w:rsidR="00212348" w:rsidRPr="00037B09">
        <w:rPr>
          <w:sz w:val="28"/>
          <w:szCs w:val="28"/>
        </w:rPr>
        <w:t xml:space="preserve">some </w:t>
      </w:r>
      <w:r w:rsidRPr="00037B09">
        <w:rPr>
          <w:sz w:val="28"/>
          <w:szCs w:val="28"/>
        </w:rPr>
        <w:t xml:space="preserve">journalists in advance of the release, under embargo, and invites a historian to prepare an overview of the documents. </w:t>
      </w:r>
      <w:r w:rsidR="009A203B" w:rsidRPr="00037B09">
        <w:rPr>
          <w:sz w:val="28"/>
          <w:szCs w:val="28"/>
        </w:rPr>
        <w:t xml:space="preserve">The proactive public release of selected Cabinet records is not a legislative requirement. </w:t>
      </w:r>
      <w:r w:rsidRPr="00037B09">
        <w:rPr>
          <w:sz w:val="28"/>
          <w:szCs w:val="28"/>
        </w:rPr>
        <w:t xml:space="preserve">The </w:t>
      </w:r>
      <w:r w:rsidRPr="00037B09">
        <w:rPr>
          <w:sz w:val="28"/>
          <w:szCs w:val="28"/>
        </w:rPr>
        <w:lastRenderedPageBreak/>
        <w:t>proactive release that occurred on 1 January 2024 concerned selected Cabinet records from 2003.</w:t>
      </w:r>
      <w:r w:rsidR="00EE23D6" w:rsidRPr="00037B09">
        <w:rPr>
          <w:sz w:val="28"/>
          <w:szCs w:val="28"/>
        </w:rPr>
        <w:t xml:space="preserve"> </w:t>
      </w:r>
    </w:p>
    <w:p w14:paraId="560FD3BE" w14:textId="42B8AF6B" w:rsidR="00885726" w:rsidRPr="00037B09" w:rsidRDefault="008D099F" w:rsidP="00771FA7">
      <w:pPr>
        <w:pStyle w:val="ListParagraph"/>
        <w:numPr>
          <w:ilvl w:val="0"/>
          <w:numId w:val="11"/>
        </w:numPr>
        <w:spacing w:line="360" w:lineRule="auto"/>
        <w:ind w:left="709" w:hanging="709"/>
        <w:contextualSpacing w:val="0"/>
        <w:rPr>
          <w:sz w:val="28"/>
          <w:szCs w:val="28"/>
        </w:rPr>
      </w:pPr>
      <w:r w:rsidRPr="00037B09">
        <w:rPr>
          <w:sz w:val="28"/>
          <w:szCs w:val="28"/>
        </w:rPr>
        <w:t>Once records enter the open access period, any Commonwealth record that has not been proactively released can still be accessed on application to the NAA</w:t>
      </w:r>
      <w:r w:rsidR="00D323D4" w:rsidRPr="00037B09">
        <w:rPr>
          <w:sz w:val="28"/>
          <w:szCs w:val="28"/>
        </w:rPr>
        <w:t>,</w:t>
      </w:r>
      <w:r w:rsidRPr="00037B09">
        <w:rPr>
          <w:rStyle w:val="FootnoteReference"/>
          <w:sz w:val="28"/>
          <w:szCs w:val="28"/>
        </w:rPr>
        <w:footnoteReference w:id="7"/>
      </w:r>
      <w:r w:rsidRPr="00037B09">
        <w:rPr>
          <w:sz w:val="28"/>
          <w:szCs w:val="28"/>
        </w:rPr>
        <w:t xml:space="preserve"> subject to any </w:t>
      </w:r>
      <w:r w:rsidR="00D323D4" w:rsidRPr="00037B09">
        <w:rPr>
          <w:sz w:val="28"/>
          <w:szCs w:val="28"/>
        </w:rPr>
        <w:t>exemption under section 33 of the Archives Act</w:t>
      </w:r>
      <w:r w:rsidRPr="00037B09">
        <w:rPr>
          <w:sz w:val="28"/>
          <w:szCs w:val="28"/>
        </w:rPr>
        <w:t>.</w:t>
      </w:r>
      <w:r w:rsidR="00EE23D6" w:rsidRPr="00037B09">
        <w:rPr>
          <w:rStyle w:val="FootnoteReference"/>
          <w:sz w:val="28"/>
          <w:szCs w:val="28"/>
        </w:rPr>
        <w:footnoteReference w:id="8"/>
      </w:r>
      <w:r w:rsidR="00EE23D6" w:rsidRPr="00037B09">
        <w:rPr>
          <w:sz w:val="28"/>
          <w:szCs w:val="28"/>
        </w:rPr>
        <w:t xml:space="preserve"> </w:t>
      </w:r>
    </w:p>
    <w:p w14:paraId="7D5A0764" w14:textId="77777777" w:rsidR="004C0D37" w:rsidRPr="00037B09" w:rsidRDefault="004C0D37" w:rsidP="00BC2ABB">
      <w:pPr>
        <w:pStyle w:val="Heading2"/>
        <w:spacing w:line="360" w:lineRule="auto"/>
        <w:rPr>
          <w:sz w:val="32"/>
        </w:rPr>
      </w:pPr>
      <w:bookmarkStart w:id="25" w:name="_Toc155699025"/>
      <w:bookmarkStart w:id="26" w:name="_Toc155700967"/>
      <w:bookmarkStart w:id="27" w:name="_Toc155799947"/>
      <w:bookmarkStart w:id="28" w:name="_Toc155875093"/>
      <w:bookmarkStart w:id="29" w:name="_Toc156565952"/>
      <w:bookmarkStart w:id="30" w:name="_Toc157432100"/>
      <w:r w:rsidRPr="00037B09">
        <w:rPr>
          <w:sz w:val="32"/>
        </w:rPr>
        <w:t>Focus</w:t>
      </w:r>
      <w:bookmarkEnd w:id="25"/>
      <w:bookmarkEnd w:id="26"/>
      <w:bookmarkEnd w:id="27"/>
      <w:bookmarkEnd w:id="28"/>
      <w:bookmarkEnd w:id="29"/>
      <w:bookmarkEnd w:id="30"/>
    </w:p>
    <w:p w14:paraId="120083AF" w14:textId="08A5AF7E" w:rsidR="009A203B" w:rsidRPr="00037B09" w:rsidRDefault="009A203B" w:rsidP="00771FA7">
      <w:pPr>
        <w:pStyle w:val="ListParagraph"/>
        <w:numPr>
          <w:ilvl w:val="0"/>
          <w:numId w:val="11"/>
        </w:numPr>
        <w:spacing w:line="360" w:lineRule="auto"/>
        <w:ind w:left="709" w:hanging="709"/>
        <w:contextualSpacing w:val="0"/>
        <w:rPr>
          <w:sz w:val="28"/>
          <w:szCs w:val="28"/>
        </w:rPr>
      </w:pPr>
      <w:bookmarkStart w:id="31" w:name="_Toc155699026"/>
      <w:bookmarkStart w:id="32" w:name="_Toc155700968"/>
      <w:r w:rsidRPr="00037B09">
        <w:rPr>
          <w:sz w:val="28"/>
          <w:szCs w:val="28"/>
        </w:rPr>
        <w:t xml:space="preserve">While the terms of reference were narrow, we identified a number of wider considerations that impact PM&amp;C, </w:t>
      </w:r>
      <w:r w:rsidR="007869C0" w:rsidRPr="00037B09">
        <w:rPr>
          <w:sz w:val="28"/>
          <w:szCs w:val="28"/>
        </w:rPr>
        <w:t xml:space="preserve">the </w:t>
      </w:r>
      <w:r w:rsidRPr="00037B09">
        <w:rPr>
          <w:sz w:val="28"/>
          <w:szCs w:val="28"/>
        </w:rPr>
        <w:t>NAA and quite possibly, other departments and agencies’ abilities to effectively discharge obligations under the Archives Act.</w:t>
      </w:r>
    </w:p>
    <w:p w14:paraId="38C87B95" w14:textId="030D6F5A" w:rsidR="009A203B" w:rsidRPr="00037B09" w:rsidRDefault="00E12959" w:rsidP="00771FA7">
      <w:pPr>
        <w:pStyle w:val="ListParagraph"/>
        <w:numPr>
          <w:ilvl w:val="0"/>
          <w:numId w:val="11"/>
        </w:numPr>
        <w:spacing w:line="360" w:lineRule="auto"/>
        <w:ind w:left="709" w:hanging="709"/>
        <w:contextualSpacing w:val="0"/>
        <w:rPr>
          <w:sz w:val="28"/>
          <w:szCs w:val="28"/>
        </w:rPr>
      </w:pPr>
      <w:r w:rsidRPr="00037B09">
        <w:rPr>
          <w:sz w:val="28"/>
          <w:szCs w:val="28"/>
        </w:rPr>
        <w:t>T</w:t>
      </w:r>
      <w:r w:rsidR="009A203B" w:rsidRPr="00037B09">
        <w:rPr>
          <w:sz w:val="28"/>
          <w:szCs w:val="28"/>
        </w:rPr>
        <w:t>he Review focused on:</w:t>
      </w:r>
    </w:p>
    <w:p w14:paraId="7E39E701" w14:textId="24ECD11F" w:rsidR="009A203B" w:rsidRPr="00037B09" w:rsidRDefault="009A203B" w:rsidP="00771FA7">
      <w:pPr>
        <w:pStyle w:val="ListParagraph"/>
        <w:numPr>
          <w:ilvl w:val="1"/>
          <w:numId w:val="13"/>
        </w:numPr>
        <w:spacing w:line="360" w:lineRule="auto"/>
        <w:ind w:left="1134" w:hanging="425"/>
        <w:contextualSpacing w:val="0"/>
        <w:rPr>
          <w:sz w:val="28"/>
          <w:szCs w:val="28"/>
        </w:rPr>
      </w:pPr>
      <w:r w:rsidRPr="00037B09">
        <w:rPr>
          <w:sz w:val="28"/>
          <w:szCs w:val="28"/>
        </w:rPr>
        <w:t>th</w:t>
      </w:r>
      <w:r w:rsidR="003B162E" w:rsidRPr="00037B09">
        <w:rPr>
          <w:sz w:val="28"/>
          <w:szCs w:val="28"/>
        </w:rPr>
        <w:t xml:space="preserve">e circumstances surrounding </w:t>
      </w:r>
      <w:r w:rsidR="002150AA" w:rsidRPr="00037B09">
        <w:rPr>
          <w:sz w:val="28"/>
          <w:szCs w:val="28"/>
        </w:rPr>
        <w:t xml:space="preserve">the </w:t>
      </w:r>
      <w:r w:rsidRPr="00037B09">
        <w:rPr>
          <w:sz w:val="28"/>
          <w:szCs w:val="28"/>
        </w:rPr>
        <w:t>transfer</w:t>
      </w:r>
      <w:r w:rsidR="00AB0C77" w:rsidRPr="00037B09">
        <w:rPr>
          <w:sz w:val="28"/>
          <w:szCs w:val="28"/>
        </w:rPr>
        <w:t xml:space="preserve"> in 2020</w:t>
      </w:r>
      <w:r w:rsidRPr="00037B09">
        <w:rPr>
          <w:sz w:val="28"/>
          <w:szCs w:val="28"/>
        </w:rPr>
        <w:t xml:space="preserve"> of</w:t>
      </w:r>
      <w:r w:rsidR="00AB0C77" w:rsidRPr="00037B09">
        <w:rPr>
          <w:sz w:val="28"/>
          <w:szCs w:val="28"/>
        </w:rPr>
        <w:t xml:space="preserve"> the</w:t>
      </w:r>
      <w:r w:rsidRPr="00037B09">
        <w:rPr>
          <w:sz w:val="28"/>
          <w:szCs w:val="28"/>
        </w:rPr>
        <w:t xml:space="preserve"> </w:t>
      </w:r>
      <w:r w:rsidR="003B162E" w:rsidRPr="00037B09">
        <w:rPr>
          <w:sz w:val="28"/>
          <w:szCs w:val="28"/>
        </w:rPr>
        <w:t xml:space="preserve">2003 </w:t>
      </w:r>
      <w:r w:rsidRPr="00037B09">
        <w:rPr>
          <w:sz w:val="28"/>
          <w:szCs w:val="28"/>
        </w:rPr>
        <w:t>Cabinet records</w:t>
      </w:r>
      <w:r w:rsidR="00AB0C77" w:rsidRPr="00037B09">
        <w:rPr>
          <w:sz w:val="28"/>
          <w:szCs w:val="28"/>
        </w:rPr>
        <w:t>;</w:t>
      </w:r>
    </w:p>
    <w:p w14:paraId="0E601670" w14:textId="77777777" w:rsidR="009A203B" w:rsidRPr="00037B09" w:rsidRDefault="009A203B" w:rsidP="00771FA7">
      <w:pPr>
        <w:pStyle w:val="ListParagraph"/>
        <w:numPr>
          <w:ilvl w:val="1"/>
          <w:numId w:val="13"/>
        </w:numPr>
        <w:spacing w:line="360" w:lineRule="auto"/>
        <w:ind w:left="1134" w:hanging="425"/>
        <w:contextualSpacing w:val="0"/>
        <w:rPr>
          <w:sz w:val="28"/>
          <w:szCs w:val="28"/>
        </w:rPr>
      </w:pPr>
      <w:r w:rsidRPr="00037B09">
        <w:rPr>
          <w:sz w:val="28"/>
          <w:szCs w:val="28"/>
        </w:rPr>
        <w:t>a search of relevant areas of PM&amp;C to ensure that all 2003 Cabinet records had been transferred to the NAA; and</w:t>
      </w:r>
    </w:p>
    <w:p w14:paraId="174990F2" w14:textId="77777777" w:rsidR="009A203B" w:rsidRPr="00037B09" w:rsidRDefault="009A203B" w:rsidP="00771FA7">
      <w:pPr>
        <w:pStyle w:val="ListParagraph"/>
        <w:numPr>
          <w:ilvl w:val="1"/>
          <w:numId w:val="13"/>
        </w:numPr>
        <w:spacing w:line="360" w:lineRule="auto"/>
        <w:ind w:left="1134" w:hanging="425"/>
        <w:contextualSpacing w:val="0"/>
        <w:rPr>
          <w:sz w:val="28"/>
          <w:szCs w:val="28"/>
        </w:rPr>
      </w:pPr>
      <w:r w:rsidRPr="00037B09">
        <w:rPr>
          <w:sz w:val="28"/>
          <w:szCs w:val="28"/>
        </w:rPr>
        <w:t>PM&amp;C and NAA processes that support the transfer of Cabinet material, and the subsequent treatment of Cabinet material for proactive public release.</w:t>
      </w:r>
    </w:p>
    <w:p w14:paraId="3DB5A904" w14:textId="5AE8C73E" w:rsidR="004C0D37" w:rsidRPr="00037B09" w:rsidRDefault="00885726" w:rsidP="00BC2ABB">
      <w:pPr>
        <w:pStyle w:val="Heading2"/>
        <w:spacing w:line="360" w:lineRule="auto"/>
        <w:rPr>
          <w:sz w:val="32"/>
        </w:rPr>
      </w:pPr>
      <w:bookmarkStart w:id="33" w:name="_Toc155799948"/>
      <w:bookmarkStart w:id="34" w:name="_Toc155875094"/>
      <w:bookmarkStart w:id="35" w:name="_Toc156565953"/>
      <w:bookmarkStart w:id="36" w:name="_Toc157432101"/>
      <w:r w:rsidRPr="00037B09">
        <w:rPr>
          <w:sz w:val="32"/>
        </w:rPr>
        <w:lastRenderedPageBreak/>
        <w:t xml:space="preserve">Key </w:t>
      </w:r>
      <w:r w:rsidR="004C0D37" w:rsidRPr="00037B09">
        <w:rPr>
          <w:sz w:val="32"/>
        </w:rPr>
        <w:t>Findings</w:t>
      </w:r>
      <w:bookmarkEnd w:id="31"/>
      <w:bookmarkEnd w:id="32"/>
      <w:bookmarkEnd w:id="33"/>
      <w:bookmarkEnd w:id="34"/>
      <w:bookmarkEnd w:id="35"/>
      <w:bookmarkEnd w:id="36"/>
    </w:p>
    <w:p w14:paraId="2F307CA0" w14:textId="781CA225" w:rsidR="008F0A03" w:rsidRPr="00037B09" w:rsidRDefault="008F0A03" w:rsidP="00BC2ABB">
      <w:pPr>
        <w:pStyle w:val="Heading3"/>
        <w:spacing w:line="360" w:lineRule="auto"/>
        <w:rPr>
          <w:b w:val="0"/>
          <w:sz w:val="28"/>
          <w:szCs w:val="28"/>
        </w:rPr>
      </w:pPr>
      <w:bookmarkStart w:id="37" w:name="_Toc155699027"/>
      <w:bookmarkStart w:id="38" w:name="_Toc155700969"/>
      <w:bookmarkStart w:id="39" w:name="_Toc155799949"/>
      <w:bookmarkStart w:id="40" w:name="_Toc155875095"/>
      <w:bookmarkStart w:id="41" w:name="_Toc156565954"/>
      <w:bookmarkStart w:id="42" w:name="_Toc157432102"/>
      <w:r w:rsidRPr="00037B09">
        <w:rPr>
          <w:b w:val="0"/>
          <w:sz w:val="28"/>
          <w:szCs w:val="28"/>
        </w:rPr>
        <w:t>Transfer of 2003 Cabinet records</w:t>
      </w:r>
      <w:bookmarkEnd w:id="37"/>
      <w:bookmarkEnd w:id="38"/>
      <w:bookmarkEnd w:id="39"/>
      <w:bookmarkEnd w:id="40"/>
      <w:bookmarkEnd w:id="41"/>
      <w:bookmarkEnd w:id="42"/>
    </w:p>
    <w:p w14:paraId="7D21CD6D" w14:textId="692214AB" w:rsidR="004C0D37" w:rsidRPr="00037B09" w:rsidRDefault="004C0D37" w:rsidP="00771FA7">
      <w:pPr>
        <w:pStyle w:val="ListParagraph"/>
        <w:numPr>
          <w:ilvl w:val="0"/>
          <w:numId w:val="11"/>
        </w:numPr>
        <w:spacing w:line="360" w:lineRule="auto"/>
        <w:ind w:left="709" w:hanging="709"/>
        <w:contextualSpacing w:val="0"/>
        <w:rPr>
          <w:sz w:val="28"/>
          <w:szCs w:val="28"/>
        </w:rPr>
      </w:pPr>
      <w:r w:rsidRPr="00037B09">
        <w:rPr>
          <w:sz w:val="28"/>
          <w:szCs w:val="28"/>
        </w:rPr>
        <w:t>PM&amp;C’s failure to provide the NAA with a complete set of 2003 Cabinet records was a result of administrative error</w:t>
      </w:r>
      <w:r w:rsidR="000D1E36" w:rsidRPr="00037B09">
        <w:rPr>
          <w:sz w:val="28"/>
          <w:szCs w:val="28"/>
        </w:rPr>
        <w:t>, in part due to the circumstances particular to 2020 and in part due to systemic issues</w:t>
      </w:r>
      <w:r w:rsidRPr="00037B09">
        <w:rPr>
          <w:sz w:val="28"/>
          <w:szCs w:val="28"/>
        </w:rPr>
        <w:t xml:space="preserve">. Any suggestion of political </w:t>
      </w:r>
      <w:r w:rsidR="00CB7E73" w:rsidRPr="00037B09">
        <w:rPr>
          <w:sz w:val="28"/>
          <w:szCs w:val="28"/>
        </w:rPr>
        <w:t xml:space="preserve">influence or </w:t>
      </w:r>
      <w:r w:rsidRPr="00037B09">
        <w:rPr>
          <w:sz w:val="28"/>
          <w:szCs w:val="28"/>
        </w:rPr>
        <w:t>interference is</w:t>
      </w:r>
      <w:r w:rsidRPr="00037B09" w:rsidDel="003877D8">
        <w:rPr>
          <w:sz w:val="28"/>
          <w:szCs w:val="28"/>
        </w:rPr>
        <w:t xml:space="preserve"> </w:t>
      </w:r>
      <w:r w:rsidRPr="00037B09">
        <w:rPr>
          <w:sz w:val="28"/>
          <w:szCs w:val="28"/>
        </w:rPr>
        <w:t>without foundation.</w:t>
      </w:r>
    </w:p>
    <w:p w14:paraId="52602389" w14:textId="56761691" w:rsidR="00886BA0" w:rsidRPr="00037B09" w:rsidRDefault="00886BA0"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As at </w:t>
      </w:r>
      <w:r w:rsidR="005E0138" w:rsidRPr="00037B09">
        <w:rPr>
          <w:sz w:val="28"/>
          <w:szCs w:val="28"/>
        </w:rPr>
        <w:t>30</w:t>
      </w:r>
      <w:r w:rsidRPr="00037B09">
        <w:rPr>
          <w:sz w:val="28"/>
          <w:szCs w:val="28"/>
        </w:rPr>
        <w:t xml:space="preserve"> December 2023, </w:t>
      </w:r>
      <w:r w:rsidR="005E0138" w:rsidRPr="00037B09">
        <w:rPr>
          <w:sz w:val="28"/>
          <w:szCs w:val="28"/>
        </w:rPr>
        <w:t>PM&amp;C w</w:t>
      </w:r>
      <w:r w:rsidR="00D323D4" w:rsidRPr="00037B09">
        <w:rPr>
          <w:sz w:val="28"/>
          <w:szCs w:val="28"/>
        </w:rPr>
        <w:t>as</w:t>
      </w:r>
      <w:r w:rsidR="005E0138" w:rsidRPr="00037B09">
        <w:rPr>
          <w:sz w:val="28"/>
          <w:szCs w:val="28"/>
        </w:rPr>
        <w:t xml:space="preserve"> aware of </w:t>
      </w:r>
      <w:r w:rsidRPr="00037B09">
        <w:rPr>
          <w:sz w:val="28"/>
          <w:szCs w:val="28"/>
        </w:rPr>
        <w:t xml:space="preserve">78 Cabinet </w:t>
      </w:r>
      <w:r w:rsidR="002D2132" w:rsidRPr="00037B09">
        <w:rPr>
          <w:sz w:val="28"/>
          <w:szCs w:val="28"/>
        </w:rPr>
        <w:t>records</w:t>
      </w:r>
      <w:r w:rsidRPr="00037B09">
        <w:rPr>
          <w:sz w:val="28"/>
          <w:szCs w:val="28"/>
        </w:rPr>
        <w:t xml:space="preserve"> from 2003 </w:t>
      </w:r>
      <w:r w:rsidR="005E0138" w:rsidRPr="00037B09">
        <w:rPr>
          <w:sz w:val="28"/>
          <w:szCs w:val="28"/>
        </w:rPr>
        <w:t xml:space="preserve">that </w:t>
      </w:r>
      <w:r w:rsidRPr="00037B09">
        <w:rPr>
          <w:sz w:val="28"/>
          <w:szCs w:val="28"/>
        </w:rPr>
        <w:t xml:space="preserve">had not been transferred to the NAA. </w:t>
      </w:r>
      <w:r w:rsidR="002410D3">
        <w:rPr>
          <w:sz w:val="28"/>
          <w:szCs w:val="28"/>
        </w:rPr>
        <w:t>77 of t</w:t>
      </w:r>
      <w:r w:rsidRPr="00037B09">
        <w:rPr>
          <w:sz w:val="28"/>
          <w:szCs w:val="28"/>
        </w:rPr>
        <w:t xml:space="preserve">hese </w:t>
      </w:r>
      <w:r w:rsidR="002D2132" w:rsidRPr="00037B09">
        <w:rPr>
          <w:sz w:val="28"/>
          <w:szCs w:val="28"/>
        </w:rPr>
        <w:t>records</w:t>
      </w:r>
      <w:r w:rsidRPr="00037B09">
        <w:rPr>
          <w:sz w:val="28"/>
          <w:szCs w:val="28"/>
        </w:rPr>
        <w:t xml:space="preserve"> were provided to the NAA on 31 December 2023. </w:t>
      </w:r>
    </w:p>
    <w:p w14:paraId="14D2B9AC" w14:textId="3078E387" w:rsidR="004C0D37" w:rsidRPr="00037B09" w:rsidRDefault="004C0D37" w:rsidP="00771FA7">
      <w:pPr>
        <w:pStyle w:val="ListParagraph"/>
        <w:numPr>
          <w:ilvl w:val="0"/>
          <w:numId w:val="11"/>
        </w:numPr>
        <w:spacing w:line="360" w:lineRule="auto"/>
        <w:ind w:left="709" w:hanging="709"/>
        <w:contextualSpacing w:val="0"/>
        <w:rPr>
          <w:sz w:val="28"/>
          <w:szCs w:val="28"/>
        </w:rPr>
      </w:pPr>
      <w:r w:rsidRPr="00037B09">
        <w:rPr>
          <w:sz w:val="28"/>
          <w:szCs w:val="28"/>
        </w:rPr>
        <w:t>During the course of the R</w:t>
      </w:r>
      <w:r w:rsidR="00AB1ADA" w:rsidRPr="00037B09">
        <w:rPr>
          <w:sz w:val="28"/>
          <w:szCs w:val="28"/>
        </w:rPr>
        <w:t xml:space="preserve">eview, </w:t>
      </w:r>
      <w:r w:rsidR="002410D3">
        <w:rPr>
          <w:sz w:val="28"/>
          <w:szCs w:val="28"/>
        </w:rPr>
        <w:t xml:space="preserve">one of the 78 records and </w:t>
      </w:r>
      <w:r w:rsidRPr="00037B09">
        <w:rPr>
          <w:sz w:val="28"/>
          <w:szCs w:val="28"/>
        </w:rPr>
        <w:t xml:space="preserve">a further </w:t>
      </w:r>
      <w:r w:rsidR="000A6493" w:rsidRPr="00037B09">
        <w:rPr>
          <w:sz w:val="28"/>
          <w:szCs w:val="28"/>
        </w:rPr>
        <w:t>f</w:t>
      </w:r>
      <w:r w:rsidR="002410D3">
        <w:rPr>
          <w:sz w:val="28"/>
          <w:szCs w:val="28"/>
        </w:rPr>
        <w:t>our</w:t>
      </w:r>
      <w:r w:rsidRPr="00037B09">
        <w:rPr>
          <w:sz w:val="28"/>
          <w:szCs w:val="28"/>
        </w:rPr>
        <w:t xml:space="preserve"> Cabinet records from 2003</w:t>
      </w:r>
      <w:r w:rsidR="000D1E36" w:rsidRPr="00037B09">
        <w:rPr>
          <w:sz w:val="28"/>
          <w:szCs w:val="28"/>
        </w:rPr>
        <w:t xml:space="preserve"> were located</w:t>
      </w:r>
      <w:r w:rsidRPr="00037B09">
        <w:rPr>
          <w:sz w:val="28"/>
          <w:szCs w:val="28"/>
        </w:rPr>
        <w:t xml:space="preserve"> which had not been transferred. </w:t>
      </w:r>
      <w:r w:rsidR="000D1E36" w:rsidRPr="00037B09">
        <w:rPr>
          <w:sz w:val="28"/>
          <w:szCs w:val="28"/>
        </w:rPr>
        <w:t>T</w:t>
      </w:r>
      <w:r w:rsidRPr="00037B09">
        <w:rPr>
          <w:sz w:val="28"/>
          <w:szCs w:val="28"/>
        </w:rPr>
        <w:t xml:space="preserve">hese </w:t>
      </w:r>
      <w:r w:rsidR="000A6493" w:rsidRPr="00037B09">
        <w:rPr>
          <w:sz w:val="28"/>
          <w:szCs w:val="28"/>
        </w:rPr>
        <w:t>five</w:t>
      </w:r>
      <w:r w:rsidRPr="00037B09">
        <w:rPr>
          <w:sz w:val="28"/>
          <w:szCs w:val="28"/>
        </w:rPr>
        <w:t xml:space="preserve"> Cabinet records</w:t>
      </w:r>
      <w:r w:rsidR="005740F5" w:rsidRPr="00037B09">
        <w:rPr>
          <w:sz w:val="28"/>
          <w:szCs w:val="28"/>
        </w:rPr>
        <w:t xml:space="preserve"> </w:t>
      </w:r>
      <w:r w:rsidRPr="00037B09">
        <w:rPr>
          <w:sz w:val="28"/>
          <w:szCs w:val="28"/>
        </w:rPr>
        <w:t xml:space="preserve">were </w:t>
      </w:r>
      <w:r w:rsidR="005E3308" w:rsidRPr="00037B09">
        <w:rPr>
          <w:sz w:val="28"/>
          <w:szCs w:val="28"/>
        </w:rPr>
        <w:t>provided</w:t>
      </w:r>
      <w:r w:rsidRPr="00037B09">
        <w:rPr>
          <w:sz w:val="28"/>
          <w:szCs w:val="28"/>
        </w:rPr>
        <w:t xml:space="preserve"> to the NAA</w:t>
      </w:r>
      <w:r w:rsidR="000D1E36" w:rsidRPr="00037B09">
        <w:rPr>
          <w:sz w:val="28"/>
          <w:szCs w:val="28"/>
        </w:rPr>
        <w:t xml:space="preserve"> on 5 January 2024</w:t>
      </w:r>
      <w:r w:rsidRPr="00037B09">
        <w:rPr>
          <w:sz w:val="28"/>
          <w:szCs w:val="28"/>
        </w:rPr>
        <w:t>.</w:t>
      </w:r>
    </w:p>
    <w:p w14:paraId="7329C4B0" w14:textId="675BE070" w:rsidR="004C0D37" w:rsidRPr="00037B09" w:rsidRDefault="00AB1ADA" w:rsidP="00771FA7">
      <w:pPr>
        <w:pStyle w:val="ListParagraph"/>
        <w:numPr>
          <w:ilvl w:val="0"/>
          <w:numId w:val="11"/>
        </w:numPr>
        <w:spacing w:line="360" w:lineRule="auto"/>
        <w:ind w:left="709" w:hanging="709"/>
        <w:contextualSpacing w:val="0"/>
        <w:rPr>
          <w:sz w:val="28"/>
          <w:szCs w:val="28"/>
        </w:rPr>
      </w:pPr>
      <w:r w:rsidRPr="00037B09">
        <w:rPr>
          <w:sz w:val="28"/>
          <w:szCs w:val="28"/>
        </w:rPr>
        <w:t>I am</w:t>
      </w:r>
      <w:r w:rsidR="004C0D37" w:rsidRPr="00037B09">
        <w:rPr>
          <w:sz w:val="28"/>
          <w:szCs w:val="28"/>
        </w:rPr>
        <w:t xml:space="preserve"> satisfied</w:t>
      </w:r>
      <w:r w:rsidRPr="00037B09">
        <w:rPr>
          <w:sz w:val="28"/>
          <w:szCs w:val="28"/>
        </w:rPr>
        <w:t xml:space="preserve"> that all 2003 Cabinet records have now been transferred from PM&amp;C to the NAA.</w:t>
      </w:r>
      <w:r w:rsidR="00AD37CB" w:rsidRPr="00037B09">
        <w:rPr>
          <w:sz w:val="28"/>
          <w:szCs w:val="28"/>
        </w:rPr>
        <w:t xml:space="preserve"> </w:t>
      </w:r>
    </w:p>
    <w:p w14:paraId="589311A3" w14:textId="43951EFA" w:rsidR="005E3308" w:rsidRPr="00037B09" w:rsidRDefault="005E3308" w:rsidP="00B47188">
      <w:pPr>
        <w:pStyle w:val="Heading3"/>
        <w:spacing w:line="360" w:lineRule="auto"/>
        <w:rPr>
          <w:b w:val="0"/>
          <w:sz w:val="28"/>
          <w:szCs w:val="28"/>
        </w:rPr>
      </w:pPr>
      <w:bookmarkStart w:id="43" w:name="_Toc155875096"/>
      <w:bookmarkStart w:id="44" w:name="_Toc156565955"/>
      <w:bookmarkStart w:id="45" w:name="_Toc157432103"/>
      <w:r w:rsidRPr="00037B09">
        <w:rPr>
          <w:b w:val="0"/>
          <w:sz w:val="28"/>
          <w:szCs w:val="28"/>
        </w:rPr>
        <w:t>Iraq war</w:t>
      </w:r>
      <w:bookmarkEnd w:id="43"/>
      <w:bookmarkEnd w:id="44"/>
      <w:bookmarkEnd w:id="45"/>
    </w:p>
    <w:p w14:paraId="06B63ECA" w14:textId="133E6ABA" w:rsidR="00070EA1" w:rsidRPr="00037B09" w:rsidRDefault="00070EA1" w:rsidP="00771FA7">
      <w:pPr>
        <w:pStyle w:val="ListParagraph"/>
        <w:numPr>
          <w:ilvl w:val="0"/>
          <w:numId w:val="11"/>
        </w:numPr>
        <w:spacing w:line="360" w:lineRule="auto"/>
        <w:ind w:left="709" w:hanging="709"/>
        <w:contextualSpacing w:val="0"/>
        <w:rPr>
          <w:sz w:val="28"/>
          <w:szCs w:val="28"/>
        </w:rPr>
      </w:pPr>
      <w:r w:rsidRPr="00037B09">
        <w:rPr>
          <w:sz w:val="28"/>
          <w:szCs w:val="28"/>
        </w:rPr>
        <w:t>N</w:t>
      </w:r>
      <w:r w:rsidR="007A3DCB" w:rsidRPr="00037B09">
        <w:rPr>
          <w:sz w:val="28"/>
          <w:szCs w:val="28"/>
        </w:rPr>
        <w:t xml:space="preserve">ational </w:t>
      </w:r>
      <w:r w:rsidRPr="00037B09">
        <w:rPr>
          <w:sz w:val="28"/>
          <w:szCs w:val="28"/>
        </w:rPr>
        <w:t>S</w:t>
      </w:r>
      <w:r w:rsidR="007A3DCB" w:rsidRPr="00037B09">
        <w:rPr>
          <w:sz w:val="28"/>
          <w:szCs w:val="28"/>
        </w:rPr>
        <w:t xml:space="preserve">ecurity </w:t>
      </w:r>
      <w:r w:rsidRPr="00037B09">
        <w:rPr>
          <w:sz w:val="28"/>
          <w:szCs w:val="28"/>
        </w:rPr>
        <w:t>C</w:t>
      </w:r>
      <w:r w:rsidR="007A3DCB" w:rsidRPr="00037B09">
        <w:rPr>
          <w:sz w:val="28"/>
          <w:szCs w:val="28"/>
        </w:rPr>
        <w:t>ommittee of Cabinet (NSC)</w:t>
      </w:r>
      <w:r w:rsidRPr="00037B09">
        <w:rPr>
          <w:sz w:val="28"/>
          <w:szCs w:val="28"/>
        </w:rPr>
        <w:t xml:space="preserve"> </w:t>
      </w:r>
      <w:r w:rsidR="002D2132" w:rsidRPr="00037B09">
        <w:rPr>
          <w:sz w:val="28"/>
          <w:szCs w:val="28"/>
        </w:rPr>
        <w:t>records</w:t>
      </w:r>
      <w:r w:rsidRPr="00037B09">
        <w:rPr>
          <w:sz w:val="28"/>
          <w:szCs w:val="28"/>
        </w:rPr>
        <w:t xml:space="preserve"> at the Protected level and relating to the Iraq war were transferred to the NAA in 2020, but NSC </w:t>
      </w:r>
      <w:r w:rsidR="002D2132" w:rsidRPr="00037B09">
        <w:rPr>
          <w:sz w:val="28"/>
          <w:szCs w:val="28"/>
        </w:rPr>
        <w:t>records</w:t>
      </w:r>
      <w:r w:rsidRPr="00037B09">
        <w:rPr>
          <w:sz w:val="28"/>
          <w:szCs w:val="28"/>
        </w:rPr>
        <w:t xml:space="preserve"> at the Secret and above level were not transferred.</w:t>
      </w:r>
    </w:p>
    <w:p w14:paraId="6F5E2716" w14:textId="7397DE5F" w:rsidR="005E3308" w:rsidRPr="00037B09" w:rsidRDefault="005E3308" w:rsidP="00771FA7">
      <w:pPr>
        <w:pStyle w:val="ListParagraph"/>
        <w:numPr>
          <w:ilvl w:val="0"/>
          <w:numId w:val="11"/>
        </w:numPr>
        <w:spacing w:line="360" w:lineRule="auto"/>
        <w:ind w:left="709" w:hanging="709"/>
        <w:contextualSpacing w:val="0"/>
        <w:rPr>
          <w:sz w:val="28"/>
          <w:szCs w:val="28"/>
        </w:rPr>
      </w:pPr>
      <w:r w:rsidRPr="00037B09">
        <w:rPr>
          <w:sz w:val="28"/>
          <w:szCs w:val="28"/>
        </w:rPr>
        <w:t>Of the 7</w:t>
      </w:r>
      <w:r w:rsidR="002410D3">
        <w:rPr>
          <w:sz w:val="28"/>
          <w:szCs w:val="28"/>
        </w:rPr>
        <w:t xml:space="preserve">7 </w:t>
      </w:r>
      <w:r w:rsidRPr="00037B09">
        <w:rPr>
          <w:sz w:val="28"/>
          <w:szCs w:val="28"/>
        </w:rPr>
        <w:t xml:space="preserve">Cabinet </w:t>
      </w:r>
      <w:r w:rsidR="002D2132" w:rsidRPr="00037B09">
        <w:rPr>
          <w:sz w:val="28"/>
          <w:szCs w:val="28"/>
        </w:rPr>
        <w:t>records</w:t>
      </w:r>
      <w:r w:rsidRPr="00037B09">
        <w:rPr>
          <w:sz w:val="28"/>
          <w:szCs w:val="28"/>
        </w:rPr>
        <w:t xml:space="preserve"> </w:t>
      </w:r>
      <w:r w:rsidR="002410D3">
        <w:rPr>
          <w:sz w:val="28"/>
          <w:szCs w:val="28"/>
        </w:rPr>
        <w:t>transferred on 31 December 2023</w:t>
      </w:r>
      <w:r w:rsidRPr="00037B09">
        <w:rPr>
          <w:sz w:val="28"/>
          <w:szCs w:val="28"/>
        </w:rPr>
        <w:t xml:space="preserve"> to the NAA, 13 </w:t>
      </w:r>
      <w:r w:rsidR="002D2132" w:rsidRPr="00037B09">
        <w:rPr>
          <w:sz w:val="28"/>
          <w:szCs w:val="28"/>
        </w:rPr>
        <w:t>records</w:t>
      </w:r>
      <w:r w:rsidRPr="00037B09">
        <w:rPr>
          <w:sz w:val="28"/>
          <w:szCs w:val="28"/>
        </w:rPr>
        <w:t xml:space="preserve"> (containing 38 </w:t>
      </w:r>
      <w:r w:rsidR="007A3DCB" w:rsidRPr="00037B09">
        <w:rPr>
          <w:sz w:val="28"/>
          <w:szCs w:val="28"/>
        </w:rPr>
        <w:t>NSC</w:t>
      </w:r>
      <w:r w:rsidRPr="00037B09">
        <w:rPr>
          <w:sz w:val="28"/>
          <w:szCs w:val="28"/>
        </w:rPr>
        <w:t xml:space="preserve"> minutes) related to the Iraq war, either in part or in full. The remaining 6</w:t>
      </w:r>
      <w:r w:rsidR="001176C0">
        <w:rPr>
          <w:sz w:val="28"/>
          <w:szCs w:val="28"/>
        </w:rPr>
        <w:t>4</w:t>
      </w:r>
      <w:r w:rsidRPr="00037B09">
        <w:rPr>
          <w:sz w:val="28"/>
          <w:szCs w:val="28"/>
        </w:rPr>
        <w:t xml:space="preserve"> </w:t>
      </w:r>
      <w:r w:rsidR="002D2132" w:rsidRPr="00037B09">
        <w:rPr>
          <w:sz w:val="28"/>
          <w:szCs w:val="28"/>
        </w:rPr>
        <w:t>records</w:t>
      </w:r>
      <w:r w:rsidRPr="00037B09">
        <w:rPr>
          <w:sz w:val="28"/>
          <w:szCs w:val="28"/>
        </w:rPr>
        <w:t xml:space="preserve"> were unrelated to the Iraq War. </w:t>
      </w:r>
      <w:r w:rsidR="000A6493" w:rsidRPr="00037B09">
        <w:rPr>
          <w:sz w:val="28"/>
          <w:szCs w:val="28"/>
        </w:rPr>
        <w:lastRenderedPageBreak/>
        <w:t>Of the five additional</w:t>
      </w:r>
      <w:r w:rsidRPr="00037B09">
        <w:rPr>
          <w:sz w:val="28"/>
          <w:szCs w:val="28"/>
        </w:rPr>
        <w:t xml:space="preserve"> records </w:t>
      </w:r>
      <w:r w:rsidR="002410D3">
        <w:rPr>
          <w:sz w:val="28"/>
          <w:szCs w:val="28"/>
        </w:rPr>
        <w:t>transferred on 5 January 2023,</w:t>
      </w:r>
      <w:r w:rsidRPr="00037B09">
        <w:rPr>
          <w:sz w:val="28"/>
          <w:szCs w:val="28"/>
        </w:rPr>
        <w:t xml:space="preserve"> </w:t>
      </w:r>
      <w:r w:rsidR="000A6493" w:rsidRPr="00037B09">
        <w:rPr>
          <w:sz w:val="28"/>
          <w:szCs w:val="28"/>
        </w:rPr>
        <w:t>one related</w:t>
      </w:r>
      <w:r w:rsidR="00035D00" w:rsidRPr="00037B09">
        <w:rPr>
          <w:sz w:val="28"/>
          <w:szCs w:val="28"/>
        </w:rPr>
        <w:t>, in part,</w:t>
      </w:r>
      <w:r w:rsidR="000A6493" w:rsidRPr="00037B09">
        <w:rPr>
          <w:sz w:val="28"/>
          <w:szCs w:val="28"/>
        </w:rPr>
        <w:t xml:space="preserve"> to the Iraq war. </w:t>
      </w:r>
    </w:p>
    <w:p w14:paraId="5CA7C42D" w14:textId="64782A67" w:rsidR="008F0A03" w:rsidRPr="00037B09" w:rsidRDefault="008F0A03" w:rsidP="00BC2ABB">
      <w:pPr>
        <w:pStyle w:val="Heading3"/>
        <w:spacing w:line="360" w:lineRule="auto"/>
        <w:rPr>
          <w:b w:val="0"/>
          <w:sz w:val="28"/>
          <w:szCs w:val="28"/>
        </w:rPr>
      </w:pPr>
      <w:bookmarkStart w:id="46" w:name="_Toc155699028"/>
      <w:bookmarkStart w:id="47" w:name="_Toc155700970"/>
      <w:bookmarkStart w:id="48" w:name="_Toc155799950"/>
      <w:bookmarkStart w:id="49" w:name="_Toc155875097"/>
      <w:bookmarkStart w:id="50" w:name="_Toc156565956"/>
      <w:bookmarkStart w:id="51" w:name="_Toc157432104"/>
      <w:r w:rsidRPr="00037B09">
        <w:rPr>
          <w:b w:val="0"/>
          <w:sz w:val="28"/>
          <w:szCs w:val="28"/>
        </w:rPr>
        <w:t>PM&amp;C and NAA Processes and Practices</w:t>
      </w:r>
      <w:bookmarkEnd w:id="46"/>
      <w:bookmarkEnd w:id="47"/>
      <w:bookmarkEnd w:id="48"/>
      <w:bookmarkEnd w:id="49"/>
      <w:bookmarkEnd w:id="50"/>
      <w:bookmarkEnd w:id="51"/>
    </w:p>
    <w:p w14:paraId="626E320C" w14:textId="2E882778" w:rsidR="00517C0D" w:rsidRPr="00037B09" w:rsidRDefault="00AB1ADA" w:rsidP="00771FA7">
      <w:pPr>
        <w:pStyle w:val="ListParagraph"/>
        <w:numPr>
          <w:ilvl w:val="0"/>
          <w:numId w:val="11"/>
        </w:numPr>
        <w:spacing w:line="360" w:lineRule="auto"/>
        <w:ind w:left="709" w:hanging="709"/>
        <w:contextualSpacing w:val="0"/>
        <w:rPr>
          <w:sz w:val="28"/>
          <w:szCs w:val="28"/>
        </w:rPr>
      </w:pPr>
      <w:r w:rsidRPr="00037B09">
        <w:rPr>
          <w:sz w:val="28"/>
          <w:szCs w:val="28"/>
        </w:rPr>
        <w:t>Duri</w:t>
      </w:r>
      <w:r w:rsidR="00CB7E73" w:rsidRPr="00037B09">
        <w:rPr>
          <w:sz w:val="28"/>
          <w:szCs w:val="28"/>
        </w:rPr>
        <w:t xml:space="preserve">ng the course of the Review, we identified a number of </w:t>
      </w:r>
      <w:r w:rsidR="005E3308" w:rsidRPr="00037B09">
        <w:rPr>
          <w:sz w:val="28"/>
          <w:szCs w:val="28"/>
        </w:rPr>
        <w:t>systemic issues which contributed to the breakdown in process</w:t>
      </w:r>
      <w:r w:rsidR="002150AA" w:rsidRPr="00037B09">
        <w:rPr>
          <w:sz w:val="28"/>
          <w:szCs w:val="28"/>
        </w:rPr>
        <w:t>:</w:t>
      </w:r>
    </w:p>
    <w:p w14:paraId="61ED509B" w14:textId="223BC640" w:rsidR="00517C0D" w:rsidRPr="00037B09" w:rsidRDefault="005550CC" w:rsidP="00771FA7">
      <w:pPr>
        <w:pStyle w:val="ListParagraph"/>
        <w:numPr>
          <w:ilvl w:val="0"/>
          <w:numId w:val="12"/>
        </w:numPr>
        <w:spacing w:line="360" w:lineRule="auto"/>
        <w:ind w:left="1134" w:hanging="425"/>
        <w:rPr>
          <w:sz w:val="28"/>
          <w:szCs w:val="28"/>
        </w:rPr>
      </w:pPr>
      <w:r w:rsidRPr="00037B09">
        <w:rPr>
          <w:sz w:val="28"/>
          <w:szCs w:val="28"/>
        </w:rPr>
        <w:t>incomplete</w:t>
      </w:r>
      <w:r w:rsidR="00517C0D" w:rsidRPr="00037B09">
        <w:rPr>
          <w:sz w:val="28"/>
          <w:szCs w:val="28"/>
        </w:rPr>
        <w:t xml:space="preserve"> standard operating procedures</w:t>
      </w:r>
      <w:r w:rsidR="008831FB" w:rsidRPr="00037B09">
        <w:rPr>
          <w:sz w:val="28"/>
          <w:szCs w:val="28"/>
        </w:rPr>
        <w:t xml:space="preserve"> regarding transfer processes</w:t>
      </w:r>
      <w:r w:rsidR="00517C0D" w:rsidRPr="00037B09">
        <w:rPr>
          <w:sz w:val="28"/>
          <w:szCs w:val="28"/>
        </w:rPr>
        <w:t xml:space="preserve">; </w:t>
      </w:r>
    </w:p>
    <w:p w14:paraId="4A53ACE5" w14:textId="05E2019A" w:rsidR="00035D00" w:rsidRPr="00037B09" w:rsidRDefault="00035D00" w:rsidP="00771FA7">
      <w:pPr>
        <w:pStyle w:val="ListParagraph"/>
        <w:numPr>
          <w:ilvl w:val="0"/>
          <w:numId w:val="12"/>
        </w:numPr>
        <w:spacing w:line="360" w:lineRule="auto"/>
        <w:ind w:left="1134" w:hanging="425"/>
        <w:rPr>
          <w:sz w:val="28"/>
          <w:szCs w:val="28"/>
        </w:rPr>
      </w:pPr>
      <w:r w:rsidRPr="00037B09">
        <w:rPr>
          <w:sz w:val="28"/>
          <w:szCs w:val="28"/>
        </w:rPr>
        <w:t xml:space="preserve">an absence of records management expertise within Cabinet Division; </w:t>
      </w:r>
    </w:p>
    <w:p w14:paraId="6C1363FF" w14:textId="7C7D3A5D" w:rsidR="00517C0D" w:rsidRPr="00037B09" w:rsidRDefault="005550CC" w:rsidP="00771FA7">
      <w:pPr>
        <w:pStyle w:val="ListParagraph"/>
        <w:numPr>
          <w:ilvl w:val="0"/>
          <w:numId w:val="12"/>
        </w:numPr>
        <w:spacing w:line="360" w:lineRule="auto"/>
        <w:ind w:left="1134" w:hanging="425"/>
        <w:rPr>
          <w:sz w:val="28"/>
          <w:szCs w:val="28"/>
        </w:rPr>
      </w:pPr>
      <w:r w:rsidRPr="00037B09">
        <w:rPr>
          <w:sz w:val="28"/>
          <w:szCs w:val="28"/>
        </w:rPr>
        <w:t>no consistent knowledge of Archives Act transfer obligations</w:t>
      </w:r>
      <w:r w:rsidR="005E3308" w:rsidRPr="00037B09">
        <w:rPr>
          <w:sz w:val="28"/>
          <w:szCs w:val="28"/>
        </w:rPr>
        <w:t xml:space="preserve"> within </w:t>
      </w:r>
      <w:r w:rsidR="00797714" w:rsidRPr="00037B09">
        <w:rPr>
          <w:sz w:val="28"/>
          <w:szCs w:val="28"/>
        </w:rPr>
        <w:t xml:space="preserve">the </w:t>
      </w:r>
      <w:r w:rsidR="005E3308" w:rsidRPr="00037B09">
        <w:rPr>
          <w:sz w:val="28"/>
          <w:szCs w:val="28"/>
        </w:rPr>
        <w:t>Cabinet Division</w:t>
      </w:r>
      <w:r w:rsidR="00517C0D" w:rsidRPr="00037B09">
        <w:rPr>
          <w:sz w:val="28"/>
          <w:szCs w:val="28"/>
        </w:rPr>
        <w:t xml:space="preserve">; </w:t>
      </w:r>
      <w:r w:rsidR="00035D00" w:rsidRPr="00037B09">
        <w:rPr>
          <w:sz w:val="28"/>
          <w:szCs w:val="28"/>
        </w:rPr>
        <w:t xml:space="preserve">and </w:t>
      </w:r>
    </w:p>
    <w:p w14:paraId="3CC2A493" w14:textId="7DBD537B" w:rsidR="005550CC" w:rsidRDefault="000F6F29" w:rsidP="00771FA7">
      <w:pPr>
        <w:pStyle w:val="ListParagraph"/>
        <w:numPr>
          <w:ilvl w:val="0"/>
          <w:numId w:val="12"/>
        </w:numPr>
        <w:spacing w:line="360" w:lineRule="auto"/>
        <w:ind w:left="1134" w:hanging="425"/>
        <w:rPr>
          <w:sz w:val="28"/>
          <w:szCs w:val="28"/>
        </w:rPr>
      </w:pPr>
      <w:r w:rsidRPr="00037B09">
        <w:rPr>
          <w:sz w:val="28"/>
          <w:szCs w:val="28"/>
        </w:rPr>
        <w:t xml:space="preserve">no </w:t>
      </w:r>
      <w:r w:rsidR="00035D00" w:rsidRPr="00037B09">
        <w:rPr>
          <w:sz w:val="28"/>
          <w:szCs w:val="28"/>
        </w:rPr>
        <w:t xml:space="preserve">effective </w:t>
      </w:r>
      <w:r w:rsidRPr="00037B09">
        <w:rPr>
          <w:sz w:val="28"/>
          <w:szCs w:val="28"/>
        </w:rPr>
        <w:t>central</w:t>
      </w:r>
      <w:r w:rsidR="00517C0D" w:rsidRPr="00037B09">
        <w:rPr>
          <w:sz w:val="28"/>
          <w:szCs w:val="28"/>
        </w:rPr>
        <w:t xml:space="preserve"> control of Cabinet records</w:t>
      </w:r>
      <w:r w:rsidR="00035D00" w:rsidRPr="00037B09">
        <w:rPr>
          <w:sz w:val="28"/>
          <w:szCs w:val="28"/>
        </w:rPr>
        <w:t xml:space="preserve">. </w:t>
      </w:r>
      <w:r w:rsidR="002B5C26" w:rsidRPr="00037B09">
        <w:rPr>
          <w:sz w:val="28"/>
          <w:szCs w:val="28"/>
        </w:rPr>
        <w:t xml:space="preserve"> </w:t>
      </w:r>
    </w:p>
    <w:p w14:paraId="63389B47" w14:textId="77777777" w:rsidR="004760C6" w:rsidRPr="00037B09" w:rsidRDefault="004760C6" w:rsidP="00A33623">
      <w:pPr>
        <w:pStyle w:val="ListParagraph"/>
        <w:spacing w:line="360" w:lineRule="auto"/>
        <w:ind w:left="1134"/>
        <w:rPr>
          <w:sz w:val="28"/>
          <w:szCs w:val="28"/>
        </w:rPr>
      </w:pPr>
    </w:p>
    <w:p w14:paraId="56E8B52A" w14:textId="163C1927" w:rsidR="004409C2" w:rsidRPr="00037B09" w:rsidRDefault="005E3308" w:rsidP="00771FA7">
      <w:pPr>
        <w:pStyle w:val="ListParagraph"/>
        <w:numPr>
          <w:ilvl w:val="0"/>
          <w:numId w:val="11"/>
        </w:numPr>
        <w:spacing w:line="360" w:lineRule="auto"/>
        <w:ind w:left="709" w:hanging="709"/>
        <w:contextualSpacing w:val="0"/>
        <w:rPr>
          <w:sz w:val="28"/>
          <w:szCs w:val="28"/>
        </w:rPr>
      </w:pPr>
      <w:r w:rsidRPr="00037B09">
        <w:rPr>
          <w:sz w:val="28"/>
          <w:szCs w:val="28"/>
        </w:rPr>
        <w:t>C</w:t>
      </w:r>
      <w:r w:rsidR="00AB1ADA" w:rsidRPr="00037B09">
        <w:rPr>
          <w:sz w:val="28"/>
          <w:szCs w:val="28"/>
        </w:rPr>
        <w:t xml:space="preserve">omplexities </w:t>
      </w:r>
      <w:r w:rsidRPr="00037B09">
        <w:rPr>
          <w:sz w:val="28"/>
          <w:szCs w:val="28"/>
        </w:rPr>
        <w:t xml:space="preserve">also arose </w:t>
      </w:r>
      <w:r w:rsidR="00AB1ADA" w:rsidRPr="00037B09">
        <w:rPr>
          <w:sz w:val="28"/>
          <w:szCs w:val="28"/>
        </w:rPr>
        <w:t xml:space="preserve">from </w:t>
      </w:r>
      <w:r w:rsidR="004409C2" w:rsidRPr="00037B09">
        <w:rPr>
          <w:sz w:val="28"/>
          <w:szCs w:val="28"/>
        </w:rPr>
        <w:t xml:space="preserve">key personnel not having appropriate security clearances. </w:t>
      </w:r>
      <w:r w:rsidRPr="00037B09">
        <w:rPr>
          <w:sz w:val="28"/>
          <w:szCs w:val="28"/>
        </w:rPr>
        <w:t xml:space="preserve">For instance, the officer </w:t>
      </w:r>
      <w:r w:rsidR="00A33648" w:rsidRPr="00037B09">
        <w:rPr>
          <w:sz w:val="28"/>
          <w:szCs w:val="28"/>
        </w:rPr>
        <w:t>called in during the end</w:t>
      </w:r>
      <w:r w:rsidR="0033462C">
        <w:rPr>
          <w:sz w:val="28"/>
          <w:szCs w:val="28"/>
        </w:rPr>
        <w:t xml:space="preserve"> of</w:t>
      </w:r>
      <w:r w:rsidR="00A33648" w:rsidRPr="00037B09">
        <w:rPr>
          <w:sz w:val="28"/>
          <w:szCs w:val="28"/>
        </w:rPr>
        <w:t xml:space="preserve"> </w:t>
      </w:r>
      <w:r w:rsidR="007A3DCB" w:rsidRPr="00037B09">
        <w:rPr>
          <w:sz w:val="28"/>
          <w:szCs w:val="28"/>
        </w:rPr>
        <w:t>the 2023</w:t>
      </w:r>
      <w:r w:rsidR="00A33648" w:rsidRPr="00037B09">
        <w:rPr>
          <w:sz w:val="28"/>
          <w:szCs w:val="28"/>
        </w:rPr>
        <w:t xml:space="preserve"> shutdown period</w:t>
      </w:r>
      <w:r w:rsidR="00262AC3" w:rsidRPr="00A33623">
        <w:rPr>
          <w:sz w:val="28"/>
          <w:szCs w:val="28"/>
        </w:rPr>
        <w:t>—</w:t>
      </w:r>
      <w:r w:rsidR="00A33648" w:rsidRPr="00037B09">
        <w:rPr>
          <w:sz w:val="28"/>
          <w:szCs w:val="28"/>
        </w:rPr>
        <w:t xml:space="preserve">to </w:t>
      </w:r>
      <w:r w:rsidRPr="00037B09">
        <w:rPr>
          <w:sz w:val="28"/>
          <w:szCs w:val="28"/>
        </w:rPr>
        <w:t>gather the Cabinet records for transfer to the NAA</w:t>
      </w:r>
      <w:r w:rsidR="00262AC3" w:rsidRPr="00A33623">
        <w:rPr>
          <w:sz w:val="28"/>
          <w:szCs w:val="28"/>
        </w:rPr>
        <w:t>—</w:t>
      </w:r>
      <w:r w:rsidRPr="00037B09">
        <w:rPr>
          <w:sz w:val="28"/>
          <w:szCs w:val="28"/>
        </w:rPr>
        <w:t>and t</w:t>
      </w:r>
      <w:r w:rsidR="004409C2" w:rsidRPr="00037B09">
        <w:rPr>
          <w:sz w:val="28"/>
          <w:szCs w:val="28"/>
        </w:rPr>
        <w:t xml:space="preserve">he </w:t>
      </w:r>
      <w:r w:rsidR="00DC6F24" w:rsidRPr="00037B09">
        <w:rPr>
          <w:sz w:val="28"/>
          <w:szCs w:val="28"/>
        </w:rPr>
        <w:t xml:space="preserve">head of the </w:t>
      </w:r>
      <w:r w:rsidRPr="00037B09">
        <w:rPr>
          <w:sz w:val="28"/>
          <w:szCs w:val="28"/>
        </w:rPr>
        <w:t xml:space="preserve">Cabinet </w:t>
      </w:r>
      <w:r w:rsidR="005E15D1" w:rsidRPr="00037B09">
        <w:rPr>
          <w:sz w:val="28"/>
          <w:szCs w:val="28"/>
        </w:rPr>
        <w:t xml:space="preserve">Division </w:t>
      </w:r>
      <w:r w:rsidRPr="00037B09">
        <w:rPr>
          <w:sz w:val="28"/>
          <w:szCs w:val="28"/>
        </w:rPr>
        <w:t>do not have a Top Secret Positive Vetting clearance</w:t>
      </w:r>
      <w:r w:rsidR="00797714" w:rsidRPr="00037B09">
        <w:rPr>
          <w:sz w:val="28"/>
          <w:szCs w:val="28"/>
        </w:rPr>
        <w:t xml:space="preserve"> (TSPV)</w:t>
      </w:r>
      <w:r w:rsidRPr="00037B09">
        <w:rPr>
          <w:sz w:val="28"/>
          <w:szCs w:val="28"/>
        </w:rPr>
        <w:t xml:space="preserve">, </w:t>
      </w:r>
      <w:r w:rsidR="004409C2" w:rsidRPr="00037B09">
        <w:rPr>
          <w:sz w:val="28"/>
          <w:szCs w:val="28"/>
        </w:rPr>
        <w:t xml:space="preserve">making </w:t>
      </w:r>
      <w:r w:rsidR="003877D8" w:rsidRPr="00037B09">
        <w:rPr>
          <w:sz w:val="28"/>
          <w:szCs w:val="28"/>
        </w:rPr>
        <w:t xml:space="preserve">proper </w:t>
      </w:r>
      <w:r w:rsidR="004409C2" w:rsidRPr="00037B09">
        <w:rPr>
          <w:sz w:val="28"/>
          <w:szCs w:val="28"/>
        </w:rPr>
        <w:t>ove</w:t>
      </w:r>
      <w:r w:rsidR="00DC6F24" w:rsidRPr="00037B09">
        <w:rPr>
          <w:sz w:val="28"/>
          <w:szCs w:val="28"/>
        </w:rPr>
        <w:t xml:space="preserve">rsight of the </w:t>
      </w:r>
      <w:r w:rsidR="004409C2" w:rsidRPr="00037B09">
        <w:rPr>
          <w:sz w:val="28"/>
          <w:szCs w:val="28"/>
        </w:rPr>
        <w:t xml:space="preserve">transfer process </w:t>
      </w:r>
      <w:r w:rsidRPr="00037B09">
        <w:rPr>
          <w:sz w:val="28"/>
          <w:szCs w:val="28"/>
        </w:rPr>
        <w:t>more complex and difficult th</w:t>
      </w:r>
      <w:r w:rsidR="00797714" w:rsidRPr="00037B09">
        <w:rPr>
          <w:sz w:val="28"/>
          <w:szCs w:val="28"/>
        </w:rPr>
        <w:t>a</w:t>
      </w:r>
      <w:r w:rsidRPr="00037B09">
        <w:rPr>
          <w:sz w:val="28"/>
          <w:szCs w:val="28"/>
        </w:rPr>
        <w:t>n it should be</w:t>
      </w:r>
      <w:r w:rsidR="004409C2" w:rsidRPr="00037B09">
        <w:rPr>
          <w:sz w:val="28"/>
          <w:szCs w:val="28"/>
        </w:rPr>
        <w:t>.</w:t>
      </w:r>
    </w:p>
    <w:p w14:paraId="3DA68E60" w14:textId="29C77F4B" w:rsidR="00B34AF1" w:rsidRPr="00037B09" w:rsidRDefault="00B34AF1"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This limitation </w:t>
      </w:r>
      <w:r w:rsidR="005E3308" w:rsidRPr="00037B09">
        <w:rPr>
          <w:sz w:val="28"/>
          <w:szCs w:val="28"/>
        </w:rPr>
        <w:t>is not restricted to</w:t>
      </w:r>
      <w:r w:rsidRPr="00037B09">
        <w:rPr>
          <w:sz w:val="28"/>
          <w:szCs w:val="28"/>
        </w:rPr>
        <w:t xml:space="preserve"> PM&amp;C. </w:t>
      </w:r>
      <w:r w:rsidR="00AD0B07" w:rsidRPr="00037B09">
        <w:rPr>
          <w:sz w:val="28"/>
          <w:szCs w:val="28"/>
        </w:rPr>
        <w:t>For instance,</w:t>
      </w:r>
      <w:r w:rsidRPr="00037B09">
        <w:rPr>
          <w:sz w:val="28"/>
          <w:szCs w:val="28"/>
        </w:rPr>
        <w:t xml:space="preserve"> the Director-General of the NAA d</w:t>
      </w:r>
      <w:r w:rsidR="00AD0B07" w:rsidRPr="00037B09">
        <w:rPr>
          <w:sz w:val="28"/>
          <w:szCs w:val="28"/>
        </w:rPr>
        <w:t>oes</w:t>
      </w:r>
      <w:r w:rsidRPr="00037B09">
        <w:rPr>
          <w:sz w:val="28"/>
          <w:szCs w:val="28"/>
        </w:rPr>
        <w:t xml:space="preserve"> not hold a </w:t>
      </w:r>
      <w:r w:rsidR="0012725B" w:rsidRPr="00037B09">
        <w:rPr>
          <w:sz w:val="28"/>
          <w:szCs w:val="28"/>
        </w:rPr>
        <w:t>TSPV</w:t>
      </w:r>
      <w:r w:rsidR="005E15D1" w:rsidRPr="00037B09">
        <w:rPr>
          <w:sz w:val="28"/>
          <w:szCs w:val="28"/>
        </w:rPr>
        <w:t xml:space="preserve">. </w:t>
      </w:r>
      <w:r w:rsidR="00035D00" w:rsidRPr="00037B09">
        <w:rPr>
          <w:sz w:val="28"/>
          <w:szCs w:val="28"/>
        </w:rPr>
        <w:t xml:space="preserve">In our view, this would </w:t>
      </w:r>
      <w:r w:rsidR="00BF533B" w:rsidRPr="00037B09">
        <w:rPr>
          <w:sz w:val="28"/>
          <w:szCs w:val="28"/>
        </w:rPr>
        <w:t>make it difficult for the Director-General</w:t>
      </w:r>
      <w:r w:rsidR="00AD0B07" w:rsidRPr="00037B09">
        <w:rPr>
          <w:sz w:val="28"/>
          <w:szCs w:val="28"/>
        </w:rPr>
        <w:t xml:space="preserve"> to properly </w:t>
      </w:r>
      <w:r w:rsidR="005B75D5" w:rsidRPr="00037B09">
        <w:rPr>
          <w:sz w:val="28"/>
          <w:szCs w:val="28"/>
        </w:rPr>
        <w:t xml:space="preserve">and credibly </w:t>
      </w:r>
      <w:r w:rsidR="00AD0B07" w:rsidRPr="00037B09">
        <w:rPr>
          <w:sz w:val="28"/>
          <w:szCs w:val="28"/>
        </w:rPr>
        <w:t xml:space="preserve">discharge his </w:t>
      </w:r>
      <w:r w:rsidR="00AD0B07" w:rsidRPr="00037B09">
        <w:rPr>
          <w:sz w:val="28"/>
          <w:szCs w:val="28"/>
        </w:rPr>
        <w:lastRenderedPageBreak/>
        <w:t>legislative responsibilities in certain circumstances</w:t>
      </w:r>
      <w:r w:rsidR="00035D00" w:rsidRPr="00037B09">
        <w:rPr>
          <w:sz w:val="28"/>
          <w:szCs w:val="28"/>
        </w:rPr>
        <w:t>, especially in relation to section 29 matters</w:t>
      </w:r>
      <w:r w:rsidR="00AD0B07" w:rsidRPr="00037B09">
        <w:rPr>
          <w:sz w:val="28"/>
          <w:szCs w:val="28"/>
        </w:rPr>
        <w:t>.</w:t>
      </w:r>
      <w:r w:rsidR="005B75D5" w:rsidRPr="00037B09">
        <w:rPr>
          <w:rStyle w:val="FootnoteReference"/>
          <w:sz w:val="28"/>
          <w:szCs w:val="28"/>
        </w:rPr>
        <w:footnoteReference w:id="9"/>
      </w:r>
      <w:r w:rsidR="00AD0B07" w:rsidRPr="00037B09">
        <w:rPr>
          <w:sz w:val="28"/>
          <w:szCs w:val="28"/>
        </w:rPr>
        <w:t xml:space="preserve"> </w:t>
      </w:r>
    </w:p>
    <w:p w14:paraId="28B7F901" w14:textId="551A6D0A" w:rsidR="000F6F29" w:rsidRPr="00037B09" w:rsidRDefault="00AD0B07" w:rsidP="00771FA7">
      <w:pPr>
        <w:pStyle w:val="ListParagraph"/>
        <w:numPr>
          <w:ilvl w:val="0"/>
          <w:numId w:val="11"/>
        </w:numPr>
        <w:spacing w:line="360" w:lineRule="auto"/>
        <w:ind w:left="709" w:hanging="709"/>
        <w:contextualSpacing w:val="0"/>
        <w:rPr>
          <w:sz w:val="28"/>
          <w:szCs w:val="28"/>
        </w:rPr>
      </w:pPr>
      <w:r w:rsidRPr="00037B09">
        <w:rPr>
          <w:sz w:val="28"/>
          <w:szCs w:val="28"/>
        </w:rPr>
        <w:t>During the course of the Review</w:t>
      </w:r>
      <w:r w:rsidR="00EF5202" w:rsidRPr="00037B09">
        <w:rPr>
          <w:sz w:val="28"/>
          <w:szCs w:val="28"/>
        </w:rPr>
        <w:t xml:space="preserve">, </w:t>
      </w:r>
      <w:r w:rsidR="00657EAE" w:rsidRPr="00037B09">
        <w:rPr>
          <w:sz w:val="28"/>
          <w:szCs w:val="28"/>
        </w:rPr>
        <w:t xml:space="preserve">PM&amp;C officials </w:t>
      </w:r>
      <w:r w:rsidRPr="00037B09">
        <w:rPr>
          <w:sz w:val="28"/>
          <w:szCs w:val="28"/>
        </w:rPr>
        <w:t>advised</w:t>
      </w:r>
      <w:r w:rsidR="0091208E">
        <w:rPr>
          <w:sz w:val="28"/>
          <w:szCs w:val="28"/>
        </w:rPr>
        <w:t xml:space="preserve"> that</w:t>
      </w:r>
      <w:r w:rsidR="00657EAE" w:rsidRPr="00037B09">
        <w:rPr>
          <w:sz w:val="28"/>
          <w:szCs w:val="28"/>
        </w:rPr>
        <w:t xml:space="preserve"> Cabinet records created in 2004, 2005, 2006 and 2007 ha</w:t>
      </w:r>
      <w:r w:rsidR="00EF5202" w:rsidRPr="00037B09">
        <w:rPr>
          <w:sz w:val="28"/>
          <w:szCs w:val="28"/>
        </w:rPr>
        <w:t>d</w:t>
      </w:r>
      <w:r w:rsidR="000F6F29" w:rsidRPr="00037B09">
        <w:rPr>
          <w:sz w:val="28"/>
          <w:szCs w:val="28"/>
        </w:rPr>
        <w:t xml:space="preserve"> also</w:t>
      </w:r>
      <w:r w:rsidR="00657EAE" w:rsidRPr="00037B09">
        <w:rPr>
          <w:sz w:val="28"/>
          <w:szCs w:val="28"/>
        </w:rPr>
        <w:t xml:space="preserve"> not yet been transferred to the NAA</w:t>
      </w:r>
      <w:r w:rsidR="000F6F29" w:rsidRPr="00037B09">
        <w:rPr>
          <w:sz w:val="28"/>
          <w:szCs w:val="28"/>
        </w:rPr>
        <w:t xml:space="preserve">. </w:t>
      </w:r>
      <w:r w:rsidR="007869C0" w:rsidRPr="00037B09">
        <w:rPr>
          <w:sz w:val="28"/>
          <w:szCs w:val="28"/>
        </w:rPr>
        <w:t>These records are planned to be transferred</w:t>
      </w:r>
      <w:r w:rsidRPr="00037B09">
        <w:rPr>
          <w:sz w:val="28"/>
          <w:szCs w:val="28"/>
        </w:rPr>
        <w:t xml:space="preserve"> </w:t>
      </w:r>
      <w:r w:rsidR="006C0532" w:rsidRPr="00037B09">
        <w:rPr>
          <w:sz w:val="28"/>
          <w:szCs w:val="28"/>
        </w:rPr>
        <w:t xml:space="preserve">by </w:t>
      </w:r>
      <w:r w:rsidR="005B75D5" w:rsidRPr="00037B09">
        <w:rPr>
          <w:sz w:val="28"/>
          <w:szCs w:val="28"/>
        </w:rPr>
        <w:t>April</w:t>
      </w:r>
      <w:r w:rsidR="006C0532" w:rsidRPr="00037B09">
        <w:rPr>
          <w:sz w:val="28"/>
          <w:szCs w:val="28"/>
        </w:rPr>
        <w:t xml:space="preserve"> 2024</w:t>
      </w:r>
      <w:r w:rsidR="007F7AE0" w:rsidRPr="00037B09">
        <w:rPr>
          <w:sz w:val="28"/>
          <w:szCs w:val="28"/>
        </w:rPr>
        <w:t xml:space="preserve">. </w:t>
      </w:r>
    </w:p>
    <w:p w14:paraId="0E582D4E" w14:textId="51C35B17" w:rsidR="00B44E60" w:rsidRPr="00037B09" w:rsidRDefault="0012725B" w:rsidP="00771FA7">
      <w:pPr>
        <w:pStyle w:val="ListParagraph"/>
        <w:numPr>
          <w:ilvl w:val="0"/>
          <w:numId w:val="11"/>
        </w:numPr>
        <w:spacing w:line="360" w:lineRule="auto"/>
        <w:ind w:left="709" w:hanging="709"/>
        <w:contextualSpacing w:val="0"/>
        <w:rPr>
          <w:sz w:val="28"/>
          <w:szCs w:val="28"/>
        </w:rPr>
      </w:pPr>
      <w:r w:rsidRPr="00037B09">
        <w:rPr>
          <w:sz w:val="28"/>
          <w:szCs w:val="28"/>
        </w:rPr>
        <w:t>Finally, we observe</w:t>
      </w:r>
      <w:r w:rsidR="00204FD1" w:rsidRPr="00037B09">
        <w:rPr>
          <w:sz w:val="28"/>
          <w:szCs w:val="28"/>
        </w:rPr>
        <w:t>d</w:t>
      </w:r>
      <w:r w:rsidRPr="00037B09">
        <w:rPr>
          <w:sz w:val="28"/>
          <w:szCs w:val="28"/>
        </w:rPr>
        <w:t xml:space="preserve"> that current NAA practices for proactive</w:t>
      </w:r>
      <w:r w:rsidR="00AE3131" w:rsidRPr="00037B09">
        <w:rPr>
          <w:sz w:val="28"/>
          <w:szCs w:val="28"/>
        </w:rPr>
        <w:t xml:space="preserve"> release of Cabinet records do</w:t>
      </w:r>
      <w:r w:rsidRPr="00037B09">
        <w:rPr>
          <w:sz w:val="28"/>
          <w:szCs w:val="28"/>
        </w:rPr>
        <w:t xml:space="preserve"> not </w:t>
      </w:r>
      <w:r w:rsidR="005B75D5" w:rsidRPr="00037B09">
        <w:rPr>
          <w:sz w:val="28"/>
          <w:szCs w:val="28"/>
        </w:rPr>
        <w:t xml:space="preserve">always </w:t>
      </w:r>
      <w:r w:rsidR="00DC6F24" w:rsidRPr="00037B09">
        <w:rPr>
          <w:sz w:val="28"/>
          <w:szCs w:val="28"/>
        </w:rPr>
        <w:t>include records of the NSC, which has been a decision making body since its creation in 1996.</w:t>
      </w:r>
      <w:r w:rsidR="00D410C7" w:rsidRPr="00037B09">
        <w:rPr>
          <w:sz w:val="28"/>
          <w:szCs w:val="28"/>
        </w:rPr>
        <w:t xml:space="preserve"> </w:t>
      </w:r>
      <w:r w:rsidR="008324E8" w:rsidRPr="00037B09">
        <w:rPr>
          <w:sz w:val="28"/>
          <w:szCs w:val="28"/>
        </w:rPr>
        <w:t xml:space="preserve">While this is a matter for the NAA, we believe it would be logical and beneficial to include NSC </w:t>
      </w:r>
      <w:r w:rsidR="005B75D5" w:rsidRPr="00037B09">
        <w:rPr>
          <w:sz w:val="28"/>
          <w:szCs w:val="28"/>
        </w:rPr>
        <w:t xml:space="preserve">records </w:t>
      </w:r>
      <w:r w:rsidR="008324E8" w:rsidRPr="00037B09">
        <w:rPr>
          <w:sz w:val="28"/>
          <w:szCs w:val="28"/>
        </w:rPr>
        <w:t>as part of the annual release scheme.</w:t>
      </w:r>
    </w:p>
    <w:p w14:paraId="652ED136" w14:textId="1F508D2F" w:rsidR="00D410C7" w:rsidRPr="00037B09" w:rsidRDefault="00D410C7" w:rsidP="00BC2ABB">
      <w:pPr>
        <w:pStyle w:val="ListParagraph"/>
        <w:spacing w:line="360" w:lineRule="auto"/>
        <w:ind w:left="709"/>
        <w:contextualSpacing w:val="0"/>
        <w:rPr>
          <w:sz w:val="28"/>
          <w:szCs w:val="28"/>
        </w:rPr>
      </w:pPr>
      <w:r w:rsidRPr="00037B09">
        <w:rPr>
          <w:sz w:val="28"/>
          <w:szCs w:val="28"/>
        </w:rPr>
        <w:br w:type="page"/>
      </w:r>
    </w:p>
    <w:p w14:paraId="501CE367" w14:textId="5704E908" w:rsidR="00D410C7" w:rsidRPr="00037B09" w:rsidRDefault="00D410C7" w:rsidP="00BC2ABB">
      <w:pPr>
        <w:pStyle w:val="Heading1"/>
        <w:spacing w:line="360" w:lineRule="auto"/>
        <w:rPr>
          <w:noProof/>
          <w:sz w:val="52"/>
        </w:rPr>
      </w:pPr>
      <w:bookmarkStart w:id="52" w:name="_Toc155699029"/>
      <w:bookmarkStart w:id="53" w:name="_Toc155700971"/>
      <w:bookmarkStart w:id="54" w:name="_Toc155799951"/>
      <w:bookmarkStart w:id="55" w:name="_Toc155875098"/>
      <w:bookmarkStart w:id="56" w:name="_Toc156565957"/>
      <w:bookmarkStart w:id="57" w:name="_Toc157432105"/>
      <w:r w:rsidRPr="00037B09">
        <w:rPr>
          <w:noProof/>
          <w:sz w:val="52"/>
        </w:rPr>
        <w:lastRenderedPageBreak/>
        <w:t>Recommendations</w:t>
      </w:r>
      <w:bookmarkEnd w:id="52"/>
      <w:bookmarkEnd w:id="53"/>
      <w:bookmarkEnd w:id="54"/>
      <w:bookmarkEnd w:id="55"/>
      <w:bookmarkEnd w:id="56"/>
      <w:bookmarkEnd w:id="57"/>
    </w:p>
    <w:p w14:paraId="7F4CB7A3" w14:textId="77777777" w:rsidR="00D1473A" w:rsidRPr="00037B09" w:rsidRDefault="00D1473A" w:rsidP="00BC2ABB">
      <w:pPr>
        <w:pStyle w:val="BOXHeading2"/>
        <w:pBdr>
          <w:bottom w:val="single" w:sz="48" w:space="0" w:color="E0E8F2"/>
        </w:pBdr>
        <w:spacing w:line="360" w:lineRule="auto"/>
        <w:rPr>
          <w:sz w:val="32"/>
          <w:szCs w:val="32"/>
        </w:rPr>
      </w:pPr>
      <w:bookmarkStart w:id="58" w:name="_Toc155699030"/>
      <w:bookmarkStart w:id="59" w:name="_Toc155700972"/>
      <w:bookmarkStart w:id="60" w:name="_Toc155799952"/>
      <w:bookmarkStart w:id="61" w:name="_Toc155875099"/>
      <w:bookmarkStart w:id="62" w:name="_Toc156565958"/>
      <w:bookmarkStart w:id="63" w:name="_Toc157432106"/>
      <w:r w:rsidRPr="00037B09">
        <w:rPr>
          <w:sz w:val="32"/>
          <w:szCs w:val="32"/>
        </w:rPr>
        <w:t>Recommendation 1</w:t>
      </w:r>
      <w:bookmarkEnd w:id="58"/>
      <w:bookmarkEnd w:id="59"/>
      <w:bookmarkEnd w:id="60"/>
      <w:bookmarkEnd w:id="61"/>
      <w:bookmarkEnd w:id="62"/>
      <w:bookmarkEnd w:id="63"/>
    </w:p>
    <w:p w14:paraId="2E584EA1" w14:textId="5061CC46" w:rsidR="00A63A91" w:rsidRPr="00037B09" w:rsidRDefault="00C60C8C" w:rsidP="00BC2ABB">
      <w:pPr>
        <w:pStyle w:val="BOXText"/>
        <w:pBdr>
          <w:bottom w:val="single" w:sz="48" w:space="0" w:color="E0E8F2"/>
        </w:pBdr>
        <w:spacing w:line="360" w:lineRule="auto"/>
        <w:rPr>
          <w:sz w:val="28"/>
          <w:szCs w:val="28"/>
        </w:rPr>
      </w:pPr>
      <w:r w:rsidRPr="00037B09">
        <w:rPr>
          <w:sz w:val="28"/>
          <w:szCs w:val="28"/>
        </w:rPr>
        <w:t>PM&amp;C should</w:t>
      </w:r>
      <w:r w:rsidR="0091208E">
        <w:rPr>
          <w:sz w:val="28"/>
          <w:szCs w:val="28"/>
        </w:rPr>
        <w:t xml:space="preserve"> thoroughly</w:t>
      </w:r>
      <w:r w:rsidRPr="00037B09">
        <w:rPr>
          <w:sz w:val="28"/>
          <w:szCs w:val="28"/>
        </w:rPr>
        <w:t xml:space="preserve"> </w:t>
      </w:r>
      <w:r w:rsidR="00A63A91" w:rsidRPr="00037B09">
        <w:rPr>
          <w:sz w:val="28"/>
          <w:szCs w:val="28"/>
        </w:rPr>
        <w:t xml:space="preserve">review its record management processes, especially that of </w:t>
      </w:r>
      <w:r w:rsidR="00280337" w:rsidRPr="00037B09">
        <w:rPr>
          <w:sz w:val="28"/>
          <w:szCs w:val="28"/>
        </w:rPr>
        <w:t xml:space="preserve">the </w:t>
      </w:r>
      <w:r w:rsidR="00A63A91" w:rsidRPr="00037B09">
        <w:rPr>
          <w:sz w:val="28"/>
          <w:szCs w:val="28"/>
        </w:rPr>
        <w:t>Cabinet Division, and transfer of Cabinet records to the NAA, with a view to:</w:t>
      </w:r>
    </w:p>
    <w:p w14:paraId="6522450B" w14:textId="5B114289" w:rsidR="00A63A91" w:rsidRPr="00037B09" w:rsidRDefault="001963CF" w:rsidP="00771FA7">
      <w:pPr>
        <w:pStyle w:val="BOXText"/>
        <w:numPr>
          <w:ilvl w:val="0"/>
          <w:numId w:val="19"/>
        </w:numPr>
        <w:pBdr>
          <w:bottom w:val="single" w:sz="48" w:space="0" w:color="E0E8F2"/>
        </w:pBdr>
        <w:spacing w:line="360" w:lineRule="auto"/>
        <w:rPr>
          <w:sz w:val="28"/>
          <w:szCs w:val="28"/>
        </w:rPr>
      </w:pPr>
      <w:r w:rsidRPr="00037B09">
        <w:rPr>
          <w:sz w:val="28"/>
          <w:szCs w:val="28"/>
        </w:rPr>
        <w:t>there being a central regist</w:t>
      </w:r>
      <w:r w:rsidR="005B75D5" w:rsidRPr="00037B09">
        <w:rPr>
          <w:sz w:val="28"/>
          <w:szCs w:val="28"/>
        </w:rPr>
        <w:t>er</w:t>
      </w:r>
      <w:r w:rsidRPr="00037B09">
        <w:rPr>
          <w:sz w:val="28"/>
          <w:szCs w:val="28"/>
        </w:rPr>
        <w:t xml:space="preserve"> of the locations within PM&amp;C which store Cabinet records</w:t>
      </w:r>
      <w:r w:rsidR="0091208E">
        <w:rPr>
          <w:sz w:val="28"/>
          <w:szCs w:val="28"/>
        </w:rPr>
        <w:t>, especially those containing the Cabinet records of previous governments</w:t>
      </w:r>
      <w:r w:rsidR="00CA3C4E" w:rsidRPr="00037B09">
        <w:rPr>
          <w:sz w:val="28"/>
          <w:szCs w:val="28"/>
        </w:rPr>
        <w:t>;</w:t>
      </w:r>
    </w:p>
    <w:p w14:paraId="51DC608E" w14:textId="1D8DE790" w:rsidR="001963CF" w:rsidRPr="00037B09" w:rsidRDefault="001963CF" w:rsidP="00771FA7">
      <w:pPr>
        <w:pStyle w:val="BOXText"/>
        <w:numPr>
          <w:ilvl w:val="0"/>
          <w:numId w:val="19"/>
        </w:numPr>
        <w:pBdr>
          <w:bottom w:val="single" w:sz="48" w:space="0" w:color="E0E8F2"/>
        </w:pBdr>
        <w:spacing w:line="360" w:lineRule="auto"/>
        <w:rPr>
          <w:sz w:val="28"/>
          <w:szCs w:val="28"/>
        </w:rPr>
      </w:pPr>
      <w:r w:rsidRPr="00037B09">
        <w:rPr>
          <w:sz w:val="28"/>
          <w:szCs w:val="28"/>
        </w:rPr>
        <w:t>all Cabinet Division officers</w:t>
      </w:r>
      <w:r w:rsidR="00267EB1" w:rsidRPr="00037B09">
        <w:rPr>
          <w:sz w:val="28"/>
          <w:szCs w:val="28"/>
        </w:rPr>
        <w:t>, and any other officers in the Department working with Cabinet records,</w:t>
      </w:r>
      <w:r w:rsidRPr="00037B09">
        <w:rPr>
          <w:sz w:val="28"/>
          <w:szCs w:val="28"/>
        </w:rPr>
        <w:t xml:space="preserve"> possessing at least a basic understanding of their responsibilities under the Archives Act</w:t>
      </w:r>
      <w:r w:rsidR="00CA3C4E" w:rsidRPr="00037B09">
        <w:rPr>
          <w:sz w:val="28"/>
          <w:szCs w:val="28"/>
        </w:rPr>
        <w:t>;</w:t>
      </w:r>
    </w:p>
    <w:p w14:paraId="08841363" w14:textId="3EF2A827" w:rsidR="00A63A91" w:rsidRPr="00037B09" w:rsidRDefault="001963CF" w:rsidP="00771FA7">
      <w:pPr>
        <w:pStyle w:val="BOXText"/>
        <w:numPr>
          <w:ilvl w:val="0"/>
          <w:numId w:val="19"/>
        </w:numPr>
        <w:pBdr>
          <w:bottom w:val="single" w:sz="48" w:space="0" w:color="E0E8F2"/>
        </w:pBdr>
        <w:spacing w:line="360" w:lineRule="auto"/>
        <w:rPr>
          <w:sz w:val="28"/>
          <w:szCs w:val="28"/>
        </w:rPr>
      </w:pPr>
      <w:r w:rsidRPr="00037B09">
        <w:rPr>
          <w:sz w:val="28"/>
          <w:szCs w:val="28"/>
        </w:rPr>
        <w:t>the Cabinet Division, and any other relevant area</w:t>
      </w:r>
      <w:r w:rsidR="003C4681" w:rsidRPr="00037B09">
        <w:rPr>
          <w:sz w:val="28"/>
          <w:szCs w:val="28"/>
        </w:rPr>
        <w:t>,</w:t>
      </w:r>
      <w:r w:rsidRPr="00037B09">
        <w:rPr>
          <w:sz w:val="28"/>
          <w:szCs w:val="28"/>
        </w:rPr>
        <w:t xml:space="preserve"> having a properly trained and experienced records management officer(s) with the necessary security clearance (a TSPV in the case of Cabinet Division) to do their job professionally and with confidence</w:t>
      </w:r>
      <w:r w:rsidR="005B75D5" w:rsidRPr="00037B09">
        <w:rPr>
          <w:sz w:val="28"/>
          <w:szCs w:val="28"/>
        </w:rPr>
        <w:t>;</w:t>
      </w:r>
    </w:p>
    <w:p w14:paraId="321E4F93" w14:textId="4B9815B9" w:rsidR="003F185E" w:rsidRPr="00037B09" w:rsidRDefault="001963CF" w:rsidP="00771FA7">
      <w:pPr>
        <w:pStyle w:val="BOXText"/>
        <w:numPr>
          <w:ilvl w:val="0"/>
          <w:numId w:val="19"/>
        </w:numPr>
        <w:pBdr>
          <w:bottom w:val="single" w:sz="48" w:space="0" w:color="E0E8F2"/>
        </w:pBdr>
        <w:spacing w:line="360" w:lineRule="auto"/>
        <w:rPr>
          <w:sz w:val="28"/>
          <w:szCs w:val="28"/>
        </w:rPr>
      </w:pPr>
      <w:r w:rsidRPr="00037B09">
        <w:rPr>
          <w:sz w:val="28"/>
          <w:szCs w:val="28"/>
        </w:rPr>
        <w:t>staff responsible at the working level for transfer of Cabi</w:t>
      </w:r>
      <w:r w:rsidR="007869C0" w:rsidRPr="00037B09">
        <w:rPr>
          <w:sz w:val="28"/>
          <w:szCs w:val="28"/>
        </w:rPr>
        <w:t>net records to the NAA have a T</w:t>
      </w:r>
      <w:r w:rsidRPr="00037B09">
        <w:rPr>
          <w:sz w:val="28"/>
          <w:szCs w:val="28"/>
        </w:rPr>
        <w:t>S</w:t>
      </w:r>
      <w:r w:rsidR="0033462C">
        <w:rPr>
          <w:sz w:val="28"/>
          <w:szCs w:val="28"/>
        </w:rPr>
        <w:t>P</w:t>
      </w:r>
      <w:r w:rsidRPr="00037B09">
        <w:rPr>
          <w:sz w:val="28"/>
          <w:szCs w:val="28"/>
        </w:rPr>
        <w:t xml:space="preserve">V clearance to enable access to all Cabinet </w:t>
      </w:r>
      <w:r w:rsidR="00280337" w:rsidRPr="00037B09">
        <w:rPr>
          <w:sz w:val="28"/>
          <w:szCs w:val="28"/>
        </w:rPr>
        <w:t>record</w:t>
      </w:r>
      <w:r w:rsidRPr="00037B09">
        <w:rPr>
          <w:sz w:val="28"/>
          <w:szCs w:val="28"/>
        </w:rPr>
        <w:t xml:space="preserve">, regardless of </w:t>
      </w:r>
      <w:r w:rsidR="003F185E" w:rsidRPr="00037B09">
        <w:rPr>
          <w:sz w:val="28"/>
          <w:szCs w:val="28"/>
        </w:rPr>
        <w:t>classification; and</w:t>
      </w:r>
    </w:p>
    <w:p w14:paraId="38C8C55F" w14:textId="634771C1" w:rsidR="003F185E" w:rsidRPr="00037B09" w:rsidRDefault="003F185E" w:rsidP="00771FA7">
      <w:pPr>
        <w:pStyle w:val="BOXText"/>
        <w:numPr>
          <w:ilvl w:val="0"/>
          <w:numId w:val="19"/>
        </w:numPr>
        <w:pBdr>
          <w:bottom w:val="single" w:sz="48" w:space="0" w:color="E0E8F2"/>
        </w:pBdr>
        <w:spacing w:line="360" w:lineRule="auto"/>
        <w:rPr>
          <w:sz w:val="28"/>
          <w:szCs w:val="28"/>
        </w:rPr>
      </w:pPr>
      <w:r w:rsidRPr="00037B09">
        <w:rPr>
          <w:sz w:val="28"/>
          <w:szCs w:val="28"/>
        </w:rPr>
        <w:lastRenderedPageBreak/>
        <w:t>PM&amp;C</w:t>
      </w:r>
      <w:r w:rsidR="005B75D5" w:rsidRPr="00037B09">
        <w:rPr>
          <w:sz w:val="28"/>
          <w:szCs w:val="28"/>
        </w:rPr>
        <w:t xml:space="preserve">’s internal audit </w:t>
      </w:r>
      <w:r w:rsidR="00C42DC8" w:rsidRPr="00037B09">
        <w:rPr>
          <w:sz w:val="28"/>
          <w:szCs w:val="28"/>
        </w:rPr>
        <w:t xml:space="preserve">undertaking periodic reviews </w:t>
      </w:r>
      <w:r w:rsidR="005B75D5" w:rsidRPr="00037B09">
        <w:rPr>
          <w:sz w:val="28"/>
          <w:szCs w:val="28"/>
        </w:rPr>
        <w:t>of the Department’s management of Cabinet records and of transfer arrangements with the NAA</w:t>
      </w:r>
      <w:r w:rsidR="002E6899" w:rsidRPr="00037B09">
        <w:rPr>
          <w:sz w:val="28"/>
          <w:szCs w:val="28"/>
        </w:rPr>
        <w:t>.</w:t>
      </w:r>
    </w:p>
    <w:p w14:paraId="3C9D7D0A" w14:textId="77777777" w:rsidR="00D1473A" w:rsidRPr="00037B09" w:rsidRDefault="00D1473A" w:rsidP="00BC2ABB">
      <w:pPr>
        <w:pStyle w:val="BOXHeading2"/>
        <w:spacing w:line="360" w:lineRule="auto"/>
        <w:rPr>
          <w:sz w:val="32"/>
          <w:szCs w:val="32"/>
        </w:rPr>
      </w:pPr>
      <w:bookmarkStart w:id="64" w:name="_Toc155699032"/>
      <w:bookmarkStart w:id="65" w:name="_Toc155700974"/>
      <w:bookmarkStart w:id="66" w:name="_Toc155799954"/>
      <w:bookmarkStart w:id="67" w:name="_Toc155875101"/>
      <w:bookmarkStart w:id="68" w:name="_Toc156565960"/>
      <w:bookmarkStart w:id="69" w:name="_Toc157432107"/>
      <w:r w:rsidRPr="00037B09">
        <w:rPr>
          <w:sz w:val="32"/>
          <w:szCs w:val="32"/>
        </w:rPr>
        <w:t>Recommendation 2</w:t>
      </w:r>
      <w:bookmarkEnd w:id="64"/>
      <w:bookmarkEnd w:id="65"/>
      <w:bookmarkEnd w:id="66"/>
      <w:bookmarkEnd w:id="67"/>
      <w:bookmarkEnd w:id="68"/>
      <w:bookmarkEnd w:id="69"/>
    </w:p>
    <w:p w14:paraId="00D2AC13" w14:textId="1F346C79" w:rsidR="00D1473A" w:rsidRPr="00037B09" w:rsidRDefault="00D1473A" w:rsidP="00BC2ABB">
      <w:pPr>
        <w:pStyle w:val="BOXText"/>
        <w:spacing w:line="360" w:lineRule="auto"/>
        <w:rPr>
          <w:sz w:val="28"/>
          <w:szCs w:val="28"/>
        </w:rPr>
      </w:pPr>
      <w:r w:rsidRPr="00037B09">
        <w:rPr>
          <w:sz w:val="28"/>
          <w:szCs w:val="28"/>
        </w:rPr>
        <w:t xml:space="preserve">The head of Cabinet Division within PM&amp;C, and the Director-General of the NAA should hold a </w:t>
      </w:r>
      <w:r w:rsidR="00C048FB" w:rsidRPr="00037B09">
        <w:rPr>
          <w:sz w:val="28"/>
          <w:szCs w:val="28"/>
        </w:rPr>
        <w:t>TSPV</w:t>
      </w:r>
      <w:r w:rsidRPr="00037B09">
        <w:rPr>
          <w:sz w:val="28"/>
          <w:szCs w:val="28"/>
        </w:rPr>
        <w:t xml:space="preserve"> security clearance.</w:t>
      </w:r>
    </w:p>
    <w:p w14:paraId="2D1FF44C" w14:textId="77777777" w:rsidR="00D410C7" w:rsidRPr="00037B09" w:rsidRDefault="00D1473A" w:rsidP="00BC2ABB">
      <w:pPr>
        <w:pStyle w:val="Heading3"/>
        <w:spacing w:line="360" w:lineRule="auto"/>
        <w:rPr>
          <w:b w:val="0"/>
          <w:sz w:val="28"/>
          <w:szCs w:val="28"/>
        </w:rPr>
      </w:pPr>
      <w:bookmarkStart w:id="70" w:name="_Toc155699033"/>
      <w:bookmarkStart w:id="71" w:name="_Toc155700975"/>
      <w:bookmarkStart w:id="72" w:name="_Toc155799955"/>
      <w:bookmarkStart w:id="73" w:name="_Toc155875102"/>
      <w:bookmarkStart w:id="74" w:name="_Toc156565961"/>
      <w:bookmarkStart w:id="75" w:name="_Toc157432108"/>
      <w:r w:rsidRPr="00037B09">
        <w:rPr>
          <w:b w:val="0"/>
          <w:sz w:val="28"/>
          <w:szCs w:val="28"/>
        </w:rPr>
        <w:t>Implementation considerations</w:t>
      </w:r>
      <w:bookmarkEnd w:id="70"/>
      <w:bookmarkEnd w:id="71"/>
      <w:bookmarkEnd w:id="72"/>
      <w:bookmarkEnd w:id="73"/>
      <w:bookmarkEnd w:id="74"/>
      <w:bookmarkEnd w:id="75"/>
    </w:p>
    <w:p w14:paraId="3DEBE592" w14:textId="1EE8C258" w:rsidR="00D1473A" w:rsidRPr="00037B09" w:rsidRDefault="00D1473A" w:rsidP="00BC2ABB">
      <w:pPr>
        <w:spacing w:line="360" w:lineRule="auto"/>
        <w:rPr>
          <w:sz w:val="28"/>
          <w:szCs w:val="28"/>
        </w:rPr>
      </w:pPr>
      <w:r w:rsidRPr="00037B09">
        <w:rPr>
          <w:sz w:val="28"/>
          <w:szCs w:val="28"/>
        </w:rPr>
        <w:t xml:space="preserve">In obtaining a </w:t>
      </w:r>
      <w:r w:rsidR="0012725B" w:rsidRPr="00037B09">
        <w:rPr>
          <w:sz w:val="28"/>
          <w:szCs w:val="28"/>
        </w:rPr>
        <w:t>TSPV</w:t>
      </w:r>
      <w:r w:rsidR="00C048FB" w:rsidRPr="00037B09">
        <w:rPr>
          <w:sz w:val="28"/>
          <w:szCs w:val="28"/>
        </w:rPr>
        <w:t xml:space="preserve"> security </w:t>
      </w:r>
      <w:r w:rsidRPr="00037B09">
        <w:rPr>
          <w:sz w:val="28"/>
          <w:szCs w:val="28"/>
        </w:rPr>
        <w:t xml:space="preserve">clearance, </w:t>
      </w:r>
      <w:r w:rsidR="00C048FB" w:rsidRPr="00037B09">
        <w:rPr>
          <w:sz w:val="28"/>
          <w:szCs w:val="28"/>
        </w:rPr>
        <w:t xml:space="preserve">the head of the Cabinet </w:t>
      </w:r>
      <w:r w:rsidR="005740F5" w:rsidRPr="00037B09">
        <w:rPr>
          <w:sz w:val="28"/>
          <w:szCs w:val="28"/>
        </w:rPr>
        <w:t xml:space="preserve">Division </w:t>
      </w:r>
      <w:r w:rsidR="00C048FB" w:rsidRPr="00037B09">
        <w:rPr>
          <w:sz w:val="28"/>
          <w:szCs w:val="28"/>
        </w:rPr>
        <w:t>and the Director-General of the NAA should be briefed into what</w:t>
      </w:r>
      <w:r w:rsidR="009059F1" w:rsidRPr="00037B09">
        <w:rPr>
          <w:sz w:val="28"/>
          <w:szCs w:val="28"/>
        </w:rPr>
        <w:t>ever</w:t>
      </w:r>
      <w:r w:rsidR="00C048FB" w:rsidRPr="00037B09">
        <w:rPr>
          <w:sz w:val="28"/>
          <w:szCs w:val="28"/>
        </w:rPr>
        <w:t xml:space="preserve"> compartment is necessary to enable them to meet their professional and legislative responsibilities. </w:t>
      </w:r>
    </w:p>
    <w:p w14:paraId="1DD2EED7" w14:textId="77777777" w:rsidR="00D1473A" w:rsidRPr="00037B09" w:rsidRDefault="00D1473A" w:rsidP="00BC2ABB">
      <w:pPr>
        <w:pStyle w:val="BOXHeading2"/>
        <w:spacing w:line="360" w:lineRule="auto"/>
      </w:pPr>
      <w:bookmarkStart w:id="76" w:name="_Toc155699034"/>
      <w:bookmarkStart w:id="77" w:name="_Toc155700976"/>
      <w:bookmarkStart w:id="78" w:name="_Toc155799956"/>
      <w:bookmarkStart w:id="79" w:name="_Toc155875103"/>
      <w:bookmarkStart w:id="80" w:name="_Toc156565962"/>
      <w:bookmarkStart w:id="81" w:name="_Toc157432109"/>
      <w:r w:rsidRPr="00037B09">
        <w:rPr>
          <w:sz w:val="32"/>
          <w:szCs w:val="32"/>
        </w:rPr>
        <w:t>Recommendation</w:t>
      </w:r>
      <w:r w:rsidRPr="00037B09">
        <w:t xml:space="preserve"> 3</w:t>
      </w:r>
      <w:bookmarkEnd w:id="76"/>
      <w:bookmarkEnd w:id="77"/>
      <w:bookmarkEnd w:id="78"/>
      <w:bookmarkEnd w:id="79"/>
      <w:bookmarkEnd w:id="80"/>
      <w:bookmarkEnd w:id="81"/>
    </w:p>
    <w:p w14:paraId="40217357" w14:textId="0A851E0F" w:rsidR="00D1473A" w:rsidRPr="00037B09" w:rsidRDefault="001B317D" w:rsidP="00BC2ABB">
      <w:pPr>
        <w:pStyle w:val="BOXText"/>
        <w:spacing w:line="360" w:lineRule="auto"/>
        <w:rPr>
          <w:sz w:val="28"/>
          <w:szCs w:val="28"/>
        </w:rPr>
      </w:pPr>
      <w:r w:rsidRPr="00037B09">
        <w:rPr>
          <w:sz w:val="28"/>
          <w:szCs w:val="28"/>
        </w:rPr>
        <w:t xml:space="preserve">On an annual basis, the Secretary of PM&amp;C should sign a formal letter to the Director-General of the NAA </w:t>
      </w:r>
      <w:r w:rsidR="00280337" w:rsidRPr="00037B09">
        <w:rPr>
          <w:sz w:val="28"/>
          <w:szCs w:val="28"/>
        </w:rPr>
        <w:t>confirming that</w:t>
      </w:r>
      <w:r w:rsidRPr="00037B09">
        <w:rPr>
          <w:sz w:val="28"/>
          <w:szCs w:val="28"/>
        </w:rPr>
        <w:t xml:space="preserve"> all Cabinet records </w:t>
      </w:r>
      <w:r w:rsidR="00280337" w:rsidRPr="00037B09">
        <w:rPr>
          <w:sz w:val="28"/>
          <w:szCs w:val="28"/>
        </w:rPr>
        <w:t xml:space="preserve">required to be </w:t>
      </w:r>
      <w:r w:rsidRPr="00037B09">
        <w:rPr>
          <w:sz w:val="28"/>
          <w:szCs w:val="28"/>
        </w:rPr>
        <w:t>transferred to the NAA</w:t>
      </w:r>
      <w:r w:rsidR="00280337" w:rsidRPr="00037B09">
        <w:rPr>
          <w:sz w:val="28"/>
          <w:szCs w:val="28"/>
        </w:rPr>
        <w:t xml:space="preserve"> that year, have been so transferred.</w:t>
      </w:r>
      <w:r w:rsidRPr="00037B09">
        <w:rPr>
          <w:sz w:val="28"/>
          <w:szCs w:val="28"/>
        </w:rPr>
        <w:t xml:space="preserve"> </w:t>
      </w:r>
    </w:p>
    <w:p w14:paraId="458386EC" w14:textId="77777777" w:rsidR="005740F5" w:rsidRPr="00037B09" w:rsidRDefault="005740F5" w:rsidP="005740F5">
      <w:pPr>
        <w:pStyle w:val="Heading3"/>
        <w:spacing w:line="360" w:lineRule="auto"/>
        <w:rPr>
          <w:b w:val="0"/>
          <w:sz w:val="28"/>
          <w:szCs w:val="28"/>
        </w:rPr>
      </w:pPr>
      <w:bookmarkStart w:id="82" w:name="_Toc156565963"/>
      <w:bookmarkStart w:id="83" w:name="_Toc157432110"/>
      <w:r w:rsidRPr="00037B09">
        <w:rPr>
          <w:b w:val="0"/>
          <w:sz w:val="28"/>
          <w:szCs w:val="28"/>
        </w:rPr>
        <w:t>Implementation considerations</w:t>
      </w:r>
      <w:bookmarkEnd w:id="82"/>
      <w:bookmarkEnd w:id="83"/>
    </w:p>
    <w:p w14:paraId="4779366B" w14:textId="1EED9B55" w:rsidR="00686CCD" w:rsidRPr="00037B09" w:rsidRDefault="00686CCD" w:rsidP="00FD5128">
      <w:pPr>
        <w:spacing w:line="360" w:lineRule="auto"/>
        <w:rPr>
          <w:sz w:val="28"/>
          <w:szCs w:val="28"/>
        </w:rPr>
      </w:pPr>
      <w:r w:rsidRPr="00037B09">
        <w:rPr>
          <w:sz w:val="28"/>
          <w:szCs w:val="28"/>
        </w:rPr>
        <w:t xml:space="preserve">In some circumstances it may be appropriate for a department to retain possession of records. Where this is the case, the Secretary should satisfy </w:t>
      </w:r>
      <w:r w:rsidRPr="00037B09">
        <w:rPr>
          <w:sz w:val="28"/>
          <w:szCs w:val="28"/>
        </w:rPr>
        <w:lastRenderedPageBreak/>
        <w:t>him/herself that the requirements of section 29 of the Archives Act have been met.</w:t>
      </w:r>
    </w:p>
    <w:p w14:paraId="22FC9DDD" w14:textId="77777777" w:rsidR="007D5304" w:rsidRPr="00037B09" w:rsidRDefault="007D5304" w:rsidP="00BC2ABB">
      <w:pPr>
        <w:pStyle w:val="BOXHeading2"/>
        <w:spacing w:line="360" w:lineRule="auto"/>
      </w:pPr>
      <w:bookmarkStart w:id="84" w:name="_Toc157432111"/>
      <w:r w:rsidRPr="00037B09">
        <w:rPr>
          <w:sz w:val="32"/>
          <w:szCs w:val="32"/>
        </w:rPr>
        <w:t>Recommendation</w:t>
      </w:r>
      <w:r w:rsidRPr="00037B09">
        <w:t xml:space="preserve"> 4</w:t>
      </w:r>
      <w:bookmarkEnd w:id="84"/>
    </w:p>
    <w:p w14:paraId="5040F775" w14:textId="3B12FEC7" w:rsidR="00280337" w:rsidRPr="00037B09" w:rsidRDefault="00280337" w:rsidP="00280337">
      <w:pPr>
        <w:pStyle w:val="BOXText"/>
        <w:spacing w:line="360" w:lineRule="auto"/>
        <w:rPr>
          <w:sz w:val="28"/>
        </w:rPr>
      </w:pPr>
      <w:r w:rsidRPr="00037B09">
        <w:rPr>
          <w:sz w:val="28"/>
          <w:szCs w:val="28"/>
        </w:rPr>
        <w:t xml:space="preserve">The NAA, with the support of PM&amp;C, should review its records authorities, relevant to Cabinet records. In particular, the NAA and PM&amp;C should, as a matter of urgency, develop a new records authority </w:t>
      </w:r>
      <w:r w:rsidR="00CC121B" w:rsidRPr="00037B09">
        <w:rPr>
          <w:sz w:val="28"/>
          <w:szCs w:val="28"/>
        </w:rPr>
        <w:t xml:space="preserve">including </w:t>
      </w:r>
      <w:r w:rsidR="007869C0" w:rsidRPr="00037B09">
        <w:rPr>
          <w:sz w:val="28"/>
          <w:szCs w:val="28"/>
        </w:rPr>
        <w:t>a</w:t>
      </w:r>
      <w:r w:rsidRPr="00037B09">
        <w:rPr>
          <w:sz w:val="28"/>
          <w:szCs w:val="28"/>
        </w:rPr>
        <w:t xml:space="preserve"> </w:t>
      </w:r>
      <w:r w:rsidR="002E6899" w:rsidRPr="00037B09">
        <w:rPr>
          <w:sz w:val="28"/>
          <w:szCs w:val="28"/>
        </w:rPr>
        <w:t xml:space="preserve">section 3C </w:t>
      </w:r>
      <w:r w:rsidRPr="00037B09">
        <w:rPr>
          <w:sz w:val="28"/>
          <w:szCs w:val="28"/>
        </w:rPr>
        <w:t>determination that</w:t>
      </w:r>
      <w:r w:rsidR="002E6899" w:rsidRPr="00037B09">
        <w:rPr>
          <w:sz w:val="28"/>
          <w:szCs w:val="28"/>
        </w:rPr>
        <w:t xml:space="preserve"> confirms</w:t>
      </w:r>
      <w:r w:rsidRPr="00037B09">
        <w:rPr>
          <w:sz w:val="28"/>
          <w:szCs w:val="28"/>
        </w:rPr>
        <w:t xml:space="preserve"> Cabinet records are part of the archival resources of the Commonwealth to ensure Cabinet records are subject to transfer obligations under</w:t>
      </w:r>
      <w:r w:rsidR="00CC121B" w:rsidRPr="00037B09">
        <w:rPr>
          <w:sz w:val="28"/>
          <w:szCs w:val="28"/>
        </w:rPr>
        <w:t xml:space="preserve"> section 27</w:t>
      </w:r>
      <w:r w:rsidRPr="00037B09">
        <w:rPr>
          <w:sz w:val="28"/>
          <w:szCs w:val="28"/>
        </w:rPr>
        <w:t xml:space="preserve"> the Archives Act.   </w:t>
      </w:r>
    </w:p>
    <w:p w14:paraId="67622AFA" w14:textId="77777777" w:rsidR="00D1473A" w:rsidRPr="00037B09" w:rsidRDefault="00D1473A" w:rsidP="00BC2ABB">
      <w:pPr>
        <w:pStyle w:val="Heading3"/>
        <w:spacing w:line="360" w:lineRule="auto"/>
        <w:rPr>
          <w:b w:val="0"/>
          <w:sz w:val="28"/>
          <w:szCs w:val="28"/>
        </w:rPr>
      </w:pPr>
      <w:bookmarkStart w:id="85" w:name="_Toc157432112"/>
      <w:r w:rsidRPr="00037B09">
        <w:rPr>
          <w:b w:val="0"/>
          <w:sz w:val="28"/>
          <w:szCs w:val="28"/>
        </w:rPr>
        <w:t>Implementation considerations</w:t>
      </w:r>
      <w:bookmarkEnd w:id="85"/>
    </w:p>
    <w:p w14:paraId="3C17B31B" w14:textId="2B99710C" w:rsidR="00280337" w:rsidRPr="00037B09" w:rsidRDefault="00280337" w:rsidP="00280337">
      <w:pPr>
        <w:spacing w:line="360" w:lineRule="auto"/>
        <w:rPr>
          <w:sz w:val="28"/>
          <w:szCs w:val="28"/>
        </w:rPr>
      </w:pPr>
      <w:r w:rsidRPr="00037B09">
        <w:rPr>
          <w:sz w:val="28"/>
          <w:szCs w:val="28"/>
        </w:rPr>
        <w:t xml:space="preserve">The 1988 Records Disposal Schedule No. S.492 </w:t>
      </w:r>
      <w:r w:rsidR="00CC121B" w:rsidRPr="00037B09">
        <w:rPr>
          <w:sz w:val="28"/>
          <w:szCs w:val="28"/>
        </w:rPr>
        <w:t xml:space="preserve">is expressed to remain operative for </w:t>
      </w:r>
      <w:r w:rsidR="002A15D9" w:rsidRPr="00037B09">
        <w:rPr>
          <w:sz w:val="28"/>
          <w:szCs w:val="28"/>
        </w:rPr>
        <w:t>1</w:t>
      </w:r>
      <w:r w:rsidR="00CC121B" w:rsidRPr="00037B09">
        <w:rPr>
          <w:sz w:val="28"/>
          <w:szCs w:val="28"/>
        </w:rPr>
        <w:t>0 years or until amended, cancelled or superseded</w:t>
      </w:r>
      <w:r w:rsidRPr="00037B09">
        <w:rPr>
          <w:sz w:val="28"/>
          <w:szCs w:val="28"/>
        </w:rPr>
        <w:t>. This and other NAA guidelines which inform transfer have not been updated. While there is no question that Cabinet records are part of the archival resources of the Commonwealth, the legislative requirements of the Archives Act should be followed.</w:t>
      </w:r>
    </w:p>
    <w:p w14:paraId="7731C378" w14:textId="5771A91B" w:rsidR="00280337" w:rsidRDefault="00280337" w:rsidP="00FD5128">
      <w:pPr>
        <w:spacing w:line="360" w:lineRule="auto"/>
        <w:rPr>
          <w:sz w:val="28"/>
          <w:szCs w:val="28"/>
        </w:rPr>
      </w:pPr>
      <w:r w:rsidRPr="00037B09">
        <w:rPr>
          <w:sz w:val="28"/>
          <w:szCs w:val="28"/>
        </w:rPr>
        <w:t>Once the determination is made, the NAA and PM&amp;C should agree on operational matters that underpin the transfer</w:t>
      </w:r>
      <w:r w:rsidR="007869C0" w:rsidRPr="00037B09">
        <w:rPr>
          <w:sz w:val="28"/>
          <w:szCs w:val="28"/>
        </w:rPr>
        <w:t xml:space="preserve"> obligations, in particular those</w:t>
      </w:r>
      <w:r w:rsidRPr="00037B09">
        <w:rPr>
          <w:sz w:val="28"/>
          <w:szCs w:val="28"/>
        </w:rPr>
        <w:t xml:space="preserve"> relating to the transfer of Cabinet record</w:t>
      </w:r>
      <w:r w:rsidR="00C42DC8" w:rsidRPr="00037B09">
        <w:rPr>
          <w:sz w:val="28"/>
          <w:szCs w:val="28"/>
        </w:rPr>
        <w:t>s</w:t>
      </w:r>
      <w:r w:rsidRPr="00037B09">
        <w:rPr>
          <w:sz w:val="28"/>
          <w:szCs w:val="28"/>
        </w:rPr>
        <w:t xml:space="preserve"> 15 years after creation.</w:t>
      </w:r>
    </w:p>
    <w:p w14:paraId="3E71659F" w14:textId="70042B40" w:rsidR="00170AC3" w:rsidRPr="00037B09" w:rsidRDefault="00170AC3" w:rsidP="00FD5128">
      <w:pPr>
        <w:spacing w:line="360" w:lineRule="auto"/>
        <w:rPr>
          <w:sz w:val="28"/>
          <w:szCs w:val="28"/>
        </w:rPr>
      </w:pPr>
      <w:r>
        <w:rPr>
          <w:sz w:val="28"/>
          <w:szCs w:val="28"/>
        </w:rPr>
        <w:lastRenderedPageBreak/>
        <w:t>Consideration should also be given to PM&amp;C providing a list of Cabinet records</w:t>
      </w:r>
      <w:r w:rsidR="00937329">
        <w:rPr>
          <w:sz w:val="28"/>
          <w:szCs w:val="28"/>
        </w:rPr>
        <w:t xml:space="preserve"> </w:t>
      </w:r>
      <w:r>
        <w:rPr>
          <w:sz w:val="28"/>
          <w:szCs w:val="28"/>
        </w:rPr>
        <w:t>created</w:t>
      </w:r>
      <w:r w:rsidR="00937329">
        <w:rPr>
          <w:sz w:val="28"/>
          <w:szCs w:val="28"/>
        </w:rPr>
        <w:t xml:space="preserve"> to the NAA, </w:t>
      </w:r>
      <w:r>
        <w:rPr>
          <w:sz w:val="28"/>
          <w:szCs w:val="28"/>
        </w:rPr>
        <w:t xml:space="preserve">so that </w:t>
      </w:r>
      <w:r w:rsidR="00937329">
        <w:rPr>
          <w:sz w:val="28"/>
          <w:szCs w:val="28"/>
        </w:rPr>
        <w:t>it</w:t>
      </w:r>
      <w:r>
        <w:rPr>
          <w:sz w:val="28"/>
          <w:szCs w:val="28"/>
        </w:rPr>
        <w:t xml:space="preserve"> can check the list of records transferred against the list of records created.</w:t>
      </w:r>
    </w:p>
    <w:p w14:paraId="0ECD577C" w14:textId="7E4BD883" w:rsidR="007D5304" w:rsidRPr="00037B09" w:rsidRDefault="007D5304" w:rsidP="00BC2ABB">
      <w:pPr>
        <w:pStyle w:val="BOXHeading2"/>
        <w:spacing w:line="360" w:lineRule="auto"/>
      </w:pPr>
      <w:bookmarkStart w:id="86" w:name="_Toc155699038"/>
      <w:bookmarkStart w:id="87" w:name="_Toc155700980"/>
      <w:bookmarkStart w:id="88" w:name="_Toc155799960"/>
      <w:bookmarkStart w:id="89" w:name="_Toc155875106"/>
      <w:bookmarkStart w:id="90" w:name="_Toc156565966"/>
      <w:bookmarkStart w:id="91" w:name="_Toc157432113"/>
      <w:r w:rsidRPr="00037B09">
        <w:rPr>
          <w:sz w:val="32"/>
          <w:szCs w:val="32"/>
        </w:rPr>
        <w:t>Recommendation</w:t>
      </w:r>
      <w:r w:rsidRPr="00037B09">
        <w:t xml:space="preserve"> 5</w:t>
      </w:r>
      <w:bookmarkEnd w:id="86"/>
      <w:bookmarkEnd w:id="87"/>
      <w:bookmarkEnd w:id="88"/>
      <w:bookmarkEnd w:id="89"/>
      <w:bookmarkEnd w:id="90"/>
      <w:bookmarkEnd w:id="91"/>
    </w:p>
    <w:p w14:paraId="7D150B3F" w14:textId="496ECB56" w:rsidR="00FF5DD6" w:rsidRPr="00037B09" w:rsidRDefault="0024598B" w:rsidP="00BE3109">
      <w:pPr>
        <w:pStyle w:val="BOXText"/>
        <w:spacing w:line="360" w:lineRule="auto"/>
        <w:rPr>
          <w:sz w:val="28"/>
          <w:szCs w:val="28"/>
        </w:rPr>
      </w:pPr>
      <w:r w:rsidRPr="00037B09">
        <w:rPr>
          <w:sz w:val="28"/>
          <w:szCs w:val="28"/>
        </w:rPr>
        <w:t>As the NSC is a decision-making body, t</w:t>
      </w:r>
      <w:r w:rsidR="007D5304" w:rsidRPr="00037B09">
        <w:rPr>
          <w:sz w:val="28"/>
          <w:szCs w:val="28"/>
        </w:rPr>
        <w:t xml:space="preserve">he NAA should </w:t>
      </w:r>
      <w:r w:rsidR="006C0532" w:rsidRPr="00037B09">
        <w:rPr>
          <w:sz w:val="28"/>
          <w:szCs w:val="28"/>
        </w:rPr>
        <w:t>consider the desirability of</w:t>
      </w:r>
      <w:r w:rsidRPr="00037B09">
        <w:rPr>
          <w:sz w:val="28"/>
          <w:szCs w:val="28"/>
        </w:rPr>
        <w:t xml:space="preserve"> including </w:t>
      </w:r>
      <w:r w:rsidR="007D5304" w:rsidRPr="00037B09">
        <w:rPr>
          <w:sz w:val="28"/>
          <w:szCs w:val="28"/>
        </w:rPr>
        <w:t xml:space="preserve">NSC </w:t>
      </w:r>
      <w:r w:rsidR="00E21551" w:rsidRPr="00037B09">
        <w:rPr>
          <w:sz w:val="28"/>
          <w:szCs w:val="28"/>
        </w:rPr>
        <w:t>records</w:t>
      </w:r>
      <w:r w:rsidRPr="00037B09">
        <w:rPr>
          <w:sz w:val="28"/>
          <w:szCs w:val="28"/>
        </w:rPr>
        <w:t xml:space="preserve"> in the annual </w:t>
      </w:r>
      <w:r w:rsidR="007D5304" w:rsidRPr="00037B09">
        <w:rPr>
          <w:sz w:val="28"/>
          <w:szCs w:val="28"/>
        </w:rPr>
        <w:t>public release</w:t>
      </w:r>
      <w:r w:rsidRPr="00037B09">
        <w:rPr>
          <w:sz w:val="28"/>
          <w:szCs w:val="28"/>
        </w:rPr>
        <w:t xml:space="preserve"> process</w:t>
      </w:r>
      <w:r w:rsidR="007D5304" w:rsidRPr="00037B09">
        <w:rPr>
          <w:sz w:val="28"/>
          <w:szCs w:val="28"/>
        </w:rPr>
        <w:t xml:space="preserve"> in the same way as records of the full Cabinet.</w:t>
      </w:r>
      <w:r w:rsidR="00FF5DD6" w:rsidRPr="00037B09">
        <w:rPr>
          <w:sz w:val="28"/>
          <w:szCs w:val="28"/>
        </w:rPr>
        <w:br w:type="page"/>
      </w:r>
    </w:p>
    <w:p w14:paraId="31A673E1" w14:textId="66F9412E" w:rsidR="007D5304" w:rsidRPr="00037B09" w:rsidRDefault="00683738" w:rsidP="00BC2ABB">
      <w:pPr>
        <w:pStyle w:val="Heading1"/>
        <w:spacing w:line="360" w:lineRule="auto"/>
        <w:rPr>
          <w:noProof/>
          <w:sz w:val="52"/>
        </w:rPr>
      </w:pPr>
      <w:bookmarkStart w:id="92" w:name="_Toc155699040"/>
      <w:bookmarkStart w:id="93" w:name="_Toc155700982"/>
      <w:bookmarkStart w:id="94" w:name="_Toc155799962"/>
      <w:bookmarkStart w:id="95" w:name="_Toc155875109"/>
      <w:bookmarkStart w:id="96" w:name="_Toc156565970"/>
      <w:bookmarkStart w:id="97" w:name="_Toc157432114"/>
      <w:r w:rsidRPr="00037B09">
        <w:rPr>
          <w:noProof/>
          <w:sz w:val="52"/>
        </w:rPr>
        <w:lastRenderedPageBreak/>
        <w:t xml:space="preserve">1. </w:t>
      </w:r>
      <w:r w:rsidR="00B16939" w:rsidRPr="00037B09">
        <w:rPr>
          <w:noProof/>
          <w:sz w:val="52"/>
        </w:rPr>
        <w:t>Scope of the Review</w:t>
      </w:r>
      <w:bookmarkEnd w:id="92"/>
      <w:bookmarkEnd w:id="93"/>
      <w:bookmarkEnd w:id="94"/>
      <w:bookmarkEnd w:id="95"/>
      <w:bookmarkEnd w:id="96"/>
      <w:bookmarkEnd w:id="97"/>
    </w:p>
    <w:p w14:paraId="59B85C66" w14:textId="77777777" w:rsidR="00B16939" w:rsidRPr="00037B09" w:rsidRDefault="00B16939" w:rsidP="00BC2ABB">
      <w:pPr>
        <w:pStyle w:val="Heading2"/>
        <w:spacing w:line="360" w:lineRule="auto"/>
        <w:rPr>
          <w:sz w:val="32"/>
        </w:rPr>
      </w:pPr>
      <w:bookmarkStart w:id="98" w:name="_Toc155699041"/>
      <w:bookmarkStart w:id="99" w:name="_Toc155700983"/>
      <w:bookmarkStart w:id="100" w:name="_Toc155799963"/>
      <w:bookmarkStart w:id="101" w:name="_Toc155875110"/>
      <w:bookmarkStart w:id="102" w:name="_Toc156565971"/>
      <w:bookmarkStart w:id="103" w:name="_Toc157432115"/>
      <w:r w:rsidRPr="00037B09">
        <w:rPr>
          <w:sz w:val="32"/>
        </w:rPr>
        <w:t>Terms of reference</w:t>
      </w:r>
      <w:bookmarkEnd w:id="98"/>
      <w:bookmarkEnd w:id="99"/>
      <w:bookmarkEnd w:id="100"/>
      <w:bookmarkEnd w:id="101"/>
      <w:bookmarkEnd w:id="102"/>
      <w:bookmarkEnd w:id="103"/>
    </w:p>
    <w:p w14:paraId="10BD90D8" w14:textId="0F39E6B2" w:rsidR="00B16939" w:rsidRDefault="00BA2A94" w:rsidP="00771FA7">
      <w:pPr>
        <w:pStyle w:val="ListParagraph"/>
        <w:numPr>
          <w:ilvl w:val="0"/>
          <w:numId w:val="11"/>
        </w:numPr>
        <w:spacing w:line="360" w:lineRule="auto"/>
        <w:ind w:left="709" w:hanging="709"/>
        <w:contextualSpacing w:val="0"/>
        <w:rPr>
          <w:sz w:val="28"/>
        </w:rPr>
      </w:pPr>
      <w:r>
        <w:rPr>
          <w:sz w:val="28"/>
        </w:rPr>
        <w:t>The t</w:t>
      </w:r>
      <w:r w:rsidR="00B16939" w:rsidRPr="00037B09">
        <w:rPr>
          <w:sz w:val="28"/>
        </w:rPr>
        <w:t xml:space="preserve">erms of </w:t>
      </w:r>
      <w:r w:rsidR="00B16939" w:rsidRPr="00037B09">
        <w:rPr>
          <w:sz w:val="28"/>
          <w:szCs w:val="28"/>
        </w:rPr>
        <w:t>reference</w:t>
      </w:r>
      <w:r>
        <w:rPr>
          <w:sz w:val="28"/>
        </w:rPr>
        <w:t xml:space="preserve"> for the Review are to:</w:t>
      </w:r>
      <w:r w:rsidR="00B16939" w:rsidRPr="00037B09">
        <w:rPr>
          <w:sz w:val="28"/>
        </w:rPr>
        <w:t xml:space="preserve"> </w:t>
      </w:r>
    </w:p>
    <w:p w14:paraId="7630E1F9" w14:textId="77777777" w:rsidR="00095310" w:rsidRPr="00794D7B" w:rsidRDefault="00095310" w:rsidP="00771FA7">
      <w:pPr>
        <w:pStyle w:val="ListParagraph"/>
        <w:numPr>
          <w:ilvl w:val="0"/>
          <w:numId w:val="20"/>
        </w:numPr>
        <w:spacing w:line="360" w:lineRule="auto"/>
        <w:contextualSpacing w:val="0"/>
        <w:rPr>
          <w:sz w:val="28"/>
          <w:szCs w:val="28"/>
        </w:rPr>
      </w:pPr>
      <w:r w:rsidRPr="00794D7B">
        <w:rPr>
          <w:sz w:val="28"/>
          <w:szCs w:val="28"/>
        </w:rPr>
        <w:t>examine the circumstances surrounding the 2020 transfer of Cabinet records; and</w:t>
      </w:r>
    </w:p>
    <w:p w14:paraId="35600958" w14:textId="3451A74C" w:rsidR="00095310" w:rsidRPr="00794D7B" w:rsidRDefault="00095310" w:rsidP="00771FA7">
      <w:pPr>
        <w:pStyle w:val="ListParagraph"/>
        <w:numPr>
          <w:ilvl w:val="0"/>
          <w:numId w:val="20"/>
        </w:numPr>
        <w:spacing w:line="360" w:lineRule="auto"/>
        <w:contextualSpacing w:val="0"/>
        <w:rPr>
          <w:sz w:val="28"/>
          <w:szCs w:val="28"/>
        </w:rPr>
      </w:pPr>
      <w:r w:rsidRPr="00794D7B">
        <w:rPr>
          <w:sz w:val="28"/>
          <w:szCs w:val="28"/>
        </w:rPr>
        <w:t>confirm all 2003 Cabinet records have been transferred to the National Archives of Australia.</w:t>
      </w:r>
    </w:p>
    <w:p w14:paraId="4B51A97C" w14:textId="77777777" w:rsidR="00777CE7" w:rsidRPr="00037B09" w:rsidRDefault="00777CE7" w:rsidP="00BC2ABB">
      <w:pPr>
        <w:pStyle w:val="Heading2"/>
        <w:spacing w:line="360" w:lineRule="auto"/>
        <w:rPr>
          <w:sz w:val="32"/>
        </w:rPr>
      </w:pPr>
      <w:bookmarkStart w:id="104" w:name="_Toc155699043"/>
      <w:bookmarkStart w:id="105" w:name="_Toc155700985"/>
      <w:bookmarkStart w:id="106" w:name="_Toc155799964"/>
      <w:bookmarkStart w:id="107" w:name="_Toc155875111"/>
      <w:bookmarkStart w:id="108" w:name="_Toc156565972"/>
      <w:bookmarkStart w:id="109" w:name="_Toc157432116"/>
      <w:r w:rsidRPr="00037B09">
        <w:rPr>
          <w:sz w:val="32"/>
        </w:rPr>
        <w:t>Consultation</w:t>
      </w:r>
      <w:bookmarkEnd w:id="104"/>
      <w:bookmarkEnd w:id="105"/>
      <w:bookmarkEnd w:id="106"/>
      <w:bookmarkEnd w:id="107"/>
      <w:bookmarkEnd w:id="108"/>
      <w:bookmarkEnd w:id="109"/>
      <w:r w:rsidRPr="00037B09">
        <w:rPr>
          <w:sz w:val="32"/>
        </w:rPr>
        <w:t xml:space="preserve"> </w:t>
      </w:r>
    </w:p>
    <w:p w14:paraId="16DFD34A" w14:textId="14BD6742" w:rsidR="00777CE7" w:rsidRPr="00037B09" w:rsidRDefault="00777CE7"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The Review interviewed heads of PM&amp;C and NAA, relevant officials across both organisations, former employees of PM&amp;C and former Prime Ministers, Secretaries of PM&amp;C and Directors-General </w:t>
      </w:r>
      <w:r w:rsidR="00010D0B" w:rsidRPr="00037B09">
        <w:rPr>
          <w:sz w:val="28"/>
          <w:szCs w:val="28"/>
        </w:rPr>
        <w:t>of the NAA</w:t>
      </w:r>
      <w:r w:rsidR="00794D7B">
        <w:rPr>
          <w:sz w:val="28"/>
          <w:szCs w:val="28"/>
        </w:rPr>
        <w:t xml:space="preserve">. </w:t>
      </w:r>
    </w:p>
    <w:p w14:paraId="23B97E2C" w14:textId="432AF0B1" w:rsidR="00777CE7" w:rsidRPr="00037B09" w:rsidRDefault="00777CE7" w:rsidP="00771FA7">
      <w:pPr>
        <w:pStyle w:val="ListParagraph"/>
        <w:numPr>
          <w:ilvl w:val="0"/>
          <w:numId w:val="11"/>
        </w:numPr>
        <w:spacing w:line="360" w:lineRule="auto"/>
        <w:ind w:left="709" w:hanging="709"/>
        <w:contextualSpacing w:val="0"/>
        <w:rPr>
          <w:sz w:val="28"/>
          <w:szCs w:val="28"/>
        </w:rPr>
      </w:pPr>
      <w:r w:rsidRPr="00037B09">
        <w:rPr>
          <w:sz w:val="28"/>
          <w:szCs w:val="28"/>
        </w:rPr>
        <w:t>The Review did not seek public submissions.</w:t>
      </w:r>
    </w:p>
    <w:p w14:paraId="616086D9" w14:textId="02E68C0D" w:rsidR="00010D0B" w:rsidRDefault="00010D0B" w:rsidP="00771FA7">
      <w:pPr>
        <w:pStyle w:val="ListParagraph"/>
        <w:numPr>
          <w:ilvl w:val="0"/>
          <w:numId w:val="11"/>
        </w:numPr>
        <w:spacing w:line="360" w:lineRule="auto"/>
        <w:ind w:left="709" w:hanging="709"/>
        <w:contextualSpacing w:val="0"/>
        <w:rPr>
          <w:sz w:val="28"/>
          <w:szCs w:val="28"/>
        </w:rPr>
      </w:pPr>
      <w:r w:rsidRPr="00037B09">
        <w:rPr>
          <w:sz w:val="28"/>
          <w:szCs w:val="28"/>
        </w:rPr>
        <w:t>We provided a draft of the Review</w:t>
      </w:r>
      <w:r w:rsidR="00AE3131" w:rsidRPr="00037B09">
        <w:rPr>
          <w:sz w:val="28"/>
          <w:szCs w:val="28"/>
        </w:rPr>
        <w:t xml:space="preserve"> for fact checking</w:t>
      </w:r>
      <w:r w:rsidRPr="00037B09">
        <w:rPr>
          <w:sz w:val="28"/>
          <w:szCs w:val="28"/>
        </w:rPr>
        <w:t xml:space="preserve"> to PM</w:t>
      </w:r>
      <w:r w:rsidR="00E64F84" w:rsidRPr="00037B09">
        <w:rPr>
          <w:sz w:val="28"/>
          <w:szCs w:val="28"/>
        </w:rPr>
        <w:t>&amp;C’s Cabinet Division</w:t>
      </w:r>
      <w:r w:rsidR="00AE3131" w:rsidRPr="00037B09">
        <w:rPr>
          <w:sz w:val="28"/>
          <w:szCs w:val="28"/>
        </w:rPr>
        <w:t xml:space="preserve"> and Records Management Unit</w:t>
      </w:r>
      <w:r w:rsidR="00E64F84" w:rsidRPr="00037B09">
        <w:rPr>
          <w:sz w:val="28"/>
          <w:szCs w:val="28"/>
        </w:rPr>
        <w:t xml:space="preserve">, the NAA </w:t>
      </w:r>
      <w:r w:rsidRPr="00037B09">
        <w:rPr>
          <w:sz w:val="28"/>
          <w:szCs w:val="28"/>
        </w:rPr>
        <w:t>and</w:t>
      </w:r>
      <w:r w:rsidR="00AE3131" w:rsidRPr="00037B09">
        <w:rPr>
          <w:sz w:val="28"/>
          <w:szCs w:val="28"/>
        </w:rPr>
        <w:t xml:space="preserve"> the Department of</w:t>
      </w:r>
      <w:r w:rsidRPr="00037B09">
        <w:rPr>
          <w:sz w:val="28"/>
          <w:szCs w:val="28"/>
        </w:rPr>
        <w:t xml:space="preserve"> Infrastructure,</w:t>
      </w:r>
      <w:r w:rsidR="00AE3131" w:rsidRPr="00037B09">
        <w:rPr>
          <w:sz w:val="28"/>
          <w:szCs w:val="28"/>
        </w:rPr>
        <w:t xml:space="preserve"> Transport, Regional Development, Communications and the Arts (responsible for the administration of the Archives Act)</w:t>
      </w:r>
      <w:r w:rsidRPr="00037B09">
        <w:rPr>
          <w:sz w:val="28"/>
          <w:szCs w:val="28"/>
        </w:rPr>
        <w:t xml:space="preserve"> for fact checking.</w:t>
      </w:r>
    </w:p>
    <w:p w14:paraId="232A0D86" w14:textId="090EB7A5" w:rsidR="00D161B8" w:rsidRPr="00037B09" w:rsidRDefault="00D161B8" w:rsidP="00D161B8">
      <w:pPr>
        <w:pStyle w:val="Heading2"/>
        <w:spacing w:line="360" w:lineRule="auto"/>
        <w:rPr>
          <w:sz w:val="32"/>
        </w:rPr>
      </w:pPr>
      <w:bookmarkStart w:id="110" w:name="_Toc157432117"/>
      <w:r>
        <w:rPr>
          <w:sz w:val="32"/>
        </w:rPr>
        <w:t>External advice</w:t>
      </w:r>
      <w:bookmarkEnd w:id="110"/>
    </w:p>
    <w:p w14:paraId="61977349" w14:textId="28C28A9A" w:rsidR="00D161B8" w:rsidRPr="00D161B8" w:rsidRDefault="00D161B8" w:rsidP="00771FA7">
      <w:pPr>
        <w:pStyle w:val="ListParagraph"/>
        <w:numPr>
          <w:ilvl w:val="0"/>
          <w:numId w:val="11"/>
        </w:numPr>
        <w:spacing w:line="360" w:lineRule="auto"/>
        <w:ind w:left="709" w:hanging="709"/>
        <w:contextualSpacing w:val="0"/>
        <w:rPr>
          <w:sz w:val="28"/>
          <w:szCs w:val="28"/>
        </w:rPr>
      </w:pPr>
      <w:r>
        <w:rPr>
          <w:sz w:val="28"/>
          <w:szCs w:val="28"/>
        </w:rPr>
        <w:t>The Review obtained legal advice from the Australian Government Solicitor on key matters considered by the Review.</w:t>
      </w:r>
    </w:p>
    <w:p w14:paraId="5C29E512" w14:textId="351F3D74" w:rsidR="00777CE7" w:rsidRPr="00F67917" w:rsidRDefault="00777CE7" w:rsidP="00BC2ABB">
      <w:pPr>
        <w:pStyle w:val="Heading2"/>
        <w:spacing w:line="360" w:lineRule="auto"/>
        <w:rPr>
          <w:sz w:val="32"/>
        </w:rPr>
      </w:pPr>
      <w:bookmarkStart w:id="111" w:name="_Toc155699045"/>
      <w:bookmarkStart w:id="112" w:name="_Toc155700987"/>
      <w:bookmarkStart w:id="113" w:name="_Toc155799966"/>
      <w:bookmarkStart w:id="114" w:name="_Toc155875113"/>
      <w:bookmarkStart w:id="115" w:name="_Toc156565974"/>
      <w:bookmarkStart w:id="116" w:name="_Toc157432118"/>
      <w:r w:rsidRPr="00F67917">
        <w:rPr>
          <w:sz w:val="32"/>
        </w:rPr>
        <w:lastRenderedPageBreak/>
        <w:t>Governance</w:t>
      </w:r>
      <w:bookmarkEnd w:id="111"/>
      <w:bookmarkEnd w:id="112"/>
      <w:bookmarkEnd w:id="113"/>
      <w:bookmarkEnd w:id="114"/>
      <w:bookmarkEnd w:id="115"/>
      <w:bookmarkEnd w:id="116"/>
    </w:p>
    <w:p w14:paraId="4E45BAE8" w14:textId="32A50F77" w:rsidR="00791BBB"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The</w:t>
      </w:r>
      <w:r w:rsidR="007056F2" w:rsidRPr="00BC2ABB">
        <w:rPr>
          <w:sz w:val="28"/>
          <w:szCs w:val="28"/>
        </w:rPr>
        <w:t xml:space="preserve"> Reviewer was appointed by the</w:t>
      </w:r>
      <w:r w:rsidRPr="00BC2ABB">
        <w:rPr>
          <w:sz w:val="28"/>
          <w:szCs w:val="28"/>
        </w:rPr>
        <w:t xml:space="preserve"> Secretary</w:t>
      </w:r>
      <w:r w:rsidR="007056F2" w:rsidRPr="00BC2ABB">
        <w:rPr>
          <w:sz w:val="28"/>
          <w:szCs w:val="28"/>
        </w:rPr>
        <w:t xml:space="preserve"> of PM&amp;C</w:t>
      </w:r>
      <w:r w:rsidRPr="00BC2ABB">
        <w:rPr>
          <w:sz w:val="28"/>
          <w:szCs w:val="28"/>
        </w:rPr>
        <w:t>. The independent Reviewer was supported by an acting S</w:t>
      </w:r>
      <w:r w:rsidR="00010D0B" w:rsidRPr="00BC2ABB">
        <w:rPr>
          <w:sz w:val="28"/>
          <w:szCs w:val="28"/>
        </w:rPr>
        <w:t xml:space="preserve">enior </w:t>
      </w:r>
      <w:r w:rsidRPr="00BC2ABB">
        <w:rPr>
          <w:sz w:val="28"/>
          <w:szCs w:val="28"/>
        </w:rPr>
        <w:t>E</w:t>
      </w:r>
      <w:r w:rsidR="00010D0B" w:rsidRPr="00BC2ABB">
        <w:rPr>
          <w:sz w:val="28"/>
          <w:szCs w:val="28"/>
        </w:rPr>
        <w:t xml:space="preserve">xecutive </w:t>
      </w:r>
      <w:r w:rsidRPr="00BC2ABB">
        <w:rPr>
          <w:sz w:val="28"/>
          <w:szCs w:val="28"/>
        </w:rPr>
        <w:t>S</w:t>
      </w:r>
      <w:r w:rsidR="00010D0B" w:rsidRPr="00BC2ABB">
        <w:rPr>
          <w:sz w:val="28"/>
          <w:szCs w:val="28"/>
        </w:rPr>
        <w:t>taff</w:t>
      </w:r>
      <w:r w:rsidRPr="00BC2ABB">
        <w:rPr>
          <w:sz w:val="28"/>
          <w:szCs w:val="28"/>
        </w:rPr>
        <w:t xml:space="preserve"> officer and </w:t>
      </w:r>
      <w:r w:rsidR="00010D0B" w:rsidRPr="00BC2ABB">
        <w:rPr>
          <w:sz w:val="28"/>
          <w:szCs w:val="28"/>
        </w:rPr>
        <w:t>an A</w:t>
      </w:r>
      <w:r w:rsidRPr="00BC2ABB">
        <w:rPr>
          <w:sz w:val="28"/>
          <w:szCs w:val="28"/>
        </w:rPr>
        <w:t>dviser from PM&amp;C.</w:t>
      </w:r>
    </w:p>
    <w:p w14:paraId="450EDDA7" w14:textId="77777777" w:rsidR="00AE3131" w:rsidRDefault="00AE3131" w:rsidP="00AE3131">
      <w:pPr>
        <w:spacing w:line="360" w:lineRule="auto"/>
      </w:pPr>
    </w:p>
    <w:p w14:paraId="2B67785E" w14:textId="77777777" w:rsidR="00AE3131" w:rsidRDefault="00AE3131">
      <w:pPr>
        <w:spacing w:after="200" w:line="288" w:lineRule="auto"/>
      </w:pPr>
      <w:r>
        <w:br w:type="page"/>
      </w:r>
    </w:p>
    <w:p w14:paraId="19F5D585" w14:textId="7AB37427" w:rsidR="001345A2" w:rsidRPr="00FA59B7" w:rsidRDefault="00683738" w:rsidP="00BC2ABB">
      <w:pPr>
        <w:pStyle w:val="Heading1"/>
        <w:spacing w:line="360" w:lineRule="auto"/>
        <w:rPr>
          <w:sz w:val="52"/>
        </w:rPr>
      </w:pPr>
      <w:bookmarkStart w:id="117" w:name="_Toc155699046"/>
      <w:bookmarkStart w:id="118" w:name="_Toc155700988"/>
      <w:bookmarkStart w:id="119" w:name="_Toc155799967"/>
      <w:bookmarkStart w:id="120" w:name="_Toc155875114"/>
      <w:bookmarkStart w:id="121" w:name="_Toc156565975"/>
      <w:bookmarkStart w:id="122" w:name="_Toc157432119"/>
      <w:r w:rsidRPr="00F67917">
        <w:rPr>
          <w:noProof/>
          <w:sz w:val="52"/>
        </w:rPr>
        <w:lastRenderedPageBreak/>
        <w:t>2</w:t>
      </w:r>
      <w:r w:rsidRPr="00FA59B7">
        <w:rPr>
          <w:noProof/>
          <w:sz w:val="52"/>
        </w:rPr>
        <w:t xml:space="preserve">. </w:t>
      </w:r>
      <w:bookmarkStart w:id="123" w:name="_Toc155699048"/>
      <w:bookmarkStart w:id="124" w:name="_Toc155700990"/>
      <w:bookmarkEnd w:id="117"/>
      <w:bookmarkEnd w:id="118"/>
      <w:r w:rsidR="001345A2" w:rsidRPr="00FA59B7">
        <w:rPr>
          <w:sz w:val="52"/>
        </w:rPr>
        <w:t>Allegations in the media</w:t>
      </w:r>
      <w:bookmarkEnd w:id="119"/>
      <w:bookmarkEnd w:id="120"/>
      <w:bookmarkEnd w:id="121"/>
      <w:bookmarkEnd w:id="122"/>
      <w:bookmarkEnd w:id="123"/>
      <w:bookmarkEnd w:id="124"/>
      <w:r w:rsidR="001345A2" w:rsidRPr="00FA59B7">
        <w:rPr>
          <w:sz w:val="52"/>
        </w:rPr>
        <w:t xml:space="preserve"> </w:t>
      </w:r>
    </w:p>
    <w:p w14:paraId="33E16AE0" w14:textId="5F4AE547" w:rsidR="00B634F8" w:rsidRPr="00686CCD" w:rsidRDefault="00FA59B7" w:rsidP="00771FA7">
      <w:pPr>
        <w:pStyle w:val="ListParagraph"/>
        <w:numPr>
          <w:ilvl w:val="0"/>
          <w:numId w:val="11"/>
        </w:numPr>
        <w:spacing w:line="360" w:lineRule="auto"/>
        <w:ind w:left="709" w:hanging="709"/>
        <w:contextualSpacing w:val="0"/>
        <w:rPr>
          <w:sz w:val="28"/>
          <w:szCs w:val="28"/>
        </w:rPr>
      </w:pPr>
      <w:r w:rsidRPr="00686CCD">
        <w:rPr>
          <w:sz w:val="28"/>
          <w:szCs w:val="28"/>
        </w:rPr>
        <w:t>On 1 January 2024,</w:t>
      </w:r>
      <w:r w:rsidR="00807530" w:rsidRPr="00686CCD">
        <w:rPr>
          <w:sz w:val="28"/>
          <w:szCs w:val="28"/>
        </w:rPr>
        <w:t xml:space="preserve"> </w:t>
      </w:r>
      <w:r w:rsidR="00B634F8" w:rsidRPr="00686CCD">
        <w:rPr>
          <w:i/>
          <w:sz w:val="28"/>
          <w:szCs w:val="28"/>
        </w:rPr>
        <w:t>The West Australian</w:t>
      </w:r>
      <w:r w:rsidR="00B634F8" w:rsidRPr="00686CCD">
        <w:rPr>
          <w:sz w:val="28"/>
          <w:szCs w:val="28"/>
        </w:rPr>
        <w:t xml:space="preserve"> </w:t>
      </w:r>
      <w:r w:rsidR="0012355D" w:rsidRPr="00686CCD">
        <w:rPr>
          <w:sz w:val="28"/>
          <w:szCs w:val="28"/>
        </w:rPr>
        <w:t xml:space="preserve">reported </w:t>
      </w:r>
      <w:r w:rsidRPr="00686CCD">
        <w:rPr>
          <w:sz w:val="28"/>
          <w:szCs w:val="28"/>
        </w:rPr>
        <w:t>that “the</w:t>
      </w:r>
      <w:r w:rsidR="0012355D" w:rsidRPr="00686CCD">
        <w:rPr>
          <w:sz w:val="28"/>
          <w:szCs w:val="28"/>
        </w:rPr>
        <w:t xml:space="preserve"> keeper of the nation’s memory [the NAA] </w:t>
      </w:r>
      <w:r w:rsidRPr="00686CCD">
        <w:rPr>
          <w:sz w:val="28"/>
          <w:szCs w:val="28"/>
        </w:rPr>
        <w:t>does not hold relevant submissions” relating to the decisions to send Australian troops into war in Iraq</w:t>
      </w:r>
      <w:r w:rsidR="00764E6E">
        <w:rPr>
          <w:sz w:val="28"/>
          <w:szCs w:val="28"/>
        </w:rPr>
        <w:t xml:space="preserve"> and could not release them alongside other Cabinet papers. </w:t>
      </w:r>
      <w:r w:rsidR="00764E6E">
        <w:rPr>
          <w:i/>
          <w:sz w:val="28"/>
          <w:szCs w:val="28"/>
        </w:rPr>
        <w:t xml:space="preserve">The West Australian </w:t>
      </w:r>
      <w:r w:rsidR="00764E6E">
        <w:rPr>
          <w:sz w:val="28"/>
          <w:szCs w:val="28"/>
        </w:rPr>
        <w:t>reported that it “established the NSC records were physically located within the Department of the Prime Minister and Cabinet, where they had been made available for viewing</w:t>
      </w:r>
      <w:r w:rsidR="003608F0">
        <w:rPr>
          <w:sz w:val="28"/>
          <w:szCs w:val="28"/>
        </w:rPr>
        <w:t>—</w:t>
      </w:r>
      <w:r w:rsidR="00764E6E">
        <w:rPr>
          <w:sz w:val="28"/>
          <w:szCs w:val="28"/>
        </w:rPr>
        <w:t>but not copying</w:t>
      </w:r>
      <w:r w:rsidR="003608F0">
        <w:rPr>
          <w:sz w:val="28"/>
          <w:szCs w:val="28"/>
        </w:rPr>
        <w:t>—</w:t>
      </w:r>
      <w:r w:rsidR="00764E6E">
        <w:rPr>
          <w:sz w:val="28"/>
          <w:szCs w:val="28"/>
        </w:rPr>
        <w:t>by the team working on the official histories of the Afghanistan and Iraq conflicts”.</w:t>
      </w:r>
      <w:r w:rsidR="00764E6E">
        <w:rPr>
          <w:rStyle w:val="FootnoteReference"/>
          <w:sz w:val="28"/>
          <w:szCs w:val="28"/>
        </w:rPr>
        <w:footnoteReference w:id="10"/>
      </w:r>
      <w:r w:rsidRPr="00686CCD">
        <w:rPr>
          <w:sz w:val="28"/>
          <w:szCs w:val="28"/>
        </w:rPr>
        <w:t xml:space="preserve"> </w:t>
      </w:r>
    </w:p>
    <w:p w14:paraId="57945AE6" w14:textId="173F32EA" w:rsidR="00791BBB" w:rsidRPr="00FA59B7" w:rsidRDefault="0012355D" w:rsidP="00771FA7">
      <w:pPr>
        <w:pStyle w:val="ListParagraph"/>
        <w:numPr>
          <w:ilvl w:val="0"/>
          <w:numId w:val="11"/>
        </w:numPr>
        <w:spacing w:line="360" w:lineRule="auto"/>
        <w:ind w:left="709" w:hanging="709"/>
        <w:contextualSpacing w:val="0"/>
        <w:rPr>
          <w:sz w:val="28"/>
          <w:szCs w:val="28"/>
        </w:rPr>
      </w:pPr>
      <w:r w:rsidRPr="00686CCD">
        <w:rPr>
          <w:sz w:val="28"/>
          <w:szCs w:val="28"/>
        </w:rPr>
        <w:t>Further, o</w:t>
      </w:r>
      <w:r w:rsidR="001345A2" w:rsidRPr="00FA59B7">
        <w:rPr>
          <w:sz w:val="28"/>
          <w:szCs w:val="28"/>
        </w:rPr>
        <w:t xml:space="preserve">n </w:t>
      </w:r>
      <w:r w:rsidR="00DB78DE" w:rsidRPr="00FA59B7">
        <w:rPr>
          <w:sz w:val="28"/>
          <w:szCs w:val="28"/>
        </w:rPr>
        <w:t xml:space="preserve">1 and </w:t>
      </w:r>
      <w:r w:rsidR="001345A2" w:rsidRPr="00FA59B7">
        <w:rPr>
          <w:sz w:val="28"/>
          <w:szCs w:val="28"/>
        </w:rPr>
        <w:t>2 January 202</w:t>
      </w:r>
      <w:r w:rsidR="00DB78DE" w:rsidRPr="00FA59B7">
        <w:rPr>
          <w:sz w:val="28"/>
          <w:szCs w:val="28"/>
        </w:rPr>
        <w:t>4</w:t>
      </w:r>
      <w:r w:rsidR="001345A2" w:rsidRPr="00FA59B7">
        <w:rPr>
          <w:sz w:val="28"/>
          <w:szCs w:val="28"/>
        </w:rPr>
        <w:t xml:space="preserve">, </w:t>
      </w:r>
      <w:r w:rsidR="00DB78DE" w:rsidRPr="00FA59B7">
        <w:rPr>
          <w:i/>
          <w:sz w:val="28"/>
          <w:szCs w:val="28"/>
        </w:rPr>
        <w:t xml:space="preserve">The Australian </w:t>
      </w:r>
      <w:r w:rsidR="00DB78DE" w:rsidRPr="00FA59B7">
        <w:rPr>
          <w:sz w:val="28"/>
          <w:szCs w:val="28"/>
        </w:rPr>
        <w:t>ran</w:t>
      </w:r>
      <w:r w:rsidR="000C7FC5" w:rsidRPr="00FA59B7">
        <w:rPr>
          <w:sz w:val="28"/>
          <w:szCs w:val="28"/>
        </w:rPr>
        <w:t xml:space="preserve"> a series</w:t>
      </w:r>
      <w:r w:rsidR="001345A2" w:rsidRPr="00FA59B7">
        <w:rPr>
          <w:sz w:val="28"/>
          <w:szCs w:val="28"/>
        </w:rPr>
        <w:t xml:space="preserve"> of </w:t>
      </w:r>
      <w:r w:rsidR="00AE3131" w:rsidRPr="00FA59B7">
        <w:rPr>
          <w:sz w:val="28"/>
          <w:szCs w:val="28"/>
        </w:rPr>
        <w:t>article</w:t>
      </w:r>
      <w:r w:rsidR="00A042B7" w:rsidRPr="00FA59B7">
        <w:rPr>
          <w:sz w:val="28"/>
          <w:szCs w:val="28"/>
        </w:rPr>
        <w:t>s</w:t>
      </w:r>
      <w:r w:rsidR="007056F2" w:rsidRPr="00FA59B7">
        <w:rPr>
          <w:sz w:val="28"/>
          <w:szCs w:val="28"/>
        </w:rPr>
        <w:t xml:space="preserve"> related to the transfer issue</w:t>
      </w:r>
      <w:r w:rsidR="001345A2" w:rsidRPr="00FA59B7">
        <w:rPr>
          <w:sz w:val="28"/>
          <w:szCs w:val="28"/>
        </w:rPr>
        <w:t xml:space="preserve"> alleg</w:t>
      </w:r>
      <w:r w:rsidR="00E60A83" w:rsidRPr="00FA59B7">
        <w:rPr>
          <w:sz w:val="28"/>
          <w:szCs w:val="28"/>
        </w:rPr>
        <w:t xml:space="preserve">ing </w:t>
      </w:r>
      <w:r w:rsidR="001345A2" w:rsidRPr="00FA59B7">
        <w:rPr>
          <w:sz w:val="28"/>
          <w:szCs w:val="28"/>
        </w:rPr>
        <w:t>that PM&amp;C’s failure to transfer the Cabinet records, and subsequent non-release of documents to the public, was due to</w:t>
      </w:r>
      <w:r w:rsidR="001D0B00" w:rsidRPr="00FA59B7">
        <w:rPr>
          <w:sz w:val="28"/>
          <w:szCs w:val="28"/>
        </w:rPr>
        <w:t xml:space="preserve"> “</w:t>
      </w:r>
      <w:r w:rsidR="001345A2" w:rsidRPr="00FA59B7">
        <w:rPr>
          <w:sz w:val="28"/>
          <w:szCs w:val="28"/>
        </w:rPr>
        <w:t>supreme incompetence</w:t>
      </w:r>
      <w:r w:rsidR="001D0B00" w:rsidRPr="00FA59B7">
        <w:rPr>
          <w:sz w:val="28"/>
          <w:szCs w:val="28"/>
        </w:rPr>
        <w:t xml:space="preserve"> by the lead government department or a deliberate cover-up”</w:t>
      </w:r>
      <w:r w:rsidR="001345A2" w:rsidRPr="00FA59B7">
        <w:rPr>
          <w:rStyle w:val="FootnoteReference"/>
          <w:sz w:val="28"/>
          <w:szCs w:val="28"/>
        </w:rPr>
        <w:footnoteReference w:id="11"/>
      </w:r>
      <w:r w:rsidR="001D0B00" w:rsidRPr="00FA59B7">
        <w:rPr>
          <w:sz w:val="28"/>
          <w:szCs w:val="28"/>
        </w:rPr>
        <w:t xml:space="preserve"> and “shows that the Albanese government was not paying attention”</w:t>
      </w:r>
      <w:r w:rsidR="001345A2" w:rsidRPr="00FA59B7">
        <w:rPr>
          <w:sz w:val="28"/>
          <w:szCs w:val="28"/>
        </w:rPr>
        <w:t>.</w:t>
      </w:r>
      <w:r w:rsidR="006530E0" w:rsidRPr="006530E0">
        <w:rPr>
          <w:rStyle w:val="FootnoteReference"/>
          <w:sz w:val="28"/>
          <w:szCs w:val="28"/>
        </w:rPr>
        <w:t xml:space="preserve"> </w:t>
      </w:r>
      <w:r w:rsidR="006530E0" w:rsidRPr="00FA59B7">
        <w:rPr>
          <w:rStyle w:val="FootnoteReference"/>
          <w:sz w:val="28"/>
          <w:szCs w:val="28"/>
        </w:rPr>
        <w:footnoteReference w:id="12"/>
      </w:r>
      <w:r w:rsidR="001345A2" w:rsidRPr="00FA59B7">
        <w:rPr>
          <w:sz w:val="28"/>
          <w:szCs w:val="28"/>
        </w:rPr>
        <w:t xml:space="preserve"> </w:t>
      </w:r>
    </w:p>
    <w:p w14:paraId="71701719" w14:textId="0A65BA72" w:rsidR="00791BBB" w:rsidRPr="001D0B00" w:rsidRDefault="00683738" w:rsidP="00BC2ABB">
      <w:pPr>
        <w:pStyle w:val="Heading1"/>
        <w:spacing w:line="360" w:lineRule="auto"/>
        <w:rPr>
          <w:sz w:val="52"/>
        </w:rPr>
      </w:pPr>
      <w:bookmarkStart w:id="125" w:name="_Toc155699049"/>
      <w:bookmarkStart w:id="126" w:name="_Toc155700991"/>
      <w:bookmarkStart w:id="127" w:name="_Toc155799968"/>
      <w:bookmarkStart w:id="128" w:name="_Toc155875115"/>
      <w:bookmarkStart w:id="129" w:name="_Toc156565976"/>
      <w:bookmarkStart w:id="130" w:name="_Toc157432120"/>
      <w:r w:rsidRPr="001D0B00">
        <w:rPr>
          <w:sz w:val="52"/>
        </w:rPr>
        <w:lastRenderedPageBreak/>
        <w:t xml:space="preserve">3. </w:t>
      </w:r>
      <w:r w:rsidR="00791BBB" w:rsidRPr="001D0B00">
        <w:rPr>
          <w:sz w:val="52"/>
        </w:rPr>
        <w:t>Legislative framework and Cabinet operations</w:t>
      </w:r>
      <w:bookmarkEnd w:id="125"/>
      <w:bookmarkEnd w:id="126"/>
      <w:bookmarkEnd w:id="127"/>
      <w:bookmarkEnd w:id="128"/>
      <w:bookmarkEnd w:id="129"/>
      <w:bookmarkEnd w:id="130"/>
    </w:p>
    <w:p w14:paraId="4EDF5E4C" w14:textId="2C18D507" w:rsidR="00C1761D" w:rsidRPr="00BC2ABB" w:rsidRDefault="00C1761D"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It is important to note that issues raised as part of the Review involve two distinct </w:t>
      </w:r>
      <w:r w:rsidR="00D814A2">
        <w:rPr>
          <w:sz w:val="28"/>
          <w:szCs w:val="28"/>
        </w:rPr>
        <w:t>matters</w:t>
      </w:r>
      <w:r w:rsidRPr="00BC2ABB">
        <w:rPr>
          <w:sz w:val="28"/>
          <w:szCs w:val="28"/>
        </w:rPr>
        <w:t xml:space="preserve">. The first relates to transfer of documents by PM&amp;C to the NAA under section 27 of the Archives Act. The second relates to the public release of Cabinet records by </w:t>
      </w:r>
      <w:r w:rsidR="000059C4">
        <w:rPr>
          <w:sz w:val="28"/>
          <w:szCs w:val="28"/>
        </w:rPr>
        <w:t xml:space="preserve">the </w:t>
      </w:r>
      <w:r w:rsidRPr="00BC2ABB">
        <w:rPr>
          <w:sz w:val="28"/>
          <w:szCs w:val="28"/>
        </w:rPr>
        <w:t xml:space="preserve">NAA as </w:t>
      </w:r>
      <w:r w:rsidR="00F67917" w:rsidRPr="00BC2ABB">
        <w:rPr>
          <w:sz w:val="28"/>
          <w:szCs w:val="28"/>
        </w:rPr>
        <w:t>set out in</w:t>
      </w:r>
      <w:r w:rsidRPr="00BC2ABB">
        <w:rPr>
          <w:sz w:val="28"/>
          <w:szCs w:val="28"/>
        </w:rPr>
        <w:t xml:space="preserve"> section 31 of the</w:t>
      </w:r>
      <w:r w:rsidR="00D814A2">
        <w:rPr>
          <w:sz w:val="28"/>
          <w:szCs w:val="28"/>
        </w:rPr>
        <w:t> </w:t>
      </w:r>
      <w:r w:rsidRPr="00BC2ABB">
        <w:rPr>
          <w:sz w:val="28"/>
          <w:szCs w:val="28"/>
        </w:rPr>
        <w:t>Archives Act.</w:t>
      </w:r>
    </w:p>
    <w:p w14:paraId="74330959" w14:textId="0586EF50" w:rsidR="00D410C7" w:rsidRPr="001D0B00" w:rsidRDefault="00791BBB" w:rsidP="00BC2ABB">
      <w:pPr>
        <w:pStyle w:val="Heading2"/>
        <w:spacing w:line="360" w:lineRule="auto"/>
        <w:rPr>
          <w:sz w:val="32"/>
        </w:rPr>
      </w:pPr>
      <w:bookmarkStart w:id="131" w:name="_Toc155699051"/>
      <w:bookmarkStart w:id="132" w:name="_Toc155700993"/>
      <w:bookmarkStart w:id="133" w:name="_Toc155799970"/>
      <w:bookmarkStart w:id="134" w:name="_Toc155875116"/>
      <w:bookmarkStart w:id="135" w:name="_Toc156565977"/>
      <w:bookmarkStart w:id="136" w:name="_Toc157432121"/>
      <w:r w:rsidRPr="001D0B00">
        <w:rPr>
          <w:sz w:val="32"/>
        </w:rPr>
        <w:t>Legislative framework</w:t>
      </w:r>
      <w:bookmarkEnd w:id="131"/>
      <w:bookmarkEnd w:id="132"/>
      <w:bookmarkEnd w:id="133"/>
      <w:bookmarkEnd w:id="134"/>
      <w:bookmarkEnd w:id="135"/>
      <w:bookmarkEnd w:id="136"/>
    </w:p>
    <w:p w14:paraId="64FA917E" w14:textId="77777777" w:rsidR="00791BBB" w:rsidRPr="00BC2ABB" w:rsidRDefault="00791BBB" w:rsidP="00BC2ABB">
      <w:pPr>
        <w:pStyle w:val="Heading3"/>
        <w:spacing w:line="360" w:lineRule="auto"/>
        <w:rPr>
          <w:b w:val="0"/>
          <w:sz w:val="28"/>
          <w:szCs w:val="28"/>
        </w:rPr>
      </w:pPr>
      <w:bookmarkStart w:id="137" w:name="_Toc155699052"/>
      <w:bookmarkStart w:id="138" w:name="_Toc155700994"/>
      <w:bookmarkStart w:id="139" w:name="_Toc155799971"/>
      <w:bookmarkStart w:id="140" w:name="_Toc155875117"/>
      <w:bookmarkStart w:id="141" w:name="_Toc156565978"/>
      <w:bookmarkStart w:id="142" w:name="_Toc157432122"/>
      <w:r w:rsidRPr="00BC2ABB">
        <w:rPr>
          <w:b w:val="0"/>
          <w:sz w:val="28"/>
          <w:szCs w:val="28"/>
        </w:rPr>
        <w:t>Transfer of Commonwealth records to the National Archives of Australia</w:t>
      </w:r>
      <w:bookmarkEnd w:id="137"/>
      <w:bookmarkEnd w:id="138"/>
      <w:bookmarkEnd w:id="139"/>
      <w:bookmarkEnd w:id="140"/>
      <w:bookmarkEnd w:id="141"/>
      <w:bookmarkEnd w:id="142"/>
    </w:p>
    <w:p w14:paraId="7BAC79D8" w14:textId="74340499" w:rsidR="00791BBB" w:rsidRPr="00BC2ABB" w:rsidRDefault="00683738" w:rsidP="00771FA7">
      <w:pPr>
        <w:pStyle w:val="ListParagraph"/>
        <w:numPr>
          <w:ilvl w:val="0"/>
          <w:numId w:val="11"/>
        </w:numPr>
        <w:spacing w:line="360" w:lineRule="auto"/>
        <w:ind w:left="709" w:hanging="709"/>
        <w:contextualSpacing w:val="0"/>
        <w:rPr>
          <w:sz w:val="28"/>
          <w:szCs w:val="28"/>
        </w:rPr>
      </w:pPr>
      <w:r w:rsidRPr="00BC2ABB">
        <w:rPr>
          <w:sz w:val="28"/>
          <w:szCs w:val="28"/>
        </w:rPr>
        <w:t>Section 27 of the Archives Act requires that t</w:t>
      </w:r>
      <w:r w:rsidR="00791BBB" w:rsidRPr="00BC2ABB">
        <w:rPr>
          <w:sz w:val="28"/>
          <w:szCs w:val="28"/>
        </w:rPr>
        <w:t xml:space="preserve">he person responsible for the custody of a Commonwealth record must transfer the record to the care of the </w:t>
      </w:r>
      <w:r w:rsidRPr="00BC2ABB">
        <w:rPr>
          <w:sz w:val="28"/>
          <w:szCs w:val="28"/>
        </w:rPr>
        <w:t>NAA</w:t>
      </w:r>
      <w:r w:rsidR="00791BBB" w:rsidRPr="00BC2ABB">
        <w:rPr>
          <w:sz w:val="28"/>
          <w:szCs w:val="28"/>
        </w:rPr>
        <w:t xml:space="preserve"> in accordance with arrangements approved by the NAA. </w:t>
      </w:r>
    </w:p>
    <w:p w14:paraId="22CB42F7" w14:textId="0B8279AB" w:rsidR="00791BBB" w:rsidRPr="00BC2ABB"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Successive versions of the Cabinet Handbook have provided that Cabinet records</w:t>
      </w:r>
      <w:r w:rsidR="00683738" w:rsidRPr="00BC2ABB">
        <w:rPr>
          <w:sz w:val="28"/>
          <w:szCs w:val="28"/>
        </w:rPr>
        <w:t xml:space="preserve"> </w:t>
      </w:r>
      <w:r w:rsidRPr="00BC2ABB">
        <w:rPr>
          <w:sz w:val="28"/>
          <w:szCs w:val="28"/>
        </w:rPr>
        <w:t xml:space="preserve">are held on behalf of the </w:t>
      </w:r>
      <w:r w:rsidR="00A33648">
        <w:rPr>
          <w:sz w:val="28"/>
          <w:szCs w:val="28"/>
        </w:rPr>
        <w:t xml:space="preserve">relevant </w:t>
      </w:r>
      <w:r w:rsidRPr="00BC2ABB">
        <w:rPr>
          <w:sz w:val="28"/>
          <w:szCs w:val="28"/>
        </w:rPr>
        <w:t xml:space="preserve">Government </w:t>
      </w:r>
      <w:r w:rsidR="00A33648">
        <w:rPr>
          <w:sz w:val="28"/>
          <w:szCs w:val="28"/>
        </w:rPr>
        <w:t>of th</w:t>
      </w:r>
      <w:r w:rsidR="006530E0">
        <w:rPr>
          <w:sz w:val="28"/>
          <w:szCs w:val="28"/>
        </w:rPr>
        <w:t>e</w:t>
      </w:r>
      <w:r w:rsidR="00A33648">
        <w:rPr>
          <w:sz w:val="28"/>
          <w:szCs w:val="28"/>
        </w:rPr>
        <w:t xml:space="preserve"> day </w:t>
      </w:r>
      <w:r w:rsidRPr="00BC2ABB">
        <w:rPr>
          <w:sz w:val="28"/>
          <w:szCs w:val="28"/>
        </w:rPr>
        <w:t>in the care and control of the Secretary of</w:t>
      </w:r>
      <w:r w:rsidR="00683738" w:rsidRPr="00BC2ABB">
        <w:rPr>
          <w:sz w:val="28"/>
          <w:szCs w:val="28"/>
        </w:rPr>
        <w:t xml:space="preserve"> PM&amp;C.</w:t>
      </w:r>
    </w:p>
    <w:p w14:paraId="6AD4BBFE" w14:textId="5B96687A" w:rsidR="00791BBB" w:rsidRPr="00BC2ABB" w:rsidRDefault="00791BBB" w:rsidP="00771FA7">
      <w:pPr>
        <w:pStyle w:val="ListParagraph"/>
        <w:keepNext/>
        <w:keepLines/>
        <w:numPr>
          <w:ilvl w:val="0"/>
          <w:numId w:val="11"/>
        </w:numPr>
        <w:spacing w:line="360" w:lineRule="auto"/>
        <w:ind w:left="709" w:hanging="709"/>
        <w:contextualSpacing w:val="0"/>
        <w:rPr>
          <w:sz w:val="28"/>
          <w:szCs w:val="28"/>
        </w:rPr>
      </w:pPr>
      <w:r w:rsidRPr="00BC2ABB">
        <w:rPr>
          <w:sz w:val="28"/>
          <w:szCs w:val="28"/>
        </w:rPr>
        <w:lastRenderedPageBreak/>
        <w:t xml:space="preserve">Section 27 of the </w:t>
      </w:r>
      <w:r w:rsidR="007056F2" w:rsidRPr="00BC2ABB">
        <w:rPr>
          <w:sz w:val="28"/>
          <w:szCs w:val="28"/>
        </w:rPr>
        <w:t xml:space="preserve">Archives </w:t>
      </w:r>
      <w:r w:rsidRPr="00BC2ABB">
        <w:rPr>
          <w:sz w:val="28"/>
          <w:szCs w:val="28"/>
        </w:rPr>
        <w:t>Act applies to Commonwealth records that are in the custody of a Commonwealth institution other than the NAA, and have been determined under section 3C of the Archives Act, to be part of archival resources of the Commonwealth. The records must be transferred:</w:t>
      </w:r>
    </w:p>
    <w:p w14:paraId="7E3CFD4D" w14:textId="0BF87051" w:rsidR="00791BBB" w:rsidRPr="00BC2ABB" w:rsidRDefault="00791BBB" w:rsidP="00771FA7">
      <w:pPr>
        <w:pStyle w:val="ListParagraph"/>
        <w:numPr>
          <w:ilvl w:val="0"/>
          <w:numId w:val="17"/>
        </w:numPr>
        <w:spacing w:line="360" w:lineRule="auto"/>
        <w:ind w:left="1134"/>
        <w:contextualSpacing w:val="0"/>
        <w:rPr>
          <w:sz w:val="28"/>
          <w:szCs w:val="28"/>
        </w:rPr>
      </w:pPr>
      <w:r w:rsidRPr="00BC2ABB">
        <w:rPr>
          <w:sz w:val="28"/>
          <w:szCs w:val="28"/>
        </w:rPr>
        <w:t>if the record ceases to be</w:t>
      </w:r>
      <w:r w:rsidR="00FC7905">
        <w:rPr>
          <w:sz w:val="28"/>
          <w:szCs w:val="28"/>
        </w:rPr>
        <w:t xml:space="preserve"> a current Commonwealth record</w:t>
      </w:r>
      <w:r w:rsidR="00557EEE" w:rsidRPr="00A33623">
        <w:rPr>
          <w:sz w:val="28"/>
          <w:szCs w:val="28"/>
        </w:rPr>
        <w:t>—</w:t>
      </w:r>
      <w:r w:rsidRPr="00BC2ABB">
        <w:rPr>
          <w:sz w:val="28"/>
          <w:szCs w:val="28"/>
        </w:rPr>
        <w:t>as</w:t>
      </w:r>
      <w:r w:rsidR="00FC7905">
        <w:rPr>
          <w:sz w:val="28"/>
          <w:szCs w:val="28"/>
        </w:rPr>
        <w:t xml:space="preserve"> </w:t>
      </w:r>
      <w:r w:rsidRPr="00BC2ABB">
        <w:rPr>
          <w:sz w:val="28"/>
          <w:szCs w:val="28"/>
        </w:rPr>
        <w:t xml:space="preserve">soon as practicable after this event; </w:t>
      </w:r>
      <w:r w:rsidR="00E60A83" w:rsidRPr="00BC2ABB">
        <w:rPr>
          <w:sz w:val="28"/>
          <w:szCs w:val="28"/>
        </w:rPr>
        <w:t xml:space="preserve">and </w:t>
      </w:r>
    </w:p>
    <w:p w14:paraId="04CE60E5" w14:textId="77777777" w:rsidR="00791BBB" w:rsidRPr="00BC2ABB" w:rsidRDefault="00791BBB" w:rsidP="00771FA7">
      <w:pPr>
        <w:pStyle w:val="ListParagraph"/>
        <w:numPr>
          <w:ilvl w:val="0"/>
          <w:numId w:val="17"/>
        </w:numPr>
        <w:spacing w:line="360" w:lineRule="auto"/>
        <w:ind w:left="1134"/>
        <w:contextualSpacing w:val="0"/>
        <w:rPr>
          <w:sz w:val="28"/>
          <w:szCs w:val="28"/>
        </w:rPr>
      </w:pPr>
      <w:r w:rsidRPr="00BC2ABB">
        <w:rPr>
          <w:sz w:val="28"/>
          <w:szCs w:val="28"/>
        </w:rPr>
        <w:t>in any other event, within 15 years of the record coming into existence.</w:t>
      </w:r>
    </w:p>
    <w:p w14:paraId="2A07F0DF" w14:textId="6B94D89D" w:rsidR="00F60D5C"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Section 3C of the </w:t>
      </w:r>
      <w:r w:rsidR="007056F2" w:rsidRPr="00BC2ABB">
        <w:rPr>
          <w:sz w:val="28"/>
          <w:szCs w:val="28"/>
        </w:rPr>
        <w:t xml:space="preserve">Archives </w:t>
      </w:r>
      <w:r w:rsidRPr="00BC2ABB">
        <w:rPr>
          <w:sz w:val="28"/>
          <w:szCs w:val="28"/>
        </w:rPr>
        <w:t>Act provides that the Director-General may, in writing, determine that a specified Commonwealth record or other material is part of the archival resources of the Commonwealth. A determination under this section may be set out in the same document as that which gives permission or approval to dispose o</w:t>
      </w:r>
      <w:r w:rsidR="00010663">
        <w:rPr>
          <w:sz w:val="28"/>
          <w:szCs w:val="28"/>
        </w:rPr>
        <w:t>f or</w:t>
      </w:r>
      <w:r w:rsidRPr="00BC2ABB">
        <w:rPr>
          <w:sz w:val="28"/>
          <w:szCs w:val="28"/>
        </w:rPr>
        <w:t xml:space="preserve"> destroy Commonwealth records as set out by section 24 of the </w:t>
      </w:r>
      <w:r w:rsidR="007056F2" w:rsidRPr="00BC2ABB">
        <w:rPr>
          <w:sz w:val="28"/>
          <w:szCs w:val="28"/>
        </w:rPr>
        <w:t xml:space="preserve">Archives </w:t>
      </w:r>
      <w:r w:rsidRPr="00BC2ABB">
        <w:rPr>
          <w:sz w:val="28"/>
          <w:szCs w:val="28"/>
        </w:rPr>
        <w:t>Act.</w:t>
      </w:r>
    </w:p>
    <w:p w14:paraId="3B6E26C1" w14:textId="4DF34B3E" w:rsidR="00791BBB" w:rsidRPr="00BC2ABB" w:rsidRDefault="00791BBB" w:rsidP="00BC2ABB">
      <w:pPr>
        <w:pStyle w:val="Heading3"/>
        <w:spacing w:line="360" w:lineRule="auto"/>
        <w:rPr>
          <w:b w:val="0"/>
          <w:sz w:val="28"/>
          <w:szCs w:val="28"/>
        </w:rPr>
      </w:pPr>
      <w:bookmarkStart w:id="143" w:name="_Toc155699053"/>
      <w:bookmarkStart w:id="144" w:name="_Toc155700995"/>
      <w:bookmarkStart w:id="145" w:name="_Toc155799972"/>
      <w:bookmarkStart w:id="146" w:name="_Toc155875118"/>
      <w:bookmarkStart w:id="147" w:name="_Toc156565979"/>
      <w:bookmarkStart w:id="148" w:name="_Toc157432123"/>
      <w:r w:rsidRPr="00BC2ABB">
        <w:rPr>
          <w:b w:val="0"/>
          <w:sz w:val="28"/>
          <w:szCs w:val="28"/>
        </w:rPr>
        <w:t>Records Disposal Schedule No. S.492</w:t>
      </w:r>
      <w:bookmarkEnd w:id="143"/>
      <w:bookmarkEnd w:id="144"/>
      <w:bookmarkEnd w:id="145"/>
      <w:bookmarkEnd w:id="146"/>
      <w:bookmarkEnd w:id="147"/>
      <w:bookmarkEnd w:id="148"/>
    </w:p>
    <w:p w14:paraId="29EA167F" w14:textId="5823B65E" w:rsidR="00683738" w:rsidRPr="00BC2ABB"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On 2 February 1988, the Acting Director-General of the NAA issued Records Disposal Schedule No. S.492 (the Schedule). The Schedule, issued with agreement of</w:t>
      </w:r>
      <w:r w:rsidRPr="00BC2ABB" w:rsidDel="00A042B7">
        <w:rPr>
          <w:sz w:val="28"/>
          <w:szCs w:val="28"/>
        </w:rPr>
        <w:t xml:space="preserve"> </w:t>
      </w:r>
      <w:r w:rsidRPr="00BC2ABB">
        <w:rPr>
          <w:sz w:val="28"/>
          <w:szCs w:val="28"/>
        </w:rPr>
        <w:t>PM&amp;C, authorises the disposal of records controlled by the Cabinet Office (now Cab</w:t>
      </w:r>
      <w:r w:rsidR="00683738" w:rsidRPr="00BC2ABB">
        <w:rPr>
          <w:sz w:val="28"/>
          <w:szCs w:val="28"/>
        </w:rPr>
        <w:t xml:space="preserve">inet Division). </w:t>
      </w:r>
      <w:r w:rsidR="00101E1B" w:rsidRPr="00BC2ABB">
        <w:rPr>
          <w:sz w:val="28"/>
          <w:szCs w:val="28"/>
        </w:rPr>
        <w:t xml:space="preserve">The Review </w:t>
      </w:r>
      <w:r w:rsidR="00D814A2">
        <w:rPr>
          <w:sz w:val="28"/>
          <w:szCs w:val="28"/>
        </w:rPr>
        <w:t>was advised that</w:t>
      </w:r>
      <w:r w:rsidR="00010663">
        <w:rPr>
          <w:sz w:val="28"/>
          <w:szCs w:val="28"/>
        </w:rPr>
        <w:t xml:space="preserve"> in practice</w:t>
      </w:r>
      <w:r w:rsidR="00101E1B" w:rsidRPr="00BC2ABB">
        <w:rPr>
          <w:sz w:val="28"/>
          <w:szCs w:val="28"/>
        </w:rPr>
        <w:t xml:space="preserve"> t</w:t>
      </w:r>
      <w:r w:rsidR="00683738" w:rsidRPr="00BC2ABB">
        <w:rPr>
          <w:sz w:val="28"/>
          <w:szCs w:val="28"/>
        </w:rPr>
        <w:t>he Schedule required PM&amp;C to treat records in the following way:</w:t>
      </w:r>
    </w:p>
    <w:p w14:paraId="010E05F3" w14:textId="7415B7C8" w:rsidR="00683738" w:rsidRPr="00BC2ABB" w:rsidRDefault="004760C6" w:rsidP="00771FA7">
      <w:pPr>
        <w:pStyle w:val="ListParagraph"/>
        <w:numPr>
          <w:ilvl w:val="0"/>
          <w:numId w:val="18"/>
        </w:numPr>
        <w:spacing w:line="360" w:lineRule="auto"/>
        <w:ind w:left="1134"/>
        <w:contextualSpacing w:val="0"/>
        <w:rPr>
          <w:sz w:val="28"/>
          <w:szCs w:val="28"/>
        </w:rPr>
      </w:pPr>
      <w:r>
        <w:rPr>
          <w:sz w:val="28"/>
          <w:szCs w:val="28"/>
        </w:rPr>
        <w:lastRenderedPageBreak/>
        <w:t>c</w:t>
      </w:r>
      <w:r w:rsidR="00683738" w:rsidRPr="00BC2ABB">
        <w:rPr>
          <w:sz w:val="28"/>
          <w:szCs w:val="28"/>
        </w:rPr>
        <w:t>abinet records, original agenda, background papers, decisions, memoranda, minutes and submissions</w:t>
      </w:r>
      <w:r w:rsidR="00010663">
        <w:rPr>
          <w:sz w:val="28"/>
          <w:szCs w:val="28"/>
        </w:rPr>
        <w:t xml:space="preserve"> and reference copy for public access</w:t>
      </w:r>
      <w:r w:rsidR="00557EEE" w:rsidRPr="00A33623">
        <w:rPr>
          <w:sz w:val="28"/>
          <w:szCs w:val="28"/>
        </w:rPr>
        <w:t>—</w:t>
      </w:r>
      <w:r w:rsidR="00683738" w:rsidRPr="00BC2ABB">
        <w:rPr>
          <w:sz w:val="28"/>
          <w:szCs w:val="28"/>
        </w:rPr>
        <w:t xml:space="preserve">retain permanently and transfer </w:t>
      </w:r>
      <w:r w:rsidR="00010663">
        <w:rPr>
          <w:sz w:val="28"/>
          <w:szCs w:val="28"/>
        </w:rPr>
        <w:t>no later than when required for the NAA’s annual Cabinet release project</w:t>
      </w:r>
      <w:r>
        <w:rPr>
          <w:sz w:val="28"/>
          <w:szCs w:val="28"/>
        </w:rPr>
        <w:t xml:space="preserve">; and </w:t>
      </w:r>
    </w:p>
    <w:p w14:paraId="07B42526" w14:textId="2A5F3E36" w:rsidR="00683738" w:rsidRPr="00BC2ABB" w:rsidRDefault="004760C6" w:rsidP="00771FA7">
      <w:pPr>
        <w:pStyle w:val="ListParagraph"/>
        <w:numPr>
          <w:ilvl w:val="0"/>
          <w:numId w:val="18"/>
        </w:numPr>
        <w:spacing w:line="360" w:lineRule="auto"/>
        <w:ind w:left="1134"/>
        <w:contextualSpacing w:val="0"/>
        <w:rPr>
          <w:sz w:val="28"/>
          <w:szCs w:val="28"/>
        </w:rPr>
      </w:pPr>
      <w:r>
        <w:rPr>
          <w:sz w:val="28"/>
          <w:szCs w:val="28"/>
        </w:rPr>
        <w:t>d</w:t>
      </w:r>
      <w:r w:rsidR="00683738" w:rsidRPr="00BC2ABB">
        <w:rPr>
          <w:sz w:val="28"/>
          <w:szCs w:val="28"/>
        </w:rPr>
        <w:t xml:space="preserve">raft Cabinet document </w:t>
      </w:r>
      <w:r w:rsidR="002D2132">
        <w:rPr>
          <w:sz w:val="28"/>
          <w:szCs w:val="28"/>
        </w:rPr>
        <w:t>records</w:t>
      </w:r>
      <w:r w:rsidR="00683738" w:rsidRPr="00BC2ABB">
        <w:rPr>
          <w:sz w:val="28"/>
          <w:szCs w:val="28"/>
        </w:rPr>
        <w:t xml:space="preserve"> (containing draft submission and memoranda for coordination comment)</w:t>
      </w:r>
      <w:r w:rsidR="00557EEE" w:rsidRPr="00A33623">
        <w:rPr>
          <w:sz w:val="28"/>
          <w:szCs w:val="28"/>
        </w:rPr>
        <w:t>—</w:t>
      </w:r>
      <w:r w:rsidR="00683738" w:rsidRPr="00BC2ABB">
        <w:rPr>
          <w:sz w:val="28"/>
          <w:szCs w:val="28"/>
        </w:rPr>
        <w:t>destroy</w:t>
      </w:r>
      <w:r w:rsidR="00FC7905">
        <w:rPr>
          <w:sz w:val="28"/>
          <w:szCs w:val="28"/>
        </w:rPr>
        <w:t xml:space="preserve"> </w:t>
      </w:r>
      <w:r>
        <w:rPr>
          <w:sz w:val="28"/>
          <w:szCs w:val="28"/>
        </w:rPr>
        <w:t>six</w:t>
      </w:r>
      <w:r w:rsidR="00FC7905">
        <w:rPr>
          <w:sz w:val="28"/>
          <w:szCs w:val="28"/>
        </w:rPr>
        <w:t xml:space="preserve"> months after Cabinet d</w:t>
      </w:r>
      <w:r w:rsidR="00683738" w:rsidRPr="00BC2ABB">
        <w:rPr>
          <w:sz w:val="28"/>
          <w:szCs w:val="28"/>
        </w:rPr>
        <w:t>ecision is taken</w:t>
      </w:r>
      <w:r w:rsidR="00FC7905">
        <w:rPr>
          <w:sz w:val="28"/>
          <w:szCs w:val="28"/>
        </w:rPr>
        <w:t>,</w:t>
      </w:r>
      <w:r w:rsidR="00486E61" w:rsidRPr="00686CCD">
        <w:rPr>
          <w:sz w:val="28"/>
          <w:szCs w:val="28"/>
        </w:rPr>
        <w:t xml:space="preserve"> provided that all </w:t>
      </w:r>
      <w:r w:rsidR="002F4936" w:rsidRPr="00686CCD">
        <w:rPr>
          <w:sz w:val="28"/>
          <w:szCs w:val="28"/>
        </w:rPr>
        <w:t xml:space="preserve">papers contained in these </w:t>
      </w:r>
      <w:r w:rsidR="002D2132">
        <w:rPr>
          <w:sz w:val="28"/>
          <w:szCs w:val="28"/>
        </w:rPr>
        <w:t>records</w:t>
      </w:r>
      <w:r w:rsidR="002F4936" w:rsidRPr="00686CCD">
        <w:rPr>
          <w:sz w:val="28"/>
          <w:szCs w:val="28"/>
        </w:rPr>
        <w:t xml:space="preserve"> which show any important aspects in the development of a submission have been removed to Cabinet </w:t>
      </w:r>
      <w:r w:rsidR="002D2132">
        <w:rPr>
          <w:sz w:val="28"/>
          <w:szCs w:val="28"/>
        </w:rPr>
        <w:t>records</w:t>
      </w:r>
      <w:r w:rsidR="002F4936" w:rsidRPr="00686CCD">
        <w:rPr>
          <w:sz w:val="28"/>
          <w:szCs w:val="28"/>
        </w:rPr>
        <w:t xml:space="preserve"> containing the final submission</w:t>
      </w:r>
      <w:r w:rsidR="002F4936">
        <w:rPr>
          <w:sz w:val="28"/>
          <w:szCs w:val="28"/>
        </w:rPr>
        <w:t>.</w:t>
      </w:r>
    </w:p>
    <w:p w14:paraId="4564EAC8" w14:textId="3C7A09DB" w:rsidR="00791BBB" w:rsidRDefault="00010663" w:rsidP="00771FA7">
      <w:pPr>
        <w:pStyle w:val="ListParagraph"/>
        <w:numPr>
          <w:ilvl w:val="0"/>
          <w:numId w:val="11"/>
        </w:numPr>
        <w:spacing w:line="360" w:lineRule="auto"/>
        <w:ind w:left="709" w:hanging="709"/>
        <w:contextualSpacing w:val="0"/>
        <w:rPr>
          <w:sz w:val="28"/>
          <w:szCs w:val="28"/>
        </w:rPr>
      </w:pPr>
      <w:r>
        <w:rPr>
          <w:sz w:val="28"/>
          <w:szCs w:val="28"/>
        </w:rPr>
        <w:t xml:space="preserve">The Schedule is expressed to remain operative for 10 years or until amended, cancelled or superseded. The Review was advised that the NAA has sought to update records authorities with PM&amp;C on a number of occasions – 1998/1999, 2001/2002, 2009/2010, 2011/2012 and 2016/2017. However, the Schedule has not been replaced and the NAA and PM&amp;C proceed on the basis that it remains operative. On this basis, </w:t>
      </w:r>
      <w:r w:rsidR="00683738" w:rsidRPr="00BC2ABB">
        <w:rPr>
          <w:sz w:val="28"/>
          <w:szCs w:val="28"/>
        </w:rPr>
        <w:t>the NAA has been managing the periodic transfer of Cabinet records as part of the archival resources of the Commonwealth as an exception, nominated within the National Transfer Policy</w:t>
      </w:r>
      <w:r w:rsidR="00FB7E18">
        <w:rPr>
          <w:sz w:val="28"/>
          <w:szCs w:val="28"/>
        </w:rPr>
        <w:t>.</w:t>
      </w:r>
      <w:r w:rsidR="00D814A2">
        <w:rPr>
          <w:sz w:val="28"/>
          <w:szCs w:val="28"/>
        </w:rPr>
        <w:t xml:space="preserve"> </w:t>
      </w:r>
    </w:p>
    <w:p w14:paraId="22C869E2" w14:textId="0E4EE37F" w:rsidR="00D57B06" w:rsidRPr="00686CCD" w:rsidRDefault="00D57B06" w:rsidP="00686CCD">
      <w:pPr>
        <w:pStyle w:val="Heading3"/>
        <w:spacing w:line="360" w:lineRule="auto"/>
        <w:rPr>
          <w:sz w:val="28"/>
          <w:szCs w:val="28"/>
        </w:rPr>
      </w:pPr>
      <w:bookmarkStart w:id="149" w:name="_Toc157432124"/>
      <w:r w:rsidRPr="00686CCD">
        <w:rPr>
          <w:b w:val="0"/>
          <w:sz w:val="28"/>
          <w:szCs w:val="28"/>
        </w:rPr>
        <w:t>Application of the transfer obligations of Cabinet records</w:t>
      </w:r>
      <w:bookmarkEnd w:id="149"/>
      <w:r w:rsidRPr="00686CCD">
        <w:rPr>
          <w:b w:val="0"/>
          <w:sz w:val="28"/>
          <w:szCs w:val="28"/>
        </w:rPr>
        <w:t xml:space="preserve"> </w:t>
      </w:r>
    </w:p>
    <w:p w14:paraId="753DEFF8" w14:textId="792C1AE3" w:rsidR="00B87F8A" w:rsidRDefault="008F003E" w:rsidP="00771FA7">
      <w:pPr>
        <w:pStyle w:val="ListParagraph"/>
        <w:numPr>
          <w:ilvl w:val="0"/>
          <w:numId w:val="11"/>
        </w:numPr>
        <w:spacing w:line="360" w:lineRule="auto"/>
        <w:ind w:left="709" w:hanging="709"/>
        <w:contextualSpacing w:val="0"/>
        <w:rPr>
          <w:sz w:val="28"/>
          <w:szCs w:val="28"/>
        </w:rPr>
      </w:pPr>
      <w:r>
        <w:rPr>
          <w:sz w:val="28"/>
          <w:szCs w:val="28"/>
        </w:rPr>
        <w:t>The Review notes that while PM&amp;C and the NAA have acted in accordance with the Schedule,</w:t>
      </w:r>
      <w:r w:rsidR="00B87F8A">
        <w:rPr>
          <w:sz w:val="28"/>
          <w:szCs w:val="28"/>
        </w:rPr>
        <w:t xml:space="preserve"> </w:t>
      </w:r>
      <w:r w:rsidR="00010663">
        <w:rPr>
          <w:sz w:val="28"/>
          <w:szCs w:val="28"/>
        </w:rPr>
        <w:t xml:space="preserve">Cabinet records have not </w:t>
      </w:r>
      <w:r w:rsidR="00AB0C77">
        <w:rPr>
          <w:sz w:val="28"/>
          <w:szCs w:val="28"/>
        </w:rPr>
        <w:t xml:space="preserve">technically </w:t>
      </w:r>
      <w:r w:rsidR="00010663">
        <w:rPr>
          <w:sz w:val="28"/>
          <w:szCs w:val="28"/>
        </w:rPr>
        <w:t xml:space="preserve">been </w:t>
      </w:r>
      <w:r w:rsidR="00010663">
        <w:rPr>
          <w:sz w:val="28"/>
          <w:szCs w:val="28"/>
        </w:rPr>
        <w:lastRenderedPageBreak/>
        <w:t xml:space="preserve">determined to be part of the archival resources of the Commonwealth under section 3C of the Archives Act. Amendments to the Archives Act, under </w:t>
      </w:r>
      <w:r w:rsidR="00B87F8A">
        <w:rPr>
          <w:sz w:val="28"/>
          <w:szCs w:val="28"/>
        </w:rPr>
        <w:t xml:space="preserve">the </w:t>
      </w:r>
      <w:r w:rsidR="00B87F8A">
        <w:rPr>
          <w:i/>
          <w:sz w:val="28"/>
          <w:szCs w:val="28"/>
        </w:rPr>
        <w:t xml:space="preserve">Archives Amendment Act 2008, </w:t>
      </w:r>
      <w:r w:rsidR="00010663">
        <w:rPr>
          <w:sz w:val="28"/>
          <w:szCs w:val="28"/>
        </w:rPr>
        <w:t>introduced a mechanism for the Director-General to make a determination</w:t>
      </w:r>
      <w:r w:rsidR="006F1E90">
        <w:rPr>
          <w:sz w:val="28"/>
          <w:szCs w:val="28"/>
        </w:rPr>
        <w:t xml:space="preserve"> for the purposes of section 3C</w:t>
      </w:r>
      <w:r w:rsidR="00010663">
        <w:rPr>
          <w:sz w:val="28"/>
          <w:szCs w:val="28"/>
        </w:rPr>
        <w:t xml:space="preserve"> that Commonwealth records of national significance or public interest form part of the archival resources of the</w:t>
      </w:r>
      <w:r w:rsidR="006F1E90">
        <w:rPr>
          <w:sz w:val="28"/>
          <w:szCs w:val="28"/>
        </w:rPr>
        <w:t xml:space="preserve"> Commonwealth and so (subject to any exceptions) are required to be transferred to the NAA. </w:t>
      </w:r>
      <w:r w:rsidR="00010663">
        <w:rPr>
          <w:sz w:val="28"/>
          <w:szCs w:val="28"/>
        </w:rPr>
        <w:t xml:space="preserve"> </w:t>
      </w:r>
    </w:p>
    <w:p w14:paraId="0BC3E454" w14:textId="6140C59A" w:rsidR="00B87F8A" w:rsidRDefault="00010663" w:rsidP="00771FA7">
      <w:pPr>
        <w:pStyle w:val="ListParagraph"/>
        <w:numPr>
          <w:ilvl w:val="0"/>
          <w:numId w:val="11"/>
        </w:numPr>
        <w:spacing w:line="360" w:lineRule="auto"/>
        <w:ind w:left="709" w:hanging="709"/>
        <w:contextualSpacing w:val="0"/>
        <w:rPr>
          <w:sz w:val="28"/>
          <w:szCs w:val="28"/>
        </w:rPr>
      </w:pPr>
      <w:r>
        <w:rPr>
          <w:sz w:val="28"/>
          <w:szCs w:val="28"/>
        </w:rPr>
        <w:t>No section 3C determination has been made, or has been deemed to have been made,</w:t>
      </w:r>
      <w:r w:rsidR="00B87F8A">
        <w:rPr>
          <w:sz w:val="28"/>
          <w:szCs w:val="28"/>
        </w:rPr>
        <w:t xml:space="preserve"> by the Director-General with respect to Cabinet records</w:t>
      </w:r>
      <w:r w:rsidR="007E3E8F">
        <w:rPr>
          <w:sz w:val="28"/>
          <w:szCs w:val="28"/>
        </w:rPr>
        <w:t>.</w:t>
      </w:r>
      <w:r w:rsidR="00B87F8A">
        <w:rPr>
          <w:sz w:val="28"/>
          <w:szCs w:val="28"/>
        </w:rPr>
        <w:t xml:space="preserve"> As a result, Cabinet records are not presently</w:t>
      </w:r>
      <w:r w:rsidR="00AB0C77">
        <w:rPr>
          <w:sz w:val="28"/>
          <w:szCs w:val="28"/>
        </w:rPr>
        <w:t xml:space="preserve"> technically</w:t>
      </w:r>
      <w:r w:rsidR="00B87F8A">
        <w:rPr>
          <w:sz w:val="28"/>
          <w:szCs w:val="28"/>
        </w:rPr>
        <w:t xml:space="preserve"> subject to the transfer requirements under section 27 of the Archives Act.</w:t>
      </w:r>
    </w:p>
    <w:p w14:paraId="7D95DB18" w14:textId="1218A451" w:rsidR="00744E23" w:rsidRDefault="00B87F8A" w:rsidP="00771FA7">
      <w:pPr>
        <w:pStyle w:val="ListParagraph"/>
        <w:numPr>
          <w:ilvl w:val="0"/>
          <w:numId w:val="11"/>
        </w:numPr>
        <w:spacing w:line="360" w:lineRule="auto"/>
        <w:ind w:left="709" w:hanging="709"/>
        <w:contextualSpacing w:val="0"/>
        <w:rPr>
          <w:sz w:val="28"/>
          <w:szCs w:val="28"/>
        </w:rPr>
      </w:pPr>
      <w:r>
        <w:rPr>
          <w:sz w:val="28"/>
          <w:szCs w:val="28"/>
        </w:rPr>
        <w:t>T</w:t>
      </w:r>
      <w:r w:rsidR="00744E23">
        <w:rPr>
          <w:sz w:val="28"/>
          <w:szCs w:val="28"/>
        </w:rPr>
        <w:t xml:space="preserve">o support future transfer processes, </w:t>
      </w:r>
      <w:r>
        <w:rPr>
          <w:sz w:val="28"/>
          <w:szCs w:val="28"/>
        </w:rPr>
        <w:t>the Review was advised that</w:t>
      </w:r>
      <w:r w:rsidR="005D199E">
        <w:rPr>
          <w:sz w:val="28"/>
          <w:szCs w:val="28"/>
        </w:rPr>
        <w:t>, since 2020</w:t>
      </w:r>
      <w:r>
        <w:rPr>
          <w:sz w:val="28"/>
          <w:szCs w:val="28"/>
        </w:rPr>
        <w:t xml:space="preserve"> </w:t>
      </w:r>
      <w:r w:rsidR="00744E23">
        <w:rPr>
          <w:sz w:val="28"/>
          <w:szCs w:val="28"/>
        </w:rPr>
        <w:t xml:space="preserve">the NAA and PM&amp;C </w:t>
      </w:r>
      <w:r w:rsidR="005D199E">
        <w:rPr>
          <w:sz w:val="28"/>
          <w:szCs w:val="28"/>
        </w:rPr>
        <w:t>have been developing a new records authority that will establish a section 3C</w:t>
      </w:r>
      <w:r w:rsidR="00744E23">
        <w:rPr>
          <w:sz w:val="28"/>
          <w:szCs w:val="28"/>
        </w:rPr>
        <w:t xml:space="preserve"> determination</w:t>
      </w:r>
      <w:r w:rsidR="005D199E">
        <w:rPr>
          <w:sz w:val="28"/>
          <w:szCs w:val="28"/>
        </w:rPr>
        <w:t>, clarifying that</w:t>
      </w:r>
      <w:r w:rsidR="00744E23">
        <w:rPr>
          <w:sz w:val="28"/>
          <w:szCs w:val="28"/>
        </w:rPr>
        <w:t xml:space="preserve"> Cabinet records </w:t>
      </w:r>
      <w:r w:rsidR="007E3E8F">
        <w:rPr>
          <w:sz w:val="28"/>
          <w:szCs w:val="28"/>
        </w:rPr>
        <w:t xml:space="preserve">are subject to transfer requirements under the Archives Act as part of the </w:t>
      </w:r>
      <w:r w:rsidR="00744E23">
        <w:rPr>
          <w:sz w:val="28"/>
          <w:szCs w:val="28"/>
        </w:rPr>
        <w:t>archival resources of the Commonwealth.</w:t>
      </w:r>
    </w:p>
    <w:p w14:paraId="566477CA" w14:textId="7266270B" w:rsidR="00AB0C77" w:rsidRDefault="00AB0C77" w:rsidP="00771FA7">
      <w:pPr>
        <w:pStyle w:val="ListParagraph"/>
        <w:numPr>
          <w:ilvl w:val="0"/>
          <w:numId w:val="11"/>
        </w:numPr>
        <w:spacing w:line="360" w:lineRule="auto"/>
        <w:ind w:left="709" w:hanging="709"/>
        <w:contextualSpacing w:val="0"/>
        <w:rPr>
          <w:sz w:val="28"/>
          <w:szCs w:val="28"/>
        </w:rPr>
      </w:pPr>
      <w:r>
        <w:rPr>
          <w:sz w:val="28"/>
          <w:szCs w:val="28"/>
        </w:rPr>
        <w:t>The Review considers that the new records authority should be completed as a matter of urgency, as it was, and is</w:t>
      </w:r>
      <w:r w:rsidR="00FF5818">
        <w:rPr>
          <w:sz w:val="28"/>
          <w:szCs w:val="28"/>
        </w:rPr>
        <w:t>,</w:t>
      </w:r>
      <w:r>
        <w:rPr>
          <w:sz w:val="28"/>
          <w:szCs w:val="28"/>
        </w:rPr>
        <w:t xml:space="preserve"> self-evident that Cabinet records, which are at the heart of the </w:t>
      </w:r>
      <w:r w:rsidR="00BE3109">
        <w:rPr>
          <w:sz w:val="28"/>
          <w:szCs w:val="28"/>
        </w:rPr>
        <w:t xml:space="preserve">nation’s </w:t>
      </w:r>
      <w:r>
        <w:rPr>
          <w:sz w:val="28"/>
          <w:szCs w:val="28"/>
        </w:rPr>
        <w:t>historical record, are ‘part of the archival resources of the Commo</w:t>
      </w:r>
      <w:r w:rsidR="00B80C39">
        <w:rPr>
          <w:sz w:val="28"/>
          <w:szCs w:val="28"/>
        </w:rPr>
        <w:t>n</w:t>
      </w:r>
      <w:r>
        <w:rPr>
          <w:sz w:val="28"/>
          <w:szCs w:val="28"/>
        </w:rPr>
        <w:t>wealth’.</w:t>
      </w:r>
      <w:r w:rsidR="00B80C39">
        <w:rPr>
          <w:rStyle w:val="FootnoteReference"/>
          <w:sz w:val="28"/>
          <w:szCs w:val="28"/>
        </w:rPr>
        <w:footnoteReference w:id="13"/>
      </w:r>
    </w:p>
    <w:p w14:paraId="4B8FDE9C" w14:textId="77777777" w:rsidR="00791BBB" w:rsidRPr="00BC2ABB" w:rsidRDefault="00791BBB" w:rsidP="00BC2ABB">
      <w:pPr>
        <w:pStyle w:val="Heading3"/>
        <w:spacing w:line="360" w:lineRule="auto"/>
        <w:rPr>
          <w:b w:val="0"/>
          <w:sz w:val="28"/>
          <w:szCs w:val="28"/>
        </w:rPr>
      </w:pPr>
      <w:bookmarkStart w:id="150" w:name="_Toc155699054"/>
      <w:bookmarkStart w:id="151" w:name="_Toc155700996"/>
      <w:bookmarkStart w:id="152" w:name="_Toc155799973"/>
      <w:bookmarkStart w:id="153" w:name="_Toc155875119"/>
      <w:bookmarkStart w:id="154" w:name="_Toc156565980"/>
      <w:bookmarkStart w:id="155" w:name="_Toc157432125"/>
      <w:r w:rsidRPr="00BC2ABB">
        <w:rPr>
          <w:b w:val="0"/>
          <w:sz w:val="28"/>
          <w:szCs w:val="28"/>
        </w:rPr>
        <w:lastRenderedPageBreak/>
        <w:t>Exemptions to transfer</w:t>
      </w:r>
      <w:bookmarkEnd w:id="150"/>
      <w:bookmarkEnd w:id="151"/>
      <w:bookmarkEnd w:id="152"/>
      <w:bookmarkEnd w:id="153"/>
      <w:bookmarkEnd w:id="154"/>
      <w:bookmarkEnd w:id="155"/>
    </w:p>
    <w:p w14:paraId="695BEC59" w14:textId="7B6C3198" w:rsidR="00791BBB" w:rsidRPr="00BC2ABB"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Section 29 of the </w:t>
      </w:r>
      <w:r w:rsidR="007056F2" w:rsidRPr="00BC2ABB">
        <w:rPr>
          <w:sz w:val="28"/>
          <w:szCs w:val="28"/>
        </w:rPr>
        <w:t xml:space="preserve">Archives </w:t>
      </w:r>
      <w:r w:rsidR="002E6899">
        <w:rPr>
          <w:sz w:val="28"/>
          <w:szCs w:val="28"/>
        </w:rPr>
        <w:t>Act allows the responsible</w:t>
      </w:r>
      <w:r w:rsidR="006530E0">
        <w:rPr>
          <w:sz w:val="28"/>
          <w:szCs w:val="28"/>
        </w:rPr>
        <w:t xml:space="preserve"> Minister,</w:t>
      </w:r>
      <w:r w:rsidR="006530E0" w:rsidRPr="00BC2ABB">
        <w:rPr>
          <w:rStyle w:val="FootnoteReference"/>
          <w:sz w:val="28"/>
          <w:szCs w:val="28"/>
        </w:rPr>
        <w:footnoteReference w:id="14"/>
      </w:r>
      <w:r w:rsidR="006530E0">
        <w:rPr>
          <w:sz w:val="28"/>
          <w:szCs w:val="28"/>
        </w:rPr>
        <w:t xml:space="preserve"> or a</w:t>
      </w:r>
      <w:r w:rsidRPr="00BC2ABB">
        <w:rPr>
          <w:sz w:val="28"/>
          <w:szCs w:val="28"/>
        </w:rPr>
        <w:t xml:space="preserve"> Commonwealth institution with the agreement of the Director</w:t>
      </w:r>
      <w:r w:rsidRPr="00BC2ABB">
        <w:rPr>
          <w:sz w:val="28"/>
          <w:szCs w:val="28"/>
        </w:rPr>
        <w:noBreakHyphen/>
        <w:t>General of the NAA, to determine that a Commonwealth record, or class of Commonwealth records, is not required to be transferred to the NAA, or can only be accessed by the NAA on specified conditions. The</w:t>
      </w:r>
      <w:r w:rsidR="00B225BD">
        <w:rPr>
          <w:sz w:val="28"/>
          <w:szCs w:val="28"/>
        </w:rPr>
        <w:t> </w:t>
      </w:r>
      <w:r w:rsidRPr="00BC2ABB">
        <w:rPr>
          <w:sz w:val="28"/>
          <w:szCs w:val="28"/>
        </w:rPr>
        <w:t xml:space="preserve">determination </w:t>
      </w:r>
      <w:r w:rsidR="00022A03" w:rsidRPr="00BC2ABB">
        <w:rPr>
          <w:sz w:val="28"/>
          <w:szCs w:val="28"/>
        </w:rPr>
        <w:t>has</w:t>
      </w:r>
      <w:r w:rsidRPr="00BC2ABB">
        <w:rPr>
          <w:sz w:val="28"/>
          <w:szCs w:val="28"/>
        </w:rPr>
        <w:t xml:space="preserve"> effect for a specified period and may be revoked by the Commonwealth institution or responsible Minister at any time. </w:t>
      </w:r>
    </w:p>
    <w:p w14:paraId="065E2AF7" w14:textId="72B0A0B5" w:rsidR="00850E80" w:rsidRDefault="00850E80" w:rsidP="00771FA7">
      <w:pPr>
        <w:pStyle w:val="ListParagraph"/>
        <w:numPr>
          <w:ilvl w:val="0"/>
          <w:numId w:val="11"/>
        </w:numPr>
        <w:spacing w:line="360" w:lineRule="auto"/>
        <w:ind w:left="709" w:hanging="709"/>
        <w:contextualSpacing w:val="0"/>
        <w:rPr>
          <w:sz w:val="28"/>
          <w:szCs w:val="28"/>
        </w:rPr>
      </w:pPr>
      <w:r>
        <w:rPr>
          <w:sz w:val="28"/>
          <w:szCs w:val="28"/>
        </w:rPr>
        <w:t>During the course of the Review, the NA</w:t>
      </w:r>
      <w:r w:rsidR="003F0134">
        <w:rPr>
          <w:sz w:val="28"/>
          <w:szCs w:val="28"/>
        </w:rPr>
        <w:t>A identified correspondence</w:t>
      </w:r>
      <w:r w:rsidR="00323C12">
        <w:rPr>
          <w:sz w:val="28"/>
          <w:szCs w:val="28"/>
        </w:rPr>
        <w:t>, dated 1</w:t>
      </w:r>
      <w:r w:rsidR="00034F63">
        <w:rPr>
          <w:sz w:val="28"/>
          <w:szCs w:val="28"/>
        </w:rPr>
        <w:t>1</w:t>
      </w:r>
      <w:r w:rsidR="00323C12">
        <w:rPr>
          <w:sz w:val="28"/>
          <w:szCs w:val="28"/>
        </w:rPr>
        <w:t xml:space="preserve"> December 1984, </w:t>
      </w:r>
      <w:r w:rsidR="003F0134">
        <w:rPr>
          <w:sz w:val="28"/>
          <w:szCs w:val="28"/>
        </w:rPr>
        <w:t xml:space="preserve">from </w:t>
      </w:r>
      <w:r w:rsidR="005F55F6">
        <w:rPr>
          <w:sz w:val="28"/>
          <w:szCs w:val="28"/>
        </w:rPr>
        <w:t>Sir Geoffrey Yeend</w:t>
      </w:r>
      <w:r w:rsidR="00FC7905">
        <w:rPr>
          <w:sz w:val="28"/>
          <w:szCs w:val="28"/>
        </w:rPr>
        <w:t xml:space="preserve"> AC CBE</w:t>
      </w:r>
      <w:r w:rsidR="00CC121B">
        <w:rPr>
          <w:sz w:val="28"/>
          <w:szCs w:val="28"/>
        </w:rPr>
        <w:t>,</w:t>
      </w:r>
      <w:r w:rsidR="005F55F6">
        <w:rPr>
          <w:sz w:val="28"/>
          <w:szCs w:val="28"/>
        </w:rPr>
        <w:t xml:space="preserve"> Secretary of PM&amp;C (1978</w:t>
      </w:r>
      <w:r w:rsidR="00034F63">
        <w:rPr>
          <w:sz w:val="28"/>
          <w:szCs w:val="28"/>
        </w:rPr>
        <w:t xml:space="preserve"> – </w:t>
      </w:r>
      <w:r w:rsidR="005F55F6">
        <w:rPr>
          <w:sz w:val="28"/>
          <w:szCs w:val="28"/>
        </w:rPr>
        <w:t xml:space="preserve">1986) to </w:t>
      </w:r>
      <w:r w:rsidR="003F0134">
        <w:rPr>
          <w:sz w:val="28"/>
          <w:szCs w:val="28"/>
        </w:rPr>
        <w:t>Brian Cox, Director-General</w:t>
      </w:r>
      <w:r w:rsidR="0008761D">
        <w:rPr>
          <w:sz w:val="28"/>
          <w:szCs w:val="28"/>
        </w:rPr>
        <w:t xml:space="preserve"> of the NAA (1984</w:t>
      </w:r>
      <w:r w:rsidR="00034F63">
        <w:rPr>
          <w:sz w:val="28"/>
          <w:szCs w:val="28"/>
        </w:rPr>
        <w:t xml:space="preserve"> – </w:t>
      </w:r>
      <w:r w:rsidR="0008761D">
        <w:rPr>
          <w:sz w:val="28"/>
          <w:szCs w:val="28"/>
        </w:rPr>
        <w:t xml:space="preserve">1989) which sought </w:t>
      </w:r>
      <w:r w:rsidR="005F55F6">
        <w:rPr>
          <w:sz w:val="28"/>
          <w:szCs w:val="28"/>
        </w:rPr>
        <w:t>agreement to determine</w:t>
      </w:r>
      <w:r w:rsidR="00034F63">
        <w:rPr>
          <w:sz w:val="28"/>
          <w:szCs w:val="28"/>
        </w:rPr>
        <w:t>,</w:t>
      </w:r>
      <w:r w:rsidR="005F55F6">
        <w:rPr>
          <w:sz w:val="28"/>
          <w:szCs w:val="28"/>
        </w:rPr>
        <w:t xml:space="preserve"> under section 29(1)(a)</w:t>
      </w:r>
      <w:r w:rsidR="00034F63">
        <w:rPr>
          <w:sz w:val="28"/>
          <w:szCs w:val="28"/>
        </w:rPr>
        <w:t xml:space="preserve"> of the Archives Act,</w:t>
      </w:r>
      <w:r w:rsidR="005F55F6">
        <w:rPr>
          <w:sz w:val="28"/>
          <w:szCs w:val="28"/>
        </w:rPr>
        <w:t xml:space="preserve"> “that Cabinet records are not required to be transferred to the custody of Archives before they are due for public release”. The </w:t>
      </w:r>
      <w:r w:rsidR="00FC7905">
        <w:rPr>
          <w:sz w:val="28"/>
          <w:szCs w:val="28"/>
        </w:rPr>
        <w:t xml:space="preserve">then </w:t>
      </w:r>
      <w:r w:rsidR="005F55F6">
        <w:rPr>
          <w:sz w:val="28"/>
          <w:szCs w:val="28"/>
        </w:rPr>
        <w:t>S</w:t>
      </w:r>
      <w:r w:rsidR="00937329">
        <w:rPr>
          <w:sz w:val="28"/>
          <w:szCs w:val="28"/>
        </w:rPr>
        <w:t xml:space="preserve">ecretary provided assurance </w:t>
      </w:r>
      <w:r w:rsidR="008E46D7">
        <w:rPr>
          <w:sz w:val="28"/>
          <w:szCs w:val="28"/>
        </w:rPr>
        <w:t>that</w:t>
      </w:r>
      <w:r w:rsidR="00937329">
        <w:rPr>
          <w:sz w:val="28"/>
          <w:szCs w:val="28"/>
        </w:rPr>
        <w:t xml:space="preserve"> the</w:t>
      </w:r>
      <w:r w:rsidR="005F55F6">
        <w:rPr>
          <w:sz w:val="28"/>
          <w:szCs w:val="28"/>
        </w:rPr>
        <w:t xml:space="preserve"> Cabinet</w:t>
      </w:r>
      <w:r w:rsidR="00937329">
        <w:rPr>
          <w:sz w:val="28"/>
          <w:szCs w:val="28"/>
        </w:rPr>
        <w:t xml:space="preserve"> Office</w:t>
      </w:r>
      <w:r w:rsidR="005F55F6">
        <w:rPr>
          <w:sz w:val="28"/>
          <w:szCs w:val="28"/>
        </w:rPr>
        <w:t xml:space="preserve"> would “ensure that records are transferred to the Archives in advance of their release date”. This arrangement was agreed to by Mr Cox on 19 December 1984. </w:t>
      </w:r>
      <w:r w:rsidR="00BE3109">
        <w:rPr>
          <w:sz w:val="28"/>
          <w:szCs w:val="28"/>
        </w:rPr>
        <w:t>T</w:t>
      </w:r>
      <w:r w:rsidR="003F0134">
        <w:rPr>
          <w:sz w:val="28"/>
          <w:szCs w:val="28"/>
        </w:rPr>
        <w:t>h</w:t>
      </w:r>
      <w:r w:rsidR="005F55F6">
        <w:rPr>
          <w:sz w:val="28"/>
          <w:szCs w:val="28"/>
        </w:rPr>
        <w:t xml:space="preserve">ese </w:t>
      </w:r>
      <w:r w:rsidR="003F0134">
        <w:rPr>
          <w:sz w:val="28"/>
          <w:szCs w:val="28"/>
        </w:rPr>
        <w:t>letter</w:t>
      </w:r>
      <w:r w:rsidR="005F55F6">
        <w:rPr>
          <w:sz w:val="28"/>
          <w:szCs w:val="28"/>
        </w:rPr>
        <w:t>s</w:t>
      </w:r>
      <w:r w:rsidR="003F0134">
        <w:rPr>
          <w:sz w:val="28"/>
          <w:szCs w:val="28"/>
        </w:rPr>
        <w:t xml:space="preserve"> form</w:t>
      </w:r>
      <w:r w:rsidR="005F55F6">
        <w:rPr>
          <w:sz w:val="28"/>
          <w:szCs w:val="28"/>
        </w:rPr>
        <w:t xml:space="preserve"> </w:t>
      </w:r>
      <w:r w:rsidR="003F0134">
        <w:rPr>
          <w:sz w:val="28"/>
          <w:szCs w:val="28"/>
        </w:rPr>
        <w:t xml:space="preserve">the basis of the </w:t>
      </w:r>
      <w:r w:rsidR="008C41DE">
        <w:rPr>
          <w:sz w:val="28"/>
          <w:szCs w:val="28"/>
        </w:rPr>
        <w:t xml:space="preserve">existing </w:t>
      </w:r>
      <w:r w:rsidR="003F0134">
        <w:rPr>
          <w:sz w:val="28"/>
          <w:szCs w:val="28"/>
        </w:rPr>
        <w:t xml:space="preserve">arrangement in place </w:t>
      </w:r>
      <w:r w:rsidR="008C41DE">
        <w:rPr>
          <w:sz w:val="28"/>
          <w:szCs w:val="28"/>
        </w:rPr>
        <w:t>where PM&amp;C</w:t>
      </w:r>
      <w:r w:rsidR="003F0134">
        <w:rPr>
          <w:sz w:val="28"/>
          <w:szCs w:val="28"/>
        </w:rPr>
        <w:t xml:space="preserve"> transfer</w:t>
      </w:r>
      <w:r w:rsidR="008C41DE">
        <w:rPr>
          <w:sz w:val="28"/>
          <w:szCs w:val="28"/>
        </w:rPr>
        <w:t>s</w:t>
      </w:r>
      <w:r w:rsidR="003F0134">
        <w:rPr>
          <w:sz w:val="28"/>
          <w:szCs w:val="28"/>
        </w:rPr>
        <w:t xml:space="preserve"> Cabinet records three years </w:t>
      </w:r>
      <w:r w:rsidR="005F55F6">
        <w:rPr>
          <w:sz w:val="28"/>
          <w:szCs w:val="28"/>
        </w:rPr>
        <w:t>prior to</w:t>
      </w:r>
      <w:r w:rsidR="003F0134">
        <w:rPr>
          <w:sz w:val="28"/>
          <w:szCs w:val="28"/>
        </w:rPr>
        <w:t xml:space="preserve"> the</w:t>
      </w:r>
      <w:r w:rsidR="005F55F6">
        <w:rPr>
          <w:sz w:val="28"/>
          <w:szCs w:val="28"/>
        </w:rPr>
        <w:t xml:space="preserve"> commencement of the</w:t>
      </w:r>
      <w:r w:rsidR="003F0134">
        <w:rPr>
          <w:sz w:val="28"/>
          <w:szCs w:val="28"/>
        </w:rPr>
        <w:t xml:space="preserve"> public release period </w:t>
      </w:r>
      <w:r w:rsidR="005F55F6">
        <w:rPr>
          <w:sz w:val="28"/>
          <w:szCs w:val="28"/>
        </w:rPr>
        <w:t>as opposed to five</w:t>
      </w:r>
      <w:r w:rsidR="0008761D">
        <w:rPr>
          <w:sz w:val="28"/>
          <w:szCs w:val="28"/>
        </w:rPr>
        <w:t xml:space="preserve"> years prior</w:t>
      </w:r>
      <w:r w:rsidR="00FC7905">
        <w:rPr>
          <w:sz w:val="28"/>
          <w:szCs w:val="28"/>
        </w:rPr>
        <w:t xml:space="preserve"> as set out in section 27 of the Archives Act</w:t>
      </w:r>
      <w:r w:rsidR="005F55F6">
        <w:rPr>
          <w:sz w:val="28"/>
          <w:szCs w:val="28"/>
        </w:rPr>
        <w:t xml:space="preserve">. </w:t>
      </w:r>
    </w:p>
    <w:p w14:paraId="65717632" w14:textId="77777777" w:rsidR="00791BBB" w:rsidRPr="00BC2ABB" w:rsidRDefault="00791BBB" w:rsidP="00BC2ABB">
      <w:pPr>
        <w:pStyle w:val="Heading3"/>
        <w:spacing w:line="360" w:lineRule="auto"/>
        <w:rPr>
          <w:b w:val="0"/>
          <w:sz w:val="28"/>
          <w:szCs w:val="28"/>
        </w:rPr>
      </w:pPr>
      <w:bookmarkStart w:id="156" w:name="_Toc155699055"/>
      <w:bookmarkStart w:id="157" w:name="_Toc155700997"/>
      <w:bookmarkStart w:id="158" w:name="_Toc155799974"/>
      <w:bookmarkStart w:id="159" w:name="_Toc155875120"/>
      <w:bookmarkStart w:id="160" w:name="_Toc156565981"/>
      <w:bookmarkStart w:id="161" w:name="_Toc157432126"/>
      <w:r w:rsidRPr="00BC2ABB">
        <w:rPr>
          <w:b w:val="0"/>
          <w:sz w:val="28"/>
          <w:szCs w:val="28"/>
        </w:rPr>
        <w:lastRenderedPageBreak/>
        <w:t>Records in open access period to be publicly available</w:t>
      </w:r>
      <w:bookmarkEnd w:id="156"/>
      <w:bookmarkEnd w:id="157"/>
      <w:bookmarkEnd w:id="158"/>
      <w:bookmarkEnd w:id="159"/>
      <w:bookmarkEnd w:id="160"/>
      <w:bookmarkEnd w:id="161"/>
    </w:p>
    <w:p w14:paraId="4CD03AF3" w14:textId="3EF9CAFE" w:rsidR="00791BBB" w:rsidRPr="00BC2ABB" w:rsidRDefault="00791BBB"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Section 31 </w:t>
      </w:r>
      <w:r w:rsidR="002C284D" w:rsidRPr="00BC2ABB">
        <w:rPr>
          <w:sz w:val="28"/>
          <w:szCs w:val="28"/>
        </w:rPr>
        <w:t xml:space="preserve">of the Archives Act </w:t>
      </w:r>
      <w:r w:rsidRPr="00BC2ABB">
        <w:rPr>
          <w:sz w:val="28"/>
          <w:szCs w:val="28"/>
        </w:rPr>
        <w:t>requires the NAA</w:t>
      </w:r>
      <w:r w:rsidR="005B1D46">
        <w:rPr>
          <w:sz w:val="28"/>
          <w:szCs w:val="28"/>
        </w:rPr>
        <w:t xml:space="preserve">, subject to access examination, </w:t>
      </w:r>
      <w:r w:rsidRPr="00BC2ABB">
        <w:rPr>
          <w:sz w:val="28"/>
          <w:szCs w:val="28"/>
        </w:rPr>
        <w:t xml:space="preserve">to make Commonwealth records that are </w:t>
      </w:r>
      <w:r w:rsidR="007E3E8F">
        <w:rPr>
          <w:sz w:val="28"/>
          <w:szCs w:val="28"/>
        </w:rPr>
        <w:t>in</w:t>
      </w:r>
      <w:r w:rsidRPr="00BC2ABB">
        <w:rPr>
          <w:sz w:val="28"/>
          <w:szCs w:val="28"/>
        </w:rPr>
        <w:t xml:space="preserve"> the open access period</w:t>
      </w:r>
      <w:r w:rsidR="00E60A83" w:rsidRPr="00BC2ABB">
        <w:rPr>
          <w:sz w:val="28"/>
          <w:szCs w:val="28"/>
        </w:rPr>
        <w:t>,</w:t>
      </w:r>
      <w:r w:rsidRPr="00BC2ABB">
        <w:rPr>
          <w:sz w:val="28"/>
          <w:szCs w:val="28"/>
        </w:rPr>
        <w:t xml:space="preserve"> and in the care </w:t>
      </w:r>
      <w:r w:rsidR="00E60A83" w:rsidRPr="00BC2ABB">
        <w:rPr>
          <w:sz w:val="28"/>
          <w:szCs w:val="28"/>
        </w:rPr>
        <w:t xml:space="preserve">of </w:t>
      </w:r>
      <w:r w:rsidRPr="00BC2ABB">
        <w:rPr>
          <w:sz w:val="28"/>
          <w:szCs w:val="28"/>
        </w:rPr>
        <w:t>the NAA</w:t>
      </w:r>
      <w:r w:rsidR="008C119F">
        <w:rPr>
          <w:sz w:val="28"/>
          <w:szCs w:val="28"/>
        </w:rPr>
        <w:t>, a Commonwealth institution or another person</w:t>
      </w:r>
      <w:r w:rsidR="00E60A83" w:rsidRPr="00BC2ABB">
        <w:rPr>
          <w:sz w:val="28"/>
          <w:szCs w:val="28"/>
        </w:rPr>
        <w:t>,</w:t>
      </w:r>
      <w:r w:rsidRPr="00BC2ABB">
        <w:rPr>
          <w:sz w:val="28"/>
          <w:szCs w:val="28"/>
        </w:rPr>
        <w:t xml:space="preserve"> available for public access</w:t>
      </w:r>
      <w:r w:rsidR="005B1D46">
        <w:rPr>
          <w:sz w:val="28"/>
          <w:szCs w:val="28"/>
        </w:rPr>
        <w:t xml:space="preserve">. </w:t>
      </w:r>
      <w:r w:rsidRPr="00BC2ABB">
        <w:rPr>
          <w:sz w:val="28"/>
          <w:szCs w:val="28"/>
        </w:rPr>
        <w:t>For the purposes of a record that came into existence after 2000, the open access period is 1 January in the year that is 21 years after the creation year.</w:t>
      </w:r>
      <w:r w:rsidR="00557EEE">
        <w:rPr>
          <w:rStyle w:val="FootnoteReference"/>
          <w:sz w:val="28"/>
          <w:szCs w:val="28"/>
        </w:rPr>
        <w:footnoteReference w:id="15"/>
      </w:r>
      <w:r w:rsidRPr="00BC2ABB">
        <w:rPr>
          <w:sz w:val="28"/>
          <w:szCs w:val="28"/>
        </w:rPr>
        <w:t xml:space="preserve"> For Cabinet notebooks</w:t>
      </w:r>
      <w:r w:rsidR="004A6988">
        <w:rPr>
          <w:sz w:val="28"/>
          <w:szCs w:val="28"/>
        </w:rPr>
        <w:t>,</w:t>
      </w:r>
      <w:r w:rsidR="0049154D">
        <w:rPr>
          <w:rStyle w:val="FootnoteReference"/>
          <w:sz w:val="28"/>
          <w:szCs w:val="28"/>
        </w:rPr>
        <w:footnoteReference w:id="16"/>
      </w:r>
      <w:r w:rsidRPr="00BC2ABB">
        <w:rPr>
          <w:sz w:val="28"/>
          <w:szCs w:val="28"/>
        </w:rPr>
        <w:t xml:space="preserve"> the open access period is 1 January in the year that is 31 years after the creation year.</w:t>
      </w:r>
    </w:p>
    <w:p w14:paraId="3424712C" w14:textId="4D04F197" w:rsidR="00277361" w:rsidRPr="00034F63" w:rsidRDefault="005253F2" w:rsidP="00771FA7">
      <w:pPr>
        <w:pStyle w:val="ListParagraph"/>
        <w:numPr>
          <w:ilvl w:val="0"/>
          <w:numId w:val="12"/>
        </w:numPr>
        <w:spacing w:line="360" w:lineRule="auto"/>
        <w:ind w:left="1134" w:hanging="425"/>
        <w:rPr>
          <w:sz w:val="28"/>
          <w:szCs w:val="28"/>
        </w:rPr>
      </w:pPr>
      <w:r w:rsidRPr="00BC2ABB">
        <w:rPr>
          <w:sz w:val="28"/>
          <w:szCs w:val="28"/>
        </w:rPr>
        <w:t xml:space="preserve">The </w:t>
      </w:r>
      <w:r w:rsidR="00D814A2">
        <w:rPr>
          <w:sz w:val="28"/>
          <w:szCs w:val="28"/>
        </w:rPr>
        <w:t>annual</w:t>
      </w:r>
      <w:r w:rsidRPr="00BC2ABB">
        <w:rPr>
          <w:sz w:val="28"/>
          <w:szCs w:val="28"/>
        </w:rPr>
        <w:t xml:space="preserve"> proactive public release process </w:t>
      </w:r>
      <w:r w:rsidR="00E47323" w:rsidRPr="00BC2ABB">
        <w:rPr>
          <w:sz w:val="28"/>
          <w:szCs w:val="28"/>
        </w:rPr>
        <w:t>conducte</w:t>
      </w:r>
      <w:r w:rsidRPr="00BC2ABB">
        <w:rPr>
          <w:sz w:val="28"/>
          <w:szCs w:val="28"/>
        </w:rPr>
        <w:t xml:space="preserve">d by the NAA is an administrative process and </w:t>
      </w:r>
      <w:r w:rsidRPr="00BC2ABB" w:rsidDel="00A042B7">
        <w:rPr>
          <w:sz w:val="28"/>
          <w:szCs w:val="28"/>
        </w:rPr>
        <w:t>is</w:t>
      </w:r>
      <w:r w:rsidR="00A042B7" w:rsidRPr="00BC2ABB">
        <w:rPr>
          <w:sz w:val="28"/>
          <w:szCs w:val="28"/>
        </w:rPr>
        <w:t xml:space="preserve"> not required under legislation. It is a NAA initiative that commenced in the 1980s. </w:t>
      </w:r>
      <w:r w:rsidR="00EF155F">
        <w:rPr>
          <w:sz w:val="28"/>
          <w:szCs w:val="28"/>
        </w:rPr>
        <w:br/>
      </w:r>
    </w:p>
    <w:p w14:paraId="04BE789C" w14:textId="06948FFB" w:rsidR="00232348" w:rsidRPr="00BC2ABB" w:rsidRDefault="00232348" w:rsidP="00771FA7">
      <w:pPr>
        <w:pStyle w:val="ListParagraph"/>
        <w:numPr>
          <w:ilvl w:val="0"/>
          <w:numId w:val="11"/>
        </w:numPr>
        <w:spacing w:line="360" w:lineRule="auto"/>
        <w:ind w:left="709" w:hanging="709"/>
        <w:contextualSpacing w:val="0"/>
        <w:rPr>
          <w:sz w:val="28"/>
          <w:szCs w:val="28"/>
        </w:rPr>
      </w:pPr>
      <w:r w:rsidRPr="00BC2ABB">
        <w:rPr>
          <w:sz w:val="28"/>
          <w:szCs w:val="28"/>
        </w:rPr>
        <w:t>If a record has not been transferred to the NAA (for instance, as a result of a sec</w:t>
      </w:r>
      <w:r w:rsidR="00C05CA8" w:rsidRPr="00BC2ABB">
        <w:rPr>
          <w:sz w:val="28"/>
          <w:szCs w:val="28"/>
        </w:rPr>
        <w:t>tion 29 determination) and the record is</w:t>
      </w:r>
      <w:r w:rsidR="008205A2">
        <w:rPr>
          <w:sz w:val="28"/>
          <w:szCs w:val="28"/>
        </w:rPr>
        <w:t xml:space="preserve"> </w:t>
      </w:r>
      <w:r w:rsidR="00C05CA8" w:rsidRPr="00BC2ABB">
        <w:rPr>
          <w:sz w:val="28"/>
          <w:szCs w:val="28"/>
        </w:rPr>
        <w:t xml:space="preserve">in the open access period, the Archives Act requires departments and agencies to make arrangements that enable the NAA to make </w:t>
      </w:r>
      <w:r w:rsidR="00080C7D">
        <w:rPr>
          <w:sz w:val="28"/>
          <w:szCs w:val="28"/>
        </w:rPr>
        <w:t xml:space="preserve">the </w:t>
      </w:r>
      <w:r w:rsidR="00C05CA8" w:rsidRPr="00BC2ABB">
        <w:rPr>
          <w:sz w:val="28"/>
          <w:szCs w:val="28"/>
        </w:rPr>
        <w:t>record publicly available.</w:t>
      </w:r>
      <w:r w:rsidR="00C05CA8" w:rsidRPr="00BC2ABB">
        <w:rPr>
          <w:rStyle w:val="FootnoteReference"/>
          <w:sz w:val="28"/>
          <w:szCs w:val="28"/>
        </w:rPr>
        <w:footnoteReference w:id="17"/>
      </w:r>
    </w:p>
    <w:p w14:paraId="1B13FD72" w14:textId="16CA086A" w:rsidR="00791BBB" w:rsidRPr="00BC2ABB" w:rsidRDefault="00080C7D" w:rsidP="00771FA7">
      <w:pPr>
        <w:pStyle w:val="ListParagraph"/>
        <w:numPr>
          <w:ilvl w:val="0"/>
          <w:numId w:val="11"/>
        </w:numPr>
        <w:spacing w:line="360" w:lineRule="auto"/>
        <w:ind w:left="709" w:hanging="709"/>
        <w:contextualSpacing w:val="0"/>
        <w:rPr>
          <w:sz w:val="28"/>
          <w:szCs w:val="28"/>
        </w:rPr>
      </w:pPr>
      <w:r>
        <w:rPr>
          <w:sz w:val="28"/>
          <w:szCs w:val="28"/>
        </w:rPr>
        <w:t>Under section 31, t</w:t>
      </w:r>
      <w:r w:rsidR="00791BBB" w:rsidRPr="00BC2ABB">
        <w:rPr>
          <w:sz w:val="28"/>
          <w:szCs w:val="28"/>
        </w:rPr>
        <w:t xml:space="preserve">he NAA may withhold a Commonwealth record or class of records from public access for a reasonable time pending examination </w:t>
      </w:r>
      <w:r w:rsidR="00791BBB" w:rsidRPr="00BC2ABB">
        <w:rPr>
          <w:sz w:val="28"/>
          <w:szCs w:val="28"/>
        </w:rPr>
        <w:lastRenderedPageBreak/>
        <w:t xml:space="preserve">to identify exempt records. </w:t>
      </w:r>
      <w:r>
        <w:rPr>
          <w:sz w:val="28"/>
          <w:szCs w:val="28"/>
        </w:rPr>
        <w:t>Under section 33, t</w:t>
      </w:r>
      <w:r w:rsidR="00791BBB" w:rsidRPr="00BC2ABB">
        <w:rPr>
          <w:sz w:val="28"/>
          <w:szCs w:val="28"/>
        </w:rPr>
        <w:t xml:space="preserve">he </w:t>
      </w:r>
      <w:r w:rsidR="002C284D" w:rsidRPr="00BC2ABB">
        <w:rPr>
          <w:sz w:val="28"/>
          <w:szCs w:val="28"/>
        </w:rPr>
        <w:t xml:space="preserve">Archives </w:t>
      </w:r>
      <w:r w:rsidR="00791BBB" w:rsidRPr="00BC2ABB">
        <w:rPr>
          <w:sz w:val="28"/>
          <w:szCs w:val="28"/>
        </w:rPr>
        <w:t>Act exempts certain information from public release</w:t>
      </w:r>
      <w:r w:rsidR="005253F2" w:rsidRPr="00BC2ABB">
        <w:rPr>
          <w:sz w:val="28"/>
          <w:szCs w:val="28"/>
        </w:rPr>
        <w:t>, including but not limited to, information that could reasonably be expected to cause damage to security, defence or international relations.</w:t>
      </w:r>
      <w:r w:rsidR="005253F2" w:rsidRPr="00BC2ABB">
        <w:rPr>
          <w:rStyle w:val="FootnoteReference"/>
          <w:sz w:val="28"/>
          <w:szCs w:val="28"/>
        </w:rPr>
        <w:footnoteReference w:id="18"/>
      </w:r>
      <w:r w:rsidR="00791BBB" w:rsidRPr="00BC2ABB">
        <w:rPr>
          <w:sz w:val="28"/>
          <w:szCs w:val="28"/>
        </w:rPr>
        <w:t xml:space="preserve"> </w:t>
      </w:r>
    </w:p>
    <w:p w14:paraId="1A4AD215" w14:textId="63A044BE" w:rsidR="00C75293" w:rsidRPr="001D0B00" w:rsidRDefault="00D1452B" w:rsidP="00BC2ABB">
      <w:pPr>
        <w:pStyle w:val="Heading2"/>
        <w:spacing w:line="360" w:lineRule="auto"/>
        <w:rPr>
          <w:sz w:val="32"/>
        </w:rPr>
      </w:pPr>
      <w:bookmarkStart w:id="162" w:name="_Toc155699056"/>
      <w:bookmarkStart w:id="163" w:name="_Toc155700998"/>
      <w:bookmarkStart w:id="164" w:name="_Toc155799975"/>
      <w:bookmarkStart w:id="165" w:name="_Toc155875121"/>
      <w:bookmarkStart w:id="166" w:name="_Toc156565982"/>
      <w:bookmarkStart w:id="167" w:name="_Toc157432127"/>
      <w:r w:rsidRPr="001D0B00">
        <w:rPr>
          <w:sz w:val="32"/>
        </w:rPr>
        <w:t>Cabinet</w:t>
      </w:r>
      <w:bookmarkEnd w:id="162"/>
      <w:bookmarkEnd w:id="163"/>
      <w:bookmarkEnd w:id="164"/>
      <w:bookmarkEnd w:id="165"/>
      <w:bookmarkEnd w:id="166"/>
      <w:bookmarkEnd w:id="167"/>
    </w:p>
    <w:p w14:paraId="614391B6" w14:textId="1EC6F11D" w:rsidR="00060054" w:rsidRPr="00BC2ABB" w:rsidRDefault="00060054" w:rsidP="00771FA7">
      <w:pPr>
        <w:pStyle w:val="ListParagraph"/>
        <w:numPr>
          <w:ilvl w:val="0"/>
          <w:numId w:val="11"/>
        </w:numPr>
        <w:spacing w:line="360" w:lineRule="auto"/>
        <w:ind w:left="709" w:hanging="709"/>
        <w:contextualSpacing w:val="0"/>
        <w:rPr>
          <w:sz w:val="28"/>
          <w:szCs w:val="28"/>
        </w:rPr>
      </w:pPr>
      <w:r w:rsidRPr="00BC2ABB">
        <w:rPr>
          <w:sz w:val="28"/>
          <w:szCs w:val="28"/>
        </w:rPr>
        <w:t>Cabinet is the primary decision-making body of government whose shape, structure and operation is determined by the Prime Minister of the day.</w:t>
      </w:r>
      <w:r w:rsidRPr="00BC2ABB">
        <w:rPr>
          <w:rStyle w:val="FootnoteReference"/>
          <w:sz w:val="28"/>
          <w:szCs w:val="28"/>
        </w:rPr>
        <w:footnoteReference w:id="19"/>
      </w:r>
      <w:r w:rsidRPr="00BC2ABB">
        <w:rPr>
          <w:sz w:val="28"/>
          <w:szCs w:val="28"/>
        </w:rPr>
        <w:t xml:space="preserve"> </w:t>
      </w:r>
      <w:r w:rsidR="00B07DA8" w:rsidRPr="00BC2ABB">
        <w:rPr>
          <w:sz w:val="28"/>
          <w:szCs w:val="28"/>
        </w:rPr>
        <w:t>The Secretary of PM&amp;C is the custodian of Cabinet records.</w:t>
      </w:r>
      <w:r w:rsidR="00B07DA8" w:rsidRPr="00BC2ABB">
        <w:rPr>
          <w:rStyle w:val="FootnoteReference"/>
          <w:sz w:val="28"/>
          <w:szCs w:val="28"/>
        </w:rPr>
        <w:footnoteReference w:id="20"/>
      </w:r>
    </w:p>
    <w:p w14:paraId="72248532" w14:textId="28F602CF" w:rsidR="00002765" w:rsidRPr="00BC2ABB" w:rsidRDefault="00002765"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A Cabinet is an administrative arrangement for government decision-making. A broad range of Commonwealth legislation refers to the federal Cabinet and Cabinet Committees, mainly for the purposes of prescribing status of documents or information regarding particular actions or decisions, for instance the </w:t>
      </w:r>
      <w:r w:rsidRPr="003858E8">
        <w:rPr>
          <w:i/>
          <w:sz w:val="28"/>
          <w:szCs w:val="28"/>
        </w:rPr>
        <w:t>Freedom of Information Act 1982</w:t>
      </w:r>
      <w:r w:rsidR="007D04B5">
        <w:rPr>
          <w:i/>
          <w:sz w:val="28"/>
          <w:szCs w:val="28"/>
        </w:rPr>
        <w:t xml:space="preserve"> (Cth)</w:t>
      </w:r>
      <w:r w:rsidRPr="00BC2ABB">
        <w:rPr>
          <w:sz w:val="28"/>
          <w:szCs w:val="28"/>
        </w:rPr>
        <w:t xml:space="preserve">. However, there is no exhaustive statutory definition of ‘Cabinet’ or the role or membership of the Cabinet or its committees. </w:t>
      </w:r>
    </w:p>
    <w:p w14:paraId="1FC6AAC5" w14:textId="0A013EDE" w:rsidR="00060054" w:rsidRPr="00BC2ABB" w:rsidRDefault="00060054"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principles and rules of Cabinet, and Cabinet Committees, are set out in the relevant Cabinet Handbook, as </w:t>
      </w:r>
      <w:r w:rsidR="000A078C" w:rsidRPr="00B47188">
        <w:rPr>
          <w:sz w:val="28"/>
          <w:szCs w:val="28"/>
        </w:rPr>
        <w:t>approved</w:t>
      </w:r>
      <w:r w:rsidRPr="00BC2ABB">
        <w:rPr>
          <w:sz w:val="28"/>
          <w:szCs w:val="28"/>
        </w:rPr>
        <w:t xml:space="preserve"> by the Prime Minister of the day. </w:t>
      </w:r>
    </w:p>
    <w:p w14:paraId="762FA329" w14:textId="2071B13A" w:rsidR="001666D7" w:rsidRDefault="002C284D" w:rsidP="00771FA7">
      <w:pPr>
        <w:pStyle w:val="ListParagraph"/>
        <w:numPr>
          <w:ilvl w:val="0"/>
          <w:numId w:val="11"/>
        </w:numPr>
        <w:spacing w:line="360" w:lineRule="auto"/>
        <w:ind w:left="709" w:hanging="709"/>
        <w:contextualSpacing w:val="0"/>
        <w:rPr>
          <w:sz w:val="28"/>
          <w:szCs w:val="28"/>
        </w:rPr>
      </w:pPr>
      <w:r w:rsidRPr="00BC2ABB">
        <w:rPr>
          <w:sz w:val="28"/>
          <w:szCs w:val="28"/>
        </w:rPr>
        <w:lastRenderedPageBreak/>
        <w:t>During the</w:t>
      </w:r>
      <w:r w:rsidR="00060054" w:rsidRPr="00BC2ABB">
        <w:rPr>
          <w:sz w:val="28"/>
          <w:szCs w:val="28"/>
        </w:rPr>
        <w:t xml:space="preserve"> </w:t>
      </w:r>
      <w:r w:rsidRPr="00BC2ABB">
        <w:rPr>
          <w:sz w:val="28"/>
          <w:szCs w:val="28"/>
        </w:rPr>
        <w:t>R</w:t>
      </w:r>
      <w:r w:rsidR="00060054" w:rsidRPr="00BC2ABB">
        <w:rPr>
          <w:sz w:val="28"/>
          <w:szCs w:val="28"/>
        </w:rPr>
        <w:t>eview, we spoke to former Prime Minister</w:t>
      </w:r>
      <w:r w:rsidR="00B07DA8" w:rsidRPr="00BC2ABB">
        <w:rPr>
          <w:sz w:val="28"/>
          <w:szCs w:val="28"/>
        </w:rPr>
        <w:t>, the Hon</w:t>
      </w:r>
      <w:r w:rsidR="00060054" w:rsidRPr="00BC2ABB">
        <w:rPr>
          <w:sz w:val="28"/>
          <w:szCs w:val="28"/>
        </w:rPr>
        <w:t xml:space="preserve"> John Howard OM AC</w:t>
      </w:r>
      <w:r w:rsidRPr="00BC2ABB">
        <w:rPr>
          <w:sz w:val="28"/>
          <w:szCs w:val="28"/>
        </w:rPr>
        <w:t xml:space="preserve"> SSI</w:t>
      </w:r>
      <w:r w:rsidR="00060054" w:rsidRPr="00BC2ABB">
        <w:rPr>
          <w:sz w:val="28"/>
          <w:szCs w:val="28"/>
        </w:rPr>
        <w:t xml:space="preserve"> (1996</w:t>
      </w:r>
      <w:r w:rsidRPr="00BC2ABB">
        <w:rPr>
          <w:sz w:val="28"/>
          <w:szCs w:val="28"/>
        </w:rPr>
        <w:noBreakHyphen/>
      </w:r>
      <w:r w:rsidR="00060054" w:rsidRPr="00BC2ABB">
        <w:rPr>
          <w:sz w:val="28"/>
          <w:szCs w:val="28"/>
        </w:rPr>
        <w:t>2007) who established the NSC in 1996</w:t>
      </w:r>
      <w:r w:rsidR="000041DD" w:rsidRPr="00BC2ABB">
        <w:rPr>
          <w:sz w:val="28"/>
          <w:szCs w:val="28"/>
        </w:rPr>
        <w:t>. Mr</w:t>
      </w:r>
      <w:r w:rsidR="00EF155F">
        <w:rPr>
          <w:sz w:val="28"/>
          <w:szCs w:val="28"/>
        </w:rPr>
        <w:t> </w:t>
      </w:r>
      <w:r w:rsidR="000041DD" w:rsidRPr="00BC2ABB">
        <w:rPr>
          <w:sz w:val="28"/>
          <w:szCs w:val="28"/>
        </w:rPr>
        <w:t xml:space="preserve">Howard </w:t>
      </w:r>
      <w:r w:rsidR="00060054" w:rsidRPr="00BC2ABB">
        <w:rPr>
          <w:sz w:val="28"/>
          <w:szCs w:val="28"/>
        </w:rPr>
        <w:t>confirmed the NSC was always int</w:t>
      </w:r>
      <w:r w:rsidR="00EF155F">
        <w:rPr>
          <w:sz w:val="28"/>
          <w:szCs w:val="28"/>
        </w:rPr>
        <w:t>ended to be a decision</w:t>
      </w:r>
      <w:r w:rsidR="00EF155F">
        <w:rPr>
          <w:sz w:val="28"/>
          <w:szCs w:val="28"/>
        </w:rPr>
        <w:noBreakHyphen/>
      </w:r>
      <w:r w:rsidR="000041DD" w:rsidRPr="00BC2ABB">
        <w:rPr>
          <w:sz w:val="28"/>
          <w:szCs w:val="28"/>
        </w:rPr>
        <w:t>making body</w:t>
      </w:r>
      <w:r w:rsidR="008004DD">
        <w:rPr>
          <w:sz w:val="28"/>
          <w:szCs w:val="28"/>
        </w:rPr>
        <w:t>,</w:t>
      </w:r>
      <w:r w:rsidR="000041DD" w:rsidRPr="00BC2ABB">
        <w:rPr>
          <w:sz w:val="28"/>
          <w:szCs w:val="28"/>
        </w:rPr>
        <w:t xml:space="preserve"> with the possibility of a matter being referred to a meeting of the full Cabinet if considered </w:t>
      </w:r>
      <w:r w:rsidR="00396C92">
        <w:rPr>
          <w:sz w:val="28"/>
          <w:szCs w:val="28"/>
        </w:rPr>
        <w:t>appropriate</w:t>
      </w:r>
      <w:r w:rsidR="00060054" w:rsidRPr="00BC2ABB">
        <w:rPr>
          <w:sz w:val="28"/>
          <w:szCs w:val="28"/>
        </w:rPr>
        <w:t>.</w:t>
      </w:r>
      <w:r w:rsidRPr="00BC2ABB">
        <w:rPr>
          <w:sz w:val="28"/>
          <w:szCs w:val="28"/>
        </w:rPr>
        <w:t xml:space="preserve"> </w:t>
      </w:r>
      <w:r w:rsidR="00060054" w:rsidRPr="00BC2ABB">
        <w:rPr>
          <w:sz w:val="28"/>
          <w:szCs w:val="28"/>
        </w:rPr>
        <w:t xml:space="preserve"> </w:t>
      </w:r>
    </w:p>
    <w:p w14:paraId="6FC59483" w14:textId="1000CF7D" w:rsidR="00060054" w:rsidRPr="001666D7" w:rsidRDefault="00060054" w:rsidP="00771FA7">
      <w:pPr>
        <w:pStyle w:val="ListParagraph"/>
        <w:numPr>
          <w:ilvl w:val="0"/>
          <w:numId w:val="11"/>
        </w:numPr>
        <w:spacing w:line="360" w:lineRule="auto"/>
        <w:ind w:left="709" w:hanging="709"/>
        <w:contextualSpacing w:val="0"/>
        <w:rPr>
          <w:sz w:val="28"/>
          <w:szCs w:val="28"/>
        </w:rPr>
      </w:pPr>
      <w:r w:rsidRPr="001666D7">
        <w:rPr>
          <w:sz w:val="28"/>
          <w:szCs w:val="28"/>
        </w:rPr>
        <w:t xml:space="preserve">Cabinet Handbooks </w:t>
      </w:r>
      <w:r w:rsidR="000A078C">
        <w:rPr>
          <w:sz w:val="28"/>
          <w:szCs w:val="28"/>
        </w:rPr>
        <w:t>note that the</w:t>
      </w:r>
      <w:r w:rsidRPr="001666D7">
        <w:rPr>
          <w:sz w:val="28"/>
          <w:szCs w:val="28"/>
        </w:rPr>
        <w:t xml:space="preserve"> N</w:t>
      </w:r>
      <w:r w:rsidR="00CC120C" w:rsidRPr="001666D7">
        <w:rPr>
          <w:sz w:val="28"/>
          <w:szCs w:val="28"/>
        </w:rPr>
        <w:t xml:space="preserve">SC </w:t>
      </w:r>
      <w:r w:rsidR="000A078C">
        <w:rPr>
          <w:sz w:val="28"/>
          <w:szCs w:val="28"/>
        </w:rPr>
        <w:t>is a decision-making body</w:t>
      </w:r>
      <w:r w:rsidR="00CC120C" w:rsidRPr="001666D7">
        <w:rPr>
          <w:sz w:val="28"/>
          <w:szCs w:val="28"/>
        </w:rPr>
        <w:t xml:space="preserve"> </w:t>
      </w:r>
      <w:r w:rsidRPr="001666D7">
        <w:rPr>
          <w:sz w:val="28"/>
          <w:szCs w:val="28"/>
        </w:rPr>
        <w:t>as disti</w:t>
      </w:r>
      <w:r w:rsidR="002C284D" w:rsidRPr="001666D7">
        <w:rPr>
          <w:sz w:val="28"/>
          <w:szCs w:val="28"/>
        </w:rPr>
        <w:t xml:space="preserve">nct to the majority of Cabinet </w:t>
      </w:r>
      <w:r w:rsidR="00F35DE0">
        <w:rPr>
          <w:sz w:val="28"/>
          <w:szCs w:val="28"/>
        </w:rPr>
        <w:t>C</w:t>
      </w:r>
      <w:r w:rsidRPr="001666D7">
        <w:rPr>
          <w:sz w:val="28"/>
          <w:szCs w:val="28"/>
        </w:rPr>
        <w:t xml:space="preserve">ommittees which are </w:t>
      </w:r>
      <w:r w:rsidR="000A078C">
        <w:rPr>
          <w:sz w:val="28"/>
          <w:szCs w:val="28"/>
        </w:rPr>
        <w:t>c</w:t>
      </w:r>
      <w:r w:rsidRPr="001666D7">
        <w:rPr>
          <w:sz w:val="28"/>
          <w:szCs w:val="28"/>
        </w:rPr>
        <w:t>ommittees of recommendation.</w:t>
      </w:r>
      <w:r w:rsidR="000041DD" w:rsidRPr="00BC2ABB">
        <w:rPr>
          <w:rStyle w:val="FootnoteReference"/>
          <w:sz w:val="28"/>
          <w:szCs w:val="28"/>
        </w:rPr>
        <w:footnoteReference w:id="21"/>
      </w:r>
    </w:p>
    <w:p w14:paraId="2A2532BE" w14:textId="7A622AD6" w:rsidR="0099357A" w:rsidRPr="00BC2ABB" w:rsidRDefault="00060054" w:rsidP="00BC2ABB">
      <w:pPr>
        <w:spacing w:line="360" w:lineRule="auto"/>
        <w:rPr>
          <w:sz w:val="28"/>
          <w:szCs w:val="28"/>
        </w:rPr>
      </w:pPr>
      <w:r w:rsidRPr="00BC2ABB" w:rsidDel="00060054">
        <w:rPr>
          <w:sz w:val="28"/>
          <w:szCs w:val="28"/>
          <w:highlight w:val="yellow"/>
        </w:rPr>
        <w:t xml:space="preserve"> </w:t>
      </w:r>
      <w:r w:rsidR="0099357A" w:rsidRPr="00BC2ABB">
        <w:rPr>
          <w:sz w:val="28"/>
          <w:szCs w:val="28"/>
        </w:rPr>
        <w:br w:type="page"/>
      </w:r>
    </w:p>
    <w:p w14:paraId="2AE619DF" w14:textId="09902B23" w:rsidR="00C44E43" w:rsidRDefault="0099357A" w:rsidP="00BC2ABB">
      <w:pPr>
        <w:pStyle w:val="Heading1"/>
        <w:spacing w:line="360" w:lineRule="auto"/>
        <w:rPr>
          <w:sz w:val="52"/>
          <w:szCs w:val="52"/>
        </w:rPr>
      </w:pPr>
      <w:bookmarkStart w:id="168" w:name="_Toc157432128"/>
      <w:bookmarkStart w:id="169" w:name="_Toc155699057"/>
      <w:bookmarkStart w:id="170" w:name="_Toc155700999"/>
      <w:bookmarkStart w:id="171" w:name="_Toc155875122"/>
      <w:bookmarkStart w:id="172" w:name="_Toc156565983"/>
      <w:bookmarkStart w:id="173" w:name="_Toc155799976"/>
      <w:r w:rsidRPr="00BC2ABB">
        <w:rPr>
          <w:sz w:val="52"/>
          <w:szCs w:val="52"/>
        </w:rPr>
        <w:lastRenderedPageBreak/>
        <w:t xml:space="preserve">4. </w:t>
      </w:r>
      <w:r w:rsidR="002474EC">
        <w:rPr>
          <w:sz w:val="52"/>
          <w:szCs w:val="52"/>
        </w:rPr>
        <w:t>The</w:t>
      </w:r>
      <w:r w:rsidR="00E10478" w:rsidRPr="00BC2ABB">
        <w:rPr>
          <w:sz w:val="52"/>
          <w:szCs w:val="52"/>
        </w:rPr>
        <w:t xml:space="preserve"> </w:t>
      </w:r>
      <w:r w:rsidR="008205A2">
        <w:rPr>
          <w:sz w:val="52"/>
          <w:szCs w:val="52"/>
        </w:rPr>
        <w:t>transfer of Cabinet records from PM&amp;C to the NAA</w:t>
      </w:r>
      <w:bookmarkEnd w:id="168"/>
      <w:r w:rsidR="008205A2">
        <w:rPr>
          <w:sz w:val="52"/>
          <w:szCs w:val="52"/>
        </w:rPr>
        <w:t xml:space="preserve"> </w:t>
      </w:r>
      <w:bookmarkEnd w:id="169"/>
      <w:bookmarkEnd w:id="170"/>
      <w:bookmarkEnd w:id="171"/>
      <w:bookmarkEnd w:id="172"/>
    </w:p>
    <w:p w14:paraId="2B2CDC85" w14:textId="1066783E" w:rsidR="008205A2" w:rsidRDefault="008205A2" w:rsidP="00095310">
      <w:pPr>
        <w:pStyle w:val="Heading2"/>
      </w:pPr>
      <w:bookmarkStart w:id="174" w:name="_Toc157432129"/>
      <w:bookmarkStart w:id="175" w:name="_Toc155875123"/>
      <w:bookmarkStart w:id="176" w:name="_Toc156565984"/>
      <w:r>
        <w:t>Background</w:t>
      </w:r>
      <w:bookmarkEnd w:id="174"/>
      <w:r>
        <w:t xml:space="preserve"> </w:t>
      </w:r>
    </w:p>
    <w:p w14:paraId="461FA44F" w14:textId="745251A2" w:rsidR="008205A2" w:rsidRDefault="008205A2" w:rsidP="00771FA7">
      <w:pPr>
        <w:pStyle w:val="ListParagraph"/>
        <w:numPr>
          <w:ilvl w:val="0"/>
          <w:numId w:val="11"/>
        </w:numPr>
        <w:spacing w:line="360" w:lineRule="auto"/>
        <w:ind w:left="709" w:hanging="709"/>
        <w:contextualSpacing w:val="0"/>
        <w:rPr>
          <w:sz w:val="28"/>
          <w:szCs w:val="28"/>
        </w:rPr>
      </w:pPr>
      <w:r w:rsidRPr="006D0A3D">
        <w:rPr>
          <w:sz w:val="28"/>
          <w:szCs w:val="28"/>
        </w:rPr>
        <w:t>PM&amp;C’s Cabinet Division has, for many years, successfully managed the transfer of Cabinet records to the NAA.</w:t>
      </w:r>
      <w:r>
        <w:rPr>
          <w:sz w:val="28"/>
          <w:szCs w:val="28"/>
        </w:rPr>
        <w:t xml:space="preserve"> Perhaps, because of this, the process became a matter of routine without periodic review. It is clear that, over</w:t>
      </w:r>
      <w:r w:rsidR="00CE6E11">
        <w:rPr>
          <w:sz w:val="28"/>
          <w:szCs w:val="28"/>
        </w:rPr>
        <w:t xml:space="preserve"> </w:t>
      </w:r>
      <w:r>
        <w:rPr>
          <w:sz w:val="28"/>
          <w:szCs w:val="28"/>
        </w:rPr>
        <w:t>time, systemic problems developed and were not identified. The particular pandemic driven work environment of 2020 became the catalyst for a major breakdown which</w:t>
      </w:r>
      <w:r w:rsidR="00DD0812">
        <w:rPr>
          <w:sz w:val="28"/>
          <w:szCs w:val="28"/>
        </w:rPr>
        <w:t>,</w:t>
      </w:r>
      <w:r>
        <w:rPr>
          <w:sz w:val="28"/>
          <w:szCs w:val="28"/>
        </w:rPr>
        <w:t xml:space="preserve"> given the compounding systemic issues, was probably inevitable at some point. </w:t>
      </w:r>
    </w:p>
    <w:p w14:paraId="07A4B4D6" w14:textId="501A53D1" w:rsidR="008205A2" w:rsidRPr="006D0A3D" w:rsidRDefault="008205A2" w:rsidP="00771FA7">
      <w:pPr>
        <w:pStyle w:val="ListParagraph"/>
        <w:numPr>
          <w:ilvl w:val="0"/>
          <w:numId w:val="11"/>
        </w:numPr>
        <w:spacing w:line="360" w:lineRule="auto"/>
        <w:ind w:left="709" w:hanging="709"/>
        <w:contextualSpacing w:val="0"/>
        <w:rPr>
          <w:sz w:val="28"/>
          <w:szCs w:val="28"/>
        </w:rPr>
      </w:pPr>
      <w:r>
        <w:rPr>
          <w:sz w:val="28"/>
          <w:szCs w:val="28"/>
        </w:rPr>
        <w:t xml:space="preserve">There was no indication or evidence during the </w:t>
      </w:r>
      <w:r w:rsidR="008D25E2">
        <w:rPr>
          <w:sz w:val="28"/>
          <w:szCs w:val="28"/>
        </w:rPr>
        <w:t>course of the R</w:t>
      </w:r>
      <w:r>
        <w:rPr>
          <w:sz w:val="28"/>
          <w:szCs w:val="28"/>
        </w:rPr>
        <w:t>eview that the systemic issues</w:t>
      </w:r>
      <w:r w:rsidR="000B3D8F">
        <w:rPr>
          <w:sz w:val="28"/>
          <w:szCs w:val="28"/>
        </w:rPr>
        <w:t>,</w:t>
      </w:r>
      <w:r>
        <w:rPr>
          <w:sz w:val="28"/>
          <w:szCs w:val="28"/>
        </w:rPr>
        <w:t xml:space="preserve"> which </w:t>
      </w:r>
      <w:r w:rsidR="00DD0812">
        <w:rPr>
          <w:sz w:val="28"/>
          <w:szCs w:val="28"/>
        </w:rPr>
        <w:t>exist in record management within the Cabinet Divisio</w:t>
      </w:r>
      <w:r w:rsidR="00FF5818">
        <w:rPr>
          <w:sz w:val="28"/>
          <w:szCs w:val="28"/>
        </w:rPr>
        <w:t>n</w:t>
      </w:r>
      <w:r w:rsidR="000B3D8F">
        <w:rPr>
          <w:sz w:val="28"/>
          <w:szCs w:val="28"/>
        </w:rPr>
        <w:t>,</w:t>
      </w:r>
      <w:r w:rsidR="00FF5818">
        <w:rPr>
          <w:sz w:val="28"/>
          <w:szCs w:val="28"/>
        </w:rPr>
        <w:t xml:space="preserve"> has had any impact on its day</w:t>
      </w:r>
      <w:r w:rsidR="00DD0812">
        <w:rPr>
          <w:sz w:val="28"/>
          <w:szCs w:val="28"/>
        </w:rPr>
        <w:t xml:space="preserve"> to day responsibilities of effectively servicing the Cabinet of the government of the day, now or in previous years. </w:t>
      </w:r>
    </w:p>
    <w:p w14:paraId="701859A5" w14:textId="0B8442D6" w:rsidR="00A05071" w:rsidRPr="00B47188" w:rsidRDefault="00D81C94" w:rsidP="00095310">
      <w:pPr>
        <w:pStyle w:val="Heading2"/>
      </w:pPr>
      <w:bookmarkStart w:id="177" w:name="_Toc157432130"/>
      <w:r w:rsidRPr="00B47188">
        <w:t xml:space="preserve">PM&amp;C’s </w:t>
      </w:r>
      <w:r w:rsidR="008004DD">
        <w:t xml:space="preserve">standard </w:t>
      </w:r>
      <w:r w:rsidRPr="00B47188">
        <w:t>transfer process</w:t>
      </w:r>
      <w:bookmarkEnd w:id="173"/>
      <w:bookmarkEnd w:id="175"/>
      <w:bookmarkEnd w:id="176"/>
      <w:bookmarkEnd w:id="177"/>
      <w:r w:rsidRPr="00B47188">
        <w:t xml:space="preserve"> </w:t>
      </w:r>
    </w:p>
    <w:p w14:paraId="78971CF1" w14:textId="340D716E" w:rsidR="0044575C" w:rsidRPr="00BC2ABB" w:rsidRDefault="009D56CA"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overall responsibility for transferring Cabinet </w:t>
      </w:r>
      <w:r w:rsidR="002D2132">
        <w:rPr>
          <w:sz w:val="28"/>
          <w:szCs w:val="28"/>
        </w:rPr>
        <w:t>records</w:t>
      </w:r>
      <w:r w:rsidR="009F76C7" w:rsidRPr="00BC2ABB">
        <w:rPr>
          <w:sz w:val="28"/>
          <w:szCs w:val="28"/>
        </w:rPr>
        <w:t xml:space="preserve"> from PM&amp;C to the NAA</w:t>
      </w:r>
      <w:r w:rsidR="0044575C" w:rsidRPr="00BC2ABB">
        <w:rPr>
          <w:sz w:val="28"/>
          <w:szCs w:val="28"/>
        </w:rPr>
        <w:t xml:space="preserve"> resides with Cabinet Division. PM&amp;C’s Records Management Unit (RMU) </w:t>
      </w:r>
      <w:r w:rsidR="009F76C7" w:rsidRPr="00BC2ABB">
        <w:rPr>
          <w:sz w:val="28"/>
          <w:szCs w:val="28"/>
        </w:rPr>
        <w:t>also provides some support</w:t>
      </w:r>
      <w:r w:rsidR="00D81C94" w:rsidRPr="00BC2ABB">
        <w:rPr>
          <w:sz w:val="28"/>
          <w:szCs w:val="28"/>
        </w:rPr>
        <w:t xml:space="preserve">. </w:t>
      </w:r>
    </w:p>
    <w:p w14:paraId="76313267" w14:textId="46F62600" w:rsidR="00A042B7" w:rsidRPr="00BC2ABB" w:rsidRDefault="00522A1F" w:rsidP="00771FA7">
      <w:pPr>
        <w:pStyle w:val="ListParagraph"/>
        <w:numPr>
          <w:ilvl w:val="0"/>
          <w:numId w:val="11"/>
        </w:numPr>
        <w:spacing w:line="360" w:lineRule="auto"/>
        <w:ind w:left="709" w:hanging="709"/>
        <w:contextualSpacing w:val="0"/>
        <w:rPr>
          <w:sz w:val="28"/>
          <w:szCs w:val="28"/>
        </w:rPr>
      </w:pPr>
      <w:r w:rsidRPr="00BC2ABB">
        <w:rPr>
          <w:sz w:val="28"/>
          <w:szCs w:val="28"/>
        </w:rPr>
        <w:t>T</w:t>
      </w:r>
      <w:r w:rsidR="00A042B7" w:rsidRPr="00BC2ABB">
        <w:rPr>
          <w:sz w:val="28"/>
          <w:szCs w:val="28"/>
        </w:rPr>
        <w:t xml:space="preserve">he transfer process is a functional </w:t>
      </w:r>
      <w:r w:rsidR="000F290F" w:rsidRPr="00BC2ABB">
        <w:rPr>
          <w:sz w:val="28"/>
          <w:szCs w:val="28"/>
        </w:rPr>
        <w:t xml:space="preserve">activity </w:t>
      </w:r>
      <w:r w:rsidR="00D81C94" w:rsidRPr="00BC2ABB">
        <w:rPr>
          <w:sz w:val="28"/>
          <w:szCs w:val="28"/>
        </w:rPr>
        <w:t xml:space="preserve">not </w:t>
      </w:r>
      <w:r w:rsidR="00C44E43">
        <w:rPr>
          <w:sz w:val="28"/>
          <w:szCs w:val="28"/>
        </w:rPr>
        <w:t xml:space="preserve">normally </w:t>
      </w:r>
      <w:r w:rsidR="00D81C94" w:rsidRPr="00BC2ABB">
        <w:rPr>
          <w:sz w:val="28"/>
          <w:szCs w:val="28"/>
        </w:rPr>
        <w:t>involving</w:t>
      </w:r>
      <w:r w:rsidR="000F290F" w:rsidRPr="00BC2ABB">
        <w:rPr>
          <w:sz w:val="28"/>
          <w:szCs w:val="28"/>
        </w:rPr>
        <w:t xml:space="preserve"> high level policy input or interest. </w:t>
      </w:r>
    </w:p>
    <w:p w14:paraId="5F86C88F" w14:textId="4286CD26" w:rsidR="0044575C" w:rsidRPr="001666D7" w:rsidRDefault="0044575C" w:rsidP="00771FA7">
      <w:pPr>
        <w:pStyle w:val="ListParagraph"/>
        <w:numPr>
          <w:ilvl w:val="0"/>
          <w:numId w:val="11"/>
        </w:numPr>
        <w:spacing w:line="360" w:lineRule="auto"/>
        <w:ind w:left="709" w:hanging="709"/>
        <w:contextualSpacing w:val="0"/>
        <w:rPr>
          <w:sz w:val="28"/>
          <w:szCs w:val="28"/>
        </w:rPr>
      </w:pPr>
      <w:r w:rsidRPr="001666D7">
        <w:rPr>
          <w:sz w:val="28"/>
          <w:szCs w:val="28"/>
        </w:rPr>
        <w:lastRenderedPageBreak/>
        <w:t xml:space="preserve">The </w:t>
      </w:r>
      <w:r w:rsidR="00ED22A1" w:rsidRPr="001666D7">
        <w:rPr>
          <w:sz w:val="28"/>
          <w:szCs w:val="28"/>
        </w:rPr>
        <w:t>standard transfer process in</w:t>
      </w:r>
      <w:r w:rsidR="005A42E5" w:rsidRPr="001666D7">
        <w:rPr>
          <w:sz w:val="28"/>
          <w:szCs w:val="28"/>
        </w:rPr>
        <w:t xml:space="preserve"> Cabinet Division involves:</w:t>
      </w:r>
    </w:p>
    <w:p w14:paraId="5674474D" w14:textId="65D9E36D" w:rsidR="0044575C" w:rsidRPr="001666D7" w:rsidRDefault="0044575C" w:rsidP="00771FA7">
      <w:pPr>
        <w:pStyle w:val="ListParagraph"/>
        <w:numPr>
          <w:ilvl w:val="0"/>
          <w:numId w:val="15"/>
        </w:numPr>
        <w:spacing w:line="360" w:lineRule="auto"/>
        <w:ind w:left="1134" w:hanging="425"/>
        <w:contextualSpacing w:val="0"/>
        <w:rPr>
          <w:sz w:val="28"/>
          <w:szCs w:val="28"/>
        </w:rPr>
      </w:pPr>
      <w:r w:rsidRPr="001666D7">
        <w:rPr>
          <w:sz w:val="28"/>
          <w:szCs w:val="28"/>
        </w:rPr>
        <w:t xml:space="preserve">developing a system generated list of all </w:t>
      </w:r>
      <w:r w:rsidR="009F76C7" w:rsidRPr="001666D7">
        <w:rPr>
          <w:sz w:val="28"/>
          <w:szCs w:val="28"/>
        </w:rPr>
        <w:t xml:space="preserve">Cabinet </w:t>
      </w:r>
      <w:r w:rsidRPr="001666D7">
        <w:rPr>
          <w:sz w:val="28"/>
          <w:szCs w:val="28"/>
        </w:rPr>
        <w:t>records for the relevant year and physically c</w:t>
      </w:r>
      <w:r w:rsidR="009F76C7" w:rsidRPr="001666D7">
        <w:rPr>
          <w:sz w:val="28"/>
          <w:szCs w:val="28"/>
        </w:rPr>
        <w:t>onfirming</w:t>
      </w:r>
      <w:r w:rsidRPr="001666D7">
        <w:rPr>
          <w:sz w:val="28"/>
          <w:szCs w:val="28"/>
        </w:rPr>
        <w:t xml:space="preserve"> that year’s </w:t>
      </w:r>
      <w:r w:rsidR="002D2132">
        <w:rPr>
          <w:sz w:val="28"/>
          <w:szCs w:val="28"/>
        </w:rPr>
        <w:t>records</w:t>
      </w:r>
      <w:r w:rsidRPr="001666D7">
        <w:rPr>
          <w:sz w:val="28"/>
          <w:szCs w:val="28"/>
        </w:rPr>
        <w:t xml:space="preserve"> </w:t>
      </w:r>
      <w:r w:rsidR="009F76C7" w:rsidRPr="001666D7">
        <w:rPr>
          <w:sz w:val="28"/>
          <w:szCs w:val="28"/>
        </w:rPr>
        <w:t xml:space="preserve">are contained </w:t>
      </w:r>
      <w:r w:rsidRPr="001666D7">
        <w:rPr>
          <w:sz w:val="28"/>
          <w:szCs w:val="28"/>
        </w:rPr>
        <w:t xml:space="preserve">in the PM&amp;C basement to create a spreadsheet of each records relevant data; </w:t>
      </w:r>
    </w:p>
    <w:p w14:paraId="7F6FAACF" w14:textId="47488CEE" w:rsidR="0044575C" w:rsidRPr="001666D7" w:rsidRDefault="0044575C" w:rsidP="00771FA7">
      <w:pPr>
        <w:pStyle w:val="ListParagraph"/>
        <w:numPr>
          <w:ilvl w:val="0"/>
          <w:numId w:val="15"/>
        </w:numPr>
        <w:spacing w:line="360" w:lineRule="auto"/>
        <w:ind w:left="1134" w:hanging="425"/>
        <w:contextualSpacing w:val="0"/>
        <w:rPr>
          <w:sz w:val="28"/>
          <w:szCs w:val="28"/>
        </w:rPr>
      </w:pPr>
      <w:r w:rsidRPr="001666D7">
        <w:rPr>
          <w:sz w:val="28"/>
          <w:szCs w:val="28"/>
        </w:rPr>
        <w:t xml:space="preserve">undertaking a review of documentation contained within each </w:t>
      </w:r>
      <w:r w:rsidR="002D2132">
        <w:rPr>
          <w:sz w:val="28"/>
          <w:szCs w:val="28"/>
        </w:rPr>
        <w:t>record</w:t>
      </w:r>
      <w:r w:rsidRPr="001666D7">
        <w:rPr>
          <w:sz w:val="28"/>
          <w:szCs w:val="28"/>
        </w:rPr>
        <w:t xml:space="preserve"> and removing information not considere</w:t>
      </w:r>
      <w:r w:rsidR="00D81C94" w:rsidRPr="001666D7">
        <w:rPr>
          <w:sz w:val="28"/>
          <w:szCs w:val="28"/>
        </w:rPr>
        <w:t xml:space="preserve">d </w:t>
      </w:r>
      <w:r w:rsidR="009F76C7" w:rsidRPr="001666D7">
        <w:rPr>
          <w:sz w:val="28"/>
          <w:szCs w:val="28"/>
        </w:rPr>
        <w:t xml:space="preserve">to be a </w:t>
      </w:r>
      <w:r w:rsidRPr="001666D7">
        <w:rPr>
          <w:sz w:val="28"/>
          <w:szCs w:val="28"/>
        </w:rPr>
        <w:t xml:space="preserve">Cabinet </w:t>
      </w:r>
      <w:r w:rsidR="009F76C7" w:rsidRPr="001666D7">
        <w:rPr>
          <w:sz w:val="28"/>
          <w:szCs w:val="28"/>
        </w:rPr>
        <w:t>record</w:t>
      </w:r>
      <w:r w:rsidRPr="001666D7">
        <w:rPr>
          <w:sz w:val="28"/>
          <w:szCs w:val="28"/>
        </w:rPr>
        <w:t>;</w:t>
      </w:r>
      <w:r w:rsidR="004659AA" w:rsidRPr="004659AA">
        <w:rPr>
          <w:rStyle w:val="FootnoteReference"/>
          <w:sz w:val="28"/>
          <w:szCs w:val="28"/>
        </w:rPr>
        <w:t xml:space="preserve"> </w:t>
      </w:r>
      <w:r w:rsidR="004659AA" w:rsidRPr="001666D7">
        <w:rPr>
          <w:rStyle w:val="FootnoteReference"/>
          <w:sz w:val="28"/>
          <w:szCs w:val="28"/>
        </w:rPr>
        <w:footnoteReference w:id="22"/>
      </w:r>
      <w:r w:rsidRPr="001666D7">
        <w:rPr>
          <w:sz w:val="28"/>
          <w:szCs w:val="28"/>
        </w:rPr>
        <w:t xml:space="preserve"> </w:t>
      </w:r>
    </w:p>
    <w:p w14:paraId="3A500C70" w14:textId="2531F98A" w:rsidR="0044575C" w:rsidRPr="001666D7" w:rsidRDefault="00522A1F" w:rsidP="00771FA7">
      <w:pPr>
        <w:pStyle w:val="ListParagraph"/>
        <w:numPr>
          <w:ilvl w:val="0"/>
          <w:numId w:val="15"/>
        </w:numPr>
        <w:spacing w:line="360" w:lineRule="auto"/>
        <w:ind w:left="1134" w:hanging="425"/>
        <w:contextualSpacing w:val="0"/>
        <w:rPr>
          <w:sz w:val="28"/>
          <w:szCs w:val="28"/>
        </w:rPr>
      </w:pPr>
      <w:r w:rsidRPr="001666D7">
        <w:rPr>
          <w:sz w:val="28"/>
          <w:szCs w:val="28"/>
        </w:rPr>
        <w:t xml:space="preserve">contacting intelligence </w:t>
      </w:r>
      <w:r w:rsidR="00D81C94" w:rsidRPr="001666D7">
        <w:rPr>
          <w:sz w:val="28"/>
          <w:szCs w:val="28"/>
        </w:rPr>
        <w:t xml:space="preserve">agencies to visit PM&amp;C </w:t>
      </w:r>
      <w:r w:rsidR="00C44E43">
        <w:rPr>
          <w:sz w:val="28"/>
          <w:szCs w:val="28"/>
        </w:rPr>
        <w:t xml:space="preserve">to </w:t>
      </w:r>
      <w:r w:rsidR="0044575C" w:rsidRPr="001666D7">
        <w:rPr>
          <w:sz w:val="28"/>
          <w:szCs w:val="28"/>
        </w:rPr>
        <w:t xml:space="preserve">review sensitive </w:t>
      </w:r>
      <w:r w:rsidR="002D2132">
        <w:rPr>
          <w:sz w:val="28"/>
          <w:szCs w:val="28"/>
        </w:rPr>
        <w:t>records</w:t>
      </w:r>
      <w:r w:rsidR="0044575C" w:rsidRPr="001666D7">
        <w:rPr>
          <w:sz w:val="28"/>
          <w:szCs w:val="28"/>
        </w:rPr>
        <w:t xml:space="preserve"> to ensure </w:t>
      </w:r>
      <w:r w:rsidR="00C44E43">
        <w:rPr>
          <w:sz w:val="28"/>
          <w:szCs w:val="28"/>
        </w:rPr>
        <w:t xml:space="preserve">that </w:t>
      </w:r>
      <w:r w:rsidR="0044575C" w:rsidRPr="001666D7">
        <w:rPr>
          <w:sz w:val="28"/>
          <w:szCs w:val="28"/>
        </w:rPr>
        <w:t xml:space="preserve">non-Cabinet intelligence papers are </w:t>
      </w:r>
      <w:r w:rsidR="00C44E43">
        <w:rPr>
          <w:sz w:val="28"/>
          <w:szCs w:val="28"/>
        </w:rPr>
        <w:t>not inadvertently caught up amongst Cabinet records for transfer to the NAA</w:t>
      </w:r>
      <w:r w:rsidR="0044575C" w:rsidRPr="001666D7">
        <w:rPr>
          <w:sz w:val="28"/>
          <w:szCs w:val="28"/>
        </w:rPr>
        <w:t xml:space="preserve">; </w:t>
      </w:r>
    </w:p>
    <w:p w14:paraId="7D6A88DF" w14:textId="5ECD781E" w:rsidR="0044575C" w:rsidRPr="001666D7" w:rsidRDefault="00D81C94" w:rsidP="00771FA7">
      <w:pPr>
        <w:pStyle w:val="ListParagraph"/>
        <w:numPr>
          <w:ilvl w:val="0"/>
          <w:numId w:val="15"/>
        </w:numPr>
        <w:spacing w:line="360" w:lineRule="auto"/>
        <w:ind w:left="1134" w:hanging="425"/>
        <w:contextualSpacing w:val="0"/>
        <w:rPr>
          <w:sz w:val="28"/>
          <w:szCs w:val="28"/>
        </w:rPr>
      </w:pPr>
      <w:r w:rsidRPr="001666D7">
        <w:rPr>
          <w:sz w:val="28"/>
          <w:szCs w:val="28"/>
        </w:rPr>
        <w:t>obtaining the</w:t>
      </w:r>
      <w:r w:rsidR="00F73844" w:rsidRPr="001666D7">
        <w:rPr>
          <w:sz w:val="28"/>
          <w:szCs w:val="28"/>
        </w:rPr>
        <w:t xml:space="preserve"> approval of the relevant</w:t>
      </w:r>
      <w:r w:rsidRPr="001666D7">
        <w:rPr>
          <w:sz w:val="28"/>
          <w:szCs w:val="28"/>
        </w:rPr>
        <w:t xml:space="preserve"> Assistant Secretary in Cabinet Division</w:t>
      </w:r>
      <w:r w:rsidR="00F73844" w:rsidRPr="001666D7">
        <w:rPr>
          <w:sz w:val="28"/>
          <w:szCs w:val="28"/>
        </w:rPr>
        <w:t xml:space="preserve"> </w:t>
      </w:r>
      <w:r w:rsidRPr="001666D7">
        <w:rPr>
          <w:sz w:val="28"/>
          <w:szCs w:val="28"/>
        </w:rPr>
        <w:t>for transfer</w:t>
      </w:r>
      <w:r w:rsidR="0044575C" w:rsidRPr="001666D7">
        <w:rPr>
          <w:sz w:val="28"/>
          <w:szCs w:val="28"/>
        </w:rPr>
        <w:t xml:space="preserve"> </w:t>
      </w:r>
      <w:r w:rsidRPr="001666D7">
        <w:rPr>
          <w:sz w:val="28"/>
          <w:szCs w:val="28"/>
        </w:rPr>
        <w:t>by</w:t>
      </w:r>
      <w:r w:rsidR="0044575C" w:rsidRPr="001666D7">
        <w:rPr>
          <w:sz w:val="28"/>
          <w:szCs w:val="28"/>
        </w:rPr>
        <w:t xml:space="preserve"> </w:t>
      </w:r>
      <w:r w:rsidRPr="001666D7">
        <w:rPr>
          <w:sz w:val="28"/>
          <w:szCs w:val="28"/>
        </w:rPr>
        <w:t>providing</w:t>
      </w:r>
      <w:r w:rsidR="0044575C" w:rsidRPr="001666D7">
        <w:rPr>
          <w:sz w:val="28"/>
          <w:szCs w:val="28"/>
        </w:rPr>
        <w:t xml:space="preserve"> an itemised spreadsheet along with the required transfer approval papers</w:t>
      </w:r>
      <w:r w:rsidR="00C44E43">
        <w:rPr>
          <w:sz w:val="28"/>
          <w:szCs w:val="28"/>
        </w:rPr>
        <w:t>;</w:t>
      </w:r>
    </w:p>
    <w:p w14:paraId="764C17D1" w14:textId="7C0A6585" w:rsidR="0044575C" w:rsidRPr="001666D7" w:rsidRDefault="00D81C94" w:rsidP="00771FA7">
      <w:pPr>
        <w:pStyle w:val="ListParagraph"/>
        <w:numPr>
          <w:ilvl w:val="0"/>
          <w:numId w:val="15"/>
        </w:numPr>
        <w:spacing w:line="360" w:lineRule="auto"/>
        <w:ind w:left="1134" w:hanging="425"/>
        <w:contextualSpacing w:val="0"/>
        <w:rPr>
          <w:sz w:val="28"/>
          <w:szCs w:val="28"/>
        </w:rPr>
      </w:pPr>
      <w:r w:rsidRPr="001666D7">
        <w:rPr>
          <w:sz w:val="28"/>
          <w:szCs w:val="28"/>
        </w:rPr>
        <w:t xml:space="preserve">notifying </w:t>
      </w:r>
      <w:r w:rsidR="009F76C7" w:rsidRPr="001666D7">
        <w:rPr>
          <w:sz w:val="28"/>
          <w:szCs w:val="28"/>
        </w:rPr>
        <w:t xml:space="preserve">the </w:t>
      </w:r>
      <w:r w:rsidRPr="001666D7">
        <w:rPr>
          <w:sz w:val="28"/>
          <w:szCs w:val="28"/>
        </w:rPr>
        <w:t xml:space="preserve">NAA that a transfer of </w:t>
      </w:r>
      <w:r w:rsidR="002D2132">
        <w:rPr>
          <w:sz w:val="28"/>
          <w:szCs w:val="28"/>
        </w:rPr>
        <w:t>records</w:t>
      </w:r>
      <w:r w:rsidRPr="001666D7">
        <w:rPr>
          <w:sz w:val="28"/>
          <w:szCs w:val="28"/>
        </w:rPr>
        <w:t xml:space="preserve"> is ready and providing two portable storage devices of the transfer spreadsheet by safehand. A completed NAA Transfer Proposal and Approval (TPA) form is also emailed to </w:t>
      </w:r>
      <w:r w:rsidR="009F76C7" w:rsidRPr="001666D7">
        <w:rPr>
          <w:sz w:val="28"/>
          <w:szCs w:val="28"/>
        </w:rPr>
        <w:t xml:space="preserve">the </w:t>
      </w:r>
      <w:r w:rsidRPr="001666D7">
        <w:rPr>
          <w:sz w:val="28"/>
          <w:szCs w:val="28"/>
        </w:rPr>
        <w:t xml:space="preserve">NAA; </w:t>
      </w:r>
    </w:p>
    <w:p w14:paraId="12FC11F7" w14:textId="7FF23537" w:rsidR="00D81C94" w:rsidRPr="001666D7" w:rsidRDefault="00D81C94" w:rsidP="00771FA7">
      <w:pPr>
        <w:pStyle w:val="ListParagraph"/>
        <w:numPr>
          <w:ilvl w:val="0"/>
          <w:numId w:val="15"/>
        </w:numPr>
        <w:spacing w:line="360" w:lineRule="auto"/>
        <w:ind w:left="1134" w:hanging="425"/>
        <w:contextualSpacing w:val="0"/>
        <w:rPr>
          <w:sz w:val="28"/>
          <w:szCs w:val="28"/>
        </w:rPr>
      </w:pPr>
      <w:r w:rsidRPr="001666D7">
        <w:rPr>
          <w:sz w:val="28"/>
          <w:szCs w:val="28"/>
        </w:rPr>
        <w:t xml:space="preserve">enabling </w:t>
      </w:r>
      <w:r w:rsidR="009F76C7" w:rsidRPr="001666D7">
        <w:rPr>
          <w:sz w:val="28"/>
          <w:szCs w:val="28"/>
        </w:rPr>
        <w:t xml:space="preserve">the </w:t>
      </w:r>
      <w:r w:rsidRPr="001666D7">
        <w:rPr>
          <w:sz w:val="28"/>
          <w:szCs w:val="28"/>
        </w:rPr>
        <w:t xml:space="preserve">NAA to attend PM&amp;C to conduct a check of </w:t>
      </w:r>
      <w:r w:rsidR="002D2132">
        <w:rPr>
          <w:sz w:val="28"/>
          <w:szCs w:val="28"/>
        </w:rPr>
        <w:t>records</w:t>
      </w:r>
      <w:r w:rsidRPr="001666D7">
        <w:rPr>
          <w:sz w:val="28"/>
          <w:szCs w:val="28"/>
        </w:rPr>
        <w:t xml:space="preserve"> against the spreadsheet and TPA form; and </w:t>
      </w:r>
    </w:p>
    <w:p w14:paraId="4B8DD0E1" w14:textId="181F8763" w:rsidR="00D81C94" w:rsidRPr="001666D7" w:rsidRDefault="00D81C94" w:rsidP="00771FA7">
      <w:pPr>
        <w:pStyle w:val="ListParagraph"/>
        <w:numPr>
          <w:ilvl w:val="0"/>
          <w:numId w:val="15"/>
        </w:numPr>
        <w:spacing w:line="360" w:lineRule="auto"/>
        <w:ind w:left="1134" w:hanging="425"/>
        <w:contextualSpacing w:val="0"/>
        <w:rPr>
          <w:sz w:val="28"/>
          <w:szCs w:val="28"/>
        </w:rPr>
      </w:pPr>
      <w:r w:rsidRPr="001666D7">
        <w:rPr>
          <w:sz w:val="28"/>
          <w:szCs w:val="28"/>
        </w:rPr>
        <w:lastRenderedPageBreak/>
        <w:t xml:space="preserve">scheduling a time for the courier to transfer records to </w:t>
      </w:r>
      <w:r w:rsidR="000059C4">
        <w:rPr>
          <w:sz w:val="28"/>
          <w:szCs w:val="28"/>
        </w:rPr>
        <w:t xml:space="preserve">the </w:t>
      </w:r>
      <w:r w:rsidRPr="001666D7">
        <w:rPr>
          <w:sz w:val="28"/>
          <w:szCs w:val="28"/>
        </w:rPr>
        <w:t xml:space="preserve">NAA. </w:t>
      </w:r>
    </w:p>
    <w:p w14:paraId="1C0D132A" w14:textId="574E60A8" w:rsidR="00D81C94" w:rsidRPr="00BC2ABB" w:rsidRDefault="009F76C7"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w:t>
      </w:r>
      <w:r w:rsidR="00D81C94" w:rsidRPr="00BC2ABB">
        <w:rPr>
          <w:sz w:val="28"/>
          <w:szCs w:val="28"/>
        </w:rPr>
        <w:t>NAA then receive</w:t>
      </w:r>
      <w:r w:rsidR="00702E73">
        <w:rPr>
          <w:sz w:val="28"/>
          <w:szCs w:val="28"/>
        </w:rPr>
        <w:t>s</w:t>
      </w:r>
      <w:r w:rsidR="00D81C94" w:rsidRPr="00BC2ABB">
        <w:rPr>
          <w:sz w:val="28"/>
          <w:szCs w:val="28"/>
        </w:rPr>
        <w:t xml:space="preserve"> the </w:t>
      </w:r>
      <w:r w:rsidR="002D2132">
        <w:rPr>
          <w:sz w:val="28"/>
          <w:szCs w:val="28"/>
        </w:rPr>
        <w:t>records</w:t>
      </w:r>
      <w:r w:rsidR="00D81C94" w:rsidRPr="00BC2ABB">
        <w:rPr>
          <w:sz w:val="28"/>
          <w:szCs w:val="28"/>
        </w:rPr>
        <w:t xml:space="preserve"> and </w:t>
      </w:r>
      <w:r w:rsidR="00702E73">
        <w:rPr>
          <w:sz w:val="28"/>
          <w:szCs w:val="28"/>
        </w:rPr>
        <w:t xml:space="preserve">is </w:t>
      </w:r>
      <w:r w:rsidR="00D81C94" w:rsidRPr="00BC2ABB">
        <w:rPr>
          <w:sz w:val="28"/>
          <w:szCs w:val="28"/>
        </w:rPr>
        <w:t>responsible for cross-checking items in each box against the list provided by PM&amp;C before sending their record of all items marked as received, and a signed acknowledge</w:t>
      </w:r>
      <w:r w:rsidR="00ED22A1" w:rsidRPr="00BC2ABB">
        <w:rPr>
          <w:sz w:val="28"/>
          <w:szCs w:val="28"/>
        </w:rPr>
        <w:t>ment</w:t>
      </w:r>
      <w:r w:rsidR="00D81C94" w:rsidRPr="00BC2ABB">
        <w:rPr>
          <w:sz w:val="28"/>
          <w:szCs w:val="28"/>
        </w:rPr>
        <w:t xml:space="preserve"> form, to PM&amp;C. </w:t>
      </w:r>
    </w:p>
    <w:p w14:paraId="61C3B19C" w14:textId="1A2B2D68" w:rsidR="00D81C94" w:rsidRDefault="004771E2" w:rsidP="00BC2ABB">
      <w:pPr>
        <w:pStyle w:val="Heading2"/>
        <w:spacing w:line="360" w:lineRule="auto"/>
      </w:pPr>
      <w:bookmarkStart w:id="178" w:name="_Toc155799977"/>
      <w:bookmarkStart w:id="179" w:name="_Toc155875124"/>
      <w:bookmarkStart w:id="180" w:name="_Toc156565985"/>
      <w:bookmarkStart w:id="181" w:name="_Toc157432131"/>
      <w:r>
        <w:t>The 2020 transfer</w:t>
      </w:r>
      <w:bookmarkEnd w:id="178"/>
      <w:bookmarkEnd w:id="179"/>
      <w:bookmarkEnd w:id="180"/>
      <w:bookmarkEnd w:id="181"/>
      <w:r>
        <w:t xml:space="preserve"> </w:t>
      </w:r>
    </w:p>
    <w:p w14:paraId="6EA73AAA" w14:textId="56F2E856" w:rsidR="004771E2" w:rsidRPr="00AE2B2A" w:rsidRDefault="005033B7" w:rsidP="00771FA7">
      <w:pPr>
        <w:pStyle w:val="ListParagraph"/>
        <w:numPr>
          <w:ilvl w:val="0"/>
          <w:numId w:val="11"/>
        </w:numPr>
        <w:spacing w:line="360" w:lineRule="auto"/>
        <w:ind w:left="709" w:hanging="709"/>
        <w:contextualSpacing w:val="0"/>
        <w:rPr>
          <w:sz w:val="28"/>
          <w:szCs w:val="28"/>
        </w:rPr>
      </w:pPr>
      <w:r w:rsidRPr="00BC2ABB">
        <w:rPr>
          <w:sz w:val="28"/>
          <w:szCs w:val="28"/>
        </w:rPr>
        <w:t>We have examined the circumstances of the transfer of Cabine</w:t>
      </w:r>
      <w:r w:rsidR="008004DD">
        <w:rPr>
          <w:sz w:val="28"/>
          <w:szCs w:val="28"/>
        </w:rPr>
        <w:t>t records through both</w:t>
      </w:r>
      <w:r w:rsidR="00CE6E11">
        <w:rPr>
          <w:sz w:val="28"/>
          <w:szCs w:val="28"/>
        </w:rPr>
        <w:t xml:space="preserve"> interviews with</w:t>
      </w:r>
      <w:r w:rsidR="00ED22A1" w:rsidRPr="00BC2ABB">
        <w:rPr>
          <w:sz w:val="28"/>
          <w:szCs w:val="28"/>
        </w:rPr>
        <w:t xml:space="preserve"> PM&amp;C </w:t>
      </w:r>
      <w:r w:rsidR="00C94018" w:rsidRPr="00BC2ABB">
        <w:rPr>
          <w:sz w:val="28"/>
          <w:szCs w:val="28"/>
        </w:rPr>
        <w:t>officials</w:t>
      </w:r>
      <w:r w:rsidRPr="00BC2ABB">
        <w:rPr>
          <w:sz w:val="28"/>
          <w:szCs w:val="28"/>
        </w:rPr>
        <w:t xml:space="preserve"> involved in the process in 2020, and through a physical examination of areas that hold Cabinet records within PM&amp;C. Enquiries also included interviews with former Prime Ministers, Secretaries of PM&amp;C and Directors-General of the NAA.</w:t>
      </w:r>
      <w:r w:rsidR="004771E2" w:rsidRPr="00BC2ABB">
        <w:rPr>
          <w:sz w:val="28"/>
          <w:szCs w:val="28"/>
        </w:rPr>
        <w:t xml:space="preserve"> </w:t>
      </w:r>
    </w:p>
    <w:p w14:paraId="673E10DD" w14:textId="5358BD74" w:rsidR="007F638E" w:rsidRPr="009C02A4" w:rsidRDefault="007F638E" w:rsidP="00BC2ABB">
      <w:pPr>
        <w:pStyle w:val="Heading3"/>
        <w:spacing w:line="360" w:lineRule="auto"/>
        <w:rPr>
          <w:b w:val="0"/>
          <w:sz w:val="28"/>
          <w:szCs w:val="28"/>
        </w:rPr>
      </w:pPr>
      <w:bookmarkStart w:id="182" w:name="_Toc155799979"/>
      <w:bookmarkStart w:id="183" w:name="_Toc155875126"/>
      <w:bookmarkStart w:id="184" w:name="_Toc156565987"/>
      <w:bookmarkStart w:id="185" w:name="_Toc157432132"/>
      <w:bookmarkStart w:id="186" w:name="_Toc155699059"/>
      <w:bookmarkStart w:id="187" w:name="_Toc155701001"/>
      <w:r w:rsidRPr="009C02A4">
        <w:rPr>
          <w:b w:val="0"/>
          <w:sz w:val="28"/>
          <w:szCs w:val="28"/>
        </w:rPr>
        <w:t>COVID-19</w:t>
      </w:r>
      <w:bookmarkEnd w:id="182"/>
      <w:bookmarkEnd w:id="183"/>
      <w:bookmarkEnd w:id="184"/>
      <w:bookmarkEnd w:id="185"/>
    </w:p>
    <w:p w14:paraId="5319CD98" w14:textId="43FB2E6D" w:rsidR="007F638E" w:rsidRPr="00AE2B2A" w:rsidRDefault="00F73844" w:rsidP="00771FA7">
      <w:pPr>
        <w:pStyle w:val="ListParagraph"/>
        <w:numPr>
          <w:ilvl w:val="0"/>
          <w:numId w:val="11"/>
        </w:numPr>
        <w:spacing w:line="360" w:lineRule="auto"/>
        <w:ind w:left="709" w:hanging="709"/>
        <w:contextualSpacing w:val="0"/>
        <w:rPr>
          <w:sz w:val="28"/>
          <w:szCs w:val="28"/>
        </w:rPr>
      </w:pPr>
      <w:r>
        <w:rPr>
          <w:sz w:val="28"/>
          <w:szCs w:val="28"/>
        </w:rPr>
        <w:t>T</w:t>
      </w:r>
      <w:r w:rsidR="007F638E" w:rsidRPr="00BC2ABB">
        <w:rPr>
          <w:sz w:val="28"/>
          <w:szCs w:val="28"/>
        </w:rPr>
        <w:t>he COVID-19 pandemic had a dramatic impact on normal processes and resourcing within Cabinet Division</w:t>
      </w:r>
      <w:r w:rsidR="00AE3131">
        <w:rPr>
          <w:sz w:val="28"/>
          <w:szCs w:val="28"/>
        </w:rPr>
        <w:t>,</w:t>
      </w:r>
      <w:r>
        <w:rPr>
          <w:sz w:val="28"/>
          <w:szCs w:val="28"/>
        </w:rPr>
        <w:t xml:space="preserve"> as it did across the public and private sector</w:t>
      </w:r>
      <w:r w:rsidR="00DD0812">
        <w:rPr>
          <w:sz w:val="28"/>
          <w:szCs w:val="28"/>
        </w:rPr>
        <w:t>s</w:t>
      </w:r>
      <w:r w:rsidR="007F638E" w:rsidRPr="00BC2ABB">
        <w:rPr>
          <w:sz w:val="28"/>
          <w:szCs w:val="28"/>
        </w:rPr>
        <w:t xml:space="preserve">. </w:t>
      </w:r>
    </w:p>
    <w:p w14:paraId="42731455" w14:textId="5A7C5EF5" w:rsidR="00F73844" w:rsidRPr="001666D7" w:rsidRDefault="00F73844" w:rsidP="00771FA7">
      <w:pPr>
        <w:pStyle w:val="ListParagraph"/>
        <w:numPr>
          <w:ilvl w:val="0"/>
          <w:numId w:val="11"/>
        </w:numPr>
        <w:spacing w:line="360" w:lineRule="auto"/>
        <w:ind w:left="709" w:hanging="709"/>
        <w:contextualSpacing w:val="0"/>
        <w:rPr>
          <w:sz w:val="28"/>
          <w:szCs w:val="28"/>
        </w:rPr>
      </w:pPr>
      <w:r w:rsidRPr="00357584">
        <w:rPr>
          <w:sz w:val="28"/>
          <w:szCs w:val="28"/>
        </w:rPr>
        <w:t>The first confirmed case of COVID-19 in</w:t>
      </w:r>
      <w:r w:rsidR="004659AA">
        <w:rPr>
          <w:sz w:val="28"/>
          <w:szCs w:val="28"/>
        </w:rPr>
        <w:t xml:space="preserve"> Australia was identified on 25 </w:t>
      </w:r>
      <w:r w:rsidRPr="00357584">
        <w:rPr>
          <w:sz w:val="28"/>
          <w:szCs w:val="28"/>
        </w:rPr>
        <w:t>January 2020.</w:t>
      </w:r>
      <w:r w:rsidR="001666D7">
        <w:rPr>
          <w:rStyle w:val="FootnoteReference"/>
          <w:sz w:val="28"/>
          <w:szCs w:val="28"/>
        </w:rPr>
        <w:footnoteReference w:id="23"/>
      </w:r>
      <w:r>
        <w:rPr>
          <w:sz w:val="28"/>
          <w:szCs w:val="28"/>
        </w:rPr>
        <w:t xml:space="preserve"> </w:t>
      </w:r>
      <w:r w:rsidRPr="00357584">
        <w:rPr>
          <w:sz w:val="28"/>
          <w:szCs w:val="28"/>
        </w:rPr>
        <w:t xml:space="preserve">On 18 March 2020, the Governor-General, on advice from the Australian government, declared a human biosecurity </w:t>
      </w:r>
      <w:r w:rsidRPr="00357584">
        <w:rPr>
          <w:sz w:val="28"/>
          <w:szCs w:val="28"/>
        </w:rPr>
        <w:lastRenderedPageBreak/>
        <w:t>emergency</w:t>
      </w:r>
      <w:r>
        <w:rPr>
          <w:sz w:val="28"/>
          <w:szCs w:val="28"/>
        </w:rPr>
        <w:t>.</w:t>
      </w:r>
      <w:r w:rsidR="002474EC" w:rsidRPr="002474EC">
        <w:rPr>
          <w:rStyle w:val="FootnoteReference"/>
          <w:sz w:val="28"/>
          <w:szCs w:val="28"/>
        </w:rPr>
        <w:t xml:space="preserve"> </w:t>
      </w:r>
      <w:r w:rsidR="002474EC">
        <w:rPr>
          <w:rStyle w:val="FootnoteReference"/>
          <w:sz w:val="28"/>
          <w:szCs w:val="28"/>
        </w:rPr>
        <w:footnoteReference w:id="24"/>
      </w:r>
      <w:r w:rsidRPr="00F73844">
        <w:rPr>
          <w:sz w:val="28"/>
          <w:szCs w:val="28"/>
        </w:rPr>
        <w:t xml:space="preserve"> </w:t>
      </w:r>
      <w:r>
        <w:rPr>
          <w:sz w:val="28"/>
          <w:szCs w:val="28"/>
        </w:rPr>
        <w:t xml:space="preserve">The </w:t>
      </w:r>
      <w:r w:rsidRPr="00357584">
        <w:rPr>
          <w:sz w:val="28"/>
          <w:szCs w:val="28"/>
        </w:rPr>
        <w:t xml:space="preserve">National Cabinet </w:t>
      </w:r>
      <w:r>
        <w:rPr>
          <w:sz w:val="28"/>
          <w:szCs w:val="28"/>
        </w:rPr>
        <w:t xml:space="preserve">was established </w:t>
      </w:r>
      <w:r w:rsidRPr="00357584">
        <w:rPr>
          <w:sz w:val="28"/>
          <w:szCs w:val="28"/>
        </w:rPr>
        <w:t>in March 2020</w:t>
      </w:r>
      <w:r w:rsidR="001666D7">
        <w:rPr>
          <w:rStyle w:val="FootnoteReference"/>
          <w:sz w:val="28"/>
          <w:szCs w:val="28"/>
        </w:rPr>
        <w:footnoteReference w:id="25"/>
      </w:r>
      <w:r w:rsidRPr="00357584">
        <w:rPr>
          <w:sz w:val="28"/>
          <w:szCs w:val="28"/>
        </w:rPr>
        <w:t xml:space="preserve"> </w:t>
      </w:r>
      <w:r w:rsidR="00F93556">
        <w:rPr>
          <w:sz w:val="28"/>
          <w:szCs w:val="28"/>
        </w:rPr>
        <w:t xml:space="preserve">to </w:t>
      </w:r>
      <w:r w:rsidRPr="00357584">
        <w:rPr>
          <w:sz w:val="28"/>
          <w:szCs w:val="28"/>
        </w:rPr>
        <w:t>coordinat</w:t>
      </w:r>
      <w:r w:rsidR="00C44E43">
        <w:rPr>
          <w:sz w:val="28"/>
          <w:szCs w:val="28"/>
        </w:rPr>
        <w:t>e</w:t>
      </w:r>
      <w:r w:rsidRPr="00357584">
        <w:rPr>
          <w:sz w:val="28"/>
          <w:szCs w:val="28"/>
        </w:rPr>
        <w:t xml:space="preserve"> Australia’s response to the pandemic, and was primarily supported by PM&amp;C’s Cabinet Division.</w:t>
      </w:r>
      <w:r w:rsidR="001666D7">
        <w:rPr>
          <w:sz w:val="28"/>
          <w:szCs w:val="28"/>
        </w:rPr>
        <w:t xml:space="preserve"> </w:t>
      </w:r>
    </w:p>
    <w:p w14:paraId="1FF11BDC" w14:textId="7D98CD26" w:rsidR="007F638E" w:rsidRPr="00BC2ABB" w:rsidRDefault="00DA2627" w:rsidP="00771FA7">
      <w:pPr>
        <w:pStyle w:val="ListParagraph"/>
        <w:numPr>
          <w:ilvl w:val="0"/>
          <w:numId w:val="11"/>
        </w:numPr>
        <w:spacing w:line="360" w:lineRule="auto"/>
        <w:ind w:left="709" w:hanging="709"/>
        <w:contextualSpacing w:val="0"/>
        <w:rPr>
          <w:sz w:val="28"/>
          <w:szCs w:val="28"/>
        </w:rPr>
      </w:pPr>
      <w:r w:rsidRPr="00BC2ABB">
        <w:rPr>
          <w:sz w:val="28"/>
          <w:szCs w:val="28"/>
        </w:rPr>
        <w:t>Officials in both PM&amp;C and</w:t>
      </w:r>
      <w:r w:rsidR="004659AA">
        <w:rPr>
          <w:sz w:val="28"/>
          <w:szCs w:val="28"/>
        </w:rPr>
        <w:t xml:space="preserve"> the</w:t>
      </w:r>
      <w:r w:rsidRPr="00BC2ABB">
        <w:rPr>
          <w:sz w:val="28"/>
          <w:szCs w:val="28"/>
        </w:rPr>
        <w:t xml:space="preserve"> NAA advised that they were impacted by lockdowns and restrictions on office attendance, and as a result, normal processes were disrupted. For instance, requirements to physically undertake review of sensi</w:t>
      </w:r>
      <w:r w:rsidR="00522A1F" w:rsidRPr="00BC2ABB">
        <w:rPr>
          <w:sz w:val="28"/>
          <w:szCs w:val="28"/>
        </w:rPr>
        <w:t xml:space="preserve">tive records by intelligence </w:t>
      </w:r>
      <w:r w:rsidRPr="00BC2ABB">
        <w:rPr>
          <w:sz w:val="28"/>
          <w:szCs w:val="28"/>
        </w:rPr>
        <w:t xml:space="preserve">agencies to ensure that no non-Cabinet </w:t>
      </w:r>
      <w:r w:rsidR="00F73844">
        <w:rPr>
          <w:sz w:val="28"/>
          <w:szCs w:val="28"/>
        </w:rPr>
        <w:t xml:space="preserve">intelligence </w:t>
      </w:r>
      <w:r w:rsidRPr="00BC2ABB">
        <w:rPr>
          <w:sz w:val="28"/>
          <w:szCs w:val="28"/>
        </w:rPr>
        <w:t>material was accidentally caught up amongst the Cabinet records, as did happen on one occasion in the past</w:t>
      </w:r>
      <w:r w:rsidR="004659AA">
        <w:rPr>
          <w:sz w:val="28"/>
          <w:szCs w:val="28"/>
        </w:rPr>
        <w:t>, were impacted by lockdowns and restrictions</w:t>
      </w:r>
      <w:r w:rsidRPr="00BC2ABB">
        <w:rPr>
          <w:sz w:val="28"/>
          <w:szCs w:val="28"/>
        </w:rPr>
        <w:t xml:space="preserve">. </w:t>
      </w:r>
      <w:r w:rsidR="003958DA">
        <w:rPr>
          <w:sz w:val="28"/>
          <w:szCs w:val="28"/>
        </w:rPr>
        <w:t>As a result</w:t>
      </w:r>
      <w:r w:rsidR="00702E73">
        <w:rPr>
          <w:sz w:val="28"/>
          <w:szCs w:val="28"/>
        </w:rPr>
        <w:t xml:space="preserve"> of the office restrictions</w:t>
      </w:r>
      <w:r w:rsidR="003958DA">
        <w:rPr>
          <w:sz w:val="28"/>
          <w:szCs w:val="28"/>
        </w:rPr>
        <w:t xml:space="preserve">, a box of Cabinet records was left in </w:t>
      </w:r>
      <w:r w:rsidR="00702E73">
        <w:rPr>
          <w:sz w:val="28"/>
          <w:szCs w:val="28"/>
        </w:rPr>
        <w:t xml:space="preserve">a </w:t>
      </w:r>
      <w:r w:rsidR="003958DA">
        <w:rPr>
          <w:sz w:val="28"/>
          <w:szCs w:val="28"/>
        </w:rPr>
        <w:t xml:space="preserve">secure storage </w:t>
      </w:r>
      <w:r w:rsidR="00702E73">
        <w:rPr>
          <w:sz w:val="28"/>
          <w:szCs w:val="28"/>
        </w:rPr>
        <w:t xml:space="preserve">area </w:t>
      </w:r>
      <w:r w:rsidR="003958DA">
        <w:rPr>
          <w:sz w:val="28"/>
          <w:szCs w:val="28"/>
        </w:rPr>
        <w:t xml:space="preserve">pending </w:t>
      </w:r>
      <w:r w:rsidR="001B6D25">
        <w:rPr>
          <w:sz w:val="28"/>
          <w:szCs w:val="28"/>
        </w:rPr>
        <w:t>intelligence</w:t>
      </w:r>
      <w:r w:rsidR="003958DA">
        <w:rPr>
          <w:sz w:val="28"/>
          <w:szCs w:val="28"/>
        </w:rPr>
        <w:t xml:space="preserve"> a</w:t>
      </w:r>
      <w:r w:rsidR="00702E73">
        <w:rPr>
          <w:sz w:val="28"/>
          <w:szCs w:val="28"/>
        </w:rPr>
        <w:t>gency review</w:t>
      </w:r>
      <w:r w:rsidR="00A1016E">
        <w:rPr>
          <w:sz w:val="28"/>
          <w:szCs w:val="28"/>
        </w:rPr>
        <w:t xml:space="preserve"> and subsequently forgotten. </w:t>
      </w:r>
      <w:r w:rsidRPr="00BC2ABB">
        <w:rPr>
          <w:sz w:val="28"/>
          <w:szCs w:val="28"/>
        </w:rPr>
        <w:t xml:space="preserve">Additionally, the </w:t>
      </w:r>
      <w:r w:rsidR="007F638E" w:rsidRPr="00BC2ABB">
        <w:rPr>
          <w:sz w:val="28"/>
          <w:szCs w:val="28"/>
        </w:rPr>
        <w:t xml:space="preserve">Review was advised that during 2020 the NAA paused physical transfer of Commonwealth records as a result of COVID-19 restrictions. </w:t>
      </w:r>
    </w:p>
    <w:p w14:paraId="7D2A0306" w14:textId="59483788" w:rsidR="007F638E" w:rsidRPr="00BC2ABB" w:rsidRDefault="007F638E"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PM&amp;C officials </w:t>
      </w:r>
      <w:r w:rsidR="00DD0812">
        <w:rPr>
          <w:sz w:val="28"/>
          <w:szCs w:val="28"/>
        </w:rPr>
        <w:t>said</w:t>
      </w:r>
      <w:r w:rsidRPr="00BC2ABB">
        <w:rPr>
          <w:sz w:val="28"/>
          <w:szCs w:val="28"/>
        </w:rPr>
        <w:t xml:space="preserve"> that Cabinet Division resources were significantly impacted by changes to the Cabinet Committee architecture to support </w:t>
      </w:r>
      <w:r w:rsidRPr="00BC2ABB">
        <w:rPr>
          <w:sz w:val="28"/>
          <w:szCs w:val="28"/>
        </w:rPr>
        <w:lastRenderedPageBreak/>
        <w:t xml:space="preserve">the government’s response to the pandemic. </w:t>
      </w:r>
      <w:r w:rsidR="00DA2627" w:rsidRPr="00BC2ABB">
        <w:rPr>
          <w:sz w:val="28"/>
          <w:szCs w:val="28"/>
        </w:rPr>
        <w:t xml:space="preserve">In particular, </w:t>
      </w:r>
      <w:r w:rsidRPr="00BC2ABB">
        <w:rPr>
          <w:sz w:val="28"/>
          <w:szCs w:val="28"/>
        </w:rPr>
        <w:t xml:space="preserve">Cabinet Division </w:t>
      </w:r>
      <w:r w:rsidR="00DA2627" w:rsidRPr="00BC2ABB">
        <w:rPr>
          <w:sz w:val="28"/>
          <w:szCs w:val="28"/>
        </w:rPr>
        <w:t>advised its work program in relation to National Cabinet</w:t>
      </w:r>
      <w:r w:rsidRPr="00BC2ABB">
        <w:rPr>
          <w:sz w:val="28"/>
          <w:szCs w:val="28"/>
        </w:rPr>
        <w:t>, in addition to other Cabinet and Cabinet Committee support functions</w:t>
      </w:r>
      <w:r w:rsidR="00AE3131">
        <w:rPr>
          <w:sz w:val="28"/>
          <w:szCs w:val="28"/>
        </w:rPr>
        <w:t>,</w:t>
      </w:r>
      <w:r w:rsidRPr="00BC2ABB">
        <w:rPr>
          <w:sz w:val="28"/>
          <w:szCs w:val="28"/>
        </w:rPr>
        <w:t xml:space="preserve"> effectively doubled. </w:t>
      </w:r>
      <w:r w:rsidR="00BE3109">
        <w:rPr>
          <w:sz w:val="28"/>
          <w:szCs w:val="28"/>
        </w:rPr>
        <w:t>B</w:t>
      </w:r>
      <w:r w:rsidRPr="00BC2ABB">
        <w:rPr>
          <w:sz w:val="28"/>
          <w:szCs w:val="28"/>
        </w:rPr>
        <w:t>etween its inception</w:t>
      </w:r>
      <w:r w:rsidR="00095150">
        <w:rPr>
          <w:sz w:val="28"/>
          <w:szCs w:val="28"/>
        </w:rPr>
        <w:t>,</w:t>
      </w:r>
      <w:r w:rsidR="00CB271D">
        <w:rPr>
          <w:sz w:val="28"/>
          <w:szCs w:val="28"/>
        </w:rPr>
        <w:t xml:space="preserve"> on 13</w:t>
      </w:r>
      <w:r w:rsidR="004659AA">
        <w:rPr>
          <w:sz w:val="28"/>
          <w:szCs w:val="28"/>
        </w:rPr>
        <w:t> </w:t>
      </w:r>
      <w:r w:rsidR="00CB271D">
        <w:rPr>
          <w:sz w:val="28"/>
          <w:szCs w:val="28"/>
        </w:rPr>
        <w:t>March</w:t>
      </w:r>
      <w:r w:rsidR="004659AA">
        <w:rPr>
          <w:sz w:val="28"/>
          <w:szCs w:val="28"/>
        </w:rPr>
        <w:t> </w:t>
      </w:r>
      <w:r w:rsidR="00CB271D">
        <w:rPr>
          <w:sz w:val="28"/>
          <w:szCs w:val="28"/>
        </w:rPr>
        <w:t>2020</w:t>
      </w:r>
      <w:r w:rsidR="00095150">
        <w:rPr>
          <w:sz w:val="28"/>
          <w:szCs w:val="28"/>
        </w:rPr>
        <w:t>,</w:t>
      </w:r>
      <w:r w:rsidRPr="00BC2ABB">
        <w:rPr>
          <w:sz w:val="28"/>
          <w:szCs w:val="28"/>
        </w:rPr>
        <w:t xml:space="preserve"> and 24 August 2020, National Cabinet </w:t>
      </w:r>
      <w:r w:rsidR="00CB271D">
        <w:rPr>
          <w:sz w:val="28"/>
          <w:szCs w:val="28"/>
        </w:rPr>
        <w:t>met 50 times</w:t>
      </w:r>
      <w:r w:rsidR="000C26FC" w:rsidRPr="00BC2ABB">
        <w:rPr>
          <w:sz w:val="28"/>
          <w:szCs w:val="28"/>
        </w:rPr>
        <w:t>.</w:t>
      </w:r>
      <w:r w:rsidRPr="00BC2ABB">
        <w:rPr>
          <w:rStyle w:val="FootnoteReference"/>
          <w:sz w:val="28"/>
          <w:szCs w:val="28"/>
        </w:rPr>
        <w:footnoteReference w:id="26"/>
      </w:r>
      <w:r w:rsidR="000C26FC" w:rsidRPr="00BC2ABB">
        <w:rPr>
          <w:sz w:val="28"/>
          <w:szCs w:val="28"/>
        </w:rPr>
        <w:t xml:space="preserve"> </w:t>
      </w:r>
    </w:p>
    <w:p w14:paraId="7481DA91" w14:textId="054BA94A" w:rsidR="005A42E5" w:rsidRPr="009C02A4" w:rsidRDefault="00F73844" w:rsidP="00BC2ABB">
      <w:pPr>
        <w:pStyle w:val="Heading3"/>
        <w:spacing w:line="360" w:lineRule="auto"/>
        <w:rPr>
          <w:b w:val="0"/>
          <w:sz w:val="28"/>
          <w:szCs w:val="28"/>
        </w:rPr>
      </w:pPr>
      <w:bookmarkStart w:id="188" w:name="_Toc155799980"/>
      <w:bookmarkStart w:id="189" w:name="_Toc155875127"/>
      <w:bookmarkStart w:id="190" w:name="_Toc156565988"/>
      <w:bookmarkStart w:id="191" w:name="_Toc157432133"/>
      <w:bookmarkEnd w:id="186"/>
      <w:bookmarkEnd w:id="187"/>
      <w:r w:rsidRPr="009C02A4">
        <w:rPr>
          <w:b w:val="0"/>
          <w:sz w:val="28"/>
          <w:szCs w:val="28"/>
        </w:rPr>
        <w:t xml:space="preserve">Systemic </w:t>
      </w:r>
      <w:r w:rsidR="00CB271D">
        <w:rPr>
          <w:b w:val="0"/>
          <w:sz w:val="28"/>
          <w:szCs w:val="28"/>
        </w:rPr>
        <w:t>issues</w:t>
      </w:r>
      <w:bookmarkEnd w:id="188"/>
      <w:bookmarkEnd w:id="189"/>
      <w:bookmarkEnd w:id="190"/>
      <w:bookmarkEnd w:id="191"/>
    </w:p>
    <w:p w14:paraId="514C589A" w14:textId="1454A0E9" w:rsidR="00E10478" w:rsidRPr="00BC2ABB" w:rsidRDefault="006F615F" w:rsidP="00771FA7">
      <w:pPr>
        <w:pStyle w:val="ListParagraph"/>
        <w:keepNext/>
        <w:numPr>
          <w:ilvl w:val="0"/>
          <w:numId w:val="11"/>
        </w:numPr>
        <w:spacing w:line="360" w:lineRule="auto"/>
        <w:ind w:left="709" w:hanging="709"/>
        <w:contextualSpacing w:val="0"/>
        <w:rPr>
          <w:sz w:val="28"/>
          <w:szCs w:val="28"/>
        </w:rPr>
      </w:pPr>
      <w:r w:rsidRPr="00BC2ABB">
        <w:rPr>
          <w:sz w:val="28"/>
          <w:szCs w:val="28"/>
        </w:rPr>
        <w:t xml:space="preserve">PM&amp;C’s </w:t>
      </w:r>
      <w:r w:rsidR="00E10478" w:rsidRPr="00BC2ABB">
        <w:rPr>
          <w:sz w:val="28"/>
          <w:szCs w:val="28"/>
        </w:rPr>
        <w:t>Cabinet Division</w:t>
      </w:r>
      <w:r w:rsidRPr="00BC2ABB">
        <w:rPr>
          <w:sz w:val="28"/>
          <w:szCs w:val="28"/>
        </w:rPr>
        <w:t xml:space="preserve"> acknowledged it has</w:t>
      </w:r>
      <w:r w:rsidR="00E10478" w:rsidRPr="00BC2ABB">
        <w:rPr>
          <w:sz w:val="28"/>
          <w:szCs w:val="28"/>
        </w:rPr>
        <w:t>:</w:t>
      </w:r>
    </w:p>
    <w:p w14:paraId="1A0FAEDC" w14:textId="7391AA90" w:rsidR="00E10478" w:rsidRPr="00BC2ABB" w:rsidRDefault="00E10478" w:rsidP="00771FA7">
      <w:pPr>
        <w:pStyle w:val="ListParagraph"/>
        <w:numPr>
          <w:ilvl w:val="0"/>
          <w:numId w:val="12"/>
        </w:numPr>
        <w:spacing w:line="360" w:lineRule="auto"/>
        <w:ind w:left="1134" w:hanging="425"/>
        <w:rPr>
          <w:sz w:val="28"/>
          <w:szCs w:val="28"/>
        </w:rPr>
      </w:pPr>
      <w:r w:rsidRPr="00BC2ABB">
        <w:rPr>
          <w:sz w:val="28"/>
          <w:szCs w:val="28"/>
        </w:rPr>
        <w:t>incomplete standard operating procedures in place</w:t>
      </w:r>
      <w:r w:rsidR="00ED221B" w:rsidRPr="00BC2ABB">
        <w:rPr>
          <w:sz w:val="28"/>
          <w:szCs w:val="28"/>
        </w:rPr>
        <w:t xml:space="preserve"> regarding the transfer of Cabinet records</w:t>
      </w:r>
      <w:r w:rsidRPr="00BC2ABB">
        <w:rPr>
          <w:sz w:val="28"/>
          <w:szCs w:val="28"/>
        </w:rPr>
        <w:t xml:space="preserve">; </w:t>
      </w:r>
    </w:p>
    <w:p w14:paraId="33154AE1" w14:textId="6A6D30D7" w:rsidR="00E10478" w:rsidRPr="00BC2ABB" w:rsidRDefault="00E10478" w:rsidP="00771FA7">
      <w:pPr>
        <w:pStyle w:val="ListParagraph"/>
        <w:numPr>
          <w:ilvl w:val="0"/>
          <w:numId w:val="12"/>
        </w:numPr>
        <w:spacing w:line="360" w:lineRule="auto"/>
        <w:ind w:left="1134" w:hanging="425"/>
        <w:rPr>
          <w:sz w:val="28"/>
          <w:szCs w:val="28"/>
        </w:rPr>
      </w:pPr>
      <w:r w:rsidRPr="00BC2ABB">
        <w:rPr>
          <w:sz w:val="28"/>
          <w:szCs w:val="28"/>
        </w:rPr>
        <w:t xml:space="preserve">no consistent </w:t>
      </w:r>
      <w:r w:rsidR="00CB271D">
        <w:rPr>
          <w:sz w:val="28"/>
          <w:szCs w:val="28"/>
        </w:rPr>
        <w:t>understanding across the Division</w:t>
      </w:r>
      <w:r w:rsidRPr="00BC2ABB">
        <w:rPr>
          <w:sz w:val="28"/>
          <w:szCs w:val="28"/>
        </w:rPr>
        <w:t xml:space="preserve"> of the transfer obligations</w:t>
      </w:r>
      <w:r w:rsidR="00ED221B" w:rsidRPr="00BC2ABB">
        <w:rPr>
          <w:sz w:val="28"/>
          <w:szCs w:val="28"/>
        </w:rPr>
        <w:t xml:space="preserve"> under the Archives Act</w:t>
      </w:r>
      <w:r w:rsidRPr="00BC2ABB">
        <w:rPr>
          <w:sz w:val="28"/>
          <w:szCs w:val="28"/>
        </w:rPr>
        <w:t xml:space="preserve">; </w:t>
      </w:r>
      <w:r w:rsidR="00FD5F70" w:rsidRPr="00BC2ABB">
        <w:rPr>
          <w:sz w:val="28"/>
          <w:szCs w:val="28"/>
        </w:rPr>
        <w:t xml:space="preserve">and </w:t>
      </w:r>
    </w:p>
    <w:p w14:paraId="481FE78B" w14:textId="6F75AD7B" w:rsidR="00CB271D" w:rsidRDefault="00ED221B" w:rsidP="00771FA7">
      <w:pPr>
        <w:pStyle w:val="ListParagraph"/>
        <w:numPr>
          <w:ilvl w:val="0"/>
          <w:numId w:val="12"/>
        </w:numPr>
        <w:spacing w:line="360" w:lineRule="auto"/>
        <w:ind w:left="1134" w:hanging="425"/>
        <w:rPr>
          <w:sz w:val="28"/>
          <w:szCs w:val="28"/>
        </w:rPr>
      </w:pPr>
      <w:r w:rsidRPr="00BC2ABB">
        <w:rPr>
          <w:sz w:val="28"/>
          <w:szCs w:val="28"/>
        </w:rPr>
        <w:t xml:space="preserve">no staff with records management expertise. </w:t>
      </w:r>
    </w:p>
    <w:p w14:paraId="108D4531" w14:textId="77777777" w:rsidR="00565102" w:rsidRPr="00BC2ABB" w:rsidRDefault="00565102" w:rsidP="00565102">
      <w:pPr>
        <w:pStyle w:val="ListParagraph"/>
        <w:spacing w:line="360" w:lineRule="auto"/>
        <w:ind w:left="1134"/>
        <w:rPr>
          <w:sz w:val="28"/>
          <w:szCs w:val="28"/>
        </w:rPr>
      </w:pPr>
    </w:p>
    <w:p w14:paraId="69A9813A" w14:textId="4D01E36E" w:rsidR="002B5C26" w:rsidRPr="00BC2ABB" w:rsidRDefault="006A71E5"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Cabinet records </w:t>
      </w:r>
      <w:r w:rsidR="00F73844">
        <w:rPr>
          <w:sz w:val="28"/>
          <w:szCs w:val="28"/>
        </w:rPr>
        <w:t>are</w:t>
      </w:r>
      <w:r w:rsidRPr="00BC2ABB">
        <w:rPr>
          <w:sz w:val="28"/>
          <w:szCs w:val="28"/>
        </w:rPr>
        <w:t xml:space="preserve"> held in di</w:t>
      </w:r>
      <w:r w:rsidR="00C44E43">
        <w:rPr>
          <w:sz w:val="28"/>
          <w:szCs w:val="28"/>
        </w:rPr>
        <w:t>fferent</w:t>
      </w:r>
      <w:r w:rsidRPr="00BC2ABB">
        <w:rPr>
          <w:sz w:val="28"/>
          <w:szCs w:val="28"/>
        </w:rPr>
        <w:t xml:space="preserve"> parts of the department</w:t>
      </w:r>
      <w:r w:rsidR="00FD5F70" w:rsidRPr="00BC2ABB">
        <w:rPr>
          <w:sz w:val="28"/>
          <w:szCs w:val="28"/>
        </w:rPr>
        <w:t>, depending on security classification</w:t>
      </w:r>
      <w:r w:rsidRPr="00BC2ABB">
        <w:rPr>
          <w:sz w:val="28"/>
          <w:szCs w:val="28"/>
        </w:rPr>
        <w:t>.</w:t>
      </w:r>
      <w:r w:rsidR="002B5C26" w:rsidRPr="00BC2ABB">
        <w:rPr>
          <w:sz w:val="28"/>
          <w:szCs w:val="28"/>
        </w:rPr>
        <w:t xml:space="preserve"> </w:t>
      </w:r>
      <w:r w:rsidR="00C44E43">
        <w:rPr>
          <w:sz w:val="28"/>
          <w:szCs w:val="28"/>
        </w:rPr>
        <w:t xml:space="preserve">While often necessary, this adds to the challenge of meeting </w:t>
      </w:r>
      <w:r w:rsidR="000F6F29" w:rsidRPr="00BC2ABB">
        <w:rPr>
          <w:sz w:val="28"/>
          <w:szCs w:val="28"/>
        </w:rPr>
        <w:t xml:space="preserve">transfer obligations </w:t>
      </w:r>
      <w:r w:rsidR="002B5C26" w:rsidRPr="00BC2ABB">
        <w:rPr>
          <w:sz w:val="28"/>
          <w:szCs w:val="28"/>
        </w:rPr>
        <w:t xml:space="preserve">by limiting officials’ abilities to manage, locate and transfer Cabinet records. </w:t>
      </w:r>
      <w:r w:rsidR="009D2A11">
        <w:rPr>
          <w:sz w:val="28"/>
          <w:szCs w:val="28"/>
        </w:rPr>
        <w:t>T</w:t>
      </w:r>
      <w:r w:rsidR="00CE6E11">
        <w:rPr>
          <w:sz w:val="28"/>
          <w:szCs w:val="28"/>
        </w:rPr>
        <w:t>here is also no central register</w:t>
      </w:r>
      <w:r w:rsidR="009D2A11">
        <w:rPr>
          <w:sz w:val="28"/>
          <w:szCs w:val="28"/>
        </w:rPr>
        <w:t xml:space="preserve"> of the location of Cabinet records within PM&amp;C.</w:t>
      </w:r>
    </w:p>
    <w:p w14:paraId="4252C161" w14:textId="275A26A9" w:rsidR="00ED221B" w:rsidRPr="009C02A4" w:rsidRDefault="00E90E36" w:rsidP="00BC2ABB">
      <w:pPr>
        <w:pStyle w:val="Heading3"/>
        <w:spacing w:line="360" w:lineRule="auto"/>
        <w:rPr>
          <w:b w:val="0"/>
          <w:sz w:val="28"/>
          <w:szCs w:val="28"/>
        </w:rPr>
      </w:pPr>
      <w:bookmarkStart w:id="192" w:name="_Toc155699060"/>
      <w:bookmarkStart w:id="193" w:name="_Toc155701002"/>
      <w:bookmarkStart w:id="194" w:name="_Toc155799981"/>
      <w:bookmarkStart w:id="195" w:name="_Toc155875128"/>
      <w:bookmarkStart w:id="196" w:name="_Toc156565989"/>
      <w:bookmarkStart w:id="197" w:name="_Toc157432134"/>
      <w:r w:rsidRPr="009C02A4">
        <w:rPr>
          <w:b w:val="0"/>
          <w:sz w:val="28"/>
          <w:szCs w:val="28"/>
        </w:rPr>
        <w:lastRenderedPageBreak/>
        <w:t>Inadequate</w:t>
      </w:r>
      <w:r w:rsidR="00ED221B" w:rsidRPr="009C02A4">
        <w:rPr>
          <w:b w:val="0"/>
          <w:sz w:val="28"/>
          <w:szCs w:val="28"/>
        </w:rPr>
        <w:t xml:space="preserve"> security clearances</w:t>
      </w:r>
      <w:bookmarkEnd w:id="192"/>
      <w:bookmarkEnd w:id="193"/>
      <w:bookmarkEnd w:id="194"/>
      <w:bookmarkEnd w:id="195"/>
      <w:bookmarkEnd w:id="196"/>
      <w:bookmarkEnd w:id="197"/>
      <w:r w:rsidR="00ED221B" w:rsidRPr="009C02A4">
        <w:rPr>
          <w:b w:val="0"/>
          <w:sz w:val="28"/>
          <w:szCs w:val="28"/>
        </w:rPr>
        <w:t xml:space="preserve"> </w:t>
      </w:r>
    </w:p>
    <w:p w14:paraId="3B968FF4" w14:textId="3EB06585" w:rsidR="00E1586D" w:rsidRPr="00BC2ABB" w:rsidRDefault="00F73844" w:rsidP="00771FA7">
      <w:pPr>
        <w:pStyle w:val="ListParagraph"/>
        <w:numPr>
          <w:ilvl w:val="0"/>
          <w:numId w:val="11"/>
        </w:numPr>
        <w:spacing w:line="360" w:lineRule="auto"/>
        <w:ind w:left="709" w:hanging="709"/>
        <w:contextualSpacing w:val="0"/>
        <w:rPr>
          <w:sz w:val="28"/>
          <w:szCs w:val="28"/>
        </w:rPr>
      </w:pPr>
      <w:r>
        <w:rPr>
          <w:sz w:val="28"/>
          <w:szCs w:val="28"/>
        </w:rPr>
        <w:t>Staff responsible for transfer of Cabinet documents to the NAA do not have appropriate security clearances, meaning they are entirely reliant on cleared staff who do not have any training or experience in record management</w:t>
      </w:r>
      <w:r w:rsidR="00C44E43">
        <w:rPr>
          <w:sz w:val="28"/>
          <w:szCs w:val="28"/>
        </w:rPr>
        <w:t xml:space="preserve">, and, sometimes, very little interest in proper record keeping. </w:t>
      </w:r>
      <w:r>
        <w:rPr>
          <w:sz w:val="28"/>
          <w:szCs w:val="28"/>
        </w:rPr>
        <w:t xml:space="preserve">It is a system which maximises the risk of </w:t>
      </w:r>
      <w:r w:rsidR="00C44E43">
        <w:rPr>
          <w:sz w:val="28"/>
          <w:szCs w:val="28"/>
        </w:rPr>
        <w:t>error</w:t>
      </w:r>
      <w:r>
        <w:rPr>
          <w:sz w:val="28"/>
          <w:szCs w:val="28"/>
        </w:rPr>
        <w:t xml:space="preserve">. </w:t>
      </w:r>
    </w:p>
    <w:p w14:paraId="1EDFAC73" w14:textId="63988D78" w:rsidR="008358AA" w:rsidRPr="00BC2ABB" w:rsidRDefault="00F73844" w:rsidP="00771FA7">
      <w:pPr>
        <w:pStyle w:val="ListParagraph"/>
        <w:numPr>
          <w:ilvl w:val="0"/>
          <w:numId w:val="11"/>
        </w:numPr>
        <w:spacing w:line="360" w:lineRule="auto"/>
        <w:ind w:left="709" w:hanging="709"/>
        <w:contextualSpacing w:val="0"/>
        <w:rPr>
          <w:sz w:val="28"/>
          <w:szCs w:val="28"/>
        </w:rPr>
      </w:pPr>
      <w:r>
        <w:rPr>
          <w:sz w:val="28"/>
          <w:szCs w:val="28"/>
        </w:rPr>
        <w:t>Also,</w:t>
      </w:r>
      <w:r w:rsidR="009D2A11">
        <w:rPr>
          <w:sz w:val="28"/>
          <w:szCs w:val="28"/>
        </w:rPr>
        <w:t xml:space="preserve"> the</w:t>
      </w:r>
      <w:r w:rsidR="008358AA" w:rsidRPr="00BC2ABB">
        <w:rPr>
          <w:sz w:val="28"/>
          <w:szCs w:val="28"/>
        </w:rPr>
        <w:t xml:space="preserve"> Head of the Cabinet Division does not hold a </w:t>
      </w:r>
      <w:r>
        <w:rPr>
          <w:sz w:val="28"/>
          <w:szCs w:val="28"/>
        </w:rPr>
        <w:t xml:space="preserve">TSPV which means </w:t>
      </w:r>
      <w:r w:rsidR="006835B6">
        <w:rPr>
          <w:sz w:val="28"/>
          <w:szCs w:val="28"/>
        </w:rPr>
        <w:t>she or he</w:t>
      </w:r>
      <w:r>
        <w:rPr>
          <w:sz w:val="28"/>
          <w:szCs w:val="28"/>
        </w:rPr>
        <w:t xml:space="preserve"> </w:t>
      </w:r>
      <w:r w:rsidR="008358AA" w:rsidRPr="00BC2ABB">
        <w:rPr>
          <w:sz w:val="28"/>
          <w:szCs w:val="28"/>
        </w:rPr>
        <w:t xml:space="preserve">cannot access the full suite of Cabinet records in PM&amp;C’s possession. </w:t>
      </w:r>
    </w:p>
    <w:p w14:paraId="275326EB" w14:textId="73E14917" w:rsidR="00ED221B" w:rsidRPr="009C02A4" w:rsidRDefault="00ED221B" w:rsidP="00BC2ABB">
      <w:pPr>
        <w:pStyle w:val="Heading3"/>
        <w:spacing w:line="360" w:lineRule="auto"/>
        <w:rPr>
          <w:b w:val="0"/>
          <w:sz w:val="28"/>
          <w:szCs w:val="28"/>
        </w:rPr>
      </w:pPr>
      <w:bookmarkStart w:id="198" w:name="_Toc155699062"/>
      <w:bookmarkStart w:id="199" w:name="_Toc155701004"/>
      <w:bookmarkStart w:id="200" w:name="_Toc155799982"/>
      <w:bookmarkStart w:id="201" w:name="_Toc155875129"/>
      <w:bookmarkStart w:id="202" w:name="_Toc156565990"/>
      <w:bookmarkStart w:id="203" w:name="_Toc157432135"/>
      <w:r w:rsidRPr="009C02A4">
        <w:rPr>
          <w:b w:val="0"/>
          <w:sz w:val="28"/>
          <w:szCs w:val="28"/>
        </w:rPr>
        <w:t xml:space="preserve">No </w:t>
      </w:r>
      <w:r w:rsidR="006F615F" w:rsidRPr="009C02A4">
        <w:rPr>
          <w:b w:val="0"/>
          <w:sz w:val="28"/>
          <w:szCs w:val="28"/>
        </w:rPr>
        <w:t xml:space="preserve">senior executive or </w:t>
      </w:r>
      <w:r w:rsidRPr="009C02A4">
        <w:rPr>
          <w:b w:val="0"/>
          <w:sz w:val="28"/>
          <w:szCs w:val="28"/>
        </w:rPr>
        <w:t>political interference</w:t>
      </w:r>
      <w:bookmarkEnd w:id="198"/>
      <w:bookmarkEnd w:id="199"/>
      <w:bookmarkEnd w:id="200"/>
      <w:bookmarkEnd w:id="201"/>
      <w:bookmarkEnd w:id="202"/>
      <w:bookmarkEnd w:id="203"/>
      <w:r w:rsidRPr="009C02A4">
        <w:rPr>
          <w:b w:val="0"/>
          <w:sz w:val="28"/>
          <w:szCs w:val="28"/>
        </w:rPr>
        <w:t xml:space="preserve"> </w:t>
      </w:r>
    </w:p>
    <w:p w14:paraId="10BE231D" w14:textId="52B7C051" w:rsidR="00FF6CC5" w:rsidRPr="00BC2ABB" w:rsidRDefault="00FF6CC5"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Interviews with former Prime Ministers, Secretaries of PM&amp;C and staff confirmed that </w:t>
      </w:r>
      <w:r w:rsidR="00ED221B" w:rsidRPr="00BC2ABB">
        <w:rPr>
          <w:sz w:val="28"/>
          <w:szCs w:val="28"/>
        </w:rPr>
        <w:t xml:space="preserve">the </w:t>
      </w:r>
      <w:r w:rsidRPr="00BC2ABB">
        <w:rPr>
          <w:sz w:val="28"/>
          <w:szCs w:val="28"/>
        </w:rPr>
        <w:t xml:space="preserve">transfer of documents from PM&amp;C to the NAA </w:t>
      </w:r>
      <w:r w:rsidR="00C44E43">
        <w:rPr>
          <w:sz w:val="28"/>
          <w:szCs w:val="28"/>
        </w:rPr>
        <w:t>has always been</w:t>
      </w:r>
      <w:r w:rsidRPr="00BC2ABB">
        <w:rPr>
          <w:sz w:val="28"/>
          <w:szCs w:val="28"/>
        </w:rPr>
        <w:t xml:space="preserve"> considered a mechanical exercise</w:t>
      </w:r>
      <w:r w:rsidR="00F73844">
        <w:rPr>
          <w:sz w:val="28"/>
          <w:szCs w:val="28"/>
        </w:rPr>
        <w:t>,</w:t>
      </w:r>
      <w:r w:rsidRPr="00BC2ABB">
        <w:rPr>
          <w:sz w:val="28"/>
          <w:szCs w:val="28"/>
        </w:rPr>
        <w:t xml:space="preserve"> not </w:t>
      </w:r>
      <w:r w:rsidR="00C44E43">
        <w:rPr>
          <w:sz w:val="28"/>
          <w:szCs w:val="28"/>
        </w:rPr>
        <w:t xml:space="preserve">normally </w:t>
      </w:r>
      <w:r w:rsidRPr="00BC2ABB">
        <w:rPr>
          <w:sz w:val="28"/>
          <w:szCs w:val="28"/>
        </w:rPr>
        <w:t>requiring policy consideration. This is consistent with legislative requirements set out in the Archives Act</w:t>
      </w:r>
      <w:r w:rsidR="00F73844">
        <w:rPr>
          <w:sz w:val="28"/>
          <w:szCs w:val="28"/>
        </w:rPr>
        <w:t>.</w:t>
      </w:r>
      <w:r w:rsidRPr="00BC2ABB">
        <w:rPr>
          <w:sz w:val="28"/>
          <w:szCs w:val="28"/>
        </w:rPr>
        <w:t xml:space="preserve"> </w:t>
      </w:r>
      <w:r w:rsidR="00F73844">
        <w:rPr>
          <w:sz w:val="28"/>
          <w:szCs w:val="28"/>
        </w:rPr>
        <w:t>H</w:t>
      </w:r>
      <w:r w:rsidR="00F73844" w:rsidRPr="00BC2ABB">
        <w:rPr>
          <w:sz w:val="28"/>
          <w:szCs w:val="28"/>
        </w:rPr>
        <w:t>owever</w:t>
      </w:r>
      <w:r w:rsidRPr="00BC2ABB">
        <w:rPr>
          <w:sz w:val="28"/>
          <w:szCs w:val="28"/>
        </w:rPr>
        <w:t xml:space="preserve">, much like many other </w:t>
      </w:r>
      <w:r w:rsidR="00C44E43">
        <w:rPr>
          <w:sz w:val="28"/>
          <w:szCs w:val="28"/>
        </w:rPr>
        <w:t xml:space="preserve">functional </w:t>
      </w:r>
      <w:r w:rsidRPr="00BC2ABB">
        <w:rPr>
          <w:sz w:val="28"/>
          <w:szCs w:val="28"/>
        </w:rPr>
        <w:t xml:space="preserve">activities across </w:t>
      </w:r>
      <w:r w:rsidR="00802C01">
        <w:rPr>
          <w:sz w:val="28"/>
          <w:szCs w:val="28"/>
        </w:rPr>
        <w:t>government, they become routinis</w:t>
      </w:r>
      <w:r w:rsidRPr="00BC2ABB">
        <w:rPr>
          <w:sz w:val="28"/>
          <w:szCs w:val="28"/>
        </w:rPr>
        <w:t xml:space="preserve">ed and are not adequately reviewed from time to time. This is apparent from reviewing </w:t>
      </w:r>
      <w:r w:rsidR="006F615F" w:rsidRPr="00BC2ABB">
        <w:rPr>
          <w:sz w:val="28"/>
          <w:szCs w:val="28"/>
        </w:rPr>
        <w:t>out</w:t>
      </w:r>
      <w:r w:rsidRPr="00BC2ABB">
        <w:rPr>
          <w:sz w:val="28"/>
          <w:szCs w:val="28"/>
        </w:rPr>
        <w:t>dated and incomplete Cabinet record standard operating procedures held by PM&amp;C.</w:t>
      </w:r>
    </w:p>
    <w:p w14:paraId="79D7A24F" w14:textId="3E590A8C" w:rsidR="00A05071" w:rsidRPr="00BC2ABB" w:rsidRDefault="0078378A"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Secretary of PM&amp;C in 2020, Mr Philip Gaetjens, advised that he had never been involved in matters relating to the transfer of Cabinet records, nor had he ever received direction or enquiry from the then Prime </w:t>
      </w:r>
      <w:r w:rsidRPr="00BC2ABB">
        <w:rPr>
          <w:sz w:val="28"/>
          <w:szCs w:val="28"/>
        </w:rPr>
        <w:lastRenderedPageBreak/>
        <w:t xml:space="preserve">Minister or </w:t>
      </w:r>
      <w:r w:rsidR="00E604DA" w:rsidRPr="00BC2ABB">
        <w:rPr>
          <w:sz w:val="28"/>
          <w:szCs w:val="28"/>
        </w:rPr>
        <w:t xml:space="preserve">his </w:t>
      </w:r>
      <w:r w:rsidRPr="00BC2ABB">
        <w:rPr>
          <w:sz w:val="28"/>
          <w:szCs w:val="28"/>
        </w:rPr>
        <w:t>Office about such matters. This advice is consistent with th</w:t>
      </w:r>
      <w:r w:rsidR="000F290F" w:rsidRPr="00BC2ABB">
        <w:rPr>
          <w:sz w:val="28"/>
          <w:szCs w:val="28"/>
        </w:rPr>
        <w:t>at</w:t>
      </w:r>
      <w:r w:rsidRPr="00BC2ABB">
        <w:rPr>
          <w:sz w:val="28"/>
          <w:szCs w:val="28"/>
        </w:rPr>
        <w:t xml:space="preserve"> provided to the Review by other Secretaries of PM&amp;C including Mr Peter Shergold </w:t>
      </w:r>
      <w:r w:rsidR="005E7486">
        <w:rPr>
          <w:sz w:val="28"/>
          <w:szCs w:val="28"/>
        </w:rPr>
        <w:t xml:space="preserve">AC </w:t>
      </w:r>
      <w:r w:rsidRPr="00BC2ABB">
        <w:rPr>
          <w:sz w:val="28"/>
          <w:szCs w:val="28"/>
        </w:rPr>
        <w:t>(2003 – 2008), Mr Terry Moran A</w:t>
      </w:r>
      <w:r w:rsidR="000F290F" w:rsidRPr="00BC2ABB">
        <w:rPr>
          <w:sz w:val="28"/>
          <w:szCs w:val="28"/>
        </w:rPr>
        <w:t>C</w:t>
      </w:r>
      <w:r w:rsidRPr="00BC2ABB">
        <w:rPr>
          <w:sz w:val="28"/>
          <w:szCs w:val="28"/>
        </w:rPr>
        <w:t xml:space="preserve"> (2008 – 2011), Mr Michael Thawley AO (2014 – 2016), </w:t>
      </w:r>
      <w:r w:rsidR="005E7486">
        <w:rPr>
          <w:sz w:val="28"/>
          <w:szCs w:val="28"/>
        </w:rPr>
        <w:t>Dr</w:t>
      </w:r>
      <w:r w:rsidRPr="00BC2ABB">
        <w:rPr>
          <w:sz w:val="28"/>
          <w:szCs w:val="28"/>
        </w:rPr>
        <w:t xml:space="preserve"> Martin Parkinson AC, PSM (2016 – 2019) and Professor Glyn Davis AC (2022 – current).</w:t>
      </w:r>
    </w:p>
    <w:p w14:paraId="16EBE6A4" w14:textId="62B071A6" w:rsidR="00EB3C02" w:rsidRDefault="00EB3C02" w:rsidP="00771FA7">
      <w:pPr>
        <w:pStyle w:val="ListParagraph"/>
        <w:numPr>
          <w:ilvl w:val="0"/>
          <w:numId w:val="11"/>
        </w:numPr>
        <w:spacing w:line="360" w:lineRule="auto"/>
        <w:ind w:left="709" w:hanging="709"/>
        <w:contextualSpacing w:val="0"/>
        <w:rPr>
          <w:sz w:val="28"/>
          <w:szCs w:val="28"/>
        </w:rPr>
      </w:pPr>
      <w:r>
        <w:rPr>
          <w:sz w:val="28"/>
          <w:szCs w:val="28"/>
        </w:rPr>
        <w:t>Former Secretary of PM&amp;C, Dr</w:t>
      </w:r>
      <w:r w:rsidRPr="00BC2ABB">
        <w:rPr>
          <w:sz w:val="28"/>
          <w:szCs w:val="28"/>
        </w:rPr>
        <w:t xml:space="preserve"> Ian Watt AC (2011 – 2014)</w:t>
      </w:r>
      <w:r>
        <w:rPr>
          <w:sz w:val="28"/>
          <w:szCs w:val="28"/>
        </w:rPr>
        <w:t xml:space="preserve">, said he had a recollection of one discussion within PM&amp;C about some intelligence papers but could not recall the detail. The transfer of documents to the NAA was not, however, a matter that normally involved the Secretary and he could not recall any discussion </w:t>
      </w:r>
      <w:r w:rsidR="00095150">
        <w:rPr>
          <w:sz w:val="28"/>
          <w:szCs w:val="28"/>
        </w:rPr>
        <w:t>with</w:t>
      </w:r>
      <w:r>
        <w:rPr>
          <w:sz w:val="28"/>
          <w:szCs w:val="28"/>
        </w:rPr>
        <w:t xml:space="preserve"> the Prime Minister or PMO about such matters. </w:t>
      </w:r>
    </w:p>
    <w:p w14:paraId="7615BFDF" w14:textId="74CF1010" w:rsidR="00624AEB" w:rsidRPr="00624AEB" w:rsidRDefault="00624AEB" w:rsidP="00771FA7">
      <w:pPr>
        <w:pStyle w:val="ListParagraph"/>
        <w:numPr>
          <w:ilvl w:val="0"/>
          <w:numId w:val="11"/>
        </w:numPr>
        <w:spacing w:line="360" w:lineRule="auto"/>
        <w:ind w:left="709" w:hanging="709"/>
        <w:contextualSpacing w:val="0"/>
      </w:pPr>
      <w:r>
        <w:rPr>
          <w:sz w:val="28"/>
          <w:szCs w:val="28"/>
        </w:rPr>
        <w:t>Director</w:t>
      </w:r>
      <w:r w:rsidR="00BD21DA">
        <w:rPr>
          <w:sz w:val="28"/>
          <w:szCs w:val="28"/>
        </w:rPr>
        <w:t>s</w:t>
      </w:r>
      <w:r>
        <w:rPr>
          <w:sz w:val="28"/>
          <w:szCs w:val="28"/>
        </w:rPr>
        <w:t>-General of the NAA, Simon Froude (2022</w:t>
      </w:r>
      <w:r w:rsidR="00565102">
        <w:rPr>
          <w:sz w:val="28"/>
          <w:szCs w:val="28"/>
        </w:rPr>
        <w:t xml:space="preserve"> – </w:t>
      </w:r>
      <w:r>
        <w:rPr>
          <w:sz w:val="28"/>
          <w:szCs w:val="28"/>
        </w:rPr>
        <w:t>present</w:t>
      </w:r>
      <w:r w:rsidR="00565102">
        <w:rPr>
          <w:sz w:val="28"/>
          <w:szCs w:val="28"/>
        </w:rPr>
        <w:t>), David </w:t>
      </w:r>
      <w:r>
        <w:rPr>
          <w:sz w:val="28"/>
          <w:szCs w:val="28"/>
        </w:rPr>
        <w:t>Fricker (2012</w:t>
      </w:r>
      <w:r w:rsidR="00565102">
        <w:rPr>
          <w:sz w:val="28"/>
          <w:szCs w:val="28"/>
        </w:rPr>
        <w:t xml:space="preserve"> – </w:t>
      </w:r>
      <w:r>
        <w:rPr>
          <w:sz w:val="28"/>
          <w:szCs w:val="28"/>
        </w:rPr>
        <w:t>2021) and Ross Gibbs PSM (2003</w:t>
      </w:r>
      <w:r w:rsidR="00565102">
        <w:rPr>
          <w:sz w:val="28"/>
          <w:szCs w:val="28"/>
        </w:rPr>
        <w:t xml:space="preserve"> – </w:t>
      </w:r>
      <w:r>
        <w:rPr>
          <w:sz w:val="28"/>
          <w:szCs w:val="28"/>
        </w:rPr>
        <w:t xml:space="preserve">2011) advised that they had never been </w:t>
      </w:r>
      <w:r w:rsidR="00095150">
        <w:rPr>
          <w:sz w:val="28"/>
          <w:szCs w:val="28"/>
        </w:rPr>
        <w:t>contacted</w:t>
      </w:r>
      <w:r>
        <w:rPr>
          <w:sz w:val="28"/>
          <w:szCs w:val="28"/>
        </w:rPr>
        <w:t xml:space="preserve"> by a Prime Minister, PMO staff or Secretary of PM&amp;C about matters relating to the transfer of Cabinet records from PM&amp;C to the NAA.</w:t>
      </w:r>
    </w:p>
    <w:p w14:paraId="1F429E40" w14:textId="4FC3A951" w:rsidR="0078378A" w:rsidRPr="00BC2ABB" w:rsidRDefault="00EB3C02" w:rsidP="00771FA7">
      <w:pPr>
        <w:pStyle w:val="ListParagraph"/>
        <w:numPr>
          <w:ilvl w:val="0"/>
          <w:numId w:val="11"/>
        </w:numPr>
        <w:spacing w:line="360" w:lineRule="auto"/>
        <w:ind w:left="709" w:hanging="709"/>
        <w:contextualSpacing w:val="0"/>
        <w:rPr>
          <w:sz w:val="28"/>
          <w:szCs w:val="28"/>
        </w:rPr>
      </w:pPr>
      <w:r>
        <w:rPr>
          <w:sz w:val="28"/>
          <w:szCs w:val="28"/>
        </w:rPr>
        <w:t>The</w:t>
      </w:r>
      <w:r w:rsidR="0078378A" w:rsidRPr="00BC2ABB">
        <w:rPr>
          <w:sz w:val="28"/>
          <w:szCs w:val="28"/>
        </w:rPr>
        <w:t xml:space="preserve"> Prime Minister</w:t>
      </w:r>
      <w:r>
        <w:rPr>
          <w:sz w:val="28"/>
          <w:szCs w:val="28"/>
        </w:rPr>
        <w:t xml:space="preserve"> at the time of the 2020 transfer</w:t>
      </w:r>
      <w:r w:rsidR="0078378A" w:rsidRPr="00BC2ABB">
        <w:rPr>
          <w:sz w:val="28"/>
          <w:szCs w:val="28"/>
        </w:rPr>
        <w:t>, the Hon Scott Morrison MP</w:t>
      </w:r>
      <w:r w:rsidR="00653A48" w:rsidRPr="00BC2ABB">
        <w:rPr>
          <w:sz w:val="28"/>
          <w:szCs w:val="28"/>
        </w:rPr>
        <w:t xml:space="preserve"> (2018</w:t>
      </w:r>
      <w:r w:rsidR="00565102">
        <w:rPr>
          <w:sz w:val="28"/>
          <w:szCs w:val="28"/>
        </w:rPr>
        <w:t xml:space="preserve"> – </w:t>
      </w:r>
      <w:r w:rsidR="00653A48" w:rsidRPr="00BC2ABB">
        <w:rPr>
          <w:sz w:val="28"/>
          <w:szCs w:val="28"/>
        </w:rPr>
        <w:t>2022)</w:t>
      </w:r>
      <w:r w:rsidR="0078378A" w:rsidRPr="00BC2ABB">
        <w:rPr>
          <w:sz w:val="28"/>
          <w:szCs w:val="28"/>
        </w:rPr>
        <w:t>, advised that he c</w:t>
      </w:r>
      <w:r w:rsidR="00E604DA" w:rsidRPr="00BC2ABB">
        <w:rPr>
          <w:sz w:val="28"/>
          <w:szCs w:val="28"/>
        </w:rPr>
        <w:t xml:space="preserve">ould not </w:t>
      </w:r>
      <w:r w:rsidR="0078378A" w:rsidRPr="00BC2ABB">
        <w:rPr>
          <w:sz w:val="28"/>
          <w:szCs w:val="28"/>
        </w:rPr>
        <w:t>recall ever being involved in any matter relating to the transfer of Cabinet records from PM&amp;C to the NAA. This i</w:t>
      </w:r>
      <w:r w:rsidR="006F615F" w:rsidRPr="00BC2ABB">
        <w:rPr>
          <w:sz w:val="28"/>
          <w:szCs w:val="28"/>
        </w:rPr>
        <w:t xml:space="preserve">s consistent with advice </w:t>
      </w:r>
      <w:r w:rsidR="0078378A" w:rsidRPr="00BC2ABB">
        <w:rPr>
          <w:sz w:val="28"/>
          <w:szCs w:val="28"/>
        </w:rPr>
        <w:t xml:space="preserve">from other </w:t>
      </w:r>
      <w:r w:rsidR="00E604DA" w:rsidRPr="00BC2ABB">
        <w:rPr>
          <w:sz w:val="28"/>
          <w:szCs w:val="28"/>
        </w:rPr>
        <w:t xml:space="preserve">former </w:t>
      </w:r>
      <w:r w:rsidR="0078378A" w:rsidRPr="00BC2ABB">
        <w:rPr>
          <w:sz w:val="28"/>
          <w:szCs w:val="28"/>
        </w:rPr>
        <w:t>Prime Ministers</w:t>
      </w:r>
      <w:r>
        <w:rPr>
          <w:sz w:val="28"/>
          <w:szCs w:val="28"/>
        </w:rPr>
        <w:t>,</w:t>
      </w:r>
      <w:r w:rsidR="0078378A" w:rsidRPr="00BC2ABB">
        <w:rPr>
          <w:sz w:val="28"/>
          <w:szCs w:val="28"/>
        </w:rPr>
        <w:t xml:space="preserve"> including</w:t>
      </w:r>
      <w:r w:rsidR="00F9165B" w:rsidRPr="00BC2ABB">
        <w:rPr>
          <w:sz w:val="28"/>
          <w:szCs w:val="28"/>
        </w:rPr>
        <w:t xml:space="preserve"> the Hon John Howard OM AC SSI (</w:t>
      </w:r>
      <w:r w:rsidR="00D00A45" w:rsidRPr="00BC2ABB">
        <w:rPr>
          <w:sz w:val="28"/>
          <w:szCs w:val="28"/>
        </w:rPr>
        <w:t>1996 – 2007</w:t>
      </w:r>
      <w:r w:rsidR="00F9165B" w:rsidRPr="00BC2ABB">
        <w:rPr>
          <w:sz w:val="28"/>
          <w:szCs w:val="28"/>
        </w:rPr>
        <w:t>), His</w:t>
      </w:r>
      <w:r>
        <w:rPr>
          <w:sz w:val="28"/>
          <w:szCs w:val="28"/>
        </w:rPr>
        <w:t> </w:t>
      </w:r>
      <w:r w:rsidR="00F9165B" w:rsidRPr="00BC2ABB">
        <w:rPr>
          <w:sz w:val="28"/>
          <w:szCs w:val="28"/>
        </w:rPr>
        <w:t xml:space="preserve">Excellency the Hon </w:t>
      </w:r>
      <w:r w:rsidR="003858E8">
        <w:rPr>
          <w:sz w:val="28"/>
          <w:szCs w:val="28"/>
        </w:rPr>
        <w:t xml:space="preserve">Dr </w:t>
      </w:r>
      <w:r w:rsidR="00F9165B" w:rsidRPr="00BC2ABB">
        <w:rPr>
          <w:sz w:val="28"/>
          <w:szCs w:val="28"/>
        </w:rPr>
        <w:t>Kevin Rudd AC (</w:t>
      </w:r>
      <w:r w:rsidR="00D00A45" w:rsidRPr="00BC2ABB">
        <w:rPr>
          <w:sz w:val="28"/>
          <w:szCs w:val="28"/>
        </w:rPr>
        <w:t>2007 – 2010, 2013</w:t>
      </w:r>
      <w:r w:rsidR="00F9165B" w:rsidRPr="00BC2ABB">
        <w:rPr>
          <w:sz w:val="28"/>
          <w:szCs w:val="28"/>
        </w:rPr>
        <w:t xml:space="preserve">), the Hon </w:t>
      </w:r>
      <w:r w:rsidR="00F9165B" w:rsidRPr="00BC2ABB">
        <w:rPr>
          <w:sz w:val="28"/>
          <w:szCs w:val="28"/>
        </w:rPr>
        <w:lastRenderedPageBreak/>
        <w:t>Julia Gillard AC (</w:t>
      </w:r>
      <w:r w:rsidR="00D00A45" w:rsidRPr="00BC2ABB">
        <w:rPr>
          <w:sz w:val="28"/>
          <w:szCs w:val="28"/>
        </w:rPr>
        <w:t>2010 – 2013</w:t>
      </w:r>
      <w:r w:rsidR="00F9165B" w:rsidRPr="00BC2ABB">
        <w:rPr>
          <w:sz w:val="28"/>
          <w:szCs w:val="28"/>
        </w:rPr>
        <w:t xml:space="preserve">), the Hon Tony Abbott </w:t>
      </w:r>
      <w:r w:rsidR="003858E8">
        <w:rPr>
          <w:sz w:val="28"/>
          <w:szCs w:val="28"/>
        </w:rPr>
        <w:t xml:space="preserve">AC </w:t>
      </w:r>
      <w:r w:rsidR="00F9165B" w:rsidRPr="00BC2ABB">
        <w:rPr>
          <w:sz w:val="28"/>
          <w:szCs w:val="28"/>
        </w:rPr>
        <w:t>(</w:t>
      </w:r>
      <w:r w:rsidR="00D00A45" w:rsidRPr="00BC2ABB">
        <w:rPr>
          <w:sz w:val="28"/>
          <w:szCs w:val="28"/>
        </w:rPr>
        <w:t>2013 – 2015</w:t>
      </w:r>
      <w:r w:rsidR="00F9165B" w:rsidRPr="00BC2ABB">
        <w:rPr>
          <w:sz w:val="28"/>
          <w:szCs w:val="28"/>
        </w:rPr>
        <w:t>) and the Hon Malcolm Turnbull AC (</w:t>
      </w:r>
      <w:r w:rsidR="00D00A45" w:rsidRPr="00BC2ABB">
        <w:rPr>
          <w:sz w:val="28"/>
          <w:szCs w:val="28"/>
        </w:rPr>
        <w:t>2015 – 2018</w:t>
      </w:r>
      <w:r w:rsidR="00F9165B" w:rsidRPr="00BC2ABB">
        <w:rPr>
          <w:sz w:val="28"/>
          <w:szCs w:val="28"/>
        </w:rPr>
        <w:t>).</w:t>
      </w:r>
    </w:p>
    <w:p w14:paraId="47DA8ACE" w14:textId="298BAADD" w:rsidR="00F9165B" w:rsidRDefault="00624AEB" w:rsidP="00771FA7">
      <w:pPr>
        <w:pStyle w:val="ListParagraph"/>
        <w:numPr>
          <w:ilvl w:val="0"/>
          <w:numId w:val="11"/>
        </w:numPr>
        <w:spacing w:line="360" w:lineRule="auto"/>
        <w:ind w:left="709" w:hanging="709"/>
        <w:contextualSpacing w:val="0"/>
      </w:pPr>
      <w:r>
        <w:rPr>
          <w:sz w:val="28"/>
          <w:szCs w:val="28"/>
        </w:rPr>
        <w:t>The</w:t>
      </w:r>
      <w:r w:rsidR="00D7475B" w:rsidRPr="00BC2ABB">
        <w:rPr>
          <w:sz w:val="28"/>
          <w:szCs w:val="28"/>
        </w:rPr>
        <w:t xml:space="preserve"> Review notes that PM&amp;C </w:t>
      </w:r>
      <w:r w:rsidR="00E604DA" w:rsidRPr="00BC2ABB">
        <w:rPr>
          <w:sz w:val="28"/>
          <w:szCs w:val="28"/>
        </w:rPr>
        <w:t xml:space="preserve">does, as a matter of routine, </w:t>
      </w:r>
      <w:r>
        <w:rPr>
          <w:sz w:val="28"/>
          <w:szCs w:val="28"/>
        </w:rPr>
        <w:t xml:space="preserve">provide </w:t>
      </w:r>
      <w:r w:rsidR="00D7475B" w:rsidRPr="00BC2ABB">
        <w:rPr>
          <w:sz w:val="28"/>
          <w:szCs w:val="28"/>
        </w:rPr>
        <w:t>brief</w:t>
      </w:r>
      <w:r>
        <w:rPr>
          <w:sz w:val="28"/>
          <w:szCs w:val="28"/>
        </w:rPr>
        <w:t>ing to</w:t>
      </w:r>
      <w:r w:rsidR="00D7475B" w:rsidRPr="00BC2ABB">
        <w:rPr>
          <w:sz w:val="28"/>
          <w:szCs w:val="28"/>
        </w:rPr>
        <w:t xml:space="preserve"> the P</w:t>
      </w:r>
      <w:r w:rsidR="000F6F29" w:rsidRPr="00BC2ABB">
        <w:rPr>
          <w:sz w:val="28"/>
          <w:szCs w:val="28"/>
        </w:rPr>
        <w:t xml:space="preserve">rime </w:t>
      </w:r>
      <w:r w:rsidR="00D7475B" w:rsidRPr="00BC2ABB">
        <w:rPr>
          <w:sz w:val="28"/>
          <w:szCs w:val="28"/>
        </w:rPr>
        <w:t>M</w:t>
      </w:r>
      <w:r w:rsidR="000F6F29" w:rsidRPr="00BC2ABB">
        <w:rPr>
          <w:sz w:val="28"/>
          <w:szCs w:val="28"/>
        </w:rPr>
        <w:t>inister</w:t>
      </w:r>
      <w:r w:rsidR="00A05071" w:rsidRPr="00BC2ABB">
        <w:rPr>
          <w:sz w:val="28"/>
          <w:szCs w:val="28"/>
        </w:rPr>
        <w:t xml:space="preserve"> </w:t>
      </w:r>
      <w:r w:rsidR="00D7475B" w:rsidRPr="00BC2ABB">
        <w:rPr>
          <w:sz w:val="28"/>
          <w:szCs w:val="28"/>
        </w:rPr>
        <w:t xml:space="preserve">annually </w:t>
      </w:r>
      <w:r w:rsidR="006751CF" w:rsidRPr="00BC2ABB">
        <w:rPr>
          <w:sz w:val="28"/>
          <w:szCs w:val="28"/>
        </w:rPr>
        <w:t xml:space="preserve">on </w:t>
      </w:r>
      <w:r w:rsidR="000F6F29" w:rsidRPr="00BC2ABB">
        <w:rPr>
          <w:sz w:val="28"/>
          <w:szCs w:val="28"/>
        </w:rPr>
        <w:t xml:space="preserve">the </w:t>
      </w:r>
      <w:r w:rsidR="00D7475B" w:rsidRPr="00BC2ABB">
        <w:rPr>
          <w:sz w:val="28"/>
          <w:szCs w:val="28"/>
        </w:rPr>
        <w:t xml:space="preserve">upcoming </w:t>
      </w:r>
      <w:r w:rsidR="00A05071" w:rsidRPr="00BC2ABB">
        <w:rPr>
          <w:sz w:val="28"/>
          <w:szCs w:val="28"/>
        </w:rPr>
        <w:t>public release</w:t>
      </w:r>
      <w:r w:rsidR="006751CF" w:rsidRPr="00BC2ABB">
        <w:rPr>
          <w:sz w:val="28"/>
          <w:szCs w:val="28"/>
        </w:rPr>
        <w:t xml:space="preserve"> of Cabinet records by </w:t>
      </w:r>
      <w:r w:rsidR="000059C4">
        <w:rPr>
          <w:sz w:val="28"/>
          <w:szCs w:val="28"/>
        </w:rPr>
        <w:t xml:space="preserve">the </w:t>
      </w:r>
      <w:r>
        <w:rPr>
          <w:sz w:val="28"/>
          <w:szCs w:val="28"/>
        </w:rPr>
        <w:t>NAA. This, however is unrelated to the transfer of documents from PM&amp;C to the NAA.</w:t>
      </w:r>
      <w:r w:rsidR="00F9165B">
        <w:br w:type="page"/>
      </w:r>
    </w:p>
    <w:p w14:paraId="59F49827" w14:textId="39270107" w:rsidR="00F9165B" w:rsidRDefault="006F615F" w:rsidP="00BC2ABB">
      <w:pPr>
        <w:pStyle w:val="Heading1"/>
        <w:spacing w:line="360" w:lineRule="auto"/>
        <w:rPr>
          <w:noProof/>
        </w:rPr>
      </w:pPr>
      <w:bookmarkStart w:id="204" w:name="_Toc155699063"/>
      <w:bookmarkStart w:id="205" w:name="_Toc155701005"/>
      <w:bookmarkStart w:id="206" w:name="_Toc155799983"/>
      <w:bookmarkStart w:id="207" w:name="_Toc155875130"/>
      <w:bookmarkStart w:id="208" w:name="_Toc156565991"/>
      <w:bookmarkStart w:id="209" w:name="_Toc157432136"/>
      <w:r>
        <w:rPr>
          <w:noProof/>
        </w:rPr>
        <w:lastRenderedPageBreak/>
        <w:t xml:space="preserve">5. </w:t>
      </w:r>
      <w:bookmarkEnd w:id="204"/>
      <w:bookmarkEnd w:id="205"/>
      <w:bookmarkEnd w:id="206"/>
      <w:r w:rsidR="00CF0752">
        <w:rPr>
          <w:noProof/>
        </w:rPr>
        <w:t>Confirming transfer of 2003 Cabinet records</w:t>
      </w:r>
      <w:bookmarkEnd w:id="207"/>
      <w:bookmarkEnd w:id="208"/>
      <w:bookmarkEnd w:id="209"/>
    </w:p>
    <w:p w14:paraId="46DB5C06" w14:textId="0D77ECC0" w:rsidR="003150B9" w:rsidRPr="00BC2ABB" w:rsidRDefault="00365C5E" w:rsidP="00771FA7">
      <w:pPr>
        <w:pStyle w:val="ListParagraph"/>
        <w:numPr>
          <w:ilvl w:val="0"/>
          <w:numId w:val="11"/>
        </w:numPr>
        <w:spacing w:line="360" w:lineRule="auto"/>
        <w:ind w:left="709" w:hanging="709"/>
        <w:contextualSpacing w:val="0"/>
        <w:rPr>
          <w:sz w:val="28"/>
          <w:szCs w:val="28"/>
        </w:rPr>
      </w:pPr>
      <w:r w:rsidRPr="00BC2ABB">
        <w:rPr>
          <w:sz w:val="28"/>
          <w:szCs w:val="28"/>
        </w:rPr>
        <w:t>The Review met with all relevant, available current and former PM&amp;C officials to confi</w:t>
      </w:r>
      <w:r w:rsidR="00F7406A">
        <w:rPr>
          <w:sz w:val="28"/>
          <w:szCs w:val="28"/>
        </w:rPr>
        <w:t>rm all 2003 Cabinet records had</w:t>
      </w:r>
      <w:r w:rsidRPr="00BC2ABB">
        <w:rPr>
          <w:sz w:val="28"/>
          <w:szCs w:val="28"/>
        </w:rPr>
        <w:t xml:space="preserve"> now been transferred from PM&amp;C to </w:t>
      </w:r>
      <w:r w:rsidR="000059C4">
        <w:rPr>
          <w:sz w:val="28"/>
          <w:szCs w:val="28"/>
        </w:rPr>
        <w:t xml:space="preserve">the </w:t>
      </w:r>
      <w:r w:rsidRPr="00BC2ABB">
        <w:rPr>
          <w:sz w:val="28"/>
          <w:szCs w:val="28"/>
        </w:rPr>
        <w:t xml:space="preserve">NAA. The Reviewer also physically inspected the relevant areas within PM&amp;C that hold Cabinet records. </w:t>
      </w:r>
    </w:p>
    <w:p w14:paraId="055107F1" w14:textId="25B2C673" w:rsidR="000D7B58" w:rsidRDefault="00F7406A" w:rsidP="00BC2ABB">
      <w:pPr>
        <w:pStyle w:val="Heading2"/>
        <w:spacing w:line="360" w:lineRule="auto"/>
      </w:pPr>
      <w:bookmarkStart w:id="210" w:name="_Toc155875131"/>
      <w:bookmarkStart w:id="211" w:name="_Toc156565992"/>
      <w:bookmarkStart w:id="212" w:name="_Toc157432137"/>
      <w:bookmarkStart w:id="213" w:name="_Toc155799984"/>
      <w:r>
        <w:t>December</w:t>
      </w:r>
      <w:r w:rsidR="003150B9">
        <w:t xml:space="preserve"> 2023</w:t>
      </w:r>
      <w:bookmarkEnd w:id="210"/>
      <w:bookmarkEnd w:id="211"/>
      <w:bookmarkEnd w:id="212"/>
      <w:r w:rsidR="003150B9">
        <w:t xml:space="preserve"> </w:t>
      </w:r>
      <w:bookmarkEnd w:id="213"/>
    </w:p>
    <w:p w14:paraId="0CFF9B8B" w14:textId="12849CDC" w:rsidR="000D7B58" w:rsidRPr="00BC2ABB" w:rsidRDefault="006738C7" w:rsidP="00771FA7">
      <w:pPr>
        <w:pStyle w:val="ListParagraph"/>
        <w:numPr>
          <w:ilvl w:val="0"/>
          <w:numId w:val="11"/>
        </w:numPr>
        <w:spacing w:line="360" w:lineRule="auto"/>
        <w:ind w:left="709" w:hanging="709"/>
        <w:contextualSpacing w:val="0"/>
        <w:rPr>
          <w:sz w:val="28"/>
          <w:szCs w:val="28"/>
        </w:rPr>
      </w:pPr>
      <w:r w:rsidRPr="00BC2ABB">
        <w:rPr>
          <w:sz w:val="28"/>
          <w:szCs w:val="28"/>
        </w:rPr>
        <w:t>Following a media query</w:t>
      </w:r>
      <w:r w:rsidR="008B6F45">
        <w:rPr>
          <w:sz w:val="28"/>
          <w:szCs w:val="28"/>
        </w:rPr>
        <w:t xml:space="preserve"> </w:t>
      </w:r>
      <w:r w:rsidRPr="00BC2ABB">
        <w:rPr>
          <w:sz w:val="28"/>
          <w:szCs w:val="28"/>
        </w:rPr>
        <w:t>on 1</w:t>
      </w:r>
      <w:r w:rsidR="00CB3DDE">
        <w:rPr>
          <w:sz w:val="28"/>
          <w:szCs w:val="28"/>
        </w:rPr>
        <w:t>8</w:t>
      </w:r>
      <w:r w:rsidRPr="00BC2ABB">
        <w:rPr>
          <w:sz w:val="28"/>
          <w:szCs w:val="28"/>
        </w:rPr>
        <w:t xml:space="preserve"> December 2023, a review of Cabinet records was conducted </w:t>
      </w:r>
      <w:r w:rsidR="000D7B58" w:rsidRPr="00BC2ABB">
        <w:rPr>
          <w:sz w:val="28"/>
          <w:szCs w:val="28"/>
        </w:rPr>
        <w:t>at PM&amp;</w:t>
      </w:r>
      <w:r w:rsidR="009B3C8D">
        <w:rPr>
          <w:sz w:val="28"/>
          <w:szCs w:val="28"/>
        </w:rPr>
        <w:t xml:space="preserve">C. The responding </w:t>
      </w:r>
      <w:r w:rsidR="000D7B58" w:rsidRPr="00BC2ABB">
        <w:rPr>
          <w:sz w:val="28"/>
          <w:szCs w:val="28"/>
        </w:rPr>
        <w:t>Assistant Secretary with</w:t>
      </w:r>
      <w:r w:rsidR="003150B9" w:rsidRPr="00BC2ABB">
        <w:rPr>
          <w:sz w:val="28"/>
          <w:szCs w:val="28"/>
        </w:rPr>
        <w:t xml:space="preserve">in Cabinet Division did not hold a security clearance to </w:t>
      </w:r>
      <w:r w:rsidR="00365C5E" w:rsidRPr="00BC2ABB">
        <w:rPr>
          <w:sz w:val="28"/>
          <w:szCs w:val="28"/>
        </w:rPr>
        <w:t xml:space="preserve">access </w:t>
      </w:r>
      <w:r w:rsidR="003150B9" w:rsidRPr="00BC2ABB">
        <w:rPr>
          <w:sz w:val="28"/>
          <w:szCs w:val="28"/>
        </w:rPr>
        <w:t>the records</w:t>
      </w:r>
      <w:r w:rsidR="00365C5E" w:rsidRPr="00BC2ABB">
        <w:rPr>
          <w:sz w:val="28"/>
          <w:szCs w:val="28"/>
        </w:rPr>
        <w:t xml:space="preserve"> independently so was </w:t>
      </w:r>
      <w:r w:rsidR="000D7B58" w:rsidRPr="00BC2ABB">
        <w:rPr>
          <w:sz w:val="28"/>
          <w:szCs w:val="28"/>
        </w:rPr>
        <w:t xml:space="preserve">escorted to the </w:t>
      </w:r>
      <w:r w:rsidR="003150B9" w:rsidRPr="00BC2ABB">
        <w:rPr>
          <w:sz w:val="28"/>
          <w:szCs w:val="28"/>
        </w:rPr>
        <w:t>physical location</w:t>
      </w:r>
      <w:r w:rsidR="00365C5E" w:rsidRPr="00BC2ABB">
        <w:rPr>
          <w:sz w:val="28"/>
          <w:szCs w:val="28"/>
        </w:rPr>
        <w:t xml:space="preserve"> to check whether any</w:t>
      </w:r>
      <w:r w:rsidR="000D7B58" w:rsidRPr="00BC2ABB">
        <w:rPr>
          <w:sz w:val="28"/>
          <w:szCs w:val="28"/>
        </w:rPr>
        <w:t xml:space="preserve"> 2003 Cabinet</w:t>
      </w:r>
      <w:r w:rsidR="003150B9" w:rsidRPr="00BC2ABB">
        <w:rPr>
          <w:sz w:val="28"/>
          <w:szCs w:val="28"/>
        </w:rPr>
        <w:t xml:space="preserve"> records remai</w:t>
      </w:r>
      <w:r w:rsidR="00365C5E" w:rsidRPr="00BC2ABB">
        <w:rPr>
          <w:sz w:val="28"/>
          <w:szCs w:val="28"/>
        </w:rPr>
        <w:t xml:space="preserve">ned at PM&amp;C. </w:t>
      </w:r>
    </w:p>
    <w:p w14:paraId="2EA570FE" w14:textId="043BE6C0" w:rsidR="000D7B58" w:rsidRPr="00BC2ABB" w:rsidRDefault="000D7B58" w:rsidP="00771FA7">
      <w:pPr>
        <w:pStyle w:val="ListParagraph"/>
        <w:numPr>
          <w:ilvl w:val="0"/>
          <w:numId w:val="11"/>
        </w:numPr>
        <w:spacing w:line="360" w:lineRule="auto"/>
        <w:ind w:left="709" w:hanging="709"/>
        <w:contextualSpacing w:val="0"/>
        <w:rPr>
          <w:sz w:val="28"/>
          <w:szCs w:val="28"/>
        </w:rPr>
      </w:pPr>
      <w:r w:rsidRPr="00BC2ABB">
        <w:rPr>
          <w:sz w:val="28"/>
          <w:szCs w:val="28"/>
        </w:rPr>
        <w:t>During</w:t>
      </w:r>
      <w:r w:rsidR="00365C5E" w:rsidRPr="00BC2ABB">
        <w:rPr>
          <w:sz w:val="28"/>
          <w:szCs w:val="28"/>
        </w:rPr>
        <w:t xml:space="preserve"> Cabinet Division’s </w:t>
      </w:r>
      <w:r w:rsidRPr="00BC2ABB">
        <w:rPr>
          <w:sz w:val="28"/>
          <w:szCs w:val="28"/>
        </w:rPr>
        <w:t>check, a</w:t>
      </w:r>
      <w:r w:rsidR="00CF0752">
        <w:rPr>
          <w:sz w:val="28"/>
          <w:szCs w:val="28"/>
        </w:rPr>
        <w:t xml:space="preserve"> </w:t>
      </w:r>
      <w:r w:rsidR="006738C7" w:rsidRPr="00BC2ABB">
        <w:rPr>
          <w:sz w:val="28"/>
          <w:szCs w:val="28"/>
        </w:rPr>
        <w:t xml:space="preserve">number of 2003 archive boxes containing </w:t>
      </w:r>
      <w:r w:rsidR="00CF0752">
        <w:rPr>
          <w:sz w:val="28"/>
          <w:szCs w:val="28"/>
        </w:rPr>
        <w:t xml:space="preserve">Cabinet </w:t>
      </w:r>
      <w:r w:rsidR="002D2132">
        <w:rPr>
          <w:sz w:val="28"/>
          <w:szCs w:val="28"/>
        </w:rPr>
        <w:t>records</w:t>
      </w:r>
      <w:r w:rsidR="00CF0752">
        <w:rPr>
          <w:sz w:val="28"/>
          <w:szCs w:val="28"/>
        </w:rPr>
        <w:t xml:space="preserve"> </w:t>
      </w:r>
      <w:r w:rsidR="007F5B95">
        <w:rPr>
          <w:sz w:val="28"/>
          <w:szCs w:val="28"/>
        </w:rPr>
        <w:t>w</w:t>
      </w:r>
      <w:r w:rsidR="0043417F">
        <w:rPr>
          <w:sz w:val="28"/>
          <w:szCs w:val="28"/>
        </w:rPr>
        <w:t xml:space="preserve">ere </w:t>
      </w:r>
      <w:r w:rsidR="006738C7" w:rsidRPr="00BC2ABB">
        <w:rPr>
          <w:sz w:val="28"/>
          <w:szCs w:val="28"/>
        </w:rPr>
        <w:t xml:space="preserve">identified. </w:t>
      </w:r>
    </w:p>
    <w:p w14:paraId="24AB291B" w14:textId="4EB90D78" w:rsidR="000D7B58" w:rsidRPr="00BC2ABB" w:rsidRDefault="000D7B58"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On 21 December 2023, </w:t>
      </w:r>
      <w:r w:rsidR="00522A1F" w:rsidRPr="00BC2ABB">
        <w:rPr>
          <w:sz w:val="28"/>
          <w:szCs w:val="28"/>
        </w:rPr>
        <w:t xml:space="preserve">intelligence </w:t>
      </w:r>
      <w:r w:rsidR="006738C7" w:rsidRPr="00BC2ABB">
        <w:rPr>
          <w:sz w:val="28"/>
          <w:szCs w:val="28"/>
        </w:rPr>
        <w:t xml:space="preserve">agencies attended PM&amp;C to review the </w:t>
      </w:r>
      <w:r w:rsidR="00FA1A4B">
        <w:rPr>
          <w:sz w:val="28"/>
          <w:szCs w:val="28"/>
        </w:rPr>
        <w:t>archive boxes</w:t>
      </w:r>
      <w:r w:rsidR="0043417F">
        <w:rPr>
          <w:sz w:val="28"/>
          <w:szCs w:val="28"/>
        </w:rPr>
        <w:t xml:space="preserve"> to ensure there were</w:t>
      </w:r>
      <w:r w:rsidR="00CF0752">
        <w:rPr>
          <w:sz w:val="28"/>
          <w:szCs w:val="28"/>
        </w:rPr>
        <w:t xml:space="preserve"> no non-Cabinet intelligence materials amongst the Cabinet records</w:t>
      </w:r>
      <w:r w:rsidR="006738C7" w:rsidRPr="00BC2ABB">
        <w:rPr>
          <w:sz w:val="28"/>
          <w:szCs w:val="28"/>
        </w:rPr>
        <w:t xml:space="preserve">. </w:t>
      </w:r>
      <w:r w:rsidR="007F5B95">
        <w:rPr>
          <w:sz w:val="28"/>
          <w:szCs w:val="28"/>
        </w:rPr>
        <w:t>N</w:t>
      </w:r>
      <w:r w:rsidRPr="00BC2ABB">
        <w:rPr>
          <w:sz w:val="28"/>
          <w:szCs w:val="28"/>
        </w:rPr>
        <w:t>o documents were removed</w:t>
      </w:r>
      <w:r w:rsidR="00CF0752">
        <w:rPr>
          <w:sz w:val="28"/>
          <w:szCs w:val="28"/>
        </w:rPr>
        <w:t xml:space="preserve">. </w:t>
      </w:r>
    </w:p>
    <w:p w14:paraId="50697160" w14:textId="1DD32291" w:rsidR="000D7B58" w:rsidRPr="00BC2ABB" w:rsidRDefault="000D7B58"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On 30 December 2023, </w:t>
      </w:r>
      <w:r w:rsidR="002D2132">
        <w:rPr>
          <w:sz w:val="28"/>
          <w:szCs w:val="28"/>
        </w:rPr>
        <w:t>7</w:t>
      </w:r>
      <w:r w:rsidR="00555D77">
        <w:rPr>
          <w:sz w:val="28"/>
          <w:szCs w:val="28"/>
        </w:rPr>
        <w:t>7</w:t>
      </w:r>
      <w:r w:rsidR="002D2132">
        <w:rPr>
          <w:sz w:val="28"/>
          <w:szCs w:val="28"/>
        </w:rPr>
        <w:t xml:space="preserve"> records</w:t>
      </w:r>
      <w:r w:rsidRPr="00BC2ABB">
        <w:rPr>
          <w:sz w:val="28"/>
          <w:szCs w:val="28"/>
        </w:rPr>
        <w:t xml:space="preserve"> were pr</w:t>
      </w:r>
      <w:r w:rsidR="003150B9" w:rsidRPr="00BC2ABB">
        <w:rPr>
          <w:sz w:val="28"/>
          <w:szCs w:val="28"/>
        </w:rPr>
        <w:t xml:space="preserve">epared and listed for transfer </w:t>
      </w:r>
      <w:r w:rsidRPr="00BC2ABB">
        <w:rPr>
          <w:sz w:val="28"/>
          <w:szCs w:val="28"/>
        </w:rPr>
        <w:t>t</w:t>
      </w:r>
      <w:r w:rsidR="003150B9" w:rsidRPr="00BC2ABB">
        <w:rPr>
          <w:sz w:val="28"/>
          <w:szCs w:val="28"/>
        </w:rPr>
        <w:t>o</w:t>
      </w:r>
      <w:r w:rsidRPr="00BC2ABB">
        <w:rPr>
          <w:sz w:val="28"/>
          <w:szCs w:val="28"/>
        </w:rPr>
        <w:t xml:space="preserve"> the NAA:</w:t>
      </w:r>
    </w:p>
    <w:p w14:paraId="70AFDF61" w14:textId="0A4A1322" w:rsidR="000D7B58" w:rsidRPr="00BC2ABB" w:rsidRDefault="003150B9" w:rsidP="00771FA7">
      <w:pPr>
        <w:pStyle w:val="ListParagraph"/>
        <w:numPr>
          <w:ilvl w:val="1"/>
          <w:numId w:val="14"/>
        </w:numPr>
        <w:spacing w:line="360" w:lineRule="auto"/>
        <w:contextualSpacing w:val="0"/>
        <w:rPr>
          <w:sz w:val="28"/>
          <w:szCs w:val="28"/>
        </w:rPr>
      </w:pPr>
      <w:r w:rsidRPr="00BC2ABB">
        <w:rPr>
          <w:sz w:val="28"/>
          <w:szCs w:val="28"/>
        </w:rPr>
        <w:t>e</w:t>
      </w:r>
      <w:r w:rsidR="000D7B58" w:rsidRPr="00BC2ABB">
        <w:rPr>
          <w:sz w:val="28"/>
          <w:szCs w:val="28"/>
        </w:rPr>
        <w:t xml:space="preserve">ach </w:t>
      </w:r>
      <w:r w:rsidR="002D2132">
        <w:rPr>
          <w:sz w:val="28"/>
          <w:szCs w:val="28"/>
        </w:rPr>
        <w:t>record</w:t>
      </w:r>
      <w:r w:rsidR="000D7B58" w:rsidRPr="00BC2ABB">
        <w:rPr>
          <w:sz w:val="28"/>
          <w:szCs w:val="28"/>
        </w:rPr>
        <w:t xml:space="preserve"> was opened and reviewed by an appropriately cleared </w:t>
      </w:r>
      <w:r w:rsidRPr="00BC2ABB">
        <w:rPr>
          <w:sz w:val="28"/>
          <w:szCs w:val="28"/>
        </w:rPr>
        <w:t xml:space="preserve">staff member; and </w:t>
      </w:r>
      <w:r w:rsidR="000D7B58" w:rsidRPr="00BC2ABB">
        <w:rPr>
          <w:sz w:val="28"/>
          <w:szCs w:val="28"/>
        </w:rPr>
        <w:t xml:space="preserve"> </w:t>
      </w:r>
    </w:p>
    <w:p w14:paraId="210ABAE6" w14:textId="5C0A930E" w:rsidR="000D7B58" w:rsidRPr="00BC2ABB" w:rsidRDefault="00F7406A" w:rsidP="00771FA7">
      <w:pPr>
        <w:pStyle w:val="ListParagraph"/>
        <w:numPr>
          <w:ilvl w:val="1"/>
          <w:numId w:val="14"/>
        </w:numPr>
        <w:spacing w:line="360" w:lineRule="auto"/>
        <w:contextualSpacing w:val="0"/>
        <w:rPr>
          <w:sz w:val="28"/>
          <w:szCs w:val="28"/>
        </w:rPr>
      </w:pPr>
      <w:r>
        <w:rPr>
          <w:sz w:val="28"/>
          <w:szCs w:val="28"/>
        </w:rPr>
        <w:t>only</w:t>
      </w:r>
      <w:r w:rsidR="000D7B58" w:rsidRPr="00BC2ABB">
        <w:rPr>
          <w:sz w:val="28"/>
          <w:szCs w:val="28"/>
        </w:rPr>
        <w:t xml:space="preserve"> documents that aligned to the </w:t>
      </w:r>
      <w:r w:rsidR="007F5B95">
        <w:rPr>
          <w:sz w:val="28"/>
          <w:szCs w:val="28"/>
        </w:rPr>
        <w:t>1988 Schedule</w:t>
      </w:r>
      <w:r w:rsidR="003150B9" w:rsidRPr="00BC2ABB">
        <w:rPr>
          <w:sz w:val="28"/>
          <w:szCs w:val="28"/>
        </w:rPr>
        <w:t xml:space="preserve"> were retained.</w:t>
      </w:r>
    </w:p>
    <w:p w14:paraId="6FE811D2" w14:textId="25145D58" w:rsidR="006738C7" w:rsidRPr="00BC2ABB" w:rsidRDefault="000D7B58" w:rsidP="00771FA7">
      <w:pPr>
        <w:pStyle w:val="ListParagraph"/>
        <w:numPr>
          <w:ilvl w:val="0"/>
          <w:numId w:val="11"/>
        </w:numPr>
        <w:spacing w:line="360" w:lineRule="auto"/>
        <w:ind w:left="709" w:hanging="709"/>
        <w:contextualSpacing w:val="0"/>
        <w:rPr>
          <w:sz w:val="28"/>
          <w:szCs w:val="28"/>
        </w:rPr>
      </w:pPr>
      <w:r w:rsidRPr="00BC2ABB">
        <w:rPr>
          <w:sz w:val="28"/>
          <w:szCs w:val="28"/>
        </w:rPr>
        <w:lastRenderedPageBreak/>
        <w:t xml:space="preserve">On 31 December 2023, the records were securely transferred by safehand to the NAA. </w:t>
      </w:r>
    </w:p>
    <w:p w14:paraId="2E55473F" w14:textId="3D7E9FD2" w:rsidR="00F5648D" w:rsidRDefault="00F5648D" w:rsidP="00BC2ABB">
      <w:pPr>
        <w:pStyle w:val="Heading2"/>
        <w:spacing w:line="360" w:lineRule="auto"/>
      </w:pPr>
      <w:bookmarkStart w:id="214" w:name="_Toc155699064"/>
      <w:bookmarkStart w:id="215" w:name="_Toc155701006"/>
      <w:bookmarkStart w:id="216" w:name="_Toc155799985"/>
      <w:bookmarkStart w:id="217" w:name="_Toc155875132"/>
      <w:bookmarkStart w:id="218" w:name="_Toc156565993"/>
      <w:bookmarkStart w:id="219" w:name="_Toc157432138"/>
      <w:r w:rsidRPr="00EA5272">
        <w:t>Additional Cabinet records</w:t>
      </w:r>
      <w:bookmarkEnd w:id="214"/>
      <w:bookmarkEnd w:id="215"/>
      <w:bookmarkEnd w:id="216"/>
      <w:bookmarkEnd w:id="217"/>
      <w:bookmarkEnd w:id="218"/>
      <w:bookmarkEnd w:id="219"/>
      <w:r w:rsidRPr="00EA5272">
        <w:t xml:space="preserve"> </w:t>
      </w:r>
    </w:p>
    <w:p w14:paraId="5459B93F" w14:textId="11CFB238" w:rsidR="003731CA" w:rsidRPr="00BC2ABB" w:rsidRDefault="003731CA"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Review’s physical inspection </w:t>
      </w:r>
      <w:r w:rsidR="003150B9" w:rsidRPr="00BC2ABB">
        <w:rPr>
          <w:sz w:val="28"/>
          <w:szCs w:val="28"/>
        </w:rPr>
        <w:t>on 4 January 2023</w:t>
      </w:r>
      <w:r w:rsidRPr="00BC2ABB">
        <w:rPr>
          <w:sz w:val="28"/>
          <w:szCs w:val="28"/>
        </w:rPr>
        <w:t xml:space="preserve"> uncovered four </w:t>
      </w:r>
      <w:r w:rsidRPr="00037B09">
        <w:rPr>
          <w:sz w:val="28"/>
          <w:szCs w:val="28"/>
        </w:rPr>
        <w:t>additional 2003 Cabinet</w:t>
      </w:r>
      <w:r w:rsidR="00CA4D8C" w:rsidRPr="00037B09">
        <w:rPr>
          <w:sz w:val="28"/>
          <w:szCs w:val="28"/>
        </w:rPr>
        <w:t xml:space="preserve"> records</w:t>
      </w:r>
      <w:r w:rsidRPr="00037B09">
        <w:rPr>
          <w:sz w:val="28"/>
          <w:szCs w:val="28"/>
        </w:rPr>
        <w:t xml:space="preserve"> that had not been transferred to </w:t>
      </w:r>
      <w:r w:rsidR="000059C4" w:rsidRPr="00037B09">
        <w:rPr>
          <w:sz w:val="28"/>
          <w:szCs w:val="28"/>
        </w:rPr>
        <w:t xml:space="preserve">the </w:t>
      </w:r>
      <w:r w:rsidRPr="00037B09">
        <w:rPr>
          <w:sz w:val="28"/>
          <w:szCs w:val="28"/>
        </w:rPr>
        <w:t xml:space="preserve">NAA in 2020. </w:t>
      </w:r>
      <w:r w:rsidR="001E271E" w:rsidRPr="00037B09">
        <w:rPr>
          <w:sz w:val="28"/>
          <w:szCs w:val="28"/>
        </w:rPr>
        <w:t xml:space="preserve">On 5 January 2024, </w:t>
      </w:r>
      <w:r w:rsidR="00FA1A4B" w:rsidRPr="00037B09">
        <w:rPr>
          <w:sz w:val="28"/>
          <w:szCs w:val="28"/>
        </w:rPr>
        <w:t xml:space="preserve">Cabinet Division </w:t>
      </w:r>
      <w:r w:rsidR="00BA18FB">
        <w:rPr>
          <w:sz w:val="28"/>
          <w:szCs w:val="28"/>
        </w:rPr>
        <w:t xml:space="preserve">confirmed </w:t>
      </w:r>
      <w:r w:rsidR="002410D3">
        <w:rPr>
          <w:sz w:val="28"/>
          <w:szCs w:val="28"/>
        </w:rPr>
        <w:t xml:space="preserve">that </w:t>
      </w:r>
      <w:r w:rsidR="00FA1A4B" w:rsidRPr="00037B09">
        <w:rPr>
          <w:sz w:val="28"/>
          <w:szCs w:val="28"/>
        </w:rPr>
        <w:t xml:space="preserve">one </w:t>
      </w:r>
      <w:r w:rsidR="002410D3">
        <w:rPr>
          <w:sz w:val="28"/>
          <w:szCs w:val="28"/>
        </w:rPr>
        <w:t>of the 78</w:t>
      </w:r>
      <w:r w:rsidR="00FA1A4B" w:rsidRPr="00037B09">
        <w:rPr>
          <w:sz w:val="28"/>
          <w:szCs w:val="28"/>
        </w:rPr>
        <w:t xml:space="preserve"> Cabinet record</w:t>
      </w:r>
      <w:r w:rsidR="002410D3">
        <w:rPr>
          <w:sz w:val="28"/>
          <w:szCs w:val="28"/>
        </w:rPr>
        <w:t>s, that was meant</w:t>
      </w:r>
      <w:r w:rsidR="002410D3" w:rsidRPr="00AA2D29">
        <w:rPr>
          <w:sz w:val="28"/>
          <w:szCs w:val="28"/>
        </w:rPr>
        <w:t xml:space="preserve"> be included as part of the 31 December </w:t>
      </w:r>
      <w:r w:rsidR="002410D3">
        <w:rPr>
          <w:sz w:val="28"/>
          <w:szCs w:val="28"/>
        </w:rPr>
        <w:t>2023 transfer,</w:t>
      </w:r>
      <w:r w:rsidR="002410D3" w:rsidRPr="00AA2D29">
        <w:rPr>
          <w:sz w:val="28"/>
          <w:szCs w:val="28"/>
        </w:rPr>
        <w:t xml:space="preserve"> had not been placed on the </w:t>
      </w:r>
      <w:r w:rsidR="002410D3">
        <w:rPr>
          <w:sz w:val="28"/>
          <w:szCs w:val="28"/>
        </w:rPr>
        <w:t xml:space="preserve">relevant </w:t>
      </w:r>
      <w:r w:rsidR="002410D3" w:rsidRPr="00AA2D29">
        <w:rPr>
          <w:sz w:val="28"/>
          <w:szCs w:val="28"/>
        </w:rPr>
        <w:t>transfer list</w:t>
      </w:r>
      <w:r w:rsidR="002410D3">
        <w:rPr>
          <w:sz w:val="28"/>
          <w:szCs w:val="28"/>
        </w:rPr>
        <w:t xml:space="preserve">. </w:t>
      </w:r>
      <w:r w:rsidR="00934010" w:rsidRPr="00037B09">
        <w:rPr>
          <w:sz w:val="28"/>
          <w:szCs w:val="28"/>
        </w:rPr>
        <w:t>The</w:t>
      </w:r>
      <w:r w:rsidR="00FA1A4B" w:rsidRPr="00037B09">
        <w:rPr>
          <w:sz w:val="28"/>
          <w:szCs w:val="28"/>
        </w:rPr>
        <w:t xml:space="preserve">se five </w:t>
      </w:r>
      <w:r w:rsidR="00856062" w:rsidRPr="00037B09">
        <w:rPr>
          <w:sz w:val="28"/>
          <w:szCs w:val="28"/>
        </w:rPr>
        <w:t>records were delivered to the NAA on 5 January 2024.</w:t>
      </w:r>
      <w:r w:rsidR="00934010" w:rsidRPr="00037B09">
        <w:rPr>
          <w:sz w:val="28"/>
          <w:szCs w:val="28"/>
        </w:rPr>
        <w:t xml:space="preserve"> </w:t>
      </w:r>
      <w:r w:rsidR="00CF0752" w:rsidRPr="00037B09">
        <w:rPr>
          <w:sz w:val="28"/>
          <w:szCs w:val="28"/>
        </w:rPr>
        <w:t>W</w:t>
      </w:r>
      <w:r w:rsidR="00856062" w:rsidRPr="00037B09">
        <w:rPr>
          <w:sz w:val="28"/>
          <w:szCs w:val="28"/>
        </w:rPr>
        <w:t>e</w:t>
      </w:r>
      <w:r w:rsidR="00856062" w:rsidRPr="00BC2ABB">
        <w:rPr>
          <w:sz w:val="28"/>
          <w:szCs w:val="28"/>
        </w:rPr>
        <w:t xml:space="preserve"> are </w:t>
      </w:r>
      <w:r w:rsidR="00CA4D8C" w:rsidRPr="00BC2ABB">
        <w:rPr>
          <w:sz w:val="28"/>
          <w:szCs w:val="28"/>
        </w:rPr>
        <w:t xml:space="preserve">satisfied </w:t>
      </w:r>
      <w:r w:rsidR="000D5884" w:rsidRPr="00BC2ABB">
        <w:rPr>
          <w:sz w:val="28"/>
          <w:szCs w:val="28"/>
        </w:rPr>
        <w:t>that all 2003 Cabinet</w:t>
      </w:r>
      <w:r w:rsidR="00856062" w:rsidRPr="00BC2ABB">
        <w:rPr>
          <w:sz w:val="28"/>
          <w:szCs w:val="28"/>
        </w:rPr>
        <w:t xml:space="preserve"> records</w:t>
      </w:r>
      <w:r w:rsidRPr="00BC2ABB">
        <w:rPr>
          <w:sz w:val="28"/>
          <w:szCs w:val="28"/>
        </w:rPr>
        <w:t xml:space="preserve"> have now been transferred to </w:t>
      </w:r>
      <w:r w:rsidR="000059C4">
        <w:rPr>
          <w:sz w:val="28"/>
          <w:szCs w:val="28"/>
        </w:rPr>
        <w:t xml:space="preserve">the </w:t>
      </w:r>
      <w:r w:rsidRPr="00BC2ABB">
        <w:rPr>
          <w:sz w:val="28"/>
          <w:szCs w:val="28"/>
        </w:rPr>
        <w:t>NAA</w:t>
      </w:r>
      <w:r w:rsidR="000D5884" w:rsidRPr="00BC2ABB">
        <w:rPr>
          <w:sz w:val="28"/>
          <w:szCs w:val="28"/>
        </w:rPr>
        <w:t xml:space="preserve"> as required under the Archives Act</w:t>
      </w:r>
      <w:r w:rsidRPr="00BC2ABB">
        <w:rPr>
          <w:sz w:val="28"/>
          <w:szCs w:val="28"/>
        </w:rPr>
        <w:t xml:space="preserve">. </w:t>
      </w:r>
    </w:p>
    <w:p w14:paraId="3B68A779" w14:textId="669D3909" w:rsidR="003731CA" w:rsidRPr="00BC2ABB" w:rsidRDefault="003731CA" w:rsidP="00771FA7">
      <w:pPr>
        <w:pStyle w:val="ListParagraph"/>
        <w:numPr>
          <w:ilvl w:val="0"/>
          <w:numId w:val="11"/>
        </w:numPr>
        <w:spacing w:line="360" w:lineRule="auto"/>
        <w:ind w:left="709" w:hanging="709"/>
        <w:contextualSpacing w:val="0"/>
        <w:rPr>
          <w:sz w:val="28"/>
          <w:szCs w:val="28"/>
        </w:rPr>
      </w:pPr>
      <w:r w:rsidRPr="00BC2ABB">
        <w:rPr>
          <w:sz w:val="28"/>
          <w:szCs w:val="28"/>
        </w:rPr>
        <w:t xml:space="preserve">The Review’s discovery of </w:t>
      </w:r>
      <w:r w:rsidR="00F5648D" w:rsidRPr="00BC2ABB">
        <w:rPr>
          <w:sz w:val="28"/>
          <w:szCs w:val="28"/>
        </w:rPr>
        <w:t>t</w:t>
      </w:r>
      <w:r w:rsidR="00934010" w:rsidRPr="00BC2ABB">
        <w:rPr>
          <w:sz w:val="28"/>
          <w:szCs w:val="28"/>
        </w:rPr>
        <w:t xml:space="preserve">he </w:t>
      </w:r>
      <w:r w:rsidRPr="00BC2ABB">
        <w:rPr>
          <w:sz w:val="28"/>
          <w:szCs w:val="28"/>
        </w:rPr>
        <w:t>additional</w:t>
      </w:r>
      <w:r w:rsidR="00F5648D" w:rsidRPr="00BC2ABB">
        <w:rPr>
          <w:sz w:val="28"/>
          <w:szCs w:val="28"/>
        </w:rPr>
        <w:t xml:space="preserve"> Cabinet</w:t>
      </w:r>
      <w:r w:rsidR="00CA4D8C" w:rsidRPr="00BC2ABB">
        <w:rPr>
          <w:sz w:val="28"/>
          <w:szCs w:val="28"/>
        </w:rPr>
        <w:t xml:space="preserve"> records</w:t>
      </w:r>
      <w:r w:rsidR="00F5648D" w:rsidRPr="00BC2ABB">
        <w:rPr>
          <w:sz w:val="28"/>
          <w:szCs w:val="28"/>
        </w:rPr>
        <w:t xml:space="preserve"> highlighted the complexities arising from relevant PM&amp;C officials not holding the requisite security clearances to enable </w:t>
      </w:r>
      <w:r w:rsidR="00934010" w:rsidRPr="00BC2ABB">
        <w:rPr>
          <w:sz w:val="28"/>
          <w:szCs w:val="28"/>
        </w:rPr>
        <w:t>staff</w:t>
      </w:r>
      <w:r w:rsidR="00F5648D" w:rsidRPr="00BC2ABB">
        <w:rPr>
          <w:sz w:val="28"/>
          <w:szCs w:val="28"/>
        </w:rPr>
        <w:t xml:space="preserve"> to perform their duties with confidence and assurance</w:t>
      </w:r>
      <w:r w:rsidR="00F7406A">
        <w:rPr>
          <w:sz w:val="28"/>
          <w:szCs w:val="28"/>
        </w:rPr>
        <w:t>, and of the difficulties arising from the fact that Cabinet Division does not have a proper system for recording the location of all Cabinet documents</w:t>
      </w:r>
      <w:r w:rsidR="00F5648D" w:rsidRPr="00BC2ABB">
        <w:rPr>
          <w:sz w:val="28"/>
          <w:szCs w:val="28"/>
        </w:rPr>
        <w:t xml:space="preserve">. </w:t>
      </w:r>
    </w:p>
    <w:p w14:paraId="30AACFAB" w14:textId="0637911C" w:rsidR="00F5648D" w:rsidRDefault="006D0A3D" w:rsidP="00771FA7">
      <w:pPr>
        <w:pStyle w:val="ListParagraph"/>
        <w:numPr>
          <w:ilvl w:val="0"/>
          <w:numId w:val="11"/>
        </w:numPr>
        <w:spacing w:line="360" w:lineRule="auto"/>
        <w:ind w:left="709" w:hanging="709"/>
        <w:contextualSpacing w:val="0"/>
        <w:rPr>
          <w:sz w:val="28"/>
          <w:szCs w:val="28"/>
        </w:rPr>
      </w:pPr>
      <w:r>
        <w:rPr>
          <w:sz w:val="28"/>
          <w:szCs w:val="28"/>
        </w:rPr>
        <w:t>The f</w:t>
      </w:r>
      <w:r w:rsidR="00FA1A4B">
        <w:rPr>
          <w:sz w:val="28"/>
          <w:szCs w:val="28"/>
        </w:rPr>
        <w:t xml:space="preserve">our </w:t>
      </w:r>
      <w:r w:rsidR="00F5648D" w:rsidRPr="00BC2ABB">
        <w:rPr>
          <w:sz w:val="28"/>
          <w:szCs w:val="28"/>
        </w:rPr>
        <w:t xml:space="preserve">additional </w:t>
      </w:r>
      <w:r w:rsidR="00934010" w:rsidRPr="00BC2ABB">
        <w:rPr>
          <w:sz w:val="28"/>
          <w:szCs w:val="28"/>
        </w:rPr>
        <w:t xml:space="preserve">Cabinet </w:t>
      </w:r>
      <w:r w:rsidR="00CA4D8C" w:rsidRPr="00BC2ABB">
        <w:rPr>
          <w:sz w:val="28"/>
          <w:szCs w:val="28"/>
        </w:rPr>
        <w:t>records</w:t>
      </w:r>
      <w:r w:rsidR="00F5648D" w:rsidRPr="00BC2ABB">
        <w:rPr>
          <w:sz w:val="28"/>
          <w:szCs w:val="28"/>
        </w:rPr>
        <w:t xml:space="preserve"> were located in a sealed envelope, inside a class C container</w:t>
      </w:r>
      <w:r w:rsidR="000D5884" w:rsidRPr="00BC2ABB">
        <w:rPr>
          <w:sz w:val="28"/>
          <w:szCs w:val="28"/>
        </w:rPr>
        <w:t>,</w:t>
      </w:r>
      <w:r w:rsidR="00F5648D" w:rsidRPr="00BC2ABB">
        <w:rPr>
          <w:sz w:val="28"/>
          <w:szCs w:val="28"/>
        </w:rPr>
        <w:t xml:space="preserve"> within a special security room inside a restricted area of PM&amp;C. The Review </w:t>
      </w:r>
      <w:r w:rsidR="000D5884" w:rsidRPr="00BC2ABB">
        <w:rPr>
          <w:sz w:val="28"/>
          <w:szCs w:val="28"/>
        </w:rPr>
        <w:t>was</w:t>
      </w:r>
      <w:r w:rsidR="00856062" w:rsidRPr="00BC2ABB">
        <w:rPr>
          <w:sz w:val="28"/>
          <w:szCs w:val="28"/>
        </w:rPr>
        <w:t xml:space="preserve"> reliant on appropriately security cleared staff to access the physical location, none of which were immediately present. Following access, </w:t>
      </w:r>
      <w:r w:rsidR="00F5648D" w:rsidRPr="00BC2ABB">
        <w:rPr>
          <w:sz w:val="28"/>
          <w:szCs w:val="28"/>
        </w:rPr>
        <w:t xml:space="preserve">the room itself contained several cabinets </w:t>
      </w:r>
      <w:r w:rsidR="00F5648D" w:rsidRPr="00BC2ABB">
        <w:rPr>
          <w:sz w:val="28"/>
          <w:szCs w:val="28"/>
        </w:rPr>
        <w:lastRenderedPageBreak/>
        <w:t xml:space="preserve">which no one person within </w:t>
      </w:r>
      <w:r w:rsidR="00856062" w:rsidRPr="00BC2ABB">
        <w:rPr>
          <w:sz w:val="28"/>
          <w:szCs w:val="28"/>
        </w:rPr>
        <w:t xml:space="preserve">Cabinet Division </w:t>
      </w:r>
      <w:r w:rsidR="00F5648D" w:rsidRPr="00BC2ABB">
        <w:rPr>
          <w:sz w:val="28"/>
          <w:szCs w:val="28"/>
        </w:rPr>
        <w:t>h</w:t>
      </w:r>
      <w:r w:rsidR="00934010" w:rsidRPr="00BC2ABB">
        <w:rPr>
          <w:sz w:val="28"/>
          <w:szCs w:val="28"/>
        </w:rPr>
        <w:t xml:space="preserve">ad </w:t>
      </w:r>
      <w:r w:rsidR="00F5648D" w:rsidRPr="00BC2ABB">
        <w:rPr>
          <w:sz w:val="28"/>
          <w:szCs w:val="28"/>
        </w:rPr>
        <w:t xml:space="preserve">access. </w:t>
      </w:r>
      <w:r w:rsidR="006738C7" w:rsidRPr="00BC2ABB">
        <w:rPr>
          <w:sz w:val="28"/>
          <w:szCs w:val="28"/>
        </w:rPr>
        <w:t>The material within the room holding Cabinet records w</w:t>
      </w:r>
      <w:r w:rsidR="007F5B95">
        <w:rPr>
          <w:sz w:val="28"/>
          <w:szCs w:val="28"/>
        </w:rPr>
        <w:t>as</w:t>
      </w:r>
      <w:r w:rsidR="006738C7" w:rsidRPr="00BC2ABB">
        <w:rPr>
          <w:sz w:val="28"/>
          <w:szCs w:val="28"/>
        </w:rPr>
        <w:t xml:space="preserve"> poorly itemised, tailor</w:t>
      </w:r>
      <w:r w:rsidR="00C02E5B">
        <w:rPr>
          <w:sz w:val="28"/>
          <w:szCs w:val="28"/>
        </w:rPr>
        <w:t>-</w:t>
      </w:r>
      <w:r w:rsidR="006738C7" w:rsidRPr="00BC2ABB">
        <w:rPr>
          <w:sz w:val="28"/>
          <w:szCs w:val="28"/>
        </w:rPr>
        <w:t xml:space="preserve">made for a mistake in </w:t>
      </w:r>
      <w:r w:rsidR="007F5B95">
        <w:rPr>
          <w:sz w:val="28"/>
          <w:szCs w:val="28"/>
        </w:rPr>
        <w:t xml:space="preserve">a future </w:t>
      </w:r>
      <w:r w:rsidR="006738C7" w:rsidRPr="00BC2ABB">
        <w:rPr>
          <w:sz w:val="28"/>
          <w:szCs w:val="28"/>
        </w:rPr>
        <w:t xml:space="preserve">transfer process from PM&amp;C to the NAA. </w:t>
      </w:r>
    </w:p>
    <w:p w14:paraId="1B498BF9" w14:textId="520A59E6" w:rsidR="00FA1A4B" w:rsidRDefault="00FA1A4B" w:rsidP="00771FA7">
      <w:pPr>
        <w:pStyle w:val="ListParagraph"/>
        <w:numPr>
          <w:ilvl w:val="0"/>
          <w:numId w:val="11"/>
        </w:numPr>
        <w:spacing w:line="360" w:lineRule="auto"/>
        <w:ind w:left="709" w:hanging="709"/>
        <w:contextualSpacing w:val="0"/>
        <w:rPr>
          <w:sz w:val="28"/>
          <w:szCs w:val="28"/>
        </w:rPr>
      </w:pPr>
      <w:r>
        <w:rPr>
          <w:sz w:val="28"/>
          <w:szCs w:val="28"/>
        </w:rPr>
        <w:t xml:space="preserve">The fifth additional record was </w:t>
      </w:r>
      <w:r w:rsidR="006B432B">
        <w:rPr>
          <w:sz w:val="28"/>
          <w:szCs w:val="28"/>
        </w:rPr>
        <w:t>found</w:t>
      </w:r>
      <w:r>
        <w:rPr>
          <w:sz w:val="28"/>
          <w:szCs w:val="28"/>
        </w:rPr>
        <w:t xml:space="preserve"> by Cabinet Division in a secure safe where it seems to have been held for a review by a historian for the Official </w:t>
      </w:r>
      <w:r w:rsidR="001E271E">
        <w:rPr>
          <w:sz w:val="28"/>
          <w:szCs w:val="28"/>
        </w:rPr>
        <w:t xml:space="preserve">Histories project. The record was bundled with records from other years. </w:t>
      </w:r>
    </w:p>
    <w:p w14:paraId="5D54FE7C" w14:textId="02889B76" w:rsidR="006B432B" w:rsidRPr="006B432B" w:rsidRDefault="006B432B" w:rsidP="00771FA7">
      <w:pPr>
        <w:pStyle w:val="ListParagraph"/>
        <w:numPr>
          <w:ilvl w:val="0"/>
          <w:numId w:val="11"/>
        </w:numPr>
        <w:spacing w:line="360" w:lineRule="auto"/>
        <w:ind w:left="709" w:hanging="709"/>
        <w:contextualSpacing w:val="0"/>
        <w:rPr>
          <w:sz w:val="28"/>
          <w:szCs w:val="28"/>
        </w:rPr>
      </w:pPr>
      <w:r>
        <w:rPr>
          <w:sz w:val="28"/>
          <w:szCs w:val="28"/>
        </w:rPr>
        <w:t>During the course of the Review, Cabinet Division also located 30 Cabinet notebooks that had not been transferr</w:t>
      </w:r>
      <w:r w:rsidR="00BE3109">
        <w:rPr>
          <w:sz w:val="28"/>
          <w:szCs w:val="28"/>
        </w:rPr>
        <w:t>ed to the NAA. The notebooks were</w:t>
      </w:r>
      <w:r>
        <w:rPr>
          <w:sz w:val="28"/>
          <w:szCs w:val="28"/>
        </w:rPr>
        <w:t xml:space="preserve"> classified </w:t>
      </w:r>
      <w:r w:rsidR="00095150" w:rsidRPr="002D2132">
        <w:rPr>
          <w:sz w:val="28"/>
          <w:szCs w:val="28"/>
        </w:rPr>
        <w:t xml:space="preserve">from </w:t>
      </w:r>
      <w:r w:rsidRPr="00916D2A">
        <w:rPr>
          <w:sz w:val="28"/>
          <w:szCs w:val="28"/>
        </w:rPr>
        <w:t>Person</w:t>
      </w:r>
      <w:r w:rsidR="00095150" w:rsidRPr="006B5E06">
        <w:rPr>
          <w:sz w:val="28"/>
          <w:szCs w:val="28"/>
        </w:rPr>
        <w:t>al</w:t>
      </w:r>
      <w:r>
        <w:rPr>
          <w:sz w:val="28"/>
          <w:szCs w:val="28"/>
        </w:rPr>
        <w:t>-in-Confidence</w:t>
      </w:r>
      <w:r w:rsidR="00095150" w:rsidRPr="002D2132">
        <w:rPr>
          <w:sz w:val="28"/>
          <w:szCs w:val="28"/>
        </w:rPr>
        <w:t xml:space="preserve"> to </w:t>
      </w:r>
      <w:r>
        <w:rPr>
          <w:sz w:val="28"/>
          <w:szCs w:val="28"/>
        </w:rPr>
        <w:t>Top Secret</w:t>
      </w:r>
      <w:r w:rsidR="00095150" w:rsidRPr="002D2132">
        <w:rPr>
          <w:sz w:val="28"/>
          <w:szCs w:val="28"/>
        </w:rPr>
        <w:t>.</w:t>
      </w:r>
      <w:r w:rsidR="00095150">
        <w:rPr>
          <w:sz w:val="28"/>
          <w:szCs w:val="28"/>
        </w:rPr>
        <w:t xml:space="preserve"> One notebook was from 1978. The others were from a mix of years up to 1992, again highlighting the need for PM&amp;C to have a clear central register of the location of all Cabinet records in its possession.</w:t>
      </w:r>
      <w:r w:rsidR="00D45E15">
        <w:rPr>
          <w:sz w:val="28"/>
          <w:szCs w:val="28"/>
        </w:rPr>
        <w:t xml:space="preserve"> The Review was advised that the Cabinet Division </w:t>
      </w:r>
      <w:r w:rsidR="00AA2D29">
        <w:rPr>
          <w:sz w:val="28"/>
          <w:szCs w:val="28"/>
        </w:rPr>
        <w:t>will</w:t>
      </w:r>
      <w:r w:rsidR="00D45E15">
        <w:rPr>
          <w:sz w:val="28"/>
          <w:szCs w:val="28"/>
        </w:rPr>
        <w:t xml:space="preserve"> transfer the notebooks </w:t>
      </w:r>
      <w:r w:rsidR="00AA2D29">
        <w:rPr>
          <w:sz w:val="28"/>
          <w:szCs w:val="28"/>
        </w:rPr>
        <w:t>to the NAA</w:t>
      </w:r>
      <w:r w:rsidR="00D45E15">
        <w:rPr>
          <w:sz w:val="28"/>
          <w:szCs w:val="28"/>
        </w:rPr>
        <w:t xml:space="preserve"> </w:t>
      </w:r>
      <w:r w:rsidR="00EC6FF7">
        <w:rPr>
          <w:sz w:val="28"/>
          <w:szCs w:val="28"/>
        </w:rPr>
        <w:t xml:space="preserve">in the </w:t>
      </w:r>
      <w:r w:rsidR="00D45E15">
        <w:rPr>
          <w:sz w:val="28"/>
          <w:szCs w:val="28"/>
        </w:rPr>
        <w:t>week commencing 29 January 2024.</w:t>
      </w:r>
    </w:p>
    <w:p w14:paraId="718C1E07" w14:textId="5C2318B1" w:rsidR="00F5648D" w:rsidRPr="00856062" w:rsidRDefault="00856062" w:rsidP="00BC2ABB">
      <w:pPr>
        <w:pStyle w:val="Heading2"/>
        <w:spacing w:line="360" w:lineRule="auto"/>
      </w:pPr>
      <w:bookmarkStart w:id="220" w:name="_Toc155699065"/>
      <w:bookmarkStart w:id="221" w:name="_Toc155701007"/>
      <w:bookmarkStart w:id="222" w:name="_Toc155799986"/>
      <w:bookmarkStart w:id="223" w:name="_Toc155875133"/>
      <w:bookmarkStart w:id="224" w:name="_Toc156565994"/>
      <w:bookmarkStart w:id="225" w:name="_Toc157432139"/>
      <w:r>
        <w:t>Iraq war records</w:t>
      </w:r>
      <w:bookmarkEnd w:id="220"/>
      <w:bookmarkEnd w:id="221"/>
      <w:bookmarkEnd w:id="222"/>
      <w:bookmarkEnd w:id="223"/>
      <w:bookmarkEnd w:id="224"/>
      <w:bookmarkEnd w:id="225"/>
      <w:r>
        <w:t xml:space="preserve"> </w:t>
      </w:r>
    </w:p>
    <w:p w14:paraId="29B6F545" w14:textId="4094B171" w:rsidR="006B432B" w:rsidRPr="006B432B" w:rsidRDefault="006B432B" w:rsidP="00771FA7">
      <w:pPr>
        <w:pStyle w:val="ListParagraph"/>
        <w:numPr>
          <w:ilvl w:val="0"/>
          <w:numId w:val="11"/>
        </w:numPr>
        <w:spacing w:line="360" w:lineRule="auto"/>
        <w:ind w:left="709" w:hanging="709"/>
        <w:contextualSpacing w:val="0"/>
        <w:rPr>
          <w:sz w:val="28"/>
          <w:szCs w:val="28"/>
        </w:rPr>
      </w:pPr>
      <w:r w:rsidRPr="006B432B">
        <w:rPr>
          <w:sz w:val="28"/>
          <w:szCs w:val="28"/>
        </w:rPr>
        <w:t xml:space="preserve">NSC </w:t>
      </w:r>
      <w:r w:rsidR="002D2132">
        <w:rPr>
          <w:sz w:val="28"/>
          <w:szCs w:val="28"/>
        </w:rPr>
        <w:t>records</w:t>
      </w:r>
      <w:r w:rsidRPr="006B432B">
        <w:rPr>
          <w:sz w:val="28"/>
          <w:szCs w:val="28"/>
        </w:rPr>
        <w:t xml:space="preserve"> at the Protected level and relating to the Iraq war were transferred to the NAA in 2020, but NSC </w:t>
      </w:r>
      <w:r w:rsidR="002D2132">
        <w:rPr>
          <w:sz w:val="28"/>
          <w:szCs w:val="28"/>
        </w:rPr>
        <w:t>records</w:t>
      </w:r>
      <w:r w:rsidRPr="006B432B">
        <w:rPr>
          <w:sz w:val="28"/>
          <w:szCs w:val="28"/>
        </w:rPr>
        <w:t xml:space="preserve"> at the Secret and above level were not transferred.</w:t>
      </w:r>
    </w:p>
    <w:p w14:paraId="5D7FF043" w14:textId="0E0C2642" w:rsidR="007F5B95" w:rsidRPr="00357584" w:rsidRDefault="00CF0752" w:rsidP="00771FA7">
      <w:pPr>
        <w:pStyle w:val="ListParagraph"/>
        <w:numPr>
          <w:ilvl w:val="0"/>
          <w:numId w:val="11"/>
        </w:numPr>
        <w:spacing w:line="360" w:lineRule="auto"/>
        <w:ind w:left="709" w:hanging="709"/>
        <w:contextualSpacing w:val="0"/>
        <w:rPr>
          <w:sz w:val="28"/>
          <w:szCs w:val="28"/>
        </w:rPr>
      </w:pPr>
      <w:r>
        <w:rPr>
          <w:sz w:val="28"/>
          <w:szCs w:val="28"/>
        </w:rPr>
        <w:t>On 9 January 2024, t</w:t>
      </w:r>
      <w:r w:rsidR="007F5B95" w:rsidRPr="00357584">
        <w:rPr>
          <w:sz w:val="28"/>
          <w:szCs w:val="28"/>
        </w:rPr>
        <w:t>he Reviewer personally inspected all 7</w:t>
      </w:r>
      <w:r w:rsidR="009B7D0E">
        <w:rPr>
          <w:sz w:val="28"/>
          <w:szCs w:val="28"/>
        </w:rPr>
        <w:t>7</w:t>
      </w:r>
      <w:r w:rsidR="007F5B95" w:rsidRPr="00357584">
        <w:rPr>
          <w:sz w:val="28"/>
          <w:szCs w:val="28"/>
        </w:rPr>
        <w:t xml:space="preserve"> Cabinet </w:t>
      </w:r>
      <w:r w:rsidR="002D2132">
        <w:rPr>
          <w:sz w:val="28"/>
          <w:szCs w:val="28"/>
        </w:rPr>
        <w:t>records</w:t>
      </w:r>
      <w:r w:rsidR="007F5B95" w:rsidRPr="00357584">
        <w:rPr>
          <w:sz w:val="28"/>
          <w:szCs w:val="28"/>
        </w:rPr>
        <w:t xml:space="preserve"> at </w:t>
      </w:r>
      <w:r w:rsidR="000059C4">
        <w:rPr>
          <w:sz w:val="28"/>
          <w:szCs w:val="28"/>
        </w:rPr>
        <w:t xml:space="preserve">the </w:t>
      </w:r>
      <w:r w:rsidR="007F5B95" w:rsidRPr="00357584">
        <w:rPr>
          <w:sz w:val="28"/>
          <w:szCs w:val="28"/>
        </w:rPr>
        <w:t xml:space="preserve">NAA that were transferred </w:t>
      </w:r>
      <w:r w:rsidR="003B2932">
        <w:rPr>
          <w:sz w:val="28"/>
          <w:szCs w:val="28"/>
        </w:rPr>
        <w:t>from PM&amp;C on 31 December 2023.</w:t>
      </w:r>
    </w:p>
    <w:p w14:paraId="7AD40FF0" w14:textId="7D58FEEB" w:rsidR="00F5648D" w:rsidRPr="00037B09" w:rsidRDefault="00CA4D8C" w:rsidP="00771FA7">
      <w:pPr>
        <w:pStyle w:val="ListParagraph"/>
        <w:numPr>
          <w:ilvl w:val="0"/>
          <w:numId w:val="11"/>
        </w:numPr>
        <w:spacing w:line="360" w:lineRule="auto"/>
        <w:ind w:left="709" w:hanging="709"/>
        <w:contextualSpacing w:val="0"/>
        <w:rPr>
          <w:sz w:val="28"/>
          <w:szCs w:val="28"/>
        </w:rPr>
      </w:pPr>
      <w:r w:rsidRPr="00BC2ABB">
        <w:rPr>
          <w:sz w:val="28"/>
          <w:szCs w:val="28"/>
        </w:rPr>
        <w:lastRenderedPageBreak/>
        <w:t>Of the</w:t>
      </w:r>
      <w:r w:rsidR="009B7D0E">
        <w:rPr>
          <w:sz w:val="28"/>
          <w:szCs w:val="28"/>
        </w:rPr>
        <w:t>se</w:t>
      </w:r>
      <w:r w:rsidR="00856062" w:rsidRPr="00BC2ABB">
        <w:rPr>
          <w:sz w:val="28"/>
          <w:szCs w:val="28"/>
        </w:rPr>
        <w:t xml:space="preserve"> </w:t>
      </w:r>
      <w:r w:rsidR="002D2132">
        <w:rPr>
          <w:sz w:val="28"/>
          <w:szCs w:val="28"/>
        </w:rPr>
        <w:t>7</w:t>
      </w:r>
      <w:r w:rsidR="009B7D0E">
        <w:rPr>
          <w:sz w:val="28"/>
          <w:szCs w:val="28"/>
        </w:rPr>
        <w:t xml:space="preserve">7 records, </w:t>
      </w:r>
      <w:r w:rsidR="000D5884" w:rsidRPr="00BC2ABB">
        <w:rPr>
          <w:sz w:val="28"/>
          <w:szCs w:val="28"/>
        </w:rPr>
        <w:t>13</w:t>
      </w:r>
      <w:r w:rsidR="00856062" w:rsidRPr="00BC2ABB">
        <w:rPr>
          <w:sz w:val="28"/>
          <w:szCs w:val="28"/>
        </w:rPr>
        <w:t xml:space="preserve"> </w:t>
      </w:r>
      <w:r w:rsidR="002D2132">
        <w:rPr>
          <w:sz w:val="28"/>
          <w:szCs w:val="28"/>
        </w:rPr>
        <w:t>records</w:t>
      </w:r>
      <w:r w:rsidR="00280798" w:rsidRPr="00BC2ABB">
        <w:rPr>
          <w:sz w:val="28"/>
          <w:szCs w:val="28"/>
        </w:rPr>
        <w:t xml:space="preserve"> </w:t>
      </w:r>
      <w:r w:rsidR="00CF0752">
        <w:rPr>
          <w:sz w:val="28"/>
          <w:szCs w:val="28"/>
        </w:rPr>
        <w:t>(</w:t>
      </w:r>
      <w:r w:rsidR="006738C7" w:rsidRPr="00BC2ABB">
        <w:rPr>
          <w:sz w:val="28"/>
          <w:szCs w:val="28"/>
        </w:rPr>
        <w:t>containing</w:t>
      </w:r>
      <w:r w:rsidR="000D5884" w:rsidRPr="00BC2ABB">
        <w:rPr>
          <w:sz w:val="28"/>
          <w:szCs w:val="28"/>
        </w:rPr>
        <w:t xml:space="preserve"> 38 NSC minutes</w:t>
      </w:r>
      <w:r w:rsidR="00CF0752">
        <w:rPr>
          <w:sz w:val="28"/>
          <w:szCs w:val="28"/>
        </w:rPr>
        <w:t xml:space="preserve">) </w:t>
      </w:r>
      <w:r w:rsidR="00280798" w:rsidRPr="00BC2ABB">
        <w:rPr>
          <w:sz w:val="28"/>
          <w:szCs w:val="28"/>
        </w:rPr>
        <w:t>related to the Iraq war</w:t>
      </w:r>
      <w:r w:rsidR="00CF0752">
        <w:rPr>
          <w:sz w:val="28"/>
          <w:szCs w:val="28"/>
        </w:rPr>
        <w:t>,</w:t>
      </w:r>
      <w:r w:rsidR="00280798" w:rsidRPr="00BC2ABB">
        <w:rPr>
          <w:sz w:val="28"/>
          <w:szCs w:val="28"/>
        </w:rPr>
        <w:t xml:space="preserve"> </w:t>
      </w:r>
      <w:r w:rsidR="000D5884" w:rsidRPr="00BC2ABB">
        <w:rPr>
          <w:sz w:val="28"/>
          <w:szCs w:val="28"/>
        </w:rPr>
        <w:t xml:space="preserve">either in part or in full. The </w:t>
      </w:r>
      <w:r w:rsidR="000D5884" w:rsidRPr="00037B09">
        <w:rPr>
          <w:sz w:val="28"/>
          <w:szCs w:val="28"/>
        </w:rPr>
        <w:t>remaining 6</w:t>
      </w:r>
      <w:r w:rsidR="009B7D0E">
        <w:rPr>
          <w:sz w:val="28"/>
          <w:szCs w:val="28"/>
        </w:rPr>
        <w:t>4</w:t>
      </w:r>
      <w:r w:rsidR="000D5884" w:rsidRPr="00037B09">
        <w:rPr>
          <w:sz w:val="28"/>
          <w:szCs w:val="28"/>
        </w:rPr>
        <w:t xml:space="preserve"> </w:t>
      </w:r>
      <w:r w:rsidR="002D2132" w:rsidRPr="00037B09">
        <w:rPr>
          <w:sz w:val="28"/>
          <w:szCs w:val="28"/>
        </w:rPr>
        <w:t>records</w:t>
      </w:r>
      <w:r w:rsidR="000D5884" w:rsidRPr="00037B09">
        <w:rPr>
          <w:sz w:val="28"/>
          <w:szCs w:val="28"/>
        </w:rPr>
        <w:t xml:space="preserve"> </w:t>
      </w:r>
      <w:r w:rsidR="00FF5818" w:rsidRPr="00037B09">
        <w:rPr>
          <w:sz w:val="28"/>
          <w:szCs w:val="28"/>
        </w:rPr>
        <w:t>were</w:t>
      </w:r>
      <w:r w:rsidR="006738C7" w:rsidRPr="00037B09">
        <w:rPr>
          <w:sz w:val="28"/>
          <w:szCs w:val="28"/>
        </w:rPr>
        <w:t xml:space="preserve"> unrelated</w:t>
      </w:r>
      <w:r w:rsidR="00280798" w:rsidRPr="00037B09">
        <w:rPr>
          <w:sz w:val="28"/>
          <w:szCs w:val="28"/>
        </w:rPr>
        <w:t xml:space="preserve"> to </w:t>
      </w:r>
      <w:r w:rsidR="006738C7" w:rsidRPr="00037B09">
        <w:rPr>
          <w:sz w:val="28"/>
          <w:szCs w:val="28"/>
        </w:rPr>
        <w:t>the Iraq war</w:t>
      </w:r>
      <w:r w:rsidR="00280798" w:rsidRPr="00037B09">
        <w:rPr>
          <w:sz w:val="28"/>
          <w:szCs w:val="28"/>
        </w:rPr>
        <w:t>.</w:t>
      </w:r>
      <w:r w:rsidR="00624AEB" w:rsidRPr="00037B09">
        <w:rPr>
          <w:rStyle w:val="FootnoteReference"/>
          <w:sz w:val="28"/>
          <w:szCs w:val="28"/>
        </w:rPr>
        <w:footnoteReference w:id="27"/>
      </w:r>
    </w:p>
    <w:p w14:paraId="627C2E1B" w14:textId="09F4D668" w:rsidR="00934010" w:rsidRPr="00BC2ABB" w:rsidRDefault="009B3C8D" w:rsidP="00771FA7">
      <w:pPr>
        <w:pStyle w:val="ListParagraph"/>
        <w:numPr>
          <w:ilvl w:val="0"/>
          <w:numId w:val="11"/>
        </w:numPr>
        <w:spacing w:line="360" w:lineRule="auto"/>
        <w:ind w:left="709" w:hanging="709"/>
        <w:contextualSpacing w:val="0"/>
        <w:rPr>
          <w:sz w:val="28"/>
          <w:szCs w:val="28"/>
        </w:rPr>
      </w:pPr>
      <w:r w:rsidRPr="00037B09">
        <w:rPr>
          <w:sz w:val="28"/>
          <w:szCs w:val="28"/>
        </w:rPr>
        <w:t xml:space="preserve">The Reviewer also personally inspected the </w:t>
      </w:r>
      <w:r w:rsidR="00CB727E" w:rsidRPr="00037B09">
        <w:rPr>
          <w:sz w:val="28"/>
          <w:szCs w:val="28"/>
        </w:rPr>
        <w:t>five</w:t>
      </w:r>
      <w:r w:rsidR="00CA4D8C" w:rsidRPr="00037B09">
        <w:rPr>
          <w:sz w:val="28"/>
          <w:szCs w:val="28"/>
        </w:rPr>
        <w:t xml:space="preserve"> additional Cabinet records</w:t>
      </w:r>
      <w:r w:rsidR="00280798" w:rsidRPr="00037B09">
        <w:rPr>
          <w:sz w:val="28"/>
          <w:szCs w:val="28"/>
        </w:rPr>
        <w:t xml:space="preserve"> found</w:t>
      </w:r>
      <w:r w:rsidR="000D5884" w:rsidRPr="00037B09">
        <w:rPr>
          <w:sz w:val="28"/>
          <w:szCs w:val="28"/>
        </w:rPr>
        <w:t xml:space="preserve"> </w:t>
      </w:r>
      <w:r w:rsidR="00C02E5B" w:rsidRPr="00037B09">
        <w:rPr>
          <w:sz w:val="28"/>
          <w:szCs w:val="28"/>
        </w:rPr>
        <w:t>on</w:t>
      </w:r>
      <w:r w:rsidR="00CE7AF1">
        <w:rPr>
          <w:sz w:val="28"/>
          <w:szCs w:val="28"/>
        </w:rPr>
        <w:t xml:space="preserve"> 4 and</w:t>
      </w:r>
      <w:r w:rsidR="00C02E5B" w:rsidRPr="00037B09">
        <w:rPr>
          <w:sz w:val="28"/>
          <w:szCs w:val="28"/>
        </w:rPr>
        <w:t xml:space="preserve"> </w:t>
      </w:r>
      <w:r w:rsidR="00CB727E" w:rsidRPr="00037B09">
        <w:rPr>
          <w:sz w:val="28"/>
          <w:szCs w:val="28"/>
        </w:rPr>
        <w:t xml:space="preserve">5 </w:t>
      </w:r>
      <w:r w:rsidR="00C02E5B" w:rsidRPr="00037B09">
        <w:rPr>
          <w:sz w:val="28"/>
          <w:szCs w:val="28"/>
        </w:rPr>
        <w:t>January</w:t>
      </w:r>
      <w:r w:rsidR="00DE729E" w:rsidRPr="00037B09">
        <w:rPr>
          <w:sz w:val="28"/>
          <w:szCs w:val="28"/>
        </w:rPr>
        <w:t xml:space="preserve"> 2024</w:t>
      </w:r>
      <w:r w:rsidRPr="00037B09">
        <w:rPr>
          <w:sz w:val="28"/>
          <w:szCs w:val="28"/>
        </w:rPr>
        <w:t xml:space="preserve">. </w:t>
      </w:r>
      <w:r w:rsidR="00BE3109">
        <w:rPr>
          <w:sz w:val="28"/>
          <w:szCs w:val="28"/>
        </w:rPr>
        <w:t>O</w:t>
      </w:r>
      <w:r w:rsidR="00CB727E" w:rsidRPr="00037B09">
        <w:rPr>
          <w:sz w:val="28"/>
          <w:szCs w:val="28"/>
        </w:rPr>
        <w:t>ne</w:t>
      </w:r>
      <w:r w:rsidRPr="00037B09">
        <w:rPr>
          <w:sz w:val="28"/>
          <w:szCs w:val="28"/>
        </w:rPr>
        <w:t xml:space="preserve"> record</w:t>
      </w:r>
      <w:r w:rsidR="00CB727E" w:rsidRPr="00037B09">
        <w:rPr>
          <w:sz w:val="28"/>
          <w:szCs w:val="28"/>
        </w:rPr>
        <w:t xml:space="preserve"> </w:t>
      </w:r>
      <w:r w:rsidR="00280798" w:rsidRPr="00037B09">
        <w:rPr>
          <w:sz w:val="28"/>
          <w:szCs w:val="28"/>
        </w:rPr>
        <w:t>related</w:t>
      </w:r>
      <w:r w:rsidR="00095150" w:rsidRPr="00037B09">
        <w:rPr>
          <w:sz w:val="28"/>
          <w:szCs w:val="28"/>
        </w:rPr>
        <w:t>, in part,</w:t>
      </w:r>
      <w:r w:rsidR="00095150">
        <w:rPr>
          <w:sz w:val="28"/>
          <w:szCs w:val="28"/>
        </w:rPr>
        <w:t xml:space="preserve"> </w:t>
      </w:r>
      <w:r w:rsidR="00280798" w:rsidRPr="00BC2ABB">
        <w:rPr>
          <w:sz w:val="28"/>
          <w:szCs w:val="28"/>
        </w:rPr>
        <w:t>to the Iraq war</w:t>
      </w:r>
      <w:r w:rsidR="00095150">
        <w:rPr>
          <w:sz w:val="28"/>
          <w:szCs w:val="28"/>
        </w:rPr>
        <w:t>.</w:t>
      </w:r>
    </w:p>
    <w:p w14:paraId="714B051F" w14:textId="77777777" w:rsidR="004B0359" w:rsidRDefault="004B0359" w:rsidP="00771FA7">
      <w:pPr>
        <w:pStyle w:val="ListParagraph"/>
        <w:numPr>
          <w:ilvl w:val="0"/>
          <w:numId w:val="16"/>
        </w:numPr>
        <w:spacing w:line="360" w:lineRule="auto"/>
        <w:contextualSpacing w:val="0"/>
      </w:pPr>
      <w:r>
        <w:br w:type="page"/>
      </w:r>
    </w:p>
    <w:p w14:paraId="1749E070" w14:textId="19924A16" w:rsidR="004A6988" w:rsidRDefault="004A6988" w:rsidP="004A6988">
      <w:pPr>
        <w:pStyle w:val="Heading1"/>
        <w:spacing w:line="360" w:lineRule="auto"/>
        <w:rPr>
          <w:noProof/>
        </w:rPr>
      </w:pPr>
      <w:bookmarkStart w:id="226" w:name="_Toc157432140"/>
      <w:bookmarkStart w:id="227" w:name="_Toc155699066"/>
      <w:bookmarkStart w:id="228" w:name="_Toc155701008"/>
      <w:bookmarkStart w:id="229" w:name="_Toc155799987"/>
      <w:bookmarkStart w:id="230" w:name="_Toc155875134"/>
      <w:bookmarkStart w:id="231" w:name="_Toc156565995"/>
      <w:r>
        <w:rPr>
          <w:noProof/>
        </w:rPr>
        <w:lastRenderedPageBreak/>
        <w:t>6. Transfer of 2004-2007 Cabinet records</w:t>
      </w:r>
      <w:bookmarkEnd w:id="226"/>
    </w:p>
    <w:p w14:paraId="0833DC3E" w14:textId="79DE846C" w:rsidR="004A6988" w:rsidRPr="00BC2ABB" w:rsidRDefault="004A6988" w:rsidP="00771FA7">
      <w:pPr>
        <w:pStyle w:val="ListParagraph"/>
        <w:numPr>
          <w:ilvl w:val="0"/>
          <w:numId w:val="11"/>
        </w:numPr>
        <w:spacing w:line="360" w:lineRule="auto"/>
        <w:ind w:left="709" w:hanging="709"/>
        <w:contextualSpacing w:val="0"/>
        <w:rPr>
          <w:sz w:val="28"/>
          <w:szCs w:val="28"/>
        </w:rPr>
      </w:pPr>
      <w:r>
        <w:rPr>
          <w:sz w:val="28"/>
          <w:szCs w:val="28"/>
        </w:rPr>
        <w:t xml:space="preserve">During the course of the </w:t>
      </w:r>
      <w:r w:rsidRPr="00BC2ABB">
        <w:rPr>
          <w:sz w:val="28"/>
          <w:szCs w:val="28"/>
        </w:rPr>
        <w:t>Review, PM&amp;C officials confirmed that</w:t>
      </w:r>
      <w:r>
        <w:rPr>
          <w:sz w:val="28"/>
          <w:szCs w:val="28"/>
        </w:rPr>
        <w:t xml:space="preserve"> </w:t>
      </w:r>
      <w:r w:rsidRPr="00BC2ABB">
        <w:rPr>
          <w:sz w:val="28"/>
          <w:szCs w:val="28"/>
        </w:rPr>
        <w:t xml:space="preserve">the Cabinet records created </w:t>
      </w:r>
      <w:r>
        <w:rPr>
          <w:sz w:val="28"/>
          <w:szCs w:val="28"/>
        </w:rPr>
        <w:t xml:space="preserve">for </w:t>
      </w:r>
      <w:r w:rsidRPr="00BC2ABB">
        <w:rPr>
          <w:sz w:val="28"/>
          <w:szCs w:val="28"/>
        </w:rPr>
        <w:t xml:space="preserve">2004, 2005, 2006 and 2007 had not yet been transferred to the NAA. With respect to the 2004 records, the Review was advised </w:t>
      </w:r>
      <w:r w:rsidR="00CE7AF1">
        <w:rPr>
          <w:sz w:val="28"/>
          <w:szCs w:val="28"/>
        </w:rPr>
        <w:t>on 25 January 2024 that all such records have now been transferred to the NAA.</w:t>
      </w:r>
      <w:r>
        <w:rPr>
          <w:sz w:val="28"/>
          <w:szCs w:val="28"/>
        </w:rPr>
        <w:t xml:space="preserve"> </w:t>
      </w:r>
      <w:r w:rsidRPr="00BC2ABB">
        <w:rPr>
          <w:sz w:val="28"/>
          <w:szCs w:val="28"/>
        </w:rPr>
        <w:t>The</w:t>
      </w:r>
      <w:r>
        <w:rPr>
          <w:sz w:val="28"/>
          <w:szCs w:val="28"/>
        </w:rPr>
        <w:t> </w:t>
      </w:r>
      <w:r w:rsidRPr="00BC2ABB">
        <w:rPr>
          <w:sz w:val="28"/>
          <w:szCs w:val="28"/>
        </w:rPr>
        <w:t xml:space="preserve">Review was advised </w:t>
      </w:r>
      <w:r>
        <w:rPr>
          <w:sz w:val="28"/>
          <w:szCs w:val="28"/>
        </w:rPr>
        <w:t>that</w:t>
      </w:r>
      <w:r w:rsidRPr="00BC2ABB">
        <w:rPr>
          <w:sz w:val="28"/>
          <w:szCs w:val="28"/>
        </w:rPr>
        <w:t xml:space="preserve"> all Cabinet records for 2005, 2006 and 2007 </w:t>
      </w:r>
      <w:r>
        <w:rPr>
          <w:sz w:val="28"/>
          <w:szCs w:val="28"/>
        </w:rPr>
        <w:t xml:space="preserve">would be transferred to the NAA </w:t>
      </w:r>
      <w:r w:rsidRPr="00BC2ABB">
        <w:rPr>
          <w:sz w:val="28"/>
          <w:szCs w:val="28"/>
        </w:rPr>
        <w:t xml:space="preserve">by </w:t>
      </w:r>
      <w:r>
        <w:rPr>
          <w:sz w:val="28"/>
          <w:szCs w:val="28"/>
        </w:rPr>
        <w:t>April</w:t>
      </w:r>
      <w:r w:rsidRPr="00BC2ABB">
        <w:rPr>
          <w:sz w:val="28"/>
          <w:szCs w:val="28"/>
        </w:rPr>
        <w:t xml:space="preserve"> 2024. </w:t>
      </w:r>
    </w:p>
    <w:p w14:paraId="7E49F7C7" w14:textId="1A06BDEF" w:rsidR="004B0359" w:rsidRPr="00DD3A76" w:rsidRDefault="004A6988" w:rsidP="00204D5E">
      <w:pPr>
        <w:pStyle w:val="Heading1"/>
        <w:pageBreakBefore/>
        <w:spacing w:line="360" w:lineRule="auto"/>
        <w:rPr>
          <w:sz w:val="52"/>
          <w:szCs w:val="52"/>
        </w:rPr>
      </w:pPr>
      <w:bookmarkStart w:id="232" w:name="_Toc157432141"/>
      <w:r>
        <w:rPr>
          <w:sz w:val="52"/>
          <w:szCs w:val="52"/>
        </w:rPr>
        <w:lastRenderedPageBreak/>
        <w:t>7</w:t>
      </w:r>
      <w:r w:rsidR="004B0359" w:rsidRPr="00DD3A76">
        <w:rPr>
          <w:sz w:val="52"/>
          <w:szCs w:val="52"/>
        </w:rPr>
        <w:t>. National Archives of Australia and National Security Committee of Cabinet</w:t>
      </w:r>
      <w:bookmarkEnd w:id="227"/>
      <w:bookmarkEnd w:id="228"/>
      <w:bookmarkEnd w:id="229"/>
      <w:bookmarkEnd w:id="230"/>
      <w:bookmarkEnd w:id="231"/>
      <w:bookmarkEnd w:id="232"/>
    </w:p>
    <w:p w14:paraId="25438FF1" w14:textId="49C012CA" w:rsidR="00DD3A76" w:rsidRPr="003A6630" w:rsidRDefault="00DD3A76" w:rsidP="00BC2ABB">
      <w:pPr>
        <w:pStyle w:val="Heading2"/>
        <w:spacing w:line="360" w:lineRule="auto"/>
      </w:pPr>
      <w:bookmarkStart w:id="233" w:name="_Toc155799988"/>
      <w:bookmarkStart w:id="234" w:name="_Toc155875135"/>
      <w:bookmarkStart w:id="235" w:name="_Toc156565996"/>
      <w:bookmarkStart w:id="236" w:name="_Toc157432142"/>
      <w:r w:rsidRPr="003A6630">
        <w:t xml:space="preserve">Legislative requirements </w:t>
      </w:r>
      <w:r w:rsidR="00D31E95" w:rsidRPr="003A6630">
        <w:t>under the Archives Act</w:t>
      </w:r>
      <w:bookmarkEnd w:id="233"/>
      <w:bookmarkEnd w:id="234"/>
      <w:bookmarkEnd w:id="235"/>
      <w:bookmarkEnd w:id="236"/>
      <w:r w:rsidR="00D31E95" w:rsidRPr="003A6630">
        <w:t xml:space="preserve"> </w:t>
      </w:r>
    </w:p>
    <w:p w14:paraId="6427DE4F" w14:textId="6EF7E36A" w:rsidR="00DD3A76" w:rsidRPr="00BC2ABB" w:rsidRDefault="00586EB4" w:rsidP="00771FA7">
      <w:pPr>
        <w:pStyle w:val="ListParagraph"/>
        <w:numPr>
          <w:ilvl w:val="0"/>
          <w:numId w:val="11"/>
        </w:numPr>
        <w:spacing w:line="360" w:lineRule="auto"/>
        <w:ind w:left="709" w:hanging="709"/>
        <w:contextualSpacing w:val="0"/>
        <w:rPr>
          <w:sz w:val="28"/>
          <w:szCs w:val="28"/>
        </w:rPr>
      </w:pPr>
      <w:r>
        <w:rPr>
          <w:sz w:val="28"/>
          <w:szCs w:val="28"/>
        </w:rPr>
        <w:t xml:space="preserve">Under the Archives Act, the </w:t>
      </w:r>
      <w:r w:rsidR="00DD3A76" w:rsidRPr="00BC2ABB">
        <w:rPr>
          <w:sz w:val="28"/>
          <w:szCs w:val="28"/>
        </w:rPr>
        <w:t>NAA is responsible for identifying, preserving and making public</w:t>
      </w:r>
      <w:r w:rsidR="005B1D46">
        <w:rPr>
          <w:sz w:val="28"/>
          <w:szCs w:val="28"/>
        </w:rPr>
        <w:t>l</w:t>
      </w:r>
      <w:r w:rsidR="00DD3A76" w:rsidRPr="00BC2ABB">
        <w:rPr>
          <w:sz w:val="28"/>
          <w:szCs w:val="28"/>
        </w:rPr>
        <w:t xml:space="preserve">y available the archival resources of the Commonwealth. </w:t>
      </w:r>
    </w:p>
    <w:p w14:paraId="42A54BB7" w14:textId="1B382DC9" w:rsidR="000D495A" w:rsidRPr="003A6630" w:rsidRDefault="00C678AB" w:rsidP="000D495A">
      <w:pPr>
        <w:pStyle w:val="Heading2"/>
        <w:spacing w:line="360" w:lineRule="auto"/>
      </w:pPr>
      <w:bookmarkStart w:id="237" w:name="_Toc157432143"/>
      <w:bookmarkStart w:id="238" w:name="_Toc155699067"/>
      <w:bookmarkStart w:id="239" w:name="_Toc155701009"/>
      <w:bookmarkStart w:id="240" w:name="_Toc155799989"/>
      <w:bookmarkStart w:id="241" w:name="_Toc155875136"/>
      <w:bookmarkStart w:id="242" w:name="_Toc156565997"/>
      <w:r w:rsidRPr="003A6630">
        <w:t xml:space="preserve">Inadequate </w:t>
      </w:r>
      <w:r w:rsidR="000D495A" w:rsidRPr="003A6630">
        <w:t>security clearances</w:t>
      </w:r>
      <w:bookmarkEnd w:id="237"/>
    </w:p>
    <w:p w14:paraId="55CBEC39" w14:textId="63AA124F" w:rsidR="00DE729E" w:rsidRDefault="00C678AB" w:rsidP="00771FA7">
      <w:pPr>
        <w:pStyle w:val="ListParagraph"/>
        <w:numPr>
          <w:ilvl w:val="0"/>
          <w:numId w:val="11"/>
        </w:numPr>
        <w:spacing w:line="360" w:lineRule="auto"/>
        <w:ind w:left="709" w:hanging="709"/>
        <w:contextualSpacing w:val="0"/>
        <w:rPr>
          <w:sz w:val="28"/>
          <w:szCs w:val="28"/>
        </w:rPr>
      </w:pPr>
      <w:r>
        <w:rPr>
          <w:sz w:val="28"/>
          <w:szCs w:val="28"/>
        </w:rPr>
        <w:t>Section 29</w:t>
      </w:r>
      <w:r w:rsidR="00BE3109">
        <w:rPr>
          <w:sz w:val="28"/>
          <w:szCs w:val="28"/>
        </w:rPr>
        <w:t xml:space="preserve"> of the Archives Act</w:t>
      </w:r>
      <w:r>
        <w:rPr>
          <w:sz w:val="28"/>
          <w:szCs w:val="28"/>
        </w:rPr>
        <w:t>,</w:t>
      </w:r>
      <w:r w:rsidR="00204D5E">
        <w:rPr>
          <w:sz w:val="28"/>
          <w:szCs w:val="28"/>
        </w:rPr>
        <w:t xml:space="preserve"> </w:t>
      </w:r>
      <w:r w:rsidRPr="002D2132">
        <w:rPr>
          <w:sz w:val="28"/>
          <w:szCs w:val="28"/>
        </w:rPr>
        <w:t>allows for a Commonwealth institution, with the agreement of the Director-General of the NAA,</w:t>
      </w:r>
      <w:r w:rsidRPr="00916D2A">
        <w:rPr>
          <w:sz w:val="28"/>
          <w:szCs w:val="28"/>
        </w:rPr>
        <w:t xml:space="preserve"> to determine that a record is exempt from transfer requirements under section 27</w:t>
      </w:r>
      <w:r w:rsidR="00204D5E">
        <w:rPr>
          <w:sz w:val="28"/>
          <w:szCs w:val="28"/>
        </w:rPr>
        <w:t xml:space="preserve"> of the Archives Act</w:t>
      </w:r>
      <w:r w:rsidRPr="00916D2A">
        <w:rPr>
          <w:sz w:val="28"/>
          <w:szCs w:val="28"/>
        </w:rPr>
        <w:t>.</w:t>
      </w:r>
      <w:r w:rsidRPr="002D2132">
        <w:rPr>
          <w:rStyle w:val="FootnoteReference"/>
          <w:sz w:val="28"/>
          <w:szCs w:val="28"/>
        </w:rPr>
        <w:footnoteReference w:id="28"/>
      </w:r>
      <w:r w:rsidRPr="002D2132">
        <w:rPr>
          <w:sz w:val="28"/>
          <w:szCs w:val="28"/>
        </w:rPr>
        <w:t xml:space="preserve"> </w:t>
      </w:r>
      <w:r w:rsidR="00BE3109">
        <w:rPr>
          <w:sz w:val="28"/>
          <w:szCs w:val="28"/>
        </w:rPr>
        <w:t>T</w:t>
      </w:r>
      <w:r w:rsidR="000D495A" w:rsidRPr="00916D2A">
        <w:rPr>
          <w:sz w:val="28"/>
          <w:szCs w:val="28"/>
        </w:rPr>
        <w:t xml:space="preserve">he NAA is not aware of any section 29 determination that has been made in relation to </w:t>
      </w:r>
      <w:r w:rsidR="000D495A" w:rsidRPr="006B5E06" w:rsidDel="0078703F">
        <w:rPr>
          <w:sz w:val="28"/>
          <w:szCs w:val="28"/>
        </w:rPr>
        <w:t>NSC records</w:t>
      </w:r>
      <w:r w:rsidR="00BE3109">
        <w:rPr>
          <w:sz w:val="28"/>
          <w:szCs w:val="28"/>
        </w:rPr>
        <w:t>.</w:t>
      </w:r>
      <w:r w:rsidR="00794D7B">
        <w:rPr>
          <w:sz w:val="28"/>
          <w:szCs w:val="28"/>
        </w:rPr>
        <w:t xml:space="preserve"> </w:t>
      </w:r>
      <w:r w:rsidR="00BE3109">
        <w:rPr>
          <w:sz w:val="28"/>
          <w:szCs w:val="28"/>
        </w:rPr>
        <w:t xml:space="preserve">However, in a scenario </w:t>
      </w:r>
      <w:r w:rsidRPr="00FF5818">
        <w:rPr>
          <w:sz w:val="28"/>
          <w:szCs w:val="28"/>
        </w:rPr>
        <w:t xml:space="preserve">where a </w:t>
      </w:r>
      <w:r w:rsidR="00204D5E">
        <w:rPr>
          <w:sz w:val="28"/>
          <w:szCs w:val="28"/>
        </w:rPr>
        <w:t>d</w:t>
      </w:r>
      <w:r w:rsidRPr="00FF5818">
        <w:rPr>
          <w:sz w:val="28"/>
          <w:szCs w:val="28"/>
        </w:rPr>
        <w:t xml:space="preserve">epartment </w:t>
      </w:r>
      <w:r w:rsidR="00204D5E">
        <w:rPr>
          <w:sz w:val="28"/>
          <w:szCs w:val="28"/>
        </w:rPr>
        <w:t xml:space="preserve">or agency </w:t>
      </w:r>
      <w:r w:rsidRPr="00FF5818">
        <w:rPr>
          <w:sz w:val="28"/>
          <w:szCs w:val="28"/>
        </w:rPr>
        <w:t>and the</w:t>
      </w:r>
      <w:r w:rsidR="00BE3109">
        <w:rPr>
          <w:sz w:val="28"/>
          <w:szCs w:val="28"/>
        </w:rPr>
        <w:t xml:space="preserve"> NAA had conflicting views on a section 29 determination it is difficult to see how the Director-General could avoid involvement.</w:t>
      </w:r>
      <w:r w:rsidR="00802277" w:rsidRPr="00FF5818">
        <w:rPr>
          <w:sz w:val="28"/>
          <w:szCs w:val="28"/>
        </w:rPr>
        <w:t xml:space="preserve"> </w:t>
      </w:r>
    </w:p>
    <w:p w14:paraId="0718DADE" w14:textId="165C8ADA" w:rsidR="00BE3109" w:rsidRDefault="00BE3109" w:rsidP="00771FA7">
      <w:pPr>
        <w:pStyle w:val="ListParagraph"/>
        <w:numPr>
          <w:ilvl w:val="0"/>
          <w:numId w:val="11"/>
        </w:numPr>
        <w:spacing w:line="360" w:lineRule="auto"/>
        <w:ind w:left="709" w:hanging="709"/>
        <w:contextualSpacing w:val="0"/>
        <w:rPr>
          <w:sz w:val="28"/>
          <w:szCs w:val="28"/>
        </w:rPr>
      </w:pPr>
      <w:r>
        <w:rPr>
          <w:sz w:val="28"/>
          <w:szCs w:val="28"/>
        </w:rPr>
        <w:t xml:space="preserve">At present, were such circumstances to arise, the Director-General would be unable to sight the material himself and would need to rely entirely on the advice of his officers who had the appropriate security clearances. We question whether such an arrangement would be considered credible in </w:t>
      </w:r>
      <w:r>
        <w:rPr>
          <w:sz w:val="28"/>
          <w:szCs w:val="28"/>
        </w:rPr>
        <w:lastRenderedPageBreak/>
        <w:t>the event of the matter becoming public, leading to intense media and political scrutiny.</w:t>
      </w:r>
    </w:p>
    <w:p w14:paraId="434B7BE5" w14:textId="4B6B1EEC" w:rsidR="00C1761D" w:rsidRPr="003A6630" w:rsidRDefault="00C1761D" w:rsidP="00BC2ABB">
      <w:pPr>
        <w:pStyle w:val="Heading2"/>
        <w:spacing w:line="360" w:lineRule="auto"/>
      </w:pPr>
      <w:bookmarkStart w:id="243" w:name="_Toc157432144"/>
      <w:r w:rsidRPr="003A6630">
        <w:t>The proactive public release scheme</w:t>
      </w:r>
      <w:bookmarkEnd w:id="238"/>
      <w:bookmarkEnd w:id="239"/>
      <w:bookmarkEnd w:id="240"/>
      <w:bookmarkEnd w:id="241"/>
      <w:bookmarkEnd w:id="242"/>
      <w:bookmarkEnd w:id="243"/>
    </w:p>
    <w:p w14:paraId="6A71CFF4" w14:textId="68E822B4" w:rsidR="00586EB4" w:rsidRDefault="00586EB4" w:rsidP="00771FA7">
      <w:pPr>
        <w:pStyle w:val="ListParagraph"/>
        <w:numPr>
          <w:ilvl w:val="0"/>
          <w:numId w:val="11"/>
        </w:numPr>
        <w:spacing w:line="360" w:lineRule="auto"/>
        <w:ind w:left="709" w:hanging="709"/>
        <w:contextualSpacing w:val="0"/>
        <w:rPr>
          <w:sz w:val="28"/>
          <w:szCs w:val="28"/>
        </w:rPr>
      </w:pPr>
      <w:r>
        <w:rPr>
          <w:sz w:val="28"/>
          <w:szCs w:val="28"/>
        </w:rPr>
        <w:t>On 1 January each year</w:t>
      </w:r>
      <w:r w:rsidR="00F51BA8" w:rsidRPr="00BC2ABB">
        <w:rPr>
          <w:sz w:val="28"/>
          <w:szCs w:val="28"/>
        </w:rPr>
        <w:t xml:space="preserve">, </w:t>
      </w:r>
      <w:r w:rsidR="00D31E95" w:rsidRPr="00BC2ABB">
        <w:rPr>
          <w:sz w:val="28"/>
          <w:szCs w:val="28"/>
        </w:rPr>
        <w:t xml:space="preserve">as part of the annual Cabinet release, </w:t>
      </w:r>
      <w:r w:rsidR="00F51BA8" w:rsidRPr="00BC2ABB">
        <w:rPr>
          <w:sz w:val="28"/>
          <w:szCs w:val="28"/>
        </w:rPr>
        <w:t>the NAA</w:t>
      </w:r>
      <w:r w:rsidR="003D645C">
        <w:rPr>
          <w:sz w:val="28"/>
          <w:szCs w:val="28"/>
        </w:rPr>
        <w:t xml:space="preserve"> </w:t>
      </w:r>
      <w:r w:rsidR="00F51BA8" w:rsidRPr="00BC2ABB">
        <w:rPr>
          <w:sz w:val="28"/>
          <w:szCs w:val="28"/>
        </w:rPr>
        <w:t>proactively releases approximately 250 Cabinet records from 20 years prior.</w:t>
      </w:r>
      <w:r>
        <w:rPr>
          <w:sz w:val="28"/>
          <w:szCs w:val="28"/>
        </w:rPr>
        <w:t xml:space="preserve"> </w:t>
      </w:r>
      <w:r w:rsidRPr="00BC2ABB">
        <w:rPr>
          <w:sz w:val="28"/>
          <w:szCs w:val="28"/>
        </w:rPr>
        <w:t>T</w:t>
      </w:r>
      <w:r w:rsidR="00686CCD">
        <w:rPr>
          <w:sz w:val="28"/>
          <w:szCs w:val="28"/>
        </w:rPr>
        <w:t>his is not a legislated requirement</w:t>
      </w:r>
      <w:r>
        <w:rPr>
          <w:sz w:val="28"/>
          <w:szCs w:val="28"/>
        </w:rPr>
        <w:t xml:space="preserve">, </w:t>
      </w:r>
      <w:r w:rsidR="00C02E5B">
        <w:rPr>
          <w:sz w:val="28"/>
          <w:szCs w:val="28"/>
        </w:rPr>
        <w:t xml:space="preserve">but an initiative by the NAA to promote public and media awareness of the role of </w:t>
      </w:r>
      <w:r w:rsidR="007C7C43">
        <w:rPr>
          <w:sz w:val="28"/>
          <w:szCs w:val="28"/>
        </w:rPr>
        <w:t>the NAA</w:t>
      </w:r>
      <w:r w:rsidR="00C02E5B">
        <w:rPr>
          <w:sz w:val="28"/>
          <w:szCs w:val="28"/>
        </w:rPr>
        <w:t xml:space="preserve"> and interest in the historical record of the nation’s </w:t>
      </w:r>
      <w:r w:rsidR="007D369B">
        <w:rPr>
          <w:sz w:val="28"/>
          <w:szCs w:val="28"/>
        </w:rPr>
        <w:t>most significant government decision-making body.</w:t>
      </w:r>
      <w:r w:rsidR="00F51BA8" w:rsidRPr="00BC2ABB">
        <w:rPr>
          <w:sz w:val="28"/>
          <w:szCs w:val="28"/>
        </w:rPr>
        <w:t xml:space="preserve"> </w:t>
      </w:r>
    </w:p>
    <w:p w14:paraId="28493315" w14:textId="6C6D860D" w:rsidR="005E7486" w:rsidRPr="00586EB4" w:rsidRDefault="00C02E5B" w:rsidP="00771FA7">
      <w:pPr>
        <w:pStyle w:val="ListParagraph"/>
        <w:numPr>
          <w:ilvl w:val="0"/>
          <w:numId w:val="11"/>
        </w:numPr>
        <w:spacing w:line="360" w:lineRule="auto"/>
        <w:ind w:left="709" w:hanging="709"/>
        <w:contextualSpacing w:val="0"/>
        <w:rPr>
          <w:sz w:val="28"/>
          <w:szCs w:val="28"/>
        </w:rPr>
      </w:pPr>
      <w:r>
        <w:rPr>
          <w:sz w:val="28"/>
          <w:szCs w:val="28"/>
        </w:rPr>
        <w:t>A selection of j</w:t>
      </w:r>
      <w:r w:rsidR="005E7486">
        <w:rPr>
          <w:sz w:val="28"/>
          <w:szCs w:val="28"/>
        </w:rPr>
        <w:t xml:space="preserve">ournalists and </w:t>
      </w:r>
      <w:r w:rsidR="00FD3010">
        <w:rPr>
          <w:sz w:val="28"/>
          <w:szCs w:val="28"/>
        </w:rPr>
        <w:t>the</w:t>
      </w:r>
      <w:r w:rsidR="005E7486">
        <w:rPr>
          <w:sz w:val="28"/>
          <w:szCs w:val="28"/>
        </w:rPr>
        <w:t xml:space="preserve"> Cabinet historian select the records for release in advance, allowing time for description, examination and digitisation to be completed.</w:t>
      </w:r>
      <w:r w:rsidR="00586EB4">
        <w:rPr>
          <w:sz w:val="28"/>
          <w:szCs w:val="28"/>
        </w:rPr>
        <w:t xml:space="preserve"> O</w:t>
      </w:r>
      <w:r w:rsidR="00586EB4" w:rsidRPr="00BC2ABB">
        <w:rPr>
          <w:sz w:val="28"/>
          <w:szCs w:val="28"/>
        </w:rPr>
        <w:t xml:space="preserve">nly records submitted to full Cabinet are part of the proactive release process. </w:t>
      </w:r>
    </w:p>
    <w:p w14:paraId="0484286A" w14:textId="154F704A" w:rsidR="005E7486" w:rsidRDefault="005E7486" w:rsidP="00771FA7">
      <w:pPr>
        <w:pStyle w:val="ListParagraph"/>
        <w:numPr>
          <w:ilvl w:val="0"/>
          <w:numId w:val="11"/>
        </w:numPr>
        <w:spacing w:line="360" w:lineRule="auto"/>
        <w:ind w:left="709" w:hanging="709"/>
        <w:contextualSpacing w:val="0"/>
        <w:rPr>
          <w:sz w:val="28"/>
          <w:szCs w:val="28"/>
        </w:rPr>
      </w:pPr>
      <w:r>
        <w:rPr>
          <w:sz w:val="28"/>
          <w:szCs w:val="28"/>
        </w:rPr>
        <w:t>An embargoed media event takes place 4 weeks before the open access period, providing journalists early access to the records.</w:t>
      </w:r>
    </w:p>
    <w:p w14:paraId="23938959" w14:textId="40BC850D" w:rsidR="00FD3010" w:rsidRPr="00B47188" w:rsidRDefault="00FD3010" w:rsidP="00771FA7">
      <w:pPr>
        <w:pStyle w:val="ListParagraph"/>
        <w:numPr>
          <w:ilvl w:val="0"/>
          <w:numId w:val="11"/>
        </w:numPr>
        <w:spacing w:line="360" w:lineRule="auto"/>
        <w:ind w:left="709" w:hanging="709"/>
        <w:contextualSpacing w:val="0"/>
        <w:rPr>
          <w:sz w:val="28"/>
          <w:szCs w:val="28"/>
        </w:rPr>
      </w:pPr>
      <w:r w:rsidRPr="00BC2ABB">
        <w:rPr>
          <w:sz w:val="28"/>
          <w:szCs w:val="28"/>
        </w:rPr>
        <w:t>The NAA advised th</w:t>
      </w:r>
      <w:r>
        <w:rPr>
          <w:sz w:val="28"/>
          <w:szCs w:val="28"/>
        </w:rPr>
        <w:t>e</w:t>
      </w:r>
      <w:r w:rsidRPr="00BC2ABB">
        <w:rPr>
          <w:sz w:val="28"/>
          <w:szCs w:val="28"/>
        </w:rPr>
        <w:t xml:space="preserve"> proactive release </w:t>
      </w:r>
      <w:r>
        <w:rPr>
          <w:sz w:val="28"/>
          <w:szCs w:val="28"/>
        </w:rPr>
        <w:t>initiative</w:t>
      </w:r>
      <w:r w:rsidRPr="00BC2ABB">
        <w:rPr>
          <w:sz w:val="28"/>
          <w:szCs w:val="28"/>
        </w:rPr>
        <w:t xml:space="preserve"> commenced in the </w:t>
      </w:r>
      <w:r w:rsidRPr="005E7486">
        <w:rPr>
          <w:sz w:val="28"/>
          <w:szCs w:val="28"/>
        </w:rPr>
        <w:t>mid</w:t>
      </w:r>
      <w:r w:rsidR="007C7C43">
        <w:rPr>
          <w:sz w:val="28"/>
          <w:szCs w:val="28"/>
        </w:rPr>
        <w:noBreakHyphen/>
      </w:r>
      <w:r w:rsidRPr="005E7486">
        <w:rPr>
          <w:sz w:val="28"/>
          <w:szCs w:val="28"/>
        </w:rPr>
        <w:t>1980s</w:t>
      </w:r>
      <w:r>
        <w:rPr>
          <w:sz w:val="28"/>
          <w:szCs w:val="28"/>
        </w:rPr>
        <w:t xml:space="preserve">. It was </w:t>
      </w:r>
      <w:r w:rsidRPr="00BC2ABB">
        <w:rPr>
          <w:sz w:val="28"/>
          <w:szCs w:val="28"/>
        </w:rPr>
        <w:t xml:space="preserve">not intended to </w:t>
      </w:r>
      <w:r>
        <w:rPr>
          <w:sz w:val="28"/>
          <w:szCs w:val="28"/>
        </w:rPr>
        <w:t>cover</w:t>
      </w:r>
      <w:r w:rsidRPr="00BC2ABB">
        <w:rPr>
          <w:sz w:val="28"/>
          <w:szCs w:val="28"/>
        </w:rPr>
        <w:t xml:space="preserve"> all </w:t>
      </w:r>
      <w:r>
        <w:rPr>
          <w:sz w:val="28"/>
          <w:szCs w:val="28"/>
        </w:rPr>
        <w:t xml:space="preserve">Cabinet </w:t>
      </w:r>
      <w:r w:rsidRPr="00BC2ABB">
        <w:rPr>
          <w:sz w:val="28"/>
          <w:szCs w:val="28"/>
        </w:rPr>
        <w:t>records</w:t>
      </w:r>
      <w:r>
        <w:rPr>
          <w:sz w:val="28"/>
          <w:szCs w:val="28"/>
        </w:rPr>
        <w:t xml:space="preserve"> or the records of Cabinet committees. </w:t>
      </w:r>
    </w:p>
    <w:p w14:paraId="4D28CE4C" w14:textId="64899563" w:rsidR="005E7486" w:rsidRPr="003A6630" w:rsidRDefault="005E7486" w:rsidP="00BC2ABB">
      <w:pPr>
        <w:pStyle w:val="Heading2"/>
        <w:spacing w:line="360" w:lineRule="auto"/>
      </w:pPr>
      <w:bookmarkStart w:id="244" w:name="_Toc155799990"/>
      <w:bookmarkStart w:id="245" w:name="_Toc155875137"/>
      <w:bookmarkStart w:id="246" w:name="_Toc156565998"/>
      <w:bookmarkStart w:id="247" w:name="_Toc157432145"/>
      <w:r w:rsidRPr="003A6630">
        <w:t>National Security Committee of Cabinet</w:t>
      </w:r>
      <w:bookmarkEnd w:id="244"/>
      <w:bookmarkEnd w:id="245"/>
      <w:bookmarkEnd w:id="246"/>
      <w:bookmarkEnd w:id="247"/>
    </w:p>
    <w:p w14:paraId="7AE54740" w14:textId="437C0871" w:rsidR="005A311C" w:rsidRPr="00BC2ABB" w:rsidRDefault="00F51BA8" w:rsidP="00771FA7">
      <w:pPr>
        <w:pStyle w:val="ListParagraph"/>
        <w:numPr>
          <w:ilvl w:val="0"/>
          <w:numId w:val="11"/>
        </w:numPr>
        <w:spacing w:line="360" w:lineRule="auto"/>
        <w:ind w:left="709" w:hanging="709"/>
        <w:contextualSpacing w:val="0"/>
        <w:rPr>
          <w:sz w:val="28"/>
          <w:szCs w:val="28"/>
        </w:rPr>
      </w:pPr>
      <w:r w:rsidRPr="00BC2ABB">
        <w:rPr>
          <w:sz w:val="28"/>
          <w:szCs w:val="28"/>
        </w:rPr>
        <w:t>S</w:t>
      </w:r>
      <w:r w:rsidR="00CA4DBB" w:rsidRPr="00BC2ABB">
        <w:rPr>
          <w:sz w:val="28"/>
          <w:szCs w:val="28"/>
        </w:rPr>
        <w:t xml:space="preserve">ince the commencement of the public release scheme, no adjustments </w:t>
      </w:r>
      <w:r w:rsidR="005A311C" w:rsidRPr="00BC2ABB">
        <w:rPr>
          <w:sz w:val="28"/>
          <w:szCs w:val="28"/>
        </w:rPr>
        <w:t xml:space="preserve">have been made to the </w:t>
      </w:r>
      <w:r w:rsidR="003D0EA8">
        <w:rPr>
          <w:sz w:val="28"/>
          <w:szCs w:val="28"/>
        </w:rPr>
        <w:t>principles</w:t>
      </w:r>
      <w:r w:rsidR="005A311C" w:rsidRPr="00BC2ABB">
        <w:rPr>
          <w:sz w:val="28"/>
          <w:szCs w:val="28"/>
        </w:rPr>
        <w:t xml:space="preserve"> that un</w:t>
      </w:r>
      <w:r w:rsidR="00FC6399" w:rsidRPr="00BC2ABB">
        <w:rPr>
          <w:sz w:val="28"/>
          <w:szCs w:val="28"/>
        </w:rPr>
        <w:t xml:space="preserve">derpin the NAA’s </w:t>
      </w:r>
      <w:r w:rsidR="00FD3010">
        <w:rPr>
          <w:sz w:val="28"/>
          <w:szCs w:val="28"/>
        </w:rPr>
        <w:t xml:space="preserve">release </w:t>
      </w:r>
      <w:r w:rsidR="00FD3010">
        <w:rPr>
          <w:sz w:val="28"/>
          <w:szCs w:val="28"/>
        </w:rPr>
        <w:lastRenderedPageBreak/>
        <w:t>scheme</w:t>
      </w:r>
      <w:r w:rsidR="00FC6399" w:rsidRPr="00BC2ABB">
        <w:rPr>
          <w:sz w:val="28"/>
          <w:szCs w:val="28"/>
        </w:rPr>
        <w:t>.</w:t>
      </w:r>
      <w:r w:rsidR="005A311C" w:rsidRPr="00BC2ABB">
        <w:rPr>
          <w:sz w:val="28"/>
          <w:szCs w:val="28"/>
        </w:rPr>
        <w:t xml:space="preserve"> </w:t>
      </w:r>
      <w:r w:rsidR="00FC6399" w:rsidRPr="00BC2ABB">
        <w:rPr>
          <w:sz w:val="28"/>
          <w:szCs w:val="28"/>
        </w:rPr>
        <w:t>This includes</w:t>
      </w:r>
      <w:r w:rsidR="005A311C" w:rsidRPr="00BC2ABB">
        <w:rPr>
          <w:sz w:val="28"/>
          <w:szCs w:val="28"/>
        </w:rPr>
        <w:t xml:space="preserve"> </w:t>
      </w:r>
      <w:r w:rsidR="00FC6399" w:rsidRPr="00BC2ABB">
        <w:rPr>
          <w:sz w:val="28"/>
          <w:szCs w:val="28"/>
        </w:rPr>
        <w:t xml:space="preserve">no </w:t>
      </w:r>
      <w:r w:rsidR="005A311C" w:rsidRPr="00BC2ABB">
        <w:rPr>
          <w:sz w:val="28"/>
          <w:szCs w:val="28"/>
        </w:rPr>
        <w:t>adjustments t</w:t>
      </w:r>
      <w:r w:rsidR="00FC6399" w:rsidRPr="00BC2ABB">
        <w:rPr>
          <w:sz w:val="28"/>
          <w:szCs w:val="28"/>
        </w:rPr>
        <w:t>o</w:t>
      </w:r>
      <w:r w:rsidR="005A311C" w:rsidRPr="00BC2ABB">
        <w:rPr>
          <w:sz w:val="28"/>
          <w:szCs w:val="28"/>
        </w:rPr>
        <w:t xml:space="preserve"> reflect </w:t>
      </w:r>
      <w:r w:rsidR="00FD3010">
        <w:rPr>
          <w:sz w:val="28"/>
          <w:szCs w:val="28"/>
        </w:rPr>
        <w:t xml:space="preserve">the fact that the NSC, established in 1996 by the Howard Government, is a </w:t>
      </w:r>
      <w:r w:rsidR="005A311C" w:rsidRPr="00BC2ABB">
        <w:rPr>
          <w:sz w:val="28"/>
          <w:szCs w:val="28"/>
        </w:rPr>
        <w:t>decision-making bod</w:t>
      </w:r>
      <w:r w:rsidR="00FD3010">
        <w:rPr>
          <w:sz w:val="28"/>
          <w:szCs w:val="28"/>
        </w:rPr>
        <w:t xml:space="preserve">y which does not normally have its decisions endorsed by the </w:t>
      </w:r>
      <w:r w:rsidR="005A311C" w:rsidRPr="00BC2ABB">
        <w:rPr>
          <w:sz w:val="28"/>
          <w:szCs w:val="28"/>
        </w:rPr>
        <w:t xml:space="preserve">full Cabinet. </w:t>
      </w:r>
    </w:p>
    <w:p w14:paraId="6FBDA6A6" w14:textId="5EFE9016" w:rsidR="00463363" w:rsidRPr="005D199E" w:rsidRDefault="00FD3010" w:rsidP="00771FA7">
      <w:pPr>
        <w:pStyle w:val="ListParagraph"/>
        <w:numPr>
          <w:ilvl w:val="0"/>
          <w:numId w:val="11"/>
        </w:numPr>
        <w:spacing w:line="360" w:lineRule="auto"/>
        <w:ind w:left="709" w:hanging="709"/>
        <w:contextualSpacing w:val="0"/>
        <w:rPr>
          <w:sz w:val="28"/>
          <w:szCs w:val="28"/>
        </w:rPr>
      </w:pPr>
      <w:r>
        <w:rPr>
          <w:sz w:val="28"/>
          <w:szCs w:val="28"/>
        </w:rPr>
        <w:t xml:space="preserve">It is, </w:t>
      </w:r>
      <w:r w:rsidR="0043417F">
        <w:rPr>
          <w:sz w:val="28"/>
          <w:szCs w:val="28"/>
        </w:rPr>
        <w:t xml:space="preserve">of course, a matter for the NAA </w:t>
      </w:r>
      <w:r>
        <w:rPr>
          <w:sz w:val="28"/>
          <w:szCs w:val="28"/>
        </w:rPr>
        <w:t>to determine how it conducts its annual release program</w:t>
      </w:r>
      <w:r w:rsidR="00C06DF4">
        <w:rPr>
          <w:sz w:val="28"/>
          <w:szCs w:val="28"/>
        </w:rPr>
        <w:t>,</w:t>
      </w:r>
      <w:r>
        <w:rPr>
          <w:sz w:val="28"/>
          <w:szCs w:val="28"/>
        </w:rPr>
        <w:t xml:space="preserve"> which has been highly successful. However, given that the NSC is a full decision making committee of the Cabinet, we think there is a certain logic in including NSC records</w:t>
      </w:r>
      <w:r w:rsidR="003D0EA8">
        <w:rPr>
          <w:sz w:val="28"/>
          <w:szCs w:val="28"/>
        </w:rPr>
        <w:t xml:space="preserve"> </w:t>
      </w:r>
      <w:r>
        <w:rPr>
          <w:sz w:val="28"/>
          <w:szCs w:val="28"/>
        </w:rPr>
        <w:t xml:space="preserve">as part of the annual release initiative, noting that more of its records than those of the full Cabinet </w:t>
      </w:r>
      <w:r w:rsidR="000A162A">
        <w:rPr>
          <w:sz w:val="28"/>
          <w:szCs w:val="28"/>
        </w:rPr>
        <w:t xml:space="preserve">may </w:t>
      </w:r>
      <w:r>
        <w:rPr>
          <w:sz w:val="28"/>
          <w:szCs w:val="28"/>
        </w:rPr>
        <w:t>remain</w:t>
      </w:r>
      <w:r w:rsidR="000A162A">
        <w:rPr>
          <w:sz w:val="28"/>
          <w:szCs w:val="28"/>
        </w:rPr>
        <w:t xml:space="preserve"> </w:t>
      </w:r>
      <w:r>
        <w:rPr>
          <w:sz w:val="28"/>
          <w:szCs w:val="28"/>
        </w:rPr>
        <w:t xml:space="preserve">closed for security reasons. </w:t>
      </w:r>
    </w:p>
    <w:p w14:paraId="2D25632A" w14:textId="3762C936" w:rsidR="00C1761D" w:rsidRPr="003A6630" w:rsidRDefault="00C1761D" w:rsidP="00BC2ABB">
      <w:pPr>
        <w:pStyle w:val="Heading2"/>
        <w:spacing w:line="360" w:lineRule="auto"/>
      </w:pPr>
      <w:bookmarkStart w:id="248" w:name="_Toc157432146"/>
      <w:r w:rsidRPr="003A6630">
        <w:t>Records remain available for public ac</w:t>
      </w:r>
      <w:bookmarkStart w:id="249" w:name="_Toc155699069"/>
      <w:bookmarkStart w:id="250" w:name="_Toc155701011"/>
      <w:bookmarkStart w:id="251" w:name="_Toc155799992"/>
      <w:bookmarkStart w:id="252" w:name="_Toc155875139"/>
      <w:r w:rsidRPr="003A6630">
        <w:t>cess</w:t>
      </w:r>
      <w:bookmarkEnd w:id="248"/>
      <w:bookmarkEnd w:id="249"/>
      <w:bookmarkEnd w:id="250"/>
      <w:bookmarkEnd w:id="251"/>
      <w:bookmarkEnd w:id="252"/>
    </w:p>
    <w:p w14:paraId="26B1D242" w14:textId="5413DF69" w:rsidR="00E51BD8" w:rsidRDefault="0078703F" w:rsidP="00771FA7">
      <w:pPr>
        <w:pStyle w:val="ListParagraph"/>
        <w:numPr>
          <w:ilvl w:val="0"/>
          <w:numId w:val="11"/>
        </w:numPr>
        <w:spacing w:line="360" w:lineRule="auto"/>
        <w:ind w:left="709" w:hanging="709"/>
        <w:contextualSpacing w:val="0"/>
      </w:pPr>
      <w:r w:rsidRPr="00BC2ABB">
        <w:rPr>
          <w:sz w:val="28"/>
          <w:szCs w:val="28"/>
        </w:rPr>
        <w:t xml:space="preserve">The NAA </w:t>
      </w:r>
      <w:r>
        <w:rPr>
          <w:sz w:val="28"/>
          <w:szCs w:val="28"/>
        </w:rPr>
        <w:t xml:space="preserve">advised that while </w:t>
      </w:r>
      <w:r w:rsidR="00686CCD">
        <w:rPr>
          <w:sz w:val="28"/>
          <w:szCs w:val="28"/>
        </w:rPr>
        <w:t>most</w:t>
      </w:r>
      <w:r>
        <w:rPr>
          <w:sz w:val="28"/>
          <w:szCs w:val="28"/>
        </w:rPr>
        <w:t xml:space="preserve"> NSC records are not currently included in the annual Cabinet release project, this does not prevent public access. Any records not proactively released can still be accessed on application, including any NSC records that reach the open access period. In addition, records not yet in</w:t>
      </w:r>
      <w:r w:rsidR="008E1C03">
        <w:rPr>
          <w:sz w:val="28"/>
          <w:szCs w:val="28"/>
        </w:rPr>
        <w:t xml:space="preserve"> the</w:t>
      </w:r>
      <w:r>
        <w:rPr>
          <w:sz w:val="28"/>
          <w:szCs w:val="28"/>
        </w:rPr>
        <w:t xml:space="preserve"> NAA’s custody can still be accessed through application</w:t>
      </w:r>
      <w:r w:rsidR="00C1761D" w:rsidRPr="00BC2ABB">
        <w:rPr>
          <w:sz w:val="28"/>
          <w:szCs w:val="28"/>
        </w:rPr>
        <w:t xml:space="preserve"> to the NAA</w:t>
      </w:r>
      <w:r w:rsidR="00C93E8C">
        <w:rPr>
          <w:sz w:val="28"/>
          <w:szCs w:val="28"/>
        </w:rPr>
        <w:t>.</w:t>
      </w:r>
      <w:r w:rsidR="00041ECB">
        <w:rPr>
          <w:rStyle w:val="FootnoteReference"/>
          <w:sz w:val="28"/>
          <w:szCs w:val="28"/>
        </w:rPr>
        <w:footnoteReference w:id="29"/>
      </w:r>
      <w:r w:rsidR="00686CCD">
        <w:rPr>
          <w:sz w:val="28"/>
          <w:szCs w:val="28"/>
        </w:rPr>
        <w:t xml:space="preserve"> The Review notes that this is subject to the NAA holding the necessary metadata for the public to discern what material exists.</w:t>
      </w:r>
      <w:r w:rsidR="00C06DF4">
        <w:rPr>
          <w:sz w:val="28"/>
          <w:szCs w:val="28"/>
        </w:rPr>
        <w:t xml:space="preserve"> Access is also dependent on the NSC records not being subject to a section 33 exemption.</w:t>
      </w:r>
    </w:p>
    <w:p w14:paraId="2E73B2E9" w14:textId="1C65E5E5" w:rsidR="00A9443F" w:rsidRPr="00095310" w:rsidRDefault="00E51BD8" w:rsidP="00095310">
      <w:pPr>
        <w:spacing w:after="200" w:line="360" w:lineRule="auto"/>
        <w:rPr>
          <w:rFonts w:cstheme="majorHAnsi"/>
          <w:noProof/>
          <w:szCs w:val="48"/>
        </w:rPr>
      </w:pPr>
      <w:r>
        <w:br w:type="page"/>
      </w:r>
      <w:bookmarkStart w:id="253" w:name="_Toc155800004"/>
      <w:bookmarkStart w:id="254" w:name="_Toc155875152"/>
      <w:bookmarkEnd w:id="13"/>
      <w:bookmarkEnd w:id="14"/>
      <w:bookmarkEnd w:id="15"/>
      <w:bookmarkEnd w:id="16"/>
      <w:bookmarkEnd w:id="17"/>
      <w:bookmarkEnd w:id="18"/>
    </w:p>
    <w:p w14:paraId="0B299EBF" w14:textId="2247DF99" w:rsidR="006C7F18" w:rsidRPr="00961776" w:rsidRDefault="006C7F18" w:rsidP="00961776">
      <w:pPr>
        <w:pStyle w:val="Heading1"/>
        <w:spacing w:line="360" w:lineRule="auto"/>
        <w:rPr>
          <w:sz w:val="52"/>
          <w:szCs w:val="52"/>
        </w:rPr>
      </w:pPr>
      <w:bookmarkStart w:id="255" w:name="_Toc156566021"/>
      <w:bookmarkStart w:id="256" w:name="_Toc157432147"/>
      <w:r w:rsidRPr="00961776">
        <w:rPr>
          <w:sz w:val="52"/>
          <w:szCs w:val="52"/>
        </w:rPr>
        <w:lastRenderedPageBreak/>
        <w:t>References</w:t>
      </w:r>
      <w:bookmarkEnd w:id="253"/>
      <w:bookmarkEnd w:id="254"/>
      <w:bookmarkEnd w:id="255"/>
      <w:bookmarkEnd w:id="256"/>
    </w:p>
    <w:p w14:paraId="3C0A8259" w14:textId="29A11B97" w:rsidR="003F2D49" w:rsidRPr="0003050F" w:rsidRDefault="00F61840" w:rsidP="00095310">
      <w:pPr>
        <w:pStyle w:val="Heading2"/>
      </w:pPr>
      <w:bookmarkStart w:id="257" w:name="_Toc157432148"/>
      <w:r w:rsidRPr="0003050F">
        <w:t>Articles/Books/Reports</w:t>
      </w:r>
      <w:bookmarkEnd w:id="257"/>
      <w:r w:rsidRPr="0003050F">
        <w:t xml:space="preserve"> </w:t>
      </w:r>
    </w:p>
    <w:p w14:paraId="2C982245" w14:textId="77777777" w:rsidR="00D72C88" w:rsidRPr="00B87246" w:rsidRDefault="00D72C88" w:rsidP="0082151E">
      <w:pPr>
        <w:pStyle w:val="FootnoteText"/>
        <w:spacing w:line="360" w:lineRule="auto"/>
        <w:rPr>
          <w:color w:val="0F1F35" w:themeColor="text2"/>
          <w:sz w:val="28"/>
          <w:szCs w:val="28"/>
        </w:rPr>
      </w:pPr>
      <w:r w:rsidRPr="00B87246">
        <w:rPr>
          <w:color w:val="0F1F35" w:themeColor="text2"/>
          <w:sz w:val="28"/>
          <w:szCs w:val="28"/>
        </w:rPr>
        <w:t xml:space="preserve">Bramston, Troy, ‘Cabinet papers debacle either ‘cover-up or pure farce’, </w:t>
      </w:r>
      <w:r w:rsidRPr="00B87246">
        <w:rPr>
          <w:i/>
          <w:color w:val="0F1F35" w:themeColor="text2"/>
          <w:sz w:val="28"/>
          <w:szCs w:val="28"/>
        </w:rPr>
        <w:t>The Australian</w:t>
      </w:r>
      <w:r w:rsidRPr="00B87246">
        <w:rPr>
          <w:color w:val="0F1F35" w:themeColor="text2"/>
          <w:sz w:val="28"/>
          <w:szCs w:val="28"/>
        </w:rPr>
        <w:t>, Sydney, 2 January 2024</w:t>
      </w:r>
    </w:p>
    <w:p w14:paraId="63676C1C" w14:textId="77777777" w:rsidR="00D72C88" w:rsidRPr="00B87246" w:rsidRDefault="00D72C88" w:rsidP="003F2D49">
      <w:pPr>
        <w:pStyle w:val="FootnoteText"/>
        <w:spacing w:line="360" w:lineRule="auto"/>
        <w:rPr>
          <w:color w:val="0F1F35" w:themeColor="text2"/>
          <w:sz w:val="40"/>
          <w:szCs w:val="28"/>
        </w:rPr>
      </w:pPr>
      <w:r w:rsidRPr="00B87246">
        <w:rPr>
          <w:color w:val="0F1F35" w:themeColor="text2"/>
          <w:sz w:val="28"/>
        </w:rPr>
        <w:t xml:space="preserve">Curtis, Katina, ‘Cabinet papers 2003: Iraq war discussions remain secret amid John Howard-era document release’, </w:t>
      </w:r>
      <w:r w:rsidRPr="00B87246">
        <w:rPr>
          <w:i/>
          <w:color w:val="0F1F35" w:themeColor="text2"/>
          <w:sz w:val="28"/>
        </w:rPr>
        <w:t xml:space="preserve">The West Australian, </w:t>
      </w:r>
      <w:r w:rsidRPr="00B87246">
        <w:rPr>
          <w:color w:val="0F1F35" w:themeColor="text2"/>
          <w:sz w:val="28"/>
        </w:rPr>
        <w:t>1 January 2024</w:t>
      </w:r>
    </w:p>
    <w:p w14:paraId="11AB4D1C" w14:textId="77777777" w:rsidR="00D72C88" w:rsidRPr="00B87246" w:rsidRDefault="00D72C88" w:rsidP="003F2D49">
      <w:pPr>
        <w:pStyle w:val="FootnoteText"/>
        <w:spacing w:line="360" w:lineRule="auto"/>
        <w:rPr>
          <w:color w:val="0F1F35" w:themeColor="text2"/>
          <w:sz w:val="28"/>
          <w:szCs w:val="28"/>
        </w:rPr>
      </w:pPr>
      <w:r w:rsidRPr="00B87246">
        <w:rPr>
          <w:color w:val="0F1F35" w:themeColor="text2"/>
          <w:sz w:val="28"/>
          <w:szCs w:val="28"/>
        </w:rPr>
        <w:t xml:space="preserve">Department of the Prime Minister and Cabinet, </w:t>
      </w:r>
      <w:r w:rsidRPr="00B87246">
        <w:rPr>
          <w:i/>
          <w:color w:val="0F1F35" w:themeColor="text2"/>
          <w:sz w:val="28"/>
          <w:szCs w:val="28"/>
        </w:rPr>
        <w:t xml:space="preserve">Cabinet Handbook </w:t>
      </w:r>
      <w:r w:rsidRPr="00B87246">
        <w:rPr>
          <w:color w:val="0F1F35" w:themeColor="text2"/>
          <w:sz w:val="28"/>
          <w:szCs w:val="28"/>
        </w:rPr>
        <w:t>(13</w:t>
      </w:r>
      <w:r w:rsidRPr="00B87246">
        <w:rPr>
          <w:color w:val="0F1F35" w:themeColor="text2"/>
          <w:sz w:val="28"/>
          <w:szCs w:val="28"/>
          <w:vertAlign w:val="superscript"/>
        </w:rPr>
        <w:t>th</w:t>
      </w:r>
      <w:r w:rsidRPr="00B87246">
        <w:rPr>
          <w:color w:val="0F1F35" w:themeColor="text2"/>
          <w:sz w:val="28"/>
          <w:szCs w:val="28"/>
        </w:rPr>
        <w:t xml:space="preserve"> ed, 2019)</w:t>
      </w:r>
    </w:p>
    <w:p w14:paraId="73B9E3F7" w14:textId="77777777" w:rsidR="00D72C88" w:rsidRPr="00B87246" w:rsidRDefault="00D72C88" w:rsidP="003F2D49">
      <w:pPr>
        <w:spacing w:line="360" w:lineRule="auto"/>
        <w:rPr>
          <w:color w:val="0F1F35" w:themeColor="text2"/>
          <w:sz w:val="28"/>
          <w:szCs w:val="28"/>
        </w:rPr>
      </w:pPr>
      <w:r w:rsidRPr="00B87246">
        <w:rPr>
          <w:color w:val="0F1F35" w:themeColor="text2"/>
          <w:sz w:val="28"/>
          <w:szCs w:val="28"/>
        </w:rPr>
        <w:t xml:space="preserve">Department of the Prime Minister and Cabinet, </w:t>
      </w:r>
      <w:r w:rsidRPr="00B87246">
        <w:rPr>
          <w:i/>
          <w:color w:val="0F1F35" w:themeColor="text2"/>
          <w:sz w:val="28"/>
          <w:szCs w:val="28"/>
        </w:rPr>
        <w:t>Cabinet Handbook</w:t>
      </w:r>
      <w:r w:rsidRPr="00B87246">
        <w:rPr>
          <w:color w:val="0F1F35" w:themeColor="text2"/>
          <w:sz w:val="28"/>
          <w:szCs w:val="28"/>
        </w:rPr>
        <w:t xml:space="preserve"> (15</w:t>
      </w:r>
      <w:r w:rsidRPr="00B87246">
        <w:rPr>
          <w:color w:val="0F1F35" w:themeColor="text2"/>
          <w:sz w:val="28"/>
          <w:szCs w:val="28"/>
          <w:vertAlign w:val="superscript"/>
        </w:rPr>
        <w:t>th</w:t>
      </w:r>
      <w:r w:rsidRPr="00B87246">
        <w:rPr>
          <w:color w:val="0F1F35" w:themeColor="text2"/>
          <w:sz w:val="28"/>
          <w:szCs w:val="28"/>
        </w:rPr>
        <w:t xml:space="preserve"> ed, 2022) </w:t>
      </w:r>
    </w:p>
    <w:p w14:paraId="3D6B6ECB" w14:textId="77777777" w:rsidR="00D72C88" w:rsidRPr="00B87246" w:rsidRDefault="00D72C88" w:rsidP="003F2D49">
      <w:pPr>
        <w:spacing w:line="276" w:lineRule="auto"/>
        <w:rPr>
          <w:color w:val="0F1F35" w:themeColor="text2"/>
          <w:sz w:val="28"/>
          <w:szCs w:val="28"/>
        </w:rPr>
      </w:pPr>
      <w:r w:rsidRPr="00B87246">
        <w:rPr>
          <w:color w:val="0F1F35" w:themeColor="text2"/>
          <w:sz w:val="28"/>
          <w:szCs w:val="28"/>
        </w:rPr>
        <w:t xml:space="preserve">Editorial, ‘Secret Papers must be made public’, </w:t>
      </w:r>
      <w:r w:rsidRPr="00B87246">
        <w:rPr>
          <w:i/>
          <w:color w:val="0F1F35" w:themeColor="text2"/>
          <w:sz w:val="28"/>
          <w:szCs w:val="28"/>
        </w:rPr>
        <w:t>The Australian</w:t>
      </w:r>
      <w:r w:rsidRPr="00B87246">
        <w:rPr>
          <w:color w:val="0F1F35" w:themeColor="text2"/>
          <w:sz w:val="28"/>
          <w:szCs w:val="28"/>
        </w:rPr>
        <w:t xml:space="preserve">, Sydney, 2 January 2024 </w:t>
      </w:r>
    </w:p>
    <w:p w14:paraId="2BD858D2" w14:textId="2DF51FBA" w:rsidR="006C7F18" w:rsidRPr="00B87246" w:rsidRDefault="00F61840" w:rsidP="00095310">
      <w:pPr>
        <w:pStyle w:val="Heading2"/>
      </w:pPr>
      <w:bookmarkStart w:id="258" w:name="_Toc157432149"/>
      <w:r w:rsidRPr="00B87246">
        <w:t>Legislation</w:t>
      </w:r>
      <w:bookmarkEnd w:id="258"/>
      <w:r w:rsidRPr="00B87246">
        <w:t xml:space="preserve"> </w:t>
      </w:r>
    </w:p>
    <w:p w14:paraId="4A09318A" w14:textId="77777777" w:rsidR="003F2D49" w:rsidRPr="00B87246" w:rsidRDefault="003F2D49" w:rsidP="003F2D49">
      <w:pPr>
        <w:spacing w:line="360" w:lineRule="auto"/>
        <w:rPr>
          <w:color w:val="0F1F35" w:themeColor="text2"/>
          <w:sz w:val="28"/>
          <w:szCs w:val="28"/>
        </w:rPr>
      </w:pPr>
      <w:r w:rsidRPr="00B87246">
        <w:rPr>
          <w:i/>
          <w:color w:val="0F1F35" w:themeColor="text2"/>
          <w:sz w:val="28"/>
          <w:szCs w:val="28"/>
        </w:rPr>
        <w:t>Archives Act 1983</w:t>
      </w:r>
      <w:r w:rsidRPr="00B87246">
        <w:rPr>
          <w:color w:val="0F1F35" w:themeColor="text2"/>
          <w:sz w:val="28"/>
          <w:szCs w:val="28"/>
        </w:rPr>
        <w:t xml:space="preserve"> (Cth)</w:t>
      </w:r>
    </w:p>
    <w:p w14:paraId="15079BB5" w14:textId="3FC0B19B" w:rsidR="0082151E" w:rsidRPr="00B87246" w:rsidRDefault="003F2D49" w:rsidP="00FE73C6">
      <w:pPr>
        <w:spacing w:line="360" w:lineRule="auto"/>
        <w:rPr>
          <w:color w:val="0F1F35" w:themeColor="text2"/>
          <w:sz w:val="28"/>
          <w:szCs w:val="28"/>
        </w:rPr>
      </w:pPr>
      <w:r w:rsidRPr="00B87246">
        <w:rPr>
          <w:i/>
          <w:color w:val="0F1F35" w:themeColor="text2"/>
          <w:sz w:val="28"/>
          <w:szCs w:val="28"/>
        </w:rPr>
        <w:t xml:space="preserve">Biosecurity Act 2015 </w:t>
      </w:r>
      <w:r w:rsidRPr="00B87246">
        <w:rPr>
          <w:color w:val="0F1F35" w:themeColor="text2"/>
          <w:sz w:val="28"/>
          <w:szCs w:val="28"/>
        </w:rPr>
        <w:t>(Cth)</w:t>
      </w:r>
    </w:p>
    <w:p w14:paraId="0B9E14DE" w14:textId="30AA6C40" w:rsidR="003F2D49" w:rsidRPr="00B87246" w:rsidRDefault="00F61840" w:rsidP="00095310">
      <w:pPr>
        <w:pStyle w:val="Heading2"/>
      </w:pPr>
      <w:bookmarkStart w:id="259" w:name="_Toc157432150"/>
      <w:r w:rsidRPr="00B87246">
        <w:t>Other</w:t>
      </w:r>
      <w:bookmarkEnd w:id="259"/>
      <w:r w:rsidRPr="00B87246">
        <w:t xml:space="preserve"> </w:t>
      </w:r>
    </w:p>
    <w:p w14:paraId="2B61AE23" w14:textId="77777777" w:rsidR="00B87246" w:rsidRPr="00B87246" w:rsidRDefault="00B87246" w:rsidP="00FE73C6">
      <w:pPr>
        <w:pStyle w:val="FootnoteText"/>
        <w:spacing w:line="360" w:lineRule="auto"/>
        <w:rPr>
          <w:color w:val="0F1F35" w:themeColor="text2"/>
          <w:sz w:val="28"/>
          <w:szCs w:val="28"/>
        </w:rPr>
      </w:pPr>
      <w:r w:rsidRPr="00B87246">
        <w:rPr>
          <w:color w:val="0F1F35" w:themeColor="text2"/>
          <w:sz w:val="28"/>
          <w:szCs w:val="28"/>
        </w:rPr>
        <w:t xml:space="preserve">Campbell, Kelsey and Emma Vines, ‘COVID-19: a chronology of Australian Government Announcements (up until 30 June 2020)’, </w:t>
      </w:r>
      <w:r w:rsidRPr="00B87246">
        <w:rPr>
          <w:i/>
          <w:color w:val="0F1F35" w:themeColor="text2"/>
          <w:sz w:val="28"/>
          <w:szCs w:val="28"/>
        </w:rPr>
        <w:t xml:space="preserve">Parliament of Australia </w:t>
      </w:r>
      <w:r w:rsidRPr="00B87246">
        <w:rPr>
          <w:color w:val="0F1F35" w:themeColor="text2"/>
          <w:sz w:val="28"/>
          <w:szCs w:val="28"/>
        </w:rPr>
        <w:t xml:space="preserve">(Web Page, 23 June 2021) &lt; </w:t>
      </w:r>
      <w:hyperlink r:id="rId25" w:history="1">
        <w:r w:rsidRPr="00B87246">
          <w:rPr>
            <w:rStyle w:val="Hyperlink"/>
            <w:color w:val="0F1F35" w:themeColor="text2"/>
            <w:sz w:val="28"/>
            <w:szCs w:val="28"/>
          </w:rPr>
          <w:t>www.aph.gov.au/About_Parliament/Parliamentary_Departments/Parliamentary_Library/pubs/rp/rp2021/Chronologies/COVID-19AustralianGovernmentAnnouncements</w:t>
        </w:r>
      </w:hyperlink>
      <w:r w:rsidRPr="00B87246">
        <w:rPr>
          <w:color w:val="0F1F35" w:themeColor="text2"/>
          <w:sz w:val="28"/>
          <w:szCs w:val="28"/>
        </w:rPr>
        <w:t>&gt;</w:t>
      </w:r>
    </w:p>
    <w:p w14:paraId="5D623287" w14:textId="77777777" w:rsidR="00B87246" w:rsidRPr="00B87246" w:rsidRDefault="00B87246" w:rsidP="00FE73C6">
      <w:pPr>
        <w:spacing w:line="360" w:lineRule="auto"/>
        <w:rPr>
          <w:color w:val="0F1F35" w:themeColor="text2"/>
          <w:sz w:val="28"/>
          <w:szCs w:val="28"/>
        </w:rPr>
      </w:pPr>
      <w:r w:rsidRPr="00B87246">
        <w:rPr>
          <w:color w:val="0F1F35" w:themeColor="text2"/>
          <w:sz w:val="28"/>
          <w:szCs w:val="28"/>
        </w:rPr>
        <w:lastRenderedPageBreak/>
        <w:t xml:space="preserve">Department of Health and Aged Care, ‘First Confirmed Case of Novel Coronavirus in Australia’ (Media release, 25 January 2020) </w:t>
      </w:r>
      <w:r w:rsidRPr="00B87246">
        <w:rPr>
          <w:rStyle w:val="Hyperlink"/>
          <w:color w:val="0F1F35" w:themeColor="text2"/>
          <w:sz w:val="28"/>
          <w:szCs w:val="28"/>
        </w:rPr>
        <w:t>&lt;https://www.health.gov.au/ministers/the-hon-greg-hunt-mp/media/first-confirmed-case-of-novel-coronavirus-in-australia&gt;</w:t>
      </w:r>
    </w:p>
    <w:p w14:paraId="1B395FA1" w14:textId="77777777" w:rsidR="00B87246" w:rsidRPr="00B87246" w:rsidRDefault="00B87246" w:rsidP="00FE73C6">
      <w:pPr>
        <w:spacing w:line="360" w:lineRule="auto"/>
        <w:rPr>
          <w:color w:val="0F1F35" w:themeColor="text2"/>
          <w:sz w:val="28"/>
          <w:szCs w:val="28"/>
        </w:rPr>
      </w:pPr>
      <w:r w:rsidRPr="00B87246">
        <w:rPr>
          <w:color w:val="0F1F35" w:themeColor="text2"/>
          <w:sz w:val="28"/>
          <w:szCs w:val="28"/>
        </w:rPr>
        <w:t>Department of Prime Minister and Cabinet, ‘Transfer of 2003 Cabinet records to the National Archives of Australia’ (Media release, Department of Prime Minister and Cabinet, 1 January 2024) &lt;</w:t>
      </w:r>
      <w:hyperlink r:id="rId26" w:history="1">
        <w:r w:rsidRPr="00B87246">
          <w:rPr>
            <w:rStyle w:val="Hyperlink"/>
            <w:color w:val="0F1F35" w:themeColor="text2"/>
            <w:sz w:val="28"/>
            <w:szCs w:val="28"/>
          </w:rPr>
          <w:t>https://www.pmc.gov.au/news/transfer-2003-cabinet-records-national-archives-australia</w:t>
        </w:r>
      </w:hyperlink>
      <w:r w:rsidRPr="00B87246">
        <w:rPr>
          <w:rStyle w:val="Hyperlink"/>
          <w:color w:val="0F1F35" w:themeColor="text2"/>
          <w:sz w:val="28"/>
          <w:szCs w:val="28"/>
        </w:rPr>
        <w:t>&gt;</w:t>
      </w:r>
    </w:p>
    <w:p w14:paraId="03165D43" w14:textId="77777777" w:rsidR="00B87246" w:rsidRPr="00B87246" w:rsidRDefault="00B87246" w:rsidP="00FE73C6">
      <w:pPr>
        <w:spacing w:line="360" w:lineRule="auto"/>
        <w:rPr>
          <w:color w:val="0F1F35" w:themeColor="text2"/>
          <w:sz w:val="28"/>
          <w:szCs w:val="28"/>
        </w:rPr>
      </w:pPr>
      <w:r w:rsidRPr="00B87246">
        <w:rPr>
          <w:color w:val="0F1F35" w:themeColor="text2"/>
          <w:sz w:val="28"/>
          <w:szCs w:val="28"/>
        </w:rPr>
        <w:t xml:space="preserve">Elphick, Karen, ‘Australian COVID-19 Response Management Arrangements: A Quick Guide’, </w:t>
      </w:r>
      <w:r w:rsidRPr="00B87246">
        <w:rPr>
          <w:i/>
          <w:color w:val="0F1F35" w:themeColor="text2"/>
          <w:sz w:val="28"/>
          <w:szCs w:val="28"/>
        </w:rPr>
        <w:t xml:space="preserve">Parliament of Australia </w:t>
      </w:r>
      <w:r w:rsidRPr="00B87246">
        <w:rPr>
          <w:color w:val="0F1F35" w:themeColor="text2"/>
          <w:sz w:val="28"/>
          <w:szCs w:val="28"/>
        </w:rPr>
        <w:t>(Web Page, 28 April 2020) &lt;</w:t>
      </w:r>
      <w:hyperlink r:id="rId27" w:history="1">
        <w:r w:rsidRPr="00B87246">
          <w:rPr>
            <w:rStyle w:val="Hyperlink"/>
            <w:color w:val="0F1F35" w:themeColor="text2"/>
            <w:sz w:val="28"/>
            <w:szCs w:val="28"/>
          </w:rPr>
          <w:t>https://www.aph.gov.au/About_Parliament/Parliamentary_Departments/Parliamentary_Library/pubs/rp/rp1920/Quick_Guides/AustralianCovid-19ResponseManagement</w:t>
        </w:r>
      </w:hyperlink>
      <w:r w:rsidRPr="00B87246">
        <w:rPr>
          <w:rStyle w:val="Hyperlink"/>
          <w:color w:val="0F1F35" w:themeColor="text2"/>
          <w:sz w:val="28"/>
          <w:szCs w:val="28"/>
        </w:rPr>
        <w:t>&gt;</w:t>
      </w:r>
    </w:p>
    <w:p w14:paraId="0C04888B" w14:textId="77777777" w:rsidR="00B87246" w:rsidRPr="00B87246" w:rsidRDefault="00B87246" w:rsidP="00FE73C6">
      <w:pPr>
        <w:spacing w:line="360" w:lineRule="auto"/>
        <w:rPr>
          <w:color w:val="0F1F35" w:themeColor="text2"/>
          <w:sz w:val="28"/>
          <w:szCs w:val="28"/>
        </w:rPr>
      </w:pPr>
      <w:r w:rsidRPr="00B87246">
        <w:rPr>
          <w:color w:val="0F1F35" w:themeColor="text2"/>
          <w:sz w:val="28"/>
          <w:szCs w:val="28"/>
        </w:rPr>
        <w:t xml:space="preserve">Parliament of Australia, ‘Cabinet’ </w:t>
      </w:r>
      <w:r w:rsidRPr="00B87246">
        <w:rPr>
          <w:i/>
          <w:color w:val="0F1F35" w:themeColor="text2"/>
          <w:sz w:val="28"/>
          <w:szCs w:val="28"/>
        </w:rPr>
        <w:t xml:space="preserve">Parliament of Australia </w:t>
      </w:r>
      <w:r w:rsidRPr="00B87246">
        <w:rPr>
          <w:color w:val="0F1F35" w:themeColor="text2"/>
          <w:sz w:val="28"/>
          <w:szCs w:val="28"/>
        </w:rPr>
        <w:t>(Web Page) &lt;</w:t>
      </w:r>
      <w:hyperlink r:id="rId28" w:history="1">
        <w:r w:rsidRPr="00B87246">
          <w:rPr>
            <w:rStyle w:val="Hyperlink"/>
            <w:color w:val="0F1F35" w:themeColor="text2"/>
            <w:sz w:val="28"/>
            <w:szCs w:val="28"/>
          </w:rPr>
          <w:t>Cabinet – Parliament of Australia (aph.gov.au)</w:t>
        </w:r>
      </w:hyperlink>
      <w:r w:rsidRPr="00B87246">
        <w:rPr>
          <w:color w:val="0F1F35" w:themeColor="text2"/>
          <w:sz w:val="28"/>
          <w:szCs w:val="28"/>
        </w:rPr>
        <w:t>&gt;</w:t>
      </w:r>
    </w:p>
    <w:p w14:paraId="24F6EEA1" w14:textId="77777777" w:rsidR="00B87246" w:rsidRPr="00B87246" w:rsidRDefault="00B87246" w:rsidP="00FE73C6">
      <w:pPr>
        <w:spacing w:line="360" w:lineRule="auto"/>
        <w:rPr>
          <w:i/>
          <w:color w:val="0F1F35" w:themeColor="text2"/>
          <w:sz w:val="28"/>
          <w:szCs w:val="28"/>
        </w:rPr>
      </w:pPr>
      <w:r w:rsidRPr="00B87246">
        <w:rPr>
          <w:i/>
          <w:color w:val="0F1F35" w:themeColor="text2"/>
          <w:sz w:val="28"/>
          <w:szCs w:val="28"/>
        </w:rPr>
        <w:t>Records Disposal Schedule No. S.492 1988</w:t>
      </w:r>
    </w:p>
    <w:p w14:paraId="302D4E74" w14:textId="77777777" w:rsidR="00B87246" w:rsidRPr="00B87246" w:rsidRDefault="00B87246" w:rsidP="00FE73C6">
      <w:pPr>
        <w:pStyle w:val="FootnoteText"/>
        <w:spacing w:line="360" w:lineRule="auto"/>
        <w:rPr>
          <w:color w:val="0F1F35" w:themeColor="text2"/>
          <w:sz w:val="28"/>
          <w:szCs w:val="28"/>
        </w:rPr>
      </w:pPr>
      <w:r w:rsidRPr="00B87246">
        <w:rPr>
          <w:color w:val="0F1F35" w:themeColor="text2"/>
          <w:sz w:val="28"/>
          <w:szCs w:val="28"/>
        </w:rPr>
        <w:t xml:space="preserve">The Department of Prime Minister &amp; Cabinet, ‘National Cabinet Statement’, (Media release, Transcript ID 44093, </w:t>
      </w:r>
      <w:r w:rsidRPr="00B87246">
        <w:rPr>
          <w:i/>
          <w:color w:val="0F1F35" w:themeColor="text2"/>
          <w:sz w:val="28"/>
          <w:szCs w:val="28"/>
        </w:rPr>
        <w:t xml:space="preserve"> </w:t>
      </w:r>
      <w:r w:rsidRPr="00B87246">
        <w:rPr>
          <w:color w:val="0F1F35" w:themeColor="text2"/>
          <w:sz w:val="28"/>
          <w:szCs w:val="28"/>
        </w:rPr>
        <w:t>6 August 2021) &lt;https://pmtranscripts.pmc.gov.au/release/transcript-44093&gt;</w:t>
      </w:r>
    </w:p>
    <w:p w14:paraId="72CFC573" w14:textId="6A1AFAB0" w:rsidR="00050CA2" w:rsidRDefault="00050CA2" w:rsidP="00FE73C6">
      <w:pPr>
        <w:pStyle w:val="FootnoteText"/>
        <w:spacing w:line="360" w:lineRule="auto"/>
        <w:rPr>
          <w:sz w:val="28"/>
          <w:szCs w:val="28"/>
        </w:rPr>
      </w:pPr>
    </w:p>
    <w:p w14:paraId="2309FEC8" w14:textId="3C822C61" w:rsidR="00D40DC5" w:rsidRDefault="00D40DC5" w:rsidP="00FE73C6">
      <w:pPr>
        <w:pStyle w:val="FootnoteText"/>
        <w:spacing w:line="360" w:lineRule="auto"/>
        <w:rPr>
          <w:sz w:val="28"/>
          <w:szCs w:val="28"/>
        </w:rPr>
      </w:pPr>
    </w:p>
    <w:p w14:paraId="384D07ED" w14:textId="77777777" w:rsidR="00D40DC5" w:rsidRDefault="00D40DC5">
      <w:pPr>
        <w:spacing w:after="200" w:line="288" w:lineRule="auto"/>
        <w:rPr>
          <w:sz w:val="28"/>
          <w:szCs w:val="28"/>
        </w:rPr>
      </w:pPr>
      <w:r>
        <w:rPr>
          <w:sz w:val="28"/>
          <w:szCs w:val="28"/>
        </w:rPr>
        <w:br w:type="page"/>
      </w:r>
    </w:p>
    <w:p w14:paraId="61E6089F" w14:textId="2ADE6FAF" w:rsidR="006C7F18" w:rsidRPr="003F2D49" w:rsidRDefault="00050CA2" w:rsidP="00FE73C6">
      <w:pPr>
        <w:pStyle w:val="FootnoteText"/>
        <w:spacing w:line="360" w:lineRule="auto"/>
        <w:rPr>
          <w:sz w:val="28"/>
          <w:szCs w:val="28"/>
        </w:rPr>
      </w:pPr>
      <w:r>
        <w:rPr>
          <w:noProof/>
          <w:sz w:val="28"/>
          <w:szCs w:val="28"/>
          <w:lang w:eastAsia="en-AU"/>
        </w:rPr>
        <w:lastRenderedPageBreak/>
        <mc:AlternateContent>
          <mc:Choice Requires="wpg">
            <w:drawing>
              <wp:anchor distT="0" distB="0" distL="114300" distR="114300" simplePos="0" relativeHeight="251658243" behindDoc="1" locked="0" layoutInCell="1" allowOverlap="1" wp14:anchorId="326F5721" wp14:editId="40FB7625">
                <wp:simplePos x="0" y="0"/>
                <wp:positionH relativeFrom="column">
                  <wp:posOffset>-711018</wp:posOffset>
                </wp:positionH>
                <wp:positionV relativeFrom="paragraph">
                  <wp:posOffset>-1079500</wp:posOffset>
                </wp:positionV>
                <wp:extent cx="7767874" cy="10709275"/>
                <wp:effectExtent l="0" t="0" r="5080" b="0"/>
                <wp:wrapNone/>
                <wp:docPr id="8" name="Group 8" descr="Decorative"/>
                <wp:cNvGraphicFramePr/>
                <a:graphic xmlns:a="http://schemas.openxmlformats.org/drawingml/2006/main">
                  <a:graphicData uri="http://schemas.microsoft.com/office/word/2010/wordprocessingGroup">
                    <wpg:wgp>
                      <wpg:cNvGrpSpPr/>
                      <wpg:grpSpPr>
                        <a:xfrm>
                          <a:off x="0" y="0"/>
                          <a:ext cx="7767874" cy="10709275"/>
                          <a:chOff x="0" y="0"/>
                          <a:chExt cx="7767874" cy="10709275"/>
                        </a:xfrm>
                      </wpg:grpSpPr>
                      <wps:wsp>
                        <wps:cNvPr id="6" name="Rectangle 6" descr="Decorative"/>
                        <wps:cNvSpPr/>
                        <wps:spPr>
                          <a:xfrm>
                            <a:off x="0" y="0"/>
                            <a:ext cx="371192" cy="10709275"/>
                          </a:xfrm>
                          <a:prstGeom prst="rect">
                            <a:avLst/>
                          </a:prstGeom>
                          <a:solidFill>
                            <a:srgbClr val="00A9D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descr="Decorative"/>
                        <wps:cNvSpPr/>
                        <wps:spPr>
                          <a:xfrm>
                            <a:off x="298765" y="0"/>
                            <a:ext cx="7469109" cy="10709275"/>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0E5B08" id="Group 8" o:spid="_x0000_s1026" alt="Decorative" style="position:absolute;margin-left:-56pt;margin-top:-85pt;width:611.65pt;height:843.25pt;z-index:-251658237" coordsize="77678,10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">
                <v:rect id="Rectangle 6" o:spid="_x0000_s1027" alt="Decorative" style="position:absolute;width:3711;height:10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" fillcolor="#00a9d1" stroked="f" strokeweight="1pt"/>
                <v:rect id="Rectangle 7" o:spid="_x0000_s1028" alt="Decorative" style="position:absolute;left:2987;width:74691;height:1070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1b375c [3204]" stroked="f" strokeweight="1pt"/>
              </v:group>
            </w:pict>
          </mc:Fallback>
        </mc:AlternateContent>
      </w:r>
    </w:p>
    <w:sectPr w:rsidR="006C7F18" w:rsidRPr="003F2D49" w:rsidSect="00BD171D">
      <w:footerReference w:type="default" r:id="rId29"/>
      <w:pgSz w:w="11906" w:h="16838"/>
      <w:pgMar w:top="1701" w:right="1134" w:bottom="1843" w:left="1134" w:header="99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E5B39" w14:textId="77777777" w:rsidR="00D62183" w:rsidRDefault="00D62183" w:rsidP="00F957C6">
      <w:pPr>
        <w:spacing w:after="0" w:line="240" w:lineRule="auto"/>
      </w:pPr>
      <w:r>
        <w:separator/>
      </w:r>
    </w:p>
  </w:endnote>
  <w:endnote w:type="continuationSeparator" w:id="0">
    <w:p w14:paraId="529D67F7" w14:textId="77777777" w:rsidR="00D62183" w:rsidRDefault="00D62183" w:rsidP="00F957C6">
      <w:pPr>
        <w:spacing w:after="0" w:line="240" w:lineRule="auto"/>
      </w:pPr>
      <w:r>
        <w:continuationSeparator/>
      </w:r>
    </w:p>
  </w:endnote>
  <w:endnote w:type="continuationNotice" w:id="1">
    <w:p w14:paraId="4E755D4C" w14:textId="77777777" w:rsidR="00D62183" w:rsidRDefault="00D621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FA5B9" w14:textId="77777777" w:rsidR="00145E8F" w:rsidRDefault="00145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E8698" w14:textId="77777777" w:rsidR="00145E8F" w:rsidRDefault="00145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992A" w14:textId="333D742B" w:rsidR="00D36287" w:rsidRPr="00303C55" w:rsidRDefault="00D36287" w:rsidP="00303C55">
    <w:pPr>
      <w:pStyle w:val="Footer"/>
    </w:pPr>
    <w:r>
      <w:t>Review of the transfer of the 2003 Cabinet records from PM&amp;C to the National Archives of Australia</w:t>
    </w:r>
    <w:r>
      <w:ptab w:relativeTo="margin" w:alignment="center" w:leader="none"/>
    </w:r>
    <w:r>
      <w:rPr>
        <w:noProof/>
        <w:lang w:eastAsia="en-AU"/>
      </w:rPr>
      <mc:AlternateContent>
        <mc:Choice Requires="wps">
          <w:drawing>
            <wp:anchor distT="0" distB="0" distL="114300" distR="114300" simplePos="0" relativeHeight="251658243" behindDoc="1" locked="0" layoutInCell="1" allowOverlap="1" wp14:anchorId="038D0B78" wp14:editId="54FDBD94">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3596F" id="Straight Connector 106" o:spid="_x0000_s1026" style="position:absolute;z-index:-251658237;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66200D97385B48D3940867E0951744F3"/>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58242" behindDoc="0" locked="0" layoutInCell="1" allowOverlap="1" wp14:anchorId="255EBF71" wp14:editId="3EE32260">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06FF2" id="Straight Connector 107"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5E196" w14:textId="25071E1A" w:rsidR="00D36287" w:rsidRPr="00285CAF" w:rsidRDefault="00D36287" w:rsidP="0009191B">
    <w:pPr>
      <w:jc w:val="center"/>
    </w:pPr>
  </w:p>
  <w:p w14:paraId="1531C41A" w14:textId="12AA9BAA" w:rsidR="00D36287" w:rsidRPr="0009191B" w:rsidRDefault="00D36287" w:rsidP="0009191B">
    <w:pPr>
      <w:pStyle w:val="Header"/>
      <w:rPr>
        <w:rFonts w:ascii="Segoe UI" w:hAnsi="Segoe UI" w:cs="Segoe UI"/>
        <w:color w:val="6E6E6E"/>
        <w:sz w:val="18"/>
      </w:rPr>
    </w:pPr>
    <w:r>
      <w:rPr>
        <w:color w:val="6E6E6E"/>
        <w:sz w:val="18"/>
        <w:szCs w:val="18"/>
      </w:rPr>
      <w:t>Review of the transfer of the 2003 Cabinet records from PM&amp;C to the National Archives of Australia</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32612E">
      <w:rPr>
        <w:rFonts w:ascii="Segoe UI" w:hAnsi="Segoe UI" w:cs="Segoe UI"/>
        <w:noProof/>
        <w:color w:val="6E6E6E"/>
        <w:sz w:val="18"/>
      </w:rPr>
      <w:t>iii</w:t>
    </w:r>
    <w:r w:rsidRPr="00852F35">
      <w:rPr>
        <w:rFonts w:ascii="Segoe UI" w:hAnsi="Segoe UI" w:cs="Segoe UI"/>
        <w:noProof/>
        <w:color w:val="6E6E6E"/>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0EF5" w14:textId="77777777" w:rsidR="00145E8F" w:rsidRPr="00285CAF" w:rsidRDefault="00145E8F" w:rsidP="0009191B">
    <w:pPr>
      <w:jc w:val="center"/>
    </w:pPr>
  </w:p>
  <w:p w14:paraId="49F699CE" w14:textId="5011927E" w:rsidR="00145E8F" w:rsidRPr="0009191B" w:rsidRDefault="00145E8F" w:rsidP="0009191B">
    <w:pPr>
      <w:pStyle w:val="Header"/>
      <w:rPr>
        <w:rFonts w:ascii="Segoe UI" w:hAnsi="Segoe UI" w:cs="Segoe UI"/>
        <w:color w:val="6E6E6E"/>
        <w:sz w:val="18"/>
      </w:rPr>
    </w:pPr>
    <w:r>
      <w:rPr>
        <w:color w:val="6E6E6E"/>
        <w:sz w:val="18"/>
        <w:szCs w:val="18"/>
      </w:rPr>
      <w:t>Review of the transfer of the 2003 Cabinet records from PM&amp;C to the National Archives of Australia</w:t>
    </w:r>
    <w:r w:rsidRPr="00852F35">
      <w:rPr>
        <w:color w:val="6E6E6E"/>
      </w:rP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33295" w14:textId="77777777" w:rsidR="00145E8F" w:rsidRPr="00285CAF" w:rsidRDefault="00145E8F" w:rsidP="0009191B">
    <w:pPr>
      <w:jc w:val="center"/>
    </w:pPr>
  </w:p>
  <w:p w14:paraId="0E5E5258" w14:textId="1B0CD122" w:rsidR="00145E8F" w:rsidRPr="0009191B" w:rsidRDefault="00145E8F" w:rsidP="00145E8F">
    <w:pPr>
      <w:pStyle w:val="Header"/>
      <w:rPr>
        <w:rFonts w:ascii="Segoe UI" w:hAnsi="Segoe UI" w:cs="Segoe UI"/>
        <w:color w:val="6E6E6E"/>
        <w:sz w:val="18"/>
      </w:rPr>
    </w:pPr>
    <w:r>
      <w:rPr>
        <w:color w:val="6E6E6E"/>
        <w:sz w:val="18"/>
        <w:szCs w:val="18"/>
      </w:rPr>
      <w:t>Review of the transfer of the 2003 Cabinet records from PM&amp;C to the National Archives of Australia</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32612E">
      <w:rPr>
        <w:rFonts w:ascii="Segoe UI" w:hAnsi="Segoe UI" w:cs="Segoe UI"/>
        <w:noProof/>
        <w:color w:val="6E6E6E"/>
        <w:sz w:val="18"/>
      </w:rPr>
      <w:t>44</w:t>
    </w:r>
    <w:r w:rsidRPr="00852F35">
      <w:rPr>
        <w:rFonts w:ascii="Segoe UI" w:hAnsi="Segoe UI" w:cs="Segoe UI"/>
        <w:noProof/>
        <w:color w:val="6E6E6E"/>
        <w:sz w:val="18"/>
      </w:rPr>
      <w:fldChar w:fldCharType="end"/>
    </w:r>
  </w:p>
  <w:p w14:paraId="3A18434A" w14:textId="77777777" w:rsidR="00145E8F" w:rsidRPr="0009191B" w:rsidRDefault="00145E8F" w:rsidP="0009191B">
    <w:pPr>
      <w:pStyle w:val="Header"/>
      <w:rPr>
        <w:rFonts w:ascii="Segoe UI" w:hAnsi="Segoe UI" w:cs="Segoe UI"/>
        <w:color w:val="6E6E6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6C39" w14:textId="77777777" w:rsidR="00D62183" w:rsidRDefault="00D62183" w:rsidP="00F957C6">
      <w:pPr>
        <w:spacing w:after="0" w:line="240" w:lineRule="auto"/>
      </w:pPr>
      <w:r>
        <w:separator/>
      </w:r>
    </w:p>
  </w:footnote>
  <w:footnote w:type="continuationSeparator" w:id="0">
    <w:p w14:paraId="2162786E" w14:textId="77777777" w:rsidR="00D62183" w:rsidRDefault="00D62183" w:rsidP="00F957C6">
      <w:pPr>
        <w:spacing w:after="0" w:line="240" w:lineRule="auto"/>
      </w:pPr>
      <w:r>
        <w:continuationSeparator/>
      </w:r>
    </w:p>
  </w:footnote>
  <w:footnote w:type="continuationNotice" w:id="1">
    <w:p w14:paraId="3F9BEBAE" w14:textId="77777777" w:rsidR="00D62183" w:rsidRDefault="00D62183">
      <w:pPr>
        <w:spacing w:after="0" w:line="240" w:lineRule="auto"/>
      </w:pPr>
    </w:p>
  </w:footnote>
  <w:footnote w:id="2">
    <w:p w14:paraId="06C3628A" w14:textId="0AF99AED" w:rsidR="00D36287" w:rsidRPr="00204D5E" w:rsidRDefault="00D36287">
      <w:pPr>
        <w:pStyle w:val="FootnoteText"/>
        <w:rPr>
          <w:sz w:val="24"/>
          <w:szCs w:val="24"/>
        </w:rPr>
      </w:pPr>
      <w:r w:rsidRPr="00204D5E">
        <w:rPr>
          <w:rStyle w:val="FootnoteReference"/>
          <w:sz w:val="24"/>
          <w:szCs w:val="24"/>
        </w:rPr>
        <w:footnoteRef/>
      </w:r>
      <w:r>
        <w:rPr>
          <w:sz w:val="24"/>
          <w:szCs w:val="24"/>
        </w:rPr>
        <w:t xml:space="preserve"> </w:t>
      </w:r>
      <w:r w:rsidRPr="00204D5E">
        <w:rPr>
          <w:sz w:val="24"/>
          <w:szCs w:val="24"/>
        </w:rPr>
        <w:t>Department of Prime Minister and Cabinet, ‘Transfer of 2003 Cabinet records to the National Archives of Australia’ (Media release, Department of Prime Minister and Cabinet, 1 January 2024) &lt;https://www.pmc.gov.au/news/transfer-2003-cabinet-records-national-archives-australia&gt;.</w:t>
      </w:r>
    </w:p>
  </w:footnote>
  <w:footnote w:id="3">
    <w:p w14:paraId="167554E7" w14:textId="063E2758"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Parliament of Australia, ‘Cabinet’ </w:t>
      </w:r>
      <w:r w:rsidRPr="00204D5E">
        <w:rPr>
          <w:i/>
          <w:sz w:val="24"/>
          <w:szCs w:val="24"/>
        </w:rPr>
        <w:t xml:space="preserve">Parliament of Australia </w:t>
      </w:r>
      <w:r w:rsidRPr="00204D5E">
        <w:rPr>
          <w:sz w:val="24"/>
          <w:szCs w:val="24"/>
        </w:rPr>
        <w:t>(Web Page) &lt;</w:t>
      </w:r>
      <w:hyperlink r:id="rId1" w:history="1">
        <w:r w:rsidRPr="00204D5E">
          <w:rPr>
            <w:rStyle w:val="Hyperlink"/>
            <w:sz w:val="24"/>
            <w:szCs w:val="24"/>
          </w:rPr>
          <w:t>Cabinet – Parliament of Australia (aph.gov.au)</w:t>
        </w:r>
      </w:hyperlink>
      <w:r w:rsidRPr="00204D5E">
        <w:rPr>
          <w:sz w:val="24"/>
          <w:szCs w:val="24"/>
        </w:rPr>
        <w:t>&gt;.</w:t>
      </w:r>
    </w:p>
  </w:footnote>
  <w:footnote w:id="4">
    <w:p w14:paraId="32B4D849" w14:textId="35E91A52"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Department of the Prime Minister and Cabinet, </w:t>
      </w:r>
      <w:r w:rsidRPr="00204D5E">
        <w:rPr>
          <w:i/>
          <w:sz w:val="24"/>
          <w:szCs w:val="24"/>
        </w:rPr>
        <w:t>Cabinet Handbook,</w:t>
      </w:r>
      <w:r w:rsidRPr="00204D5E">
        <w:rPr>
          <w:sz w:val="24"/>
          <w:szCs w:val="24"/>
        </w:rPr>
        <w:t xml:space="preserve"> (13</w:t>
      </w:r>
      <w:r w:rsidRPr="00204D5E">
        <w:rPr>
          <w:sz w:val="24"/>
          <w:szCs w:val="24"/>
          <w:vertAlign w:val="superscript"/>
        </w:rPr>
        <w:t>th</w:t>
      </w:r>
      <w:r w:rsidRPr="00204D5E">
        <w:rPr>
          <w:sz w:val="24"/>
          <w:szCs w:val="24"/>
        </w:rPr>
        <w:t xml:space="preserve"> ed, 2019) [142]. </w:t>
      </w:r>
    </w:p>
  </w:footnote>
  <w:footnote w:id="5">
    <w:p w14:paraId="46895A57" w14:textId="488C32FB"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Archives Act 1983</w:t>
      </w:r>
      <w:r w:rsidRPr="00204D5E">
        <w:rPr>
          <w:sz w:val="24"/>
          <w:szCs w:val="24"/>
        </w:rPr>
        <w:t xml:space="preserve"> (Cth) s 27. </w:t>
      </w:r>
    </w:p>
  </w:footnote>
  <w:footnote w:id="6">
    <w:p w14:paraId="3A46095D" w14:textId="7AE0EB71"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Archives Act 1983</w:t>
      </w:r>
      <w:r w:rsidRPr="00204D5E">
        <w:rPr>
          <w:sz w:val="24"/>
          <w:szCs w:val="24"/>
        </w:rPr>
        <w:t xml:space="preserve"> (Cth)</w:t>
      </w:r>
      <w:r>
        <w:rPr>
          <w:sz w:val="24"/>
          <w:szCs w:val="24"/>
        </w:rPr>
        <w:t xml:space="preserve">. </w:t>
      </w:r>
    </w:p>
  </w:footnote>
  <w:footnote w:id="7">
    <w:p w14:paraId="144B6726" w14:textId="40B9954A"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 xml:space="preserve">Archives Act 1983 </w:t>
      </w:r>
      <w:r>
        <w:rPr>
          <w:sz w:val="24"/>
          <w:szCs w:val="24"/>
        </w:rPr>
        <w:t xml:space="preserve">(Cth) s 40. </w:t>
      </w:r>
    </w:p>
  </w:footnote>
  <w:footnote w:id="8">
    <w:p w14:paraId="5FE4DB61" w14:textId="7CBD5FB8"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For a list of exemptions, see: </w:t>
      </w:r>
      <w:r w:rsidRPr="00204D5E">
        <w:rPr>
          <w:i/>
          <w:sz w:val="24"/>
          <w:szCs w:val="24"/>
        </w:rPr>
        <w:t>Archives Act 1983</w:t>
      </w:r>
      <w:r w:rsidRPr="00204D5E">
        <w:rPr>
          <w:sz w:val="24"/>
          <w:szCs w:val="24"/>
        </w:rPr>
        <w:t xml:space="preserve"> (Cth</w:t>
      </w:r>
      <w:r>
        <w:rPr>
          <w:sz w:val="24"/>
          <w:szCs w:val="24"/>
        </w:rPr>
        <w:t>) s</w:t>
      </w:r>
      <w:r w:rsidRPr="00204D5E">
        <w:rPr>
          <w:sz w:val="24"/>
          <w:szCs w:val="24"/>
        </w:rPr>
        <w:t xml:space="preserve"> 33. </w:t>
      </w:r>
    </w:p>
  </w:footnote>
  <w:footnote w:id="9">
    <w:p w14:paraId="5BBCFFCA" w14:textId="7BC0F3B4"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Pr>
          <w:sz w:val="24"/>
          <w:szCs w:val="24"/>
        </w:rPr>
        <w:t xml:space="preserve">See: </w:t>
      </w:r>
      <w:r w:rsidRPr="0022375B">
        <w:rPr>
          <w:i/>
          <w:sz w:val="24"/>
          <w:szCs w:val="24"/>
        </w:rPr>
        <w:t>Archives Act 1983</w:t>
      </w:r>
      <w:r>
        <w:rPr>
          <w:sz w:val="24"/>
          <w:szCs w:val="24"/>
        </w:rPr>
        <w:t xml:space="preserve"> (Cth) s 29 which </w:t>
      </w:r>
      <w:r w:rsidRPr="00204D5E">
        <w:rPr>
          <w:sz w:val="24"/>
          <w:szCs w:val="24"/>
        </w:rPr>
        <w:t>allows a responsible Minister, or a Commonwealth institution with the agreement of the Director General of the NAA, to determine that a Commonwealth record, or class of Commonwealth records, is not required to be transferred to the NAA, or can only be accessed by the NAA on specified conditions.</w:t>
      </w:r>
    </w:p>
  </w:footnote>
  <w:footnote w:id="10">
    <w:p w14:paraId="6A5A2B81" w14:textId="02BC5C76"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Katina Curtis, ‘Cabinet papers 2003: Iraq war discussions remain secret amid John Howard-era document release’, </w:t>
      </w:r>
      <w:r w:rsidRPr="00204D5E">
        <w:rPr>
          <w:i/>
          <w:sz w:val="24"/>
          <w:szCs w:val="24"/>
        </w:rPr>
        <w:t xml:space="preserve">The West Australian, </w:t>
      </w:r>
      <w:r w:rsidRPr="00204D5E">
        <w:rPr>
          <w:sz w:val="24"/>
          <w:szCs w:val="24"/>
        </w:rPr>
        <w:t>1 January 2024.</w:t>
      </w:r>
    </w:p>
  </w:footnote>
  <w:footnote w:id="11">
    <w:p w14:paraId="773F224E" w14:textId="58543AD1"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Troy Bramston, ‘Cabinet papers debacle either ‘cover-up or pure farce’, </w:t>
      </w:r>
      <w:r w:rsidRPr="00204D5E">
        <w:rPr>
          <w:i/>
          <w:sz w:val="24"/>
          <w:szCs w:val="24"/>
        </w:rPr>
        <w:t>The Australian</w:t>
      </w:r>
      <w:r w:rsidRPr="00204D5E">
        <w:rPr>
          <w:sz w:val="24"/>
          <w:szCs w:val="24"/>
        </w:rPr>
        <w:t xml:space="preserve">, Sydney, 2 January 2024, 9. </w:t>
      </w:r>
    </w:p>
  </w:footnote>
  <w:footnote w:id="12">
    <w:p w14:paraId="09884F5B" w14:textId="77777777" w:rsidR="00D36287" w:rsidRPr="00204D5E" w:rsidRDefault="00D36287" w:rsidP="006530E0">
      <w:pPr>
        <w:pStyle w:val="FootnoteText"/>
        <w:rPr>
          <w:sz w:val="24"/>
          <w:szCs w:val="24"/>
        </w:rPr>
      </w:pPr>
      <w:r w:rsidRPr="00204D5E">
        <w:rPr>
          <w:rStyle w:val="FootnoteReference"/>
          <w:sz w:val="24"/>
          <w:szCs w:val="24"/>
        </w:rPr>
        <w:footnoteRef/>
      </w:r>
      <w:r w:rsidRPr="00204D5E">
        <w:rPr>
          <w:sz w:val="24"/>
          <w:szCs w:val="24"/>
        </w:rPr>
        <w:t xml:space="preserve"> Editorial, ‘Secret Papers must be made public’, </w:t>
      </w:r>
      <w:r w:rsidRPr="00204D5E">
        <w:rPr>
          <w:i/>
          <w:sz w:val="24"/>
          <w:szCs w:val="24"/>
        </w:rPr>
        <w:t>The Australian</w:t>
      </w:r>
      <w:r w:rsidRPr="00204D5E">
        <w:rPr>
          <w:sz w:val="24"/>
          <w:szCs w:val="24"/>
        </w:rPr>
        <w:t>, Sydney, 2 January 2024, 8.</w:t>
      </w:r>
    </w:p>
  </w:footnote>
  <w:footnote w:id="13">
    <w:p w14:paraId="78984C08" w14:textId="2D2FFF02"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Archives Act 1983</w:t>
      </w:r>
      <w:r w:rsidRPr="00204D5E">
        <w:rPr>
          <w:sz w:val="24"/>
          <w:szCs w:val="24"/>
        </w:rPr>
        <w:t xml:space="preserve"> (Cth) ss 3(2). </w:t>
      </w:r>
    </w:p>
  </w:footnote>
  <w:footnote w:id="14">
    <w:p w14:paraId="0A32EB40" w14:textId="77777777" w:rsidR="00D36287" w:rsidRPr="00204D5E" w:rsidRDefault="00D36287" w:rsidP="006530E0">
      <w:pPr>
        <w:pStyle w:val="FootnoteText"/>
        <w:rPr>
          <w:sz w:val="24"/>
          <w:szCs w:val="24"/>
        </w:rPr>
      </w:pPr>
      <w:r w:rsidRPr="00204D5E">
        <w:rPr>
          <w:rStyle w:val="FootnoteReference"/>
          <w:sz w:val="24"/>
          <w:szCs w:val="24"/>
        </w:rPr>
        <w:footnoteRef/>
      </w:r>
      <w:r w:rsidRPr="00204D5E">
        <w:rPr>
          <w:sz w:val="24"/>
          <w:szCs w:val="24"/>
        </w:rPr>
        <w:t xml:space="preserve"> </w:t>
      </w:r>
      <w:r w:rsidRPr="00204D5E">
        <w:rPr>
          <w:rFonts w:ascii="Segoe UI Semilight" w:hAnsi="Segoe UI Semilight" w:cs="Segoe UI Semilight"/>
          <w:sz w:val="24"/>
          <w:szCs w:val="24"/>
        </w:rPr>
        <w:t>In relation to a Commonwealth record, the responsible Minister is the Minister whose ministerial responsibilities relate most closely to the record.</w:t>
      </w:r>
    </w:p>
  </w:footnote>
  <w:footnote w:id="15">
    <w:p w14:paraId="0FED449F" w14:textId="4DB9B3B3" w:rsidR="00D36287" w:rsidRDefault="00D36287">
      <w:pPr>
        <w:pStyle w:val="FootnoteText"/>
      </w:pPr>
      <w:r>
        <w:rPr>
          <w:rStyle w:val="FootnoteReference"/>
        </w:rPr>
        <w:footnoteRef/>
      </w:r>
      <w:r>
        <w:t xml:space="preserve"> </w:t>
      </w:r>
      <w:r w:rsidRPr="00204D5E">
        <w:rPr>
          <w:i/>
          <w:sz w:val="24"/>
          <w:szCs w:val="24"/>
        </w:rPr>
        <w:t>Archives Act 1983</w:t>
      </w:r>
      <w:r w:rsidRPr="00204D5E">
        <w:rPr>
          <w:sz w:val="24"/>
          <w:szCs w:val="24"/>
        </w:rPr>
        <w:t xml:space="preserve"> (Cth)</w:t>
      </w:r>
      <w:r>
        <w:rPr>
          <w:sz w:val="24"/>
          <w:szCs w:val="24"/>
        </w:rPr>
        <w:t xml:space="preserve"> s 3. </w:t>
      </w:r>
    </w:p>
  </w:footnote>
  <w:footnote w:id="16">
    <w:p w14:paraId="53509070" w14:textId="1C6EF2BB"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A Cabinet notebook is a document that contains notes of discussions or deliberations taking place in a meeting of the Cabinet or of a committee of the Cabinet.</w:t>
      </w:r>
    </w:p>
  </w:footnote>
  <w:footnote w:id="17">
    <w:p w14:paraId="20183335" w14:textId="1615BA20"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Archives Act 1983</w:t>
      </w:r>
      <w:r w:rsidRPr="00204D5E">
        <w:rPr>
          <w:sz w:val="24"/>
          <w:szCs w:val="24"/>
        </w:rPr>
        <w:t xml:space="preserve"> (Cth) s 31(2).</w:t>
      </w:r>
    </w:p>
  </w:footnote>
  <w:footnote w:id="18">
    <w:p w14:paraId="6910D135" w14:textId="3EA2A7D1"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For a complete list of exemptions, see: </w:t>
      </w:r>
      <w:r w:rsidRPr="00204D5E">
        <w:rPr>
          <w:i/>
          <w:sz w:val="24"/>
          <w:szCs w:val="24"/>
        </w:rPr>
        <w:t>Archives Act 1983</w:t>
      </w:r>
      <w:r w:rsidRPr="00204D5E">
        <w:rPr>
          <w:sz w:val="24"/>
          <w:szCs w:val="24"/>
        </w:rPr>
        <w:t xml:space="preserve"> (Cth) section 33. </w:t>
      </w:r>
    </w:p>
  </w:footnote>
  <w:footnote w:id="19">
    <w:p w14:paraId="7BD78B35" w14:textId="1AD3B8A5"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See eg; Department of the Prime Ministe</w:t>
      </w:r>
      <w:r>
        <w:rPr>
          <w:sz w:val="24"/>
          <w:szCs w:val="24"/>
        </w:rPr>
        <w:t xml:space="preserve">r and Cabinet, </w:t>
      </w:r>
      <w:r w:rsidRPr="0022375B">
        <w:rPr>
          <w:i/>
          <w:sz w:val="24"/>
          <w:szCs w:val="24"/>
        </w:rPr>
        <w:t>Cabinet Handbook</w:t>
      </w:r>
      <w:r w:rsidRPr="00204D5E">
        <w:rPr>
          <w:sz w:val="24"/>
          <w:szCs w:val="24"/>
        </w:rPr>
        <w:t xml:space="preserve"> (13</w:t>
      </w:r>
      <w:r w:rsidRPr="00204D5E">
        <w:rPr>
          <w:sz w:val="24"/>
          <w:szCs w:val="24"/>
          <w:vertAlign w:val="superscript"/>
        </w:rPr>
        <w:t>th</w:t>
      </w:r>
      <w:r w:rsidRPr="00204D5E">
        <w:rPr>
          <w:sz w:val="24"/>
          <w:szCs w:val="24"/>
        </w:rPr>
        <w:t xml:space="preserve"> ed, 2019) [2]; Department of the Prime Ministe</w:t>
      </w:r>
      <w:r>
        <w:rPr>
          <w:sz w:val="24"/>
          <w:szCs w:val="24"/>
        </w:rPr>
        <w:t xml:space="preserve">r and Cabinet, </w:t>
      </w:r>
      <w:r w:rsidRPr="0022375B">
        <w:rPr>
          <w:i/>
          <w:sz w:val="24"/>
          <w:szCs w:val="24"/>
        </w:rPr>
        <w:t>Cabinet Handbook</w:t>
      </w:r>
      <w:r w:rsidRPr="00204D5E">
        <w:rPr>
          <w:sz w:val="24"/>
          <w:szCs w:val="24"/>
        </w:rPr>
        <w:t xml:space="preserve"> (15</w:t>
      </w:r>
      <w:r w:rsidRPr="00204D5E">
        <w:rPr>
          <w:sz w:val="24"/>
          <w:szCs w:val="24"/>
          <w:vertAlign w:val="superscript"/>
        </w:rPr>
        <w:t>th</w:t>
      </w:r>
      <w:r w:rsidRPr="00204D5E">
        <w:rPr>
          <w:sz w:val="24"/>
          <w:szCs w:val="24"/>
        </w:rPr>
        <w:t xml:space="preserve"> ed, 2022) [3]. </w:t>
      </w:r>
    </w:p>
  </w:footnote>
  <w:footnote w:id="20">
    <w:p w14:paraId="4EDD6E64" w14:textId="0A50DAF7"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Department of the Prime Ministe</w:t>
      </w:r>
      <w:r>
        <w:rPr>
          <w:sz w:val="24"/>
          <w:szCs w:val="24"/>
        </w:rPr>
        <w:t xml:space="preserve">r and Cabinet, </w:t>
      </w:r>
      <w:r w:rsidRPr="0022375B">
        <w:rPr>
          <w:i/>
          <w:sz w:val="24"/>
          <w:szCs w:val="24"/>
        </w:rPr>
        <w:t>Cabinet Handbook</w:t>
      </w:r>
      <w:r w:rsidRPr="00204D5E">
        <w:rPr>
          <w:sz w:val="24"/>
          <w:szCs w:val="24"/>
        </w:rPr>
        <w:t xml:space="preserve"> (15</w:t>
      </w:r>
      <w:r w:rsidRPr="00204D5E">
        <w:rPr>
          <w:sz w:val="24"/>
          <w:szCs w:val="24"/>
          <w:vertAlign w:val="superscript"/>
        </w:rPr>
        <w:t>th</w:t>
      </w:r>
      <w:r w:rsidRPr="00204D5E">
        <w:rPr>
          <w:sz w:val="24"/>
          <w:szCs w:val="24"/>
        </w:rPr>
        <w:t xml:space="preserve"> ed, 2022) [110]. </w:t>
      </w:r>
    </w:p>
  </w:footnote>
  <w:footnote w:id="21">
    <w:p w14:paraId="606D42F1" w14:textId="4BBA4656"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The 5</w:t>
      </w:r>
      <w:r w:rsidRPr="00204D5E">
        <w:rPr>
          <w:sz w:val="24"/>
          <w:szCs w:val="24"/>
          <w:vertAlign w:val="superscript"/>
        </w:rPr>
        <w:t>th</w:t>
      </w:r>
      <w:r w:rsidRPr="00204D5E">
        <w:rPr>
          <w:sz w:val="24"/>
          <w:szCs w:val="24"/>
        </w:rPr>
        <w:t xml:space="preserve"> Edition of the Cabinet Handbook was in force from 2000. The 13</w:t>
      </w:r>
      <w:r w:rsidRPr="00204D5E">
        <w:rPr>
          <w:sz w:val="24"/>
          <w:szCs w:val="24"/>
          <w:vertAlign w:val="superscript"/>
        </w:rPr>
        <w:t>th</w:t>
      </w:r>
      <w:r w:rsidRPr="00204D5E">
        <w:rPr>
          <w:sz w:val="24"/>
          <w:szCs w:val="24"/>
        </w:rPr>
        <w:t xml:space="preserve"> Edition of the Cabinet Handbook was in force from 2020. Both noted the decision-making role of </w:t>
      </w:r>
      <w:r>
        <w:rPr>
          <w:sz w:val="24"/>
          <w:szCs w:val="24"/>
        </w:rPr>
        <w:t xml:space="preserve">the </w:t>
      </w:r>
      <w:r w:rsidRPr="00204D5E">
        <w:rPr>
          <w:sz w:val="24"/>
          <w:szCs w:val="24"/>
        </w:rPr>
        <w:t>NSC.</w:t>
      </w:r>
    </w:p>
  </w:footnote>
  <w:footnote w:id="22">
    <w:p w14:paraId="35137A53" w14:textId="73929A61" w:rsidR="00D36287" w:rsidRPr="00204D5E" w:rsidRDefault="00D36287" w:rsidP="004659AA">
      <w:pPr>
        <w:pStyle w:val="FootnoteText"/>
        <w:rPr>
          <w:sz w:val="24"/>
          <w:szCs w:val="24"/>
        </w:rPr>
      </w:pPr>
      <w:r w:rsidRPr="00204D5E">
        <w:rPr>
          <w:rStyle w:val="FootnoteReference"/>
          <w:sz w:val="24"/>
          <w:szCs w:val="24"/>
        </w:rPr>
        <w:footnoteRef/>
      </w:r>
      <w:r w:rsidRPr="00204D5E">
        <w:rPr>
          <w:sz w:val="24"/>
          <w:szCs w:val="24"/>
        </w:rPr>
        <w:t xml:space="preserve"> Consistent with advice set out in </w:t>
      </w:r>
      <w:r w:rsidRPr="00043EF0">
        <w:rPr>
          <w:i/>
          <w:sz w:val="24"/>
          <w:szCs w:val="24"/>
        </w:rPr>
        <w:t>Records Disposal Schedule No. S.492 1988</w:t>
      </w:r>
      <w:r>
        <w:rPr>
          <w:sz w:val="24"/>
          <w:szCs w:val="24"/>
        </w:rPr>
        <w:t>.</w:t>
      </w:r>
    </w:p>
  </w:footnote>
  <w:footnote w:id="23">
    <w:p w14:paraId="0FDE1DAF" w14:textId="04609D28"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Department of Health and Aged Care, ‘First Confirmed Case of Novel Coronavirus in Australia’ (Media release, 25 January 2020) </w:t>
      </w:r>
      <w:r w:rsidRPr="00204D5E">
        <w:rPr>
          <w:rStyle w:val="Hyperlink"/>
          <w:sz w:val="24"/>
          <w:szCs w:val="24"/>
        </w:rPr>
        <w:t>&lt;https://www.health.gov.au/ministers/the-hon-greg-hunt-mp/media/first-confirmed-case-of-novel-coronavirus-in-australia&gt;.</w:t>
      </w:r>
    </w:p>
  </w:footnote>
  <w:footnote w:id="24">
    <w:p w14:paraId="574E331E" w14:textId="77777777" w:rsidR="00D36287" w:rsidRPr="00204D5E" w:rsidRDefault="00D36287" w:rsidP="002474EC">
      <w:pPr>
        <w:pStyle w:val="FootnoteText"/>
        <w:rPr>
          <w:sz w:val="24"/>
          <w:szCs w:val="24"/>
        </w:rPr>
      </w:pPr>
      <w:r w:rsidRPr="00204D5E">
        <w:rPr>
          <w:rStyle w:val="FootnoteReference"/>
          <w:sz w:val="24"/>
          <w:szCs w:val="24"/>
        </w:rPr>
        <w:footnoteRef/>
      </w:r>
      <w:r w:rsidRPr="00204D5E">
        <w:rPr>
          <w:sz w:val="24"/>
          <w:szCs w:val="24"/>
        </w:rPr>
        <w:t xml:space="preserve"> </w:t>
      </w:r>
      <w:r w:rsidRPr="00204D5E">
        <w:rPr>
          <w:i/>
          <w:sz w:val="24"/>
          <w:szCs w:val="24"/>
        </w:rPr>
        <w:t xml:space="preserve">Biosecurity Act 2015 </w:t>
      </w:r>
      <w:r w:rsidRPr="00204D5E">
        <w:rPr>
          <w:sz w:val="24"/>
          <w:szCs w:val="24"/>
        </w:rPr>
        <w:t xml:space="preserve">(Cth) s 475; Karen Elphick, ‘Australian COVID-19 Response Management Arrangements: A Quick Guide’, </w:t>
      </w:r>
      <w:r w:rsidRPr="00204D5E">
        <w:rPr>
          <w:i/>
          <w:sz w:val="24"/>
          <w:szCs w:val="24"/>
        </w:rPr>
        <w:t xml:space="preserve">Parliament of Australia </w:t>
      </w:r>
      <w:r w:rsidRPr="00204D5E">
        <w:rPr>
          <w:sz w:val="24"/>
          <w:szCs w:val="24"/>
        </w:rPr>
        <w:t>(Web Page, 28 April 2020) &lt;https://www.aph.gov.au/About_Parliament/Parliamentary_Departments/Parliamentary_Library/pubs/rp/rp1920/Quick_Guides/AustralianCovid-19ResponseManagement&gt;.</w:t>
      </w:r>
      <w:r w:rsidRPr="00204D5E">
        <w:rPr>
          <w:i/>
          <w:sz w:val="24"/>
          <w:szCs w:val="24"/>
        </w:rPr>
        <w:t xml:space="preserve"> </w:t>
      </w:r>
    </w:p>
  </w:footnote>
  <w:footnote w:id="25">
    <w:p w14:paraId="1A624073" w14:textId="77DB5A2E" w:rsidR="00D36287" w:rsidRPr="00204D5E" w:rsidRDefault="00D36287">
      <w:pPr>
        <w:pStyle w:val="FootnoteText"/>
        <w:rPr>
          <w:i/>
          <w:sz w:val="24"/>
          <w:szCs w:val="24"/>
        </w:rPr>
      </w:pPr>
      <w:r w:rsidRPr="00204D5E">
        <w:rPr>
          <w:rStyle w:val="FootnoteReference"/>
          <w:sz w:val="24"/>
          <w:szCs w:val="24"/>
        </w:rPr>
        <w:footnoteRef/>
      </w:r>
      <w:r w:rsidRPr="00204D5E">
        <w:rPr>
          <w:sz w:val="24"/>
          <w:szCs w:val="24"/>
        </w:rPr>
        <w:t xml:space="preserve"> Kelsey Campbell and Emma Vines, ‘COVID-19: a chronology of Australian Government Announcements (up until 30 June 2020)’, </w:t>
      </w:r>
      <w:r w:rsidRPr="00204D5E">
        <w:rPr>
          <w:i/>
          <w:sz w:val="24"/>
          <w:szCs w:val="24"/>
        </w:rPr>
        <w:t xml:space="preserve">Parliament of Australia </w:t>
      </w:r>
      <w:r w:rsidRPr="00204D5E">
        <w:rPr>
          <w:sz w:val="24"/>
          <w:szCs w:val="24"/>
        </w:rPr>
        <w:t>(Web Page, 23 June 2021) &lt; www.aph.gov.au/About_Parliament/Parliamentary_Departments/Parliamentary_Library/pubs/rp/rp2021/Chronologies/COVID-19AustralianGovernmentAnnouncements&gt;.</w:t>
      </w:r>
    </w:p>
  </w:footnote>
  <w:footnote w:id="26">
    <w:p w14:paraId="4FC2FAD5" w14:textId="5E26F0C8" w:rsidR="00D36287" w:rsidRPr="00204D5E" w:rsidRDefault="00D36287" w:rsidP="007F638E">
      <w:pPr>
        <w:pStyle w:val="FootnoteText"/>
        <w:rPr>
          <w:sz w:val="24"/>
          <w:szCs w:val="24"/>
        </w:rPr>
      </w:pPr>
      <w:r w:rsidRPr="00204D5E">
        <w:rPr>
          <w:rStyle w:val="FootnoteReference"/>
          <w:sz w:val="24"/>
          <w:szCs w:val="24"/>
        </w:rPr>
        <w:footnoteRef/>
      </w:r>
      <w:r w:rsidRPr="00204D5E">
        <w:rPr>
          <w:sz w:val="24"/>
          <w:szCs w:val="24"/>
        </w:rPr>
        <w:t xml:space="preserve"> The Department of Prime Minister &amp; Cabinet, ‘National Cabinet Statement’, (Media release, Transcript ID 44093, </w:t>
      </w:r>
      <w:r w:rsidRPr="00204D5E">
        <w:rPr>
          <w:i/>
          <w:sz w:val="24"/>
          <w:szCs w:val="24"/>
        </w:rPr>
        <w:t xml:space="preserve"> </w:t>
      </w:r>
      <w:r w:rsidRPr="00204D5E">
        <w:rPr>
          <w:sz w:val="24"/>
          <w:szCs w:val="24"/>
        </w:rPr>
        <w:t>6 August 2021) &lt;https://pmtranscripts.pmc.gov.au/release/transcript-44093&gt;.</w:t>
      </w:r>
    </w:p>
  </w:footnote>
  <w:footnote w:id="27">
    <w:p w14:paraId="70F1BFFE" w14:textId="16F010BC" w:rsidR="00D36287" w:rsidRPr="00204D5E" w:rsidRDefault="00D36287">
      <w:pPr>
        <w:pStyle w:val="FootnoteText"/>
        <w:rPr>
          <w:sz w:val="24"/>
          <w:szCs w:val="24"/>
        </w:rPr>
      </w:pPr>
      <w:r w:rsidRPr="00204D5E">
        <w:rPr>
          <w:rStyle w:val="FootnoteReference"/>
          <w:sz w:val="24"/>
          <w:szCs w:val="24"/>
        </w:rPr>
        <w:footnoteRef/>
      </w:r>
      <w:r w:rsidRPr="00204D5E">
        <w:rPr>
          <w:sz w:val="24"/>
          <w:szCs w:val="24"/>
        </w:rPr>
        <w:t xml:space="preserve"> Cabinet records can hold a single, or multiple Cabinet minutes.</w:t>
      </w:r>
    </w:p>
  </w:footnote>
  <w:footnote w:id="28">
    <w:p w14:paraId="69F18E26" w14:textId="5F06A85A" w:rsidR="00D36287" w:rsidRPr="00204D5E" w:rsidRDefault="00D36287" w:rsidP="00C678AB">
      <w:pPr>
        <w:pStyle w:val="FootnoteText"/>
        <w:rPr>
          <w:sz w:val="24"/>
          <w:szCs w:val="24"/>
        </w:rPr>
      </w:pPr>
      <w:r w:rsidRPr="00204D5E">
        <w:rPr>
          <w:rStyle w:val="FootnoteReference"/>
          <w:sz w:val="24"/>
          <w:szCs w:val="24"/>
        </w:rPr>
        <w:footnoteRef/>
      </w:r>
      <w:r w:rsidRPr="00204D5E">
        <w:rPr>
          <w:sz w:val="24"/>
          <w:szCs w:val="24"/>
        </w:rPr>
        <w:t xml:space="preserve"> See also other exemptions: </w:t>
      </w:r>
      <w:r w:rsidRPr="00204D5E">
        <w:rPr>
          <w:i/>
          <w:sz w:val="24"/>
          <w:szCs w:val="24"/>
        </w:rPr>
        <w:t>Archives Act 1983</w:t>
      </w:r>
      <w:r w:rsidRPr="00204D5E">
        <w:rPr>
          <w:sz w:val="24"/>
          <w:szCs w:val="24"/>
        </w:rPr>
        <w:t xml:space="preserve"> (Cth) ss 29(1)(b). </w:t>
      </w:r>
    </w:p>
  </w:footnote>
  <w:footnote w:id="29">
    <w:p w14:paraId="339712BC" w14:textId="7E4B5B35" w:rsidR="00D36287" w:rsidRDefault="00D36287">
      <w:pPr>
        <w:pStyle w:val="FootnoteText"/>
      </w:pPr>
      <w:r>
        <w:rPr>
          <w:rStyle w:val="FootnoteReference"/>
        </w:rPr>
        <w:footnoteRef/>
      </w:r>
      <w:r>
        <w:t xml:space="preserve"> </w:t>
      </w:r>
      <w:r w:rsidRPr="00204D5E">
        <w:rPr>
          <w:i/>
          <w:sz w:val="24"/>
          <w:szCs w:val="24"/>
        </w:rPr>
        <w:t>Archives Act 1983</w:t>
      </w:r>
      <w:r>
        <w:rPr>
          <w:sz w:val="24"/>
          <w:szCs w:val="24"/>
        </w:rPr>
        <w:t xml:space="preserve"> (Cth) s</w:t>
      </w:r>
      <w:r w:rsidRPr="00204D5E">
        <w:rPr>
          <w:sz w:val="24"/>
          <w:szCs w:val="24"/>
        </w:rPr>
        <w:t xml:space="preserve">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DD9BF" w14:textId="77777777" w:rsidR="00145E8F" w:rsidRDefault="00145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94B8" w14:textId="77777777" w:rsidR="00145E8F" w:rsidRDefault="00145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275EC" w14:textId="77777777" w:rsidR="00D36287" w:rsidRDefault="00D36287" w:rsidP="00303C55">
    <w:pPr>
      <w:pStyle w:val="Header"/>
      <w:jc w:val="center"/>
    </w:pPr>
    <w:r>
      <w:rPr>
        <w:noProof/>
        <w:lang w:eastAsia="en-AU"/>
      </w:rPr>
      <mc:AlternateContent>
        <mc:Choice Requires="wps">
          <w:drawing>
            <wp:anchor distT="0" distB="0" distL="114300" distR="114300" simplePos="0" relativeHeight="251658241" behindDoc="1" locked="0" layoutInCell="1" allowOverlap="1" wp14:anchorId="6A031290" wp14:editId="12EC051E">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565AC" id="Straight Connector 102"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F1A08E86D64E4B4BA71A00CFE791885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8F9D" w14:textId="2443C8A7" w:rsidR="00D36287" w:rsidRPr="00D10635" w:rsidRDefault="00D36287" w:rsidP="0009191B">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9B8C" w14:textId="77777777" w:rsidR="00D36287" w:rsidRDefault="00D36287" w:rsidP="00303C55">
    <w:pPr>
      <w:pStyle w:val="Header"/>
      <w:jc w:val="center"/>
    </w:pPr>
    <w:r>
      <w:rPr>
        <w:noProof/>
        <w:lang w:eastAsia="en-AU"/>
      </w:rPr>
      <mc:AlternateContent>
        <mc:Choice Requires="wps">
          <w:drawing>
            <wp:anchor distT="0" distB="0" distL="114300" distR="114300" simplePos="0" relativeHeight="251658240" behindDoc="1" locked="0" layoutInCell="1" allowOverlap="1" wp14:anchorId="2AAA8BED" wp14:editId="6BC6CEC6">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E2FD0" id="Straight Connector 10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8795178BC67C46D3B1498100CDE5410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2CC40BD"/>
    <w:multiLevelType w:val="hybridMultilevel"/>
    <w:tmpl w:val="071E51A8"/>
    <w:lvl w:ilvl="0" w:tplc="2E7EE056">
      <w:start w:val="1"/>
      <w:numFmt w:val="lowerLetter"/>
      <w:lvlText w:val="%1."/>
      <w:lvlJc w:val="left"/>
      <w:pPr>
        <w:ind w:left="1440" w:hanging="360"/>
      </w:pPr>
      <w:rPr>
        <w:rFonts w:asciiTheme="minorHAnsi" w:hAnsiTheme="minorHAnsi" w:cstheme="minorHAnsi" w:hint="default"/>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21207E47"/>
    <w:multiLevelType w:val="hybridMultilevel"/>
    <w:tmpl w:val="E4D204A0"/>
    <w:lvl w:ilvl="0" w:tplc="20E434D2">
      <w:numFmt w:val="bullet"/>
      <w:lvlText w:val="-"/>
      <w:lvlJc w:val="left"/>
      <w:pPr>
        <w:ind w:left="587" w:hanging="360"/>
      </w:pPr>
      <w:rPr>
        <w:rFonts w:ascii="Segoe UI Semilight" w:eastAsiaTheme="minorEastAsia" w:hAnsi="Segoe UI Semilight" w:cs="Segoe UI Semilight"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8" w15:restartNumberingAfterBreak="0">
    <w:nsid w:val="27854A54"/>
    <w:multiLevelType w:val="hybridMultilevel"/>
    <w:tmpl w:val="253E2E62"/>
    <w:lvl w:ilvl="0" w:tplc="B2AA9F56">
      <w:start w:val="1"/>
      <w:numFmt w:val="bullet"/>
      <w:pStyle w:val="BulletedList-Level1"/>
      <w:lvlText w:val=""/>
      <w:lvlJc w:val="left"/>
      <w:pPr>
        <w:ind w:left="491" w:hanging="283"/>
      </w:pPr>
      <w:rPr>
        <w:rFonts w:ascii="Symbol" w:hAnsi="Symbol" w:hint="default"/>
      </w:rPr>
    </w:lvl>
    <w:lvl w:ilvl="1" w:tplc="4BB4D094">
      <w:start w:val="1"/>
      <w:numFmt w:val="bullet"/>
      <w:lvlText w:val="o"/>
      <w:lvlJc w:val="left"/>
      <w:pPr>
        <w:ind w:left="775"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1058" w:hanging="283"/>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B0B1324"/>
    <w:multiLevelType w:val="hybridMultilevel"/>
    <w:tmpl w:val="284A193C"/>
    <w:lvl w:ilvl="0" w:tplc="AB7C697A">
      <w:start w:val="1"/>
      <w:numFmt w:val="lowerLetter"/>
      <w:lvlText w:val="%1."/>
      <w:lvlJc w:val="left"/>
      <w:pPr>
        <w:ind w:left="1440" w:hanging="360"/>
      </w:pPr>
      <w:rPr>
        <w:rFonts w:asciiTheme="minorHAnsi" w:hAnsiTheme="minorHAnsi" w:cstheme="minorHAnsi" w:hint="default"/>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DD2125"/>
    <w:multiLevelType w:val="hybridMultilevel"/>
    <w:tmpl w:val="4364B068"/>
    <w:lvl w:ilvl="0" w:tplc="0EA42D34">
      <w:start w:val="1"/>
      <w:numFmt w:val="decimal"/>
      <w:lvlText w:val="%1."/>
      <w:lvlJc w:val="left"/>
      <w:pPr>
        <w:ind w:left="720" w:hanging="360"/>
      </w:pPr>
      <w:rPr>
        <w:rFonts w:asciiTheme="minorHAnsi" w:hAnsiTheme="minorHAnsi" w:cstheme="minorHAnsi" w:hint="default"/>
        <w:b w:val="0"/>
        <w:color w:val="auto"/>
        <w:sz w:val="28"/>
        <w:szCs w:val="22"/>
      </w:rPr>
    </w:lvl>
    <w:lvl w:ilvl="1" w:tplc="9CE453C2">
      <w:start w:val="1"/>
      <w:numFmt w:val="lowerLetter"/>
      <w:lvlText w:val="%2."/>
      <w:lvlJc w:val="left"/>
      <w:pPr>
        <w:ind w:left="1440" w:hanging="360"/>
      </w:pPr>
      <w:rPr>
        <w:rFonts w:asciiTheme="minorHAnsi" w:hAnsiTheme="minorHAnsi" w:cstheme="minorHAnsi" w:hint="default"/>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4A432A20"/>
    <w:multiLevelType w:val="hybridMultilevel"/>
    <w:tmpl w:val="4364B068"/>
    <w:lvl w:ilvl="0" w:tplc="0EA42D34">
      <w:start w:val="1"/>
      <w:numFmt w:val="decimal"/>
      <w:lvlText w:val="%1."/>
      <w:lvlJc w:val="left"/>
      <w:pPr>
        <w:ind w:left="720" w:hanging="360"/>
      </w:pPr>
      <w:rPr>
        <w:rFonts w:asciiTheme="minorHAnsi" w:hAnsiTheme="minorHAnsi" w:cstheme="minorHAnsi" w:hint="default"/>
        <w:b w:val="0"/>
        <w:color w:val="auto"/>
        <w:sz w:val="28"/>
        <w:szCs w:val="22"/>
      </w:rPr>
    </w:lvl>
    <w:lvl w:ilvl="1" w:tplc="9CE453C2">
      <w:start w:val="1"/>
      <w:numFmt w:val="lowerLetter"/>
      <w:lvlText w:val="%2."/>
      <w:lvlJc w:val="left"/>
      <w:pPr>
        <w:ind w:left="1440" w:hanging="360"/>
      </w:pPr>
      <w:rPr>
        <w:rFonts w:asciiTheme="minorHAnsi" w:hAnsiTheme="minorHAnsi" w:cstheme="minorHAnsi" w:hint="default"/>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0D43EB"/>
    <w:multiLevelType w:val="hybridMultilevel"/>
    <w:tmpl w:val="D3E8F494"/>
    <w:lvl w:ilvl="0" w:tplc="E166B0C6">
      <w:start w:val="1"/>
      <w:numFmt w:val="decimal"/>
      <w:lvlText w:val="%1."/>
      <w:lvlJc w:val="left"/>
      <w:pPr>
        <w:ind w:left="720" w:hanging="360"/>
      </w:pPr>
      <w:rPr>
        <w:rFonts w:asciiTheme="minorHAnsi" w:hAnsiTheme="minorHAnsi" w:cstheme="minorHAnsi" w:hint="default"/>
        <w:b w:val="0"/>
        <w:color w:val="auto"/>
        <w:sz w:val="22"/>
        <w:szCs w:val="22"/>
      </w:rPr>
    </w:lvl>
    <w:lvl w:ilvl="1" w:tplc="9CE453C2">
      <w:start w:val="1"/>
      <w:numFmt w:val="lowerLetter"/>
      <w:lvlText w:val="%2."/>
      <w:lvlJc w:val="left"/>
      <w:pPr>
        <w:ind w:left="1440" w:hanging="360"/>
      </w:pPr>
      <w:rPr>
        <w:rFonts w:asciiTheme="minorHAnsi" w:hAnsiTheme="minorHAnsi" w:cstheme="minorHAnsi" w:hint="default"/>
        <w:color w:val="auto"/>
        <w:sz w:val="22"/>
        <w:szCs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32143A"/>
    <w:multiLevelType w:val="hybridMultilevel"/>
    <w:tmpl w:val="78FC00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9C876F2"/>
    <w:multiLevelType w:val="hybridMultilevel"/>
    <w:tmpl w:val="DD2A31B4"/>
    <w:lvl w:ilvl="0" w:tplc="AB7C697A">
      <w:start w:val="1"/>
      <w:numFmt w:val="lowerLetter"/>
      <w:lvlText w:val="%1."/>
      <w:lvlJc w:val="left"/>
      <w:pPr>
        <w:ind w:left="1440" w:hanging="360"/>
      </w:pPr>
      <w:rPr>
        <w:rFonts w:asciiTheme="minorHAnsi" w:hAnsiTheme="minorHAnsi" w:cstheme="minorHAnsi" w:hint="default"/>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9E10AE"/>
    <w:multiLevelType w:val="hybridMultilevel"/>
    <w:tmpl w:val="284A193C"/>
    <w:lvl w:ilvl="0" w:tplc="AB7C697A">
      <w:start w:val="1"/>
      <w:numFmt w:val="lowerLetter"/>
      <w:lvlText w:val="%1."/>
      <w:lvlJc w:val="left"/>
      <w:pPr>
        <w:ind w:left="1440" w:hanging="360"/>
      </w:pPr>
      <w:rPr>
        <w:rFonts w:asciiTheme="minorHAnsi" w:hAnsiTheme="minorHAnsi" w:cstheme="minorHAnsi" w:hint="default"/>
        <w:color w:val="auto"/>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4948A9"/>
    <w:multiLevelType w:val="hybridMultilevel"/>
    <w:tmpl w:val="08F2A5DE"/>
    <w:lvl w:ilvl="0" w:tplc="E166B0C6">
      <w:start w:val="1"/>
      <w:numFmt w:val="decimal"/>
      <w:lvlText w:val="%1."/>
      <w:lvlJc w:val="left"/>
      <w:pPr>
        <w:ind w:left="720" w:hanging="360"/>
      </w:pPr>
      <w:rPr>
        <w:rFonts w:asciiTheme="minorHAnsi" w:hAnsiTheme="minorHAnsi" w:cstheme="minorHAnsi" w:hint="default"/>
        <w:b w:val="0"/>
        <w:color w:val="auto"/>
        <w:sz w:val="22"/>
        <w:szCs w:val="22"/>
      </w:rPr>
    </w:lvl>
    <w:lvl w:ilvl="1" w:tplc="AB7C697A">
      <w:start w:val="1"/>
      <w:numFmt w:val="lowerLetter"/>
      <w:lvlText w:val="%2."/>
      <w:lvlJc w:val="left"/>
      <w:pPr>
        <w:ind w:left="1440" w:hanging="360"/>
      </w:pPr>
      <w:rPr>
        <w:rFonts w:asciiTheme="minorHAnsi" w:hAnsiTheme="minorHAnsi" w:cstheme="minorHAnsi" w:hint="default"/>
        <w:color w:val="auto"/>
        <w:sz w:val="28"/>
        <w:szCs w:val="28"/>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6"/>
  </w:num>
  <w:num w:numId="4">
    <w:abstractNumId w:val="8"/>
    <w:lvlOverride w:ilvl="0">
      <w:startOverride w:val="1"/>
    </w:lvlOverride>
  </w:num>
  <w:num w:numId="5">
    <w:abstractNumId w:val="17"/>
  </w:num>
  <w:num w:numId="6">
    <w:abstractNumId w:val="5"/>
  </w:num>
  <w:num w:numId="7">
    <w:abstractNumId w:val="11"/>
  </w:num>
  <w:num w:numId="8">
    <w:abstractNumId w:val="4"/>
  </w:num>
  <w:num w:numId="9">
    <w:abstractNumId w:val="6"/>
  </w:num>
  <w:num w:numId="10">
    <w:abstractNumId w:val="2"/>
  </w:num>
  <w:num w:numId="11">
    <w:abstractNumId w:val="10"/>
  </w:num>
  <w:num w:numId="12">
    <w:abstractNumId w:val="14"/>
  </w:num>
  <w:num w:numId="13">
    <w:abstractNumId w:val="19"/>
  </w:num>
  <w:num w:numId="14">
    <w:abstractNumId w:val="13"/>
  </w:num>
  <w:num w:numId="15">
    <w:abstractNumId w:val="3"/>
  </w:num>
  <w:num w:numId="16">
    <w:abstractNumId w:val="12"/>
  </w:num>
  <w:num w:numId="17">
    <w:abstractNumId w:val="18"/>
  </w:num>
  <w:num w:numId="18">
    <w:abstractNumId w:val="9"/>
  </w:num>
  <w:num w:numId="19">
    <w:abstractNumId w:val="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B8"/>
    <w:rsid w:val="00002765"/>
    <w:rsid w:val="00003AF8"/>
    <w:rsid w:val="000041DD"/>
    <w:rsid w:val="000052F6"/>
    <w:rsid w:val="000059C4"/>
    <w:rsid w:val="0001005D"/>
    <w:rsid w:val="000102EE"/>
    <w:rsid w:val="00010663"/>
    <w:rsid w:val="00010D0B"/>
    <w:rsid w:val="00013E2C"/>
    <w:rsid w:val="0001476B"/>
    <w:rsid w:val="00016009"/>
    <w:rsid w:val="00017501"/>
    <w:rsid w:val="00022A03"/>
    <w:rsid w:val="00022D70"/>
    <w:rsid w:val="00027038"/>
    <w:rsid w:val="0003050F"/>
    <w:rsid w:val="0003154E"/>
    <w:rsid w:val="00031D85"/>
    <w:rsid w:val="00034071"/>
    <w:rsid w:val="00034F63"/>
    <w:rsid w:val="00035638"/>
    <w:rsid w:val="00035D00"/>
    <w:rsid w:val="00037513"/>
    <w:rsid w:val="00037B09"/>
    <w:rsid w:val="00040D09"/>
    <w:rsid w:val="00041ECB"/>
    <w:rsid w:val="000421F7"/>
    <w:rsid w:val="00042AC2"/>
    <w:rsid w:val="000439C9"/>
    <w:rsid w:val="00043EF0"/>
    <w:rsid w:val="00050CA2"/>
    <w:rsid w:val="00052119"/>
    <w:rsid w:val="00053C46"/>
    <w:rsid w:val="00055AB3"/>
    <w:rsid w:val="00060054"/>
    <w:rsid w:val="0006627F"/>
    <w:rsid w:val="00066E81"/>
    <w:rsid w:val="00070EA1"/>
    <w:rsid w:val="0007240B"/>
    <w:rsid w:val="00073642"/>
    <w:rsid w:val="00076F05"/>
    <w:rsid w:val="000770B8"/>
    <w:rsid w:val="00080573"/>
    <w:rsid w:val="000806F0"/>
    <w:rsid w:val="00080C7D"/>
    <w:rsid w:val="00082022"/>
    <w:rsid w:val="00083D89"/>
    <w:rsid w:val="000840BB"/>
    <w:rsid w:val="00084A26"/>
    <w:rsid w:val="00084FA2"/>
    <w:rsid w:val="0008644C"/>
    <w:rsid w:val="00086A77"/>
    <w:rsid w:val="0008761D"/>
    <w:rsid w:val="00087EA2"/>
    <w:rsid w:val="0009191B"/>
    <w:rsid w:val="00093332"/>
    <w:rsid w:val="00095150"/>
    <w:rsid w:val="00095310"/>
    <w:rsid w:val="00096F38"/>
    <w:rsid w:val="00097700"/>
    <w:rsid w:val="000A078C"/>
    <w:rsid w:val="000A162A"/>
    <w:rsid w:val="000A6493"/>
    <w:rsid w:val="000A707F"/>
    <w:rsid w:val="000B3417"/>
    <w:rsid w:val="000B3467"/>
    <w:rsid w:val="000B3D8F"/>
    <w:rsid w:val="000B6A28"/>
    <w:rsid w:val="000C08CE"/>
    <w:rsid w:val="000C26FC"/>
    <w:rsid w:val="000C636C"/>
    <w:rsid w:val="000C6591"/>
    <w:rsid w:val="000C7FC5"/>
    <w:rsid w:val="000D1998"/>
    <w:rsid w:val="000D1E36"/>
    <w:rsid w:val="000D2BFC"/>
    <w:rsid w:val="000D349B"/>
    <w:rsid w:val="000D495A"/>
    <w:rsid w:val="000D5884"/>
    <w:rsid w:val="000D749D"/>
    <w:rsid w:val="000D7B58"/>
    <w:rsid w:val="000E005C"/>
    <w:rsid w:val="000E08A8"/>
    <w:rsid w:val="000F290F"/>
    <w:rsid w:val="000F6F29"/>
    <w:rsid w:val="000F74A6"/>
    <w:rsid w:val="00101E1B"/>
    <w:rsid w:val="00103CCA"/>
    <w:rsid w:val="001176C0"/>
    <w:rsid w:val="00117A77"/>
    <w:rsid w:val="00121DEB"/>
    <w:rsid w:val="0012355D"/>
    <w:rsid w:val="00126C7E"/>
    <w:rsid w:val="0012725B"/>
    <w:rsid w:val="00130CAE"/>
    <w:rsid w:val="00133617"/>
    <w:rsid w:val="001345A2"/>
    <w:rsid w:val="00137550"/>
    <w:rsid w:val="00142237"/>
    <w:rsid w:val="00142ADD"/>
    <w:rsid w:val="00143DCD"/>
    <w:rsid w:val="00145E8F"/>
    <w:rsid w:val="001515F2"/>
    <w:rsid w:val="00153F93"/>
    <w:rsid w:val="001611BF"/>
    <w:rsid w:val="001637D0"/>
    <w:rsid w:val="00165CB0"/>
    <w:rsid w:val="0016621D"/>
    <w:rsid w:val="001666D7"/>
    <w:rsid w:val="00167A36"/>
    <w:rsid w:val="00170AC3"/>
    <w:rsid w:val="00176173"/>
    <w:rsid w:val="00182567"/>
    <w:rsid w:val="001876EC"/>
    <w:rsid w:val="00194BCA"/>
    <w:rsid w:val="001954B4"/>
    <w:rsid w:val="001963CF"/>
    <w:rsid w:val="0019660D"/>
    <w:rsid w:val="00197768"/>
    <w:rsid w:val="001A4F55"/>
    <w:rsid w:val="001B2D56"/>
    <w:rsid w:val="001B317D"/>
    <w:rsid w:val="001B44E8"/>
    <w:rsid w:val="001B6D25"/>
    <w:rsid w:val="001C3AE8"/>
    <w:rsid w:val="001C6BCE"/>
    <w:rsid w:val="001D0B00"/>
    <w:rsid w:val="001D63BC"/>
    <w:rsid w:val="001E23CB"/>
    <w:rsid w:val="001E271E"/>
    <w:rsid w:val="001E6CD9"/>
    <w:rsid w:val="001F3E57"/>
    <w:rsid w:val="00204D5E"/>
    <w:rsid w:val="00204FD1"/>
    <w:rsid w:val="00205E0F"/>
    <w:rsid w:val="00212348"/>
    <w:rsid w:val="00212443"/>
    <w:rsid w:val="00212EB1"/>
    <w:rsid w:val="00214A0E"/>
    <w:rsid w:val="002150AA"/>
    <w:rsid w:val="00217ADA"/>
    <w:rsid w:val="00220BD0"/>
    <w:rsid w:val="00220DDA"/>
    <w:rsid w:val="0022375B"/>
    <w:rsid w:val="00227DB5"/>
    <w:rsid w:val="002309B5"/>
    <w:rsid w:val="0023159B"/>
    <w:rsid w:val="00232348"/>
    <w:rsid w:val="00235585"/>
    <w:rsid w:val="002410D3"/>
    <w:rsid w:val="00241427"/>
    <w:rsid w:val="00242056"/>
    <w:rsid w:val="00244117"/>
    <w:rsid w:val="0024598B"/>
    <w:rsid w:val="002474EC"/>
    <w:rsid w:val="00250963"/>
    <w:rsid w:val="002527A5"/>
    <w:rsid w:val="00256F27"/>
    <w:rsid w:val="00262AC3"/>
    <w:rsid w:val="002657A7"/>
    <w:rsid w:val="00266A9F"/>
    <w:rsid w:val="00266CCC"/>
    <w:rsid w:val="00267EB1"/>
    <w:rsid w:val="00274D42"/>
    <w:rsid w:val="00275124"/>
    <w:rsid w:val="00277361"/>
    <w:rsid w:val="002777A4"/>
    <w:rsid w:val="00280337"/>
    <w:rsid w:val="00280798"/>
    <w:rsid w:val="00282658"/>
    <w:rsid w:val="00285CAF"/>
    <w:rsid w:val="00297A6C"/>
    <w:rsid w:val="002A0838"/>
    <w:rsid w:val="002A15D9"/>
    <w:rsid w:val="002A2779"/>
    <w:rsid w:val="002A3926"/>
    <w:rsid w:val="002A6EAF"/>
    <w:rsid w:val="002B29C2"/>
    <w:rsid w:val="002B37D9"/>
    <w:rsid w:val="002B4402"/>
    <w:rsid w:val="002B5C26"/>
    <w:rsid w:val="002B661A"/>
    <w:rsid w:val="002C284D"/>
    <w:rsid w:val="002C2D2A"/>
    <w:rsid w:val="002C3527"/>
    <w:rsid w:val="002C7A05"/>
    <w:rsid w:val="002D2132"/>
    <w:rsid w:val="002D651D"/>
    <w:rsid w:val="002D6B3D"/>
    <w:rsid w:val="002E0709"/>
    <w:rsid w:val="002E3C99"/>
    <w:rsid w:val="002E5916"/>
    <w:rsid w:val="002E6899"/>
    <w:rsid w:val="002F2BD2"/>
    <w:rsid w:val="002F4909"/>
    <w:rsid w:val="002F4936"/>
    <w:rsid w:val="003033E5"/>
    <w:rsid w:val="003036E4"/>
    <w:rsid w:val="00303C55"/>
    <w:rsid w:val="00311C2D"/>
    <w:rsid w:val="00312C97"/>
    <w:rsid w:val="003150B9"/>
    <w:rsid w:val="00315E1C"/>
    <w:rsid w:val="00323C12"/>
    <w:rsid w:val="0032612E"/>
    <w:rsid w:val="00326D1F"/>
    <w:rsid w:val="00330975"/>
    <w:rsid w:val="0033462C"/>
    <w:rsid w:val="0034599F"/>
    <w:rsid w:val="00352D1D"/>
    <w:rsid w:val="00353E5E"/>
    <w:rsid w:val="00354928"/>
    <w:rsid w:val="003608F0"/>
    <w:rsid w:val="00360951"/>
    <w:rsid w:val="00361C89"/>
    <w:rsid w:val="00365C5E"/>
    <w:rsid w:val="003731CA"/>
    <w:rsid w:val="00374D2A"/>
    <w:rsid w:val="0037686F"/>
    <w:rsid w:val="00376FE6"/>
    <w:rsid w:val="003803BA"/>
    <w:rsid w:val="00380D21"/>
    <w:rsid w:val="003858E8"/>
    <w:rsid w:val="00385BD5"/>
    <w:rsid w:val="003877D8"/>
    <w:rsid w:val="00387DA9"/>
    <w:rsid w:val="00392B8F"/>
    <w:rsid w:val="003958DA"/>
    <w:rsid w:val="00396C92"/>
    <w:rsid w:val="003A37B3"/>
    <w:rsid w:val="003A6630"/>
    <w:rsid w:val="003B0086"/>
    <w:rsid w:val="003B09ED"/>
    <w:rsid w:val="003B162E"/>
    <w:rsid w:val="003B2932"/>
    <w:rsid w:val="003B7FD3"/>
    <w:rsid w:val="003C181D"/>
    <w:rsid w:val="003C1865"/>
    <w:rsid w:val="003C3389"/>
    <w:rsid w:val="003C4339"/>
    <w:rsid w:val="003C4681"/>
    <w:rsid w:val="003C5562"/>
    <w:rsid w:val="003D0EA8"/>
    <w:rsid w:val="003D3A68"/>
    <w:rsid w:val="003D645C"/>
    <w:rsid w:val="003D676D"/>
    <w:rsid w:val="003E19F0"/>
    <w:rsid w:val="003E44E6"/>
    <w:rsid w:val="003F0134"/>
    <w:rsid w:val="003F185E"/>
    <w:rsid w:val="003F23E9"/>
    <w:rsid w:val="003F2D49"/>
    <w:rsid w:val="003F45DF"/>
    <w:rsid w:val="003F4707"/>
    <w:rsid w:val="00400CB2"/>
    <w:rsid w:val="00402D0E"/>
    <w:rsid w:val="00412CA3"/>
    <w:rsid w:val="0041445F"/>
    <w:rsid w:val="004164DF"/>
    <w:rsid w:val="004179A3"/>
    <w:rsid w:val="0043417F"/>
    <w:rsid w:val="004409C2"/>
    <w:rsid w:val="00443F97"/>
    <w:rsid w:val="0044575C"/>
    <w:rsid w:val="00445C98"/>
    <w:rsid w:val="00450F48"/>
    <w:rsid w:val="00451AD9"/>
    <w:rsid w:val="00452280"/>
    <w:rsid w:val="004569B7"/>
    <w:rsid w:val="004571D2"/>
    <w:rsid w:val="00460209"/>
    <w:rsid w:val="00463363"/>
    <w:rsid w:val="004659AA"/>
    <w:rsid w:val="004704C3"/>
    <w:rsid w:val="00472D83"/>
    <w:rsid w:val="00473BCC"/>
    <w:rsid w:val="00473C04"/>
    <w:rsid w:val="004760C6"/>
    <w:rsid w:val="004771E2"/>
    <w:rsid w:val="00481717"/>
    <w:rsid w:val="00486E61"/>
    <w:rsid w:val="00490B90"/>
    <w:rsid w:val="0049154D"/>
    <w:rsid w:val="00496934"/>
    <w:rsid w:val="004A5831"/>
    <w:rsid w:val="004A5DF3"/>
    <w:rsid w:val="004A6988"/>
    <w:rsid w:val="004A72C9"/>
    <w:rsid w:val="004B0359"/>
    <w:rsid w:val="004B2C90"/>
    <w:rsid w:val="004C0795"/>
    <w:rsid w:val="004C0D37"/>
    <w:rsid w:val="004C17DE"/>
    <w:rsid w:val="004C1D57"/>
    <w:rsid w:val="004D000A"/>
    <w:rsid w:val="004D10BF"/>
    <w:rsid w:val="004D37F3"/>
    <w:rsid w:val="004D459A"/>
    <w:rsid w:val="004D5F65"/>
    <w:rsid w:val="004E3887"/>
    <w:rsid w:val="004E4CD3"/>
    <w:rsid w:val="004E7B64"/>
    <w:rsid w:val="004F46FA"/>
    <w:rsid w:val="004F4C4F"/>
    <w:rsid w:val="004F67B6"/>
    <w:rsid w:val="005033B7"/>
    <w:rsid w:val="0051068B"/>
    <w:rsid w:val="00513ED7"/>
    <w:rsid w:val="00517C0D"/>
    <w:rsid w:val="00520D5C"/>
    <w:rsid w:val="005226B9"/>
    <w:rsid w:val="00522A1F"/>
    <w:rsid w:val="00524A0D"/>
    <w:rsid w:val="005253F2"/>
    <w:rsid w:val="00530ED7"/>
    <w:rsid w:val="005312C2"/>
    <w:rsid w:val="005339AC"/>
    <w:rsid w:val="00535C5C"/>
    <w:rsid w:val="005370CA"/>
    <w:rsid w:val="005418FB"/>
    <w:rsid w:val="0054617B"/>
    <w:rsid w:val="005550CC"/>
    <w:rsid w:val="00555D77"/>
    <w:rsid w:val="00557EEE"/>
    <w:rsid w:val="00561FB9"/>
    <w:rsid w:val="00565102"/>
    <w:rsid w:val="00567ED0"/>
    <w:rsid w:val="005705AF"/>
    <w:rsid w:val="005736C4"/>
    <w:rsid w:val="005739C4"/>
    <w:rsid w:val="005740F5"/>
    <w:rsid w:val="00581F80"/>
    <w:rsid w:val="00586EB4"/>
    <w:rsid w:val="00591288"/>
    <w:rsid w:val="005917FD"/>
    <w:rsid w:val="005977D1"/>
    <w:rsid w:val="005A311C"/>
    <w:rsid w:val="005A42E5"/>
    <w:rsid w:val="005A4AA1"/>
    <w:rsid w:val="005B1D46"/>
    <w:rsid w:val="005B1FE3"/>
    <w:rsid w:val="005B3358"/>
    <w:rsid w:val="005B6466"/>
    <w:rsid w:val="005B75D5"/>
    <w:rsid w:val="005C0F15"/>
    <w:rsid w:val="005C3C13"/>
    <w:rsid w:val="005C57EB"/>
    <w:rsid w:val="005D1142"/>
    <w:rsid w:val="005D199E"/>
    <w:rsid w:val="005D3500"/>
    <w:rsid w:val="005D4706"/>
    <w:rsid w:val="005E0138"/>
    <w:rsid w:val="005E15D1"/>
    <w:rsid w:val="005E3308"/>
    <w:rsid w:val="005E351B"/>
    <w:rsid w:val="005E5202"/>
    <w:rsid w:val="005E7486"/>
    <w:rsid w:val="005F110A"/>
    <w:rsid w:val="005F1878"/>
    <w:rsid w:val="005F55F6"/>
    <w:rsid w:val="005F64D5"/>
    <w:rsid w:val="005F6AC8"/>
    <w:rsid w:val="006003F5"/>
    <w:rsid w:val="00601F5E"/>
    <w:rsid w:val="00603637"/>
    <w:rsid w:val="00605645"/>
    <w:rsid w:val="0060582F"/>
    <w:rsid w:val="00605DF9"/>
    <w:rsid w:val="00614165"/>
    <w:rsid w:val="006147EB"/>
    <w:rsid w:val="006200EB"/>
    <w:rsid w:val="00621EA3"/>
    <w:rsid w:val="006245AC"/>
    <w:rsid w:val="00624AEB"/>
    <w:rsid w:val="00635CC2"/>
    <w:rsid w:val="00636844"/>
    <w:rsid w:val="00640234"/>
    <w:rsid w:val="0064343A"/>
    <w:rsid w:val="00650078"/>
    <w:rsid w:val="006530E0"/>
    <w:rsid w:val="00653A48"/>
    <w:rsid w:val="00654E51"/>
    <w:rsid w:val="00657EAE"/>
    <w:rsid w:val="006646C2"/>
    <w:rsid w:val="006675FF"/>
    <w:rsid w:val="006738C7"/>
    <w:rsid w:val="00673F30"/>
    <w:rsid w:val="006751CF"/>
    <w:rsid w:val="006835B6"/>
    <w:rsid w:val="00683738"/>
    <w:rsid w:val="00686CCD"/>
    <w:rsid w:val="006926A4"/>
    <w:rsid w:val="006A008F"/>
    <w:rsid w:val="006A5AA6"/>
    <w:rsid w:val="006A6DFD"/>
    <w:rsid w:val="006A71E5"/>
    <w:rsid w:val="006A7A3F"/>
    <w:rsid w:val="006B3F82"/>
    <w:rsid w:val="006B432B"/>
    <w:rsid w:val="006B5E06"/>
    <w:rsid w:val="006B6802"/>
    <w:rsid w:val="006C0532"/>
    <w:rsid w:val="006C1803"/>
    <w:rsid w:val="006C2A4C"/>
    <w:rsid w:val="006C33BF"/>
    <w:rsid w:val="006C6A80"/>
    <w:rsid w:val="006C7F18"/>
    <w:rsid w:val="006D0A3D"/>
    <w:rsid w:val="006D5928"/>
    <w:rsid w:val="006D6551"/>
    <w:rsid w:val="006E170D"/>
    <w:rsid w:val="006E18F0"/>
    <w:rsid w:val="006E398E"/>
    <w:rsid w:val="006E4FCB"/>
    <w:rsid w:val="006E5277"/>
    <w:rsid w:val="006E55D3"/>
    <w:rsid w:val="006E698B"/>
    <w:rsid w:val="006E6C07"/>
    <w:rsid w:val="006F1161"/>
    <w:rsid w:val="006F1A4E"/>
    <w:rsid w:val="006F1E90"/>
    <w:rsid w:val="006F3E11"/>
    <w:rsid w:val="006F615F"/>
    <w:rsid w:val="00701F34"/>
    <w:rsid w:val="00702177"/>
    <w:rsid w:val="00702E73"/>
    <w:rsid w:val="007056F2"/>
    <w:rsid w:val="00713AFB"/>
    <w:rsid w:val="0071548B"/>
    <w:rsid w:val="007204A9"/>
    <w:rsid w:val="00721991"/>
    <w:rsid w:val="00725022"/>
    <w:rsid w:val="00740B1C"/>
    <w:rsid w:val="00742477"/>
    <w:rsid w:val="007427FC"/>
    <w:rsid w:val="00743780"/>
    <w:rsid w:val="0074493E"/>
    <w:rsid w:val="00744E23"/>
    <w:rsid w:val="00747B3A"/>
    <w:rsid w:val="00751148"/>
    <w:rsid w:val="007539B5"/>
    <w:rsid w:val="00756929"/>
    <w:rsid w:val="00763B72"/>
    <w:rsid w:val="00764E6E"/>
    <w:rsid w:val="00767CE7"/>
    <w:rsid w:val="00767DBB"/>
    <w:rsid w:val="00771FA7"/>
    <w:rsid w:val="00774646"/>
    <w:rsid w:val="007762C2"/>
    <w:rsid w:val="007764B6"/>
    <w:rsid w:val="00777CE7"/>
    <w:rsid w:val="00781695"/>
    <w:rsid w:val="00783113"/>
    <w:rsid w:val="0078378A"/>
    <w:rsid w:val="00784C2D"/>
    <w:rsid w:val="00784CE4"/>
    <w:rsid w:val="007869C0"/>
    <w:rsid w:val="0078703F"/>
    <w:rsid w:val="007915AF"/>
    <w:rsid w:val="00791BBB"/>
    <w:rsid w:val="007931E4"/>
    <w:rsid w:val="0079369C"/>
    <w:rsid w:val="00793EDC"/>
    <w:rsid w:val="00793F64"/>
    <w:rsid w:val="00794D7B"/>
    <w:rsid w:val="00797714"/>
    <w:rsid w:val="007A022C"/>
    <w:rsid w:val="007A02A7"/>
    <w:rsid w:val="007A3DCB"/>
    <w:rsid w:val="007A5B6F"/>
    <w:rsid w:val="007B1153"/>
    <w:rsid w:val="007C0935"/>
    <w:rsid w:val="007C0BFA"/>
    <w:rsid w:val="007C0D46"/>
    <w:rsid w:val="007C5825"/>
    <w:rsid w:val="007C633B"/>
    <w:rsid w:val="007C7C43"/>
    <w:rsid w:val="007D04B5"/>
    <w:rsid w:val="007D2289"/>
    <w:rsid w:val="007D369B"/>
    <w:rsid w:val="007D5304"/>
    <w:rsid w:val="007E3E8F"/>
    <w:rsid w:val="007E7212"/>
    <w:rsid w:val="007F4E93"/>
    <w:rsid w:val="007F5B95"/>
    <w:rsid w:val="007F638E"/>
    <w:rsid w:val="007F7AE0"/>
    <w:rsid w:val="008004DD"/>
    <w:rsid w:val="00802277"/>
    <w:rsid w:val="00802C01"/>
    <w:rsid w:val="00802D93"/>
    <w:rsid w:val="008046D4"/>
    <w:rsid w:val="00807530"/>
    <w:rsid w:val="00815788"/>
    <w:rsid w:val="00816FB2"/>
    <w:rsid w:val="00820232"/>
    <w:rsid w:val="008205A2"/>
    <w:rsid w:val="0082151E"/>
    <w:rsid w:val="00822A1C"/>
    <w:rsid w:val="008253E4"/>
    <w:rsid w:val="008254FE"/>
    <w:rsid w:val="00825F9B"/>
    <w:rsid w:val="008324E8"/>
    <w:rsid w:val="00833792"/>
    <w:rsid w:val="008358AA"/>
    <w:rsid w:val="008408C9"/>
    <w:rsid w:val="00844188"/>
    <w:rsid w:val="00850E80"/>
    <w:rsid w:val="00852F35"/>
    <w:rsid w:val="00856062"/>
    <w:rsid w:val="00857363"/>
    <w:rsid w:val="00857682"/>
    <w:rsid w:val="00860145"/>
    <w:rsid w:val="00860D90"/>
    <w:rsid w:val="0086177C"/>
    <w:rsid w:val="0086178E"/>
    <w:rsid w:val="00865F53"/>
    <w:rsid w:val="00873007"/>
    <w:rsid w:val="00880485"/>
    <w:rsid w:val="008831FB"/>
    <w:rsid w:val="00883248"/>
    <w:rsid w:val="00884FE5"/>
    <w:rsid w:val="00885726"/>
    <w:rsid w:val="00886BA0"/>
    <w:rsid w:val="0089688F"/>
    <w:rsid w:val="008A0614"/>
    <w:rsid w:val="008A7351"/>
    <w:rsid w:val="008A7766"/>
    <w:rsid w:val="008B44F5"/>
    <w:rsid w:val="008B6102"/>
    <w:rsid w:val="008B6F45"/>
    <w:rsid w:val="008C119F"/>
    <w:rsid w:val="008C3AD5"/>
    <w:rsid w:val="008C41DE"/>
    <w:rsid w:val="008C47A1"/>
    <w:rsid w:val="008C66FC"/>
    <w:rsid w:val="008C738F"/>
    <w:rsid w:val="008D022B"/>
    <w:rsid w:val="008D099F"/>
    <w:rsid w:val="008D25E2"/>
    <w:rsid w:val="008D2935"/>
    <w:rsid w:val="008D4BEA"/>
    <w:rsid w:val="008D6B9E"/>
    <w:rsid w:val="008D7083"/>
    <w:rsid w:val="008E1024"/>
    <w:rsid w:val="008E1C03"/>
    <w:rsid w:val="008E45A5"/>
    <w:rsid w:val="008E46D7"/>
    <w:rsid w:val="008F003E"/>
    <w:rsid w:val="008F0A03"/>
    <w:rsid w:val="008F118F"/>
    <w:rsid w:val="008F1B75"/>
    <w:rsid w:val="00900E76"/>
    <w:rsid w:val="0090395E"/>
    <w:rsid w:val="00903F78"/>
    <w:rsid w:val="009059F1"/>
    <w:rsid w:val="00905ADB"/>
    <w:rsid w:val="0091208E"/>
    <w:rsid w:val="00913ED0"/>
    <w:rsid w:val="00915131"/>
    <w:rsid w:val="00916D2A"/>
    <w:rsid w:val="00927650"/>
    <w:rsid w:val="00932481"/>
    <w:rsid w:val="00934010"/>
    <w:rsid w:val="00936CE8"/>
    <w:rsid w:val="00937329"/>
    <w:rsid w:val="00942CB6"/>
    <w:rsid w:val="00942CE9"/>
    <w:rsid w:val="009437DC"/>
    <w:rsid w:val="00943A35"/>
    <w:rsid w:val="009477E2"/>
    <w:rsid w:val="00953071"/>
    <w:rsid w:val="00954FF2"/>
    <w:rsid w:val="0095505F"/>
    <w:rsid w:val="009573EC"/>
    <w:rsid w:val="00961776"/>
    <w:rsid w:val="00962169"/>
    <w:rsid w:val="00962EE8"/>
    <w:rsid w:val="009743BE"/>
    <w:rsid w:val="0097565E"/>
    <w:rsid w:val="00976957"/>
    <w:rsid w:val="00976EE9"/>
    <w:rsid w:val="0098128F"/>
    <w:rsid w:val="009847EE"/>
    <w:rsid w:val="009925D4"/>
    <w:rsid w:val="0099357A"/>
    <w:rsid w:val="00994ED6"/>
    <w:rsid w:val="009977DD"/>
    <w:rsid w:val="009A203B"/>
    <w:rsid w:val="009A5654"/>
    <w:rsid w:val="009A6D9C"/>
    <w:rsid w:val="009B2548"/>
    <w:rsid w:val="009B3C8D"/>
    <w:rsid w:val="009B7C9C"/>
    <w:rsid w:val="009B7D0E"/>
    <w:rsid w:val="009C02A4"/>
    <w:rsid w:val="009C2877"/>
    <w:rsid w:val="009C60F6"/>
    <w:rsid w:val="009D2A11"/>
    <w:rsid w:val="009D46CE"/>
    <w:rsid w:val="009D499B"/>
    <w:rsid w:val="009D56CA"/>
    <w:rsid w:val="009E18B2"/>
    <w:rsid w:val="009F0889"/>
    <w:rsid w:val="009F0C45"/>
    <w:rsid w:val="009F3A22"/>
    <w:rsid w:val="009F48B4"/>
    <w:rsid w:val="009F4B72"/>
    <w:rsid w:val="009F6A0F"/>
    <w:rsid w:val="009F76C7"/>
    <w:rsid w:val="00A008E6"/>
    <w:rsid w:val="00A042B7"/>
    <w:rsid w:val="00A05071"/>
    <w:rsid w:val="00A06EA0"/>
    <w:rsid w:val="00A1016E"/>
    <w:rsid w:val="00A12C83"/>
    <w:rsid w:val="00A20F25"/>
    <w:rsid w:val="00A24BE3"/>
    <w:rsid w:val="00A2589C"/>
    <w:rsid w:val="00A273F2"/>
    <w:rsid w:val="00A30F2A"/>
    <w:rsid w:val="00A320BD"/>
    <w:rsid w:val="00A33623"/>
    <w:rsid w:val="00A33648"/>
    <w:rsid w:val="00A37000"/>
    <w:rsid w:val="00A42650"/>
    <w:rsid w:val="00A428A8"/>
    <w:rsid w:val="00A45D37"/>
    <w:rsid w:val="00A46B1B"/>
    <w:rsid w:val="00A52142"/>
    <w:rsid w:val="00A55A2A"/>
    <w:rsid w:val="00A604FA"/>
    <w:rsid w:val="00A6172A"/>
    <w:rsid w:val="00A63A91"/>
    <w:rsid w:val="00A73A40"/>
    <w:rsid w:val="00A75DD1"/>
    <w:rsid w:val="00A84031"/>
    <w:rsid w:val="00A86639"/>
    <w:rsid w:val="00A918A7"/>
    <w:rsid w:val="00A9443F"/>
    <w:rsid w:val="00AA2D29"/>
    <w:rsid w:val="00AA6DBD"/>
    <w:rsid w:val="00AA705F"/>
    <w:rsid w:val="00AA726E"/>
    <w:rsid w:val="00AB0C77"/>
    <w:rsid w:val="00AB1ADA"/>
    <w:rsid w:val="00AC2CDC"/>
    <w:rsid w:val="00AC5B15"/>
    <w:rsid w:val="00AD0B07"/>
    <w:rsid w:val="00AD37CB"/>
    <w:rsid w:val="00AD4EBB"/>
    <w:rsid w:val="00AD567A"/>
    <w:rsid w:val="00AD7805"/>
    <w:rsid w:val="00AE2603"/>
    <w:rsid w:val="00AE2B2A"/>
    <w:rsid w:val="00AE3131"/>
    <w:rsid w:val="00AE698F"/>
    <w:rsid w:val="00AF17DA"/>
    <w:rsid w:val="00AF3C31"/>
    <w:rsid w:val="00AF6363"/>
    <w:rsid w:val="00AF6376"/>
    <w:rsid w:val="00AF65C3"/>
    <w:rsid w:val="00B07DA8"/>
    <w:rsid w:val="00B16939"/>
    <w:rsid w:val="00B225BD"/>
    <w:rsid w:val="00B345E3"/>
    <w:rsid w:val="00B34AF1"/>
    <w:rsid w:val="00B40170"/>
    <w:rsid w:val="00B41884"/>
    <w:rsid w:val="00B44E60"/>
    <w:rsid w:val="00B47188"/>
    <w:rsid w:val="00B56736"/>
    <w:rsid w:val="00B634F8"/>
    <w:rsid w:val="00B6596F"/>
    <w:rsid w:val="00B75107"/>
    <w:rsid w:val="00B80C39"/>
    <w:rsid w:val="00B80E28"/>
    <w:rsid w:val="00B87246"/>
    <w:rsid w:val="00B87F8A"/>
    <w:rsid w:val="00B90BA9"/>
    <w:rsid w:val="00BA18FB"/>
    <w:rsid w:val="00BA2A94"/>
    <w:rsid w:val="00BA4C41"/>
    <w:rsid w:val="00BA5E13"/>
    <w:rsid w:val="00BA7401"/>
    <w:rsid w:val="00BB24CF"/>
    <w:rsid w:val="00BB30D5"/>
    <w:rsid w:val="00BB4E32"/>
    <w:rsid w:val="00BC2ABB"/>
    <w:rsid w:val="00BC4722"/>
    <w:rsid w:val="00BC48EE"/>
    <w:rsid w:val="00BD05BA"/>
    <w:rsid w:val="00BD171D"/>
    <w:rsid w:val="00BD21DA"/>
    <w:rsid w:val="00BD480B"/>
    <w:rsid w:val="00BD57F5"/>
    <w:rsid w:val="00BD6B97"/>
    <w:rsid w:val="00BE3109"/>
    <w:rsid w:val="00BE48A4"/>
    <w:rsid w:val="00BE56F0"/>
    <w:rsid w:val="00BE772D"/>
    <w:rsid w:val="00BF1F3C"/>
    <w:rsid w:val="00BF2B4B"/>
    <w:rsid w:val="00BF3C2B"/>
    <w:rsid w:val="00BF533B"/>
    <w:rsid w:val="00BF7403"/>
    <w:rsid w:val="00C02E5B"/>
    <w:rsid w:val="00C039AA"/>
    <w:rsid w:val="00C03A30"/>
    <w:rsid w:val="00C048FB"/>
    <w:rsid w:val="00C052B4"/>
    <w:rsid w:val="00C05CA8"/>
    <w:rsid w:val="00C06DF4"/>
    <w:rsid w:val="00C102E6"/>
    <w:rsid w:val="00C10584"/>
    <w:rsid w:val="00C12D35"/>
    <w:rsid w:val="00C172A9"/>
    <w:rsid w:val="00C1761D"/>
    <w:rsid w:val="00C26DFA"/>
    <w:rsid w:val="00C33C1F"/>
    <w:rsid w:val="00C4292C"/>
    <w:rsid w:val="00C42DC8"/>
    <w:rsid w:val="00C42E67"/>
    <w:rsid w:val="00C42EF3"/>
    <w:rsid w:val="00C44E43"/>
    <w:rsid w:val="00C47620"/>
    <w:rsid w:val="00C56596"/>
    <w:rsid w:val="00C60C8C"/>
    <w:rsid w:val="00C647AF"/>
    <w:rsid w:val="00C65EB6"/>
    <w:rsid w:val="00C67793"/>
    <w:rsid w:val="00C678AB"/>
    <w:rsid w:val="00C70947"/>
    <w:rsid w:val="00C72838"/>
    <w:rsid w:val="00C73E9E"/>
    <w:rsid w:val="00C75293"/>
    <w:rsid w:val="00C80878"/>
    <w:rsid w:val="00C93E8C"/>
    <w:rsid w:val="00C94018"/>
    <w:rsid w:val="00C95E3A"/>
    <w:rsid w:val="00C9700E"/>
    <w:rsid w:val="00CA0CC9"/>
    <w:rsid w:val="00CA3C4E"/>
    <w:rsid w:val="00CA4D8C"/>
    <w:rsid w:val="00CA4DBB"/>
    <w:rsid w:val="00CB271D"/>
    <w:rsid w:val="00CB3DDE"/>
    <w:rsid w:val="00CB4483"/>
    <w:rsid w:val="00CB7070"/>
    <w:rsid w:val="00CB727E"/>
    <w:rsid w:val="00CB7E73"/>
    <w:rsid w:val="00CC120C"/>
    <w:rsid w:val="00CC121B"/>
    <w:rsid w:val="00CC6110"/>
    <w:rsid w:val="00CE6E11"/>
    <w:rsid w:val="00CE7AF1"/>
    <w:rsid w:val="00CF0752"/>
    <w:rsid w:val="00D00A45"/>
    <w:rsid w:val="00D03799"/>
    <w:rsid w:val="00D04E61"/>
    <w:rsid w:val="00D10635"/>
    <w:rsid w:val="00D13EE2"/>
    <w:rsid w:val="00D1452B"/>
    <w:rsid w:val="00D1473A"/>
    <w:rsid w:val="00D161B8"/>
    <w:rsid w:val="00D2025C"/>
    <w:rsid w:val="00D215CE"/>
    <w:rsid w:val="00D21A2D"/>
    <w:rsid w:val="00D22AB4"/>
    <w:rsid w:val="00D24F83"/>
    <w:rsid w:val="00D31211"/>
    <w:rsid w:val="00D31E95"/>
    <w:rsid w:val="00D323D4"/>
    <w:rsid w:val="00D33B0E"/>
    <w:rsid w:val="00D35880"/>
    <w:rsid w:val="00D36287"/>
    <w:rsid w:val="00D37617"/>
    <w:rsid w:val="00D40DC5"/>
    <w:rsid w:val="00D410C7"/>
    <w:rsid w:val="00D420AB"/>
    <w:rsid w:val="00D45329"/>
    <w:rsid w:val="00D45E15"/>
    <w:rsid w:val="00D47347"/>
    <w:rsid w:val="00D5107F"/>
    <w:rsid w:val="00D525B8"/>
    <w:rsid w:val="00D53203"/>
    <w:rsid w:val="00D57B06"/>
    <w:rsid w:val="00D62183"/>
    <w:rsid w:val="00D64EBD"/>
    <w:rsid w:val="00D70ED0"/>
    <w:rsid w:val="00D72C88"/>
    <w:rsid w:val="00D7475B"/>
    <w:rsid w:val="00D774FA"/>
    <w:rsid w:val="00D814A2"/>
    <w:rsid w:val="00D81C94"/>
    <w:rsid w:val="00D85DD8"/>
    <w:rsid w:val="00D90F47"/>
    <w:rsid w:val="00DA0C84"/>
    <w:rsid w:val="00DA18A2"/>
    <w:rsid w:val="00DA21A5"/>
    <w:rsid w:val="00DA2627"/>
    <w:rsid w:val="00DA2D81"/>
    <w:rsid w:val="00DA32F9"/>
    <w:rsid w:val="00DA63E1"/>
    <w:rsid w:val="00DB44BF"/>
    <w:rsid w:val="00DB74B1"/>
    <w:rsid w:val="00DB78DE"/>
    <w:rsid w:val="00DC6F24"/>
    <w:rsid w:val="00DC769A"/>
    <w:rsid w:val="00DD0812"/>
    <w:rsid w:val="00DD2BFD"/>
    <w:rsid w:val="00DD3A76"/>
    <w:rsid w:val="00DE36A1"/>
    <w:rsid w:val="00DE729E"/>
    <w:rsid w:val="00DF0185"/>
    <w:rsid w:val="00DF1336"/>
    <w:rsid w:val="00DF2C21"/>
    <w:rsid w:val="00DF2F8D"/>
    <w:rsid w:val="00DF4FAA"/>
    <w:rsid w:val="00E02159"/>
    <w:rsid w:val="00E05FA4"/>
    <w:rsid w:val="00E10478"/>
    <w:rsid w:val="00E11160"/>
    <w:rsid w:val="00E116FE"/>
    <w:rsid w:val="00E12959"/>
    <w:rsid w:val="00E1586D"/>
    <w:rsid w:val="00E1735E"/>
    <w:rsid w:val="00E21551"/>
    <w:rsid w:val="00E224F4"/>
    <w:rsid w:val="00E26C9A"/>
    <w:rsid w:val="00E2753F"/>
    <w:rsid w:val="00E3260C"/>
    <w:rsid w:val="00E46DE4"/>
    <w:rsid w:val="00E4727B"/>
    <w:rsid w:val="00E47323"/>
    <w:rsid w:val="00E51BD8"/>
    <w:rsid w:val="00E604DA"/>
    <w:rsid w:val="00E60A83"/>
    <w:rsid w:val="00E64F84"/>
    <w:rsid w:val="00E66646"/>
    <w:rsid w:val="00E67070"/>
    <w:rsid w:val="00E67273"/>
    <w:rsid w:val="00E72D80"/>
    <w:rsid w:val="00E735C9"/>
    <w:rsid w:val="00E7753D"/>
    <w:rsid w:val="00E809FD"/>
    <w:rsid w:val="00E838AE"/>
    <w:rsid w:val="00E84F06"/>
    <w:rsid w:val="00E85D84"/>
    <w:rsid w:val="00E90E36"/>
    <w:rsid w:val="00E92551"/>
    <w:rsid w:val="00E95BAC"/>
    <w:rsid w:val="00E95FFD"/>
    <w:rsid w:val="00E9689A"/>
    <w:rsid w:val="00E972ED"/>
    <w:rsid w:val="00EA5272"/>
    <w:rsid w:val="00EB07AA"/>
    <w:rsid w:val="00EB09E8"/>
    <w:rsid w:val="00EB116A"/>
    <w:rsid w:val="00EB3C02"/>
    <w:rsid w:val="00EB7C1B"/>
    <w:rsid w:val="00EC6FF7"/>
    <w:rsid w:val="00EC7FEB"/>
    <w:rsid w:val="00ED034E"/>
    <w:rsid w:val="00ED0697"/>
    <w:rsid w:val="00ED221B"/>
    <w:rsid w:val="00ED22A1"/>
    <w:rsid w:val="00ED7AB1"/>
    <w:rsid w:val="00EE1E3A"/>
    <w:rsid w:val="00EE23D6"/>
    <w:rsid w:val="00EE4046"/>
    <w:rsid w:val="00EE4448"/>
    <w:rsid w:val="00EF12D5"/>
    <w:rsid w:val="00EF155F"/>
    <w:rsid w:val="00EF5202"/>
    <w:rsid w:val="00EF54C3"/>
    <w:rsid w:val="00F00A3E"/>
    <w:rsid w:val="00F01DF9"/>
    <w:rsid w:val="00F03073"/>
    <w:rsid w:val="00F032A3"/>
    <w:rsid w:val="00F05A5D"/>
    <w:rsid w:val="00F122A7"/>
    <w:rsid w:val="00F1434A"/>
    <w:rsid w:val="00F16D6C"/>
    <w:rsid w:val="00F2409F"/>
    <w:rsid w:val="00F27780"/>
    <w:rsid w:val="00F35DE0"/>
    <w:rsid w:val="00F3671C"/>
    <w:rsid w:val="00F37AD1"/>
    <w:rsid w:val="00F401B8"/>
    <w:rsid w:val="00F43370"/>
    <w:rsid w:val="00F44E5B"/>
    <w:rsid w:val="00F45E08"/>
    <w:rsid w:val="00F51BA8"/>
    <w:rsid w:val="00F5648D"/>
    <w:rsid w:val="00F568CC"/>
    <w:rsid w:val="00F5762A"/>
    <w:rsid w:val="00F60D5C"/>
    <w:rsid w:val="00F61840"/>
    <w:rsid w:val="00F61D60"/>
    <w:rsid w:val="00F67917"/>
    <w:rsid w:val="00F73844"/>
    <w:rsid w:val="00F7406A"/>
    <w:rsid w:val="00F76F35"/>
    <w:rsid w:val="00F8013F"/>
    <w:rsid w:val="00F80CA8"/>
    <w:rsid w:val="00F87586"/>
    <w:rsid w:val="00F9165B"/>
    <w:rsid w:val="00F93458"/>
    <w:rsid w:val="00F93556"/>
    <w:rsid w:val="00F957C6"/>
    <w:rsid w:val="00FA18E7"/>
    <w:rsid w:val="00FA1A4B"/>
    <w:rsid w:val="00FA59B7"/>
    <w:rsid w:val="00FB3E31"/>
    <w:rsid w:val="00FB7E18"/>
    <w:rsid w:val="00FC1572"/>
    <w:rsid w:val="00FC1643"/>
    <w:rsid w:val="00FC6399"/>
    <w:rsid w:val="00FC6F92"/>
    <w:rsid w:val="00FC7905"/>
    <w:rsid w:val="00FD09BF"/>
    <w:rsid w:val="00FD20A5"/>
    <w:rsid w:val="00FD2C22"/>
    <w:rsid w:val="00FD3010"/>
    <w:rsid w:val="00FD4AC7"/>
    <w:rsid w:val="00FD5128"/>
    <w:rsid w:val="00FD53FC"/>
    <w:rsid w:val="00FD5F70"/>
    <w:rsid w:val="00FD61D3"/>
    <w:rsid w:val="00FE2C7F"/>
    <w:rsid w:val="00FE2F77"/>
    <w:rsid w:val="00FE52FF"/>
    <w:rsid w:val="00FE73C6"/>
    <w:rsid w:val="00FF231B"/>
    <w:rsid w:val="00FF5818"/>
    <w:rsid w:val="00FF5DD6"/>
    <w:rsid w:val="00FF6CC5"/>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7428F"/>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3D3A68"/>
    <w:pPr>
      <w:spacing w:after="0" w:line="240" w:lineRule="auto"/>
      <w:jc w:val="center"/>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paragraph" w:styleId="NormalWeb">
    <w:name w:val="Normal (Web)"/>
    <w:basedOn w:val="Normal"/>
    <w:link w:val="NormalWebChar"/>
    <w:uiPriority w:val="99"/>
    <w:unhideWhenUsed/>
    <w:rsid w:val="004C0D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4C0D37"/>
    <w:pPr>
      <w:spacing w:after="0" w:line="240" w:lineRule="auto"/>
    </w:pPr>
    <w:rPr>
      <w:sz w:val="20"/>
      <w:szCs w:val="20"/>
    </w:rPr>
  </w:style>
  <w:style w:type="character" w:customStyle="1" w:styleId="FootnoteTextChar">
    <w:name w:val="Footnote Text Char"/>
    <w:basedOn w:val="DefaultParagraphFont"/>
    <w:link w:val="FootnoteText"/>
    <w:uiPriority w:val="99"/>
    <w:rsid w:val="004C0D37"/>
    <w:rPr>
      <w:sz w:val="20"/>
      <w:szCs w:val="20"/>
    </w:rPr>
  </w:style>
  <w:style w:type="character" w:styleId="FootnoteReference">
    <w:name w:val="footnote reference"/>
    <w:basedOn w:val="DefaultParagraphFont"/>
    <w:uiPriority w:val="99"/>
    <w:semiHidden/>
    <w:unhideWhenUsed/>
    <w:rsid w:val="004C0D37"/>
    <w:rPr>
      <w:vertAlign w:val="superscript"/>
    </w:rPr>
  </w:style>
  <w:style w:type="character" w:styleId="CommentReference">
    <w:name w:val="annotation reference"/>
    <w:basedOn w:val="DefaultParagraphFont"/>
    <w:uiPriority w:val="99"/>
    <w:semiHidden/>
    <w:unhideWhenUsed/>
    <w:rsid w:val="00791BBB"/>
    <w:rPr>
      <w:sz w:val="16"/>
      <w:szCs w:val="16"/>
    </w:rPr>
  </w:style>
  <w:style w:type="paragraph" w:styleId="CommentText">
    <w:name w:val="annotation text"/>
    <w:basedOn w:val="Normal"/>
    <w:link w:val="CommentTextChar"/>
    <w:uiPriority w:val="99"/>
    <w:unhideWhenUsed/>
    <w:rsid w:val="00791BBB"/>
    <w:pPr>
      <w:spacing w:line="240" w:lineRule="auto"/>
    </w:pPr>
    <w:rPr>
      <w:sz w:val="20"/>
      <w:szCs w:val="20"/>
    </w:rPr>
  </w:style>
  <w:style w:type="character" w:customStyle="1" w:styleId="CommentTextChar">
    <w:name w:val="Comment Text Char"/>
    <w:basedOn w:val="DefaultParagraphFont"/>
    <w:link w:val="CommentText"/>
    <w:uiPriority w:val="99"/>
    <w:rsid w:val="00791BBB"/>
    <w:rPr>
      <w:sz w:val="20"/>
      <w:szCs w:val="20"/>
    </w:rPr>
  </w:style>
  <w:style w:type="paragraph" w:styleId="CommentSubject">
    <w:name w:val="annotation subject"/>
    <w:basedOn w:val="CommentText"/>
    <w:next w:val="CommentText"/>
    <w:link w:val="CommentSubjectChar"/>
    <w:uiPriority w:val="99"/>
    <w:semiHidden/>
    <w:unhideWhenUsed/>
    <w:rsid w:val="00791BBB"/>
    <w:rPr>
      <w:b/>
      <w:bCs/>
    </w:rPr>
  </w:style>
  <w:style w:type="character" w:customStyle="1" w:styleId="CommentSubjectChar">
    <w:name w:val="Comment Subject Char"/>
    <w:basedOn w:val="CommentTextChar"/>
    <w:link w:val="CommentSubject"/>
    <w:uiPriority w:val="99"/>
    <w:semiHidden/>
    <w:rsid w:val="00791BBB"/>
    <w:rPr>
      <w:b/>
      <w:bCs/>
      <w:sz w:val="20"/>
      <w:szCs w:val="20"/>
    </w:rPr>
  </w:style>
  <w:style w:type="character" w:customStyle="1" w:styleId="footnotereference0">
    <w:name w:val="footnotereference"/>
    <w:basedOn w:val="DefaultParagraphFont"/>
    <w:rsid w:val="006A6DFD"/>
  </w:style>
  <w:style w:type="character" w:styleId="FollowedHyperlink">
    <w:name w:val="FollowedHyperlink"/>
    <w:basedOn w:val="DefaultParagraphFont"/>
    <w:uiPriority w:val="99"/>
    <w:semiHidden/>
    <w:unhideWhenUsed/>
    <w:rsid w:val="00740B1C"/>
    <w:rPr>
      <w:color w:val="3266AB" w:themeColor="followedHyperlink"/>
      <w:u w:val="single"/>
    </w:rPr>
  </w:style>
  <w:style w:type="paragraph" w:styleId="Revision">
    <w:name w:val="Revision"/>
    <w:hidden/>
    <w:uiPriority w:val="99"/>
    <w:semiHidden/>
    <w:rsid w:val="002F4936"/>
    <w:pPr>
      <w:spacing w:after="0" w:line="240" w:lineRule="auto"/>
    </w:pPr>
    <w:rPr>
      <w:sz w:val="22"/>
    </w:rPr>
  </w:style>
  <w:style w:type="paragraph" w:customStyle="1" w:styleId="CopyrightHeading1">
    <w:name w:val="Copyright Heading 1"/>
    <w:basedOn w:val="Heading4"/>
    <w:link w:val="CopyrightHeading1Char"/>
    <w:qFormat/>
    <w:rsid w:val="00073642"/>
    <w:pPr>
      <w:shd w:val="clear" w:color="auto" w:fill="FFFFFF"/>
      <w:spacing w:before="300" w:after="75"/>
      <w:outlineLvl w:val="0"/>
    </w:pPr>
    <w:rPr>
      <w:color w:val="333333"/>
    </w:rPr>
  </w:style>
  <w:style w:type="paragraph" w:customStyle="1" w:styleId="CopyrightHeading2">
    <w:name w:val="Copyright Heading 2"/>
    <w:basedOn w:val="NormalWeb"/>
    <w:link w:val="CopyrightHeading2Char"/>
    <w:qFormat/>
    <w:rsid w:val="00ED7AB1"/>
    <w:pPr>
      <w:shd w:val="clear" w:color="auto" w:fill="FFFFFF"/>
      <w:spacing w:before="150" w:beforeAutospacing="0" w:after="0" w:afterAutospacing="0"/>
      <w:outlineLvl w:val="1"/>
    </w:pPr>
    <w:rPr>
      <w:rFonts w:asciiTheme="minorHAnsi" w:eastAsiaTheme="majorEastAsia" w:hAnsiTheme="minorHAnsi" w:cstheme="minorHAnsi"/>
      <w:color w:val="2C2B2B"/>
      <w:sz w:val="18"/>
      <w:szCs w:val="18"/>
    </w:rPr>
  </w:style>
  <w:style w:type="character" w:customStyle="1" w:styleId="CopyrightHeading1Char">
    <w:name w:val="Copyright Heading 1 Char"/>
    <w:basedOn w:val="Heading4Char"/>
    <w:link w:val="CopyrightHeading1"/>
    <w:rsid w:val="00073642"/>
    <w:rPr>
      <w:rFonts w:eastAsiaTheme="majorEastAsia" w:cstheme="minorHAnsi"/>
      <w:b/>
      <w:color w:val="333333"/>
      <w:sz w:val="22"/>
      <w:szCs w:val="22"/>
      <w:shd w:val="clear" w:color="auto" w:fill="FFFFFF"/>
    </w:rPr>
  </w:style>
  <w:style w:type="character" w:customStyle="1" w:styleId="NormalWebChar">
    <w:name w:val="Normal (Web) Char"/>
    <w:basedOn w:val="DefaultParagraphFont"/>
    <w:link w:val="NormalWeb"/>
    <w:uiPriority w:val="99"/>
    <w:rsid w:val="00073642"/>
    <w:rPr>
      <w:rFonts w:ascii="Times New Roman" w:eastAsia="Times New Roman" w:hAnsi="Times New Roman" w:cs="Times New Roman"/>
      <w:sz w:val="24"/>
      <w:szCs w:val="24"/>
      <w:lang w:eastAsia="en-AU"/>
    </w:rPr>
  </w:style>
  <w:style w:type="character" w:customStyle="1" w:styleId="CopyrightHeading2Char">
    <w:name w:val="Copyright Heading 2 Char"/>
    <w:basedOn w:val="NormalWebChar"/>
    <w:link w:val="CopyrightHeading2"/>
    <w:rsid w:val="00ED7AB1"/>
    <w:rPr>
      <w:rFonts w:ascii="Times New Roman" w:eastAsiaTheme="majorEastAsia" w:hAnsi="Times New Roman" w:cstheme="minorHAnsi"/>
      <w:color w:val="2C2B2B"/>
      <w:sz w:val="18"/>
      <w:szCs w:val="18"/>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069">
      <w:bodyDiv w:val="1"/>
      <w:marLeft w:val="0"/>
      <w:marRight w:val="0"/>
      <w:marTop w:val="0"/>
      <w:marBottom w:val="0"/>
      <w:divBdr>
        <w:top w:val="none" w:sz="0" w:space="0" w:color="auto"/>
        <w:left w:val="none" w:sz="0" w:space="0" w:color="auto"/>
        <w:bottom w:val="none" w:sz="0" w:space="0" w:color="auto"/>
        <w:right w:val="none" w:sz="0" w:space="0" w:color="auto"/>
      </w:divBdr>
    </w:div>
    <w:div w:id="509417998">
      <w:bodyDiv w:val="1"/>
      <w:marLeft w:val="0"/>
      <w:marRight w:val="0"/>
      <w:marTop w:val="0"/>
      <w:marBottom w:val="0"/>
      <w:divBdr>
        <w:top w:val="none" w:sz="0" w:space="0" w:color="auto"/>
        <w:left w:val="none" w:sz="0" w:space="0" w:color="auto"/>
        <w:bottom w:val="none" w:sz="0" w:space="0" w:color="auto"/>
        <w:right w:val="none" w:sz="0" w:space="0" w:color="auto"/>
      </w:divBdr>
    </w:div>
    <w:div w:id="1326394786">
      <w:bodyDiv w:val="1"/>
      <w:marLeft w:val="0"/>
      <w:marRight w:val="0"/>
      <w:marTop w:val="0"/>
      <w:marBottom w:val="0"/>
      <w:divBdr>
        <w:top w:val="none" w:sz="0" w:space="0" w:color="auto"/>
        <w:left w:val="none" w:sz="0" w:space="0" w:color="auto"/>
        <w:bottom w:val="none" w:sz="0" w:space="0" w:color="auto"/>
        <w:right w:val="none" w:sz="0" w:space="0" w:color="auto"/>
      </w:divBdr>
    </w:div>
    <w:div w:id="1425297692">
      <w:bodyDiv w:val="1"/>
      <w:marLeft w:val="0"/>
      <w:marRight w:val="0"/>
      <w:marTop w:val="0"/>
      <w:marBottom w:val="0"/>
      <w:divBdr>
        <w:top w:val="none" w:sz="0" w:space="0" w:color="auto"/>
        <w:left w:val="none" w:sz="0" w:space="0" w:color="auto"/>
        <w:bottom w:val="none" w:sz="0" w:space="0" w:color="auto"/>
        <w:right w:val="none" w:sz="0" w:space="0" w:color="auto"/>
      </w:divBdr>
    </w:div>
    <w:div w:id="1478914571">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pmc.gov.au/news/transfer-2003-cabinet-records-national-archives-australia"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ibrary.pmc.gov.au/wp-content/uploads/ccby.png" TargetMode="External"/><Relationship Id="rId25" Type="http://schemas.openxmlformats.org/officeDocument/2006/relationships/hyperlink" Target="http://www.aph.gov.au/About_Parliament/Parliamentary_Departments/Parliamentary_Library/pubs/rp/rp2021/Chronologies/COVID-19AustralianGovernmentAnnouncements" TargetMode="Externa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image" Target="media/image4.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s://www.aph.gov.au/About_Parliament/House_of_Representatives/Powers_practice_and_procedure/Practice7/HTML/Chapter2/Cabinet" TargetMode="External"/><Relationship Id="rId10" Type="http://schemas.openxmlformats.org/officeDocument/2006/relationships/header" Target="header1.xml"/><Relationship Id="rId19" Type="http://schemas.openxmlformats.org/officeDocument/2006/relationships/hyperlink" Target="https://pmc.gov.au/cca"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www.aph.gov.au/About_Parliament/Parliamentary_Departments/Parliamentary_Library/pubs/rp/rp1920/Quick_Guides/AustralianCovid-19ResponseManagemen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h.gov.au/About_Parliament/House_of_Representatives/Powers_practice_and_procedure/Practice7/HTML/Chapter2/Cabi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A08E86D64E4B4BA71A00CFE7918852"/>
        <w:category>
          <w:name w:val="General"/>
          <w:gallery w:val="placeholder"/>
        </w:category>
        <w:types>
          <w:type w:val="bbPlcHdr"/>
        </w:types>
        <w:behaviors>
          <w:behavior w:val="content"/>
        </w:behaviors>
        <w:guid w:val="{EEB3D9F5-C16B-48C2-AACA-30764751B73E}"/>
      </w:docPartPr>
      <w:docPartBody>
        <w:p w:rsidR="0003198E" w:rsidRDefault="00FD21E1">
          <w:pPr>
            <w:pStyle w:val="F1A08E86D64E4B4BA71A00CFE7918852"/>
          </w:pPr>
          <w:r w:rsidRPr="00B6525C">
            <w:rPr>
              <w:rStyle w:val="PlaceholderText"/>
            </w:rPr>
            <w:t>Choose an item.</w:t>
          </w:r>
        </w:p>
      </w:docPartBody>
    </w:docPart>
    <w:docPart>
      <w:docPartPr>
        <w:name w:val="66200D97385B48D3940867E0951744F3"/>
        <w:category>
          <w:name w:val="General"/>
          <w:gallery w:val="placeholder"/>
        </w:category>
        <w:types>
          <w:type w:val="bbPlcHdr"/>
        </w:types>
        <w:behaviors>
          <w:behavior w:val="content"/>
        </w:behaviors>
        <w:guid w:val="{BD7CE324-6189-4ECD-ADFC-8180DB725A27}"/>
      </w:docPartPr>
      <w:docPartBody>
        <w:p w:rsidR="0003198E" w:rsidRDefault="00FD21E1">
          <w:pPr>
            <w:pStyle w:val="66200D97385B48D3940867E0951744F3"/>
          </w:pPr>
          <w:r w:rsidRPr="00B6525C">
            <w:rPr>
              <w:rStyle w:val="PlaceholderText"/>
            </w:rPr>
            <w:t>Choose an item.</w:t>
          </w:r>
        </w:p>
      </w:docPartBody>
    </w:docPart>
    <w:docPart>
      <w:docPartPr>
        <w:name w:val="8795178BC67C46D3B1498100CDE54102"/>
        <w:category>
          <w:name w:val="General"/>
          <w:gallery w:val="placeholder"/>
        </w:category>
        <w:types>
          <w:type w:val="bbPlcHdr"/>
        </w:types>
        <w:behaviors>
          <w:behavior w:val="content"/>
        </w:behaviors>
        <w:guid w:val="{09FBBAC9-C0B0-4E87-88C5-C27A1C8B21A5}"/>
      </w:docPartPr>
      <w:docPartBody>
        <w:p w:rsidR="0003198E" w:rsidRDefault="00FD21E1">
          <w:pPr>
            <w:pStyle w:val="8795178BC67C46D3B1498100CDE54102"/>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ardo">
    <w:altName w:val="Times New Roman"/>
    <w:charset w:val="00"/>
    <w:family w:val="roman"/>
    <w:pitch w:val="variable"/>
    <w:sig w:usb0="E40008FF" w:usb1="5201E0FB" w:usb2="04608000" w:usb3="00000000" w:csb0="000000B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E1"/>
    <w:rsid w:val="00013BC5"/>
    <w:rsid w:val="0003198E"/>
    <w:rsid w:val="00091C90"/>
    <w:rsid w:val="000B5DD8"/>
    <w:rsid w:val="000C3A21"/>
    <w:rsid w:val="001042D2"/>
    <w:rsid w:val="00136EFE"/>
    <w:rsid w:val="00145D66"/>
    <w:rsid w:val="0015188E"/>
    <w:rsid w:val="00194BB3"/>
    <w:rsid w:val="001C73A4"/>
    <w:rsid w:val="001C73BE"/>
    <w:rsid w:val="00222DD2"/>
    <w:rsid w:val="002635B0"/>
    <w:rsid w:val="002645A9"/>
    <w:rsid w:val="00270AA8"/>
    <w:rsid w:val="00387F6D"/>
    <w:rsid w:val="00393993"/>
    <w:rsid w:val="00405F52"/>
    <w:rsid w:val="004B20E4"/>
    <w:rsid w:val="004F1586"/>
    <w:rsid w:val="005E6AC1"/>
    <w:rsid w:val="0064136D"/>
    <w:rsid w:val="00695382"/>
    <w:rsid w:val="00705BF0"/>
    <w:rsid w:val="00706B12"/>
    <w:rsid w:val="007527E9"/>
    <w:rsid w:val="00855D3E"/>
    <w:rsid w:val="008A33E8"/>
    <w:rsid w:val="008B4809"/>
    <w:rsid w:val="008B614F"/>
    <w:rsid w:val="008E0308"/>
    <w:rsid w:val="00950800"/>
    <w:rsid w:val="00957E7E"/>
    <w:rsid w:val="00977CC7"/>
    <w:rsid w:val="00986DCD"/>
    <w:rsid w:val="009A2A00"/>
    <w:rsid w:val="009F3E71"/>
    <w:rsid w:val="00A50FD3"/>
    <w:rsid w:val="00B43C40"/>
    <w:rsid w:val="00B602AE"/>
    <w:rsid w:val="00B61E31"/>
    <w:rsid w:val="00C87A2D"/>
    <w:rsid w:val="00C93475"/>
    <w:rsid w:val="00CD01D7"/>
    <w:rsid w:val="00CF6BA3"/>
    <w:rsid w:val="00D67473"/>
    <w:rsid w:val="00D701E1"/>
    <w:rsid w:val="00D8349A"/>
    <w:rsid w:val="00DB63EA"/>
    <w:rsid w:val="00E20026"/>
    <w:rsid w:val="00E43243"/>
    <w:rsid w:val="00E86839"/>
    <w:rsid w:val="00E92160"/>
    <w:rsid w:val="00F743EF"/>
    <w:rsid w:val="00FD21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800"/>
    <w:rPr>
      <w:color w:val="808080"/>
    </w:rPr>
  </w:style>
  <w:style w:type="paragraph" w:customStyle="1" w:styleId="C020B470E283485A9866A4F6CF370E77">
    <w:name w:val="C020B470E283485A9866A4F6CF370E77"/>
  </w:style>
  <w:style w:type="paragraph" w:customStyle="1" w:styleId="83638A448EDF4965822CF361E3C2C38A">
    <w:name w:val="83638A448EDF4965822CF361E3C2C38A"/>
  </w:style>
  <w:style w:type="paragraph" w:customStyle="1" w:styleId="1F265962499C43368BF4A2360EAC1387">
    <w:name w:val="1F265962499C43368BF4A2360EAC1387"/>
  </w:style>
  <w:style w:type="paragraph" w:customStyle="1" w:styleId="F1A08E86D64E4B4BA71A00CFE7918852">
    <w:name w:val="F1A08E86D64E4B4BA71A00CFE7918852"/>
  </w:style>
  <w:style w:type="paragraph" w:customStyle="1" w:styleId="66200D97385B48D3940867E0951744F3">
    <w:name w:val="66200D97385B48D3940867E0951744F3"/>
  </w:style>
  <w:style w:type="paragraph" w:customStyle="1" w:styleId="64E285BB9EDF4393AB5A6F6F2A4AD05A">
    <w:name w:val="64E285BB9EDF4393AB5A6F6F2A4AD05A"/>
  </w:style>
  <w:style w:type="paragraph" w:customStyle="1" w:styleId="2E721FFA221B4206871DC16D9EF885EE">
    <w:name w:val="2E721FFA221B4206871DC16D9EF885EE"/>
  </w:style>
  <w:style w:type="paragraph" w:customStyle="1" w:styleId="8795178BC67C46D3B1498100CDE54102">
    <w:name w:val="8795178BC67C46D3B1498100CDE54102"/>
  </w:style>
  <w:style w:type="paragraph" w:customStyle="1" w:styleId="7DA2DA32C7C94EBC89B72A4D1F7E949F">
    <w:name w:val="7DA2DA32C7C94EBC89B72A4D1F7E949F"/>
    <w:rsid w:val="008E0308"/>
  </w:style>
  <w:style w:type="paragraph" w:customStyle="1" w:styleId="FA6E7AFAA39448D98F5CEB08EFA36AA2">
    <w:name w:val="FA6E7AFAA39448D98F5CEB08EFA36AA2"/>
    <w:rsid w:val="008E0308"/>
  </w:style>
  <w:style w:type="paragraph" w:customStyle="1" w:styleId="4B9D85953E7B420B9BB113E23E9476D8">
    <w:name w:val="4B9D85953E7B420B9BB113E23E9476D8"/>
    <w:rsid w:val="008E0308"/>
  </w:style>
  <w:style w:type="paragraph" w:customStyle="1" w:styleId="E77EEFB8BD724684854CAD474261282F">
    <w:name w:val="E77EEFB8BD724684854CAD474261282F"/>
    <w:rsid w:val="00950800"/>
  </w:style>
  <w:style w:type="paragraph" w:customStyle="1" w:styleId="FFE2584AF95A4442BC441F9D7951AADF">
    <w:name w:val="FFE2584AF95A4442BC441F9D7951AADF"/>
    <w:rsid w:val="00950800"/>
  </w:style>
  <w:style w:type="paragraph" w:customStyle="1" w:styleId="A9A675255E294672B31517E14B532D13">
    <w:name w:val="A9A675255E294672B31517E14B532D13"/>
    <w:rsid w:val="00950800"/>
  </w:style>
  <w:style w:type="paragraph" w:customStyle="1" w:styleId="3AB295D763D042829F516B7B004988CE">
    <w:name w:val="3AB295D763D042829F516B7B004988CE"/>
    <w:rsid w:val="009508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7837-EDE4-4FDB-BADA-33DD268F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7613</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2024-01-29T04:39:00Z</dcterms:created>
  <dcterms:modified xsi:type="dcterms:W3CDTF">2024-01-29T04:39:00Z</dcterms:modified>
</cp:coreProperties>
</file>