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983B" w14:textId="77777777" w:rsidR="00236901" w:rsidRDefault="00236901" w:rsidP="00236901">
      <w:pPr>
        <w:spacing w:before="360"/>
        <w:ind w:right="95"/>
        <w:jc w:val="center"/>
      </w:pPr>
      <w:bookmarkStart w:id="0" w:name="_GoBack"/>
      <w:bookmarkEnd w:id="0"/>
      <w:r>
        <w:rPr>
          <w:caps/>
          <w:noProof/>
          <w:lang w:eastAsia="en-AU"/>
        </w:rPr>
        <w:drawing>
          <wp:inline distT="0" distB="0" distL="0" distR="0" wp14:anchorId="4A57817E" wp14:editId="1A0F9279">
            <wp:extent cx="2465705" cy="1371600"/>
            <wp:effectExtent l="0" t="0" r="0" b="0"/>
            <wp:docPr id="1" name="Picture 1"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1FA9BF64" w14:textId="77777777" w:rsidR="00F90CA6" w:rsidRDefault="00F90CA6" w:rsidP="00F90CA6">
      <w:pPr>
        <w:autoSpaceDE w:val="0"/>
        <w:autoSpaceDN w:val="0"/>
        <w:adjustRightInd w:val="0"/>
        <w:jc w:val="center"/>
        <w:rPr>
          <w:rFonts w:ascii="TimesNewRomanPSMT" w:hAnsi="TimesNewRomanPSMT" w:cs="TimesNewRomanPSMT"/>
          <w:sz w:val="32"/>
          <w:szCs w:val="32"/>
        </w:rPr>
      </w:pPr>
      <w:r>
        <w:rPr>
          <w:rFonts w:ascii="TimesNewRomanPSMT" w:hAnsi="TimesNewRomanPSMT" w:cs="TimesNewRomanPSMT"/>
          <w:sz w:val="32"/>
          <w:szCs w:val="32"/>
        </w:rPr>
        <w:t>Australian Government Response to the</w:t>
      </w:r>
    </w:p>
    <w:p w14:paraId="4E201C65" w14:textId="77777777" w:rsidR="00F90CA6" w:rsidRDefault="00F90CA6" w:rsidP="00F90CA6">
      <w:pPr>
        <w:autoSpaceDE w:val="0"/>
        <w:autoSpaceDN w:val="0"/>
        <w:adjustRightInd w:val="0"/>
        <w:jc w:val="center"/>
        <w:rPr>
          <w:rFonts w:ascii="TimesNewRomanPSMT" w:hAnsi="TimesNewRomanPSMT" w:cs="TimesNewRomanPSMT"/>
          <w:sz w:val="32"/>
          <w:szCs w:val="32"/>
        </w:rPr>
      </w:pPr>
      <w:r>
        <w:rPr>
          <w:rFonts w:ascii="TimesNewRomanPSMT" w:hAnsi="TimesNewRomanPSMT" w:cs="TimesNewRomanPSMT"/>
          <w:sz w:val="32"/>
          <w:szCs w:val="32"/>
        </w:rPr>
        <w:t>Parliamentary Joint Committee on Intelligence and Security Report:</w:t>
      </w:r>
    </w:p>
    <w:p w14:paraId="40EE29F4" w14:textId="77777777" w:rsidR="00F90CA6" w:rsidRPr="00422411" w:rsidRDefault="00F90CA6" w:rsidP="009A03A7">
      <w:pPr>
        <w:jc w:val="center"/>
        <w:outlineLvl w:val="0"/>
        <w:rPr>
          <w:rFonts w:ascii="TimesNewRomanPS-BoldMT" w:hAnsi="TimesNewRomanPS-BoldMT" w:cs="TimesNewRomanPS-BoldMT"/>
          <w:bCs/>
          <w:sz w:val="32"/>
          <w:szCs w:val="32"/>
        </w:rPr>
      </w:pPr>
      <w:r w:rsidRPr="00422411">
        <w:rPr>
          <w:rFonts w:ascii="TimesNewRomanPS-BoldMT" w:hAnsi="TimesNewRomanPS-BoldMT" w:cs="TimesNewRomanPS-BoldMT"/>
          <w:bCs/>
          <w:sz w:val="32"/>
          <w:szCs w:val="32"/>
        </w:rPr>
        <w:t xml:space="preserve">Review of </w:t>
      </w:r>
      <w:r w:rsidR="009E2975" w:rsidRPr="00422411">
        <w:rPr>
          <w:rFonts w:ascii="TimesNewRomanPS-BoldMT" w:hAnsi="TimesNewRomanPS-BoldMT" w:cs="TimesNewRomanPS-BoldMT"/>
          <w:bCs/>
          <w:sz w:val="32"/>
          <w:szCs w:val="32"/>
        </w:rPr>
        <w:t>Administration</w:t>
      </w:r>
      <w:r w:rsidRPr="00422411">
        <w:rPr>
          <w:rFonts w:ascii="TimesNewRomanPS-BoldMT" w:hAnsi="TimesNewRomanPS-BoldMT" w:cs="TimesNewRomanPS-BoldMT"/>
          <w:bCs/>
          <w:sz w:val="32"/>
          <w:szCs w:val="32"/>
        </w:rPr>
        <w:t xml:space="preserve"> and Expenditure</w:t>
      </w:r>
      <w:r w:rsidR="00470CCE" w:rsidRPr="00422411">
        <w:rPr>
          <w:rFonts w:ascii="TimesNewRomanPS-BoldMT" w:hAnsi="TimesNewRomanPS-BoldMT" w:cs="TimesNewRomanPS-BoldMT"/>
          <w:bCs/>
          <w:sz w:val="32"/>
          <w:szCs w:val="32"/>
        </w:rPr>
        <w:t xml:space="preserve">: </w:t>
      </w:r>
      <w:r w:rsidRPr="00422411">
        <w:rPr>
          <w:rFonts w:ascii="TimesNewRomanPS-BoldMT" w:hAnsi="TimesNewRomanPS-BoldMT" w:cs="TimesNewRomanPS-BoldMT"/>
          <w:bCs/>
          <w:sz w:val="32"/>
          <w:szCs w:val="32"/>
        </w:rPr>
        <w:t>No. 20 (2020-2021) – Australian Intelligence Agencies</w:t>
      </w:r>
    </w:p>
    <w:p w14:paraId="0BCC58A0" w14:textId="77777777" w:rsidR="00F90CA6" w:rsidRDefault="00F90CA6" w:rsidP="00236901">
      <w:pPr>
        <w:spacing w:before="240"/>
        <w:jc w:val="center"/>
        <w:rPr>
          <w:rFonts w:ascii="TimesNewRomanPS-BoldMT" w:hAnsi="TimesNewRomanPS-BoldMT" w:cs="TimesNewRomanPS-BoldMT"/>
          <w:b/>
          <w:bCs/>
          <w:sz w:val="32"/>
          <w:szCs w:val="32"/>
        </w:rPr>
      </w:pPr>
    </w:p>
    <w:p w14:paraId="3970A394" w14:textId="77777777" w:rsidR="00AD56C0" w:rsidRDefault="00AD56C0">
      <w:pPr>
        <w:spacing w:after="160" w:line="259" w:lineRule="auto"/>
        <w:rPr>
          <w:b/>
          <w:sz w:val="28"/>
          <w:szCs w:val="28"/>
        </w:rPr>
      </w:pPr>
      <w:r>
        <w:rPr>
          <w:b/>
          <w:sz w:val="28"/>
          <w:szCs w:val="28"/>
        </w:rPr>
        <w:br w:type="page"/>
      </w:r>
    </w:p>
    <w:p w14:paraId="31403A1C" w14:textId="77777777" w:rsidR="00AD56C0" w:rsidRPr="00AD56C0" w:rsidRDefault="00AD56C0" w:rsidP="00AD56C0">
      <w:pPr>
        <w:autoSpaceDE w:val="0"/>
        <w:autoSpaceDN w:val="0"/>
        <w:adjustRightInd w:val="0"/>
        <w:jc w:val="center"/>
        <w:rPr>
          <w:rFonts w:ascii="TimesNewRomanPSMT" w:hAnsi="TimesNewRomanPSMT" w:cs="TimesNewRomanPSMT"/>
          <w:b/>
          <w:sz w:val="26"/>
          <w:szCs w:val="26"/>
        </w:rPr>
      </w:pPr>
      <w:r w:rsidRPr="00AD56C0">
        <w:rPr>
          <w:rFonts w:ascii="TimesNewRomanPSMT" w:hAnsi="TimesNewRomanPSMT" w:cs="TimesNewRomanPSMT"/>
          <w:b/>
          <w:sz w:val="26"/>
          <w:szCs w:val="26"/>
        </w:rPr>
        <w:lastRenderedPageBreak/>
        <w:t>Australian Government response to the Parliamentary Joint Committee on Intelligence and Security report</w:t>
      </w:r>
    </w:p>
    <w:p w14:paraId="080219BE" w14:textId="77777777" w:rsidR="008504FA" w:rsidRDefault="008504FA" w:rsidP="008504FA">
      <w:pPr>
        <w:rPr>
          <w:rFonts w:ascii="TimesNewRomanPS-BoldMT" w:hAnsi="TimesNewRomanPS-BoldMT" w:cs="TimesNewRomanPS-BoldMT"/>
          <w:bCs/>
          <w:i/>
        </w:rPr>
      </w:pPr>
    </w:p>
    <w:p w14:paraId="53A25222" w14:textId="77777777" w:rsidR="00AD56C0" w:rsidRDefault="00AD56C0" w:rsidP="008504FA">
      <w:pPr>
        <w:rPr>
          <w:rFonts w:ascii="TimesNewRomanPS-BoldMT" w:hAnsi="TimesNewRomanPS-BoldMT" w:cs="TimesNewRomanPS-BoldMT"/>
          <w:bCs/>
          <w:i/>
        </w:rPr>
      </w:pPr>
      <w:r w:rsidRPr="00AD56C0">
        <w:rPr>
          <w:rFonts w:ascii="TimesNewRomanPS-BoldMT" w:hAnsi="TimesNewRomanPS-BoldMT" w:cs="TimesNewRomanPS-BoldMT"/>
          <w:bCs/>
          <w:i/>
        </w:rPr>
        <w:t xml:space="preserve">Review of </w:t>
      </w:r>
      <w:r w:rsidR="009E2975" w:rsidRPr="00AD56C0">
        <w:rPr>
          <w:rFonts w:ascii="TimesNewRomanPS-BoldMT" w:hAnsi="TimesNewRomanPS-BoldMT" w:cs="TimesNewRomanPS-BoldMT"/>
          <w:bCs/>
          <w:i/>
        </w:rPr>
        <w:t>Administration</w:t>
      </w:r>
      <w:r w:rsidRPr="00AD56C0">
        <w:rPr>
          <w:rFonts w:ascii="TimesNewRomanPS-BoldMT" w:hAnsi="TimesNewRomanPS-BoldMT" w:cs="TimesNewRomanPS-BoldMT"/>
          <w:bCs/>
          <w:i/>
        </w:rPr>
        <w:t xml:space="preserve"> and Expenditure</w:t>
      </w:r>
      <w:r w:rsidR="00470CCE">
        <w:rPr>
          <w:rFonts w:ascii="TimesNewRomanPS-BoldMT" w:hAnsi="TimesNewRomanPS-BoldMT" w:cs="TimesNewRomanPS-BoldMT"/>
          <w:bCs/>
          <w:i/>
        </w:rPr>
        <w:t xml:space="preserve">: </w:t>
      </w:r>
      <w:r w:rsidRPr="00AD56C0">
        <w:rPr>
          <w:rFonts w:ascii="TimesNewRomanPS-BoldMT" w:hAnsi="TimesNewRomanPS-BoldMT" w:cs="TimesNewRomanPS-BoldMT"/>
          <w:bCs/>
          <w:i/>
        </w:rPr>
        <w:t>No. 20 (2020-2021) – Australian Intelligence Agencies</w:t>
      </w:r>
    </w:p>
    <w:p w14:paraId="1535C077" w14:textId="77777777" w:rsidR="008504FA" w:rsidRPr="00AD56C0" w:rsidRDefault="008504FA" w:rsidP="008504FA">
      <w:pPr>
        <w:rPr>
          <w:rFonts w:ascii="TimesNewRomanPS-BoldMT" w:hAnsi="TimesNewRomanPS-BoldMT" w:cs="TimesNewRomanPS-BoldMT"/>
          <w:bCs/>
          <w:i/>
        </w:rPr>
      </w:pPr>
    </w:p>
    <w:p w14:paraId="4A254E1A" w14:textId="77777777" w:rsidR="00F90CA6" w:rsidRPr="008D62F3" w:rsidRDefault="00F90CA6" w:rsidP="009A03A7">
      <w:pPr>
        <w:spacing w:after="480"/>
        <w:jc w:val="center"/>
        <w:outlineLvl w:val="1"/>
        <w:rPr>
          <w:b/>
          <w:sz w:val="28"/>
          <w:szCs w:val="28"/>
        </w:rPr>
      </w:pPr>
      <w:r w:rsidRPr="008D62F3">
        <w:rPr>
          <w:b/>
          <w:sz w:val="28"/>
          <w:szCs w:val="28"/>
        </w:rPr>
        <w:t>Recommendations</w:t>
      </w:r>
    </w:p>
    <w:p w14:paraId="1432101E" w14:textId="77777777" w:rsidR="00F90CA6" w:rsidRDefault="00F90CA6" w:rsidP="009A03A7">
      <w:pPr>
        <w:autoSpaceDE w:val="0"/>
        <w:autoSpaceDN w:val="0"/>
        <w:adjustRightInd w:val="0"/>
        <w:outlineLvl w:val="2"/>
        <w:rPr>
          <w:rFonts w:ascii="TimesNewRomanPS-BoldMT" w:hAnsi="TimesNewRomanPS-BoldMT" w:cs="TimesNewRomanPS-BoldMT"/>
          <w:b/>
          <w:bCs/>
        </w:rPr>
      </w:pPr>
      <w:r>
        <w:rPr>
          <w:rFonts w:ascii="TimesNewRomanPS-BoldMT" w:hAnsi="TimesNewRomanPS-BoldMT" w:cs="TimesNewRomanPS-BoldMT"/>
          <w:b/>
          <w:bCs/>
        </w:rPr>
        <w:t>Recommendation 1</w:t>
      </w:r>
    </w:p>
    <w:p w14:paraId="5FA10C1D" w14:textId="77777777" w:rsidR="00F90CA6" w:rsidRDefault="00F90CA6" w:rsidP="00F90CA6">
      <w:pPr>
        <w:autoSpaceDE w:val="0"/>
        <w:autoSpaceDN w:val="0"/>
        <w:adjustRightInd w:val="0"/>
        <w:rPr>
          <w:rFonts w:ascii="TimesNewRomanPS-BoldMT" w:hAnsi="TimesNewRomanPS-BoldMT" w:cs="TimesNewRomanPS-BoldMT"/>
          <w:b/>
          <w:bCs/>
        </w:rPr>
      </w:pPr>
    </w:p>
    <w:tbl>
      <w:tblPr>
        <w:tblStyle w:val="TableGrid"/>
        <w:tblW w:w="0" w:type="auto"/>
        <w:tblLook w:val="04A0" w:firstRow="1" w:lastRow="0" w:firstColumn="1" w:lastColumn="0" w:noHBand="0" w:noVBand="1"/>
      </w:tblPr>
      <w:tblGrid>
        <w:gridCol w:w="9016"/>
      </w:tblGrid>
      <w:tr w:rsidR="00F90CA6" w:rsidRPr="00417F55" w14:paraId="54693D31" w14:textId="77777777" w:rsidTr="00B30738">
        <w:tc>
          <w:tcPr>
            <w:tcW w:w="9016" w:type="dxa"/>
          </w:tcPr>
          <w:p w14:paraId="405A9DBC" w14:textId="77777777" w:rsidR="00F90CA6" w:rsidRPr="00417F55" w:rsidRDefault="00F90CA6" w:rsidP="00F90CA6">
            <w:pPr>
              <w:autoSpaceDE w:val="0"/>
              <w:autoSpaceDN w:val="0"/>
              <w:adjustRightInd w:val="0"/>
              <w:spacing w:before="60" w:after="60"/>
            </w:pPr>
            <w:r w:rsidRPr="00417F55">
              <w:t xml:space="preserve">The Committee recommends the Australian Government amend the </w:t>
            </w:r>
            <w:r w:rsidRPr="008166CE">
              <w:rPr>
                <w:i/>
              </w:rPr>
              <w:t xml:space="preserve">Auditor General Act 1997 </w:t>
            </w:r>
            <w:r w:rsidRPr="00417F55">
              <w:t xml:space="preserve">and the </w:t>
            </w:r>
            <w:r w:rsidRPr="008166CE">
              <w:rPr>
                <w:i/>
              </w:rPr>
              <w:t>Intelligence Services Act 2001</w:t>
            </w:r>
            <w:r w:rsidRPr="00417F55">
              <w:t xml:space="preserve">, as necessary, to enable the Auditor-General to: </w:t>
            </w:r>
          </w:p>
          <w:p w14:paraId="6F621008" w14:textId="77777777" w:rsidR="00F90CA6" w:rsidRPr="00417F55" w:rsidRDefault="00F90CA6" w:rsidP="00F90CA6">
            <w:pPr>
              <w:autoSpaceDE w:val="0"/>
              <w:autoSpaceDN w:val="0"/>
              <w:adjustRightInd w:val="0"/>
              <w:spacing w:before="60" w:after="60"/>
            </w:pPr>
            <w:r w:rsidRPr="00417F55">
              <w:t xml:space="preserve">• undertake audits on matters related to National Intelligence Community agencies where the Auditor-General regards this as appropriate; providing that classified reports of such audits are to be presented to Parliament via submission to the Parliamentary Joint Committee on Intelligence and Security, and are exempt from presentation to the House of Representatives and Senate (to the extent they contain classified material); and </w:t>
            </w:r>
          </w:p>
          <w:p w14:paraId="200E01D6" w14:textId="77777777" w:rsidR="00F90CA6" w:rsidRPr="00417F55" w:rsidRDefault="00F90CA6" w:rsidP="00F90CA6">
            <w:pPr>
              <w:autoSpaceDE w:val="0"/>
              <w:autoSpaceDN w:val="0"/>
              <w:adjustRightInd w:val="0"/>
              <w:spacing w:before="60" w:after="60"/>
            </w:pPr>
            <w:r w:rsidRPr="00417F55">
              <w:t xml:space="preserve">• provide the Parliamentary Joint Committee on Intelligence and Security with copies of classified ANAO reports provided to relevant ministers relating to the agencies under the Committee’s oversight, where the Auditor-General regards this as appropriate, and subject to the relevant provisions of the </w:t>
            </w:r>
            <w:r w:rsidRPr="008166CE">
              <w:rPr>
                <w:i/>
              </w:rPr>
              <w:t>Intelligence Services Act 2001</w:t>
            </w:r>
            <w:r w:rsidRPr="00417F55">
              <w:t xml:space="preserve"> governing the provision of information to the Committee.</w:t>
            </w:r>
          </w:p>
        </w:tc>
      </w:tr>
    </w:tbl>
    <w:p w14:paraId="645D6175" w14:textId="77777777" w:rsidR="00F90CA6" w:rsidRPr="00417F55" w:rsidRDefault="00F90CA6" w:rsidP="00F90CA6">
      <w:pPr>
        <w:autoSpaceDE w:val="0"/>
        <w:autoSpaceDN w:val="0"/>
        <w:adjustRightInd w:val="0"/>
        <w:rPr>
          <w:b/>
          <w:bCs/>
        </w:rPr>
      </w:pPr>
    </w:p>
    <w:p w14:paraId="6D70AB7B" w14:textId="77777777" w:rsidR="00F90CA6" w:rsidRPr="00417F55" w:rsidRDefault="00F90CA6" w:rsidP="009A03A7">
      <w:pPr>
        <w:autoSpaceDE w:val="0"/>
        <w:autoSpaceDN w:val="0"/>
        <w:adjustRightInd w:val="0"/>
        <w:outlineLvl w:val="3"/>
        <w:rPr>
          <w:b/>
        </w:rPr>
      </w:pPr>
      <w:r w:rsidRPr="00417F55">
        <w:rPr>
          <w:b/>
        </w:rPr>
        <w:t xml:space="preserve">The Government </w:t>
      </w:r>
      <w:r w:rsidRPr="00655392">
        <w:rPr>
          <w:b/>
        </w:rPr>
        <w:t>notes</w:t>
      </w:r>
      <w:r w:rsidRPr="00417F55">
        <w:rPr>
          <w:b/>
        </w:rPr>
        <w:t xml:space="preserve"> the Committee’s recommendation.</w:t>
      </w:r>
    </w:p>
    <w:p w14:paraId="166F6FB1" w14:textId="2816DF85" w:rsidR="00470CCE" w:rsidRPr="00417F55" w:rsidRDefault="00470CCE" w:rsidP="00F90CA6">
      <w:pPr>
        <w:autoSpaceDE w:val="0"/>
        <w:autoSpaceDN w:val="0"/>
        <w:adjustRightInd w:val="0"/>
      </w:pPr>
    </w:p>
    <w:p w14:paraId="4C1CA341" w14:textId="5BC44D30" w:rsidR="00470CCE" w:rsidRDefault="00470CCE" w:rsidP="00F90CA6">
      <w:pPr>
        <w:autoSpaceDE w:val="0"/>
        <w:autoSpaceDN w:val="0"/>
        <w:adjustRightInd w:val="0"/>
      </w:pPr>
      <w:r w:rsidRPr="00417F55">
        <w:t xml:space="preserve">It is critical in a democracy that intelligence agencies are subject to strong </w:t>
      </w:r>
      <w:r w:rsidR="00237236">
        <w:t xml:space="preserve">and effective </w:t>
      </w:r>
      <w:r w:rsidRPr="00417F55">
        <w:t xml:space="preserve">oversight and accountability mechanisms. </w:t>
      </w:r>
      <w:r w:rsidR="00417F55">
        <w:t xml:space="preserve">The 2017 Independent Intelligence Review acknowledged the </w:t>
      </w:r>
      <w:r w:rsidR="004023E2">
        <w:t xml:space="preserve">broad architecture of the </w:t>
      </w:r>
      <w:r w:rsidR="00417F55">
        <w:t>current</w:t>
      </w:r>
      <w:r w:rsidR="00561977">
        <w:t xml:space="preserve"> intelligence</w:t>
      </w:r>
      <w:r w:rsidR="00417F55">
        <w:t xml:space="preserve"> </w:t>
      </w:r>
      <w:r w:rsidR="009E2975">
        <w:t xml:space="preserve">oversight </w:t>
      </w:r>
      <w:r w:rsidR="00417F55">
        <w:t xml:space="preserve">system “remains appropriate”, balancing the need for </w:t>
      </w:r>
      <w:r w:rsidR="009E2975">
        <w:t>secrecy</w:t>
      </w:r>
      <w:r w:rsidR="00417F55">
        <w:t xml:space="preserve"> and the </w:t>
      </w:r>
      <w:r w:rsidR="00417F55" w:rsidRPr="00417F55">
        <w:t>require</w:t>
      </w:r>
      <w:r w:rsidR="00237236">
        <w:t>ment for robust accountability</w:t>
      </w:r>
      <w:r w:rsidR="00417F55">
        <w:t xml:space="preserve">. </w:t>
      </w:r>
      <w:r w:rsidR="004023E2">
        <w:t>Nevertheless, the 2017 Independent Intelligence Review did recommend changes to components of that system</w:t>
      </w:r>
      <w:r w:rsidR="008C6B05">
        <w:t xml:space="preserve">. </w:t>
      </w:r>
      <w:r w:rsidR="00F667E0">
        <w:t>The Government subseqeuntly introduced</w:t>
      </w:r>
      <w:r w:rsidR="00237236">
        <w:t xml:space="preserve"> the</w:t>
      </w:r>
      <w:r w:rsidR="008C6B05">
        <w:t xml:space="preserve"> Intelligence Services Legislati</w:t>
      </w:r>
      <w:r w:rsidR="00237236">
        <w:t xml:space="preserve">on Amendment Bill 2023 on 22 June 2023, which will continue to enhance oversight by </w:t>
      </w:r>
      <w:r w:rsidR="00237236" w:rsidRPr="00237236">
        <w:t>expanding the jurisdictions of the Inspector-General of Intelligence and Security (IGIS) and the Parliamentary Joint Committee on Intelligence and Security (PJCIS).</w:t>
      </w:r>
    </w:p>
    <w:p w14:paraId="01AFD92C" w14:textId="77777777" w:rsidR="00417F55" w:rsidRDefault="00417F55" w:rsidP="00F90CA6">
      <w:pPr>
        <w:autoSpaceDE w:val="0"/>
        <w:autoSpaceDN w:val="0"/>
        <w:adjustRightInd w:val="0"/>
      </w:pPr>
    </w:p>
    <w:p w14:paraId="7F23A272" w14:textId="7C2BA335" w:rsidR="00D43E72" w:rsidRDefault="00417F55" w:rsidP="00417F55">
      <w:pPr>
        <w:spacing w:after="240"/>
      </w:pPr>
      <w:r>
        <w:t xml:space="preserve">The Government notes the </w:t>
      </w:r>
      <w:r w:rsidR="00237236">
        <w:t>t</w:t>
      </w:r>
      <w:r>
        <w:t xml:space="preserve">erms of </w:t>
      </w:r>
      <w:r w:rsidR="00237236">
        <w:t>r</w:t>
      </w:r>
      <w:r>
        <w:t xml:space="preserve">eference for the 2024 Independent Intelligence Review includes </w:t>
      </w:r>
      <w:r w:rsidR="00561977">
        <w:t>that it will</w:t>
      </w:r>
      <w:r w:rsidR="002121E3">
        <w:t xml:space="preserve"> </w:t>
      </w:r>
      <w:r>
        <w:t>consider “w</w:t>
      </w:r>
      <w:r w:rsidRPr="00417F55">
        <w:t>hether current oversight and evaluation mechanisms are effectiv</w:t>
      </w:r>
      <w:r>
        <w:t xml:space="preserve">e and consistent across the </w:t>
      </w:r>
      <w:r w:rsidR="00237236">
        <w:t>National Intelligence Community (</w:t>
      </w:r>
      <w:r>
        <w:t>NIC</w:t>
      </w:r>
      <w:r w:rsidR="00237236">
        <w:t>)</w:t>
      </w:r>
      <w:r>
        <w:t xml:space="preserve">”. </w:t>
      </w:r>
      <w:r w:rsidR="00561977">
        <w:t xml:space="preserve">Government will await any recommendations from the 2024 Independent Intelligence Review before </w:t>
      </w:r>
      <w:r w:rsidR="00237236">
        <w:t>considering any further</w:t>
      </w:r>
      <w:r w:rsidR="00561977">
        <w:t xml:space="preserve"> alterations to oversight mechanisms</w:t>
      </w:r>
      <w:r w:rsidR="00237236">
        <w:t>.</w:t>
      </w:r>
    </w:p>
    <w:p w14:paraId="5C643BA1" w14:textId="16BB4631" w:rsidR="00F90CA6" w:rsidRDefault="00F90CA6" w:rsidP="00F90CA6">
      <w:pPr>
        <w:autoSpaceDE w:val="0"/>
        <w:autoSpaceDN w:val="0"/>
        <w:adjustRightInd w:val="0"/>
        <w:rPr>
          <w:b/>
          <w:bCs/>
        </w:rPr>
      </w:pPr>
    </w:p>
    <w:p w14:paraId="29807A7A" w14:textId="11705892" w:rsidR="00580308" w:rsidRDefault="00580308" w:rsidP="00F90CA6">
      <w:pPr>
        <w:autoSpaceDE w:val="0"/>
        <w:autoSpaceDN w:val="0"/>
        <w:adjustRightInd w:val="0"/>
        <w:rPr>
          <w:b/>
          <w:bCs/>
        </w:rPr>
      </w:pPr>
    </w:p>
    <w:p w14:paraId="1E028E3E" w14:textId="7EB34469" w:rsidR="00580308" w:rsidRDefault="00580308" w:rsidP="00F90CA6">
      <w:pPr>
        <w:autoSpaceDE w:val="0"/>
        <w:autoSpaceDN w:val="0"/>
        <w:adjustRightInd w:val="0"/>
        <w:rPr>
          <w:b/>
          <w:bCs/>
        </w:rPr>
      </w:pPr>
    </w:p>
    <w:p w14:paraId="3E5460D6" w14:textId="7ED74544" w:rsidR="00580308" w:rsidRDefault="00580308" w:rsidP="00F90CA6">
      <w:pPr>
        <w:autoSpaceDE w:val="0"/>
        <w:autoSpaceDN w:val="0"/>
        <w:adjustRightInd w:val="0"/>
        <w:rPr>
          <w:b/>
          <w:bCs/>
        </w:rPr>
      </w:pPr>
    </w:p>
    <w:p w14:paraId="23892D1D" w14:textId="4BFB3DEF" w:rsidR="00580308" w:rsidRDefault="00580308" w:rsidP="00F90CA6">
      <w:pPr>
        <w:autoSpaceDE w:val="0"/>
        <w:autoSpaceDN w:val="0"/>
        <w:adjustRightInd w:val="0"/>
        <w:rPr>
          <w:b/>
          <w:bCs/>
        </w:rPr>
      </w:pPr>
    </w:p>
    <w:p w14:paraId="0083CE7F" w14:textId="12E9021E" w:rsidR="00580308" w:rsidRDefault="00580308" w:rsidP="00F90CA6">
      <w:pPr>
        <w:autoSpaceDE w:val="0"/>
        <w:autoSpaceDN w:val="0"/>
        <w:adjustRightInd w:val="0"/>
        <w:rPr>
          <w:b/>
          <w:bCs/>
        </w:rPr>
      </w:pPr>
    </w:p>
    <w:p w14:paraId="1002F837" w14:textId="0E04951A" w:rsidR="00580308" w:rsidRDefault="00580308" w:rsidP="00F90CA6">
      <w:pPr>
        <w:autoSpaceDE w:val="0"/>
        <w:autoSpaceDN w:val="0"/>
        <w:adjustRightInd w:val="0"/>
        <w:rPr>
          <w:b/>
          <w:bCs/>
        </w:rPr>
      </w:pPr>
    </w:p>
    <w:p w14:paraId="60D8B606" w14:textId="3272373F" w:rsidR="00580308" w:rsidRDefault="00580308" w:rsidP="00F90CA6">
      <w:pPr>
        <w:autoSpaceDE w:val="0"/>
        <w:autoSpaceDN w:val="0"/>
        <w:adjustRightInd w:val="0"/>
        <w:rPr>
          <w:b/>
          <w:bCs/>
        </w:rPr>
      </w:pPr>
    </w:p>
    <w:p w14:paraId="62BE3876" w14:textId="77777777" w:rsidR="00580308" w:rsidRPr="00417F55" w:rsidRDefault="00580308" w:rsidP="00F90CA6">
      <w:pPr>
        <w:autoSpaceDE w:val="0"/>
        <w:autoSpaceDN w:val="0"/>
        <w:adjustRightInd w:val="0"/>
        <w:rPr>
          <w:b/>
          <w:bCs/>
        </w:rPr>
      </w:pPr>
    </w:p>
    <w:p w14:paraId="0C5071B9" w14:textId="77777777" w:rsidR="00F90CA6" w:rsidRPr="00417F55" w:rsidRDefault="00F90CA6" w:rsidP="009A03A7">
      <w:pPr>
        <w:autoSpaceDE w:val="0"/>
        <w:autoSpaceDN w:val="0"/>
        <w:adjustRightInd w:val="0"/>
        <w:outlineLvl w:val="2"/>
        <w:rPr>
          <w:b/>
          <w:bCs/>
        </w:rPr>
      </w:pPr>
      <w:r w:rsidRPr="009A03A7">
        <w:rPr>
          <w:rFonts w:ascii="TimesNewRomanPS-BoldMT" w:hAnsi="TimesNewRomanPS-BoldMT" w:cs="TimesNewRomanPS-BoldMT"/>
          <w:b/>
          <w:bCs/>
        </w:rPr>
        <w:t>Recommendation</w:t>
      </w:r>
      <w:r w:rsidRPr="00417F55">
        <w:rPr>
          <w:b/>
          <w:bCs/>
        </w:rPr>
        <w:t xml:space="preserve"> 2</w:t>
      </w:r>
    </w:p>
    <w:p w14:paraId="05277EB5" w14:textId="77777777" w:rsidR="00F90CA6" w:rsidRPr="00417F55" w:rsidRDefault="00F90CA6" w:rsidP="009A03A7"/>
    <w:tbl>
      <w:tblPr>
        <w:tblStyle w:val="TableGrid"/>
        <w:tblW w:w="0" w:type="auto"/>
        <w:tblLook w:val="04A0" w:firstRow="1" w:lastRow="0" w:firstColumn="1" w:lastColumn="0" w:noHBand="0" w:noVBand="1"/>
      </w:tblPr>
      <w:tblGrid>
        <w:gridCol w:w="9016"/>
      </w:tblGrid>
      <w:tr w:rsidR="00F90CA6" w:rsidRPr="00417F55" w14:paraId="17A800F4" w14:textId="77777777" w:rsidTr="00B30738">
        <w:tc>
          <w:tcPr>
            <w:tcW w:w="9016" w:type="dxa"/>
          </w:tcPr>
          <w:p w14:paraId="57349795" w14:textId="77777777" w:rsidR="00F90CA6" w:rsidRPr="00417F55" w:rsidRDefault="00F90CA6" w:rsidP="00F90CA6">
            <w:pPr>
              <w:rPr>
                <w:color w:val="1F497D"/>
                <w:sz w:val="22"/>
                <w:szCs w:val="22"/>
              </w:rPr>
            </w:pPr>
            <w:r w:rsidRPr="00417F55">
              <w:t xml:space="preserve">The Committee recommends the Australian Government amend legislation to enable classified annual reports of intelligence agencies subject to review of Administration and Expenditure under the </w:t>
            </w:r>
            <w:r w:rsidRPr="008166CE">
              <w:rPr>
                <w:i/>
              </w:rPr>
              <w:t>Intelligence Services Act 2001</w:t>
            </w:r>
            <w:r w:rsidRPr="00417F55">
              <w:t xml:space="preserve"> to be provided to the Parliamentary Joint Committee on Intelligence and Security.</w:t>
            </w:r>
          </w:p>
        </w:tc>
      </w:tr>
    </w:tbl>
    <w:p w14:paraId="2339519B" w14:textId="77777777" w:rsidR="00F90CA6" w:rsidRPr="00417F55" w:rsidRDefault="00F90CA6" w:rsidP="00F90CA6">
      <w:pPr>
        <w:autoSpaceDE w:val="0"/>
        <w:autoSpaceDN w:val="0"/>
        <w:adjustRightInd w:val="0"/>
        <w:rPr>
          <w:b/>
          <w:bCs/>
        </w:rPr>
      </w:pPr>
    </w:p>
    <w:p w14:paraId="68FC6D4A" w14:textId="1C52C02A" w:rsidR="00F90CA6" w:rsidRDefault="00F90CA6" w:rsidP="009A03A7">
      <w:pPr>
        <w:autoSpaceDE w:val="0"/>
        <w:autoSpaceDN w:val="0"/>
        <w:adjustRightInd w:val="0"/>
        <w:outlineLvl w:val="3"/>
        <w:rPr>
          <w:b/>
        </w:rPr>
      </w:pPr>
      <w:r w:rsidRPr="00AE3D65">
        <w:rPr>
          <w:b/>
        </w:rPr>
        <w:t xml:space="preserve">The Government </w:t>
      </w:r>
      <w:r w:rsidR="000F2885">
        <w:rPr>
          <w:b/>
        </w:rPr>
        <w:t>note</w:t>
      </w:r>
      <w:r w:rsidR="003830B3">
        <w:rPr>
          <w:b/>
        </w:rPr>
        <w:t>s</w:t>
      </w:r>
      <w:r w:rsidR="007B2C15" w:rsidRPr="00E34354">
        <w:rPr>
          <w:b/>
        </w:rPr>
        <w:t xml:space="preserve"> </w:t>
      </w:r>
      <w:r w:rsidRPr="00E34354">
        <w:rPr>
          <w:b/>
        </w:rPr>
        <w:t>the</w:t>
      </w:r>
      <w:r w:rsidRPr="00AE3D65">
        <w:rPr>
          <w:b/>
        </w:rPr>
        <w:t xml:space="preserve"> Committee’s recommendation.</w:t>
      </w:r>
      <w:r w:rsidR="007B2C15">
        <w:rPr>
          <w:b/>
        </w:rPr>
        <w:t xml:space="preserve"> </w:t>
      </w:r>
    </w:p>
    <w:p w14:paraId="36F9A2C0" w14:textId="77777777" w:rsidR="007B2C15" w:rsidRPr="009E51B0" w:rsidRDefault="007B2C15" w:rsidP="00F90CA6">
      <w:pPr>
        <w:autoSpaceDE w:val="0"/>
        <w:autoSpaceDN w:val="0"/>
        <w:adjustRightInd w:val="0"/>
      </w:pPr>
    </w:p>
    <w:p w14:paraId="21E564B0" w14:textId="039D730F" w:rsidR="00BD54AA" w:rsidRDefault="007B2C15" w:rsidP="00F90CA6">
      <w:pPr>
        <w:autoSpaceDE w:val="0"/>
        <w:autoSpaceDN w:val="0"/>
        <w:adjustRightInd w:val="0"/>
      </w:pPr>
      <w:r w:rsidRPr="009E51B0">
        <w:t>There is no</w:t>
      </w:r>
      <w:r w:rsidR="00B6580F">
        <w:t xml:space="preserve"> </w:t>
      </w:r>
      <w:r w:rsidR="007C5200" w:rsidRPr="005E7A51">
        <w:rPr>
          <w:i/>
        </w:rPr>
        <w:t>Intelligence Services Act 2001</w:t>
      </w:r>
      <w:r w:rsidRPr="009E51B0">
        <w:t xml:space="preserve"> legislated requirement for</w:t>
      </w:r>
      <w:r w:rsidR="00BD54AA">
        <w:t xml:space="preserve"> agencies </w:t>
      </w:r>
      <w:r w:rsidR="00B6580F">
        <w:t xml:space="preserve">to produce </w:t>
      </w:r>
      <w:r w:rsidRPr="009E51B0">
        <w:t>classified annual report</w:t>
      </w:r>
      <w:r w:rsidR="00B6580F">
        <w:t>s</w:t>
      </w:r>
      <w:r w:rsidRPr="009E51B0">
        <w:t xml:space="preserve">. </w:t>
      </w:r>
      <w:r w:rsidR="00B6580F">
        <w:t>W</w:t>
      </w:r>
      <w:r w:rsidR="009E51B0">
        <w:t>ere</w:t>
      </w:r>
      <w:r w:rsidR="00BD54AA">
        <w:t xml:space="preserve"> an agency to </w:t>
      </w:r>
      <w:r w:rsidRPr="009E51B0">
        <w:t xml:space="preserve">produce a classified </w:t>
      </w:r>
      <w:r w:rsidR="00237236">
        <w:t>report, s</w:t>
      </w:r>
      <w:r w:rsidR="00D91372">
        <w:t>ection</w:t>
      </w:r>
      <w:r w:rsidRPr="009E51B0">
        <w:t xml:space="preserve"> 29 (1)(b) of the </w:t>
      </w:r>
      <w:r w:rsidR="008166CE" w:rsidRPr="005E7A51">
        <w:rPr>
          <w:i/>
        </w:rPr>
        <w:t>Intelligence Services Act 2001</w:t>
      </w:r>
      <w:r w:rsidR="008166CE">
        <w:t xml:space="preserve"> </w:t>
      </w:r>
      <w:r w:rsidRPr="009E51B0">
        <w:t xml:space="preserve">stipulates that the </w:t>
      </w:r>
      <w:r w:rsidR="001F0440" w:rsidRPr="00417F55">
        <w:t>Parliamentary Joint Committee on Intelligence and Security</w:t>
      </w:r>
      <w:r w:rsidR="001F0440" w:rsidRPr="009E51B0">
        <w:t xml:space="preserve"> </w:t>
      </w:r>
      <w:r w:rsidRPr="009E51B0">
        <w:t>can review any matter in relation to intelligence agencies referred to the Committee by the responsible Minister or the Attorney-General or a resolution of either House of the Parliament.</w:t>
      </w:r>
      <w:r w:rsidR="00B6580F" w:rsidRPr="00B6580F">
        <w:t xml:space="preserve"> </w:t>
      </w:r>
    </w:p>
    <w:p w14:paraId="78546B9B" w14:textId="39B4FD27" w:rsidR="00AE3D65" w:rsidRDefault="00AE3D65" w:rsidP="00F90CA6">
      <w:pPr>
        <w:autoSpaceDE w:val="0"/>
        <w:autoSpaceDN w:val="0"/>
        <w:adjustRightInd w:val="0"/>
      </w:pPr>
    </w:p>
    <w:p w14:paraId="6F60813B" w14:textId="77777777" w:rsidR="0096334C" w:rsidRDefault="0096334C" w:rsidP="00F90CA6">
      <w:pPr>
        <w:autoSpaceDE w:val="0"/>
        <w:autoSpaceDN w:val="0"/>
        <w:adjustRightInd w:val="0"/>
      </w:pPr>
    </w:p>
    <w:p w14:paraId="59B117F0" w14:textId="77777777" w:rsidR="00F90CA6" w:rsidRPr="00417F55" w:rsidRDefault="00F90CA6" w:rsidP="009A03A7">
      <w:pPr>
        <w:autoSpaceDE w:val="0"/>
        <w:autoSpaceDN w:val="0"/>
        <w:adjustRightInd w:val="0"/>
        <w:outlineLvl w:val="2"/>
        <w:rPr>
          <w:b/>
          <w:bCs/>
        </w:rPr>
      </w:pPr>
      <w:r w:rsidRPr="009A03A7">
        <w:rPr>
          <w:rFonts w:ascii="TimesNewRomanPS-BoldMT" w:hAnsi="TimesNewRomanPS-BoldMT" w:cs="TimesNewRomanPS-BoldMT"/>
          <w:b/>
          <w:bCs/>
        </w:rPr>
        <w:t>Recommendation</w:t>
      </w:r>
      <w:r w:rsidRPr="00417F55">
        <w:rPr>
          <w:b/>
          <w:bCs/>
        </w:rPr>
        <w:t xml:space="preserve"> 3</w:t>
      </w:r>
    </w:p>
    <w:p w14:paraId="79F02B20" w14:textId="77777777" w:rsidR="00F90CA6" w:rsidRPr="00417F55" w:rsidRDefault="00F90CA6" w:rsidP="00F90CA6">
      <w:pPr>
        <w:autoSpaceDE w:val="0"/>
        <w:autoSpaceDN w:val="0"/>
        <w:adjustRightInd w:val="0"/>
        <w:rPr>
          <w:b/>
          <w:bCs/>
        </w:rPr>
      </w:pPr>
    </w:p>
    <w:tbl>
      <w:tblPr>
        <w:tblStyle w:val="TableGrid"/>
        <w:tblW w:w="0" w:type="auto"/>
        <w:tblLook w:val="04A0" w:firstRow="1" w:lastRow="0" w:firstColumn="1" w:lastColumn="0" w:noHBand="0" w:noVBand="1"/>
      </w:tblPr>
      <w:tblGrid>
        <w:gridCol w:w="9016"/>
      </w:tblGrid>
      <w:tr w:rsidR="00F90CA6" w:rsidRPr="00417F55" w14:paraId="34D452D5" w14:textId="77777777" w:rsidTr="00B30738">
        <w:tc>
          <w:tcPr>
            <w:tcW w:w="9016" w:type="dxa"/>
          </w:tcPr>
          <w:p w14:paraId="0DB35BC5" w14:textId="77777777" w:rsidR="00F90CA6" w:rsidRPr="00417F55" w:rsidRDefault="00F90CA6" w:rsidP="00417F55">
            <w:pPr>
              <w:rPr>
                <w:color w:val="1F497D"/>
                <w:sz w:val="22"/>
                <w:szCs w:val="22"/>
              </w:rPr>
            </w:pPr>
            <w:r w:rsidRPr="00F13AD2">
              <w:rPr>
                <w:color w:val="000000" w:themeColor="text1"/>
              </w:rPr>
              <w:t>T</w:t>
            </w:r>
            <w:r w:rsidRPr="00417F55">
              <w:t>he Committee recommends that the Office of National Intelligence work with the National Intelligence Community (NIC) to develop consistent data collection on staff movement and staff retention, and work to develop a whole</w:t>
            </w:r>
            <w:r w:rsidR="00417F55">
              <w:t>-</w:t>
            </w:r>
            <w:r w:rsidRPr="00417F55">
              <w:t>of-NIC strategy to improve attraction and retention. The Committee recommends that the Office of National Intelligence update the Committee in 12 months on its progress in this area.</w:t>
            </w:r>
          </w:p>
        </w:tc>
      </w:tr>
    </w:tbl>
    <w:p w14:paraId="507A8D0B" w14:textId="77777777" w:rsidR="00F90CA6" w:rsidRPr="00417F55" w:rsidRDefault="00F90CA6" w:rsidP="00F90CA6">
      <w:pPr>
        <w:autoSpaceDE w:val="0"/>
        <w:autoSpaceDN w:val="0"/>
        <w:adjustRightInd w:val="0"/>
        <w:rPr>
          <w:b/>
          <w:bCs/>
        </w:rPr>
      </w:pPr>
    </w:p>
    <w:p w14:paraId="0881CCC5" w14:textId="77777777" w:rsidR="00F90CA6" w:rsidRPr="00417F55" w:rsidRDefault="00F90CA6" w:rsidP="009A03A7">
      <w:pPr>
        <w:autoSpaceDE w:val="0"/>
        <w:autoSpaceDN w:val="0"/>
        <w:adjustRightInd w:val="0"/>
        <w:outlineLvl w:val="3"/>
        <w:rPr>
          <w:b/>
        </w:rPr>
      </w:pPr>
      <w:r w:rsidRPr="00417F55">
        <w:rPr>
          <w:b/>
        </w:rPr>
        <w:t xml:space="preserve">The </w:t>
      </w:r>
      <w:r w:rsidRPr="00E34354">
        <w:rPr>
          <w:b/>
        </w:rPr>
        <w:t>Government accepts</w:t>
      </w:r>
      <w:r w:rsidR="00417F55" w:rsidRPr="00E34354">
        <w:rPr>
          <w:b/>
        </w:rPr>
        <w:t xml:space="preserve"> in principle </w:t>
      </w:r>
      <w:r w:rsidRPr="00417F55">
        <w:rPr>
          <w:b/>
        </w:rPr>
        <w:t>the Committee’s recommendation.</w:t>
      </w:r>
    </w:p>
    <w:p w14:paraId="76995903" w14:textId="77777777" w:rsidR="00417F55" w:rsidRDefault="00417F55" w:rsidP="00F90CA6">
      <w:pPr>
        <w:autoSpaceDE w:val="0"/>
        <w:autoSpaceDN w:val="0"/>
        <w:adjustRightInd w:val="0"/>
      </w:pPr>
    </w:p>
    <w:p w14:paraId="73F8B1D0" w14:textId="4FF46912" w:rsidR="00713D6C" w:rsidRDefault="00AE3D65" w:rsidP="00AE3D65">
      <w:pPr>
        <w:spacing w:after="240"/>
      </w:pPr>
      <w:r>
        <w:t>The Government notes th</w:t>
      </w:r>
      <w:r w:rsidR="00237236">
        <w:t>e t</w:t>
      </w:r>
      <w:r>
        <w:t xml:space="preserve">erms of </w:t>
      </w:r>
      <w:r w:rsidR="00237236">
        <w:t>r</w:t>
      </w:r>
      <w:r>
        <w:t>eference for the 2024 Independent Intelligence Review include to consider “</w:t>
      </w:r>
      <w:r w:rsidR="00422411">
        <w:t>w</w:t>
      </w:r>
      <w:r w:rsidRPr="00AE3D65">
        <w:t>hether workforce decisions by the NIC at both the agency and community levels reflect a sufficiently strategic response to current and future workforce challenges, anticipate future capabilities of other states so we are best positioned to counter threats, are in line with the Australian Public Service commitments to diversity and inclusion and offer options if re</w:t>
      </w:r>
      <w:r>
        <w:t xml:space="preserve">cruitment targets cannot be met”. </w:t>
      </w:r>
    </w:p>
    <w:p w14:paraId="41E77BD6" w14:textId="0EC5843D" w:rsidR="001F0440" w:rsidRDefault="00713D6C" w:rsidP="00AE3D65">
      <w:pPr>
        <w:spacing w:after="240"/>
      </w:pPr>
      <w:r>
        <w:t xml:space="preserve">Government will await any recommendations from the 2024 Independent Intelligence Review before providing an update to the Committee on workforce considerations and strategy.  </w:t>
      </w:r>
    </w:p>
    <w:p w14:paraId="3C7CF782" w14:textId="77777777" w:rsidR="00F90CA6" w:rsidRPr="00417F55" w:rsidRDefault="00F90CA6" w:rsidP="009A03A7">
      <w:pPr>
        <w:autoSpaceDE w:val="0"/>
        <w:autoSpaceDN w:val="0"/>
        <w:adjustRightInd w:val="0"/>
        <w:outlineLvl w:val="2"/>
        <w:rPr>
          <w:b/>
          <w:bCs/>
        </w:rPr>
      </w:pPr>
      <w:r w:rsidRPr="009A03A7">
        <w:rPr>
          <w:rFonts w:ascii="TimesNewRomanPS-BoldMT" w:hAnsi="TimesNewRomanPS-BoldMT" w:cs="TimesNewRomanPS-BoldMT"/>
          <w:b/>
          <w:bCs/>
        </w:rPr>
        <w:t>Recommendation</w:t>
      </w:r>
      <w:r w:rsidRPr="00417F55">
        <w:rPr>
          <w:b/>
          <w:bCs/>
        </w:rPr>
        <w:t xml:space="preserve"> 4</w:t>
      </w:r>
    </w:p>
    <w:p w14:paraId="21300A00" w14:textId="77777777" w:rsidR="00F90CA6" w:rsidRPr="00417F55" w:rsidRDefault="00F90CA6" w:rsidP="00F90CA6">
      <w:pPr>
        <w:autoSpaceDE w:val="0"/>
        <w:autoSpaceDN w:val="0"/>
        <w:adjustRightInd w:val="0"/>
        <w:rPr>
          <w:b/>
          <w:bCs/>
        </w:rPr>
      </w:pPr>
    </w:p>
    <w:tbl>
      <w:tblPr>
        <w:tblStyle w:val="TableGrid"/>
        <w:tblW w:w="0" w:type="auto"/>
        <w:tblLook w:val="04A0" w:firstRow="1" w:lastRow="0" w:firstColumn="1" w:lastColumn="0" w:noHBand="0" w:noVBand="1"/>
      </w:tblPr>
      <w:tblGrid>
        <w:gridCol w:w="9016"/>
      </w:tblGrid>
      <w:tr w:rsidR="00F90CA6" w:rsidRPr="00417F55" w14:paraId="07887383" w14:textId="77777777" w:rsidTr="00B30738">
        <w:tc>
          <w:tcPr>
            <w:tcW w:w="9016" w:type="dxa"/>
          </w:tcPr>
          <w:p w14:paraId="4AFC5853" w14:textId="77777777" w:rsidR="00F90CA6" w:rsidRPr="00417F55" w:rsidRDefault="00F90CA6" w:rsidP="00F90CA6">
            <w:pPr>
              <w:rPr>
                <w:color w:val="1F497D"/>
                <w:sz w:val="22"/>
                <w:szCs w:val="22"/>
              </w:rPr>
            </w:pPr>
            <w:r w:rsidRPr="00417F55">
              <w:t>The Committee recommends that the Director-General of Security consider reporting publicly, when appropriate opportunities arise, on the prevalence of disinformation, misinformation and harmful propaganda that threaten Australia’s national security, their sources, and strategies undertaken by intelligence agencies to reduce their impact.</w:t>
            </w:r>
          </w:p>
          <w:p w14:paraId="4DD53614" w14:textId="77777777" w:rsidR="00F90CA6" w:rsidRPr="00417F55" w:rsidRDefault="00F90CA6" w:rsidP="00B30738">
            <w:pPr>
              <w:autoSpaceDE w:val="0"/>
              <w:autoSpaceDN w:val="0"/>
              <w:adjustRightInd w:val="0"/>
              <w:spacing w:before="60" w:after="60"/>
            </w:pPr>
          </w:p>
        </w:tc>
      </w:tr>
    </w:tbl>
    <w:p w14:paraId="18C41EB1" w14:textId="77777777" w:rsidR="00F90CA6" w:rsidRPr="00417F55" w:rsidRDefault="00F90CA6" w:rsidP="00F90CA6">
      <w:pPr>
        <w:autoSpaceDE w:val="0"/>
        <w:autoSpaceDN w:val="0"/>
        <w:adjustRightInd w:val="0"/>
        <w:rPr>
          <w:b/>
          <w:bCs/>
        </w:rPr>
      </w:pPr>
    </w:p>
    <w:p w14:paraId="36DA2552" w14:textId="2408FC66" w:rsidR="00F90CA6" w:rsidRDefault="00F90CA6" w:rsidP="009A03A7">
      <w:pPr>
        <w:autoSpaceDE w:val="0"/>
        <w:autoSpaceDN w:val="0"/>
        <w:adjustRightInd w:val="0"/>
        <w:outlineLvl w:val="3"/>
        <w:rPr>
          <w:b/>
        </w:rPr>
      </w:pPr>
      <w:r w:rsidRPr="00417F55">
        <w:rPr>
          <w:b/>
        </w:rPr>
        <w:t xml:space="preserve">The Government </w:t>
      </w:r>
      <w:r w:rsidR="00417F55" w:rsidRPr="00417F55">
        <w:rPr>
          <w:b/>
        </w:rPr>
        <w:t>accepts</w:t>
      </w:r>
      <w:r w:rsidRPr="00417F55">
        <w:rPr>
          <w:b/>
        </w:rPr>
        <w:t xml:space="preserve"> the Committee’s recommendation.</w:t>
      </w:r>
    </w:p>
    <w:p w14:paraId="7B19E6DA" w14:textId="2BBA4623" w:rsidR="0096334C" w:rsidRDefault="0096334C" w:rsidP="00F90CA6">
      <w:pPr>
        <w:autoSpaceDE w:val="0"/>
        <w:autoSpaceDN w:val="0"/>
        <w:adjustRightInd w:val="0"/>
        <w:rPr>
          <w:b/>
        </w:rPr>
      </w:pPr>
    </w:p>
    <w:p w14:paraId="28BE01EF" w14:textId="738B96C2" w:rsidR="006455E7" w:rsidRPr="006E6229" w:rsidRDefault="001F0440" w:rsidP="00F13AD2">
      <w:pPr>
        <w:spacing w:after="240"/>
      </w:pPr>
      <w:r w:rsidRPr="001F0440">
        <w:t xml:space="preserve">The Director-General of Security will consider reporting publicly about disinformation, misinformation and harmful propaganda that threaten Australia’s national security where </w:t>
      </w:r>
      <w:r w:rsidRPr="001F0440">
        <w:lastRenderedPageBreak/>
        <w:t>relevant to ASIO’s heads of security as defined in the </w:t>
      </w:r>
      <w:r w:rsidRPr="001F0440">
        <w:rPr>
          <w:i/>
        </w:rPr>
        <w:t>Australian Security Intelligence Organisation Act 1979</w:t>
      </w:r>
      <w:r w:rsidRPr="001F0440">
        <w:t>, and when in line with Australia’s national interest.</w:t>
      </w:r>
    </w:p>
    <w:sectPr w:rsidR="006455E7" w:rsidRPr="006E6229" w:rsidSect="00510BCE">
      <w:headerReference w:type="even" r:id="rId12"/>
      <w:headerReference w:type="default" r:id="rId13"/>
      <w:footerReference w:type="even" r:id="rId14"/>
      <w:footerReference w:type="default" r:id="rId15"/>
      <w:headerReference w:type="first" r:id="rId16"/>
      <w:footerReference w:type="first" r:id="rId17"/>
      <w:pgSz w:w="11906" w:h="16838"/>
      <w:pgMar w:top="567"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87497" w16cid:durableId="28CA80D9"/>
  <w16cid:commentId w16cid:paraId="5B819C43" w16cid:durableId="28CA82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17B3" w14:textId="77777777" w:rsidR="002D70A4" w:rsidRDefault="002D70A4" w:rsidP="00640660">
      <w:r>
        <w:separator/>
      </w:r>
    </w:p>
  </w:endnote>
  <w:endnote w:type="continuationSeparator" w:id="0">
    <w:p w14:paraId="5B3D4A7C" w14:textId="77777777" w:rsidR="002D70A4" w:rsidRDefault="002D70A4" w:rsidP="0064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3C76" w14:textId="77777777" w:rsidR="00B92B49" w:rsidRDefault="00B92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25224" w14:textId="77777777" w:rsidR="00B92B49" w:rsidRDefault="00B92B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94757" w14:textId="77777777" w:rsidR="00B92B49" w:rsidRDefault="00B92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3C6C" w14:textId="77777777" w:rsidR="002D70A4" w:rsidRDefault="002D70A4" w:rsidP="00640660">
      <w:r>
        <w:separator/>
      </w:r>
    </w:p>
  </w:footnote>
  <w:footnote w:type="continuationSeparator" w:id="0">
    <w:p w14:paraId="6E02F7CD" w14:textId="77777777" w:rsidR="002D70A4" w:rsidRDefault="002D70A4" w:rsidP="00640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5D08" w14:textId="77777777" w:rsidR="00B92B49" w:rsidRDefault="00B92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83FF5" w14:textId="77777777" w:rsidR="00B92B49" w:rsidRDefault="00B92B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BE20" w14:textId="77777777" w:rsidR="00B92B49" w:rsidRDefault="00B92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477"/>
    <w:multiLevelType w:val="hybridMultilevel"/>
    <w:tmpl w:val="5456DA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455621E"/>
    <w:multiLevelType w:val="hybridMultilevel"/>
    <w:tmpl w:val="E5709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408B53EB"/>
    <w:multiLevelType w:val="hybridMultilevel"/>
    <w:tmpl w:val="6F28BD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B52C96"/>
    <w:multiLevelType w:val="hybridMultilevel"/>
    <w:tmpl w:val="58589D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43C60E3"/>
    <w:multiLevelType w:val="hybridMultilevel"/>
    <w:tmpl w:val="425AC5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07977"/>
    <w:rsid w:val="00034C06"/>
    <w:rsid w:val="00055906"/>
    <w:rsid w:val="0006519F"/>
    <w:rsid w:val="000F2885"/>
    <w:rsid w:val="00101724"/>
    <w:rsid w:val="001072B8"/>
    <w:rsid w:val="00122712"/>
    <w:rsid w:val="00133FD4"/>
    <w:rsid w:val="0016255F"/>
    <w:rsid w:val="00184DC5"/>
    <w:rsid w:val="00194BA6"/>
    <w:rsid w:val="001F0440"/>
    <w:rsid w:val="002121E3"/>
    <w:rsid w:val="00236901"/>
    <w:rsid w:val="00237236"/>
    <w:rsid w:val="00251FA3"/>
    <w:rsid w:val="002D70A4"/>
    <w:rsid w:val="00305481"/>
    <w:rsid w:val="003126D4"/>
    <w:rsid w:val="00340F54"/>
    <w:rsid w:val="00353FD7"/>
    <w:rsid w:val="003830B3"/>
    <w:rsid w:val="003D49E4"/>
    <w:rsid w:val="003E72CE"/>
    <w:rsid w:val="004023E2"/>
    <w:rsid w:val="00404885"/>
    <w:rsid w:val="004063DC"/>
    <w:rsid w:val="00417F55"/>
    <w:rsid w:val="00422411"/>
    <w:rsid w:val="00470CCE"/>
    <w:rsid w:val="00494F72"/>
    <w:rsid w:val="004F01EC"/>
    <w:rsid w:val="00510BCE"/>
    <w:rsid w:val="00540667"/>
    <w:rsid w:val="00561977"/>
    <w:rsid w:val="00580308"/>
    <w:rsid w:val="005E7A51"/>
    <w:rsid w:val="006011DE"/>
    <w:rsid w:val="00613A59"/>
    <w:rsid w:val="00640660"/>
    <w:rsid w:val="006455E7"/>
    <w:rsid w:val="00655392"/>
    <w:rsid w:val="006B4F21"/>
    <w:rsid w:val="006E6229"/>
    <w:rsid w:val="00713D6C"/>
    <w:rsid w:val="00721B3D"/>
    <w:rsid w:val="00776590"/>
    <w:rsid w:val="007820EC"/>
    <w:rsid w:val="007B2C15"/>
    <w:rsid w:val="007C5200"/>
    <w:rsid w:val="00805F18"/>
    <w:rsid w:val="008166CE"/>
    <w:rsid w:val="00832CD9"/>
    <w:rsid w:val="008504FA"/>
    <w:rsid w:val="00854626"/>
    <w:rsid w:val="00854669"/>
    <w:rsid w:val="00865328"/>
    <w:rsid w:val="008C6B05"/>
    <w:rsid w:val="008F3DA5"/>
    <w:rsid w:val="00925065"/>
    <w:rsid w:val="0096334C"/>
    <w:rsid w:val="00981CA4"/>
    <w:rsid w:val="009A03A7"/>
    <w:rsid w:val="009E2975"/>
    <w:rsid w:val="009E51B0"/>
    <w:rsid w:val="009F1D21"/>
    <w:rsid w:val="009F4CA5"/>
    <w:rsid w:val="00A53C7D"/>
    <w:rsid w:val="00A71E34"/>
    <w:rsid w:val="00A7212C"/>
    <w:rsid w:val="00A764C3"/>
    <w:rsid w:val="00A91544"/>
    <w:rsid w:val="00AC36FD"/>
    <w:rsid w:val="00AD56C0"/>
    <w:rsid w:val="00AE3D65"/>
    <w:rsid w:val="00B07B31"/>
    <w:rsid w:val="00B6580F"/>
    <w:rsid w:val="00B92B49"/>
    <w:rsid w:val="00BD54AA"/>
    <w:rsid w:val="00C45BA7"/>
    <w:rsid w:val="00C62D55"/>
    <w:rsid w:val="00CB6888"/>
    <w:rsid w:val="00D04818"/>
    <w:rsid w:val="00D43E72"/>
    <w:rsid w:val="00D719D2"/>
    <w:rsid w:val="00D732B6"/>
    <w:rsid w:val="00D878C7"/>
    <w:rsid w:val="00D91372"/>
    <w:rsid w:val="00DA55F2"/>
    <w:rsid w:val="00DA6FE6"/>
    <w:rsid w:val="00DD2822"/>
    <w:rsid w:val="00DD4189"/>
    <w:rsid w:val="00E3308F"/>
    <w:rsid w:val="00E34354"/>
    <w:rsid w:val="00E644AD"/>
    <w:rsid w:val="00EB0B90"/>
    <w:rsid w:val="00EC7701"/>
    <w:rsid w:val="00EE5DAB"/>
    <w:rsid w:val="00EF54E8"/>
    <w:rsid w:val="00F05BA6"/>
    <w:rsid w:val="00F13AD2"/>
    <w:rsid w:val="00F53754"/>
    <w:rsid w:val="00F55F92"/>
    <w:rsid w:val="00F667E0"/>
    <w:rsid w:val="00F90CA6"/>
    <w:rsid w:val="00FA0DF6"/>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5C34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660"/>
    <w:pPr>
      <w:tabs>
        <w:tab w:val="center" w:pos="4513"/>
        <w:tab w:val="right" w:pos="9026"/>
      </w:tabs>
    </w:pPr>
  </w:style>
  <w:style w:type="character" w:customStyle="1" w:styleId="HeaderChar">
    <w:name w:val="Header Char"/>
    <w:basedOn w:val="DefaultParagraphFont"/>
    <w:link w:val="Header"/>
    <w:uiPriority w:val="99"/>
    <w:rsid w:val="006406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0660"/>
    <w:pPr>
      <w:tabs>
        <w:tab w:val="center" w:pos="4513"/>
        <w:tab w:val="right" w:pos="9026"/>
      </w:tabs>
    </w:pPr>
  </w:style>
  <w:style w:type="character" w:customStyle="1" w:styleId="FooterChar">
    <w:name w:val="Footer Char"/>
    <w:basedOn w:val="DefaultParagraphFont"/>
    <w:link w:val="Footer"/>
    <w:uiPriority w:val="99"/>
    <w:rsid w:val="00640660"/>
    <w:rPr>
      <w:rFonts w:ascii="Times New Roman" w:eastAsia="Times New Roman" w:hAnsi="Times New Roman" w:cs="Times New Roman"/>
      <w:sz w:val="24"/>
      <w:szCs w:val="24"/>
    </w:rPr>
  </w:style>
  <w:style w:type="table" w:styleId="TableGrid">
    <w:name w:val="Table Grid"/>
    <w:basedOn w:val="TableNormal"/>
    <w:uiPriority w:val="39"/>
    <w:rsid w:val="00F90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V text Char,Dot pt Char,F5 List Paragraph Char,FooterText Char,L Char,List Bullet Cab Char,List Paragraph1 Char,List Paragraph11 Char,List Paragraph111 Char,List Paragraph2 Char,Medium Grid 1 - Accent 21 Char,Numbered Paragraph Char"/>
    <w:basedOn w:val="DefaultParagraphFont"/>
    <w:link w:val="ListParagraph"/>
    <w:uiPriority w:val="34"/>
    <w:qFormat/>
    <w:locked/>
    <w:rsid w:val="00417F55"/>
  </w:style>
  <w:style w:type="paragraph" w:styleId="ListParagraph">
    <w:name w:val="List Paragraph"/>
    <w:aliases w:val="CV text,Dot pt,F5 List Paragraph,FooterText,L,List Bullet Cab,List Paragraph1,List Paragraph11,List Paragraph111,List Paragraph2,Medium Grid 1 - Accent 21,NFP GP Bulleted List,Numbered Paragraph,Recommendation,Table text,numbered,列出,CV t"/>
    <w:basedOn w:val="Normal"/>
    <w:link w:val="ListParagraphChar"/>
    <w:uiPriority w:val="34"/>
    <w:qFormat/>
    <w:rsid w:val="00417F55"/>
    <w:pPr>
      <w:spacing w:after="160" w:line="25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D5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4AA"/>
    <w:rPr>
      <w:rFonts w:ascii="Segoe UI" w:eastAsia="Times New Roman" w:hAnsi="Segoe UI" w:cs="Segoe UI"/>
      <w:sz w:val="18"/>
      <w:szCs w:val="18"/>
    </w:rPr>
  </w:style>
  <w:style w:type="paragraph" w:customStyle="1" w:styleId="Default">
    <w:name w:val="Default"/>
    <w:rsid w:val="00BD54AA"/>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62D55"/>
    <w:rPr>
      <w:sz w:val="20"/>
      <w:szCs w:val="20"/>
    </w:rPr>
  </w:style>
  <w:style w:type="character" w:customStyle="1" w:styleId="FootnoteTextChar">
    <w:name w:val="Footnote Text Char"/>
    <w:basedOn w:val="DefaultParagraphFont"/>
    <w:link w:val="FootnoteText"/>
    <w:uiPriority w:val="99"/>
    <w:semiHidden/>
    <w:rsid w:val="00C62D5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62D55"/>
    <w:rPr>
      <w:vertAlign w:val="superscript"/>
    </w:rPr>
  </w:style>
  <w:style w:type="character" w:customStyle="1" w:styleId="act-reference">
    <w:name w:val="act-reference"/>
    <w:basedOn w:val="DefaultParagraphFont"/>
    <w:rsid w:val="00D43E72"/>
  </w:style>
  <w:style w:type="character" w:styleId="CommentReference">
    <w:name w:val="annotation reference"/>
    <w:basedOn w:val="DefaultParagraphFont"/>
    <w:uiPriority w:val="99"/>
    <w:semiHidden/>
    <w:unhideWhenUsed/>
    <w:rsid w:val="00E34354"/>
    <w:rPr>
      <w:sz w:val="16"/>
      <w:szCs w:val="16"/>
    </w:rPr>
  </w:style>
  <w:style w:type="paragraph" w:styleId="CommentText">
    <w:name w:val="annotation text"/>
    <w:basedOn w:val="Normal"/>
    <w:link w:val="CommentTextChar"/>
    <w:uiPriority w:val="99"/>
    <w:semiHidden/>
    <w:unhideWhenUsed/>
    <w:rsid w:val="00E34354"/>
    <w:rPr>
      <w:sz w:val="20"/>
      <w:szCs w:val="20"/>
    </w:rPr>
  </w:style>
  <w:style w:type="character" w:customStyle="1" w:styleId="CommentTextChar">
    <w:name w:val="Comment Text Char"/>
    <w:basedOn w:val="DefaultParagraphFont"/>
    <w:link w:val="CommentText"/>
    <w:uiPriority w:val="99"/>
    <w:semiHidden/>
    <w:rsid w:val="00E343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354"/>
    <w:rPr>
      <w:b/>
      <w:bCs/>
    </w:rPr>
  </w:style>
  <w:style w:type="character" w:customStyle="1" w:styleId="CommentSubjectChar">
    <w:name w:val="Comment Subject Char"/>
    <w:basedOn w:val="CommentTextChar"/>
    <w:link w:val="CommentSubject"/>
    <w:uiPriority w:val="99"/>
    <w:semiHidden/>
    <w:rsid w:val="00E34354"/>
    <w:rPr>
      <w:rFonts w:ascii="Times New Roman" w:eastAsia="Times New Roman" w:hAnsi="Times New Roman" w:cs="Times New Roman"/>
      <w:b/>
      <w:bCs/>
      <w:sz w:val="20"/>
      <w:szCs w:val="20"/>
    </w:rPr>
  </w:style>
  <w:style w:type="paragraph" w:customStyle="1" w:styleId="s11">
    <w:name w:val="s11"/>
    <w:basedOn w:val="Normal"/>
    <w:rsid w:val="001F0440"/>
    <w:pPr>
      <w:spacing w:before="100" w:beforeAutospacing="1" w:after="100" w:afterAutospacing="1"/>
    </w:pPr>
    <w:rPr>
      <w:rFonts w:ascii="Calibri" w:eastAsiaTheme="minorHAnsi" w:hAnsi="Calibri" w:cs="Calibri"/>
      <w:sz w:val="22"/>
      <w:szCs w:val="22"/>
      <w:lang w:eastAsia="en-AU"/>
    </w:rPr>
  </w:style>
  <w:style w:type="character" w:customStyle="1" w:styleId="bumpedfont15">
    <w:name w:val="bumpedfont15"/>
    <w:basedOn w:val="DefaultParagraphFont"/>
    <w:rsid w:val="001F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75253693">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550724514">
      <w:bodyDiv w:val="1"/>
      <w:marLeft w:val="0"/>
      <w:marRight w:val="0"/>
      <w:marTop w:val="0"/>
      <w:marBottom w:val="0"/>
      <w:divBdr>
        <w:top w:val="none" w:sz="0" w:space="0" w:color="auto"/>
        <w:left w:val="none" w:sz="0" w:space="0" w:color="auto"/>
        <w:bottom w:val="none" w:sz="0" w:space="0" w:color="auto"/>
        <w:right w:val="none" w:sz="0" w:space="0" w:color="auto"/>
      </w:divBdr>
    </w:div>
    <w:div w:id="953176733">
      <w:bodyDiv w:val="1"/>
      <w:marLeft w:val="0"/>
      <w:marRight w:val="0"/>
      <w:marTop w:val="0"/>
      <w:marBottom w:val="0"/>
      <w:divBdr>
        <w:top w:val="none" w:sz="0" w:space="0" w:color="auto"/>
        <w:left w:val="none" w:sz="0" w:space="0" w:color="auto"/>
        <w:bottom w:val="none" w:sz="0" w:space="0" w:color="auto"/>
        <w:right w:val="none" w:sz="0" w:space="0" w:color="auto"/>
      </w:divBdr>
    </w:div>
    <w:div w:id="1035546593">
      <w:bodyDiv w:val="1"/>
      <w:marLeft w:val="0"/>
      <w:marRight w:val="0"/>
      <w:marTop w:val="0"/>
      <w:marBottom w:val="0"/>
      <w:divBdr>
        <w:top w:val="none" w:sz="0" w:space="0" w:color="auto"/>
        <w:left w:val="none" w:sz="0" w:space="0" w:color="auto"/>
        <w:bottom w:val="none" w:sz="0" w:space="0" w:color="auto"/>
        <w:right w:val="none" w:sz="0" w:space="0" w:color="auto"/>
      </w:divBdr>
    </w:div>
    <w:div w:id="1157841586">
      <w:bodyDiv w:val="1"/>
      <w:marLeft w:val="0"/>
      <w:marRight w:val="0"/>
      <w:marTop w:val="0"/>
      <w:marBottom w:val="0"/>
      <w:divBdr>
        <w:top w:val="none" w:sz="0" w:space="0" w:color="auto"/>
        <w:left w:val="none" w:sz="0" w:space="0" w:color="auto"/>
        <w:bottom w:val="none" w:sz="0" w:space="0" w:color="auto"/>
        <w:right w:val="none" w:sz="0" w:space="0" w:color="auto"/>
      </w:divBdr>
    </w:div>
    <w:div w:id="1334843923">
      <w:bodyDiv w:val="1"/>
      <w:marLeft w:val="0"/>
      <w:marRight w:val="0"/>
      <w:marTop w:val="0"/>
      <w:marBottom w:val="0"/>
      <w:divBdr>
        <w:top w:val="none" w:sz="0" w:space="0" w:color="auto"/>
        <w:left w:val="none" w:sz="0" w:space="0" w:color="auto"/>
        <w:bottom w:val="none" w:sz="0" w:space="0" w:color="auto"/>
        <w:right w:val="none" w:sz="0" w:space="0" w:color="auto"/>
      </w:divBdr>
    </w:div>
    <w:div w:id="1431197447">
      <w:bodyDiv w:val="1"/>
      <w:marLeft w:val="0"/>
      <w:marRight w:val="0"/>
      <w:marTop w:val="0"/>
      <w:marBottom w:val="0"/>
      <w:divBdr>
        <w:top w:val="none" w:sz="0" w:space="0" w:color="auto"/>
        <w:left w:val="none" w:sz="0" w:space="0" w:color="auto"/>
        <w:bottom w:val="none" w:sz="0" w:space="0" w:color="auto"/>
        <w:right w:val="none" w:sz="0" w:space="0" w:color="auto"/>
      </w:divBdr>
    </w:div>
    <w:div w:id="17937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hc4a8f51d7584793bcee84017ea96cb3>
    <ShareHubID xmlns="166541c0-0594-4e6a-9105-c24d4b6de6f7">DOC23-345632</ShareHubID>
    <TaxCatchAll xmlns="166541c0-0594-4e6a-9105-c24d4b6de6f7">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53BD-32CB-4613-ADB8-1F458B5F5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68A62-C644-4998-8A23-6CA7D5893A2F}">
  <ds:schemaRefs>
    <ds:schemaRef ds:uri="http://schemas.microsoft.com/sharepoint/v3/contenttype/forms"/>
  </ds:schemaRefs>
</ds:datastoreItem>
</file>

<file path=customXml/itemProps3.xml><?xml version="1.0" encoding="utf-8"?>
<ds:datastoreItem xmlns:ds="http://schemas.openxmlformats.org/officeDocument/2006/customXml" ds:itemID="{C8454276-E058-4E90-AA79-1B0E5F8CF7D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AD313C3A-4B78-462B-A64F-793FAEE8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2023-10-30T04:30:00Z</dcterms:created>
  <dcterms:modified xsi:type="dcterms:W3CDTF">2023-10-30T04:30:00Z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
  </property>
  <property fmtid="{D5CDD505-2E9C-101B-9397-08002B2CF9AE}" pid="4" name="HPRMSecurityLevel">
    <vt:lpwstr>57;#OFFICIAL|11463c70-78df-4e3b-b0ff-f66cd3cb26ec</vt:lpwstr>
  </property>
  <property fmtid="{D5CDD505-2E9C-101B-9397-08002B2CF9AE}" pid="5" name="HPRMSecurityCaveat">
    <vt:lpwstr/>
  </property>
</Properties>
</file>