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44A65" w14:textId="4B267778" w:rsidR="008305DC" w:rsidRDefault="00BF4F71" w:rsidP="008305DC">
      <w:pPr>
        <w:pStyle w:val="Title"/>
        <w:ind w:left="1134"/>
      </w:pPr>
      <w:bookmarkStart w:id="0" w:name="_GoBack"/>
      <w:r w:rsidRPr="007419CA">
        <w:rPr>
          <w:i/>
        </w:rPr>
        <w:t>Review of the Members of Parliament (Staff) Act 1984 (Cth)</w:t>
      </w:r>
    </w:p>
    <w:bookmarkEnd w:id="0"/>
    <w:p w14:paraId="5876E50C" w14:textId="207955DE" w:rsidR="005226B9" w:rsidRDefault="00C8399F" w:rsidP="005226B9">
      <w:pPr>
        <w:pStyle w:val="Subtitle"/>
        <w:ind w:left="1134"/>
        <w:sectPr w:rsidR="005226B9" w:rsidSect="0055271A">
          <w:headerReference w:type="even" r:id="rId8"/>
          <w:headerReference w:type="default" r:id="rId9"/>
          <w:footerReference w:type="even" r:id="rId10"/>
          <w:footerReference w:type="default" r:id="rId11"/>
          <w:headerReference w:type="first" r:id="rId12"/>
          <w:footerReference w:type="first" r:id="rId13"/>
          <w:pgSz w:w="11906" w:h="16838"/>
          <w:pgMar w:top="5103" w:right="1134" w:bottom="1701" w:left="1134" w:header="709" w:footer="709" w:gutter="0"/>
          <w:cols w:space="708"/>
          <w:docGrid w:linePitch="360"/>
        </w:sectPr>
      </w:pPr>
      <w:r>
        <w:rPr>
          <w:lang w:eastAsia="en-AU"/>
        </w:rPr>
        <w:drawing>
          <wp:anchor distT="0" distB="0" distL="114300" distR="114300" simplePos="0" relativeHeight="251658242" behindDoc="0" locked="0" layoutInCell="1" allowOverlap="1" wp14:anchorId="4594DBB9" wp14:editId="6E1116F5">
            <wp:simplePos x="0" y="0"/>
            <wp:positionH relativeFrom="page">
              <wp:posOffset>1446506</wp:posOffset>
            </wp:positionH>
            <wp:positionV relativeFrom="paragraph">
              <wp:posOffset>730592</wp:posOffset>
            </wp:positionV>
            <wp:extent cx="6110358" cy="6119495"/>
            <wp:effectExtent l="0" t="0" r="5080" b="0"/>
            <wp:wrapNone/>
            <wp:docPr id="14" name="Picture 14" descr="Photo of Parliament House, Canberr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M&amp;C Template 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0358" cy="6119495"/>
                    </a:xfrm>
                    <a:prstGeom prst="rect">
                      <a:avLst/>
                    </a:prstGeom>
                  </pic:spPr>
                </pic:pic>
              </a:graphicData>
            </a:graphic>
            <wp14:sizeRelH relativeFrom="margin">
              <wp14:pctWidth>0</wp14:pctWidth>
            </wp14:sizeRelH>
            <wp14:sizeRelV relativeFrom="margin">
              <wp14:pctHeight>0</wp14:pctHeight>
            </wp14:sizeRelV>
          </wp:anchor>
        </w:drawing>
      </w:r>
      <w:r w:rsidR="00B56736">
        <w:rPr>
          <w:lang w:eastAsia="en-AU"/>
        </w:rPr>
        <w:drawing>
          <wp:anchor distT="0" distB="0" distL="114300" distR="114300" simplePos="0" relativeHeight="251658240" behindDoc="1" locked="0" layoutInCell="1" allowOverlap="1" wp14:anchorId="6BFECE97" wp14:editId="1258C33F">
            <wp:simplePos x="0" y="0"/>
            <wp:positionH relativeFrom="column">
              <wp:posOffset>-1081405</wp:posOffset>
            </wp:positionH>
            <wp:positionV relativeFrom="paragraph">
              <wp:posOffset>4173855</wp:posOffset>
            </wp:positionV>
            <wp:extent cx="2317115" cy="2813685"/>
            <wp:effectExtent l="0" t="0" r="6985" b="5715"/>
            <wp:wrapNone/>
            <wp:docPr id="1" name="Picture 1" descr="P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amp;C Template Acrony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115" cy="2813685"/>
                    </a:xfrm>
                    <a:prstGeom prst="rect">
                      <a:avLst/>
                    </a:prstGeom>
                  </pic:spPr>
                </pic:pic>
              </a:graphicData>
            </a:graphic>
            <wp14:sizeRelH relativeFrom="margin">
              <wp14:pctWidth>0</wp14:pctWidth>
            </wp14:sizeRelH>
            <wp14:sizeRelV relativeFrom="margin">
              <wp14:pctHeight>0</wp14:pctHeight>
            </wp14:sizeRelV>
          </wp:anchor>
        </w:drawing>
      </w:r>
      <w:r w:rsidR="00004DE3" w:rsidRPr="00D42273">
        <w:t>Recommendation 18 of the Set the Standard: Report on the Independent Review into Commonwealth Parliamentary Workplaces by the Australian Human Rights Commission</w:t>
      </w:r>
    </w:p>
    <w:sdt>
      <w:sdtPr>
        <w:rPr>
          <w:rFonts w:asciiTheme="minorHAnsi" w:eastAsiaTheme="minorEastAsia" w:hAnsiTheme="minorHAnsi" w:cstheme="minorBidi"/>
          <w:color w:val="auto"/>
          <w:sz w:val="22"/>
          <w:szCs w:val="21"/>
        </w:rPr>
        <w:id w:val="-1632619507"/>
        <w:docPartObj>
          <w:docPartGallery w:val="Table of Contents"/>
          <w:docPartUnique/>
        </w:docPartObj>
      </w:sdtPr>
      <w:sdtEndPr>
        <w:rPr>
          <w:b/>
          <w:bCs/>
          <w:noProof/>
        </w:rPr>
      </w:sdtEndPr>
      <w:sdtContent>
        <w:p w14:paraId="643DEDD3" w14:textId="77777777" w:rsidR="00117A77" w:rsidRDefault="00117A77">
          <w:pPr>
            <w:pStyle w:val="TOCHeading"/>
          </w:pPr>
          <w:r>
            <w:t>Contents</w:t>
          </w:r>
        </w:p>
        <w:p w14:paraId="4C01B3F7" w14:textId="5616792A" w:rsidR="00AF1A18" w:rsidRDefault="001368D6">
          <w:pPr>
            <w:pStyle w:val="TOC1"/>
            <w:rPr>
              <w:noProof/>
              <w:szCs w:val="22"/>
              <w:lang w:eastAsia="en-AU"/>
            </w:rPr>
          </w:pPr>
          <w:r>
            <w:fldChar w:fldCharType="begin"/>
          </w:r>
          <w:r>
            <w:instrText xml:space="preserve"> TOC \o "1-2" \h \z \u </w:instrText>
          </w:r>
          <w:r>
            <w:fldChar w:fldCharType="separate"/>
          </w:r>
          <w:hyperlink w:anchor="_Toc115948575" w:history="1">
            <w:r w:rsidR="00AF1A18" w:rsidRPr="001E0F93">
              <w:rPr>
                <w:rStyle w:val="Hyperlink"/>
                <w:noProof/>
              </w:rPr>
              <w:t>Executive summary</w:t>
            </w:r>
            <w:r w:rsidR="00AF1A18">
              <w:rPr>
                <w:noProof/>
                <w:webHidden/>
              </w:rPr>
              <w:tab/>
            </w:r>
            <w:r w:rsidR="00AF1A18">
              <w:rPr>
                <w:noProof/>
                <w:webHidden/>
              </w:rPr>
              <w:fldChar w:fldCharType="begin"/>
            </w:r>
            <w:r w:rsidR="00AF1A18">
              <w:rPr>
                <w:noProof/>
                <w:webHidden/>
              </w:rPr>
              <w:instrText xml:space="preserve"> PAGEREF _Toc115948575 \h </w:instrText>
            </w:r>
            <w:r w:rsidR="00AF1A18">
              <w:rPr>
                <w:noProof/>
                <w:webHidden/>
              </w:rPr>
            </w:r>
            <w:r w:rsidR="00AF1A18">
              <w:rPr>
                <w:noProof/>
                <w:webHidden/>
              </w:rPr>
              <w:fldChar w:fldCharType="separate"/>
            </w:r>
            <w:r w:rsidR="00AF1A18">
              <w:rPr>
                <w:noProof/>
                <w:webHidden/>
              </w:rPr>
              <w:t>5</w:t>
            </w:r>
            <w:r w:rsidR="00AF1A18">
              <w:rPr>
                <w:noProof/>
                <w:webHidden/>
              </w:rPr>
              <w:fldChar w:fldCharType="end"/>
            </w:r>
          </w:hyperlink>
        </w:p>
        <w:p w14:paraId="7861EB4F" w14:textId="51ED4BA1" w:rsidR="00AF1A18" w:rsidRDefault="000429A6">
          <w:pPr>
            <w:pStyle w:val="TOC2"/>
            <w:rPr>
              <w:noProof/>
              <w:szCs w:val="22"/>
              <w:lang w:eastAsia="en-AU"/>
            </w:rPr>
          </w:pPr>
          <w:hyperlink w:anchor="_Toc115948576" w:history="1">
            <w:r w:rsidR="00AF1A18" w:rsidRPr="001E0F93">
              <w:rPr>
                <w:rStyle w:val="Hyperlink"/>
                <w:noProof/>
              </w:rPr>
              <w:t>Employment framework</w:t>
            </w:r>
            <w:r w:rsidR="00AF1A18">
              <w:rPr>
                <w:noProof/>
                <w:webHidden/>
              </w:rPr>
              <w:tab/>
            </w:r>
            <w:r w:rsidR="00AF1A18">
              <w:rPr>
                <w:noProof/>
                <w:webHidden/>
              </w:rPr>
              <w:fldChar w:fldCharType="begin"/>
            </w:r>
            <w:r w:rsidR="00AF1A18">
              <w:rPr>
                <w:noProof/>
                <w:webHidden/>
              </w:rPr>
              <w:instrText xml:space="preserve"> PAGEREF _Toc115948576 \h </w:instrText>
            </w:r>
            <w:r w:rsidR="00AF1A18">
              <w:rPr>
                <w:noProof/>
                <w:webHidden/>
              </w:rPr>
            </w:r>
            <w:r w:rsidR="00AF1A18">
              <w:rPr>
                <w:noProof/>
                <w:webHidden/>
              </w:rPr>
              <w:fldChar w:fldCharType="separate"/>
            </w:r>
            <w:r w:rsidR="00AF1A18">
              <w:rPr>
                <w:noProof/>
                <w:webHidden/>
              </w:rPr>
              <w:t>7</w:t>
            </w:r>
            <w:r w:rsidR="00AF1A18">
              <w:rPr>
                <w:noProof/>
                <w:webHidden/>
              </w:rPr>
              <w:fldChar w:fldCharType="end"/>
            </w:r>
          </w:hyperlink>
        </w:p>
        <w:p w14:paraId="5F8D3B12" w14:textId="2FE6BC6D" w:rsidR="00AF1A18" w:rsidRDefault="000429A6">
          <w:pPr>
            <w:pStyle w:val="TOC2"/>
            <w:rPr>
              <w:noProof/>
              <w:szCs w:val="22"/>
              <w:lang w:eastAsia="en-AU"/>
            </w:rPr>
          </w:pPr>
          <w:hyperlink w:anchor="_Toc115948577" w:history="1">
            <w:r w:rsidR="00AF1A18" w:rsidRPr="001E0F93">
              <w:rPr>
                <w:rStyle w:val="Hyperlink"/>
                <w:noProof/>
              </w:rPr>
              <w:t>Setting an office up for success</w:t>
            </w:r>
            <w:r w:rsidR="00AF1A18">
              <w:rPr>
                <w:noProof/>
                <w:webHidden/>
              </w:rPr>
              <w:tab/>
            </w:r>
            <w:r w:rsidR="00AF1A18">
              <w:rPr>
                <w:noProof/>
                <w:webHidden/>
              </w:rPr>
              <w:fldChar w:fldCharType="begin"/>
            </w:r>
            <w:r w:rsidR="00AF1A18">
              <w:rPr>
                <w:noProof/>
                <w:webHidden/>
              </w:rPr>
              <w:instrText xml:space="preserve"> PAGEREF _Toc115948577 \h </w:instrText>
            </w:r>
            <w:r w:rsidR="00AF1A18">
              <w:rPr>
                <w:noProof/>
                <w:webHidden/>
              </w:rPr>
            </w:r>
            <w:r w:rsidR="00AF1A18">
              <w:rPr>
                <w:noProof/>
                <w:webHidden/>
              </w:rPr>
              <w:fldChar w:fldCharType="separate"/>
            </w:r>
            <w:r w:rsidR="00AF1A18">
              <w:rPr>
                <w:noProof/>
                <w:webHidden/>
              </w:rPr>
              <w:t>8</w:t>
            </w:r>
            <w:r w:rsidR="00AF1A18">
              <w:rPr>
                <w:noProof/>
                <w:webHidden/>
              </w:rPr>
              <w:fldChar w:fldCharType="end"/>
            </w:r>
          </w:hyperlink>
        </w:p>
        <w:p w14:paraId="482007AB" w14:textId="430BE2E6" w:rsidR="00AF1A18" w:rsidRDefault="000429A6">
          <w:pPr>
            <w:pStyle w:val="TOC2"/>
            <w:rPr>
              <w:noProof/>
              <w:szCs w:val="22"/>
              <w:lang w:eastAsia="en-AU"/>
            </w:rPr>
          </w:pPr>
          <w:hyperlink w:anchor="_Toc115948578" w:history="1">
            <w:r w:rsidR="00AF1A18" w:rsidRPr="001E0F93">
              <w:rPr>
                <w:rStyle w:val="Hyperlink"/>
                <w:noProof/>
              </w:rPr>
              <w:t>Accountabilities, expectations and responsibilities</w:t>
            </w:r>
            <w:r w:rsidR="00AF1A18">
              <w:rPr>
                <w:noProof/>
                <w:webHidden/>
              </w:rPr>
              <w:tab/>
            </w:r>
            <w:r w:rsidR="00AF1A18">
              <w:rPr>
                <w:noProof/>
                <w:webHidden/>
              </w:rPr>
              <w:fldChar w:fldCharType="begin"/>
            </w:r>
            <w:r w:rsidR="00AF1A18">
              <w:rPr>
                <w:noProof/>
                <w:webHidden/>
              </w:rPr>
              <w:instrText xml:space="preserve"> PAGEREF _Toc115948578 \h </w:instrText>
            </w:r>
            <w:r w:rsidR="00AF1A18">
              <w:rPr>
                <w:noProof/>
                <w:webHidden/>
              </w:rPr>
            </w:r>
            <w:r w:rsidR="00AF1A18">
              <w:rPr>
                <w:noProof/>
                <w:webHidden/>
              </w:rPr>
              <w:fldChar w:fldCharType="separate"/>
            </w:r>
            <w:r w:rsidR="00AF1A18">
              <w:rPr>
                <w:noProof/>
                <w:webHidden/>
              </w:rPr>
              <w:t>10</w:t>
            </w:r>
            <w:r w:rsidR="00AF1A18">
              <w:rPr>
                <w:noProof/>
                <w:webHidden/>
              </w:rPr>
              <w:fldChar w:fldCharType="end"/>
            </w:r>
          </w:hyperlink>
        </w:p>
        <w:p w14:paraId="0FD2F4B4" w14:textId="11ABF866" w:rsidR="00AF1A18" w:rsidRDefault="000429A6">
          <w:pPr>
            <w:pStyle w:val="TOC2"/>
            <w:rPr>
              <w:noProof/>
              <w:szCs w:val="22"/>
              <w:lang w:eastAsia="en-AU"/>
            </w:rPr>
          </w:pPr>
          <w:hyperlink w:anchor="_Toc115948579" w:history="1">
            <w:r w:rsidR="00AF1A18" w:rsidRPr="001E0F93">
              <w:rPr>
                <w:rStyle w:val="Hyperlink"/>
                <w:noProof/>
              </w:rPr>
              <w:t>Employment separation</w:t>
            </w:r>
            <w:r w:rsidR="00AF1A18">
              <w:rPr>
                <w:noProof/>
                <w:webHidden/>
              </w:rPr>
              <w:tab/>
            </w:r>
            <w:r w:rsidR="00AF1A18">
              <w:rPr>
                <w:noProof/>
                <w:webHidden/>
              </w:rPr>
              <w:fldChar w:fldCharType="begin"/>
            </w:r>
            <w:r w:rsidR="00AF1A18">
              <w:rPr>
                <w:noProof/>
                <w:webHidden/>
              </w:rPr>
              <w:instrText xml:space="preserve"> PAGEREF _Toc115948579 \h </w:instrText>
            </w:r>
            <w:r w:rsidR="00AF1A18">
              <w:rPr>
                <w:noProof/>
                <w:webHidden/>
              </w:rPr>
            </w:r>
            <w:r w:rsidR="00AF1A18">
              <w:rPr>
                <w:noProof/>
                <w:webHidden/>
              </w:rPr>
              <w:fldChar w:fldCharType="separate"/>
            </w:r>
            <w:r w:rsidR="00AF1A18">
              <w:rPr>
                <w:noProof/>
                <w:webHidden/>
              </w:rPr>
              <w:t>11</w:t>
            </w:r>
            <w:r w:rsidR="00AF1A18">
              <w:rPr>
                <w:noProof/>
                <w:webHidden/>
              </w:rPr>
              <w:fldChar w:fldCharType="end"/>
            </w:r>
          </w:hyperlink>
        </w:p>
        <w:p w14:paraId="2B025F1B" w14:textId="71B1C9F9" w:rsidR="00AF1A18" w:rsidRDefault="000429A6">
          <w:pPr>
            <w:pStyle w:val="TOC2"/>
            <w:rPr>
              <w:noProof/>
              <w:szCs w:val="22"/>
              <w:lang w:eastAsia="en-AU"/>
            </w:rPr>
          </w:pPr>
          <w:hyperlink w:anchor="_Toc115948580" w:history="1">
            <w:r w:rsidR="00AF1A18" w:rsidRPr="001E0F93">
              <w:rPr>
                <w:rStyle w:val="Hyperlink"/>
                <w:noProof/>
              </w:rPr>
              <w:t>Review of Act in context of broader structural reforms</w:t>
            </w:r>
            <w:r w:rsidR="00AF1A18">
              <w:rPr>
                <w:noProof/>
                <w:webHidden/>
              </w:rPr>
              <w:tab/>
            </w:r>
            <w:r w:rsidR="00AF1A18">
              <w:rPr>
                <w:noProof/>
                <w:webHidden/>
              </w:rPr>
              <w:fldChar w:fldCharType="begin"/>
            </w:r>
            <w:r w:rsidR="00AF1A18">
              <w:rPr>
                <w:noProof/>
                <w:webHidden/>
              </w:rPr>
              <w:instrText xml:space="preserve"> PAGEREF _Toc115948580 \h </w:instrText>
            </w:r>
            <w:r w:rsidR="00AF1A18">
              <w:rPr>
                <w:noProof/>
                <w:webHidden/>
              </w:rPr>
            </w:r>
            <w:r w:rsidR="00AF1A18">
              <w:rPr>
                <w:noProof/>
                <w:webHidden/>
              </w:rPr>
              <w:fldChar w:fldCharType="separate"/>
            </w:r>
            <w:r w:rsidR="00AF1A18">
              <w:rPr>
                <w:noProof/>
                <w:webHidden/>
              </w:rPr>
              <w:t>12</w:t>
            </w:r>
            <w:r w:rsidR="00AF1A18">
              <w:rPr>
                <w:noProof/>
                <w:webHidden/>
              </w:rPr>
              <w:fldChar w:fldCharType="end"/>
            </w:r>
          </w:hyperlink>
        </w:p>
        <w:p w14:paraId="15074DC0" w14:textId="22E5BD3D" w:rsidR="00AF1A18" w:rsidRDefault="000429A6">
          <w:pPr>
            <w:pStyle w:val="TOC2"/>
            <w:rPr>
              <w:noProof/>
              <w:szCs w:val="22"/>
              <w:lang w:eastAsia="en-AU"/>
            </w:rPr>
          </w:pPr>
          <w:hyperlink w:anchor="_Toc115948581" w:history="1">
            <w:r w:rsidR="00AF1A18" w:rsidRPr="001E0F93">
              <w:rPr>
                <w:rStyle w:val="Hyperlink"/>
                <w:noProof/>
              </w:rPr>
              <w:t>Recommendations</w:t>
            </w:r>
            <w:r w:rsidR="00AF1A18">
              <w:rPr>
                <w:noProof/>
                <w:webHidden/>
              </w:rPr>
              <w:tab/>
            </w:r>
            <w:r w:rsidR="00AF1A18">
              <w:rPr>
                <w:noProof/>
                <w:webHidden/>
              </w:rPr>
              <w:fldChar w:fldCharType="begin"/>
            </w:r>
            <w:r w:rsidR="00AF1A18">
              <w:rPr>
                <w:noProof/>
                <w:webHidden/>
              </w:rPr>
              <w:instrText xml:space="preserve"> PAGEREF _Toc115948581 \h </w:instrText>
            </w:r>
            <w:r w:rsidR="00AF1A18">
              <w:rPr>
                <w:noProof/>
                <w:webHidden/>
              </w:rPr>
            </w:r>
            <w:r w:rsidR="00AF1A18">
              <w:rPr>
                <w:noProof/>
                <w:webHidden/>
              </w:rPr>
              <w:fldChar w:fldCharType="separate"/>
            </w:r>
            <w:r w:rsidR="00AF1A18">
              <w:rPr>
                <w:noProof/>
                <w:webHidden/>
              </w:rPr>
              <w:t>13</w:t>
            </w:r>
            <w:r w:rsidR="00AF1A18">
              <w:rPr>
                <w:noProof/>
                <w:webHidden/>
              </w:rPr>
              <w:fldChar w:fldCharType="end"/>
            </w:r>
          </w:hyperlink>
        </w:p>
        <w:p w14:paraId="543E8867" w14:textId="7716EDA6" w:rsidR="00AF1A18" w:rsidRDefault="000429A6">
          <w:pPr>
            <w:pStyle w:val="TOC1"/>
            <w:rPr>
              <w:noProof/>
              <w:szCs w:val="22"/>
              <w:lang w:eastAsia="en-AU"/>
            </w:rPr>
          </w:pPr>
          <w:hyperlink w:anchor="_Toc115948582" w:history="1">
            <w:r w:rsidR="00AF1A18" w:rsidRPr="001E0F93">
              <w:rPr>
                <w:rStyle w:val="Hyperlink"/>
                <w:noProof/>
              </w:rPr>
              <w:t>1 Introduction</w:t>
            </w:r>
            <w:r w:rsidR="00AF1A18">
              <w:rPr>
                <w:noProof/>
                <w:webHidden/>
              </w:rPr>
              <w:tab/>
            </w:r>
            <w:r w:rsidR="00AF1A18">
              <w:rPr>
                <w:noProof/>
                <w:webHidden/>
              </w:rPr>
              <w:fldChar w:fldCharType="begin"/>
            </w:r>
            <w:r w:rsidR="00AF1A18">
              <w:rPr>
                <w:noProof/>
                <w:webHidden/>
              </w:rPr>
              <w:instrText xml:space="preserve"> PAGEREF _Toc115948582 \h </w:instrText>
            </w:r>
            <w:r w:rsidR="00AF1A18">
              <w:rPr>
                <w:noProof/>
                <w:webHidden/>
              </w:rPr>
            </w:r>
            <w:r w:rsidR="00AF1A18">
              <w:rPr>
                <w:noProof/>
                <w:webHidden/>
              </w:rPr>
              <w:fldChar w:fldCharType="separate"/>
            </w:r>
            <w:r w:rsidR="00AF1A18">
              <w:rPr>
                <w:noProof/>
                <w:webHidden/>
              </w:rPr>
              <w:t>16</w:t>
            </w:r>
            <w:r w:rsidR="00AF1A18">
              <w:rPr>
                <w:noProof/>
                <w:webHidden/>
              </w:rPr>
              <w:fldChar w:fldCharType="end"/>
            </w:r>
          </w:hyperlink>
        </w:p>
        <w:p w14:paraId="7E03C675" w14:textId="2B0EDB4E" w:rsidR="00AF1A18" w:rsidRDefault="000429A6">
          <w:pPr>
            <w:pStyle w:val="TOC2"/>
            <w:rPr>
              <w:noProof/>
              <w:szCs w:val="22"/>
              <w:lang w:eastAsia="en-AU"/>
            </w:rPr>
          </w:pPr>
          <w:hyperlink w:anchor="_Toc115948583" w:history="1">
            <w:r w:rsidR="00AF1A18" w:rsidRPr="001E0F93">
              <w:rPr>
                <w:rStyle w:val="Hyperlink"/>
                <w:noProof/>
              </w:rPr>
              <w:t>1.1 Context and scope</w:t>
            </w:r>
            <w:r w:rsidR="00AF1A18">
              <w:rPr>
                <w:noProof/>
                <w:webHidden/>
              </w:rPr>
              <w:tab/>
            </w:r>
            <w:r w:rsidR="00AF1A18">
              <w:rPr>
                <w:noProof/>
                <w:webHidden/>
              </w:rPr>
              <w:fldChar w:fldCharType="begin"/>
            </w:r>
            <w:r w:rsidR="00AF1A18">
              <w:rPr>
                <w:noProof/>
                <w:webHidden/>
              </w:rPr>
              <w:instrText xml:space="preserve"> PAGEREF _Toc115948583 \h </w:instrText>
            </w:r>
            <w:r w:rsidR="00AF1A18">
              <w:rPr>
                <w:noProof/>
                <w:webHidden/>
              </w:rPr>
            </w:r>
            <w:r w:rsidR="00AF1A18">
              <w:rPr>
                <w:noProof/>
                <w:webHidden/>
              </w:rPr>
              <w:fldChar w:fldCharType="separate"/>
            </w:r>
            <w:r w:rsidR="00AF1A18">
              <w:rPr>
                <w:noProof/>
                <w:webHidden/>
              </w:rPr>
              <w:t>16</w:t>
            </w:r>
            <w:r w:rsidR="00AF1A18">
              <w:rPr>
                <w:noProof/>
                <w:webHidden/>
              </w:rPr>
              <w:fldChar w:fldCharType="end"/>
            </w:r>
          </w:hyperlink>
        </w:p>
        <w:p w14:paraId="71E17E0C" w14:textId="4F16563F" w:rsidR="00AF1A18" w:rsidRDefault="000429A6">
          <w:pPr>
            <w:pStyle w:val="TOC2"/>
            <w:rPr>
              <w:noProof/>
              <w:szCs w:val="22"/>
              <w:lang w:eastAsia="en-AU"/>
            </w:rPr>
          </w:pPr>
          <w:hyperlink w:anchor="_Toc115948584" w:history="1">
            <w:r w:rsidR="00AF1A18" w:rsidRPr="001E0F93">
              <w:rPr>
                <w:rStyle w:val="Hyperlink"/>
                <w:noProof/>
              </w:rPr>
              <w:t>1.2 The case for the review</w:t>
            </w:r>
            <w:r w:rsidR="00AF1A18">
              <w:rPr>
                <w:noProof/>
                <w:webHidden/>
              </w:rPr>
              <w:tab/>
            </w:r>
            <w:r w:rsidR="00AF1A18">
              <w:rPr>
                <w:noProof/>
                <w:webHidden/>
              </w:rPr>
              <w:fldChar w:fldCharType="begin"/>
            </w:r>
            <w:r w:rsidR="00AF1A18">
              <w:rPr>
                <w:noProof/>
                <w:webHidden/>
              </w:rPr>
              <w:instrText xml:space="preserve"> PAGEREF _Toc115948584 \h </w:instrText>
            </w:r>
            <w:r w:rsidR="00AF1A18">
              <w:rPr>
                <w:noProof/>
                <w:webHidden/>
              </w:rPr>
            </w:r>
            <w:r w:rsidR="00AF1A18">
              <w:rPr>
                <w:noProof/>
                <w:webHidden/>
              </w:rPr>
              <w:fldChar w:fldCharType="separate"/>
            </w:r>
            <w:r w:rsidR="00AF1A18">
              <w:rPr>
                <w:noProof/>
                <w:webHidden/>
              </w:rPr>
              <w:t>17</w:t>
            </w:r>
            <w:r w:rsidR="00AF1A18">
              <w:rPr>
                <w:noProof/>
                <w:webHidden/>
              </w:rPr>
              <w:fldChar w:fldCharType="end"/>
            </w:r>
          </w:hyperlink>
        </w:p>
        <w:p w14:paraId="72AD82D3" w14:textId="2F1A2343" w:rsidR="00AF1A18" w:rsidRDefault="000429A6">
          <w:pPr>
            <w:pStyle w:val="TOC2"/>
            <w:rPr>
              <w:noProof/>
              <w:szCs w:val="22"/>
              <w:lang w:eastAsia="en-AU"/>
            </w:rPr>
          </w:pPr>
          <w:hyperlink w:anchor="_Toc115948585" w:history="1">
            <w:r w:rsidR="00AF1A18" w:rsidRPr="001E0F93">
              <w:rPr>
                <w:rStyle w:val="Hyperlink"/>
                <w:noProof/>
              </w:rPr>
              <w:t xml:space="preserve">1.3 Interdependencies with </w:t>
            </w:r>
            <w:r w:rsidR="00AF1A18" w:rsidRPr="001E0F93">
              <w:rPr>
                <w:rStyle w:val="Hyperlink"/>
                <w:i/>
                <w:noProof/>
              </w:rPr>
              <w:t>Set the Standard</w:t>
            </w:r>
            <w:r w:rsidR="00AF1A18">
              <w:rPr>
                <w:noProof/>
                <w:webHidden/>
              </w:rPr>
              <w:tab/>
            </w:r>
            <w:r w:rsidR="00AF1A18">
              <w:rPr>
                <w:noProof/>
                <w:webHidden/>
              </w:rPr>
              <w:fldChar w:fldCharType="begin"/>
            </w:r>
            <w:r w:rsidR="00AF1A18">
              <w:rPr>
                <w:noProof/>
                <w:webHidden/>
              </w:rPr>
              <w:instrText xml:space="preserve"> PAGEREF _Toc115948585 \h </w:instrText>
            </w:r>
            <w:r w:rsidR="00AF1A18">
              <w:rPr>
                <w:noProof/>
                <w:webHidden/>
              </w:rPr>
            </w:r>
            <w:r w:rsidR="00AF1A18">
              <w:rPr>
                <w:noProof/>
                <w:webHidden/>
              </w:rPr>
              <w:fldChar w:fldCharType="separate"/>
            </w:r>
            <w:r w:rsidR="00AF1A18">
              <w:rPr>
                <w:noProof/>
                <w:webHidden/>
              </w:rPr>
              <w:t>19</w:t>
            </w:r>
            <w:r w:rsidR="00AF1A18">
              <w:rPr>
                <w:noProof/>
                <w:webHidden/>
              </w:rPr>
              <w:fldChar w:fldCharType="end"/>
            </w:r>
          </w:hyperlink>
        </w:p>
        <w:p w14:paraId="0580CB39" w14:textId="6CCFDA36" w:rsidR="00AF1A18" w:rsidRDefault="000429A6">
          <w:pPr>
            <w:pStyle w:val="TOC2"/>
            <w:rPr>
              <w:noProof/>
              <w:szCs w:val="22"/>
              <w:lang w:eastAsia="en-AU"/>
            </w:rPr>
          </w:pPr>
          <w:hyperlink w:anchor="_Toc115948586" w:history="1">
            <w:r w:rsidR="00AF1A18" w:rsidRPr="001E0F93">
              <w:rPr>
                <w:rStyle w:val="Hyperlink"/>
                <w:noProof/>
              </w:rPr>
              <w:t>1.4 Methodology</w:t>
            </w:r>
            <w:r w:rsidR="00AF1A18">
              <w:rPr>
                <w:noProof/>
                <w:webHidden/>
              </w:rPr>
              <w:tab/>
            </w:r>
            <w:r w:rsidR="00AF1A18">
              <w:rPr>
                <w:noProof/>
                <w:webHidden/>
              </w:rPr>
              <w:fldChar w:fldCharType="begin"/>
            </w:r>
            <w:r w:rsidR="00AF1A18">
              <w:rPr>
                <w:noProof/>
                <w:webHidden/>
              </w:rPr>
              <w:instrText xml:space="preserve"> PAGEREF _Toc115948586 \h </w:instrText>
            </w:r>
            <w:r w:rsidR="00AF1A18">
              <w:rPr>
                <w:noProof/>
                <w:webHidden/>
              </w:rPr>
            </w:r>
            <w:r w:rsidR="00AF1A18">
              <w:rPr>
                <w:noProof/>
                <w:webHidden/>
              </w:rPr>
              <w:fldChar w:fldCharType="separate"/>
            </w:r>
            <w:r w:rsidR="00AF1A18">
              <w:rPr>
                <w:noProof/>
                <w:webHidden/>
              </w:rPr>
              <w:t>20</w:t>
            </w:r>
            <w:r w:rsidR="00AF1A18">
              <w:rPr>
                <w:noProof/>
                <w:webHidden/>
              </w:rPr>
              <w:fldChar w:fldCharType="end"/>
            </w:r>
          </w:hyperlink>
        </w:p>
        <w:p w14:paraId="3900F2D8" w14:textId="3FEFAC48" w:rsidR="00AF1A18" w:rsidRDefault="000429A6">
          <w:pPr>
            <w:pStyle w:val="TOC1"/>
            <w:rPr>
              <w:noProof/>
              <w:szCs w:val="22"/>
              <w:lang w:eastAsia="en-AU"/>
            </w:rPr>
          </w:pPr>
          <w:hyperlink w:anchor="_Toc115948587" w:history="1">
            <w:r w:rsidR="00AF1A18" w:rsidRPr="001E0F93">
              <w:rPr>
                <w:rStyle w:val="Hyperlink"/>
                <w:noProof/>
              </w:rPr>
              <w:t>2 Employment framework</w:t>
            </w:r>
            <w:r w:rsidR="00AF1A18">
              <w:rPr>
                <w:noProof/>
                <w:webHidden/>
              </w:rPr>
              <w:tab/>
            </w:r>
            <w:r w:rsidR="00AF1A18">
              <w:rPr>
                <w:noProof/>
                <w:webHidden/>
              </w:rPr>
              <w:fldChar w:fldCharType="begin"/>
            </w:r>
            <w:r w:rsidR="00AF1A18">
              <w:rPr>
                <w:noProof/>
                <w:webHidden/>
              </w:rPr>
              <w:instrText xml:space="preserve"> PAGEREF _Toc115948587 \h </w:instrText>
            </w:r>
            <w:r w:rsidR="00AF1A18">
              <w:rPr>
                <w:noProof/>
                <w:webHidden/>
              </w:rPr>
            </w:r>
            <w:r w:rsidR="00AF1A18">
              <w:rPr>
                <w:noProof/>
                <w:webHidden/>
              </w:rPr>
              <w:fldChar w:fldCharType="separate"/>
            </w:r>
            <w:r w:rsidR="00AF1A18">
              <w:rPr>
                <w:noProof/>
                <w:webHidden/>
              </w:rPr>
              <w:t>21</w:t>
            </w:r>
            <w:r w:rsidR="00AF1A18">
              <w:rPr>
                <w:noProof/>
                <w:webHidden/>
              </w:rPr>
              <w:fldChar w:fldCharType="end"/>
            </w:r>
          </w:hyperlink>
        </w:p>
        <w:p w14:paraId="74711797" w14:textId="3C418D0D" w:rsidR="00AF1A18" w:rsidRDefault="000429A6">
          <w:pPr>
            <w:pStyle w:val="TOC2"/>
            <w:rPr>
              <w:noProof/>
              <w:szCs w:val="22"/>
              <w:lang w:eastAsia="en-AU"/>
            </w:rPr>
          </w:pPr>
          <w:hyperlink w:anchor="_Toc115948588" w:history="1">
            <w:r w:rsidR="00AF1A18" w:rsidRPr="001E0F93">
              <w:rPr>
                <w:rStyle w:val="Hyperlink"/>
                <w:noProof/>
              </w:rPr>
              <w:t>2.1 Introduction</w:t>
            </w:r>
            <w:r w:rsidR="00AF1A18">
              <w:rPr>
                <w:noProof/>
                <w:webHidden/>
              </w:rPr>
              <w:tab/>
            </w:r>
            <w:r w:rsidR="00AF1A18">
              <w:rPr>
                <w:noProof/>
                <w:webHidden/>
              </w:rPr>
              <w:fldChar w:fldCharType="begin"/>
            </w:r>
            <w:r w:rsidR="00AF1A18">
              <w:rPr>
                <w:noProof/>
                <w:webHidden/>
              </w:rPr>
              <w:instrText xml:space="preserve"> PAGEREF _Toc115948588 \h </w:instrText>
            </w:r>
            <w:r w:rsidR="00AF1A18">
              <w:rPr>
                <w:noProof/>
                <w:webHidden/>
              </w:rPr>
            </w:r>
            <w:r w:rsidR="00AF1A18">
              <w:rPr>
                <w:noProof/>
                <w:webHidden/>
              </w:rPr>
              <w:fldChar w:fldCharType="separate"/>
            </w:r>
            <w:r w:rsidR="00AF1A18">
              <w:rPr>
                <w:noProof/>
                <w:webHidden/>
              </w:rPr>
              <w:t>21</w:t>
            </w:r>
            <w:r w:rsidR="00AF1A18">
              <w:rPr>
                <w:noProof/>
                <w:webHidden/>
              </w:rPr>
              <w:fldChar w:fldCharType="end"/>
            </w:r>
          </w:hyperlink>
        </w:p>
        <w:p w14:paraId="31A2F4DE" w14:textId="10B8154E" w:rsidR="00AF1A18" w:rsidRDefault="000429A6">
          <w:pPr>
            <w:pStyle w:val="TOC2"/>
            <w:rPr>
              <w:noProof/>
              <w:szCs w:val="22"/>
              <w:lang w:eastAsia="en-AU"/>
            </w:rPr>
          </w:pPr>
          <w:hyperlink w:anchor="_Toc115948589" w:history="1">
            <w:r w:rsidR="00AF1A18" w:rsidRPr="001E0F93">
              <w:rPr>
                <w:rStyle w:val="Hyperlink"/>
                <w:noProof/>
              </w:rPr>
              <w:t>2.2 History of the MoP(S) Act</w:t>
            </w:r>
            <w:r w:rsidR="00AF1A18">
              <w:rPr>
                <w:noProof/>
                <w:webHidden/>
              </w:rPr>
              <w:tab/>
            </w:r>
            <w:r w:rsidR="00AF1A18">
              <w:rPr>
                <w:noProof/>
                <w:webHidden/>
              </w:rPr>
              <w:fldChar w:fldCharType="begin"/>
            </w:r>
            <w:r w:rsidR="00AF1A18">
              <w:rPr>
                <w:noProof/>
                <w:webHidden/>
              </w:rPr>
              <w:instrText xml:space="preserve"> PAGEREF _Toc115948589 \h </w:instrText>
            </w:r>
            <w:r w:rsidR="00AF1A18">
              <w:rPr>
                <w:noProof/>
                <w:webHidden/>
              </w:rPr>
            </w:r>
            <w:r w:rsidR="00AF1A18">
              <w:rPr>
                <w:noProof/>
                <w:webHidden/>
              </w:rPr>
              <w:fldChar w:fldCharType="separate"/>
            </w:r>
            <w:r w:rsidR="00AF1A18">
              <w:rPr>
                <w:noProof/>
                <w:webHidden/>
              </w:rPr>
              <w:t>21</w:t>
            </w:r>
            <w:r w:rsidR="00AF1A18">
              <w:rPr>
                <w:noProof/>
                <w:webHidden/>
              </w:rPr>
              <w:fldChar w:fldCharType="end"/>
            </w:r>
          </w:hyperlink>
        </w:p>
        <w:p w14:paraId="5398A99C" w14:textId="5F935287" w:rsidR="00AF1A18" w:rsidRDefault="000429A6">
          <w:pPr>
            <w:pStyle w:val="TOC2"/>
            <w:rPr>
              <w:noProof/>
              <w:szCs w:val="22"/>
              <w:lang w:eastAsia="en-AU"/>
            </w:rPr>
          </w:pPr>
          <w:hyperlink w:anchor="_Toc115948590" w:history="1">
            <w:r w:rsidR="00AF1A18" w:rsidRPr="001E0F93">
              <w:rPr>
                <w:rStyle w:val="Hyperlink"/>
                <w:noProof/>
              </w:rPr>
              <w:t>2.3 The current MoP(S) Act framework</w:t>
            </w:r>
            <w:r w:rsidR="00AF1A18">
              <w:rPr>
                <w:noProof/>
                <w:webHidden/>
              </w:rPr>
              <w:tab/>
            </w:r>
            <w:r w:rsidR="00AF1A18">
              <w:rPr>
                <w:noProof/>
                <w:webHidden/>
              </w:rPr>
              <w:fldChar w:fldCharType="begin"/>
            </w:r>
            <w:r w:rsidR="00AF1A18">
              <w:rPr>
                <w:noProof/>
                <w:webHidden/>
              </w:rPr>
              <w:instrText xml:space="preserve"> PAGEREF _Toc115948590 \h </w:instrText>
            </w:r>
            <w:r w:rsidR="00AF1A18">
              <w:rPr>
                <w:noProof/>
                <w:webHidden/>
              </w:rPr>
            </w:r>
            <w:r w:rsidR="00AF1A18">
              <w:rPr>
                <w:noProof/>
                <w:webHidden/>
              </w:rPr>
              <w:fldChar w:fldCharType="separate"/>
            </w:r>
            <w:r w:rsidR="00AF1A18">
              <w:rPr>
                <w:noProof/>
                <w:webHidden/>
              </w:rPr>
              <w:t>23</w:t>
            </w:r>
            <w:r w:rsidR="00AF1A18">
              <w:rPr>
                <w:noProof/>
                <w:webHidden/>
              </w:rPr>
              <w:fldChar w:fldCharType="end"/>
            </w:r>
          </w:hyperlink>
        </w:p>
        <w:p w14:paraId="22AFB205" w14:textId="42FC3842" w:rsidR="00AF1A18" w:rsidRDefault="000429A6">
          <w:pPr>
            <w:pStyle w:val="TOC1"/>
            <w:rPr>
              <w:noProof/>
              <w:szCs w:val="22"/>
              <w:lang w:eastAsia="en-AU"/>
            </w:rPr>
          </w:pPr>
          <w:hyperlink w:anchor="_Toc115948591" w:history="1">
            <w:r w:rsidR="00AF1A18" w:rsidRPr="001E0F93">
              <w:rPr>
                <w:rStyle w:val="Hyperlink"/>
                <w:noProof/>
              </w:rPr>
              <w:t>3 Modernising the framework</w:t>
            </w:r>
            <w:r w:rsidR="00AF1A18">
              <w:rPr>
                <w:noProof/>
                <w:webHidden/>
              </w:rPr>
              <w:tab/>
            </w:r>
            <w:r w:rsidR="00AF1A18">
              <w:rPr>
                <w:noProof/>
                <w:webHidden/>
              </w:rPr>
              <w:fldChar w:fldCharType="begin"/>
            </w:r>
            <w:r w:rsidR="00AF1A18">
              <w:rPr>
                <w:noProof/>
                <w:webHidden/>
              </w:rPr>
              <w:instrText xml:space="preserve"> PAGEREF _Toc115948591 \h </w:instrText>
            </w:r>
            <w:r w:rsidR="00AF1A18">
              <w:rPr>
                <w:noProof/>
                <w:webHidden/>
              </w:rPr>
            </w:r>
            <w:r w:rsidR="00AF1A18">
              <w:rPr>
                <w:noProof/>
                <w:webHidden/>
              </w:rPr>
              <w:fldChar w:fldCharType="separate"/>
            </w:r>
            <w:r w:rsidR="00AF1A18">
              <w:rPr>
                <w:noProof/>
                <w:webHidden/>
              </w:rPr>
              <w:t>29</w:t>
            </w:r>
            <w:r w:rsidR="00AF1A18">
              <w:rPr>
                <w:noProof/>
                <w:webHidden/>
              </w:rPr>
              <w:fldChar w:fldCharType="end"/>
            </w:r>
          </w:hyperlink>
        </w:p>
        <w:p w14:paraId="494D3651" w14:textId="1897B6B5" w:rsidR="00AF1A18" w:rsidRDefault="000429A6">
          <w:pPr>
            <w:pStyle w:val="TOC2"/>
            <w:rPr>
              <w:noProof/>
              <w:szCs w:val="22"/>
              <w:lang w:eastAsia="en-AU"/>
            </w:rPr>
          </w:pPr>
          <w:hyperlink w:anchor="_Toc115948592" w:history="1">
            <w:r w:rsidR="00AF1A18" w:rsidRPr="001E0F93">
              <w:rPr>
                <w:rStyle w:val="Hyperlink"/>
                <w:noProof/>
              </w:rPr>
              <w:t>3.1 Introduction</w:t>
            </w:r>
            <w:r w:rsidR="00AF1A18">
              <w:rPr>
                <w:noProof/>
                <w:webHidden/>
              </w:rPr>
              <w:tab/>
            </w:r>
            <w:r w:rsidR="00AF1A18">
              <w:rPr>
                <w:noProof/>
                <w:webHidden/>
              </w:rPr>
              <w:fldChar w:fldCharType="begin"/>
            </w:r>
            <w:r w:rsidR="00AF1A18">
              <w:rPr>
                <w:noProof/>
                <w:webHidden/>
              </w:rPr>
              <w:instrText xml:space="preserve"> PAGEREF _Toc115948592 \h </w:instrText>
            </w:r>
            <w:r w:rsidR="00AF1A18">
              <w:rPr>
                <w:noProof/>
                <w:webHidden/>
              </w:rPr>
            </w:r>
            <w:r w:rsidR="00AF1A18">
              <w:rPr>
                <w:noProof/>
                <w:webHidden/>
              </w:rPr>
              <w:fldChar w:fldCharType="separate"/>
            </w:r>
            <w:r w:rsidR="00AF1A18">
              <w:rPr>
                <w:noProof/>
                <w:webHidden/>
              </w:rPr>
              <w:t>29</w:t>
            </w:r>
            <w:r w:rsidR="00AF1A18">
              <w:rPr>
                <w:noProof/>
                <w:webHidden/>
              </w:rPr>
              <w:fldChar w:fldCharType="end"/>
            </w:r>
          </w:hyperlink>
        </w:p>
        <w:p w14:paraId="3229ACB9" w14:textId="34E39034" w:rsidR="00AF1A18" w:rsidRDefault="000429A6">
          <w:pPr>
            <w:pStyle w:val="TOC2"/>
            <w:rPr>
              <w:noProof/>
              <w:szCs w:val="22"/>
              <w:lang w:eastAsia="en-AU"/>
            </w:rPr>
          </w:pPr>
          <w:hyperlink w:anchor="_Toc115948593" w:history="1">
            <w:r w:rsidR="00AF1A18" w:rsidRPr="001E0F93">
              <w:rPr>
                <w:rStyle w:val="Hyperlink"/>
                <w:noProof/>
              </w:rPr>
              <w:t>3.2 Staff categories under the MoP(S) Act</w:t>
            </w:r>
            <w:r w:rsidR="00AF1A18">
              <w:rPr>
                <w:noProof/>
                <w:webHidden/>
              </w:rPr>
              <w:tab/>
            </w:r>
            <w:r w:rsidR="00AF1A18">
              <w:rPr>
                <w:noProof/>
                <w:webHidden/>
              </w:rPr>
              <w:fldChar w:fldCharType="begin"/>
            </w:r>
            <w:r w:rsidR="00AF1A18">
              <w:rPr>
                <w:noProof/>
                <w:webHidden/>
              </w:rPr>
              <w:instrText xml:space="preserve"> PAGEREF _Toc115948593 \h </w:instrText>
            </w:r>
            <w:r w:rsidR="00AF1A18">
              <w:rPr>
                <w:noProof/>
                <w:webHidden/>
              </w:rPr>
            </w:r>
            <w:r w:rsidR="00AF1A18">
              <w:rPr>
                <w:noProof/>
                <w:webHidden/>
              </w:rPr>
              <w:fldChar w:fldCharType="separate"/>
            </w:r>
            <w:r w:rsidR="00AF1A18">
              <w:rPr>
                <w:noProof/>
                <w:webHidden/>
              </w:rPr>
              <w:t>29</w:t>
            </w:r>
            <w:r w:rsidR="00AF1A18">
              <w:rPr>
                <w:noProof/>
                <w:webHidden/>
              </w:rPr>
              <w:fldChar w:fldCharType="end"/>
            </w:r>
          </w:hyperlink>
        </w:p>
        <w:p w14:paraId="03D4133F" w14:textId="73852847" w:rsidR="00AF1A18" w:rsidRDefault="000429A6">
          <w:pPr>
            <w:pStyle w:val="TOC2"/>
            <w:rPr>
              <w:noProof/>
              <w:szCs w:val="22"/>
              <w:lang w:eastAsia="en-AU"/>
            </w:rPr>
          </w:pPr>
          <w:hyperlink w:anchor="_Toc115948594" w:history="1">
            <w:r w:rsidR="00AF1A18" w:rsidRPr="001E0F93">
              <w:rPr>
                <w:rStyle w:val="Hyperlink"/>
                <w:noProof/>
              </w:rPr>
              <w:t>Recommendation 1 – Employee categories</w:t>
            </w:r>
            <w:r w:rsidR="00AF1A18">
              <w:rPr>
                <w:noProof/>
                <w:webHidden/>
              </w:rPr>
              <w:tab/>
            </w:r>
            <w:r w:rsidR="00AF1A18">
              <w:rPr>
                <w:noProof/>
                <w:webHidden/>
              </w:rPr>
              <w:fldChar w:fldCharType="begin"/>
            </w:r>
            <w:r w:rsidR="00AF1A18">
              <w:rPr>
                <w:noProof/>
                <w:webHidden/>
              </w:rPr>
              <w:instrText xml:space="preserve"> PAGEREF _Toc115948594 \h </w:instrText>
            </w:r>
            <w:r w:rsidR="00AF1A18">
              <w:rPr>
                <w:noProof/>
                <w:webHidden/>
              </w:rPr>
            </w:r>
            <w:r w:rsidR="00AF1A18">
              <w:rPr>
                <w:noProof/>
                <w:webHidden/>
              </w:rPr>
              <w:fldChar w:fldCharType="separate"/>
            </w:r>
            <w:r w:rsidR="00AF1A18">
              <w:rPr>
                <w:noProof/>
                <w:webHidden/>
              </w:rPr>
              <w:t>35</w:t>
            </w:r>
            <w:r w:rsidR="00AF1A18">
              <w:rPr>
                <w:noProof/>
                <w:webHidden/>
              </w:rPr>
              <w:fldChar w:fldCharType="end"/>
            </w:r>
          </w:hyperlink>
        </w:p>
        <w:p w14:paraId="79F309C9" w14:textId="42F2A079" w:rsidR="00AF1A18" w:rsidRDefault="000429A6">
          <w:pPr>
            <w:pStyle w:val="TOC2"/>
            <w:rPr>
              <w:noProof/>
              <w:szCs w:val="22"/>
              <w:lang w:eastAsia="en-AU"/>
            </w:rPr>
          </w:pPr>
          <w:hyperlink w:anchor="_Toc115948595" w:history="1">
            <w:r w:rsidR="00AF1A18" w:rsidRPr="001E0F93">
              <w:rPr>
                <w:rStyle w:val="Hyperlink"/>
                <w:noProof/>
              </w:rPr>
              <w:t>3.3 Employment model</w:t>
            </w:r>
            <w:r w:rsidR="00AF1A18">
              <w:rPr>
                <w:noProof/>
                <w:webHidden/>
              </w:rPr>
              <w:tab/>
            </w:r>
            <w:r w:rsidR="00AF1A18">
              <w:rPr>
                <w:noProof/>
                <w:webHidden/>
              </w:rPr>
              <w:fldChar w:fldCharType="begin"/>
            </w:r>
            <w:r w:rsidR="00AF1A18">
              <w:rPr>
                <w:noProof/>
                <w:webHidden/>
              </w:rPr>
              <w:instrText xml:space="preserve"> PAGEREF _Toc115948595 \h </w:instrText>
            </w:r>
            <w:r w:rsidR="00AF1A18">
              <w:rPr>
                <w:noProof/>
                <w:webHidden/>
              </w:rPr>
            </w:r>
            <w:r w:rsidR="00AF1A18">
              <w:rPr>
                <w:noProof/>
                <w:webHidden/>
              </w:rPr>
              <w:fldChar w:fldCharType="separate"/>
            </w:r>
            <w:r w:rsidR="00AF1A18">
              <w:rPr>
                <w:noProof/>
                <w:webHidden/>
              </w:rPr>
              <w:t>35</w:t>
            </w:r>
            <w:r w:rsidR="00AF1A18">
              <w:rPr>
                <w:noProof/>
                <w:webHidden/>
              </w:rPr>
              <w:fldChar w:fldCharType="end"/>
            </w:r>
          </w:hyperlink>
        </w:p>
        <w:p w14:paraId="7BCB632B" w14:textId="04AABB69" w:rsidR="00AF1A18" w:rsidRDefault="000429A6">
          <w:pPr>
            <w:pStyle w:val="TOC2"/>
            <w:rPr>
              <w:noProof/>
              <w:szCs w:val="22"/>
              <w:lang w:eastAsia="en-AU"/>
            </w:rPr>
          </w:pPr>
          <w:hyperlink w:anchor="_Toc115948596" w:history="1">
            <w:r w:rsidR="00AF1A18" w:rsidRPr="001E0F93">
              <w:rPr>
                <w:rStyle w:val="Hyperlink"/>
                <w:noProof/>
              </w:rPr>
              <w:t>Recommendation 2 – Employer duties</w:t>
            </w:r>
            <w:r w:rsidR="00AF1A18">
              <w:rPr>
                <w:noProof/>
                <w:webHidden/>
              </w:rPr>
              <w:tab/>
            </w:r>
            <w:r w:rsidR="00AF1A18">
              <w:rPr>
                <w:noProof/>
                <w:webHidden/>
              </w:rPr>
              <w:fldChar w:fldCharType="begin"/>
            </w:r>
            <w:r w:rsidR="00AF1A18">
              <w:rPr>
                <w:noProof/>
                <w:webHidden/>
              </w:rPr>
              <w:instrText xml:space="preserve"> PAGEREF _Toc115948596 \h </w:instrText>
            </w:r>
            <w:r w:rsidR="00AF1A18">
              <w:rPr>
                <w:noProof/>
                <w:webHidden/>
              </w:rPr>
            </w:r>
            <w:r w:rsidR="00AF1A18">
              <w:rPr>
                <w:noProof/>
                <w:webHidden/>
              </w:rPr>
              <w:fldChar w:fldCharType="separate"/>
            </w:r>
            <w:r w:rsidR="00AF1A18">
              <w:rPr>
                <w:noProof/>
                <w:webHidden/>
              </w:rPr>
              <w:t>41</w:t>
            </w:r>
            <w:r w:rsidR="00AF1A18">
              <w:rPr>
                <w:noProof/>
                <w:webHidden/>
              </w:rPr>
              <w:fldChar w:fldCharType="end"/>
            </w:r>
          </w:hyperlink>
        </w:p>
        <w:p w14:paraId="44A87244" w14:textId="0F335AA5" w:rsidR="00AF1A18" w:rsidRDefault="000429A6">
          <w:pPr>
            <w:pStyle w:val="TOC2"/>
            <w:rPr>
              <w:noProof/>
              <w:szCs w:val="22"/>
              <w:lang w:eastAsia="en-AU"/>
            </w:rPr>
          </w:pPr>
          <w:hyperlink w:anchor="_Toc115948597" w:history="1">
            <w:r w:rsidR="00AF1A18" w:rsidRPr="001E0F93">
              <w:rPr>
                <w:rStyle w:val="Hyperlink"/>
                <w:noProof/>
              </w:rPr>
              <w:t>3.4 Workplace resourcing (including staffing allocation)</w:t>
            </w:r>
            <w:r w:rsidR="00AF1A18">
              <w:rPr>
                <w:noProof/>
                <w:webHidden/>
              </w:rPr>
              <w:tab/>
            </w:r>
            <w:r w:rsidR="00AF1A18">
              <w:rPr>
                <w:noProof/>
                <w:webHidden/>
              </w:rPr>
              <w:fldChar w:fldCharType="begin"/>
            </w:r>
            <w:r w:rsidR="00AF1A18">
              <w:rPr>
                <w:noProof/>
                <w:webHidden/>
              </w:rPr>
              <w:instrText xml:space="preserve"> PAGEREF _Toc115948597 \h </w:instrText>
            </w:r>
            <w:r w:rsidR="00AF1A18">
              <w:rPr>
                <w:noProof/>
                <w:webHidden/>
              </w:rPr>
            </w:r>
            <w:r w:rsidR="00AF1A18">
              <w:rPr>
                <w:noProof/>
                <w:webHidden/>
              </w:rPr>
              <w:fldChar w:fldCharType="separate"/>
            </w:r>
            <w:r w:rsidR="00AF1A18">
              <w:rPr>
                <w:noProof/>
                <w:webHidden/>
              </w:rPr>
              <w:t>42</w:t>
            </w:r>
            <w:r w:rsidR="00AF1A18">
              <w:rPr>
                <w:noProof/>
                <w:webHidden/>
              </w:rPr>
              <w:fldChar w:fldCharType="end"/>
            </w:r>
          </w:hyperlink>
        </w:p>
        <w:p w14:paraId="0D34681C" w14:textId="32F8AEDD" w:rsidR="00AF1A18" w:rsidRDefault="000429A6">
          <w:pPr>
            <w:pStyle w:val="TOC2"/>
            <w:rPr>
              <w:noProof/>
              <w:szCs w:val="22"/>
              <w:lang w:eastAsia="en-AU"/>
            </w:rPr>
          </w:pPr>
          <w:hyperlink w:anchor="_Toc115948598" w:history="1">
            <w:r w:rsidR="00AF1A18" w:rsidRPr="001E0F93">
              <w:rPr>
                <w:rStyle w:val="Hyperlink"/>
                <w:noProof/>
              </w:rPr>
              <w:t>Recommendation 3 – Resourcing of parliamentarian offices</w:t>
            </w:r>
            <w:r w:rsidR="00AF1A18">
              <w:rPr>
                <w:noProof/>
                <w:webHidden/>
              </w:rPr>
              <w:tab/>
            </w:r>
            <w:r w:rsidR="00AF1A18">
              <w:rPr>
                <w:noProof/>
                <w:webHidden/>
              </w:rPr>
              <w:fldChar w:fldCharType="begin"/>
            </w:r>
            <w:r w:rsidR="00AF1A18">
              <w:rPr>
                <w:noProof/>
                <w:webHidden/>
              </w:rPr>
              <w:instrText xml:space="preserve"> PAGEREF _Toc115948598 \h </w:instrText>
            </w:r>
            <w:r w:rsidR="00AF1A18">
              <w:rPr>
                <w:noProof/>
                <w:webHidden/>
              </w:rPr>
            </w:r>
            <w:r w:rsidR="00AF1A18">
              <w:rPr>
                <w:noProof/>
                <w:webHidden/>
              </w:rPr>
              <w:fldChar w:fldCharType="separate"/>
            </w:r>
            <w:r w:rsidR="00AF1A18">
              <w:rPr>
                <w:noProof/>
                <w:webHidden/>
              </w:rPr>
              <w:t>61</w:t>
            </w:r>
            <w:r w:rsidR="00AF1A18">
              <w:rPr>
                <w:noProof/>
                <w:webHidden/>
              </w:rPr>
              <w:fldChar w:fldCharType="end"/>
            </w:r>
          </w:hyperlink>
        </w:p>
        <w:p w14:paraId="2E8A9FA3" w14:textId="2407B66B" w:rsidR="00AF1A18" w:rsidRDefault="000429A6">
          <w:pPr>
            <w:pStyle w:val="TOC2"/>
            <w:rPr>
              <w:noProof/>
              <w:szCs w:val="22"/>
              <w:lang w:eastAsia="en-AU"/>
            </w:rPr>
          </w:pPr>
          <w:hyperlink w:anchor="_Toc115948599" w:history="1">
            <w:r w:rsidR="00AF1A18" w:rsidRPr="001E0F93">
              <w:rPr>
                <w:rStyle w:val="Hyperlink"/>
                <w:noProof/>
              </w:rPr>
              <w:t>Recommendation 4 – Transparency of staffing allocations</w:t>
            </w:r>
            <w:r w:rsidR="00AF1A18">
              <w:rPr>
                <w:noProof/>
                <w:webHidden/>
              </w:rPr>
              <w:tab/>
            </w:r>
            <w:r w:rsidR="00AF1A18">
              <w:rPr>
                <w:noProof/>
                <w:webHidden/>
              </w:rPr>
              <w:fldChar w:fldCharType="begin"/>
            </w:r>
            <w:r w:rsidR="00AF1A18">
              <w:rPr>
                <w:noProof/>
                <w:webHidden/>
              </w:rPr>
              <w:instrText xml:space="preserve"> PAGEREF _Toc115948599 \h </w:instrText>
            </w:r>
            <w:r w:rsidR="00AF1A18">
              <w:rPr>
                <w:noProof/>
                <w:webHidden/>
              </w:rPr>
            </w:r>
            <w:r w:rsidR="00AF1A18">
              <w:rPr>
                <w:noProof/>
                <w:webHidden/>
              </w:rPr>
              <w:fldChar w:fldCharType="separate"/>
            </w:r>
            <w:r w:rsidR="00AF1A18">
              <w:rPr>
                <w:noProof/>
                <w:webHidden/>
              </w:rPr>
              <w:t>61</w:t>
            </w:r>
            <w:r w:rsidR="00AF1A18">
              <w:rPr>
                <w:noProof/>
                <w:webHidden/>
              </w:rPr>
              <w:fldChar w:fldCharType="end"/>
            </w:r>
          </w:hyperlink>
        </w:p>
        <w:p w14:paraId="171B032A" w14:textId="09BFB5AB" w:rsidR="00AF1A18" w:rsidRDefault="000429A6">
          <w:pPr>
            <w:pStyle w:val="TOC2"/>
            <w:rPr>
              <w:noProof/>
              <w:szCs w:val="22"/>
              <w:lang w:eastAsia="en-AU"/>
            </w:rPr>
          </w:pPr>
          <w:hyperlink w:anchor="_Toc115948600" w:history="1">
            <w:r w:rsidR="00AF1A18" w:rsidRPr="001E0F93">
              <w:rPr>
                <w:rStyle w:val="Hyperlink"/>
                <w:noProof/>
              </w:rPr>
              <w:t>3.5 Modernise the MoP(S) Act</w:t>
            </w:r>
            <w:r w:rsidR="00AF1A18">
              <w:rPr>
                <w:noProof/>
                <w:webHidden/>
              </w:rPr>
              <w:tab/>
            </w:r>
            <w:r w:rsidR="00AF1A18">
              <w:rPr>
                <w:noProof/>
                <w:webHidden/>
              </w:rPr>
              <w:fldChar w:fldCharType="begin"/>
            </w:r>
            <w:r w:rsidR="00AF1A18">
              <w:rPr>
                <w:noProof/>
                <w:webHidden/>
              </w:rPr>
              <w:instrText xml:space="preserve"> PAGEREF _Toc115948600 \h </w:instrText>
            </w:r>
            <w:r w:rsidR="00AF1A18">
              <w:rPr>
                <w:noProof/>
                <w:webHidden/>
              </w:rPr>
            </w:r>
            <w:r w:rsidR="00AF1A18">
              <w:rPr>
                <w:noProof/>
                <w:webHidden/>
              </w:rPr>
              <w:fldChar w:fldCharType="separate"/>
            </w:r>
            <w:r w:rsidR="00AF1A18">
              <w:rPr>
                <w:noProof/>
                <w:webHidden/>
              </w:rPr>
              <w:t>62</w:t>
            </w:r>
            <w:r w:rsidR="00AF1A18">
              <w:rPr>
                <w:noProof/>
                <w:webHidden/>
              </w:rPr>
              <w:fldChar w:fldCharType="end"/>
            </w:r>
          </w:hyperlink>
        </w:p>
        <w:p w14:paraId="025518A9" w14:textId="7BF36DCB" w:rsidR="00AF1A18" w:rsidRDefault="000429A6">
          <w:pPr>
            <w:pStyle w:val="TOC2"/>
            <w:rPr>
              <w:noProof/>
              <w:szCs w:val="22"/>
              <w:lang w:eastAsia="en-AU"/>
            </w:rPr>
          </w:pPr>
          <w:hyperlink w:anchor="_Toc115948601" w:history="1">
            <w:r w:rsidR="00AF1A18" w:rsidRPr="001E0F93">
              <w:rPr>
                <w:rStyle w:val="Hyperlink"/>
                <w:noProof/>
              </w:rPr>
              <w:t>Recommendation 5 – Modernising the Act</w:t>
            </w:r>
            <w:r w:rsidR="00AF1A18">
              <w:rPr>
                <w:noProof/>
                <w:webHidden/>
              </w:rPr>
              <w:tab/>
            </w:r>
            <w:r w:rsidR="00AF1A18">
              <w:rPr>
                <w:noProof/>
                <w:webHidden/>
              </w:rPr>
              <w:fldChar w:fldCharType="begin"/>
            </w:r>
            <w:r w:rsidR="00AF1A18">
              <w:rPr>
                <w:noProof/>
                <w:webHidden/>
              </w:rPr>
              <w:instrText xml:space="preserve"> PAGEREF _Toc115948601 \h </w:instrText>
            </w:r>
            <w:r w:rsidR="00AF1A18">
              <w:rPr>
                <w:noProof/>
                <w:webHidden/>
              </w:rPr>
            </w:r>
            <w:r w:rsidR="00AF1A18">
              <w:rPr>
                <w:noProof/>
                <w:webHidden/>
              </w:rPr>
              <w:fldChar w:fldCharType="separate"/>
            </w:r>
            <w:r w:rsidR="00AF1A18">
              <w:rPr>
                <w:noProof/>
                <w:webHidden/>
              </w:rPr>
              <w:t>63</w:t>
            </w:r>
            <w:r w:rsidR="00AF1A18">
              <w:rPr>
                <w:noProof/>
                <w:webHidden/>
              </w:rPr>
              <w:fldChar w:fldCharType="end"/>
            </w:r>
          </w:hyperlink>
        </w:p>
        <w:p w14:paraId="159FB9EE" w14:textId="4C796482" w:rsidR="00AF1A18" w:rsidRDefault="000429A6">
          <w:pPr>
            <w:pStyle w:val="TOC2"/>
            <w:rPr>
              <w:noProof/>
              <w:szCs w:val="22"/>
              <w:lang w:eastAsia="en-AU"/>
            </w:rPr>
          </w:pPr>
          <w:hyperlink w:anchor="_Toc115948602" w:history="1">
            <w:r w:rsidR="00AF1A18" w:rsidRPr="001E0F93">
              <w:rPr>
                <w:rStyle w:val="Hyperlink"/>
                <w:noProof/>
              </w:rPr>
              <w:t>3.6 Other legislative amendments for clarity and consistency</w:t>
            </w:r>
            <w:r w:rsidR="00AF1A18">
              <w:rPr>
                <w:noProof/>
                <w:webHidden/>
              </w:rPr>
              <w:tab/>
            </w:r>
            <w:r w:rsidR="00AF1A18">
              <w:rPr>
                <w:noProof/>
                <w:webHidden/>
              </w:rPr>
              <w:fldChar w:fldCharType="begin"/>
            </w:r>
            <w:r w:rsidR="00AF1A18">
              <w:rPr>
                <w:noProof/>
                <w:webHidden/>
              </w:rPr>
              <w:instrText xml:space="preserve"> PAGEREF _Toc115948602 \h </w:instrText>
            </w:r>
            <w:r w:rsidR="00AF1A18">
              <w:rPr>
                <w:noProof/>
                <w:webHidden/>
              </w:rPr>
            </w:r>
            <w:r w:rsidR="00AF1A18">
              <w:rPr>
                <w:noProof/>
                <w:webHidden/>
              </w:rPr>
              <w:fldChar w:fldCharType="separate"/>
            </w:r>
            <w:r w:rsidR="00AF1A18">
              <w:rPr>
                <w:noProof/>
                <w:webHidden/>
              </w:rPr>
              <w:t>63</w:t>
            </w:r>
            <w:r w:rsidR="00AF1A18">
              <w:rPr>
                <w:noProof/>
                <w:webHidden/>
              </w:rPr>
              <w:fldChar w:fldCharType="end"/>
            </w:r>
          </w:hyperlink>
        </w:p>
        <w:p w14:paraId="2BAC8B39" w14:textId="6035D016" w:rsidR="00AF1A18" w:rsidRDefault="000429A6">
          <w:pPr>
            <w:pStyle w:val="TOC2"/>
            <w:rPr>
              <w:noProof/>
              <w:szCs w:val="22"/>
              <w:lang w:eastAsia="en-AU"/>
            </w:rPr>
          </w:pPr>
          <w:hyperlink w:anchor="_Toc115948603" w:history="1">
            <w:r w:rsidR="00AF1A18" w:rsidRPr="001E0F93">
              <w:rPr>
                <w:rStyle w:val="Hyperlink"/>
                <w:noProof/>
              </w:rPr>
              <w:t>Recommendation 6 – Increasing transparency for terms and conditions</w:t>
            </w:r>
            <w:r w:rsidR="00AF1A18">
              <w:rPr>
                <w:noProof/>
                <w:webHidden/>
              </w:rPr>
              <w:tab/>
            </w:r>
            <w:r w:rsidR="00AF1A18">
              <w:rPr>
                <w:noProof/>
                <w:webHidden/>
              </w:rPr>
              <w:fldChar w:fldCharType="begin"/>
            </w:r>
            <w:r w:rsidR="00AF1A18">
              <w:rPr>
                <w:noProof/>
                <w:webHidden/>
              </w:rPr>
              <w:instrText xml:space="preserve"> PAGEREF _Toc115948603 \h </w:instrText>
            </w:r>
            <w:r w:rsidR="00AF1A18">
              <w:rPr>
                <w:noProof/>
                <w:webHidden/>
              </w:rPr>
            </w:r>
            <w:r w:rsidR="00AF1A18">
              <w:rPr>
                <w:noProof/>
                <w:webHidden/>
              </w:rPr>
              <w:fldChar w:fldCharType="separate"/>
            </w:r>
            <w:r w:rsidR="00AF1A18">
              <w:rPr>
                <w:noProof/>
                <w:webHidden/>
              </w:rPr>
              <w:t>65</w:t>
            </w:r>
            <w:r w:rsidR="00AF1A18">
              <w:rPr>
                <w:noProof/>
                <w:webHidden/>
              </w:rPr>
              <w:fldChar w:fldCharType="end"/>
            </w:r>
          </w:hyperlink>
        </w:p>
        <w:p w14:paraId="1565D730" w14:textId="0A24FEE8" w:rsidR="00AF1A18" w:rsidRDefault="000429A6">
          <w:pPr>
            <w:pStyle w:val="TOC1"/>
            <w:rPr>
              <w:noProof/>
              <w:szCs w:val="22"/>
              <w:lang w:eastAsia="en-AU"/>
            </w:rPr>
          </w:pPr>
          <w:hyperlink w:anchor="_Toc115948604" w:history="1">
            <w:r w:rsidR="00AF1A18" w:rsidRPr="001E0F93">
              <w:rPr>
                <w:rStyle w:val="Hyperlink"/>
                <w:noProof/>
              </w:rPr>
              <w:t>4 Setting an office up for success</w:t>
            </w:r>
            <w:r w:rsidR="00AF1A18">
              <w:rPr>
                <w:noProof/>
                <w:webHidden/>
              </w:rPr>
              <w:tab/>
            </w:r>
            <w:r w:rsidR="00AF1A18">
              <w:rPr>
                <w:noProof/>
                <w:webHidden/>
              </w:rPr>
              <w:fldChar w:fldCharType="begin"/>
            </w:r>
            <w:r w:rsidR="00AF1A18">
              <w:rPr>
                <w:noProof/>
                <w:webHidden/>
              </w:rPr>
              <w:instrText xml:space="preserve"> PAGEREF _Toc115948604 \h </w:instrText>
            </w:r>
            <w:r w:rsidR="00AF1A18">
              <w:rPr>
                <w:noProof/>
                <w:webHidden/>
              </w:rPr>
            </w:r>
            <w:r w:rsidR="00AF1A18">
              <w:rPr>
                <w:noProof/>
                <w:webHidden/>
              </w:rPr>
              <w:fldChar w:fldCharType="separate"/>
            </w:r>
            <w:r w:rsidR="00AF1A18">
              <w:rPr>
                <w:noProof/>
                <w:webHidden/>
              </w:rPr>
              <w:t>67</w:t>
            </w:r>
            <w:r w:rsidR="00AF1A18">
              <w:rPr>
                <w:noProof/>
                <w:webHidden/>
              </w:rPr>
              <w:fldChar w:fldCharType="end"/>
            </w:r>
          </w:hyperlink>
        </w:p>
        <w:p w14:paraId="7EFCF8DE" w14:textId="3EDD0AC4" w:rsidR="00AF1A18" w:rsidRDefault="000429A6">
          <w:pPr>
            <w:pStyle w:val="TOC2"/>
            <w:rPr>
              <w:noProof/>
              <w:szCs w:val="22"/>
              <w:lang w:eastAsia="en-AU"/>
            </w:rPr>
          </w:pPr>
          <w:hyperlink w:anchor="_Toc115948605" w:history="1">
            <w:r w:rsidR="00AF1A18" w:rsidRPr="001E0F93">
              <w:rPr>
                <w:rStyle w:val="Hyperlink"/>
                <w:noProof/>
              </w:rPr>
              <w:t>4.1 Introduction</w:t>
            </w:r>
            <w:r w:rsidR="00AF1A18">
              <w:rPr>
                <w:noProof/>
                <w:webHidden/>
              </w:rPr>
              <w:tab/>
            </w:r>
            <w:r w:rsidR="00AF1A18">
              <w:rPr>
                <w:noProof/>
                <w:webHidden/>
              </w:rPr>
              <w:fldChar w:fldCharType="begin"/>
            </w:r>
            <w:r w:rsidR="00AF1A18">
              <w:rPr>
                <w:noProof/>
                <w:webHidden/>
              </w:rPr>
              <w:instrText xml:space="preserve"> PAGEREF _Toc115948605 \h </w:instrText>
            </w:r>
            <w:r w:rsidR="00AF1A18">
              <w:rPr>
                <w:noProof/>
                <w:webHidden/>
              </w:rPr>
            </w:r>
            <w:r w:rsidR="00AF1A18">
              <w:rPr>
                <w:noProof/>
                <w:webHidden/>
              </w:rPr>
              <w:fldChar w:fldCharType="separate"/>
            </w:r>
            <w:r w:rsidR="00AF1A18">
              <w:rPr>
                <w:noProof/>
                <w:webHidden/>
              </w:rPr>
              <w:t>67</w:t>
            </w:r>
            <w:r w:rsidR="00AF1A18">
              <w:rPr>
                <w:noProof/>
                <w:webHidden/>
              </w:rPr>
              <w:fldChar w:fldCharType="end"/>
            </w:r>
          </w:hyperlink>
        </w:p>
        <w:p w14:paraId="49E451D6" w14:textId="68EB92ED" w:rsidR="00AF1A18" w:rsidRDefault="000429A6">
          <w:pPr>
            <w:pStyle w:val="TOC2"/>
            <w:rPr>
              <w:noProof/>
              <w:szCs w:val="22"/>
              <w:lang w:eastAsia="en-AU"/>
            </w:rPr>
          </w:pPr>
          <w:hyperlink w:anchor="_Toc115948606" w:history="1">
            <w:r w:rsidR="00AF1A18" w:rsidRPr="001E0F93">
              <w:rPr>
                <w:rStyle w:val="Hyperlink"/>
                <w:noProof/>
              </w:rPr>
              <w:t>4.2 The parliamentary office</w:t>
            </w:r>
            <w:r w:rsidR="00AF1A18">
              <w:rPr>
                <w:noProof/>
                <w:webHidden/>
              </w:rPr>
              <w:tab/>
            </w:r>
            <w:r w:rsidR="00AF1A18">
              <w:rPr>
                <w:noProof/>
                <w:webHidden/>
              </w:rPr>
              <w:fldChar w:fldCharType="begin"/>
            </w:r>
            <w:r w:rsidR="00AF1A18">
              <w:rPr>
                <w:noProof/>
                <w:webHidden/>
              </w:rPr>
              <w:instrText xml:space="preserve"> PAGEREF _Toc115948606 \h </w:instrText>
            </w:r>
            <w:r w:rsidR="00AF1A18">
              <w:rPr>
                <w:noProof/>
                <w:webHidden/>
              </w:rPr>
            </w:r>
            <w:r w:rsidR="00AF1A18">
              <w:rPr>
                <w:noProof/>
                <w:webHidden/>
              </w:rPr>
              <w:fldChar w:fldCharType="separate"/>
            </w:r>
            <w:r w:rsidR="00AF1A18">
              <w:rPr>
                <w:noProof/>
                <w:webHidden/>
              </w:rPr>
              <w:t>67</w:t>
            </w:r>
            <w:r w:rsidR="00AF1A18">
              <w:rPr>
                <w:noProof/>
                <w:webHidden/>
              </w:rPr>
              <w:fldChar w:fldCharType="end"/>
            </w:r>
          </w:hyperlink>
        </w:p>
        <w:p w14:paraId="57245BE1" w14:textId="18E4AE3D" w:rsidR="00AF1A18" w:rsidRDefault="000429A6">
          <w:pPr>
            <w:pStyle w:val="TOC2"/>
            <w:rPr>
              <w:noProof/>
              <w:szCs w:val="22"/>
              <w:lang w:eastAsia="en-AU"/>
            </w:rPr>
          </w:pPr>
          <w:hyperlink w:anchor="_Toc115948607" w:history="1">
            <w:r w:rsidR="00AF1A18" w:rsidRPr="001E0F93">
              <w:rPr>
                <w:rStyle w:val="Hyperlink"/>
                <w:noProof/>
              </w:rPr>
              <w:t>4.3 Recruitment</w:t>
            </w:r>
            <w:r w:rsidR="00AF1A18">
              <w:rPr>
                <w:noProof/>
                <w:webHidden/>
              </w:rPr>
              <w:tab/>
            </w:r>
            <w:r w:rsidR="00AF1A18">
              <w:rPr>
                <w:noProof/>
                <w:webHidden/>
              </w:rPr>
              <w:fldChar w:fldCharType="begin"/>
            </w:r>
            <w:r w:rsidR="00AF1A18">
              <w:rPr>
                <w:noProof/>
                <w:webHidden/>
              </w:rPr>
              <w:instrText xml:space="preserve"> PAGEREF _Toc115948607 \h </w:instrText>
            </w:r>
            <w:r w:rsidR="00AF1A18">
              <w:rPr>
                <w:noProof/>
                <w:webHidden/>
              </w:rPr>
            </w:r>
            <w:r w:rsidR="00AF1A18">
              <w:rPr>
                <w:noProof/>
                <w:webHidden/>
              </w:rPr>
              <w:fldChar w:fldCharType="separate"/>
            </w:r>
            <w:r w:rsidR="00AF1A18">
              <w:rPr>
                <w:noProof/>
                <w:webHidden/>
              </w:rPr>
              <w:t>74</w:t>
            </w:r>
            <w:r w:rsidR="00AF1A18">
              <w:rPr>
                <w:noProof/>
                <w:webHidden/>
              </w:rPr>
              <w:fldChar w:fldCharType="end"/>
            </w:r>
          </w:hyperlink>
        </w:p>
        <w:p w14:paraId="28E5981D" w14:textId="588D02C5" w:rsidR="00AF1A18" w:rsidRDefault="000429A6">
          <w:pPr>
            <w:pStyle w:val="TOC2"/>
            <w:rPr>
              <w:noProof/>
              <w:szCs w:val="22"/>
              <w:lang w:eastAsia="en-AU"/>
            </w:rPr>
          </w:pPr>
          <w:hyperlink w:anchor="_Toc115948608" w:history="1">
            <w:r w:rsidR="00AF1A18" w:rsidRPr="001E0F93">
              <w:rPr>
                <w:rStyle w:val="Hyperlink"/>
                <w:noProof/>
              </w:rPr>
              <w:t>4.4 Pre-engagement checks</w:t>
            </w:r>
            <w:r w:rsidR="00AF1A18">
              <w:rPr>
                <w:noProof/>
                <w:webHidden/>
              </w:rPr>
              <w:tab/>
            </w:r>
            <w:r w:rsidR="00AF1A18">
              <w:rPr>
                <w:noProof/>
                <w:webHidden/>
              </w:rPr>
              <w:fldChar w:fldCharType="begin"/>
            </w:r>
            <w:r w:rsidR="00AF1A18">
              <w:rPr>
                <w:noProof/>
                <w:webHidden/>
              </w:rPr>
              <w:instrText xml:space="preserve"> PAGEREF _Toc115948608 \h </w:instrText>
            </w:r>
            <w:r w:rsidR="00AF1A18">
              <w:rPr>
                <w:noProof/>
                <w:webHidden/>
              </w:rPr>
            </w:r>
            <w:r w:rsidR="00AF1A18">
              <w:rPr>
                <w:noProof/>
                <w:webHidden/>
              </w:rPr>
              <w:fldChar w:fldCharType="separate"/>
            </w:r>
            <w:r w:rsidR="00AF1A18">
              <w:rPr>
                <w:noProof/>
                <w:webHidden/>
              </w:rPr>
              <w:t>83</w:t>
            </w:r>
            <w:r w:rsidR="00AF1A18">
              <w:rPr>
                <w:noProof/>
                <w:webHidden/>
              </w:rPr>
              <w:fldChar w:fldCharType="end"/>
            </w:r>
          </w:hyperlink>
        </w:p>
        <w:p w14:paraId="0B094E0E" w14:textId="35B53A1A" w:rsidR="00AF1A18" w:rsidRDefault="000429A6">
          <w:pPr>
            <w:pStyle w:val="TOC2"/>
            <w:rPr>
              <w:noProof/>
              <w:szCs w:val="22"/>
              <w:lang w:eastAsia="en-AU"/>
            </w:rPr>
          </w:pPr>
          <w:hyperlink w:anchor="_Toc115948609" w:history="1">
            <w:r w:rsidR="00AF1A18" w:rsidRPr="001E0F93">
              <w:rPr>
                <w:rStyle w:val="Hyperlink"/>
                <w:noProof/>
              </w:rPr>
              <w:t>Recommendation 7 – Recruitment</w:t>
            </w:r>
            <w:r w:rsidR="00AF1A18">
              <w:rPr>
                <w:noProof/>
                <w:webHidden/>
              </w:rPr>
              <w:tab/>
            </w:r>
            <w:r w:rsidR="00AF1A18">
              <w:rPr>
                <w:noProof/>
                <w:webHidden/>
              </w:rPr>
              <w:fldChar w:fldCharType="begin"/>
            </w:r>
            <w:r w:rsidR="00AF1A18">
              <w:rPr>
                <w:noProof/>
                <w:webHidden/>
              </w:rPr>
              <w:instrText xml:space="preserve"> PAGEREF _Toc115948609 \h </w:instrText>
            </w:r>
            <w:r w:rsidR="00AF1A18">
              <w:rPr>
                <w:noProof/>
                <w:webHidden/>
              </w:rPr>
            </w:r>
            <w:r w:rsidR="00AF1A18">
              <w:rPr>
                <w:noProof/>
                <w:webHidden/>
              </w:rPr>
              <w:fldChar w:fldCharType="separate"/>
            </w:r>
            <w:r w:rsidR="00AF1A18">
              <w:rPr>
                <w:noProof/>
                <w:webHidden/>
              </w:rPr>
              <w:t>89</w:t>
            </w:r>
            <w:r w:rsidR="00AF1A18">
              <w:rPr>
                <w:noProof/>
                <w:webHidden/>
              </w:rPr>
              <w:fldChar w:fldCharType="end"/>
            </w:r>
          </w:hyperlink>
        </w:p>
        <w:p w14:paraId="7F04276E" w14:textId="26B8086D" w:rsidR="00AF1A18" w:rsidRDefault="000429A6">
          <w:pPr>
            <w:pStyle w:val="TOC2"/>
            <w:rPr>
              <w:noProof/>
              <w:szCs w:val="22"/>
              <w:lang w:eastAsia="en-AU"/>
            </w:rPr>
          </w:pPr>
          <w:hyperlink w:anchor="_Toc115948610" w:history="1">
            <w:r w:rsidR="00AF1A18" w:rsidRPr="001E0F93">
              <w:rPr>
                <w:rStyle w:val="Hyperlink"/>
                <w:noProof/>
              </w:rPr>
              <w:t>4.5 Intermittent labour</w:t>
            </w:r>
            <w:r w:rsidR="00AF1A18">
              <w:rPr>
                <w:noProof/>
                <w:webHidden/>
              </w:rPr>
              <w:tab/>
            </w:r>
            <w:r w:rsidR="00AF1A18">
              <w:rPr>
                <w:noProof/>
                <w:webHidden/>
              </w:rPr>
              <w:fldChar w:fldCharType="begin"/>
            </w:r>
            <w:r w:rsidR="00AF1A18">
              <w:rPr>
                <w:noProof/>
                <w:webHidden/>
              </w:rPr>
              <w:instrText xml:space="preserve"> PAGEREF _Toc115948610 \h </w:instrText>
            </w:r>
            <w:r w:rsidR="00AF1A18">
              <w:rPr>
                <w:noProof/>
                <w:webHidden/>
              </w:rPr>
            </w:r>
            <w:r w:rsidR="00AF1A18">
              <w:rPr>
                <w:noProof/>
                <w:webHidden/>
              </w:rPr>
              <w:fldChar w:fldCharType="separate"/>
            </w:r>
            <w:r w:rsidR="00AF1A18">
              <w:rPr>
                <w:noProof/>
                <w:webHidden/>
              </w:rPr>
              <w:t>89</w:t>
            </w:r>
            <w:r w:rsidR="00AF1A18">
              <w:rPr>
                <w:noProof/>
                <w:webHidden/>
              </w:rPr>
              <w:fldChar w:fldCharType="end"/>
            </w:r>
          </w:hyperlink>
        </w:p>
        <w:p w14:paraId="5D699794" w14:textId="5EE570BE" w:rsidR="00AF1A18" w:rsidRDefault="000429A6">
          <w:pPr>
            <w:pStyle w:val="TOC2"/>
            <w:rPr>
              <w:noProof/>
              <w:szCs w:val="22"/>
              <w:lang w:eastAsia="en-AU"/>
            </w:rPr>
          </w:pPr>
          <w:hyperlink w:anchor="_Toc115948611" w:history="1">
            <w:r w:rsidR="00AF1A18" w:rsidRPr="001E0F93">
              <w:rPr>
                <w:rStyle w:val="Hyperlink"/>
                <w:noProof/>
              </w:rPr>
              <w:t>Recommendation 8 – Work health and safety of non-MoP(S) workers</w:t>
            </w:r>
            <w:r w:rsidR="00AF1A18">
              <w:rPr>
                <w:noProof/>
                <w:webHidden/>
              </w:rPr>
              <w:tab/>
            </w:r>
            <w:r w:rsidR="00AF1A18">
              <w:rPr>
                <w:noProof/>
                <w:webHidden/>
              </w:rPr>
              <w:fldChar w:fldCharType="begin"/>
            </w:r>
            <w:r w:rsidR="00AF1A18">
              <w:rPr>
                <w:noProof/>
                <w:webHidden/>
              </w:rPr>
              <w:instrText xml:space="preserve"> PAGEREF _Toc115948611 \h </w:instrText>
            </w:r>
            <w:r w:rsidR="00AF1A18">
              <w:rPr>
                <w:noProof/>
                <w:webHidden/>
              </w:rPr>
            </w:r>
            <w:r w:rsidR="00AF1A18">
              <w:rPr>
                <w:noProof/>
                <w:webHidden/>
              </w:rPr>
              <w:fldChar w:fldCharType="separate"/>
            </w:r>
            <w:r w:rsidR="00AF1A18">
              <w:rPr>
                <w:noProof/>
                <w:webHidden/>
              </w:rPr>
              <w:t>90</w:t>
            </w:r>
            <w:r w:rsidR="00AF1A18">
              <w:rPr>
                <w:noProof/>
                <w:webHidden/>
              </w:rPr>
              <w:fldChar w:fldCharType="end"/>
            </w:r>
          </w:hyperlink>
        </w:p>
        <w:p w14:paraId="36E8E2E8" w14:textId="510F98D7" w:rsidR="00AF1A18" w:rsidRDefault="000429A6">
          <w:pPr>
            <w:pStyle w:val="TOC1"/>
            <w:rPr>
              <w:noProof/>
              <w:szCs w:val="22"/>
              <w:lang w:eastAsia="en-AU"/>
            </w:rPr>
          </w:pPr>
          <w:hyperlink w:anchor="_Toc115948612" w:history="1">
            <w:r w:rsidR="00AF1A18" w:rsidRPr="001E0F93">
              <w:rPr>
                <w:rStyle w:val="Hyperlink"/>
                <w:noProof/>
              </w:rPr>
              <w:t>5 Accountabilities, expectations and responsibilities</w:t>
            </w:r>
            <w:r w:rsidR="00AF1A18">
              <w:rPr>
                <w:noProof/>
                <w:webHidden/>
              </w:rPr>
              <w:tab/>
            </w:r>
            <w:r w:rsidR="00AF1A18">
              <w:rPr>
                <w:noProof/>
                <w:webHidden/>
              </w:rPr>
              <w:fldChar w:fldCharType="begin"/>
            </w:r>
            <w:r w:rsidR="00AF1A18">
              <w:rPr>
                <w:noProof/>
                <w:webHidden/>
              </w:rPr>
              <w:instrText xml:space="preserve"> PAGEREF _Toc115948612 \h </w:instrText>
            </w:r>
            <w:r w:rsidR="00AF1A18">
              <w:rPr>
                <w:noProof/>
                <w:webHidden/>
              </w:rPr>
            </w:r>
            <w:r w:rsidR="00AF1A18">
              <w:rPr>
                <w:noProof/>
                <w:webHidden/>
              </w:rPr>
              <w:fldChar w:fldCharType="separate"/>
            </w:r>
            <w:r w:rsidR="00AF1A18">
              <w:rPr>
                <w:noProof/>
                <w:webHidden/>
              </w:rPr>
              <w:t>91</w:t>
            </w:r>
            <w:r w:rsidR="00AF1A18">
              <w:rPr>
                <w:noProof/>
                <w:webHidden/>
              </w:rPr>
              <w:fldChar w:fldCharType="end"/>
            </w:r>
          </w:hyperlink>
        </w:p>
        <w:p w14:paraId="1F55A577" w14:textId="40CE8E60" w:rsidR="00AF1A18" w:rsidRDefault="000429A6">
          <w:pPr>
            <w:pStyle w:val="TOC2"/>
            <w:rPr>
              <w:noProof/>
              <w:szCs w:val="22"/>
              <w:lang w:eastAsia="en-AU"/>
            </w:rPr>
          </w:pPr>
          <w:hyperlink w:anchor="_Toc115948613" w:history="1">
            <w:r w:rsidR="00AF1A18" w:rsidRPr="001E0F93">
              <w:rPr>
                <w:rStyle w:val="Hyperlink"/>
                <w:noProof/>
              </w:rPr>
              <w:t>5.1 Introduction</w:t>
            </w:r>
            <w:r w:rsidR="00AF1A18">
              <w:rPr>
                <w:noProof/>
                <w:webHidden/>
              </w:rPr>
              <w:tab/>
            </w:r>
            <w:r w:rsidR="00AF1A18">
              <w:rPr>
                <w:noProof/>
                <w:webHidden/>
              </w:rPr>
              <w:fldChar w:fldCharType="begin"/>
            </w:r>
            <w:r w:rsidR="00AF1A18">
              <w:rPr>
                <w:noProof/>
                <w:webHidden/>
              </w:rPr>
              <w:instrText xml:space="preserve"> PAGEREF _Toc115948613 \h </w:instrText>
            </w:r>
            <w:r w:rsidR="00AF1A18">
              <w:rPr>
                <w:noProof/>
                <w:webHidden/>
              </w:rPr>
            </w:r>
            <w:r w:rsidR="00AF1A18">
              <w:rPr>
                <w:noProof/>
                <w:webHidden/>
              </w:rPr>
              <w:fldChar w:fldCharType="separate"/>
            </w:r>
            <w:r w:rsidR="00AF1A18">
              <w:rPr>
                <w:noProof/>
                <w:webHidden/>
              </w:rPr>
              <w:t>91</w:t>
            </w:r>
            <w:r w:rsidR="00AF1A18">
              <w:rPr>
                <w:noProof/>
                <w:webHidden/>
              </w:rPr>
              <w:fldChar w:fldCharType="end"/>
            </w:r>
          </w:hyperlink>
        </w:p>
        <w:p w14:paraId="33B98F23" w14:textId="009BFA1B" w:rsidR="00AF1A18" w:rsidRDefault="000429A6">
          <w:pPr>
            <w:pStyle w:val="TOC2"/>
            <w:rPr>
              <w:noProof/>
              <w:szCs w:val="22"/>
              <w:lang w:eastAsia="en-AU"/>
            </w:rPr>
          </w:pPr>
          <w:hyperlink w:anchor="_Toc115948614" w:history="1">
            <w:r w:rsidR="00AF1A18" w:rsidRPr="001E0F93">
              <w:rPr>
                <w:rStyle w:val="Hyperlink"/>
                <w:noProof/>
              </w:rPr>
              <w:t>5.2 Employment principles</w:t>
            </w:r>
            <w:r w:rsidR="00AF1A18">
              <w:rPr>
                <w:noProof/>
                <w:webHidden/>
              </w:rPr>
              <w:tab/>
            </w:r>
            <w:r w:rsidR="00AF1A18">
              <w:rPr>
                <w:noProof/>
                <w:webHidden/>
              </w:rPr>
              <w:fldChar w:fldCharType="begin"/>
            </w:r>
            <w:r w:rsidR="00AF1A18">
              <w:rPr>
                <w:noProof/>
                <w:webHidden/>
              </w:rPr>
              <w:instrText xml:space="preserve"> PAGEREF _Toc115948614 \h </w:instrText>
            </w:r>
            <w:r w:rsidR="00AF1A18">
              <w:rPr>
                <w:noProof/>
                <w:webHidden/>
              </w:rPr>
            </w:r>
            <w:r w:rsidR="00AF1A18">
              <w:rPr>
                <w:noProof/>
                <w:webHidden/>
              </w:rPr>
              <w:fldChar w:fldCharType="separate"/>
            </w:r>
            <w:r w:rsidR="00AF1A18">
              <w:rPr>
                <w:noProof/>
                <w:webHidden/>
              </w:rPr>
              <w:t>91</w:t>
            </w:r>
            <w:r w:rsidR="00AF1A18">
              <w:rPr>
                <w:noProof/>
                <w:webHidden/>
              </w:rPr>
              <w:fldChar w:fldCharType="end"/>
            </w:r>
          </w:hyperlink>
        </w:p>
        <w:p w14:paraId="70B50170" w14:textId="50C51E5B" w:rsidR="00AF1A18" w:rsidRDefault="000429A6">
          <w:pPr>
            <w:pStyle w:val="TOC2"/>
            <w:rPr>
              <w:noProof/>
              <w:szCs w:val="22"/>
              <w:lang w:eastAsia="en-AU"/>
            </w:rPr>
          </w:pPr>
          <w:hyperlink w:anchor="_Toc115948615" w:history="1">
            <w:r w:rsidR="00AF1A18" w:rsidRPr="001E0F93">
              <w:rPr>
                <w:rStyle w:val="Hyperlink"/>
                <w:noProof/>
              </w:rPr>
              <w:t>Recommendation 9 – Employment principles</w:t>
            </w:r>
            <w:r w:rsidR="00AF1A18">
              <w:rPr>
                <w:noProof/>
                <w:webHidden/>
              </w:rPr>
              <w:tab/>
            </w:r>
            <w:r w:rsidR="00AF1A18">
              <w:rPr>
                <w:noProof/>
                <w:webHidden/>
              </w:rPr>
              <w:fldChar w:fldCharType="begin"/>
            </w:r>
            <w:r w:rsidR="00AF1A18">
              <w:rPr>
                <w:noProof/>
                <w:webHidden/>
              </w:rPr>
              <w:instrText xml:space="preserve"> PAGEREF _Toc115948615 \h </w:instrText>
            </w:r>
            <w:r w:rsidR="00AF1A18">
              <w:rPr>
                <w:noProof/>
                <w:webHidden/>
              </w:rPr>
            </w:r>
            <w:r w:rsidR="00AF1A18">
              <w:rPr>
                <w:noProof/>
                <w:webHidden/>
              </w:rPr>
              <w:fldChar w:fldCharType="separate"/>
            </w:r>
            <w:r w:rsidR="00AF1A18">
              <w:rPr>
                <w:noProof/>
                <w:webHidden/>
              </w:rPr>
              <w:t>95</w:t>
            </w:r>
            <w:r w:rsidR="00AF1A18">
              <w:rPr>
                <w:noProof/>
                <w:webHidden/>
              </w:rPr>
              <w:fldChar w:fldCharType="end"/>
            </w:r>
          </w:hyperlink>
        </w:p>
        <w:p w14:paraId="6B0509B7" w14:textId="2E538305" w:rsidR="00AF1A18" w:rsidRDefault="000429A6">
          <w:pPr>
            <w:pStyle w:val="TOC2"/>
            <w:rPr>
              <w:noProof/>
              <w:szCs w:val="22"/>
              <w:lang w:eastAsia="en-AU"/>
            </w:rPr>
          </w:pPr>
          <w:hyperlink w:anchor="_Toc115948616" w:history="1">
            <w:r w:rsidR="00AF1A18" w:rsidRPr="001E0F93">
              <w:rPr>
                <w:rStyle w:val="Hyperlink"/>
                <w:noProof/>
              </w:rPr>
              <w:t>5.3 Accountability and responsibilities of MoP(S) Act employees</w:t>
            </w:r>
            <w:r w:rsidR="00AF1A18">
              <w:rPr>
                <w:noProof/>
                <w:webHidden/>
              </w:rPr>
              <w:tab/>
            </w:r>
            <w:r w:rsidR="00AF1A18">
              <w:rPr>
                <w:noProof/>
                <w:webHidden/>
              </w:rPr>
              <w:fldChar w:fldCharType="begin"/>
            </w:r>
            <w:r w:rsidR="00AF1A18">
              <w:rPr>
                <w:noProof/>
                <w:webHidden/>
              </w:rPr>
              <w:instrText xml:space="preserve"> PAGEREF _Toc115948616 \h </w:instrText>
            </w:r>
            <w:r w:rsidR="00AF1A18">
              <w:rPr>
                <w:noProof/>
                <w:webHidden/>
              </w:rPr>
            </w:r>
            <w:r w:rsidR="00AF1A18">
              <w:rPr>
                <w:noProof/>
                <w:webHidden/>
              </w:rPr>
              <w:fldChar w:fldCharType="separate"/>
            </w:r>
            <w:r w:rsidR="00AF1A18">
              <w:rPr>
                <w:noProof/>
                <w:webHidden/>
              </w:rPr>
              <w:t>95</w:t>
            </w:r>
            <w:r w:rsidR="00AF1A18">
              <w:rPr>
                <w:noProof/>
                <w:webHidden/>
              </w:rPr>
              <w:fldChar w:fldCharType="end"/>
            </w:r>
          </w:hyperlink>
        </w:p>
        <w:p w14:paraId="3B529E34" w14:textId="65AAB40B" w:rsidR="00AF1A18" w:rsidRDefault="000429A6">
          <w:pPr>
            <w:pStyle w:val="TOC2"/>
            <w:rPr>
              <w:noProof/>
              <w:szCs w:val="22"/>
              <w:lang w:eastAsia="en-AU"/>
            </w:rPr>
          </w:pPr>
          <w:hyperlink w:anchor="_Toc115948617" w:history="1">
            <w:r w:rsidR="00AF1A18" w:rsidRPr="001E0F93">
              <w:rPr>
                <w:rStyle w:val="Hyperlink"/>
                <w:noProof/>
              </w:rPr>
              <w:t>5.4 Expectations and obligations</w:t>
            </w:r>
            <w:r w:rsidR="00AF1A18">
              <w:rPr>
                <w:noProof/>
                <w:webHidden/>
              </w:rPr>
              <w:tab/>
            </w:r>
            <w:r w:rsidR="00AF1A18">
              <w:rPr>
                <w:noProof/>
                <w:webHidden/>
              </w:rPr>
              <w:fldChar w:fldCharType="begin"/>
            </w:r>
            <w:r w:rsidR="00AF1A18">
              <w:rPr>
                <w:noProof/>
                <w:webHidden/>
              </w:rPr>
              <w:instrText xml:space="preserve"> PAGEREF _Toc115948617 \h </w:instrText>
            </w:r>
            <w:r w:rsidR="00AF1A18">
              <w:rPr>
                <w:noProof/>
                <w:webHidden/>
              </w:rPr>
            </w:r>
            <w:r w:rsidR="00AF1A18">
              <w:rPr>
                <w:noProof/>
                <w:webHidden/>
              </w:rPr>
              <w:fldChar w:fldCharType="separate"/>
            </w:r>
            <w:r w:rsidR="00AF1A18">
              <w:rPr>
                <w:noProof/>
                <w:webHidden/>
              </w:rPr>
              <w:t>106</w:t>
            </w:r>
            <w:r w:rsidR="00AF1A18">
              <w:rPr>
                <w:noProof/>
                <w:webHidden/>
              </w:rPr>
              <w:fldChar w:fldCharType="end"/>
            </w:r>
          </w:hyperlink>
        </w:p>
        <w:p w14:paraId="6B8BF9F2" w14:textId="4956477E" w:rsidR="00AF1A18" w:rsidRDefault="000429A6">
          <w:pPr>
            <w:pStyle w:val="TOC2"/>
            <w:rPr>
              <w:noProof/>
              <w:szCs w:val="22"/>
              <w:lang w:eastAsia="en-AU"/>
            </w:rPr>
          </w:pPr>
          <w:hyperlink w:anchor="_Toc115948618" w:history="1">
            <w:r w:rsidR="00AF1A18" w:rsidRPr="001E0F93">
              <w:rPr>
                <w:rStyle w:val="Hyperlink"/>
                <w:noProof/>
              </w:rPr>
              <w:t>Recommendation 10 – Parliamentarian obligations</w:t>
            </w:r>
            <w:r w:rsidR="00AF1A18">
              <w:rPr>
                <w:noProof/>
                <w:webHidden/>
              </w:rPr>
              <w:tab/>
            </w:r>
            <w:r w:rsidR="00AF1A18">
              <w:rPr>
                <w:noProof/>
                <w:webHidden/>
              </w:rPr>
              <w:fldChar w:fldCharType="begin"/>
            </w:r>
            <w:r w:rsidR="00AF1A18">
              <w:rPr>
                <w:noProof/>
                <w:webHidden/>
              </w:rPr>
              <w:instrText xml:space="preserve"> PAGEREF _Toc115948618 \h </w:instrText>
            </w:r>
            <w:r w:rsidR="00AF1A18">
              <w:rPr>
                <w:noProof/>
                <w:webHidden/>
              </w:rPr>
            </w:r>
            <w:r w:rsidR="00AF1A18">
              <w:rPr>
                <w:noProof/>
                <w:webHidden/>
              </w:rPr>
              <w:fldChar w:fldCharType="separate"/>
            </w:r>
            <w:r w:rsidR="00AF1A18">
              <w:rPr>
                <w:noProof/>
                <w:webHidden/>
              </w:rPr>
              <w:t>110</w:t>
            </w:r>
            <w:r w:rsidR="00AF1A18">
              <w:rPr>
                <w:noProof/>
                <w:webHidden/>
              </w:rPr>
              <w:fldChar w:fldCharType="end"/>
            </w:r>
          </w:hyperlink>
        </w:p>
        <w:p w14:paraId="74009692" w14:textId="60DD6123" w:rsidR="00AF1A18" w:rsidRDefault="000429A6">
          <w:pPr>
            <w:pStyle w:val="TOC2"/>
            <w:rPr>
              <w:noProof/>
              <w:szCs w:val="22"/>
              <w:lang w:eastAsia="en-AU"/>
            </w:rPr>
          </w:pPr>
          <w:hyperlink w:anchor="_Toc115948619" w:history="1">
            <w:r w:rsidR="00AF1A18" w:rsidRPr="001E0F93">
              <w:rPr>
                <w:rStyle w:val="Hyperlink"/>
                <w:noProof/>
              </w:rPr>
              <w:t>Recommendation 11 – Employee obligations</w:t>
            </w:r>
            <w:r w:rsidR="00AF1A18">
              <w:rPr>
                <w:noProof/>
                <w:webHidden/>
              </w:rPr>
              <w:tab/>
            </w:r>
            <w:r w:rsidR="00AF1A18">
              <w:rPr>
                <w:noProof/>
                <w:webHidden/>
              </w:rPr>
              <w:fldChar w:fldCharType="begin"/>
            </w:r>
            <w:r w:rsidR="00AF1A18">
              <w:rPr>
                <w:noProof/>
                <w:webHidden/>
              </w:rPr>
              <w:instrText xml:space="preserve"> PAGEREF _Toc115948619 \h </w:instrText>
            </w:r>
            <w:r w:rsidR="00AF1A18">
              <w:rPr>
                <w:noProof/>
                <w:webHidden/>
              </w:rPr>
            </w:r>
            <w:r w:rsidR="00AF1A18">
              <w:rPr>
                <w:noProof/>
                <w:webHidden/>
              </w:rPr>
              <w:fldChar w:fldCharType="separate"/>
            </w:r>
            <w:r w:rsidR="00AF1A18">
              <w:rPr>
                <w:noProof/>
                <w:webHidden/>
              </w:rPr>
              <w:t>110</w:t>
            </w:r>
            <w:r w:rsidR="00AF1A18">
              <w:rPr>
                <w:noProof/>
                <w:webHidden/>
              </w:rPr>
              <w:fldChar w:fldCharType="end"/>
            </w:r>
          </w:hyperlink>
        </w:p>
        <w:p w14:paraId="559D6157" w14:textId="436B6ACE" w:rsidR="00AF1A18" w:rsidRDefault="000429A6">
          <w:pPr>
            <w:pStyle w:val="TOC2"/>
            <w:rPr>
              <w:noProof/>
              <w:szCs w:val="22"/>
              <w:lang w:eastAsia="en-AU"/>
            </w:rPr>
          </w:pPr>
          <w:hyperlink w:anchor="_Toc115948620" w:history="1">
            <w:r w:rsidR="00AF1A18" w:rsidRPr="001E0F93">
              <w:rPr>
                <w:rStyle w:val="Hyperlink"/>
                <w:noProof/>
              </w:rPr>
              <w:t>5.5 Reporting</w:t>
            </w:r>
            <w:r w:rsidR="00AF1A18">
              <w:rPr>
                <w:noProof/>
                <w:webHidden/>
              </w:rPr>
              <w:tab/>
            </w:r>
            <w:r w:rsidR="00AF1A18">
              <w:rPr>
                <w:noProof/>
                <w:webHidden/>
              </w:rPr>
              <w:fldChar w:fldCharType="begin"/>
            </w:r>
            <w:r w:rsidR="00AF1A18">
              <w:rPr>
                <w:noProof/>
                <w:webHidden/>
              </w:rPr>
              <w:instrText xml:space="preserve"> PAGEREF _Toc115948620 \h </w:instrText>
            </w:r>
            <w:r w:rsidR="00AF1A18">
              <w:rPr>
                <w:noProof/>
                <w:webHidden/>
              </w:rPr>
            </w:r>
            <w:r w:rsidR="00AF1A18">
              <w:rPr>
                <w:noProof/>
                <w:webHidden/>
              </w:rPr>
              <w:fldChar w:fldCharType="separate"/>
            </w:r>
            <w:r w:rsidR="00AF1A18">
              <w:rPr>
                <w:noProof/>
                <w:webHidden/>
              </w:rPr>
              <w:t>110</w:t>
            </w:r>
            <w:r w:rsidR="00AF1A18">
              <w:rPr>
                <w:noProof/>
                <w:webHidden/>
              </w:rPr>
              <w:fldChar w:fldCharType="end"/>
            </w:r>
          </w:hyperlink>
        </w:p>
        <w:p w14:paraId="11AC1BA7" w14:textId="09A0465A" w:rsidR="00AF1A18" w:rsidRDefault="000429A6">
          <w:pPr>
            <w:pStyle w:val="TOC2"/>
            <w:rPr>
              <w:noProof/>
              <w:szCs w:val="22"/>
              <w:lang w:eastAsia="en-AU"/>
            </w:rPr>
          </w:pPr>
          <w:hyperlink w:anchor="_Toc115948621" w:history="1">
            <w:r w:rsidR="00AF1A18" w:rsidRPr="001E0F93">
              <w:rPr>
                <w:rStyle w:val="Hyperlink"/>
                <w:noProof/>
              </w:rPr>
              <w:t>Recommendation 12 – Annual reporting</w:t>
            </w:r>
            <w:r w:rsidR="00AF1A18">
              <w:rPr>
                <w:noProof/>
                <w:webHidden/>
              </w:rPr>
              <w:tab/>
            </w:r>
            <w:r w:rsidR="00AF1A18">
              <w:rPr>
                <w:noProof/>
                <w:webHidden/>
              </w:rPr>
              <w:fldChar w:fldCharType="begin"/>
            </w:r>
            <w:r w:rsidR="00AF1A18">
              <w:rPr>
                <w:noProof/>
                <w:webHidden/>
              </w:rPr>
              <w:instrText xml:space="preserve"> PAGEREF _Toc115948621 \h </w:instrText>
            </w:r>
            <w:r w:rsidR="00AF1A18">
              <w:rPr>
                <w:noProof/>
                <w:webHidden/>
              </w:rPr>
            </w:r>
            <w:r w:rsidR="00AF1A18">
              <w:rPr>
                <w:noProof/>
                <w:webHidden/>
              </w:rPr>
              <w:fldChar w:fldCharType="separate"/>
            </w:r>
            <w:r w:rsidR="00AF1A18">
              <w:rPr>
                <w:noProof/>
                <w:webHidden/>
              </w:rPr>
              <w:t>117</w:t>
            </w:r>
            <w:r w:rsidR="00AF1A18">
              <w:rPr>
                <w:noProof/>
                <w:webHidden/>
              </w:rPr>
              <w:fldChar w:fldCharType="end"/>
            </w:r>
          </w:hyperlink>
        </w:p>
        <w:p w14:paraId="12AD8F5E" w14:textId="092B8E19" w:rsidR="00AF1A18" w:rsidRDefault="000429A6">
          <w:pPr>
            <w:pStyle w:val="TOC1"/>
            <w:rPr>
              <w:noProof/>
              <w:szCs w:val="22"/>
              <w:lang w:eastAsia="en-AU"/>
            </w:rPr>
          </w:pPr>
          <w:hyperlink w:anchor="_Toc115948622" w:history="1">
            <w:r w:rsidR="00AF1A18" w:rsidRPr="001E0F93">
              <w:rPr>
                <w:rStyle w:val="Hyperlink"/>
                <w:noProof/>
              </w:rPr>
              <w:t>6 Employment separation</w:t>
            </w:r>
            <w:r w:rsidR="00AF1A18">
              <w:rPr>
                <w:noProof/>
                <w:webHidden/>
              </w:rPr>
              <w:tab/>
            </w:r>
            <w:r w:rsidR="00AF1A18">
              <w:rPr>
                <w:noProof/>
                <w:webHidden/>
              </w:rPr>
              <w:fldChar w:fldCharType="begin"/>
            </w:r>
            <w:r w:rsidR="00AF1A18">
              <w:rPr>
                <w:noProof/>
                <w:webHidden/>
              </w:rPr>
              <w:instrText xml:space="preserve"> PAGEREF _Toc115948622 \h </w:instrText>
            </w:r>
            <w:r w:rsidR="00AF1A18">
              <w:rPr>
                <w:noProof/>
                <w:webHidden/>
              </w:rPr>
            </w:r>
            <w:r w:rsidR="00AF1A18">
              <w:rPr>
                <w:noProof/>
                <w:webHidden/>
              </w:rPr>
              <w:fldChar w:fldCharType="separate"/>
            </w:r>
            <w:r w:rsidR="00AF1A18">
              <w:rPr>
                <w:noProof/>
                <w:webHidden/>
              </w:rPr>
              <w:t>118</w:t>
            </w:r>
            <w:r w:rsidR="00AF1A18">
              <w:rPr>
                <w:noProof/>
                <w:webHidden/>
              </w:rPr>
              <w:fldChar w:fldCharType="end"/>
            </w:r>
          </w:hyperlink>
        </w:p>
        <w:p w14:paraId="2761B762" w14:textId="31BE04CF" w:rsidR="00AF1A18" w:rsidRDefault="000429A6">
          <w:pPr>
            <w:pStyle w:val="TOC2"/>
            <w:rPr>
              <w:noProof/>
              <w:szCs w:val="22"/>
              <w:lang w:eastAsia="en-AU"/>
            </w:rPr>
          </w:pPr>
          <w:hyperlink w:anchor="_Toc115948623" w:history="1">
            <w:r w:rsidR="00AF1A18" w:rsidRPr="001E0F93">
              <w:rPr>
                <w:rStyle w:val="Hyperlink"/>
                <w:noProof/>
              </w:rPr>
              <w:t>6.1 Introduction</w:t>
            </w:r>
            <w:r w:rsidR="00AF1A18">
              <w:rPr>
                <w:noProof/>
                <w:webHidden/>
              </w:rPr>
              <w:tab/>
            </w:r>
            <w:r w:rsidR="00AF1A18">
              <w:rPr>
                <w:noProof/>
                <w:webHidden/>
              </w:rPr>
              <w:fldChar w:fldCharType="begin"/>
            </w:r>
            <w:r w:rsidR="00AF1A18">
              <w:rPr>
                <w:noProof/>
                <w:webHidden/>
              </w:rPr>
              <w:instrText xml:space="preserve"> PAGEREF _Toc115948623 \h </w:instrText>
            </w:r>
            <w:r w:rsidR="00AF1A18">
              <w:rPr>
                <w:noProof/>
                <w:webHidden/>
              </w:rPr>
            </w:r>
            <w:r w:rsidR="00AF1A18">
              <w:rPr>
                <w:noProof/>
                <w:webHidden/>
              </w:rPr>
              <w:fldChar w:fldCharType="separate"/>
            </w:r>
            <w:r w:rsidR="00AF1A18">
              <w:rPr>
                <w:noProof/>
                <w:webHidden/>
              </w:rPr>
              <w:t>118</w:t>
            </w:r>
            <w:r w:rsidR="00AF1A18">
              <w:rPr>
                <w:noProof/>
                <w:webHidden/>
              </w:rPr>
              <w:fldChar w:fldCharType="end"/>
            </w:r>
          </w:hyperlink>
        </w:p>
        <w:p w14:paraId="6AC4E0D9" w14:textId="78A3F201" w:rsidR="00AF1A18" w:rsidRDefault="000429A6">
          <w:pPr>
            <w:pStyle w:val="TOC2"/>
            <w:rPr>
              <w:noProof/>
              <w:szCs w:val="22"/>
              <w:lang w:eastAsia="en-AU"/>
            </w:rPr>
          </w:pPr>
          <w:hyperlink w:anchor="_Toc115948624" w:history="1">
            <w:r w:rsidR="00AF1A18" w:rsidRPr="001E0F93">
              <w:rPr>
                <w:rStyle w:val="Hyperlink"/>
                <w:noProof/>
              </w:rPr>
              <w:t>6.2 The MoP(S) Act context</w:t>
            </w:r>
            <w:r w:rsidR="00AF1A18">
              <w:rPr>
                <w:noProof/>
                <w:webHidden/>
              </w:rPr>
              <w:tab/>
            </w:r>
            <w:r w:rsidR="00AF1A18">
              <w:rPr>
                <w:noProof/>
                <w:webHidden/>
              </w:rPr>
              <w:fldChar w:fldCharType="begin"/>
            </w:r>
            <w:r w:rsidR="00AF1A18">
              <w:rPr>
                <w:noProof/>
                <w:webHidden/>
              </w:rPr>
              <w:instrText xml:space="preserve"> PAGEREF _Toc115948624 \h </w:instrText>
            </w:r>
            <w:r w:rsidR="00AF1A18">
              <w:rPr>
                <w:noProof/>
                <w:webHidden/>
              </w:rPr>
            </w:r>
            <w:r w:rsidR="00AF1A18">
              <w:rPr>
                <w:noProof/>
                <w:webHidden/>
              </w:rPr>
              <w:fldChar w:fldCharType="separate"/>
            </w:r>
            <w:r w:rsidR="00AF1A18">
              <w:rPr>
                <w:noProof/>
                <w:webHidden/>
              </w:rPr>
              <w:t>118</w:t>
            </w:r>
            <w:r w:rsidR="00AF1A18">
              <w:rPr>
                <w:noProof/>
                <w:webHidden/>
              </w:rPr>
              <w:fldChar w:fldCharType="end"/>
            </w:r>
          </w:hyperlink>
        </w:p>
        <w:p w14:paraId="1DF2D228" w14:textId="6BA58083" w:rsidR="00AF1A18" w:rsidRDefault="000429A6">
          <w:pPr>
            <w:pStyle w:val="TOC2"/>
            <w:rPr>
              <w:noProof/>
              <w:szCs w:val="22"/>
              <w:lang w:eastAsia="en-AU"/>
            </w:rPr>
          </w:pPr>
          <w:hyperlink w:anchor="_Toc115948625" w:history="1">
            <w:r w:rsidR="00AF1A18" w:rsidRPr="001E0F93">
              <w:rPr>
                <w:rStyle w:val="Hyperlink"/>
                <w:noProof/>
              </w:rPr>
              <w:t>6.3 Termination of employment by parliamentarians</w:t>
            </w:r>
            <w:r w:rsidR="00AF1A18">
              <w:rPr>
                <w:noProof/>
                <w:webHidden/>
              </w:rPr>
              <w:tab/>
            </w:r>
            <w:r w:rsidR="00AF1A18">
              <w:rPr>
                <w:noProof/>
                <w:webHidden/>
              </w:rPr>
              <w:fldChar w:fldCharType="begin"/>
            </w:r>
            <w:r w:rsidR="00AF1A18">
              <w:rPr>
                <w:noProof/>
                <w:webHidden/>
              </w:rPr>
              <w:instrText xml:space="preserve"> PAGEREF _Toc115948625 \h </w:instrText>
            </w:r>
            <w:r w:rsidR="00AF1A18">
              <w:rPr>
                <w:noProof/>
                <w:webHidden/>
              </w:rPr>
            </w:r>
            <w:r w:rsidR="00AF1A18">
              <w:rPr>
                <w:noProof/>
                <w:webHidden/>
              </w:rPr>
              <w:fldChar w:fldCharType="separate"/>
            </w:r>
            <w:r w:rsidR="00AF1A18">
              <w:rPr>
                <w:noProof/>
                <w:webHidden/>
              </w:rPr>
              <w:t>119</w:t>
            </w:r>
            <w:r w:rsidR="00AF1A18">
              <w:rPr>
                <w:noProof/>
                <w:webHidden/>
              </w:rPr>
              <w:fldChar w:fldCharType="end"/>
            </w:r>
          </w:hyperlink>
        </w:p>
        <w:p w14:paraId="0774FC9C" w14:textId="1FCFF567" w:rsidR="00AF1A18" w:rsidRDefault="000429A6">
          <w:pPr>
            <w:pStyle w:val="TOC2"/>
            <w:rPr>
              <w:noProof/>
              <w:szCs w:val="22"/>
              <w:lang w:eastAsia="en-AU"/>
            </w:rPr>
          </w:pPr>
          <w:hyperlink w:anchor="_Toc115948626" w:history="1">
            <w:r w:rsidR="00AF1A18" w:rsidRPr="001E0F93">
              <w:rPr>
                <w:rStyle w:val="Hyperlink"/>
                <w:noProof/>
              </w:rPr>
              <w:t>6.4 Termination processes and procedural fairness</w:t>
            </w:r>
            <w:r w:rsidR="00AF1A18">
              <w:rPr>
                <w:noProof/>
                <w:webHidden/>
              </w:rPr>
              <w:tab/>
            </w:r>
            <w:r w:rsidR="00AF1A18">
              <w:rPr>
                <w:noProof/>
                <w:webHidden/>
              </w:rPr>
              <w:fldChar w:fldCharType="begin"/>
            </w:r>
            <w:r w:rsidR="00AF1A18">
              <w:rPr>
                <w:noProof/>
                <w:webHidden/>
              </w:rPr>
              <w:instrText xml:space="preserve"> PAGEREF _Toc115948626 \h </w:instrText>
            </w:r>
            <w:r w:rsidR="00AF1A18">
              <w:rPr>
                <w:noProof/>
                <w:webHidden/>
              </w:rPr>
            </w:r>
            <w:r w:rsidR="00AF1A18">
              <w:rPr>
                <w:noProof/>
                <w:webHidden/>
              </w:rPr>
              <w:fldChar w:fldCharType="separate"/>
            </w:r>
            <w:r w:rsidR="00AF1A18">
              <w:rPr>
                <w:noProof/>
                <w:webHidden/>
              </w:rPr>
              <w:t>130</w:t>
            </w:r>
            <w:r w:rsidR="00AF1A18">
              <w:rPr>
                <w:noProof/>
                <w:webHidden/>
              </w:rPr>
              <w:fldChar w:fldCharType="end"/>
            </w:r>
          </w:hyperlink>
        </w:p>
        <w:p w14:paraId="2E0BA95D" w14:textId="4CB05A07" w:rsidR="00AF1A18" w:rsidRDefault="000429A6">
          <w:pPr>
            <w:pStyle w:val="TOC2"/>
            <w:rPr>
              <w:noProof/>
              <w:szCs w:val="22"/>
              <w:lang w:eastAsia="en-AU"/>
            </w:rPr>
          </w:pPr>
          <w:hyperlink w:anchor="_Toc115948627" w:history="1">
            <w:r w:rsidR="00AF1A18" w:rsidRPr="001E0F93">
              <w:rPr>
                <w:rStyle w:val="Hyperlink"/>
                <w:noProof/>
              </w:rPr>
              <w:t>Recommendation 13 – Termination</w:t>
            </w:r>
            <w:r w:rsidR="00AF1A18">
              <w:rPr>
                <w:noProof/>
                <w:webHidden/>
              </w:rPr>
              <w:tab/>
            </w:r>
            <w:r w:rsidR="00AF1A18">
              <w:rPr>
                <w:noProof/>
                <w:webHidden/>
              </w:rPr>
              <w:fldChar w:fldCharType="begin"/>
            </w:r>
            <w:r w:rsidR="00AF1A18">
              <w:rPr>
                <w:noProof/>
                <w:webHidden/>
              </w:rPr>
              <w:instrText xml:space="preserve"> PAGEREF _Toc115948627 \h </w:instrText>
            </w:r>
            <w:r w:rsidR="00AF1A18">
              <w:rPr>
                <w:noProof/>
                <w:webHidden/>
              </w:rPr>
            </w:r>
            <w:r w:rsidR="00AF1A18">
              <w:rPr>
                <w:noProof/>
                <w:webHidden/>
              </w:rPr>
              <w:fldChar w:fldCharType="separate"/>
            </w:r>
            <w:r w:rsidR="00AF1A18">
              <w:rPr>
                <w:noProof/>
                <w:webHidden/>
              </w:rPr>
              <w:t>137</w:t>
            </w:r>
            <w:r w:rsidR="00AF1A18">
              <w:rPr>
                <w:noProof/>
                <w:webHidden/>
              </w:rPr>
              <w:fldChar w:fldCharType="end"/>
            </w:r>
          </w:hyperlink>
        </w:p>
        <w:p w14:paraId="106D3393" w14:textId="6A84EC9C" w:rsidR="00AF1A18" w:rsidRDefault="000429A6">
          <w:pPr>
            <w:pStyle w:val="TOC2"/>
            <w:rPr>
              <w:noProof/>
              <w:szCs w:val="22"/>
              <w:lang w:eastAsia="en-AU"/>
            </w:rPr>
          </w:pPr>
          <w:hyperlink w:anchor="_Toc115948628" w:history="1">
            <w:r w:rsidR="00AF1A18" w:rsidRPr="001E0F93">
              <w:rPr>
                <w:rStyle w:val="Hyperlink"/>
                <w:noProof/>
              </w:rPr>
              <w:t>6.5 Automatic termination</w:t>
            </w:r>
            <w:r w:rsidR="00AF1A18">
              <w:rPr>
                <w:noProof/>
                <w:webHidden/>
              </w:rPr>
              <w:tab/>
            </w:r>
            <w:r w:rsidR="00AF1A18">
              <w:rPr>
                <w:noProof/>
                <w:webHidden/>
              </w:rPr>
              <w:fldChar w:fldCharType="begin"/>
            </w:r>
            <w:r w:rsidR="00AF1A18">
              <w:rPr>
                <w:noProof/>
                <w:webHidden/>
              </w:rPr>
              <w:instrText xml:space="preserve"> PAGEREF _Toc115948628 \h </w:instrText>
            </w:r>
            <w:r w:rsidR="00AF1A18">
              <w:rPr>
                <w:noProof/>
                <w:webHidden/>
              </w:rPr>
            </w:r>
            <w:r w:rsidR="00AF1A18">
              <w:rPr>
                <w:noProof/>
                <w:webHidden/>
              </w:rPr>
              <w:fldChar w:fldCharType="separate"/>
            </w:r>
            <w:r w:rsidR="00AF1A18">
              <w:rPr>
                <w:noProof/>
                <w:webHidden/>
              </w:rPr>
              <w:t>137</w:t>
            </w:r>
            <w:r w:rsidR="00AF1A18">
              <w:rPr>
                <w:noProof/>
                <w:webHidden/>
              </w:rPr>
              <w:fldChar w:fldCharType="end"/>
            </w:r>
          </w:hyperlink>
        </w:p>
        <w:p w14:paraId="48603943" w14:textId="5F761109" w:rsidR="00AF1A18" w:rsidRDefault="000429A6">
          <w:pPr>
            <w:pStyle w:val="TOC2"/>
            <w:rPr>
              <w:noProof/>
              <w:szCs w:val="22"/>
              <w:lang w:eastAsia="en-AU"/>
            </w:rPr>
          </w:pPr>
          <w:hyperlink w:anchor="_Toc115948629" w:history="1">
            <w:r w:rsidR="00AF1A18" w:rsidRPr="001E0F93">
              <w:rPr>
                <w:rStyle w:val="Hyperlink"/>
                <w:noProof/>
              </w:rPr>
              <w:t>Recommendation 14 – Automatic termination provisions</w:t>
            </w:r>
            <w:r w:rsidR="00AF1A18">
              <w:rPr>
                <w:noProof/>
                <w:webHidden/>
              </w:rPr>
              <w:tab/>
            </w:r>
            <w:r w:rsidR="00AF1A18">
              <w:rPr>
                <w:noProof/>
                <w:webHidden/>
              </w:rPr>
              <w:fldChar w:fldCharType="begin"/>
            </w:r>
            <w:r w:rsidR="00AF1A18">
              <w:rPr>
                <w:noProof/>
                <w:webHidden/>
              </w:rPr>
              <w:instrText xml:space="preserve"> PAGEREF _Toc115948629 \h </w:instrText>
            </w:r>
            <w:r w:rsidR="00AF1A18">
              <w:rPr>
                <w:noProof/>
                <w:webHidden/>
              </w:rPr>
            </w:r>
            <w:r w:rsidR="00AF1A18">
              <w:rPr>
                <w:noProof/>
                <w:webHidden/>
              </w:rPr>
              <w:fldChar w:fldCharType="separate"/>
            </w:r>
            <w:r w:rsidR="00AF1A18">
              <w:rPr>
                <w:noProof/>
                <w:webHidden/>
              </w:rPr>
              <w:t>145</w:t>
            </w:r>
            <w:r w:rsidR="00AF1A18">
              <w:rPr>
                <w:noProof/>
                <w:webHidden/>
              </w:rPr>
              <w:fldChar w:fldCharType="end"/>
            </w:r>
          </w:hyperlink>
        </w:p>
        <w:p w14:paraId="2E819549" w14:textId="71C0ED63" w:rsidR="00AF1A18" w:rsidRDefault="000429A6">
          <w:pPr>
            <w:pStyle w:val="TOC2"/>
            <w:rPr>
              <w:noProof/>
              <w:szCs w:val="22"/>
              <w:lang w:eastAsia="en-AU"/>
            </w:rPr>
          </w:pPr>
          <w:hyperlink w:anchor="_Toc115948630" w:history="1">
            <w:r w:rsidR="00AF1A18" w:rsidRPr="001E0F93">
              <w:rPr>
                <w:rStyle w:val="Hyperlink"/>
                <w:noProof/>
              </w:rPr>
              <w:t>6.6 Deferral periods</w:t>
            </w:r>
            <w:r w:rsidR="00AF1A18">
              <w:rPr>
                <w:noProof/>
                <w:webHidden/>
              </w:rPr>
              <w:tab/>
            </w:r>
            <w:r w:rsidR="00AF1A18">
              <w:rPr>
                <w:noProof/>
                <w:webHidden/>
              </w:rPr>
              <w:fldChar w:fldCharType="begin"/>
            </w:r>
            <w:r w:rsidR="00AF1A18">
              <w:rPr>
                <w:noProof/>
                <w:webHidden/>
              </w:rPr>
              <w:instrText xml:space="preserve"> PAGEREF _Toc115948630 \h </w:instrText>
            </w:r>
            <w:r w:rsidR="00AF1A18">
              <w:rPr>
                <w:noProof/>
                <w:webHidden/>
              </w:rPr>
            </w:r>
            <w:r w:rsidR="00AF1A18">
              <w:rPr>
                <w:noProof/>
                <w:webHidden/>
              </w:rPr>
              <w:fldChar w:fldCharType="separate"/>
            </w:r>
            <w:r w:rsidR="00AF1A18">
              <w:rPr>
                <w:noProof/>
                <w:webHidden/>
              </w:rPr>
              <w:t>145</w:t>
            </w:r>
            <w:r w:rsidR="00AF1A18">
              <w:rPr>
                <w:noProof/>
                <w:webHidden/>
              </w:rPr>
              <w:fldChar w:fldCharType="end"/>
            </w:r>
          </w:hyperlink>
        </w:p>
        <w:p w14:paraId="3C48D21C" w14:textId="2B72621D" w:rsidR="00AF1A18" w:rsidRDefault="000429A6">
          <w:pPr>
            <w:pStyle w:val="TOC2"/>
            <w:rPr>
              <w:noProof/>
              <w:szCs w:val="22"/>
              <w:lang w:eastAsia="en-AU"/>
            </w:rPr>
          </w:pPr>
          <w:hyperlink w:anchor="_Toc115948631" w:history="1">
            <w:r w:rsidR="00AF1A18" w:rsidRPr="001E0F93">
              <w:rPr>
                <w:rStyle w:val="Hyperlink"/>
                <w:noProof/>
              </w:rPr>
              <w:t>6.7 Post-employment support</w:t>
            </w:r>
            <w:r w:rsidR="00AF1A18">
              <w:rPr>
                <w:noProof/>
                <w:webHidden/>
              </w:rPr>
              <w:tab/>
            </w:r>
            <w:r w:rsidR="00AF1A18">
              <w:rPr>
                <w:noProof/>
                <w:webHidden/>
              </w:rPr>
              <w:fldChar w:fldCharType="begin"/>
            </w:r>
            <w:r w:rsidR="00AF1A18">
              <w:rPr>
                <w:noProof/>
                <w:webHidden/>
              </w:rPr>
              <w:instrText xml:space="preserve"> PAGEREF _Toc115948631 \h </w:instrText>
            </w:r>
            <w:r w:rsidR="00AF1A18">
              <w:rPr>
                <w:noProof/>
                <w:webHidden/>
              </w:rPr>
            </w:r>
            <w:r w:rsidR="00AF1A18">
              <w:rPr>
                <w:noProof/>
                <w:webHidden/>
              </w:rPr>
              <w:fldChar w:fldCharType="separate"/>
            </w:r>
            <w:r w:rsidR="00AF1A18">
              <w:rPr>
                <w:noProof/>
                <w:webHidden/>
              </w:rPr>
              <w:t>147</w:t>
            </w:r>
            <w:r w:rsidR="00AF1A18">
              <w:rPr>
                <w:noProof/>
                <w:webHidden/>
              </w:rPr>
              <w:fldChar w:fldCharType="end"/>
            </w:r>
          </w:hyperlink>
        </w:p>
        <w:p w14:paraId="50B145AD" w14:textId="2C7292FF" w:rsidR="00AF1A18" w:rsidRDefault="000429A6">
          <w:pPr>
            <w:pStyle w:val="TOC1"/>
            <w:rPr>
              <w:noProof/>
              <w:szCs w:val="22"/>
              <w:lang w:eastAsia="en-AU"/>
            </w:rPr>
          </w:pPr>
          <w:hyperlink w:anchor="_Toc115948632" w:history="1">
            <w:r w:rsidR="00AF1A18" w:rsidRPr="001E0F93">
              <w:rPr>
                <w:rStyle w:val="Hyperlink"/>
                <w:noProof/>
              </w:rPr>
              <w:t>7 Conclusion</w:t>
            </w:r>
            <w:r w:rsidR="00AF1A18">
              <w:rPr>
                <w:noProof/>
                <w:webHidden/>
              </w:rPr>
              <w:tab/>
            </w:r>
            <w:r w:rsidR="00AF1A18">
              <w:rPr>
                <w:noProof/>
                <w:webHidden/>
              </w:rPr>
              <w:fldChar w:fldCharType="begin"/>
            </w:r>
            <w:r w:rsidR="00AF1A18">
              <w:rPr>
                <w:noProof/>
                <w:webHidden/>
              </w:rPr>
              <w:instrText xml:space="preserve"> PAGEREF _Toc115948632 \h </w:instrText>
            </w:r>
            <w:r w:rsidR="00AF1A18">
              <w:rPr>
                <w:noProof/>
                <w:webHidden/>
              </w:rPr>
            </w:r>
            <w:r w:rsidR="00AF1A18">
              <w:rPr>
                <w:noProof/>
                <w:webHidden/>
              </w:rPr>
              <w:fldChar w:fldCharType="separate"/>
            </w:r>
            <w:r w:rsidR="00AF1A18">
              <w:rPr>
                <w:noProof/>
                <w:webHidden/>
              </w:rPr>
              <w:t>152</w:t>
            </w:r>
            <w:r w:rsidR="00AF1A18">
              <w:rPr>
                <w:noProof/>
                <w:webHidden/>
              </w:rPr>
              <w:fldChar w:fldCharType="end"/>
            </w:r>
          </w:hyperlink>
        </w:p>
        <w:p w14:paraId="3BCADEF5" w14:textId="36613EBC" w:rsidR="00AF1A18" w:rsidRDefault="000429A6">
          <w:pPr>
            <w:pStyle w:val="TOC2"/>
            <w:rPr>
              <w:noProof/>
              <w:szCs w:val="22"/>
              <w:lang w:eastAsia="en-AU"/>
            </w:rPr>
          </w:pPr>
          <w:hyperlink w:anchor="_Toc115948633" w:history="1">
            <w:r w:rsidR="00AF1A18" w:rsidRPr="001E0F93">
              <w:rPr>
                <w:rStyle w:val="Hyperlink"/>
                <w:noProof/>
              </w:rPr>
              <w:t>7.1 Statutory review</w:t>
            </w:r>
            <w:r w:rsidR="00AF1A18">
              <w:rPr>
                <w:noProof/>
                <w:webHidden/>
              </w:rPr>
              <w:tab/>
            </w:r>
            <w:r w:rsidR="00AF1A18">
              <w:rPr>
                <w:noProof/>
                <w:webHidden/>
              </w:rPr>
              <w:fldChar w:fldCharType="begin"/>
            </w:r>
            <w:r w:rsidR="00AF1A18">
              <w:rPr>
                <w:noProof/>
                <w:webHidden/>
              </w:rPr>
              <w:instrText xml:space="preserve"> PAGEREF _Toc115948633 \h </w:instrText>
            </w:r>
            <w:r w:rsidR="00AF1A18">
              <w:rPr>
                <w:noProof/>
                <w:webHidden/>
              </w:rPr>
            </w:r>
            <w:r w:rsidR="00AF1A18">
              <w:rPr>
                <w:noProof/>
                <w:webHidden/>
              </w:rPr>
              <w:fldChar w:fldCharType="separate"/>
            </w:r>
            <w:r w:rsidR="00AF1A18">
              <w:rPr>
                <w:noProof/>
                <w:webHidden/>
              </w:rPr>
              <w:t>152</w:t>
            </w:r>
            <w:r w:rsidR="00AF1A18">
              <w:rPr>
                <w:noProof/>
                <w:webHidden/>
              </w:rPr>
              <w:fldChar w:fldCharType="end"/>
            </w:r>
          </w:hyperlink>
        </w:p>
        <w:p w14:paraId="70D82010" w14:textId="3B5576C6" w:rsidR="00AF1A18" w:rsidRDefault="000429A6">
          <w:pPr>
            <w:pStyle w:val="TOC2"/>
            <w:rPr>
              <w:noProof/>
              <w:szCs w:val="22"/>
              <w:lang w:eastAsia="en-AU"/>
            </w:rPr>
          </w:pPr>
          <w:hyperlink w:anchor="_Toc115948634" w:history="1">
            <w:r w:rsidR="00AF1A18" w:rsidRPr="001E0F93">
              <w:rPr>
                <w:rStyle w:val="Hyperlink"/>
                <w:noProof/>
              </w:rPr>
              <w:t>Recommendation 15 – Five year review</w:t>
            </w:r>
            <w:r w:rsidR="00AF1A18">
              <w:rPr>
                <w:noProof/>
                <w:webHidden/>
              </w:rPr>
              <w:tab/>
            </w:r>
            <w:r w:rsidR="00AF1A18">
              <w:rPr>
                <w:noProof/>
                <w:webHidden/>
              </w:rPr>
              <w:fldChar w:fldCharType="begin"/>
            </w:r>
            <w:r w:rsidR="00AF1A18">
              <w:rPr>
                <w:noProof/>
                <w:webHidden/>
              </w:rPr>
              <w:instrText xml:space="preserve"> PAGEREF _Toc115948634 \h </w:instrText>
            </w:r>
            <w:r w:rsidR="00AF1A18">
              <w:rPr>
                <w:noProof/>
                <w:webHidden/>
              </w:rPr>
            </w:r>
            <w:r w:rsidR="00AF1A18">
              <w:rPr>
                <w:noProof/>
                <w:webHidden/>
              </w:rPr>
              <w:fldChar w:fldCharType="separate"/>
            </w:r>
            <w:r w:rsidR="00AF1A18">
              <w:rPr>
                <w:noProof/>
                <w:webHidden/>
              </w:rPr>
              <w:t>152</w:t>
            </w:r>
            <w:r w:rsidR="00AF1A18">
              <w:rPr>
                <w:noProof/>
                <w:webHidden/>
              </w:rPr>
              <w:fldChar w:fldCharType="end"/>
            </w:r>
          </w:hyperlink>
        </w:p>
        <w:p w14:paraId="2E52F575" w14:textId="7F3914CC" w:rsidR="00AF1A18" w:rsidRDefault="000429A6">
          <w:pPr>
            <w:pStyle w:val="TOC2"/>
            <w:rPr>
              <w:noProof/>
              <w:szCs w:val="22"/>
              <w:lang w:eastAsia="en-AU"/>
            </w:rPr>
          </w:pPr>
          <w:hyperlink w:anchor="_Toc115948635" w:history="1">
            <w:r w:rsidR="00AF1A18" w:rsidRPr="001E0F93">
              <w:rPr>
                <w:rStyle w:val="Hyperlink"/>
                <w:noProof/>
              </w:rPr>
              <w:t>7.2 Future state</w:t>
            </w:r>
            <w:r w:rsidR="00AF1A18">
              <w:rPr>
                <w:noProof/>
                <w:webHidden/>
              </w:rPr>
              <w:tab/>
            </w:r>
            <w:r w:rsidR="00AF1A18">
              <w:rPr>
                <w:noProof/>
                <w:webHidden/>
              </w:rPr>
              <w:fldChar w:fldCharType="begin"/>
            </w:r>
            <w:r w:rsidR="00AF1A18">
              <w:rPr>
                <w:noProof/>
                <w:webHidden/>
              </w:rPr>
              <w:instrText xml:space="preserve"> PAGEREF _Toc115948635 \h </w:instrText>
            </w:r>
            <w:r w:rsidR="00AF1A18">
              <w:rPr>
                <w:noProof/>
                <w:webHidden/>
              </w:rPr>
            </w:r>
            <w:r w:rsidR="00AF1A18">
              <w:rPr>
                <w:noProof/>
                <w:webHidden/>
              </w:rPr>
              <w:fldChar w:fldCharType="separate"/>
            </w:r>
            <w:r w:rsidR="00AF1A18">
              <w:rPr>
                <w:noProof/>
                <w:webHidden/>
              </w:rPr>
              <w:t>152</w:t>
            </w:r>
            <w:r w:rsidR="00AF1A18">
              <w:rPr>
                <w:noProof/>
                <w:webHidden/>
              </w:rPr>
              <w:fldChar w:fldCharType="end"/>
            </w:r>
          </w:hyperlink>
        </w:p>
        <w:p w14:paraId="3F9F55DB" w14:textId="28DC13BC" w:rsidR="00AF1A18" w:rsidRDefault="000429A6">
          <w:pPr>
            <w:pStyle w:val="TOC1"/>
            <w:rPr>
              <w:noProof/>
              <w:szCs w:val="22"/>
              <w:lang w:eastAsia="en-AU"/>
            </w:rPr>
          </w:pPr>
          <w:hyperlink w:anchor="_Toc115948636" w:history="1">
            <w:r w:rsidR="00AF1A18" w:rsidRPr="001E0F93">
              <w:rPr>
                <w:rStyle w:val="Hyperlink"/>
                <w:noProof/>
              </w:rPr>
              <w:t>8 Appendices</w:t>
            </w:r>
            <w:r w:rsidR="00AF1A18">
              <w:rPr>
                <w:noProof/>
                <w:webHidden/>
              </w:rPr>
              <w:tab/>
            </w:r>
            <w:r w:rsidR="00AF1A18">
              <w:rPr>
                <w:noProof/>
                <w:webHidden/>
              </w:rPr>
              <w:fldChar w:fldCharType="begin"/>
            </w:r>
            <w:r w:rsidR="00AF1A18">
              <w:rPr>
                <w:noProof/>
                <w:webHidden/>
              </w:rPr>
              <w:instrText xml:space="preserve"> PAGEREF _Toc115948636 \h </w:instrText>
            </w:r>
            <w:r w:rsidR="00AF1A18">
              <w:rPr>
                <w:noProof/>
                <w:webHidden/>
              </w:rPr>
            </w:r>
            <w:r w:rsidR="00AF1A18">
              <w:rPr>
                <w:noProof/>
                <w:webHidden/>
              </w:rPr>
              <w:fldChar w:fldCharType="separate"/>
            </w:r>
            <w:r w:rsidR="00AF1A18">
              <w:rPr>
                <w:noProof/>
                <w:webHidden/>
              </w:rPr>
              <w:t>155</w:t>
            </w:r>
            <w:r w:rsidR="00AF1A18">
              <w:rPr>
                <w:noProof/>
                <w:webHidden/>
              </w:rPr>
              <w:fldChar w:fldCharType="end"/>
            </w:r>
          </w:hyperlink>
        </w:p>
        <w:p w14:paraId="5EAD8FEB" w14:textId="30264592" w:rsidR="00AF1A18" w:rsidRDefault="000429A6">
          <w:pPr>
            <w:pStyle w:val="TOC2"/>
            <w:rPr>
              <w:noProof/>
              <w:szCs w:val="22"/>
              <w:lang w:eastAsia="en-AU"/>
            </w:rPr>
          </w:pPr>
          <w:hyperlink w:anchor="_Toc115948637" w:history="1">
            <w:r w:rsidR="00AF1A18" w:rsidRPr="001E0F93">
              <w:rPr>
                <w:rStyle w:val="Hyperlink"/>
                <w:noProof/>
              </w:rPr>
              <w:t>8.1 Glossary</w:t>
            </w:r>
            <w:r w:rsidR="00AF1A18">
              <w:rPr>
                <w:noProof/>
                <w:webHidden/>
              </w:rPr>
              <w:tab/>
            </w:r>
            <w:r w:rsidR="00AF1A18">
              <w:rPr>
                <w:noProof/>
                <w:webHidden/>
              </w:rPr>
              <w:fldChar w:fldCharType="begin"/>
            </w:r>
            <w:r w:rsidR="00AF1A18">
              <w:rPr>
                <w:noProof/>
                <w:webHidden/>
              </w:rPr>
              <w:instrText xml:space="preserve"> PAGEREF _Toc115948637 \h </w:instrText>
            </w:r>
            <w:r w:rsidR="00AF1A18">
              <w:rPr>
                <w:noProof/>
                <w:webHidden/>
              </w:rPr>
            </w:r>
            <w:r w:rsidR="00AF1A18">
              <w:rPr>
                <w:noProof/>
                <w:webHidden/>
              </w:rPr>
              <w:fldChar w:fldCharType="separate"/>
            </w:r>
            <w:r w:rsidR="00AF1A18">
              <w:rPr>
                <w:noProof/>
                <w:webHidden/>
              </w:rPr>
              <w:t>155</w:t>
            </w:r>
            <w:r w:rsidR="00AF1A18">
              <w:rPr>
                <w:noProof/>
                <w:webHidden/>
              </w:rPr>
              <w:fldChar w:fldCharType="end"/>
            </w:r>
          </w:hyperlink>
        </w:p>
        <w:p w14:paraId="437710A6" w14:textId="24646014" w:rsidR="00AF1A18" w:rsidRDefault="000429A6">
          <w:pPr>
            <w:pStyle w:val="TOC2"/>
            <w:rPr>
              <w:noProof/>
              <w:szCs w:val="22"/>
              <w:lang w:eastAsia="en-AU"/>
            </w:rPr>
          </w:pPr>
          <w:hyperlink w:anchor="_Toc115948638" w:history="1">
            <w:r w:rsidR="00AF1A18" w:rsidRPr="001E0F93">
              <w:rPr>
                <w:rStyle w:val="Hyperlink"/>
                <w:noProof/>
              </w:rPr>
              <w:t>8.2 Terms of reference</w:t>
            </w:r>
            <w:r w:rsidR="00AF1A18">
              <w:rPr>
                <w:noProof/>
                <w:webHidden/>
              </w:rPr>
              <w:tab/>
            </w:r>
            <w:r w:rsidR="00AF1A18">
              <w:rPr>
                <w:noProof/>
                <w:webHidden/>
              </w:rPr>
              <w:fldChar w:fldCharType="begin"/>
            </w:r>
            <w:r w:rsidR="00AF1A18">
              <w:rPr>
                <w:noProof/>
                <w:webHidden/>
              </w:rPr>
              <w:instrText xml:space="preserve"> PAGEREF _Toc115948638 \h </w:instrText>
            </w:r>
            <w:r w:rsidR="00AF1A18">
              <w:rPr>
                <w:noProof/>
                <w:webHidden/>
              </w:rPr>
            </w:r>
            <w:r w:rsidR="00AF1A18">
              <w:rPr>
                <w:noProof/>
                <w:webHidden/>
              </w:rPr>
              <w:fldChar w:fldCharType="separate"/>
            </w:r>
            <w:r w:rsidR="00AF1A18">
              <w:rPr>
                <w:noProof/>
                <w:webHidden/>
              </w:rPr>
              <w:t>157</w:t>
            </w:r>
            <w:r w:rsidR="00AF1A18">
              <w:rPr>
                <w:noProof/>
                <w:webHidden/>
              </w:rPr>
              <w:fldChar w:fldCharType="end"/>
            </w:r>
          </w:hyperlink>
        </w:p>
        <w:p w14:paraId="49C687D2" w14:textId="16AD198B" w:rsidR="00AF1A18" w:rsidRDefault="000429A6">
          <w:pPr>
            <w:pStyle w:val="TOC2"/>
            <w:rPr>
              <w:noProof/>
              <w:szCs w:val="22"/>
              <w:lang w:eastAsia="en-AU"/>
            </w:rPr>
          </w:pPr>
          <w:hyperlink w:anchor="_Toc115948639" w:history="1">
            <w:r w:rsidR="00AF1A18" w:rsidRPr="001E0F93">
              <w:rPr>
                <w:rStyle w:val="Hyperlink"/>
                <w:noProof/>
              </w:rPr>
              <w:t>8.3 Methodology</w:t>
            </w:r>
            <w:r w:rsidR="00AF1A18">
              <w:rPr>
                <w:noProof/>
                <w:webHidden/>
              </w:rPr>
              <w:tab/>
            </w:r>
            <w:r w:rsidR="00AF1A18">
              <w:rPr>
                <w:noProof/>
                <w:webHidden/>
              </w:rPr>
              <w:fldChar w:fldCharType="begin"/>
            </w:r>
            <w:r w:rsidR="00AF1A18">
              <w:rPr>
                <w:noProof/>
                <w:webHidden/>
              </w:rPr>
              <w:instrText xml:space="preserve"> PAGEREF _Toc115948639 \h </w:instrText>
            </w:r>
            <w:r w:rsidR="00AF1A18">
              <w:rPr>
                <w:noProof/>
                <w:webHidden/>
              </w:rPr>
            </w:r>
            <w:r w:rsidR="00AF1A18">
              <w:rPr>
                <w:noProof/>
                <w:webHidden/>
              </w:rPr>
              <w:fldChar w:fldCharType="separate"/>
            </w:r>
            <w:r w:rsidR="00AF1A18">
              <w:rPr>
                <w:noProof/>
                <w:webHidden/>
              </w:rPr>
              <w:t>159</w:t>
            </w:r>
            <w:r w:rsidR="00AF1A18">
              <w:rPr>
                <w:noProof/>
                <w:webHidden/>
              </w:rPr>
              <w:fldChar w:fldCharType="end"/>
            </w:r>
          </w:hyperlink>
        </w:p>
        <w:p w14:paraId="6055631F" w14:textId="3B7A755C" w:rsidR="00AF1A18" w:rsidRDefault="000429A6">
          <w:pPr>
            <w:pStyle w:val="TOC1"/>
            <w:rPr>
              <w:noProof/>
              <w:szCs w:val="22"/>
              <w:lang w:eastAsia="en-AU"/>
            </w:rPr>
          </w:pPr>
          <w:hyperlink w:anchor="_Toc115948640" w:history="1">
            <w:r w:rsidR="00AF1A18" w:rsidRPr="001E0F93">
              <w:rPr>
                <w:rStyle w:val="Hyperlink"/>
                <w:noProof/>
              </w:rPr>
              <w:t>References</w:t>
            </w:r>
            <w:r w:rsidR="00AF1A18">
              <w:rPr>
                <w:noProof/>
                <w:webHidden/>
              </w:rPr>
              <w:tab/>
            </w:r>
            <w:r w:rsidR="00AF1A18">
              <w:rPr>
                <w:noProof/>
                <w:webHidden/>
              </w:rPr>
              <w:fldChar w:fldCharType="begin"/>
            </w:r>
            <w:r w:rsidR="00AF1A18">
              <w:rPr>
                <w:noProof/>
                <w:webHidden/>
              </w:rPr>
              <w:instrText xml:space="preserve"> PAGEREF _Toc115948640 \h </w:instrText>
            </w:r>
            <w:r w:rsidR="00AF1A18">
              <w:rPr>
                <w:noProof/>
                <w:webHidden/>
              </w:rPr>
            </w:r>
            <w:r w:rsidR="00AF1A18">
              <w:rPr>
                <w:noProof/>
                <w:webHidden/>
              </w:rPr>
              <w:fldChar w:fldCharType="separate"/>
            </w:r>
            <w:r w:rsidR="00AF1A18">
              <w:rPr>
                <w:noProof/>
                <w:webHidden/>
              </w:rPr>
              <w:t>163</w:t>
            </w:r>
            <w:r w:rsidR="00AF1A18">
              <w:rPr>
                <w:noProof/>
                <w:webHidden/>
              </w:rPr>
              <w:fldChar w:fldCharType="end"/>
            </w:r>
          </w:hyperlink>
        </w:p>
        <w:p w14:paraId="79EAAA1E" w14:textId="265CAA65" w:rsidR="00D10635" w:rsidRDefault="001368D6" w:rsidP="008554EE">
          <w:pPr>
            <w:pStyle w:val="TOC1"/>
            <w:rPr>
              <w:b/>
              <w:bCs/>
              <w:noProof/>
            </w:rPr>
          </w:pPr>
          <w:r>
            <w:fldChar w:fldCharType="end"/>
          </w:r>
        </w:p>
      </w:sdtContent>
    </w:sdt>
    <w:p w14:paraId="3A8D2993" w14:textId="77777777" w:rsidR="00117A77" w:rsidRPr="00D10635" w:rsidRDefault="00117A77" w:rsidP="00E2753F">
      <w:r>
        <w:rPr>
          <w:noProof/>
        </w:rPr>
        <w:br w:type="page"/>
      </w:r>
    </w:p>
    <w:p w14:paraId="5480BCCD" w14:textId="67FD5D57" w:rsidR="00F55DC4" w:rsidRDefault="005679D6" w:rsidP="00F55DC4">
      <w:pPr>
        <w:pStyle w:val="Heading1"/>
      </w:pPr>
      <w:bookmarkStart w:id="1" w:name="_Toc114230848"/>
      <w:bookmarkStart w:id="2" w:name="_Toc114232905"/>
      <w:bookmarkStart w:id="3" w:name="_Toc114233553"/>
      <w:bookmarkStart w:id="4" w:name="_Toc114233625"/>
      <w:bookmarkStart w:id="5" w:name="_Toc114233767"/>
      <w:bookmarkStart w:id="6" w:name="_Toc114240580"/>
      <w:bookmarkStart w:id="7" w:name="_Toc114240654"/>
      <w:bookmarkStart w:id="8" w:name="_Toc114240998"/>
      <w:bookmarkStart w:id="9" w:name="_Toc114493871"/>
      <w:bookmarkStart w:id="10" w:name="_Toc114500272"/>
      <w:bookmarkStart w:id="11" w:name="_Toc114500347"/>
      <w:bookmarkStart w:id="12" w:name="_Toc114518620"/>
      <w:bookmarkStart w:id="13" w:name="_Toc114520292"/>
      <w:bookmarkStart w:id="14" w:name="_Toc114520701"/>
      <w:bookmarkStart w:id="15" w:name="_Toc114565729"/>
      <w:bookmarkStart w:id="16" w:name="_Toc114566710"/>
      <w:bookmarkStart w:id="17" w:name="_Toc114566935"/>
      <w:bookmarkStart w:id="18" w:name="_Toc114566859"/>
      <w:bookmarkStart w:id="19" w:name="_Toc114585860"/>
      <w:bookmarkStart w:id="20" w:name="_Toc114586004"/>
      <w:bookmarkStart w:id="21" w:name="_Toc114586076"/>
      <w:bookmarkStart w:id="22" w:name="_Toc114601216"/>
      <w:bookmarkStart w:id="23" w:name="_Toc114657257"/>
      <w:bookmarkStart w:id="24" w:name="_Toc114659719"/>
      <w:bookmarkStart w:id="25" w:name="_Toc114662704"/>
      <w:bookmarkStart w:id="26" w:name="_Toc114665088"/>
      <w:bookmarkStart w:id="27" w:name="_Toc114672397"/>
      <w:bookmarkStart w:id="28" w:name="_Toc114672609"/>
      <w:bookmarkStart w:id="29" w:name="_Toc114673164"/>
      <w:bookmarkStart w:id="30" w:name="_Toc114674275"/>
      <w:bookmarkStart w:id="31" w:name="_Toc114687448"/>
      <w:bookmarkStart w:id="32" w:name="_Toc114689912"/>
      <w:bookmarkStart w:id="33" w:name="_Toc114731775"/>
      <w:bookmarkStart w:id="34" w:name="_Toc114733540"/>
      <w:bookmarkStart w:id="35" w:name="_Toc114735481"/>
      <w:bookmarkStart w:id="36" w:name="_Toc114755811"/>
      <w:bookmarkStart w:id="37" w:name="_Toc114757116"/>
      <w:bookmarkStart w:id="38" w:name="_Toc114757400"/>
      <w:bookmarkStart w:id="39" w:name="_Toc114757502"/>
      <w:bookmarkStart w:id="40" w:name="_Toc114758175"/>
      <w:bookmarkStart w:id="41" w:name="_Toc114824345"/>
      <w:bookmarkStart w:id="42" w:name="_Toc114829421"/>
      <w:bookmarkStart w:id="43" w:name="_Toc114829752"/>
      <w:bookmarkStart w:id="44" w:name="_Toc114829929"/>
      <w:bookmarkStart w:id="45" w:name="_Toc115099008"/>
      <w:bookmarkStart w:id="46" w:name="_Toc115099080"/>
      <w:bookmarkStart w:id="47" w:name="_Toc115101657"/>
      <w:bookmarkStart w:id="48" w:name="_Toc115102502"/>
      <w:bookmarkStart w:id="49" w:name="_Toc115105475"/>
      <w:bookmarkStart w:id="50" w:name="_Toc115110336"/>
      <w:bookmarkStart w:id="51" w:name="_Toc115110463"/>
      <w:bookmarkStart w:id="52" w:name="_Toc115121581"/>
      <w:bookmarkStart w:id="53" w:name="_Toc115121951"/>
      <w:bookmarkStart w:id="54" w:name="_Toc115123431"/>
      <w:bookmarkStart w:id="55" w:name="_Toc115123679"/>
      <w:bookmarkStart w:id="56" w:name="_Toc115126811"/>
      <w:bookmarkStart w:id="57" w:name="_Toc115185448"/>
      <w:bookmarkStart w:id="58" w:name="_Toc115186075"/>
      <w:bookmarkStart w:id="59" w:name="_Toc115189233"/>
      <w:bookmarkStart w:id="60" w:name="_Toc115194206"/>
      <w:bookmarkStart w:id="61" w:name="_Toc115194943"/>
      <w:bookmarkStart w:id="62" w:name="_Toc115195385"/>
      <w:bookmarkStart w:id="63" w:name="_Toc115196353"/>
      <w:bookmarkStart w:id="64" w:name="_Toc115198854"/>
      <w:bookmarkStart w:id="65" w:name="_Toc115208869"/>
      <w:bookmarkStart w:id="66" w:name="_Toc115209005"/>
      <w:bookmarkStart w:id="67" w:name="_Toc115210336"/>
      <w:bookmarkStart w:id="68" w:name="_Toc115212561"/>
      <w:bookmarkStart w:id="69" w:name="_Toc115213201"/>
      <w:bookmarkStart w:id="70" w:name="_Toc115216699"/>
      <w:bookmarkStart w:id="71" w:name="_Toc115270390"/>
      <w:bookmarkStart w:id="72" w:name="_Toc115271333"/>
      <w:bookmarkStart w:id="73" w:name="_Toc115272250"/>
      <w:bookmarkStart w:id="74" w:name="_Toc115273348"/>
      <w:bookmarkStart w:id="75" w:name="_Toc115273420"/>
      <w:bookmarkStart w:id="76" w:name="_Toc115273344"/>
      <w:bookmarkStart w:id="77" w:name="_Toc115274601"/>
      <w:bookmarkStart w:id="78" w:name="_Toc115274827"/>
      <w:bookmarkStart w:id="79" w:name="_Toc115275184"/>
      <w:bookmarkStart w:id="80" w:name="_Toc115275257"/>
      <w:bookmarkStart w:id="81" w:name="_Toc115275327"/>
      <w:bookmarkStart w:id="82" w:name="_Toc115274164"/>
      <w:bookmarkStart w:id="83" w:name="_Toc115274465"/>
      <w:bookmarkStart w:id="84" w:name="_Toc115274533"/>
      <w:bookmarkStart w:id="85" w:name="_Toc115274691"/>
      <w:bookmarkStart w:id="86" w:name="_Toc115277425"/>
      <w:bookmarkStart w:id="87" w:name="_Toc115277629"/>
      <w:bookmarkStart w:id="88" w:name="_Toc115278518"/>
      <w:bookmarkStart w:id="89" w:name="_Toc115278598"/>
      <w:bookmarkStart w:id="90" w:name="_Toc115282268"/>
      <w:bookmarkStart w:id="91" w:name="_Toc115284721"/>
      <w:bookmarkStart w:id="92" w:name="_Toc115286813"/>
      <w:bookmarkStart w:id="93" w:name="_Toc115294747"/>
      <w:bookmarkStart w:id="94" w:name="_Toc115296327"/>
      <w:bookmarkStart w:id="95" w:name="_Toc115308513"/>
      <w:bookmarkStart w:id="96" w:name="_Toc115311165"/>
      <w:bookmarkStart w:id="97" w:name="_Toc115312645"/>
      <w:bookmarkStart w:id="98" w:name="_Toc115343819"/>
      <w:bookmarkStart w:id="99" w:name="_Toc115348257"/>
      <w:bookmarkStart w:id="100" w:name="_Toc115350355"/>
      <w:bookmarkStart w:id="101" w:name="_Toc115353443"/>
      <w:bookmarkStart w:id="102" w:name="_Toc115359474"/>
      <w:bookmarkStart w:id="103" w:name="_Toc115361878"/>
      <w:bookmarkStart w:id="104" w:name="_Toc115364271"/>
      <w:bookmarkStart w:id="105" w:name="_Toc115365365"/>
      <w:bookmarkStart w:id="106" w:name="_Toc115365637"/>
      <w:bookmarkStart w:id="107" w:name="_Toc115365705"/>
      <w:bookmarkStart w:id="108" w:name="_Toc115366169"/>
      <w:bookmarkStart w:id="109" w:name="_Toc115368542"/>
      <w:bookmarkStart w:id="110" w:name="_Toc115370059"/>
      <w:bookmarkStart w:id="111" w:name="_Toc115370725"/>
      <w:bookmarkStart w:id="112" w:name="_Toc115374364"/>
      <w:bookmarkStart w:id="113" w:name="_Toc115378703"/>
      <w:bookmarkStart w:id="114" w:name="_Toc115380935"/>
      <w:bookmarkStart w:id="115" w:name="_Toc115384087"/>
      <w:bookmarkStart w:id="116" w:name="_Toc115387316"/>
      <w:bookmarkStart w:id="117" w:name="_Toc115388782"/>
      <w:bookmarkStart w:id="118" w:name="_Toc115431420"/>
      <w:bookmarkStart w:id="119" w:name="_Toc115432798"/>
      <w:bookmarkStart w:id="120" w:name="_Toc115434369"/>
      <w:bookmarkStart w:id="121" w:name="_Toc115434468"/>
      <w:bookmarkStart w:id="122" w:name="_Toc115434537"/>
      <w:bookmarkStart w:id="123" w:name="_Toc115434606"/>
      <w:bookmarkStart w:id="124" w:name="_Toc115442776"/>
      <w:bookmarkStart w:id="125" w:name="_Toc115448019"/>
      <w:bookmarkStart w:id="126" w:name="_Toc115449411"/>
      <w:bookmarkStart w:id="127" w:name="_Toc115452431"/>
      <w:bookmarkStart w:id="128" w:name="_Toc115455248"/>
      <w:bookmarkStart w:id="129" w:name="_Toc115455314"/>
      <w:bookmarkStart w:id="130" w:name="_Toc115457264"/>
      <w:bookmarkStart w:id="131" w:name="_Toc115458100"/>
      <w:bookmarkStart w:id="132" w:name="_Toc115948128"/>
      <w:bookmarkStart w:id="133" w:name="_Toc115948575"/>
      <w:r>
        <w:lastRenderedPageBreak/>
        <w:t>Executive s</w:t>
      </w:r>
      <w:r w:rsidR="00F55DC4">
        <w:t>ummary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ECC9E0D" w14:textId="070F226B" w:rsidR="00797E13" w:rsidRPr="00E82351" w:rsidRDefault="00797E13" w:rsidP="006C63B4">
      <w:pPr>
        <w:rPr>
          <w:rFonts w:cstheme="minorHAnsi"/>
        </w:rPr>
      </w:pPr>
      <w:bookmarkStart w:id="134" w:name="_Toc114230849"/>
      <w:bookmarkStart w:id="135" w:name="_Toc114232906"/>
      <w:bookmarkStart w:id="136" w:name="_Toc114233554"/>
      <w:bookmarkStart w:id="137" w:name="_Toc114233626"/>
      <w:bookmarkStart w:id="138" w:name="_Toc114233768"/>
      <w:bookmarkStart w:id="139" w:name="_Toc114240581"/>
      <w:bookmarkStart w:id="140" w:name="_Toc114240655"/>
      <w:bookmarkStart w:id="141" w:name="_Toc114240999"/>
      <w:bookmarkStart w:id="142" w:name="_Toc114493872"/>
      <w:bookmarkStart w:id="143" w:name="_Toc114500273"/>
      <w:bookmarkStart w:id="144" w:name="_Toc114500348"/>
      <w:bookmarkStart w:id="145" w:name="_Toc114518621"/>
      <w:bookmarkStart w:id="146" w:name="_Toc114520293"/>
      <w:bookmarkStart w:id="147" w:name="_Toc114520702"/>
      <w:bookmarkStart w:id="148" w:name="_Toc114565730"/>
      <w:bookmarkStart w:id="149" w:name="_Toc114566711"/>
      <w:bookmarkStart w:id="150" w:name="_Toc114566936"/>
      <w:bookmarkStart w:id="151" w:name="_Toc114566860"/>
      <w:bookmarkStart w:id="152" w:name="_Toc114585861"/>
      <w:bookmarkStart w:id="153" w:name="_Toc114586005"/>
      <w:bookmarkStart w:id="154" w:name="_Toc114586077"/>
      <w:bookmarkStart w:id="155" w:name="_Toc114601217"/>
      <w:bookmarkStart w:id="156" w:name="_Toc114657258"/>
      <w:bookmarkStart w:id="157" w:name="_Toc114659720"/>
      <w:bookmarkStart w:id="158" w:name="_Toc114662705"/>
      <w:bookmarkStart w:id="159" w:name="_Toc114665089"/>
      <w:bookmarkStart w:id="160" w:name="_Toc114672398"/>
      <w:bookmarkStart w:id="161" w:name="_Toc114672610"/>
      <w:bookmarkStart w:id="162" w:name="_Toc114673165"/>
      <w:bookmarkStart w:id="163" w:name="_Toc114674276"/>
      <w:bookmarkStart w:id="164" w:name="_Toc114687449"/>
      <w:bookmarkStart w:id="165" w:name="_Toc114689913"/>
      <w:bookmarkStart w:id="166" w:name="_Toc114731776"/>
      <w:bookmarkStart w:id="167" w:name="_Toc114733541"/>
      <w:bookmarkStart w:id="168" w:name="_Toc114735482"/>
      <w:bookmarkStart w:id="169" w:name="_Toc114755812"/>
      <w:bookmarkStart w:id="170" w:name="_Toc114757117"/>
      <w:bookmarkStart w:id="171" w:name="_Toc114757401"/>
      <w:bookmarkStart w:id="172" w:name="_Toc114757503"/>
      <w:bookmarkStart w:id="173" w:name="_Toc114758176"/>
      <w:bookmarkStart w:id="174" w:name="_Toc114824346"/>
      <w:bookmarkStart w:id="175" w:name="_Toc114829422"/>
      <w:bookmarkStart w:id="176" w:name="_Toc114829753"/>
      <w:bookmarkStart w:id="177" w:name="_Toc114829930"/>
      <w:bookmarkStart w:id="178" w:name="_Toc115099009"/>
      <w:bookmarkStart w:id="179" w:name="_Toc115099081"/>
      <w:bookmarkStart w:id="180" w:name="_Toc115101658"/>
      <w:bookmarkStart w:id="181" w:name="_Toc115102503"/>
      <w:bookmarkStart w:id="182" w:name="_Toc115105476"/>
      <w:bookmarkStart w:id="183" w:name="_Toc115110337"/>
      <w:bookmarkStart w:id="184" w:name="_Toc115110464"/>
      <w:bookmarkStart w:id="185" w:name="_Toc115121582"/>
      <w:bookmarkStart w:id="186" w:name="_Toc115121952"/>
      <w:bookmarkStart w:id="187" w:name="_Toc115123432"/>
      <w:bookmarkStart w:id="188" w:name="_Toc115123680"/>
      <w:bookmarkStart w:id="189" w:name="_Toc115126812"/>
      <w:bookmarkStart w:id="190" w:name="_Toc115185449"/>
      <w:bookmarkStart w:id="191" w:name="_Toc115186076"/>
      <w:bookmarkStart w:id="192" w:name="_Toc115189234"/>
      <w:bookmarkStart w:id="193" w:name="_Toc115194207"/>
      <w:bookmarkStart w:id="194" w:name="_Toc115194944"/>
      <w:bookmarkStart w:id="195" w:name="_Toc115195386"/>
      <w:bookmarkStart w:id="196" w:name="_Toc115196354"/>
      <w:bookmarkStart w:id="197" w:name="_Toc115198855"/>
      <w:bookmarkStart w:id="198" w:name="_Toc115208870"/>
      <w:bookmarkStart w:id="199" w:name="_Toc115209006"/>
      <w:bookmarkStart w:id="200" w:name="_Toc115210337"/>
      <w:bookmarkStart w:id="201" w:name="_Toc115212562"/>
      <w:bookmarkStart w:id="202" w:name="_Toc115213202"/>
      <w:bookmarkStart w:id="203" w:name="_Toc115216700"/>
      <w:bookmarkStart w:id="204" w:name="_Toc115270391"/>
      <w:bookmarkStart w:id="205" w:name="_Toc115271334"/>
      <w:bookmarkStart w:id="206" w:name="_Toc115272251"/>
      <w:bookmarkStart w:id="207" w:name="_Toc115273349"/>
      <w:bookmarkStart w:id="208" w:name="_Toc115273421"/>
      <w:bookmarkStart w:id="209" w:name="_Toc115273345"/>
      <w:bookmarkStart w:id="210" w:name="_Toc115274602"/>
      <w:bookmarkStart w:id="211" w:name="_Toc115274828"/>
      <w:bookmarkStart w:id="212" w:name="_Toc115275185"/>
      <w:bookmarkStart w:id="213" w:name="_Toc115275258"/>
      <w:bookmarkStart w:id="214" w:name="_Toc115275328"/>
      <w:bookmarkStart w:id="215" w:name="_Toc115274165"/>
      <w:bookmarkStart w:id="216" w:name="_Toc115274466"/>
      <w:bookmarkStart w:id="217" w:name="_Toc115274534"/>
      <w:bookmarkStart w:id="218" w:name="_Toc115274692"/>
      <w:bookmarkStart w:id="219" w:name="_Toc115277426"/>
      <w:bookmarkStart w:id="220" w:name="_Toc115277630"/>
      <w:bookmarkStart w:id="221" w:name="_Toc115278519"/>
      <w:bookmarkStart w:id="222" w:name="_Toc115278599"/>
      <w:bookmarkStart w:id="223" w:name="_Toc115282269"/>
      <w:bookmarkStart w:id="224" w:name="_Toc115284722"/>
      <w:bookmarkStart w:id="225" w:name="_Toc115286814"/>
      <w:bookmarkStart w:id="226" w:name="_Toc115294748"/>
      <w:bookmarkStart w:id="227" w:name="_Toc115296328"/>
      <w:bookmarkStart w:id="228" w:name="_Toc115308514"/>
      <w:bookmarkStart w:id="229" w:name="_Toc115311166"/>
      <w:bookmarkStart w:id="230" w:name="_Toc115312646"/>
      <w:bookmarkStart w:id="231" w:name="_Toc115343820"/>
      <w:bookmarkStart w:id="232" w:name="_Toc115348258"/>
      <w:bookmarkStart w:id="233" w:name="_Toc115350356"/>
      <w:bookmarkStart w:id="234" w:name="_Toc115353444"/>
      <w:bookmarkStart w:id="235" w:name="_Toc115359475"/>
      <w:bookmarkStart w:id="236" w:name="_Toc115361879"/>
      <w:bookmarkStart w:id="237" w:name="_Toc115364272"/>
      <w:bookmarkStart w:id="238" w:name="_Toc115365366"/>
      <w:bookmarkStart w:id="239" w:name="_Toc115365638"/>
      <w:bookmarkStart w:id="240" w:name="_Toc115365706"/>
      <w:bookmarkStart w:id="241" w:name="_Toc115366170"/>
      <w:bookmarkStart w:id="242" w:name="_Toc115368543"/>
      <w:bookmarkStart w:id="243" w:name="_Toc115370060"/>
      <w:bookmarkStart w:id="244" w:name="_Toc115370726"/>
      <w:r w:rsidRPr="00E82351">
        <w:rPr>
          <w:rFonts w:cstheme="minorHAnsi"/>
        </w:rPr>
        <w:t xml:space="preserve">On 10 February 2022, the then Prime Minister commissioned the </w:t>
      </w:r>
      <w:r w:rsidRPr="00E82351">
        <w:rPr>
          <w:rFonts w:cstheme="minorHAnsi"/>
          <w:i/>
        </w:rPr>
        <w:t>Review of the Members of Parliament (Staff) Act 1984</w:t>
      </w:r>
      <w:r w:rsidRPr="00E82351">
        <w:rPr>
          <w:rFonts w:cstheme="minorHAnsi"/>
        </w:rPr>
        <w:t xml:space="preserve"> (MoP(S) Act) (</w:t>
      </w:r>
      <w:r>
        <w:rPr>
          <w:rFonts w:cstheme="minorHAnsi"/>
        </w:rPr>
        <w:t xml:space="preserve">the </w:t>
      </w:r>
      <w:r w:rsidRPr="00E82351">
        <w:rPr>
          <w:rFonts w:cstheme="minorHAnsi"/>
        </w:rPr>
        <w:t>Review) to be undertaken by the Department of the Prime Minister and Cabinet (PM&amp;C). The Review was recommended (</w:t>
      </w:r>
      <w:r w:rsidR="00C33418">
        <w:rPr>
          <w:rFonts w:cstheme="minorHAnsi"/>
        </w:rPr>
        <w:t>R</w:t>
      </w:r>
      <w:r w:rsidRPr="00E82351">
        <w:rPr>
          <w:rFonts w:cstheme="minorHAnsi"/>
        </w:rPr>
        <w:t xml:space="preserve">ecommendation 18) in the </w:t>
      </w:r>
      <w:r w:rsidRPr="00E82351" w:rsidDel="00142173">
        <w:rPr>
          <w:rFonts w:cstheme="minorHAnsi"/>
          <w:i/>
        </w:rPr>
        <w:t>Set the Standard</w:t>
      </w:r>
      <w:r w:rsidRPr="00E82351">
        <w:rPr>
          <w:rFonts w:cstheme="minorHAnsi"/>
          <w:i/>
        </w:rPr>
        <w:t>: Report on the Independent Review into Commonwealth Parliamentary Workplaces</w:t>
      </w:r>
      <w:r w:rsidRPr="00E82351">
        <w:rPr>
          <w:rFonts w:cstheme="minorHAnsi"/>
        </w:rPr>
        <w:t xml:space="preserve"> undertaken by Sex Discrimination Commissioner Kate Jenkins</w:t>
      </w:r>
      <w:r w:rsidRPr="00E82351">
        <w:rPr>
          <w:rFonts w:cstheme="minorHAnsi"/>
          <w:vertAlign w:val="superscript"/>
        </w:rPr>
        <w:footnoteReference w:id="2"/>
      </w:r>
      <w:r w:rsidRPr="00E82351">
        <w:rPr>
          <w:rFonts w:cstheme="minorHAnsi"/>
        </w:rPr>
        <w:t xml:space="preserve"> (</w:t>
      </w:r>
      <w:r w:rsidRPr="00E82351">
        <w:rPr>
          <w:rFonts w:cstheme="minorHAnsi"/>
          <w:i/>
        </w:rPr>
        <w:t>Set the Standard</w:t>
      </w:r>
      <w:r w:rsidRPr="00E82351">
        <w:rPr>
          <w:rFonts w:cstheme="minorHAnsi"/>
        </w:rPr>
        <w:t xml:space="preserve">). </w:t>
      </w:r>
    </w:p>
    <w:p w14:paraId="0AD84C57" w14:textId="77777777" w:rsidR="00797E13" w:rsidRPr="00E82351" w:rsidRDefault="00797E13" w:rsidP="006C63B4">
      <w:pPr>
        <w:rPr>
          <w:rFonts w:cstheme="minorHAnsi"/>
        </w:rPr>
      </w:pPr>
      <w:r w:rsidRPr="00E82351">
        <w:rPr>
          <w:rFonts w:cstheme="minorHAnsi"/>
        </w:rPr>
        <w:t>The Review was asked to identify legislative, policy or other changes or initiatives necessary to ensure the employment arrangements of parliamentarians and their staff are fit for purpose to support a professional, high-performing, safe and respectful workplace for all parliamentarians and their staff; and prevent bullying, harassment, sexual harassment and sexual assault and address its impacts according to best practice.</w:t>
      </w:r>
    </w:p>
    <w:p w14:paraId="26F56393" w14:textId="77777777" w:rsidR="00797E13" w:rsidRPr="00E82351" w:rsidRDefault="00797E13" w:rsidP="00797E13">
      <w:pPr>
        <w:rPr>
          <w:rFonts w:cstheme="minorHAnsi"/>
        </w:rPr>
      </w:pPr>
      <w:r w:rsidRPr="00E82351">
        <w:rPr>
          <w:rFonts w:cstheme="minorHAnsi"/>
        </w:rPr>
        <w:t xml:space="preserve">Specifically, the </w:t>
      </w:r>
      <w:r>
        <w:rPr>
          <w:rFonts w:cstheme="minorHAnsi"/>
        </w:rPr>
        <w:t>t</w:t>
      </w:r>
      <w:r w:rsidRPr="00E82351">
        <w:rPr>
          <w:rFonts w:cstheme="minorHAnsi"/>
        </w:rPr>
        <w:t xml:space="preserve">erms of </w:t>
      </w:r>
      <w:r>
        <w:rPr>
          <w:rFonts w:cstheme="minorHAnsi"/>
        </w:rPr>
        <w:t>r</w:t>
      </w:r>
      <w:r w:rsidRPr="00E82351">
        <w:rPr>
          <w:rFonts w:cstheme="minorHAnsi"/>
        </w:rPr>
        <w:t>eference asked PM&amp;C to consider the following:</w:t>
      </w:r>
    </w:p>
    <w:p w14:paraId="2EF9BA32" w14:textId="0CA64ADE" w:rsidR="00797E13" w:rsidRPr="00E82351" w:rsidRDefault="00797E13" w:rsidP="00830038">
      <w:pPr>
        <w:pStyle w:val="BulletedList-Level1"/>
        <w:rPr>
          <w:rFonts w:cstheme="minorHAnsi"/>
        </w:rPr>
      </w:pPr>
      <w:r>
        <w:rPr>
          <w:rFonts w:cstheme="minorHAnsi"/>
        </w:rPr>
        <w:t>t</w:t>
      </w:r>
      <w:r w:rsidRPr="00E82351">
        <w:rPr>
          <w:rFonts w:cstheme="minorHAnsi"/>
        </w:rPr>
        <w:t>he recruitment of M</w:t>
      </w:r>
      <w:r>
        <w:rPr>
          <w:rFonts w:cstheme="minorHAnsi"/>
        </w:rPr>
        <w:t>o</w:t>
      </w:r>
      <w:r w:rsidRPr="00E82351">
        <w:rPr>
          <w:rFonts w:cstheme="minorHAnsi"/>
        </w:rPr>
        <w:t>P(S) Act staff, including transparency of arrangements, the use of merit-based recruitment, and pre-engagement checks</w:t>
      </w:r>
    </w:p>
    <w:p w14:paraId="3D68E80E" w14:textId="1BA720D8" w:rsidR="00797E13" w:rsidRDefault="00797E13" w:rsidP="00830038">
      <w:pPr>
        <w:pStyle w:val="BulletedList-Level1"/>
        <w:rPr>
          <w:rFonts w:cstheme="minorHAnsi"/>
        </w:rPr>
      </w:pPr>
      <w:r>
        <w:rPr>
          <w:rFonts w:cstheme="minorHAnsi"/>
        </w:rPr>
        <w:t>p</w:t>
      </w:r>
      <w:r w:rsidRPr="00E82351">
        <w:rPr>
          <w:rFonts w:cstheme="minorHAnsi"/>
        </w:rPr>
        <w:t>rocedural fairness for the terms, conditions, and termination of employees and employers under the M</w:t>
      </w:r>
      <w:r>
        <w:rPr>
          <w:rFonts w:cstheme="minorHAnsi"/>
        </w:rPr>
        <w:t>o</w:t>
      </w:r>
      <w:r w:rsidRPr="00E82351">
        <w:rPr>
          <w:rFonts w:cstheme="minorHAnsi"/>
        </w:rPr>
        <w:t>P(S) Act</w:t>
      </w:r>
    </w:p>
    <w:p w14:paraId="7C9B3D65" w14:textId="2317D7D3" w:rsidR="00797E13" w:rsidRPr="00617E78" w:rsidRDefault="00797E13" w:rsidP="00830038">
      <w:pPr>
        <w:pStyle w:val="BulletedList-Level1"/>
        <w:rPr>
          <w:rFonts w:cstheme="minorHAnsi"/>
        </w:rPr>
      </w:pPr>
      <w:r>
        <w:rPr>
          <w:rFonts w:cstheme="minorHAnsi"/>
        </w:rPr>
        <w:t>t</w:t>
      </w:r>
      <w:r w:rsidRPr="00617E78">
        <w:rPr>
          <w:rFonts w:cstheme="minorHAnsi"/>
        </w:rPr>
        <w:t xml:space="preserve">he responsibilities, expectations, and accountability of </w:t>
      </w:r>
      <w:r w:rsidR="00A539E9" w:rsidRPr="00617E78">
        <w:t>M</w:t>
      </w:r>
      <w:r w:rsidR="002A19DD">
        <w:t>o</w:t>
      </w:r>
      <w:r w:rsidR="00A539E9" w:rsidRPr="00617E78">
        <w:t>P</w:t>
      </w:r>
      <w:r w:rsidRPr="00617E78">
        <w:rPr>
          <w:rFonts w:cstheme="minorHAnsi"/>
        </w:rPr>
        <w:t>(S) Act employees</w:t>
      </w:r>
    </w:p>
    <w:p w14:paraId="6EE168B7" w14:textId="66397EC2" w:rsidR="00A539E9" w:rsidRPr="00617E78" w:rsidRDefault="00A539E9" w:rsidP="00A539E9">
      <w:pPr>
        <w:pStyle w:val="BulletedList-Level1"/>
      </w:pPr>
      <w:r>
        <w:t>a</w:t>
      </w:r>
      <w:r w:rsidRPr="00617E78">
        <w:t>ppropriate public reporting and accountability of the administration of the M</w:t>
      </w:r>
      <w:r w:rsidR="00EB7F7C">
        <w:t>o</w:t>
      </w:r>
      <w:r w:rsidRPr="00617E78">
        <w:t>P(S) Act.</w:t>
      </w:r>
    </w:p>
    <w:p w14:paraId="151D706D" w14:textId="54C09779" w:rsidR="00797E13" w:rsidRPr="00E82351" w:rsidRDefault="00797E13" w:rsidP="00797E13">
      <w:pPr>
        <w:rPr>
          <w:rFonts w:cstheme="minorHAnsi"/>
        </w:rPr>
      </w:pPr>
      <w:r w:rsidRPr="00E82351">
        <w:rPr>
          <w:rFonts w:cstheme="minorHAnsi"/>
        </w:rPr>
        <w:t xml:space="preserve">The Review should be considered within the broader context of the implementation of </w:t>
      </w:r>
      <w:r w:rsidRPr="00E82351">
        <w:rPr>
          <w:rFonts w:cstheme="minorHAnsi"/>
          <w:i/>
        </w:rPr>
        <w:t>Set the Standard</w:t>
      </w:r>
      <w:r w:rsidRPr="00E82351">
        <w:rPr>
          <w:rFonts w:cstheme="minorHAnsi"/>
        </w:rPr>
        <w:t>. The Parliamentary Leadership Taskforce, which has multi-party representation and an i</w:t>
      </w:r>
      <w:r>
        <w:rPr>
          <w:rFonts w:cstheme="minorHAnsi"/>
        </w:rPr>
        <w:t xml:space="preserve">ndependent Chair, </w:t>
      </w:r>
      <w:r w:rsidRPr="00E82351">
        <w:rPr>
          <w:rFonts w:cstheme="minorHAnsi"/>
        </w:rPr>
        <w:t>Kerri Hartland,</w:t>
      </w:r>
      <w:r>
        <w:rPr>
          <w:rFonts w:cstheme="minorHAnsi"/>
        </w:rPr>
        <w:t xml:space="preserve"> is responsible for overseeing</w:t>
      </w:r>
      <w:r w:rsidRPr="00E82351">
        <w:rPr>
          <w:rFonts w:cstheme="minorHAnsi"/>
        </w:rPr>
        <w:t xml:space="preserve"> implementation of all the </w:t>
      </w:r>
      <w:r w:rsidRPr="00E82351">
        <w:rPr>
          <w:rFonts w:cstheme="minorHAnsi"/>
          <w:i/>
        </w:rPr>
        <w:t>Set the Standard</w:t>
      </w:r>
      <w:r>
        <w:rPr>
          <w:rFonts w:cstheme="minorHAnsi"/>
          <w:i/>
        </w:rPr>
        <w:t xml:space="preserve"> </w:t>
      </w:r>
      <w:r w:rsidRPr="00E82351">
        <w:rPr>
          <w:rFonts w:cstheme="minorHAnsi"/>
        </w:rPr>
        <w:t xml:space="preserve">recommendations. The Government has committed to work across the </w:t>
      </w:r>
      <w:r w:rsidR="006146A9">
        <w:rPr>
          <w:rFonts w:cstheme="minorHAnsi"/>
        </w:rPr>
        <w:t>p</w:t>
      </w:r>
      <w:r w:rsidRPr="00E82351">
        <w:rPr>
          <w:rFonts w:cstheme="minorHAnsi"/>
        </w:rPr>
        <w:t>arliament to implement all 28</w:t>
      </w:r>
      <w:r w:rsidR="007B0589">
        <w:rPr>
          <w:rFonts w:cstheme="minorHAnsi"/>
        </w:rPr>
        <w:t> </w:t>
      </w:r>
      <w:r w:rsidRPr="00E82351">
        <w:rPr>
          <w:rFonts w:cstheme="minorHAnsi"/>
        </w:rPr>
        <w:t xml:space="preserve">recommendations of </w:t>
      </w:r>
      <w:r w:rsidRPr="00E82351">
        <w:rPr>
          <w:rFonts w:cstheme="minorHAnsi"/>
          <w:i/>
        </w:rPr>
        <w:t>Set the Standard</w:t>
      </w:r>
      <w:r w:rsidRPr="00E82351">
        <w:rPr>
          <w:rFonts w:cstheme="minorHAnsi"/>
        </w:rPr>
        <w:t xml:space="preserve">, and is directly responsible for implementing eight recommendations and one sub-recommendation, three of which have been implemented. In addition to undertaking a Review of the MoP(S) Act, two other key interrelated recommendations </w:t>
      </w:r>
      <w:r w:rsidRPr="00E82351">
        <w:rPr>
          <w:rFonts w:cstheme="minorHAnsi"/>
          <w:spacing w:val="-1"/>
        </w:rPr>
        <w:t>that the</w:t>
      </w:r>
      <w:r w:rsidRPr="00E82351">
        <w:rPr>
          <w:rFonts w:cstheme="minorHAnsi"/>
          <w:spacing w:val="-2"/>
        </w:rPr>
        <w:t xml:space="preserve"> </w:t>
      </w:r>
      <w:r w:rsidRPr="00E82351">
        <w:rPr>
          <w:rFonts w:cstheme="minorHAnsi"/>
          <w:spacing w:val="-1"/>
        </w:rPr>
        <w:t xml:space="preserve">Government </w:t>
      </w:r>
      <w:r w:rsidRPr="00E82351">
        <w:rPr>
          <w:rFonts w:cstheme="minorHAnsi"/>
        </w:rPr>
        <w:t xml:space="preserve">is </w:t>
      </w:r>
      <w:r w:rsidRPr="00E82351">
        <w:rPr>
          <w:rFonts w:cstheme="minorHAnsi"/>
          <w:spacing w:val="-1"/>
        </w:rPr>
        <w:t>responsible</w:t>
      </w:r>
      <w:r w:rsidRPr="00E82351">
        <w:rPr>
          <w:rFonts w:cstheme="minorHAnsi"/>
          <w:spacing w:val="-2"/>
        </w:rPr>
        <w:t xml:space="preserve"> </w:t>
      </w:r>
      <w:r>
        <w:rPr>
          <w:rFonts w:cstheme="minorHAnsi"/>
          <w:spacing w:val="-1"/>
        </w:rPr>
        <w:t>for</w:t>
      </w:r>
      <w:r w:rsidRPr="00E82351">
        <w:rPr>
          <w:rFonts w:cstheme="minorHAnsi"/>
          <w:spacing w:val="-2"/>
        </w:rPr>
        <w:t xml:space="preserve"> </w:t>
      </w:r>
      <w:r w:rsidRPr="00E82351">
        <w:rPr>
          <w:rFonts w:cstheme="minorHAnsi"/>
          <w:spacing w:val="-1"/>
        </w:rPr>
        <w:t>include establishing:</w:t>
      </w:r>
    </w:p>
    <w:p w14:paraId="256EC0CB" w14:textId="06AC315C" w:rsidR="00797E13" w:rsidRPr="00E82351" w:rsidRDefault="00797E13" w:rsidP="00830038">
      <w:pPr>
        <w:pStyle w:val="BulletedList-Level1"/>
        <w:rPr>
          <w:rFonts w:cstheme="minorHAnsi"/>
        </w:rPr>
      </w:pPr>
      <w:r w:rsidRPr="00830038">
        <w:t>an Office</w:t>
      </w:r>
      <w:r w:rsidRPr="00E82351">
        <w:rPr>
          <w:spacing w:val="-2"/>
        </w:rPr>
        <w:t xml:space="preserve"> </w:t>
      </w:r>
      <w:r w:rsidRPr="00E82351">
        <w:rPr>
          <w:rFonts w:cstheme="minorHAnsi"/>
        </w:rPr>
        <w:t>of</w:t>
      </w:r>
      <w:r w:rsidRPr="00E82351">
        <w:rPr>
          <w:spacing w:val="-2"/>
        </w:rPr>
        <w:t xml:space="preserve"> </w:t>
      </w:r>
      <w:r w:rsidRPr="00830038">
        <w:t>Parliamentarian Staffing</w:t>
      </w:r>
      <w:r w:rsidRPr="00E82351">
        <w:rPr>
          <w:rFonts w:cstheme="minorHAnsi"/>
        </w:rPr>
        <w:t xml:space="preserve"> </w:t>
      </w:r>
      <w:r w:rsidRPr="00830038">
        <w:t>and</w:t>
      </w:r>
      <w:r w:rsidRPr="00E82351">
        <w:rPr>
          <w:rFonts w:cstheme="minorHAnsi"/>
        </w:rPr>
        <w:t xml:space="preserve"> </w:t>
      </w:r>
      <w:r w:rsidRPr="00830038">
        <w:t>Culture</w:t>
      </w:r>
      <w:r w:rsidRPr="00E82351">
        <w:rPr>
          <w:spacing w:val="-2"/>
        </w:rPr>
        <w:t xml:space="preserve"> </w:t>
      </w:r>
      <w:r w:rsidRPr="00830038">
        <w:t>(OPSC) to</w:t>
      </w:r>
      <w:r w:rsidRPr="00E82351">
        <w:rPr>
          <w:spacing w:val="-2"/>
        </w:rPr>
        <w:t xml:space="preserve"> </w:t>
      </w:r>
      <w:r w:rsidRPr="00830038">
        <w:t>provide</w:t>
      </w:r>
      <w:r w:rsidRPr="00E82351">
        <w:rPr>
          <w:spacing w:val="-2"/>
        </w:rPr>
        <w:t xml:space="preserve"> </w:t>
      </w:r>
      <w:r w:rsidRPr="00830038">
        <w:t>centralised</w:t>
      </w:r>
      <w:r w:rsidRPr="00E82351">
        <w:rPr>
          <w:spacing w:val="51"/>
        </w:rPr>
        <w:t xml:space="preserve"> </w:t>
      </w:r>
      <w:r w:rsidRPr="00830038">
        <w:t>human resources</w:t>
      </w:r>
      <w:r w:rsidRPr="00E82351">
        <w:rPr>
          <w:rFonts w:cstheme="minorHAnsi"/>
        </w:rPr>
        <w:t xml:space="preserve"> </w:t>
      </w:r>
      <w:r w:rsidRPr="00830038">
        <w:t>support and</w:t>
      </w:r>
      <w:r w:rsidRPr="00E82351">
        <w:rPr>
          <w:rFonts w:cstheme="minorHAnsi"/>
        </w:rPr>
        <w:t xml:space="preserve"> </w:t>
      </w:r>
      <w:r w:rsidRPr="00830038">
        <w:t>advice</w:t>
      </w:r>
      <w:r w:rsidRPr="00E82351">
        <w:rPr>
          <w:spacing w:val="-2"/>
        </w:rPr>
        <w:t xml:space="preserve"> </w:t>
      </w:r>
      <w:r w:rsidRPr="00830038">
        <w:t>to</w:t>
      </w:r>
      <w:r w:rsidRPr="00E82351">
        <w:rPr>
          <w:rFonts w:cstheme="minorHAnsi"/>
        </w:rPr>
        <w:t xml:space="preserve"> </w:t>
      </w:r>
      <w:r w:rsidRPr="00830038">
        <w:t>parliamentarians</w:t>
      </w:r>
      <w:r w:rsidRPr="00E82351">
        <w:rPr>
          <w:rFonts w:cstheme="minorHAnsi"/>
        </w:rPr>
        <w:t xml:space="preserve"> </w:t>
      </w:r>
      <w:r w:rsidRPr="00830038">
        <w:t>and</w:t>
      </w:r>
      <w:r w:rsidRPr="00E82351">
        <w:rPr>
          <w:rFonts w:cstheme="minorHAnsi"/>
        </w:rPr>
        <w:t xml:space="preserve"> </w:t>
      </w:r>
      <w:r w:rsidRPr="00830038">
        <w:t>their</w:t>
      </w:r>
      <w:r w:rsidRPr="00E82351">
        <w:rPr>
          <w:spacing w:val="-2"/>
        </w:rPr>
        <w:t xml:space="preserve"> </w:t>
      </w:r>
      <w:r w:rsidRPr="00830038">
        <w:t>staff,</w:t>
      </w:r>
      <w:r w:rsidRPr="00E82351">
        <w:rPr>
          <w:spacing w:val="-2"/>
        </w:rPr>
        <w:t xml:space="preserve"> </w:t>
      </w:r>
      <w:r w:rsidRPr="00830038">
        <w:t>and</w:t>
      </w:r>
      <w:r w:rsidRPr="00E82351">
        <w:rPr>
          <w:rFonts w:cstheme="minorHAnsi"/>
        </w:rPr>
        <w:t xml:space="preserve"> to </w:t>
      </w:r>
      <w:r w:rsidRPr="00830038">
        <w:t>drive</w:t>
      </w:r>
      <w:r w:rsidRPr="00E82351">
        <w:rPr>
          <w:spacing w:val="-2"/>
        </w:rPr>
        <w:t xml:space="preserve"> </w:t>
      </w:r>
      <w:r w:rsidRPr="00830038">
        <w:t>cultural</w:t>
      </w:r>
      <w:r w:rsidRPr="00E82351">
        <w:rPr>
          <w:spacing w:val="29"/>
        </w:rPr>
        <w:t xml:space="preserve"> </w:t>
      </w:r>
      <w:r w:rsidRPr="00830038">
        <w:t>change</w:t>
      </w:r>
      <w:r w:rsidRPr="00E82351">
        <w:rPr>
          <w:spacing w:val="-2"/>
        </w:rPr>
        <w:t xml:space="preserve"> </w:t>
      </w:r>
      <w:r w:rsidRPr="00830038">
        <w:t>within the</w:t>
      </w:r>
      <w:r w:rsidRPr="00E82351">
        <w:rPr>
          <w:spacing w:val="-2"/>
        </w:rPr>
        <w:t xml:space="preserve"> </w:t>
      </w:r>
      <w:r w:rsidRPr="00830038">
        <w:t>parliament (</w:t>
      </w:r>
      <w:r w:rsidR="00717C73">
        <w:t>R</w:t>
      </w:r>
      <w:r w:rsidRPr="00830038">
        <w:t xml:space="preserve">ecommendation </w:t>
      </w:r>
      <w:r w:rsidRPr="00E82351">
        <w:rPr>
          <w:rFonts w:cstheme="minorHAnsi"/>
        </w:rPr>
        <w:t>11), and</w:t>
      </w:r>
    </w:p>
    <w:p w14:paraId="24E6F241" w14:textId="3FACDF38" w:rsidR="00797E13" w:rsidRDefault="00797E13" w:rsidP="00830038">
      <w:pPr>
        <w:pStyle w:val="BulletedList-Level1"/>
        <w:rPr>
          <w:rFonts w:cstheme="minorHAnsi"/>
        </w:rPr>
      </w:pPr>
      <w:r w:rsidRPr="00E82351">
        <w:rPr>
          <w:rFonts w:cstheme="minorHAnsi"/>
        </w:rPr>
        <w:t xml:space="preserve">an Independent Parliamentary Standards Commission (IPSC) to operate a fair, independent and confidential complaint system and investigate allegations of breaches of the Codes of Conduct for </w:t>
      </w:r>
      <w:r w:rsidRPr="00E82351">
        <w:rPr>
          <w:rFonts w:cstheme="minorHAnsi"/>
        </w:rPr>
        <w:lastRenderedPageBreak/>
        <w:t>Parliamentarians and their staff, and Standards of Conduct for the Parliamentary Precincts (</w:t>
      </w:r>
      <w:r w:rsidR="00C33418">
        <w:rPr>
          <w:rFonts w:cstheme="minorHAnsi"/>
        </w:rPr>
        <w:t>R</w:t>
      </w:r>
      <w:r w:rsidRPr="00E82351">
        <w:rPr>
          <w:rFonts w:cstheme="minorHAnsi"/>
        </w:rPr>
        <w:t>ecommendation 22).</w:t>
      </w:r>
    </w:p>
    <w:p w14:paraId="17B28073" w14:textId="77777777" w:rsidR="00A539E9" w:rsidRPr="00E82351" w:rsidRDefault="00A539E9" w:rsidP="00A539E9">
      <w:r w:rsidRPr="00E82351">
        <w:t xml:space="preserve">In addition to supporting the Government to implement </w:t>
      </w:r>
      <w:r w:rsidRPr="00E82351">
        <w:rPr>
          <w:i/>
        </w:rPr>
        <w:t>Set the Standard</w:t>
      </w:r>
      <w:r w:rsidRPr="00E82351">
        <w:t xml:space="preserve">, PM&amp;C has been directly engaged on matters relating to conduct in Commonwealth </w:t>
      </w:r>
      <w:r>
        <w:t>p</w:t>
      </w:r>
      <w:r w:rsidRPr="00E82351">
        <w:t xml:space="preserve">arliamentary workplaces since February 2021, through undertaking and then leading implementation of the </w:t>
      </w:r>
      <w:r w:rsidRPr="00E82351">
        <w:rPr>
          <w:i/>
        </w:rPr>
        <w:t>Review of the Parliamentary Workplace: Responding to Serious Incidents (Foster Review)</w:t>
      </w:r>
      <w:r>
        <w:t>, conducted by</w:t>
      </w:r>
      <w:r w:rsidRPr="00E82351">
        <w:t xml:space="preserve"> Stephanie</w:t>
      </w:r>
      <w:r>
        <w:t xml:space="preserve"> Foster PSM, Deputy Secretary Governance at</w:t>
      </w:r>
      <w:r w:rsidRPr="00E82351">
        <w:t xml:space="preserve"> PM&amp;C, published on 26 July 2021.</w:t>
      </w:r>
    </w:p>
    <w:p w14:paraId="544AF5DB" w14:textId="6B8AA167" w:rsidR="00797E13" w:rsidRPr="00E82351" w:rsidRDefault="00797E13" w:rsidP="00797E13">
      <w:pPr>
        <w:rPr>
          <w:rFonts w:cstheme="minorHAnsi"/>
        </w:rPr>
      </w:pPr>
      <w:r w:rsidRPr="00E82351">
        <w:rPr>
          <w:rFonts w:cstheme="minorHAnsi"/>
        </w:rPr>
        <w:t xml:space="preserve">In the course of this </w:t>
      </w:r>
      <w:r w:rsidR="00A539E9">
        <w:t>Review</w:t>
      </w:r>
      <w:r w:rsidRPr="00E82351">
        <w:rPr>
          <w:rFonts w:cstheme="minorHAnsi"/>
        </w:rPr>
        <w:t xml:space="preserve"> we </w:t>
      </w:r>
      <w:r>
        <w:rPr>
          <w:rFonts w:cstheme="minorHAnsi"/>
        </w:rPr>
        <w:t>received 47 written submissions, 388 survey responses, undertook</w:t>
      </w:r>
      <w:r w:rsidRPr="00E82351">
        <w:rPr>
          <w:rFonts w:cstheme="minorHAnsi"/>
        </w:rPr>
        <w:t xml:space="preserve"> </w:t>
      </w:r>
      <w:r>
        <w:rPr>
          <w:rFonts w:cstheme="minorHAnsi"/>
        </w:rPr>
        <w:t xml:space="preserve">more than 70 interviews and stakeholder engagements, and </w:t>
      </w:r>
      <w:r w:rsidR="00034DE7">
        <w:rPr>
          <w:rFonts w:cstheme="minorHAnsi"/>
        </w:rPr>
        <w:t>held a small group consultation</w:t>
      </w:r>
      <w:r w:rsidRPr="00E82351">
        <w:rPr>
          <w:rFonts w:cstheme="minorHAnsi"/>
        </w:rPr>
        <w:t xml:space="preserve"> </w:t>
      </w:r>
      <w:r w:rsidR="00034DE7">
        <w:rPr>
          <w:rFonts w:cstheme="minorHAnsi"/>
        </w:rPr>
        <w:t xml:space="preserve">session </w:t>
      </w:r>
      <w:r w:rsidRPr="00E82351">
        <w:rPr>
          <w:rFonts w:cstheme="minorHAnsi"/>
        </w:rPr>
        <w:t>with people who work in, or have worked in, a Commo</w:t>
      </w:r>
      <w:r>
        <w:rPr>
          <w:rFonts w:cstheme="minorHAnsi"/>
        </w:rPr>
        <w:t xml:space="preserve">nwealth parliamentary workplace. We </w:t>
      </w:r>
      <w:r w:rsidRPr="00E82351">
        <w:rPr>
          <w:rFonts w:cstheme="minorHAnsi"/>
        </w:rPr>
        <w:t xml:space="preserve">heard </w:t>
      </w:r>
      <w:r w:rsidRPr="00A42EBC">
        <w:rPr>
          <w:rFonts w:cstheme="minorHAnsi"/>
        </w:rPr>
        <w:t xml:space="preserve">from current and former MoP(S) Act employees and parliamentarians, academics, unions, relevant parliamentary departments and relevant government agencies, along with </w:t>
      </w:r>
      <w:r>
        <w:rPr>
          <w:rFonts w:cstheme="minorHAnsi"/>
        </w:rPr>
        <w:t>s</w:t>
      </w:r>
      <w:r w:rsidRPr="00A42EBC">
        <w:rPr>
          <w:rFonts w:cstheme="minorHAnsi"/>
        </w:rPr>
        <w:t>tate government and international counterparts. We</w:t>
      </w:r>
      <w:r w:rsidRPr="00E82351">
        <w:rPr>
          <w:rFonts w:cstheme="minorHAnsi"/>
        </w:rPr>
        <w:t xml:space="preserve"> have drawn on this breadth of input not only in the context of the findings in this Review, but to help shape our thinking about the overarching employment framework, including the development of the OPSC and IPSC, and how these pieces best fit together. </w:t>
      </w:r>
    </w:p>
    <w:p w14:paraId="5AC6B337" w14:textId="77777777" w:rsidR="00797E13" w:rsidRPr="00E82351" w:rsidRDefault="00797E13" w:rsidP="00797E13">
      <w:r w:rsidRPr="00E82351">
        <w:t xml:space="preserve">The establishment of the OPSC is </w:t>
      </w:r>
      <w:r>
        <w:t xml:space="preserve">one of the </w:t>
      </w:r>
      <w:r w:rsidRPr="00E82351">
        <w:t>key structural reforms recommended</w:t>
      </w:r>
      <w:r>
        <w:t xml:space="preserve"> to</w:t>
      </w:r>
      <w:r w:rsidRPr="00E82351">
        <w:t xml:space="preserve"> assist parliamentarians and their staff build and maintain a workplace that is safe, supportive, respectful, professional and high performing. The OPSC model was recommended in </w:t>
      </w:r>
      <w:r w:rsidRPr="00E82351">
        <w:rPr>
          <w:i/>
        </w:rPr>
        <w:t xml:space="preserve">Set the Standard </w:t>
      </w:r>
      <w:r w:rsidRPr="00E82351">
        <w:t>to address issues identified as</w:t>
      </w:r>
      <w:r>
        <w:t>:</w:t>
      </w:r>
      <w:r w:rsidRPr="00E82351">
        <w:t xml:space="preserve"> a complex framework for HR services; a lack of clear authorising environment; and a loss of confidence in existing HR services. It is proposed to provide advice and education to parliamentarians and MoP(S) Act employees, undertake strategic initiatives to drive the OPSC values, improve culture and diversity, drive improved accountability and reporting, and be a central hub for operational HR support. The OPSC will be central to achieving better employment outcomes and practices in the M</w:t>
      </w:r>
      <w:r>
        <w:t>oP(S) Act employment framework, and to deliver on many of the changes recommended to the MoP(S) Act.</w:t>
      </w:r>
    </w:p>
    <w:p w14:paraId="13D62AF6" w14:textId="77777777" w:rsidR="00797E13" w:rsidRPr="00E82351" w:rsidRDefault="00797E13" w:rsidP="00797E13">
      <w:pPr>
        <w:rPr>
          <w:rFonts w:cstheme="minorHAnsi"/>
        </w:rPr>
      </w:pPr>
      <w:r w:rsidRPr="00E82351">
        <w:rPr>
          <w:rFonts w:cstheme="minorHAnsi"/>
        </w:rPr>
        <w:t xml:space="preserve">It was clear from the consultations and from our research that there are many different models for the employment of staff of parliamentarians, each with strengths and weaknesses. </w:t>
      </w:r>
      <w:r>
        <w:rPr>
          <w:rFonts w:cstheme="minorHAnsi"/>
        </w:rPr>
        <w:t xml:space="preserve">The most important factor for success was not the employment model per se, but its implementation - the quality of the support provided to parliamentarians and staff, and the fairness and transparency of its processes. </w:t>
      </w:r>
    </w:p>
    <w:p w14:paraId="1A3ADB03" w14:textId="79D903E1" w:rsidR="00797E13" w:rsidRPr="00E82351" w:rsidRDefault="00797E13" w:rsidP="00797E13">
      <w:pPr>
        <w:rPr>
          <w:rFonts w:cstheme="minorHAnsi"/>
        </w:rPr>
      </w:pPr>
      <w:r w:rsidRPr="00E82351">
        <w:rPr>
          <w:rFonts w:cstheme="minorHAnsi"/>
        </w:rPr>
        <w:t>Throughout the consultation process, the key recurring themes were accessibility and effectiveness of HR</w:t>
      </w:r>
      <w:r w:rsidR="007B0589">
        <w:rPr>
          <w:rFonts w:cstheme="minorHAnsi"/>
        </w:rPr>
        <w:t> </w:t>
      </w:r>
      <w:r w:rsidRPr="00E82351">
        <w:rPr>
          <w:rFonts w:cstheme="minorHAnsi"/>
        </w:rPr>
        <w:t>support; recruitment practices; staffing allocations; workload/hours</w:t>
      </w:r>
      <w:r>
        <w:rPr>
          <w:rFonts w:cstheme="minorHAnsi"/>
        </w:rPr>
        <w:t>;</w:t>
      </w:r>
      <w:r w:rsidRPr="00E82351">
        <w:rPr>
          <w:rFonts w:cstheme="minorHAnsi"/>
        </w:rPr>
        <w:t xml:space="preserve"> termination (including resignation); culture and conflict in the workplace; handling of complaints; training; accountability; and the employment framework. </w:t>
      </w:r>
      <w:r w:rsidRPr="00E82351">
        <w:t>We have used these themes to focus the report on four key</w:t>
      </w:r>
      <w:r w:rsidRPr="00E82351" w:rsidDel="007C1BC7">
        <w:t xml:space="preserve"> </w:t>
      </w:r>
      <w:r w:rsidRPr="00E82351">
        <w:t xml:space="preserve">areas covering the </w:t>
      </w:r>
      <w:r w:rsidRPr="00A539E9">
        <w:t>continuum of MoP(S) Act employment</w:t>
      </w:r>
      <w:r w:rsidR="007B0589">
        <w:t>: t</w:t>
      </w:r>
      <w:r w:rsidR="00A539E9" w:rsidRPr="00A539E9">
        <w:t>he</w:t>
      </w:r>
      <w:r w:rsidRPr="00E82351">
        <w:rPr>
          <w:rFonts w:cstheme="minorHAnsi"/>
        </w:rPr>
        <w:t xml:space="preserve"> employment framework, setting an office up for success, clear accountabilities, expectations and responsibilities, and employment separation.</w:t>
      </w:r>
    </w:p>
    <w:p w14:paraId="062EA9E0" w14:textId="0448E4AC" w:rsidR="000050E1" w:rsidRDefault="000050E1" w:rsidP="000050E1">
      <w:pPr>
        <w:pStyle w:val="Heading2"/>
      </w:pPr>
      <w:bookmarkStart w:id="245" w:name="_Toc115374365"/>
      <w:bookmarkStart w:id="246" w:name="_Toc115378704"/>
      <w:bookmarkStart w:id="247" w:name="_Toc115380936"/>
      <w:bookmarkStart w:id="248" w:name="_Toc115384088"/>
      <w:bookmarkStart w:id="249" w:name="_Toc115387317"/>
      <w:bookmarkStart w:id="250" w:name="_Toc115388783"/>
      <w:bookmarkStart w:id="251" w:name="_Toc115431421"/>
      <w:bookmarkStart w:id="252" w:name="_Toc115432799"/>
      <w:bookmarkStart w:id="253" w:name="_Toc115434370"/>
      <w:bookmarkStart w:id="254" w:name="_Toc115434469"/>
      <w:bookmarkStart w:id="255" w:name="_Toc115434538"/>
      <w:bookmarkStart w:id="256" w:name="_Toc115434607"/>
      <w:bookmarkStart w:id="257" w:name="_Toc115442777"/>
      <w:bookmarkStart w:id="258" w:name="_Toc115448020"/>
      <w:bookmarkStart w:id="259" w:name="_Toc115449412"/>
      <w:bookmarkStart w:id="260" w:name="_Toc115452432"/>
      <w:bookmarkStart w:id="261" w:name="_Toc115455249"/>
      <w:bookmarkStart w:id="262" w:name="_Toc115455315"/>
      <w:bookmarkStart w:id="263" w:name="_Toc115457265"/>
      <w:bookmarkStart w:id="264" w:name="_Toc115458101"/>
      <w:bookmarkStart w:id="265" w:name="_Toc115948129"/>
      <w:bookmarkStart w:id="266" w:name="_Toc115948576"/>
      <w:r>
        <w:t xml:space="preserve">Employment </w:t>
      </w:r>
      <w:r w:rsidR="00F73064">
        <w:t>f</w:t>
      </w:r>
      <w:r>
        <w:t>ramework</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E2E4F93" w14:textId="77777777" w:rsidR="00D25578" w:rsidRPr="00E82351" w:rsidRDefault="00D25578" w:rsidP="00D25578">
      <w:r w:rsidRPr="00E82351">
        <w:t xml:space="preserve">In the </w:t>
      </w:r>
      <w:r>
        <w:t>main</w:t>
      </w:r>
      <w:r w:rsidRPr="00E82351">
        <w:t xml:space="preserve">, the Review </w:t>
      </w:r>
      <w:r>
        <w:t>concluded that</w:t>
      </w:r>
      <w:r w:rsidRPr="00E82351">
        <w:t xml:space="preserve"> the framework of the MoP(S) Act </w:t>
      </w:r>
      <w:r>
        <w:t xml:space="preserve">was broadly appropriate, </w:t>
      </w:r>
      <w:r w:rsidRPr="00E82351">
        <w:t xml:space="preserve">but required some amendments to modernise it, provide greater clarity, and improve transparency. The biggest issues and gaps identified relate to human resource capability within offices, the HR advice and support available to parliamentarians and employees, and accountability mechanisms. The bulk of these issues identified will </w:t>
      </w:r>
      <w:r w:rsidR="00A539E9">
        <w:t xml:space="preserve">need to </w:t>
      </w:r>
      <w:r w:rsidRPr="00E82351">
        <w:t xml:space="preserve">be </w:t>
      </w:r>
      <w:r>
        <w:t>first order priorities</w:t>
      </w:r>
      <w:r w:rsidRPr="00E82351">
        <w:t xml:space="preserve"> for the OPSC once it is established. </w:t>
      </w:r>
      <w:r>
        <w:t xml:space="preserve">It will be critical that the OPSC delivers high quality, fair and consistent support to all of its clients from its inception, enabling it to win trust and drive cultural reform over the mid to long term. </w:t>
      </w:r>
    </w:p>
    <w:p w14:paraId="71AF8E2B" w14:textId="365DF323" w:rsidR="00D25578" w:rsidRPr="00E82351" w:rsidRDefault="00D25578" w:rsidP="00D25578">
      <w:r w:rsidRPr="00E82351">
        <w:t>There was strong support for increasing clarity and reducing complexity in the Act by merging the two primary parts relating to employment – Parts III and IV. Having two separate but almost identical parts creates challenges and misunderstanding among parliamentarians and administrators over the coverage of Parts III and Part IV. Part III is seen to be for personal employees and Part IV is seen to be for electorate office staff, however, these terms are not used in the MoP(S) Act. Some contributors called for clearer separation between employees in the executive and legislature</w:t>
      </w:r>
      <w:r w:rsidR="007B0589">
        <w:t>;</w:t>
      </w:r>
      <w:r w:rsidRPr="00E82351">
        <w:t xml:space="preserve"> others queried the differential treatment of personal staff and electorate office staff under the Act, and suggested that bringing these parts of the Act together would help with staff cohesion. </w:t>
      </w:r>
      <w:r>
        <w:t xml:space="preserve">The Review concluded that </w:t>
      </w:r>
      <w:r w:rsidRPr="00E82351">
        <w:t>the MoP(S) Act should be reframe</w:t>
      </w:r>
      <w:r>
        <w:t xml:space="preserve">d to have one </w:t>
      </w:r>
      <w:r w:rsidRPr="00B7187B">
        <w:t>part</w:t>
      </w:r>
      <w:r>
        <w:t xml:space="preserve"> covering the core terms and conditions for</w:t>
      </w:r>
      <w:r w:rsidRPr="00E82351">
        <w:t xml:space="preserve"> the employment of </w:t>
      </w:r>
      <w:r>
        <w:t xml:space="preserve">all MoP(S) Act employees, and that they be defined in the Act in three categories: electorate employees, </w:t>
      </w:r>
      <w:r w:rsidRPr="00E82351">
        <w:t xml:space="preserve">personal </w:t>
      </w:r>
      <w:r w:rsidR="00FF5030">
        <w:t xml:space="preserve">employees – ministerial, and </w:t>
      </w:r>
      <w:r w:rsidRPr="00E82351">
        <w:t>personal employees – other</w:t>
      </w:r>
      <w:r>
        <w:t>. This will enable conditions and provisions to be applied that are specific to each category.</w:t>
      </w:r>
    </w:p>
    <w:p w14:paraId="76EE0AAB" w14:textId="77777777" w:rsidR="00D25578" w:rsidRDefault="00D25578" w:rsidP="00D25578">
      <w:r w:rsidRPr="00E82351">
        <w:t xml:space="preserve">We heard about two key issues in relation to the employment model. The first </w:t>
      </w:r>
      <w:r>
        <w:t>was</w:t>
      </w:r>
      <w:r w:rsidRPr="00E82351">
        <w:t xml:space="preserve"> confusion about who the ‘employer’ actually was, and the second was about who held what accountabilities in the employment relationship. This is also evident in the findings of </w:t>
      </w:r>
      <w:r w:rsidRPr="00E82351">
        <w:rPr>
          <w:i/>
        </w:rPr>
        <w:t xml:space="preserve">Set the Standard </w:t>
      </w:r>
      <w:r w:rsidRPr="00E82351">
        <w:t>which highlighted a confusing employment relationship, where multiple parties hold employer and other legal obligations to staff.</w:t>
      </w:r>
    </w:p>
    <w:p w14:paraId="251C367D" w14:textId="590E09E7" w:rsidR="00D25578" w:rsidRDefault="00D25578" w:rsidP="00D25578">
      <w:r w:rsidRPr="00E82351">
        <w:t xml:space="preserve">We considered a range of employment models across the various Australian and international jurisdictions, including having one parliamentarian (such as the </w:t>
      </w:r>
      <w:r w:rsidR="00A539E9">
        <w:t>first</w:t>
      </w:r>
      <w:r w:rsidR="00FF5030">
        <w:t xml:space="preserve"> minister</w:t>
      </w:r>
      <w:r w:rsidRPr="00E82351">
        <w:t xml:space="preserve">) or the presiding officers as the employer; having an external employer such as a </w:t>
      </w:r>
      <w:r>
        <w:t>p</w:t>
      </w:r>
      <w:r w:rsidRPr="00E82351">
        <w:t xml:space="preserve">arliamentary </w:t>
      </w:r>
      <w:r>
        <w:t>d</w:t>
      </w:r>
      <w:r w:rsidRPr="00E82351">
        <w:t xml:space="preserve">epartment or </w:t>
      </w:r>
      <w:r>
        <w:t>p</w:t>
      </w:r>
      <w:r w:rsidRPr="00E82351">
        <w:t xml:space="preserve">ublic </w:t>
      </w:r>
      <w:r>
        <w:t>s</w:t>
      </w:r>
      <w:r w:rsidRPr="00E82351">
        <w:t xml:space="preserve">ervice </w:t>
      </w:r>
      <w:r>
        <w:t>d</w:t>
      </w:r>
      <w:r w:rsidRPr="00E82351">
        <w:t>epartment; or having different employers for different categories of staff. What we found across the board is that, no matter the model chosen, the day-to-day direction and management of staff is carried out by the parliamentarian or their office</w:t>
      </w:r>
      <w:r>
        <w:t xml:space="preserve"> manager</w:t>
      </w:r>
      <w:r w:rsidRPr="00E82351">
        <w:t>,</w:t>
      </w:r>
      <w:r>
        <w:t xml:space="preserve"> and it is they who most influence the experience of their staff in terms of safety and respect.</w:t>
      </w:r>
    </w:p>
    <w:p w14:paraId="46631055" w14:textId="7C38FC34" w:rsidR="00D25578" w:rsidRPr="00E82351" w:rsidRDefault="00D25578" w:rsidP="00D25578">
      <w:r>
        <w:t>The Review concluded that the existing model of parliamentarian as employer should be retained, support</w:t>
      </w:r>
      <w:r w:rsidR="006144DF">
        <w:t>ed</w:t>
      </w:r>
      <w:r>
        <w:t xml:space="preserve"> by a clear articulation in the Act of their </w:t>
      </w:r>
      <w:r w:rsidRPr="00E82351">
        <w:t xml:space="preserve">duties </w:t>
      </w:r>
      <w:r w:rsidR="00C769EC">
        <w:t xml:space="preserve">as employers. </w:t>
      </w:r>
      <w:r>
        <w:t>This should be complemented by also setting out in the Act</w:t>
      </w:r>
      <w:r w:rsidRPr="00E82351">
        <w:t xml:space="preserve"> the</w:t>
      </w:r>
      <w:r>
        <w:t xml:space="preserve"> role of</w:t>
      </w:r>
      <w:r w:rsidRPr="00E82351">
        <w:t xml:space="preserve"> </w:t>
      </w:r>
      <w:r>
        <w:t xml:space="preserve">the </w:t>
      </w:r>
      <w:r w:rsidRPr="00E82351">
        <w:t xml:space="preserve">Prime Minister (or delegate) in setting terms and conditions; and the OPSC in providing support and advice. To support </w:t>
      </w:r>
      <w:r>
        <w:t xml:space="preserve">consistent outcomes across the system, </w:t>
      </w:r>
      <w:r w:rsidRPr="00E82351">
        <w:t xml:space="preserve">the Review considers that the OPSC, once established, should be empowered to support better and more coordinated practices within offices, including through requiring training and reporting on the administration of the Act. </w:t>
      </w:r>
    </w:p>
    <w:p w14:paraId="61766C30" w14:textId="2076736C" w:rsidR="00D25578" w:rsidRPr="00E82351" w:rsidRDefault="00D25578" w:rsidP="00D25578">
      <w:r w:rsidRPr="00E82351">
        <w:t>Parliamentarians should be supported to set their offices up for success. In a modern workplace context, this means resourcing the workplace with people with the right skills, right tools, and right support to meet organisational needs. We heard a</w:t>
      </w:r>
      <w:r>
        <w:t xml:space="preserve"> strong and</w:t>
      </w:r>
      <w:r w:rsidRPr="00E82351">
        <w:t xml:space="preserve"> consistent message around the workload pressures</w:t>
      </w:r>
      <w:r>
        <w:t xml:space="preserve"> on staff </w:t>
      </w:r>
      <w:r w:rsidRPr="00E82351">
        <w:t xml:space="preserve">and concern </w:t>
      </w:r>
      <w:r>
        <w:t>about</w:t>
      </w:r>
      <w:r w:rsidRPr="00E82351">
        <w:t xml:space="preserve"> the method by which </w:t>
      </w:r>
      <w:r w:rsidR="00A539E9" w:rsidRPr="00E82351">
        <w:t>resource</w:t>
      </w:r>
      <w:r w:rsidR="00A539E9">
        <w:t xml:space="preserve"> allocation is </w:t>
      </w:r>
      <w:r w:rsidR="00A539E9" w:rsidRPr="00E82351">
        <w:t>determined.</w:t>
      </w:r>
      <w:r w:rsidRPr="00E82351">
        <w:t xml:space="preserve"> In relation to staffing numbers, the key messages we heard</w:t>
      </w:r>
      <w:r>
        <w:t xml:space="preserve"> from both </w:t>
      </w:r>
      <w:r w:rsidR="00190053">
        <w:t>p</w:t>
      </w:r>
      <w:r>
        <w:t>arliamentarians and staff</w:t>
      </w:r>
      <w:r w:rsidRPr="00E82351">
        <w:t xml:space="preserve"> were in relation to work, health and safety implications, as well as the capacity to do the job due to the sustained </w:t>
      </w:r>
      <w:r>
        <w:t xml:space="preserve">workload </w:t>
      </w:r>
      <w:r w:rsidRPr="00E82351">
        <w:t>pressure on staff.</w:t>
      </w:r>
      <w:r>
        <w:t xml:space="preserve"> These pressures were articulated the most strongly by staff who were not aligned to the major parties.</w:t>
      </w:r>
      <w:r w:rsidRPr="00E82351">
        <w:t xml:space="preserve"> To inform an evidence</w:t>
      </w:r>
      <w:r>
        <w:noBreakHyphen/>
      </w:r>
      <w:r w:rsidRPr="00E82351">
        <w:t>based consideration of workplace resources, the OPSC should review the factors affecting workloads in offices, including systems and processes, and examin</w:t>
      </w:r>
      <w:r>
        <w:t>e</w:t>
      </w:r>
      <w:r w:rsidRPr="00E82351">
        <w:t xml:space="preserve"> the root causes of pres</w:t>
      </w:r>
      <w:r>
        <w:t xml:space="preserve">sure points that exist, including those relating to </w:t>
      </w:r>
      <w:r w:rsidRPr="00E82351">
        <w:t xml:space="preserve">government services and electorate composition. </w:t>
      </w:r>
      <w:r>
        <w:t>This review should also recommend principles to be considered by the Prime Minister in determining staffing allocations.</w:t>
      </w:r>
      <w:r w:rsidRPr="00E82351">
        <w:t xml:space="preserve"> While we heard about pressures in relation to both personal staff and electorate office staff, the most consistent message was in relation to electorate offices.</w:t>
      </w:r>
    </w:p>
    <w:p w14:paraId="339D93BC" w14:textId="77777777" w:rsidR="00D25578" w:rsidRDefault="00D25578" w:rsidP="00D25578">
      <w:r>
        <w:t>There were some</w:t>
      </w:r>
      <w:r w:rsidRPr="00E82351">
        <w:t xml:space="preserve"> calls for staffing allocation to be set by an independent entity and for ther</w:t>
      </w:r>
      <w:r w:rsidR="00C769EC">
        <w:t>e to be greater transparency in</w:t>
      </w:r>
      <w:r w:rsidRPr="00E82351">
        <w:t xml:space="preserve"> allocation decisions.</w:t>
      </w:r>
      <w:r>
        <w:t xml:space="preserve"> Similar</w:t>
      </w:r>
      <w:r w:rsidDel="006144DF">
        <w:t>ly</w:t>
      </w:r>
      <w:r>
        <w:t xml:space="preserve"> to the employment framework, there is a range of approaches used in different jurisdictions, each with their strengths and weaknesses. Noting the broader structural reforms yet to be implemented, including the recommended workplace review above, and the absence of a clear alternative approach to deliver an effective outcome in the Commonwealth context, the Review concluded that the existing system should be retained, with enhanced transparency provided through a legislative requirement to </w:t>
      </w:r>
      <w:r w:rsidRPr="002A2AC2">
        <w:t>report on the number of staff allocated</w:t>
      </w:r>
      <w:r>
        <w:t xml:space="preserve"> by office</w:t>
      </w:r>
      <w:r w:rsidRPr="002A2AC2">
        <w:t xml:space="preserve"> </w:t>
      </w:r>
      <w:r w:rsidRPr="00A32B11">
        <w:t>annually.</w:t>
      </w:r>
    </w:p>
    <w:p w14:paraId="6EFB48CD" w14:textId="77777777" w:rsidR="00DD097B" w:rsidRDefault="00DD097B" w:rsidP="00D25578"/>
    <w:p w14:paraId="6E2283F5" w14:textId="325B9CBD" w:rsidR="00A831BC" w:rsidRDefault="001E1C23" w:rsidP="005F5E33">
      <w:pPr>
        <w:pStyle w:val="Heading2"/>
      </w:pPr>
      <w:bookmarkStart w:id="267" w:name="_Toc114755813"/>
      <w:bookmarkStart w:id="268" w:name="_Toc114757118"/>
      <w:bookmarkStart w:id="269" w:name="_Toc114757402"/>
      <w:bookmarkStart w:id="270" w:name="_Toc114757504"/>
      <w:bookmarkStart w:id="271" w:name="_Toc114758177"/>
      <w:bookmarkStart w:id="272" w:name="_Toc114824347"/>
      <w:bookmarkStart w:id="273" w:name="_Toc114829423"/>
      <w:bookmarkStart w:id="274" w:name="_Toc114829754"/>
      <w:bookmarkStart w:id="275" w:name="_Toc114829931"/>
      <w:bookmarkStart w:id="276" w:name="_Toc115099010"/>
      <w:bookmarkStart w:id="277" w:name="_Toc115099082"/>
      <w:bookmarkStart w:id="278" w:name="_Toc115101659"/>
      <w:bookmarkStart w:id="279" w:name="_Toc115102504"/>
      <w:bookmarkStart w:id="280" w:name="_Toc115105477"/>
      <w:bookmarkStart w:id="281" w:name="_Toc115110338"/>
      <w:bookmarkStart w:id="282" w:name="_Toc115110465"/>
      <w:bookmarkStart w:id="283" w:name="_Toc115121583"/>
      <w:bookmarkStart w:id="284" w:name="_Toc115121953"/>
      <w:bookmarkStart w:id="285" w:name="_Toc115123433"/>
      <w:bookmarkStart w:id="286" w:name="_Toc115123681"/>
      <w:bookmarkStart w:id="287" w:name="_Toc115126813"/>
      <w:bookmarkStart w:id="288" w:name="_Toc115185450"/>
      <w:bookmarkStart w:id="289" w:name="_Toc115186077"/>
      <w:bookmarkStart w:id="290" w:name="_Toc115189235"/>
      <w:bookmarkStart w:id="291" w:name="_Toc115194208"/>
      <w:bookmarkStart w:id="292" w:name="_Toc115194945"/>
      <w:bookmarkStart w:id="293" w:name="_Toc115195387"/>
      <w:bookmarkStart w:id="294" w:name="_Toc115196355"/>
      <w:bookmarkStart w:id="295" w:name="_Toc115198856"/>
      <w:bookmarkStart w:id="296" w:name="_Toc115208871"/>
      <w:bookmarkStart w:id="297" w:name="_Toc115209007"/>
      <w:bookmarkStart w:id="298" w:name="_Toc115210338"/>
      <w:bookmarkStart w:id="299" w:name="_Toc115212563"/>
      <w:bookmarkStart w:id="300" w:name="_Toc115213203"/>
      <w:bookmarkStart w:id="301" w:name="_Toc115216701"/>
      <w:bookmarkStart w:id="302" w:name="_Toc115270392"/>
      <w:bookmarkStart w:id="303" w:name="_Toc115271335"/>
      <w:bookmarkStart w:id="304" w:name="_Toc115272252"/>
      <w:bookmarkStart w:id="305" w:name="_Toc115273146"/>
      <w:bookmarkStart w:id="306" w:name="_Toc115273350"/>
      <w:bookmarkStart w:id="307" w:name="_Toc115273422"/>
      <w:bookmarkStart w:id="308" w:name="_Toc115273346"/>
      <w:bookmarkStart w:id="309" w:name="_Toc115274603"/>
      <w:bookmarkStart w:id="310" w:name="_Toc115274829"/>
      <w:bookmarkStart w:id="311" w:name="_Toc115275186"/>
      <w:bookmarkStart w:id="312" w:name="_Toc115275329"/>
      <w:bookmarkStart w:id="313" w:name="_Toc115274166"/>
      <w:bookmarkStart w:id="314" w:name="_Toc115274467"/>
      <w:bookmarkStart w:id="315" w:name="_Toc115274535"/>
      <w:bookmarkStart w:id="316" w:name="_Toc115274693"/>
      <w:bookmarkStart w:id="317" w:name="_Toc115277427"/>
      <w:bookmarkStart w:id="318" w:name="_Toc115277631"/>
      <w:bookmarkStart w:id="319" w:name="_Toc115278520"/>
      <w:bookmarkStart w:id="320" w:name="_Toc115278600"/>
      <w:bookmarkStart w:id="321" w:name="_Toc115282270"/>
      <w:bookmarkStart w:id="322" w:name="_Toc115284723"/>
      <w:bookmarkStart w:id="323" w:name="_Toc115286815"/>
      <w:bookmarkStart w:id="324" w:name="_Toc115294749"/>
      <w:bookmarkStart w:id="325" w:name="_Toc115296329"/>
      <w:bookmarkStart w:id="326" w:name="_Toc115308515"/>
      <w:bookmarkStart w:id="327" w:name="_Toc115311167"/>
      <w:bookmarkStart w:id="328" w:name="_Toc115312647"/>
      <w:bookmarkStart w:id="329" w:name="_Toc115343821"/>
      <w:bookmarkStart w:id="330" w:name="_Toc115348259"/>
      <w:bookmarkStart w:id="331" w:name="_Toc115350357"/>
      <w:bookmarkStart w:id="332" w:name="_Toc115353445"/>
      <w:bookmarkStart w:id="333" w:name="_Toc115359476"/>
      <w:bookmarkStart w:id="334" w:name="_Toc115361880"/>
      <w:bookmarkStart w:id="335" w:name="_Toc115364273"/>
      <w:bookmarkStart w:id="336" w:name="_Toc115365367"/>
      <w:bookmarkStart w:id="337" w:name="_Toc115365639"/>
      <w:bookmarkStart w:id="338" w:name="_Toc115365707"/>
      <w:bookmarkStart w:id="339" w:name="_Toc115366171"/>
      <w:bookmarkStart w:id="340" w:name="_Toc115368544"/>
      <w:bookmarkStart w:id="341" w:name="_Toc115370061"/>
      <w:bookmarkStart w:id="342" w:name="_Toc115370727"/>
      <w:bookmarkStart w:id="343" w:name="_Toc115374366"/>
      <w:bookmarkStart w:id="344" w:name="_Toc115378705"/>
      <w:bookmarkStart w:id="345" w:name="_Toc115380937"/>
      <w:bookmarkStart w:id="346" w:name="_Toc115384089"/>
      <w:bookmarkStart w:id="347" w:name="_Toc115387318"/>
      <w:bookmarkStart w:id="348" w:name="_Toc115388784"/>
      <w:bookmarkStart w:id="349" w:name="_Toc115431422"/>
      <w:bookmarkStart w:id="350" w:name="_Toc115432800"/>
      <w:bookmarkStart w:id="351" w:name="_Toc115434371"/>
      <w:bookmarkStart w:id="352" w:name="_Toc115434470"/>
      <w:bookmarkStart w:id="353" w:name="_Toc115434539"/>
      <w:bookmarkStart w:id="354" w:name="_Toc115434608"/>
      <w:bookmarkStart w:id="355" w:name="_Toc115442778"/>
      <w:bookmarkStart w:id="356" w:name="_Toc115448021"/>
      <w:bookmarkStart w:id="357" w:name="_Toc115449413"/>
      <w:bookmarkStart w:id="358" w:name="_Toc115452433"/>
      <w:bookmarkStart w:id="359" w:name="_Toc115455250"/>
      <w:bookmarkStart w:id="360" w:name="_Toc115455316"/>
      <w:bookmarkStart w:id="361" w:name="_Toc115457266"/>
      <w:bookmarkStart w:id="362" w:name="_Toc115458102"/>
      <w:bookmarkStart w:id="363" w:name="_Toc115948130"/>
      <w:bookmarkStart w:id="364" w:name="_Toc115948577"/>
      <w:r>
        <w:t>Setting an o</w:t>
      </w:r>
      <w:r w:rsidR="00354173">
        <w:t>ffice up for s</w:t>
      </w:r>
      <w:r w:rsidR="000D4176">
        <w:t>uccess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9E90245" w14:textId="54BB228C" w:rsidR="00D25578" w:rsidRPr="00E82351" w:rsidRDefault="00D25578" w:rsidP="00D25578">
      <w:r w:rsidRPr="00E82351">
        <w:t>Contributors to this Review shared their experiences and insights into the workplace practices and culture of MoP(S) Act employment. On one hand, we heard about high-performing and professional offices with a positive culture set by the parliamentarian and senior staff. In these offices, people know what is expected of them at work, understand what they are responsible for</w:t>
      </w:r>
      <w:r w:rsidR="00B63BBC">
        <w:t>,</w:t>
      </w:r>
      <w:r w:rsidRPr="00E82351">
        <w:t xml:space="preserve"> and are held accountable for their actions and behaviour. On the other hand, we heard from current and former MoP(S) Act employees about the challenges arising in offices that are not well structured or professionally run, or where the leadership of the office did not foster a safe and respectful workplace. While there will always be variable experiences in workplaces, we consider more can be done through amendments to </w:t>
      </w:r>
      <w:r>
        <w:t>the MoP(S) Act and operations</w:t>
      </w:r>
      <w:r w:rsidRPr="00E82351">
        <w:t xml:space="preserve"> of the OPSC to embed </w:t>
      </w:r>
      <w:r>
        <w:t xml:space="preserve">a </w:t>
      </w:r>
      <w:r w:rsidRPr="00E82351">
        <w:t>consistent application of professional management practices.</w:t>
      </w:r>
    </w:p>
    <w:p w14:paraId="3B08F519" w14:textId="099E7F24" w:rsidR="00D25578" w:rsidRPr="00E82351" w:rsidRDefault="00D25578" w:rsidP="00D25578">
      <w:r w:rsidRPr="00E82351">
        <w:t>The set-up and management of parliamentary offices is</w:t>
      </w:r>
      <w:r w:rsidRPr="00E82351" w:rsidDel="009D3FED">
        <w:t xml:space="preserve"> </w:t>
      </w:r>
      <w:r w:rsidRPr="00E82351">
        <w:t xml:space="preserve">largely left to the discretion of parliamentarians and their senior employees. Some contributors to the Review, including parliamentarians, highlighted the challenge of finding themselves managing MoP(S) </w:t>
      </w:r>
      <w:r w:rsidR="00936046">
        <w:t xml:space="preserve">Act </w:t>
      </w:r>
      <w:r w:rsidRPr="00E82351">
        <w:t xml:space="preserve">employees, offices and budgets despite having no experience as a people or office manager, or being required to do so with limited corporate support. Unsurprisingly, the Review heard that when parliamentary offices are set up well, fewer human resource issues arise. And when those issues do arise in offices set up well, these issues are quickly responded to and more likely to be resolved. </w:t>
      </w:r>
    </w:p>
    <w:p w14:paraId="29869A6E" w14:textId="77777777" w:rsidR="0060412D" w:rsidRDefault="00D25578" w:rsidP="00D25578">
      <w:r w:rsidRPr="00E82351">
        <w:t xml:space="preserve">The Review considers it essential to ensure there is greater upfront investment and support provided in the setup of offices, which starts with thoughtful consideration about office structure and the mix of skills and attributes needed to fulfil the duties of the office and </w:t>
      </w:r>
      <w:r w:rsidRPr="00A42EBC">
        <w:t xml:space="preserve">foster a diverse and inclusive team. </w:t>
      </w:r>
      <w:r>
        <w:t>This will help develop a workforce that reflects the diversity of the Australian community and supports representative democracy.</w:t>
      </w:r>
      <w:r w:rsidRPr="00E82351">
        <w:t xml:space="preserve"> </w:t>
      </w:r>
    </w:p>
    <w:p w14:paraId="61AF865D" w14:textId="47A1E979" w:rsidR="00D25578" w:rsidRPr="00B14ADF" w:rsidRDefault="00D25578" w:rsidP="00D25578">
      <w:r w:rsidRPr="00E82351">
        <w:t>Related to this, the Review heard about the importance of human resource and budget management responsibilities being assigned to appropriately skilled employees within an office or employees who have the potential to develop these skills through training and development.</w:t>
      </w:r>
      <w:r>
        <w:t xml:space="preserve"> Position descriptions (based on</w:t>
      </w:r>
      <w:r w:rsidRPr="00E82351">
        <w:t xml:space="preserve"> templates and guidance from the OPSC) should be developed for each position in the context of the office as a whole</w:t>
      </w:r>
      <w:r w:rsidR="00C769EC">
        <w:t xml:space="preserve">. </w:t>
      </w:r>
      <w:r>
        <w:t xml:space="preserve">The Review considers these not </w:t>
      </w:r>
      <w:r w:rsidRPr="00E82351">
        <w:t>only</w:t>
      </w:r>
      <w:r>
        <w:t xml:space="preserve"> to</w:t>
      </w:r>
      <w:r w:rsidRPr="00E82351">
        <w:t xml:space="preserve"> be central in providing a mechanism against which to undertake an assessment of a candidate’s ability to do the job during recruitment, but </w:t>
      </w:r>
      <w:r>
        <w:t xml:space="preserve">to </w:t>
      </w:r>
      <w:r w:rsidRPr="00E82351">
        <w:t>help form the basis of discussions about expectations and performance once an employee is recruited. Parliamentarians and their st</w:t>
      </w:r>
      <w:r>
        <w:t>aff undertaking these functions</w:t>
      </w:r>
      <w:r w:rsidRPr="00E82351">
        <w:t xml:space="preserve"> should be supported to develop their management skills through training, a</w:t>
      </w:r>
      <w:r>
        <w:t>nd</w:t>
      </w:r>
      <w:r w:rsidR="00C769EC">
        <w:t xml:space="preserve"> direct support from the OPSC.</w:t>
      </w:r>
    </w:p>
    <w:p w14:paraId="25C2862A" w14:textId="60C33DBB" w:rsidR="00D25578" w:rsidRDefault="00D25578" w:rsidP="00D25578">
      <w:r>
        <w:t xml:space="preserve">It is critical that all processes be tailored to the parliamentary context, and be able to be implemented in a high pressure, time poor environment, without </w:t>
      </w:r>
      <w:r w:rsidRPr="00E82351">
        <w:t xml:space="preserve">adding </w:t>
      </w:r>
      <w:r>
        <w:t xml:space="preserve">an </w:t>
      </w:r>
      <w:r w:rsidRPr="00E82351">
        <w:t xml:space="preserve">unwarranted administrative </w:t>
      </w:r>
      <w:r>
        <w:t>burden. Offices can only be set up for success and maintain safe and respectful environments if the practices and policies developed by the OPSC are consistent with this principle, are therefore fi</w:t>
      </w:r>
      <w:r w:rsidR="00C769EC">
        <w:t>t-for-purpose</w:t>
      </w:r>
      <w:r w:rsidR="005043A0">
        <w:t>,</w:t>
      </w:r>
      <w:r w:rsidR="00C769EC">
        <w:t xml:space="preserve"> and sustainable.</w:t>
      </w:r>
    </w:p>
    <w:p w14:paraId="32A1ADB5" w14:textId="77777777" w:rsidR="00D25578" w:rsidRDefault="00D25578" w:rsidP="00E3440D">
      <w:pPr>
        <w:pStyle w:val="Heading3"/>
      </w:pPr>
      <w:r>
        <w:t>Recruitment</w:t>
      </w:r>
    </w:p>
    <w:p w14:paraId="7F91D849" w14:textId="66C05735" w:rsidR="00D25578" w:rsidRPr="005C65A1" w:rsidRDefault="00D25578" w:rsidP="00D25578">
      <w:pPr>
        <w:rPr>
          <w:highlight w:val="yellow"/>
        </w:rPr>
      </w:pPr>
      <w:r w:rsidRPr="00823E8F">
        <w:t xml:space="preserve">The Review heard </w:t>
      </w:r>
      <w:r>
        <w:t xml:space="preserve">a range of views about </w:t>
      </w:r>
      <w:r w:rsidRPr="00823E8F">
        <w:t>recruitment for MoP(S) Act employees. We heard about the</w:t>
      </w:r>
      <w:r>
        <w:t xml:space="preserve"> need for greater transparency, for greater weight to be</w:t>
      </w:r>
      <w:r w:rsidRPr="00823E8F">
        <w:t xml:space="preserve"> given to knowledge, skills, experience and attributes when considering the suitabil</w:t>
      </w:r>
      <w:r>
        <w:t xml:space="preserve">ity of an individual for a role, and how recruitment processes should be looked at as a main channel for improving the diversity of the MoP(S) Act workforce. The concept of ‘merit-based recruitment’ elicited views ranging from there being no required process, through to </w:t>
      </w:r>
      <w:r w:rsidR="00A539E9">
        <w:t>introducing</w:t>
      </w:r>
      <w:r>
        <w:t xml:space="preserve"> an APS-style merit recruitment process</w:t>
      </w:r>
      <w:r w:rsidR="00C769EC">
        <w:t xml:space="preserve"> into the MoP(S) Act framework.</w:t>
      </w:r>
      <w:r>
        <w:t xml:space="preserve"> </w:t>
      </w:r>
      <w:r w:rsidRPr="005C65A1">
        <w:t xml:space="preserve">The Review considers merit recruitment need not require a rigid process, nor </w:t>
      </w:r>
      <w:r w:rsidR="00A539E9">
        <w:t xml:space="preserve">a </w:t>
      </w:r>
      <w:r w:rsidRPr="005C65A1">
        <w:t xml:space="preserve">set of criteria for candidates that is incompatible with the day-to-day realities of parliamentary offices, but that some form of process is necessary. The MoP(S) Act should require parliamentarians to recruit staff against specified position descriptions and undertake an assessment of a candidate’s </w:t>
      </w:r>
      <w:r>
        <w:t>capacity</w:t>
      </w:r>
      <w:r w:rsidRPr="005C65A1">
        <w:t xml:space="preserve"> to successfully perform</w:t>
      </w:r>
      <w:r>
        <w:t xml:space="preserve"> a</w:t>
      </w:r>
      <w:r w:rsidRPr="005C65A1">
        <w:t xml:space="preserve"> role. </w:t>
      </w:r>
      <w:r>
        <w:t>The</w:t>
      </w:r>
      <w:r w:rsidRPr="005C65A1">
        <w:t xml:space="preserve"> OPSC </w:t>
      </w:r>
      <w:r>
        <w:t xml:space="preserve">should develop policies, </w:t>
      </w:r>
      <w:r w:rsidRPr="005C65A1">
        <w:t>guidance</w:t>
      </w:r>
      <w:r>
        <w:t xml:space="preserve"> and tailored advice</w:t>
      </w:r>
      <w:r w:rsidRPr="005C65A1">
        <w:t xml:space="preserve"> </w:t>
      </w:r>
      <w:r>
        <w:t>to support recruitment practices.</w:t>
      </w:r>
    </w:p>
    <w:p w14:paraId="19235911" w14:textId="77777777" w:rsidR="00D25578" w:rsidRDefault="00D25578" w:rsidP="00D25578">
      <w:r>
        <w:t>Although not covered by the MoP(S) Act, the Review did hear</w:t>
      </w:r>
      <w:r w:rsidRPr="00E82351">
        <w:t xml:space="preserve"> </w:t>
      </w:r>
      <w:r>
        <w:t>concerns about support for intermittent labour such as volunteers and interns</w:t>
      </w:r>
      <w:r w:rsidRPr="00E82351">
        <w:t xml:space="preserve"> in parliamentary offices</w:t>
      </w:r>
      <w:r>
        <w:t>. The Review</w:t>
      </w:r>
      <w:r w:rsidRPr="00E82351">
        <w:t xml:space="preserve"> considers it </w:t>
      </w:r>
      <w:r>
        <w:t>important to ensure this informal workforce is visible to the system and</w:t>
      </w:r>
      <w:r w:rsidRPr="00E82351">
        <w:t xml:space="preserve"> provided with </w:t>
      </w:r>
      <w:r>
        <w:t xml:space="preserve">details of support available in the event of </w:t>
      </w:r>
      <w:r w:rsidRPr="00E82351">
        <w:t xml:space="preserve">WHS </w:t>
      </w:r>
      <w:r>
        <w:t xml:space="preserve">or </w:t>
      </w:r>
      <w:r w:rsidRPr="00E82351">
        <w:t xml:space="preserve">workplace issues. We </w:t>
      </w:r>
      <w:r>
        <w:t xml:space="preserve">therefore </w:t>
      </w:r>
      <w:r w:rsidRPr="00E82351">
        <w:t>recommend that parliamentarians be required to notify the OPSC</w:t>
      </w:r>
      <w:r w:rsidRPr="00E82351" w:rsidDel="00BD7961">
        <w:t xml:space="preserve"> </w:t>
      </w:r>
      <w:r w:rsidRPr="00E82351">
        <w:t>when any person not engaged under the MoP(S)</w:t>
      </w:r>
      <w:r>
        <w:t> </w:t>
      </w:r>
      <w:r w:rsidRPr="00E82351">
        <w:t>Act commences working in their office</w:t>
      </w:r>
      <w:r>
        <w:t xml:space="preserve">. </w:t>
      </w:r>
    </w:p>
    <w:p w14:paraId="68107023" w14:textId="77777777" w:rsidR="00DD097B" w:rsidRPr="00E82351" w:rsidRDefault="00DD097B" w:rsidP="00D25578"/>
    <w:p w14:paraId="35B44C9D" w14:textId="45B1920E" w:rsidR="005F5E33" w:rsidRDefault="005F5E33" w:rsidP="005F5E33">
      <w:pPr>
        <w:pStyle w:val="Heading2"/>
      </w:pPr>
      <w:bookmarkStart w:id="365" w:name="_Toc114230851"/>
      <w:bookmarkStart w:id="366" w:name="_Toc114232908"/>
      <w:bookmarkStart w:id="367" w:name="_Toc114233556"/>
      <w:bookmarkStart w:id="368" w:name="_Toc114233628"/>
      <w:bookmarkStart w:id="369" w:name="_Toc114233770"/>
      <w:bookmarkStart w:id="370" w:name="_Toc114240583"/>
      <w:bookmarkStart w:id="371" w:name="_Toc114240657"/>
      <w:bookmarkStart w:id="372" w:name="_Toc114241001"/>
      <w:bookmarkStart w:id="373" w:name="_Toc114500275"/>
      <w:bookmarkStart w:id="374" w:name="_Toc114500350"/>
      <w:bookmarkStart w:id="375" w:name="_Toc114518623"/>
      <w:bookmarkStart w:id="376" w:name="_Toc114520295"/>
      <w:bookmarkStart w:id="377" w:name="_Toc114520704"/>
      <w:bookmarkStart w:id="378" w:name="_Toc114565732"/>
      <w:bookmarkStart w:id="379" w:name="_Toc114566713"/>
      <w:bookmarkStart w:id="380" w:name="_Toc114566938"/>
      <w:bookmarkStart w:id="381" w:name="_Toc114566862"/>
      <w:bookmarkStart w:id="382" w:name="_Toc114585863"/>
      <w:bookmarkStart w:id="383" w:name="_Toc114586007"/>
      <w:bookmarkStart w:id="384" w:name="_Toc114586079"/>
      <w:bookmarkStart w:id="385" w:name="_Toc114601219"/>
      <w:bookmarkStart w:id="386" w:name="_Toc114657260"/>
      <w:bookmarkStart w:id="387" w:name="_Toc114659722"/>
      <w:bookmarkStart w:id="388" w:name="_Toc114662707"/>
      <w:bookmarkStart w:id="389" w:name="_Toc114665091"/>
      <w:bookmarkStart w:id="390" w:name="_Toc114672400"/>
      <w:bookmarkStart w:id="391" w:name="_Toc114672612"/>
      <w:bookmarkStart w:id="392" w:name="_Toc114673167"/>
      <w:bookmarkStart w:id="393" w:name="_Toc114674278"/>
      <w:bookmarkStart w:id="394" w:name="_Toc114687451"/>
      <w:bookmarkStart w:id="395" w:name="_Toc114689915"/>
      <w:bookmarkStart w:id="396" w:name="_Toc114731778"/>
      <w:bookmarkStart w:id="397" w:name="_Toc114733543"/>
      <w:bookmarkStart w:id="398" w:name="_Toc114735484"/>
      <w:bookmarkStart w:id="399" w:name="_Toc114755814"/>
      <w:bookmarkStart w:id="400" w:name="_Toc114757119"/>
      <w:bookmarkStart w:id="401" w:name="_Toc114757403"/>
      <w:bookmarkStart w:id="402" w:name="_Toc114757505"/>
      <w:bookmarkStart w:id="403" w:name="_Toc114758178"/>
      <w:bookmarkStart w:id="404" w:name="_Toc114824348"/>
      <w:bookmarkStart w:id="405" w:name="_Toc114829424"/>
      <w:bookmarkStart w:id="406" w:name="_Toc114829755"/>
      <w:bookmarkStart w:id="407" w:name="_Toc114829932"/>
      <w:bookmarkStart w:id="408" w:name="_Toc115099011"/>
      <w:bookmarkStart w:id="409" w:name="_Toc115099083"/>
      <w:bookmarkStart w:id="410" w:name="_Toc115101660"/>
      <w:bookmarkStart w:id="411" w:name="_Toc115102505"/>
      <w:bookmarkStart w:id="412" w:name="_Toc115105478"/>
      <w:bookmarkStart w:id="413" w:name="_Toc115110339"/>
      <w:bookmarkStart w:id="414" w:name="_Toc115110466"/>
      <w:bookmarkStart w:id="415" w:name="_Toc115121584"/>
      <w:bookmarkStart w:id="416" w:name="_Toc115121954"/>
      <w:bookmarkStart w:id="417" w:name="_Toc115123434"/>
      <w:bookmarkStart w:id="418" w:name="_Toc115123682"/>
      <w:bookmarkStart w:id="419" w:name="_Toc115126814"/>
      <w:bookmarkStart w:id="420" w:name="_Toc115185451"/>
      <w:bookmarkStart w:id="421" w:name="_Toc115186078"/>
      <w:bookmarkStart w:id="422" w:name="_Toc115189236"/>
      <w:bookmarkStart w:id="423" w:name="_Toc115194209"/>
      <w:bookmarkStart w:id="424" w:name="_Toc115194946"/>
      <w:bookmarkStart w:id="425" w:name="_Toc115195388"/>
      <w:bookmarkStart w:id="426" w:name="_Toc115196356"/>
      <w:bookmarkStart w:id="427" w:name="_Toc115198857"/>
      <w:bookmarkStart w:id="428" w:name="_Toc115208872"/>
      <w:bookmarkStart w:id="429" w:name="_Toc115209008"/>
      <w:bookmarkStart w:id="430" w:name="_Toc115210339"/>
      <w:bookmarkStart w:id="431" w:name="_Toc115212564"/>
      <w:bookmarkStart w:id="432" w:name="_Toc115213204"/>
      <w:bookmarkStart w:id="433" w:name="_Toc115216702"/>
      <w:bookmarkStart w:id="434" w:name="_Toc115270393"/>
      <w:bookmarkStart w:id="435" w:name="_Toc115271336"/>
      <w:bookmarkStart w:id="436" w:name="_Toc115272253"/>
      <w:bookmarkStart w:id="437" w:name="_Toc115273147"/>
      <w:bookmarkStart w:id="438" w:name="_Toc115273351"/>
      <w:bookmarkStart w:id="439" w:name="_Toc115273423"/>
      <w:bookmarkStart w:id="440" w:name="_Toc115273347"/>
      <w:bookmarkStart w:id="441" w:name="_Toc115274604"/>
      <w:bookmarkStart w:id="442" w:name="_Toc115274830"/>
      <w:bookmarkStart w:id="443" w:name="_Toc115275187"/>
      <w:bookmarkStart w:id="444" w:name="_Toc115275330"/>
      <w:bookmarkStart w:id="445" w:name="_Toc115274167"/>
      <w:bookmarkStart w:id="446" w:name="_Toc115274468"/>
      <w:bookmarkStart w:id="447" w:name="_Toc115274536"/>
      <w:bookmarkStart w:id="448" w:name="_Toc115274694"/>
      <w:bookmarkStart w:id="449" w:name="_Toc115277428"/>
      <w:bookmarkStart w:id="450" w:name="_Toc115277632"/>
      <w:bookmarkStart w:id="451" w:name="_Toc115278521"/>
      <w:bookmarkStart w:id="452" w:name="_Toc115278601"/>
      <w:bookmarkStart w:id="453" w:name="_Toc115282271"/>
      <w:bookmarkStart w:id="454" w:name="_Toc115284724"/>
      <w:bookmarkStart w:id="455" w:name="_Toc115286816"/>
      <w:bookmarkStart w:id="456" w:name="_Toc115294750"/>
      <w:bookmarkStart w:id="457" w:name="_Toc115296330"/>
      <w:bookmarkStart w:id="458" w:name="_Toc115308516"/>
      <w:bookmarkStart w:id="459" w:name="_Toc115311168"/>
      <w:bookmarkStart w:id="460" w:name="_Toc115312648"/>
      <w:bookmarkStart w:id="461" w:name="_Toc115343822"/>
      <w:bookmarkStart w:id="462" w:name="_Toc115348260"/>
      <w:bookmarkStart w:id="463" w:name="_Toc115350358"/>
      <w:bookmarkStart w:id="464" w:name="_Toc115353446"/>
      <w:bookmarkStart w:id="465" w:name="_Toc115359477"/>
      <w:bookmarkStart w:id="466" w:name="_Toc115361881"/>
      <w:bookmarkStart w:id="467" w:name="_Toc115364274"/>
      <w:bookmarkStart w:id="468" w:name="_Toc115365368"/>
      <w:bookmarkStart w:id="469" w:name="_Toc115365640"/>
      <w:bookmarkStart w:id="470" w:name="_Toc115365708"/>
      <w:bookmarkStart w:id="471" w:name="_Toc115366172"/>
      <w:bookmarkStart w:id="472" w:name="_Toc115368545"/>
      <w:bookmarkStart w:id="473" w:name="_Toc115370062"/>
      <w:bookmarkStart w:id="474" w:name="_Toc115370728"/>
      <w:bookmarkStart w:id="475" w:name="_Toc115374367"/>
      <w:bookmarkStart w:id="476" w:name="_Toc115378706"/>
      <w:bookmarkStart w:id="477" w:name="_Toc115380938"/>
      <w:bookmarkStart w:id="478" w:name="_Toc115384090"/>
      <w:bookmarkStart w:id="479" w:name="_Toc115387319"/>
      <w:bookmarkStart w:id="480" w:name="_Toc115388785"/>
      <w:bookmarkStart w:id="481" w:name="_Toc115431423"/>
      <w:bookmarkStart w:id="482" w:name="_Toc115432801"/>
      <w:bookmarkStart w:id="483" w:name="_Toc115434372"/>
      <w:bookmarkStart w:id="484" w:name="_Toc115434471"/>
      <w:bookmarkStart w:id="485" w:name="_Toc115434540"/>
      <w:bookmarkStart w:id="486" w:name="_Toc115434609"/>
      <w:bookmarkStart w:id="487" w:name="_Toc115442779"/>
      <w:bookmarkStart w:id="488" w:name="_Toc115448022"/>
      <w:bookmarkStart w:id="489" w:name="_Toc115449414"/>
      <w:bookmarkStart w:id="490" w:name="_Toc115452434"/>
      <w:bookmarkStart w:id="491" w:name="_Toc115455251"/>
      <w:bookmarkStart w:id="492" w:name="_Toc115455317"/>
      <w:bookmarkStart w:id="493" w:name="_Toc115457267"/>
      <w:bookmarkStart w:id="494" w:name="_Toc115458103"/>
      <w:bookmarkStart w:id="495" w:name="_Toc115948131"/>
      <w:bookmarkStart w:id="496" w:name="_Toc115948578"/>
      <w:r>
        <w:t xml:space="preserve">Accountabilities, </w:t>
      </w:r>
      <w:r w:rsidR="005E094B">
        <w:t>e</w:t>
      </w:r>
      <w:r>
        <w:t xml:space="preserve">xpectations and </w:t>
      </w:r>
      <w:r w:rsidR="005E094B">
        <w:t>r</w:t>
      </w:r>
      <w:r>
        <w:t>esponsibilities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50DCD84D" w14:textId="77777777" w:rsidR="00D25578" w:rsidRPr="00E82351" w:rsidRDefault="00D25578" w:rsidP="00D25578">
      <w:r w:rsidRPr="00E82351">
        <w:t>A recurring theme from the Foster and Jenkins Reviews and throughout these consultations is that a no tolerance approach to poor workplace behaviours needs to be articulated and that eradication of those behaviours needs enduring leadership. Contributors told us about times when they were mistreated at work, or witnessed unacceptable behaviour in their workplace, with those responsible frequently not held to account. For them, the MoP(S) Act employment framework did not provide sufficient guidance or support to employees or employing parliamentarians about the expectations, obligatio</w:t>
      </w:r>
      <w:r>
        <w:t>ns or responsibilities attached</w:t>
      </w:r>
      <w:r w:rsidRPr="00E82351">
        <w:t xml:space="preserve"> to their roles.</w:t>
      </w:r>
    </w:p>
    <w:p w14:paraId="4362EE8B" w14:textId="18C362C0" w:rsidR="00D25578" w:rsidRPr="00E82351" w:rsidRDefault="00D25578" w:rsidP="00D25578">
      <w:r>
        <w:t>The Review acknowledges</w:t>
      </w:r>
      <w:r w:rsidRPr="00E82351">
        <w:t xml:space="preserve"> issues around unacceptable behaviours and accountability. Significant reform is being made to the overarching MoP(S) Act framework concurrent with</w:t>
      </w:r>
      <w:r>
        <w:t>,</w:t>
      </w:r>
      <w:r w:rsidRPr="00E82351">
        <w:t xml:space="preserve"> but separate to</w:t>
      </w:r>
      <w:r>
        <w:t>,</w:t>
      </w:r>
      <w:r w:rsidRPr="00E82351">
        <w:t xml:space="preserve"> this </w:t>
      </w:r>
      <w:r>
        <w:t>R</w:t>
      </w:r>
      <w:r w:rsidRPr="00E82351">
        <w:t xml:space="preserve">eview. Our recommendations are not intended, in and of themselves, to respond to all of the issues that we heard, but are designed to work alongside the implementation of other recommendations in </w:t>
      </w:r>
      <w:r w:rsidRPr="00E82351">
        <w:rPr>
          <w:i/>
        </w:rPr>
        <w:t xml:space="preserve">Set the Standard </w:t>
      </w:r>
      <w:r w:rsidRPr="00E82351">
        <w:t xml:space="preserve">and remedy other gaps in the MoP(S) Act we have identified. In particular, the Review supports the work of the Joint Select Committee on Parliamentary Standards to develop codes of conduct for Commonwealth parliamentary workplaces and </w:t>
      </w:r>
      <w:r>
        <w:t xml:space="preserve">recommend options </w:t>
      </w:r>
      <w:r w:rsidRPr="00E82351">
        <w:t>for enforcing these codes; the role of the proposed OPSC, which as part of its cultural change function will also have a role in promoting the codes of conduct; and the establishment of the IPSC to handle investigations of misconduct and enforce codes of conduct.</w:t>
      </w:r>
    </w:p>
    <w:p w14:paraId="45662BE7" w14:textId="77777777" w:rsidR="00D25578" w:rsidRPr="00E82351" w:rsidRDefault="00D25578" w:rsidP="00D25578">
      <w:r w:rsidRPr="00E82351">
        <w:t>The Review considers it important for the Act to include express employment principles around the desired and expected workplace culture</w:t>
      </w:r>
      <w:r>
        <w:t>. These are</w:t>
      </w:r>
      <w:r w:rsidRPr="00E82351">
        <w:t xml:space="preserve"> increasingly common in modern workplaces and can be found in other Commonwealth employment legislation. </w:t>
      </w:r>
      <w:r>
        <w:t xml:space="preserve">We heard consistently that </w:t>
      </w:r>
      <w:r w:rsidRPr="00E82351">
        <w:t xml:space="preserve">parliamentarians, in their role as employers on behalf of the Commonwealth, and MoP(S) Act employees, were </w:t>
      </w:r>
      <w:r>
        <w:t>unclear on their obligations. T</w:t>
      </w:r>
      <w:r w:rsidRPr="00E82351">
        <w:t>he Act should set out the core expectations and obligations of both employing parliamentarians and MoP(S) Act employees in the workplace.</w:t>
      </w:r>
    </w:p>
    <w:p w14:paraId="607F118E" w14:textId="77777777" w:rsidR="005F5E33" w:rsidRDefault="00D25578" w:rsidP="00F55DC4">
      <w:r w:rsidRPr="00E82351">
        <w:t xml:space="preserve">Many contributors talked about a lack of </w:t>
      </w:r>
      <w:r w:rsidR="00123219">
        <w:t>transparency</w:t>
      </w:r>
      <w:r w:rsidRPr="00E82351">
        <w:t xml:space="preserve"> in relation to employment under the MoP(S)</w:t>
      </w:r>
      <w:r>
        <w:t> </w:t>
      </w:r>
      <w:r w:rsidRPr="00E82351">
        <w:t>Act, and we note that there</w:t>
      </w:r>
      <w:r w:rsidR="00123219">
        <w:t xml:space="preserve"> is no requirement to report publicly on matters relating to the</w:t>
      </w:r>
      <w:r w:rsidR="00D41F05">
        <w:t xml:space="preserve"> administration of the Act. The sole reporting requirement legislated by the MoP(S) Act is a requirement </w:t>
      </w:r>
      <w:r w:rsidR="00123219">
        <w:t xml:space="preserve">to report annually on </w:t>
      </w:r>
      <w:r w:rsidR="00D41F05">
        <w:t xml:space="preserve">the </w:t>
      </w:r>
      <w:r w:rsidR="00100999">
        <w:t>engagement</w:t>
      </w:r>
      <w:r w:rsidR="00123219">
        <w:t xml:space="preserve"> of ministerial consultants</w:t>
      </w:r>
      <w:r w:rsidR="00100999">
        <w:t xml:space="preserve"> (who have not been engaged at </w:t>
      </w:r>
      <w:r w:rsidR="00100999" w:rsidRPr="00DC2C98">
        <w:t xml:space="preserve">all </w:t>
      </w:r>
      <w:r w:rsidRPr="00DC2C98">
        <w:t>since 2006).</w:t>
      </w:r>
      <w:r w:rsidR="00123219">
        <w:t xml:space="preserve"> Annual reports with detailed data on the MoP(S) Act framework were previously tabled in parliament, but this practice ceased in 2013. The current situation is out of step with the accountability and transparency requirements </w:t>
      </w:r>
      <w:r w:rsidR="00BC743D">
        <w:t xml:space="preserve">that apply </w:t>
      </w:r>
      <w:r w:rsidR="00123219">
        <w:t xml:space="preserve">in other areas of Commonwealth employment and expenditure. </w:t>
      </w:r>
      <w:r w:rsidRPr="00E82351">
        <w:t xml:space="preserve">We note and support the </w:t>
      </w:r>
      <w:r w:rsidR="00990E62">
        <w:rPr>
          <w:i/>
        </w:rPr>
        <w:t xml:space="preserve">Set the Standard </w:t>
      </w:r>
      <w:r w:rsidR="00123219">
        <w:t>r</w:t>
      </w:r>
      <w:r w:rsidR="00990E62">
        <w:t>ecom</w:t>
      </w:r>
      <w:r w:rsidR="00123219">
        <w:t>mendations about what the OPSC should</w:t>
      </w:r>
      <w:r w:rsidR="00990E62">
        <w:t xml:space="preserve"> report</w:t>
      </w:r>
      <w:r w:rsidR="00261D76">
        <w:t xml:space="preserve"> upon</w:t>
      </w:r>
      <w:r w:rsidRPr="00E82351">
        <w:t xml:space="preserve"> annually</w:t>
      </w:r>
      <w:r w:rsidR="00261D76">
        <w:t xml:space="preserve">, and identify additional metrics for the OPSC to </w:t>
      </w:r>
      <w:r w:rsidR="00A539E9">
        <w:t xml:space="preserve">consider </w:t>
      </w:r>
      <w:r w:rsidR="00A539E9" w:rsidRPr="00E82351">
        <w:t>collect</w:t>
      </w:r>
      <w:r w:rsidR="00A539E9">
        <w:t>ing</w:t>
      </w:r>
      <w:r w:rsidRPr="00E82351">
        <w:t xml:space="preserve"> to provide a transparent account of the MoP(S) Act employment framework.</w:t>
      </w:r>
    </w:p>
    <w:p w14:paraId="45D760B1" w14:textId="77777777" w:rsidR="00DD097B" w:rsidRDefault="00DD097B" w:rsidP="00F55DC4"/>
    <w:p w14:paraId="05D14FED" w14:textId="473191E7" w:rsidR="005F5E33" w:rsidRDefault="005F5E33" w:rsidP="005F5E33">
      <w:pPr>
        <w:pStyle w:val="Heading2"/>
      </w:pPr>
      <w:bookmarkStart w:id="497" w:name="_Toc114230852"/>
      <w:bookmarkStart w:id="498" w:name="_Toc114232909"/>
      <w:bookmarkStart w:id="499" w:name="_Toc114233557"/>
      <w:bookmarkStart w:id="500" w:name="_Toc114233629"/>
      <w:bookmarkStart w:id="501" w:name="_Toc114240584"/>
      <w:bookmarkStart w:id="502" w:name="_Toc114240658"/>
      <w:bookmarkStart w:id="503" w:name="_Toc114241002"/>
      <w:bookmarkStart w:id="504" w:name="_Toc114493875"/>
      <w:bookmarkStart w:id="505" w:name="_Toc114500276"/>
      <w:bookmarkStart w:id="506" w:name="_Toc114500351"/>
      <w:bookmarkStart w:id="507" w:name="_Toc114518624"/>
      <w:bookmarkStart w:id="508" w:name="_Toc114520296"/>
      <w:bookmarkStart w:id="509" w:name="_Toc114520705"/>
      <w:bookmarkStart w:id="510" w:name="_Toc114565733"/>
      <w:bookmarkStart w:id="511" w:name="_Toc114566714"/>
      <w:bookmarkStart w:id="512" w:name="_Toc114566939"/>
      <w:bookmarkStart w:id="513" w:name="_Toc114566863"/>
      <w:bookmarkStart w:id="514" w:name="_Toc114585864"/>
      <w:bookmarkStart w:id="515" w:name="_Toc114586008"/>
      <w:bookmarkStart w:id="516" w:name="_Toc114586080"/>
      <w:bookmarkStart w:id="517" w:name="_Toc114601220"/>
      <w:bookmarkStart w:id="518" w:name="_Toc114657261"/>
      <w:bookmarkStart w:id="519" w:name="_Toc114659723"/>
      <w:bookmarkStart w:id="520" w:name="_Toc114662708"/>
      <w:bookmarkStart w:id="521" w:name="_Toc114665092"/>
      <w:bookmarkStart w:id="522" w:name="_Toc114672401"/>
      <w:bookmarkStart w:id="523" w:name="_Toc114672613"/>
      <w:bookmarkStart w:id="524" w:name="_Toc114673168"/>
      <w:bookmarkStart w:id="525" w:name="_Toc114674279"/>
      <w:bookmarkStart w:id="526" w:name="_Toc114687452"/>
      <w:bookmarkStart w:id="527" w:name="_Toc114689916"/>
      <w:bookmarkStart w:id="528" w:name="_Toc114731779"/>
      <w:bookmarkStart w:id="529" w:name="_Toc114733544"/>
      <w:bookmarkStart w:id="530" w:name="_Toc114735485"/>
      <w:bookmarkStart w:id="531" w:name="_Toc114755815"/>
      <w:bookmarkStart w:id="532" w:name="_Toc114757120"/>
      <w:bookmarkStart w:id="533" w:name="_Toc114757404"/>
      <w:bookmarkStart w:id="534" w:name="_Toc114757506"/>
      <w:bookmarkStart w:id="535" w:name="_Toc114758179"/>
      <w:bookmarkStart w:id="536" w:name="_Toc114824349"/>
      <w:bookmarkStart w:id="537" w:name="_Toc114829425"/>
      <w:bookmarkStart w:id="538" w:name="_Toc114829756"/>
      <w:bookmarkStart w:id="539" w:name="_Toc114829933"/>
      <w:bookmarkStart w:id="540" w:name="_Toc115099012"/>
      <w:bookmarkStart w:id="541" w:name="_Toc115099084"/>
      <w:bookmarkStart w:id="542" w:name="_Toc115101661"/>
      <w:bookmarkStart w:id="543" w:name="_Toc115102506"/>
      <w:bookmarkStart w:id="544" w:name="_Toc115105479"/>
      <w:bookmarkStart w:id="545" w:name="_Toc115110340"/>
      <w:bookmarkStart w:id="546" w:name="_Toc115110467"/>
      <w:bookmarkStart w:id="547" w:name="_Toc115121585"/>
      <w:bookmarkStart w:id="548" w:name="_Toc115121955"/>
      <w:bookmarkStart w:id="549" w:name="_Toc115123435"/>
      <w:bookmarkStart w:id="550" w:name="_Toc115123683"/>
      <w:bookmarkStart w:id="551" w:name="_Toc115126815"/>
      <w:bookmarkStart w:id="552" w:name="_Toc115185452"/>
      <w:bookmarkStart w:id="553" w:name="_Toc115186079"/>
      <w:bookmarkStart w:id="554" w:name="_Toc115189237"/>
      <w:bookmarkStart w:id="555" w:name="_Toc115194210"/>
      <w:bookmarkStart w:id="556" w:name="_Toc115194947"/>
      <w:bookmarkStart w:id="557" w:name="_Toc115195389"/>
      <w:bookmarkStart w:id="558" w:name="_Toc115196357"/>
      <w:bookmarkStart w:id="559" w:name="_Toc115198858"/>
      <w:bookmarkStart w:id="560" w:name="_Toc115208873"/>
      <w:bookmarkStart w:id="561" w:name="_Toc115209009"/>
      <w:bookmarkStart w:id="562" w:name="_Toc115210340"/>
      <w:bookmarkStart w:id="563" w:name="_Toc115212565"/>
      <w:bookmarkStart w:id="564" w:name="_Toc115213205"/>
      <w:bookmarkStart w:id="565" w:name="_Toc115216703"/>
      <w:bookmarkStart w:id="566" w:name="_Toc115270394"/>
      <w:bookmarkStart w:id="567" w:name="_Toc115271337"/>
      <w:bookmarkStart w:id="568" w:name="_Toc115272254"/>
      <w:bookmarkStart w:id="569" w:name="_Toc115273424"/>
      <w:bookmarkStart w:id="570" w:name="_Toc115273352"/>
      <w:bookmarkStart w:id="571" w:name="_Toc115274605"/>
      <w:bookmarkStart w:id="572" w:name="_Toc115274831"/>
      <w:bookmarkStart w:id="573" w:name="_Toc115275188"/>
      <w:bookmarkStart w:id="574" w:name="_Toc115275331"/>
      <w:bookmarkStart w:id="575" w:name="_Toc115274168"/>
      <w:bookmarkStart w:id="576" w:name="_Toc115274469"/>
      <w:bookmarkStart w:id="577" w:name="_Toc115274537"/>
      <w:bookmarkStart w:id="578" w:name="_Toc115274695"/>
      <w:bookmarkStart w:id="579" w:name="_Toc115277429"/>
      <w:bookmarkStart w:id="580" w:name="_Toc115277633"/>
      <w:bookmarkStart w:id="581" w:name="_Toc115278522"/>
      <w:bookmarkStart w:id="582" w:name="_Toc115278602"/>
      <w:bookmarkStart w:id="583" w:name="_Toc115282272"/>
      <w:bookmarkStart w:id="584" w:name="_Toc115284725"/>
      <w:bookmarkStart w:id="585" w:name="_Toc115286817"/>
      <w:bookmarkStart w:id="586" w:name="_Toc115294751"/>
      <w:bookmarkStart w:id="587" w:name="_Toc115296331"/>
      <w:bookmarkStart w:id="588" w:name="_Toc115308517"/>
      <w:bookmarkStart w:id="589" w:name="_Toc115311169"/>
      <w:bookmarkStart w:id="590" w:name="_Toc115312649"/>
      <w:bookmarkStart w:id="591" w:name="_Toc115343823"/>
      <w:bookmarkStart w:id="592" w:name="_Toc115348261"/>
      <w:bookmarkStart w:id="593" w:name="_Toc115350359"/>
      <w:bookmarkStart w:id="594" w:name="_Toc115353447"/>
      <w:bookmarkStart w:id="595" w:name="_Toc115359478"/>
      <w:bookmarkStart w:id="596" w:name="_Toc115361882"/>
      <w:bookmarkStart w:id="597" w:name="_Toc115364275"/>
      <w:bookmarkStart w:id="598" w:name="_Toc115365369"/>
      <w:bookmarkStart w:id="599" w:name="_Toc115365641"/>
      <w:bookmarkStart w:id="600" w:name="_Toc115365709"/>
      <w:bookmarkStart w:id="601" w:name="_Toc115366173"/>
      <w:bookmarkStart w:id="602" w:name="_Toc115368546"/>
      <w:bookmarkStart w:id="603" w:name="_Toc115370063"/>
      <w:bookmarkStart w:id="604" w:name="_Toc115370729"/>
      <w:bookmarkStart w:id="605" w:name="_Toc115374368"/>
      <w:bookmarkStart w:id="606" w:name="_Toc115378707"/>
      <w:bookmarkStart w:id="607" w:name="_Toc115380939"/>
      <w:bookmarkStart w:id="608" w:name="_Toc115384091"/>
      <w:bookmarkStart w:id="609" w:name="_Toc115387320"/>
      <w:bookmarkStart w:id="610" w:name="_Toc115388786"/>
      <w:bookmarkStart w:id="611" w:name="_Toc115431424"/>
      <w:bookmarkStart w:id="612" w:name="_Toc115432802"/>
      <w:bookmarkStart w:id="613" w:name="_Toc115434373"/>
      <w:bookmarkStart w:id="614" w:name="_Toc115434472"/>
      <w:bookmarkStart w:id="615" w:name="_Toc115434541"/>
      <w:bookmarkStart w:id="616" w:name="_Toc115434610"/>
      <w:bookmarkStart w:id="617" w:name="_Toc115442780"/>
      <w:bookmarkStart w:id="618" w:name="_Toc115448023"/>
      <w:bookmarkStart w:id="619" w:name="_Toc115449415"/>
      <w:bookmarkStart w:id="620" w:name="_Toc115452435"/>
      <w:bookmarkStart w:id="621" w:name="_Toc115455252"/>
      <w:bookmarkStart w:id="622" w:name="_Toc115455318"/>
      <w:bookmarkStart w:id="623" w:name="_Toc115457268"/>
      <w:bookmarkStart w:id="624" w:name="_Toc115458104"/>
      <w:bookmarkStart w:id="625" w:name="_Toc115948132"/>
      <w:bookmarkStart w:id="626" w:name="_Toc115948579"/>
      <w:r>
        <w:t xml:space="preserve">Employment </w:t>
      </w:r>
      <w:r w:rsidR="005E094B">
        <w:t>s</w:t>
      </w:r>
      <w:r>
        <w:t>eparation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522C472" w14:textId="5C1AB70F" w:rsidR="00D25578" w:rsidRPr="00E82351" w:rsidRDefault="00D25578" w:rsidP="00D25578">
      <w:r>
        <w:t xml:space="preserve">There is a strong perception – backed up by observed or lived experience </w:t>
      </w:r>
      <w:r w:rsidR="00A539E9">
        <w:t>-</w:t>
      </w:r>
      <w:r>
        <w:t xml:space="preserve"> </w:t>
      </w:r>
      <w:r w:rsidRPr="00E82351">
        <w:t>that termination by parliamentarians is too easy and often lacks procedural fairness</w:t>
      </w:r>
      <w:r>
        <w:t>. E</w:t>
      </w:r>
      <w:r w:rsidRPr="00E82351">
        <w:t>qually we heard</w:t>
      </w:r>
      <w:r>
        <w:t xml:space="preserve"> concern to ensure that any </w:t>
      </w:r>
      <w:r w:rsidRPr="00E82351">
        <w:t xml:space="preserve">processes required to be followed to terminate an employee </w:t>
      </w:r>
      <w:r w:rsidR="00A539E9">
        <w:t>should not be</w:t>
      </w:r>
      <w:r>
        <w:t xml:space="preserve"> lengthy and onerous, and un</w:t>
      </w:r>
      <w:r w:rsidRPr="00E82351">
        <w:t>workable in small workplaces. Despite the legislative changes made in February this year (</w:t>
      </w:r>
      <w:r w:rsidRPr="00E82351">
        <w:rPr>
          <w:i/>
        </w:rPr>
        <w:t>Parliamentary</w:t>
      </w:r>
      <w:r w:rsidRPr="00E82351">
        <w:t xml:space="preserve"> </w:t>
      </w:r>
      <w:r w:rsidRPr="00E82351">
        <w:rPr>
          <w:i/>
        </w:rPr>
        <w:t>Workplace Reform (</w:t>
      </w:r>
      <w:r w:rsidRPr="00E82351" w:rsidDel="00142173">
        <w:rPr>
          <w:i/>
        </w:rPr>
        <w:t>Set the Standard</w:t>
      </w:r>
      <w:r w:rsidRPr="00E82351">
        <w:rPr>
          <w:i/>
        </w:rPr>
        <w:t xml:space="preserve"> Measures No. 1) Act 2022</w:t>
      </w:r>
      <w:r w:rsidRPr="00E82351">
        <w:t xml:space="preserve">) to require the parliamentarian to specify the ground/s for termination in any written termination notice, more support is required for both parliamentarians and staff to ensure that there is (a) a process, and (b) reasons are provided in the termination process. While termination data did not demonstrate a significant issue, we heard staff were reluctant to raise workplace issues out of fear of being terminated. In addition to the </w:t>
      </w:r>
      <w:r>
        <w:t xml:space="preserve">support </w:t>
      </w:r>
      <w:r w:rsidRPr="00E82351">
        <w:t xml:space="preserve">the OPSC can provide </w:t>
      </w:r>
      <w:r>
        <w:t>to</w:t>
      </w:r>
      <w:r w:rsidRPr="00E82351">
        <w:t xml:space="preserve"> an office to deal with workplace issues early</w:t>
      </w:r>
      <w:r>
        <w:t xml:space="preserve"> and professionally and educate employers about their obligations,</w:t>
      </w:r>
      <w:r w:rsidRPr="00E82351">
        <w:t xml:space="preserve"> parliamentarians should be required to consult with the OPSC </w:t>
      </w:r>
      <w:r w:rsidR="00963A4E">
        <w:t xml:space="preserve">on best practice </w:t>
      </w:r>
      <w:r w:rsidRPr="00E82351">
        <w:t>prior to a termination being effected.</w:t>
      </w:r>
    </w:p>
    <w:p w14:paraId="41D70642" w14:textId="77777777" w:rsidR="00D25578" w:rsidRPr="00E82351" w:rsidRDefault="00D25578" w:rsidP="00D25578">
      <w:r w:rsidRPr="00E82351">
        <w:t>Whil</w:t>
      </w:r>
      <w:r>
        <w:t>e</w:t>
      </w:r>
      <w:r w:rsidRPr="00E82351">
        <w:t xml:space="preserve"> </w:t>
      </w:r>
      <w:r>
        <w:t xml:space="preserve">a </w:t>
      </w:r>
      <w:r w:rsidRPr="00E82351">
        <w:t>lack of procedural fairness was highlighted</w:t>
      </w:r>
      <w:r>
        <w:t xml:space="preserve"> in the Review</w:t>
      </w:r>
      <w:r w:rsidRPr="00E82351">
        <w:t xml:space="preserve">, </w:t>
      </w:r>
      <w:r>
        <w:t>so was</w:t>
      </w:r>
      <w:r w:rsidRPr="00E82351">
        <w:t xml:space="preserve"> the need for parliamentarians to act quickly and efficiently in certain circumstances. For example, where a workplace safety issue arises, an employee may need to be removed </w:t>
      </w:r>
      <w:r>
        <w:t>from the workplace</w:t>
      </w:r>
      <w:r w:rsidRPr="00E82351">
        <w:t xml:space="preserve"> immediately</w:t>
      </w:r>
      <w:r>
        <w:t>. Suspension of employment is not expressly provided for nor used in</w:t>
      </w:r>
      <w:r w:rsidRPr="00E82351">
        <w:t xml:space="preserve"> the current </w:t>
      </w:r>
      <w:r>
        <w:t xml:space="preserve">MoP(S) </w:t>
      </w:r>
      <w:r w:rsidRPr="00E82351">
        <w:t>framework</w:t>
      </w:r>
      <w:r>
        <w:t>, although the Review found examples of this in</w:t>
      </w:r>
      <w:r w:rsidRPr="00E82351">
        <w:t xml:space="preserve"> modern workplaces</w:t>
      </w:r>
      <w:r>
        <w:t xml:space="preserve"> and MoP(S) Act equivalent legislation in other jurisdictions. The Review considers suspension of employees from the workplace presents an alternative to termination which allows both immediate risks to be addressed and enables </w:t>
      </w:r>
      <w:r w:rsidRPr="00E82351">
        <w:t>proper process</w:t>
      </w:r>
      <w:r>
        <w:t>es</w:t>
      </w:r>
      <w:r w:rsidRPr="00E82351">
        <w:t xml:space="preserve"> to be followed</w:t>
      </w:r>
      <w:r>
        <w:t>.</w:t>
      </w:r>
    </w:p>
    <w:p w14:paraId="7117D855" w14:textId="77777777" w:rsidR="00D25578" w:rsidRPr="00E82351" w:rsidRDefault="00D25578" w:rsidP="00D25578">
      <w:r>
        <w:t>The Review also heard</w:t>
      </w:r>
      <w:r w:rsidRPr="00E82351">
        <w:t xml:space="preserve"> </w:t>
      </w:r>
      <w:r>
        <w:t>sometimes</w:t>
      </w:r>
      <w:r w:rsidRPr="00E82351">
        <w:t xml:space="preserve"> action required to manage a safety risk in the workplace</w:t>
      </w:r>
      <w:r>
        <w:t xml:space="preserve"> may not be taken</w:t>
      </w:r>
      <w:r w:rsidRPr="00E82351">
        <w:t>.</w:t>
      </w:r>
      <w:r>
        <w:t xml:space="preserve"> </w:t>
      </w:r>
      <w:r w:rsidRPr="00E82351">
        <w:t xml:space="preserve">Noting the work, health and safety obligations that the OPSC will have, we propose the OPSC be empowered to suspend an </w:t>
      </w:r>
      <w:r w:rsidRPr="00DC2C98">
        <w:t>employee in limited circumstances, while</w:t>
      </w:r>
      <w:r w:rsidRPr="00E82351">
        <w:t xml:space="preserve"> proper processes are followed.</w:t>
      </w:r>
    </w:p>
    <w:p w14:paraId="3AD32439" w14:textId="77777777" w:rsidR="00D25578" w:rsidRPr="00E82351" w:rsidRDefault="00D25578" w:rsidP="00D25578">
      <w:r w:rsidRPr="00E82351">
        <w:t xml:space="preserve">We found a general consensus that employees accepted their employment was linked to that of their employing parliamentarian, however, there was also confusion about how </w:t>
      </w:r>
      <w:r>
        <w:t xml:space="preserve">provisions in the Act which automatically </w:t>
      </w:r>
      <w:r w:rsidRPr="00E82351">
        <w:t xml:space="preserve">trigger </w:t>
      </w:r>
      <w:r>
        <w:t>termination of employment w</w:t>
      </w:r>
      <w:r w:rsidRPr="00E82351">
        <w:t>ork</w:t>
      </w:r>
      <w:r>
        <w:t>.</w:t>
      </w:r>
      <w:r w:rsidRPr="00E82351">
        <w:t xml:space="preserve"> </w:t>
      </w:r>
      <w:r>
        <w:t>T</w:t>
      </w:r>
      <w:r w:rsidRPr="00E82351">
        <w:t xml:space="preserve">he Review has made some technical recommendations to improve the clarity of these provisions. </w:t>
      </w:r>
    </w:p>
    <w:p w14:paraId="006CD22D" w14:textId="77777777" w:rsidR="004B7582" w:rsidRDefault="00D25578" w:rsidP="004B7582">
      <w:r w:rsidRPr="00E82351">
        <w:t xml:space="preserve">Linked to the issues around employment security and termination, some contributors raised a lack of support for employees from the moment they </w:t>
      </w:r>
      <w:r>
        <w:t>cease employment</w:t>
      </w:r>
      <w:r w:rsidRPr="00E82351">
        <w:t>. While we understand that some formal support is available, it is not well understood and considered very hard to access. We anticipate post-employment support being provided by the OPSC, including further consideration around options for redeployment w</w:t>
      </w:r>
      <w:r>
        <w:t>h</w:t>
      </w:r>
      <w:r w:rsidRPr="00E82351">
        <w:t>ere there has been a relationship breakdown, and potential linkages with opportunities within the Australian Public Service.</w:t>
      </w:r>
      <w:r w:rsidR="00A539E9" w:rsidRPr="00E82351">
        <w:t xml:space="preserve"> </w:t>
      </w:r>
    </w:p>
    <w:p w14:paraId="5E357899" w14:textId="77777777" w:rsidR="00DD097B" w:rsidRDefault="00DD097B" w:rsidP="004B7582"/>
    <w:p w14:paraId="56D4EF42" w14:textId="190C2342" w:rsidR="00D25578" w:rsidRPr="00D25578" w:rsidRDefault="00D25578" w:rsidP="00D25578">
      <w:pPr>
        <w:pStyle w:val="Heading2"/>
        <w:rPr>
          <w:rFonts w:eastAsiaTheme="minorEastAsia"/>
        </w:rPr>
      </w:pPr>
      <w:bookmarkStart w:id="627" w:name="_Toc115374369"/>
      <w:bookmarkStart w:id="628" w:name="_Toc115378708"/>
      <w:bookmarkStart w:id="629" w:name="_Toc115380940"/>
      <w:bookmarkStart w:id="630" w:name="_Toc115384092"/>
      <w:bookmarkStart w:id="631" w:name="_Toc115387321"/>
      <w:bookmarkStart w:id="632" w:name="_Toc115388787"/>
      <w:bookmarkStart w:id="633" w:name="_Toc115431425"/>
      <w:bookmarkStart w:id="634" w:name="_Toc115432803"/>
      <w:bookmarkStart w:id="635" w:name="_Toc115434374"/>
      <w:bookmarkStart w:id="636" w:name="_Toc115434473"/>
      <w:bookmarkStart w:id="637" w:name="_Toc115434542"/>
      <w:bookmarkStart w:id="638" w:name="_Toc115434611"/>
      <w:bookmarkStart w:id="639" w:name="_Toc115442781"/>
      <w:bookmarkStart w:id="640" w:name="_Toc115448024"/>
      <w:bookmarkStart w:id="641" w:name="_Toc115449416"/>
      <w:bookmarkStart w:id="642" w:name="_Toc115452436"/>
      <w:bookmarkStart w:id="643" w:name="_Toc115455253"/>
      <w:bookmarkStart w:id="644" w:name="_Toc115455319"/>
      <w:bookmarkStart w:id="645" w:name="_Toc115457269"/>
      <w:bookmarkStart w:id="646" w:name="_Toc115458105"/>
      <w:bookmarkStart w:id="647" w:name="_Toc115948133"/>
      <w:bookmarkStart w:id="648" w:name="_Toc115948580"/>
      <w:r w:rsidRPr="00D25578">
        <w:rPr>
          <w:rFonts w:eastAsiaTheme="minorEastAsia"/>
        </w:rPr>
        <w:t>Review of Act in context of broader structural reforms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41EB9490" w14:textId="32B7EFBC" w:rsidR="00D25578" w:rsidRPr="00E82351" w:rsidRDefault="00D25578" w:rsidP="00D25578">
      <w:r w:rsidRPr="00E82351">
        <w:t xml:space="preserve">Implementation of the Review </w:t>
      </w:r>
      <w:r>
        <w:t xml:space="preserve">recommendations </w:t>
      </w:r>
      <w:r w:rsidRPr="00E82351">
        <w:t>is likely to occur in parallel with the development of broader structural reforms such as the establishment of the OP</w:t>
      </w:r>
      <w:r w:rsidR="00C769EC">
        <w:t xml:space="preserve">SC, IPSC and codes of conduct. </w:t>
      </w:r>
      <w:r w:rsidRPr="00E82351">
        <w:t xml:space="preserve">While care is being taken by PM&amp;C to make these processes as complementary as possible, the success and impact of the changes are unlikely to be fully recognised until after the 18 month review recommended by </w:t>
      </w:r>
      <w:r w:rsidRPr="00E82351">
        <w:rPr>
          <w:i/>
        </w:rPr>
        <w:t xml:space="preserve">Set the Standard </w:t>
      </w:r>
      <w:r w:rsidRPr="00E82351">
        <w:t>(</w:t>
      </w:r>
      <w:r>
        <w:t>R</w:t>
      </w:r>
      <w:r w:rsidRPr="00E82351">
        <w:t>ecommendation 3).</w:t>
      </w:r>
      <w:r w:rsidRPr="00E82351" w:rsidDel="00D27449">
        <w:t xml:space="preserve"> </w:t>
      </w:r>
      <w:r w:rsidRPr="00E82351">
        <w:t>We consider it prudent to review the operation and effectiveness of the legislative amendments</w:t>
      </w:r>
      <w:r w:rsidRPr="00E82351" w:rsidDel="00D27449">
        <w:t xml:space="preserve"> </w:t>
      </w:r>
      <w:r w:rsidRPr="00E82351">
        <w:t xml:space="preserve">within </w:t>
      </w:r>
      <w:r w:rsidR="00963A4E">
        <w:t>five</w:t>
      </w:r>
      <w:r w:rsidRPr="00E82351">
        <w:t xml:space="preserve"> years of amendments to the Act.</w:t>
      </w:r>
    </w:p>
    <w:p w14:paraId="69C7B168" w14:textId="77777777" w:rsidR="00877A6F" w:rsidRDefault="00877A6F">
      <w:pPr>
        <w:spacing w:after="200"/>
        <w:rPr>
          <w:rFonts w:asciiTheme="majorHAnsi" w:eastAsiaTheme="majorEastAsia" w:hAnsiTheme="majorHAnsi" w:cstheme="majorBidi"/>
          <w:color w:val="1B375C" w:themeColor="accent1"/>
          <w:sz w:val="32"/>
          <w:szCs w:val="28"/>
        </w:rPr>
      </w:pPr>
      <w:bookmarkStart w:id="649" w:name="_Toc114230853"/>
      <w:bookmarkStart w:id="650" w:name="_Toc114232910"/>
      <w:bookmarkStart w:id="651" w:name="_Toc114233558"/>
      <w:bookmarkStart w:id="652" w:name="_Toc114233630"/>
      <w:bookmarkStart w:id="653" w:name="_Toc114240585"/>
      <w:bookmarkStart w:id="654" w:name="_Toc114240659"/>
      <w:bookmarkStart w:id="655" w:name="_Toc114241003"/>
      <w:bookmarkStart w:id="656" w:name="_Toc114493876"/>
      <w:r>
        <w:br w:type="page"/>
      </w:r>
    </w:p>
    <w:p w14:paraId="2CEDD14E" w14:textId="5836E85F" w:rsidR="005F5E33" w:rsidRDefault="005F5E33" w:rsidP="005F5E33">
      <w:pPr>
        <w:pStyle w:val="Heading2"/>
      </w:pPr>
      <w:bookmarkStart w:id="657" w:name="_Toc114500277"/>
      <w:bookmarkStart w:id="658" w:name="_Toc114500352"/>
      <w:bookmarkStart w:id="659" w:name="_Toc114518625"/>
      <w:bookmarkStart w:id="660" w:name="_Toc114520297"/>
      <w:bookmarkStart w:id="661" w:name="_Toc114520706"/>
      <w:bookmarkStart w:id="662" w:name="_Toc114565734"/>
      <w:bookmarkStart w:id="663" w:name="_Toc114566715"/>
      <w:bookmarkStart w:id="664" w:name="_Toc114566940"/>
      <w:bookmarkStart w:id="665" w:name="_Toc114566864"/>
      <w:bookmarkStart w:id="666" w:name="_Toc114585865"/>
      <w:bookmarkStart w:id="667" w:name="_Toc114586009"/>
      <w:bookmarkStart w:id="668" w:name="_Toc114586081"/>
      <w:bookmarkStart w:id="669" w:name="_Toc114601221"/>
      <w:bookmarkStart w:id="670" w:name="_Toc114657262"/>
      <w:bookmarkStart w:id="671" w:name="_Toc114659724"/>
      <w:bookmarkStart w:id="672" w:name="_Toc114662709"/>
      <w:bookmarkStart w:id="673" w:name="_Toc114665093"/>
      <w:bookmarkStart w:id="674" w:name="_Toc114672402"/>
      <w:bookmarkStart w:id="675" w:name="_Toc114672614"/>
      <w:bookmarkStart w:id="676" w:name="_Toc114673169"/>
      <w:bookmarkStart w:id="677" w:name="_Toc114674280"/>
      <w:bookmarkStart w:id="678" w:name="_Toc114687453"/>
      <w:bookmarkStart w:id="679" w:name="_Toc114689917"/>
      <w:bookmarkStart w:id="680" w:name="_Toc114731780"/>
      <w:bookmarkStart w:id="681" w:name="_Toc114733545"/>
      <w:bookmarkStart w:id="682" w:name="_Toc114735486"/>
      <w:bookmarkStart w:id="683" w:name="_Toc114755816"/>
      <w:bookmarkStart w:id="684" w:name="_Toc114757121"/>
      <w:bookmarkStart w:id="685" w:name="_Toc114757405"/>
      <w:bookmarkStart w:id="686" w:name="_Toc114757507"/>
      <w:bookmarkStart w:id="687" w:name="_Toc114758180"/>
      <w:bookmarkStart w:id="688" w:name="_Toc114824350"/>
      <w:bookmarkStart w:id="689" w:name="_Toc114829426"/>
      <w:bookmarkStart w:id="690" w:name="_Toc114829757"/>
      <w:bookmarkStart w:id="691" w:name="_Toc114829934"/>
      <w:bookmarkStart w:id="692" w:name="_Toc115099013"/>
      <w:bookmarkStart w:id="693" w:name="_Toc115099085"/>
      <w:bookmarkStart w:id="694" w:name="_Toc115101662"/>
      <w:bookmarkStart w:id="695" w:name="_Toc115102507"/>
      <w:bookmarkStart w:id="696" w:name="_Toc115105480"/>
      <w:bookmarkStart w:id="697" w:name="_Toc115110341"/>
      <w:bookmarkStart w:id="698" w:name="_Toc115110468"/>
      <w:bookmarkStart w:id="699" w:name="_Toc115121586"/>
      <w:bookmarkStart w:id="700" w:name="_Toc115121956"/>
      <w:bookmarkStart w:id="701" w:name="_Toc115123436"/>
      <w:bookmarkStart w:id="702" w:name="_Toc115123684"/>
      <w:bookmarkStart w:id="703" w:name="_Toc115126816"/>
      <w:bookmarkStart w:id="704" w:name="_Toc115185453"/>
      <w:bookmarkStart w:id="705" w:name="_Toc115186080"/>
      <w:bookmarkStart w:id="706" w:name="_Toc115189238"/>
      <w:bookmarkStart w:id="707" w:name="_Toc115194211"/>
      <w:bookmarkStart w:id="708" w:name="_Toc115194948"/>
      <w:bookmarkStart w:id="709" w:name="_Toc115196358"/>
      <w:bookmarkStart w:id="710" w:name="_Toc115198859"/>
      <w:bookmarkStart w:id="711" w:name="_Toc115208874"/>
      <w:bookmarkStart w:id="712" w:name="_Toc115209010"/>
      <w:bookmarkStart w:id="713" w:name="_Toc115210341"/>
      <w:bookmarkStart w:id="714" w:name="_Toc115212566"/>
      <w:bookmarkStart w:id="715" w:name="_Toc115213206"/>
      <w:bookmarkStart w:id="716" w:name="_Toc115216704"/>
      <w:bookmarkStart w:id="717" w:name="_Toc115270395"/>
      <w:bookmarkStart w:id="718" w:name="_Toc115271338"/>
      <w:bookmarkStart w:id="719" w:name="_Toc115272255"/>
      <w:bookmarkStart w:id="720" w:name="_Toc115273425"/>
      <w:bookmarkStart w:id="721" w:name="_Toc115273353"/>
      <w:bookmarkStart w:id="722" w:name="_Toc115274606"/>
      <w:bookmarkStart w:id="723" w:name="_Toc115274832"/>
      <w:bookmarkStart w:id="724" w:name="_Toc115275189"/>
      <w:bookmarkStart w:id="725" w:name="_Toc115275332"/>
      <w:bookmarkStart w:id="726" w:name="_Toc115274169"/>
      <w:bookmarkStart w:id="727" w:name="_Toc115274470"/>
      <w:bookmarkStart w:id="728" w:name="_Toc115274538"/>
      <w:bookmarkStart w:id="729" w:name="_Toc115274696"/>
      <w:bookmarkStart w:id="730" w:name="_Toc115277430"/>
      <w:bookmarkStart w:id="731" w:name="_Toc115277634"/>
      <w:bookmarkStart w:id="732" w:name="_Toc115278523"/>
      <w:bookmarkStart w:id="733" w:name="_Toc115278603"/>
      <w:bookmarkStart w:id="734" w:name="_Toc115282273"/>
      <w:bookmarkStart w:id="735" w:name="_Toc115284726"/>
      <w:bookmarkStart w:id="736" w:name="_Toc115286818"/>
      <w:bookmarkStart w:id="737" w:name="_Toc115294752"/>
      <w:bookmarkStart w:id="738" w:name="_Toc115296332"/>
      <w:bookmarkStart w:id="739" w:name="_Toc115308518"/>
      <w:bookmarkStart w:id="740" w:name="_Toc115311170"/>
      <w:bookmarkStart w:id="741" w:name="_Toc115312650"/>
      <w:bookmarkStart w:id="742" w:name="_Toc115343824"/>
      <w:bookmarkStart w:id="743" w:name="_Toc115348262"/>
      <w:bookmarkStart w:id="744" w:name="_Toc115350360"/>
      <w:bookmarkStart w:id="745" w:name="_Toc115353448"/>
      <w:bookmarkStart w:id="746" w:name="_Toc115359479"/>
      <w:bookmarkStart w:id="747" w:name="_Toc115361883"/>
      <w:bookmarkStart w:id="748" w:name="_Toc115364276"/>
      <w:bookmarkStart w:id="749" w:name="_Toc115365370"/>
      <w:bookmarkStart w:id="750" w:name="_Toc115365642"/>
      <w:bookmarkStart w:id="751" w:name="_Toc115365710"/>
      <w:bookmarkStart w:id="752" w:name="_Toc115366174"/>
      <w:bookmarkStart w:id="753" w:name="_Toc115368547"/>
      <w:bookmarkStart w:id="754" w:name="_Toc115370064"/>
      <w:bookmarkStart w:id="755" w:name="_Toc115370730"/>
      <w:bookmarkStart w:id="756" w:name="_Toc115374370"/>
      <w:bookmarkStart w:id="757" w:name="_Toc115378709"/>
      <w:bookmarkStart w:id="758" w:name="_Toc115380941"/>
      <w:bookmarkStart w:id="759" w:name="_Toc115384093"/>
      <w:bookmarkStart w:id="760" w:name="_Toc115387322"/>
      <w:bookmarkStart w:id="761" w:name="_Toc115388788"/>
      <w:bookmarkStart w:id="762" w:name="_Toc115431426"/>
      <w:bookmarkStart w:id="763" w:name="_Toc115432804"/>
      <w:bookmarkStart w:id="764" w:name="_Toc115434375"/>
      <w:bookmarkStart w:id="765" w:name="_Toc115434474"/>
      <w:bookmarkStart w:id="766" w:name="_Toc115434543"/>
      <w:bookmarkStart w:id="767" w:name="_Toc115434612"/>
      <w:bookmarkStart w:id="768" w:name="_Toc115442782"/>
      <w:bookmarkStart w:id="769" w:name="_Toc115448025"/>
      <w:bookmarkStart w:id="770" w:name="_Toc115449417"/>
      <w:bookmarkStart w:id="771" w:name="_Toc115452437"/>
      <w:bookmarkStart w:id="772" w:name="_Toc115455254"/>
      <w:bookmarkStart w:id="773" w:name="_Toc115455320"/>
      <w:bookmarkStart w:id="774" w:name="_Toc115457270"/>
      <w:bookmarkStart w:id="775" w:name="_Toc115458106"/>
      <w:bookmarkStart w:id="776" w:name="_Toc115948134"/>
      <w:bookmarkStart w:id="777" w:name="_Toc115948581"/>
      <w:r>
        <w:t>Recommendations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34E8BEA2" w14:textId="5893BCB3" w:rsidR="00DB1F7D" w:rsidRPr="00EA03C6" w:rsidRDefault="00DB1F7D" w:rsidP="008554EE">
      <w:pPr>
        <w:pStyle w:val="Heading3"/>
      </w:pPr>
      <w:r w:rsidRPr="00EA03C6">
        <w:t xml:space="preserve">Recommendation 1 </w:t>
      </w:r>
      <w:r w:rsidR="00CB748B">
        <w:t>–</w:t>
      </w:r>
      <w:r w:rsidRPr="00EA03C6">
        <w:t xml:space="preserve"> </w:t>
      </w:r>
      <w:r>
        <w:t>E</w:t>
      </w:r>
      <w:r w:rsidRPr="00EA03C6">
        <w:t>mployee categories</w:t>
      </w:r>
    </w:p>
    <w:p w14:paraId="4F8EA095" w14:textId="77777777" w:rsidR="00E10145" w:rsidRPr="00EA03C6" w:rsidRDefault="00E10145" w:rsidP="00E10145">
      <w:r>
        <w:t>The MoP(S) Act should be simplified by merging P</w:t>
      </w:r>
      <w:r w:rsidRPr="00EA03C6">
        <w:t>arts III (Staff of office-holders) and IV (Staff of Senato</w:t>
      </w:r>
      <w:r>
        <w:t>rs and Members) into one part and</w:t>
      </w:r>
      <w:r w:rsidRPr="00EA03C6">
        <w:t xml:space="preserve"> r</w:t>
      </w:r>
      <w:r>
        <w:t>e</w:t>
      </w:r>
      <w:r w:rsidRPr="00EA03C6">
        <w:t>flect</w:t>
      </w:r>
      <w:r>
        <w:t>ing</w:t>
      </w:r>
      <w:r w:rsidRPr="00EA03C6">
        <w:t xml:space="preserve"> three categories of MoP(S) employees:</w:t>
      </w:r>
      <w:r>
        <w:t xml:space="preserve"> </w:t>
      </w:r>
      <w:r w:rsidRPr="00EA03C6">
        <w:t>electorate employees</w:t>
      </w:r>
      <w:r>
        <w:t xml:space="preserve">; </w:t>
      </w:r>
      <w:r w:rsidRPr="00EA03C6">
        <w:t>personal employees – ministerial</w:t>
      </w:r>
      <w:r>
        <w:t xml:space="preserve">; and </w:t>
      </w:r>
      <w:r w:rsidRPr="00EA03C6">
        <w:t xml:space="preserve">personal employees – other. </w:t>
      </w:r>
    </w:p>
    <w:p w14:paraId="5396E3F1" w14:textId="67301CD9" w:rsidR="00DB1F7D" w:rsidRPr="00EA03C6" w:rsidRDefault="00DB1F7D" w:rsidP="008554EE">
      <w:pPr>
        <w:pStyle w:val="Heading3"/>
      </w:pPr>
      <w:r w:rsidRPr="00EA03C6">
        <w:t>Recommendation 2</w:t>
      </w:r>
      <w:r>
        <w:t xml:space="preserve"> – E</w:t>
      </w:r>
      <w:r w:rsidRPr="00EA03C6">
        <w:t xml:space="preserve">mployer </w:t>
      </w:r>
      <w:r>
        <w:t>duties</w:t>
      </w:r>
    </w:p>
    <w:p w14:paraId="5EB3665F" w14:textId="77777777" w:rsidR="00E10145" w:rsidRPr="00EA03C6" w:rsidRDefault="00E10145" w:rsidP="00E10145">
      <w:r w:rsidRPr="00EA03C6">
        <w:t>The MoP(S) Act should provide greater clarity over employ</w:t>
      </w:r>
      <w:r>
        <w:t>ment</w:t>
      </w:r>
      <w:r w:rsidRPr="00EA03C6">
        <w:t xml:space="preserve"> roles and responsibilities by setting out the specific duties of parliamentarians, the OPSC and the Prime Minister, </w:t>
      </w:r>
      <w:r>
        <w:t>and</w:t>
      </w:r>
      <w:r w:rsidRPr="00EA03C6">
        <w:t xml:space="preserve"> includ</w:t>
      </w:r>
      <w:r>
        <w:t>e</w:t>
      </w:r>
      <w:r w:rsidRPr="00EA03C6">
        <w:t xml:space="preserve"> an express power to delegate. Th</w:t>
      </w:r>
      <w:r>
        <w:t>e OPSC should have</w:t>
      </w:r>
      <w:r w:rsidRPr="00EA03C6">
        <w:t xml:space="preserve"> powers to </w:t>
      </w:r>
      <w:r>
        <w:t xml:space="preserve">require specified training, </w:t>
      </w:r>
      <w:r w:rsidRPr="00EA03C6">
        <w:t>and report on the administration of the Act.</w:t>
      </w:r>
    </w:p>
    <w:p w14:paraId="236B31D7" w14:textId="6E1CC8C7" w:rsidR="00DB1F7D" w:rsidRPr="00EA03C6" w:rsidRDefault="00DB1F7D" w:rsidP="008554EE">
      <w:pPr>
        <w:pStyle w:val="Heading3"/>
      </w:pPr>
      <w:r w:rsidRPr="00EA03C6">
        <w:t>Recommendation 3</w:t>
      </w:r>
      <w:r>
        <w:t xml:space="preserve"> – R</w:t>
      </w:r>
      <w:r w:rsidRPr="00EA03C6">
        <w:t>esourcing of parliamentarian offices</w:t>
      </w:r>
    </w:p>
    <w:p w14:paraId="63A24335" w14:textId="77777777" w:rsidR="00E10145" w:rsidRDefault="00E10145" w:rsidP="00E10145">
      <w:r>
        <w:t xml:space="preserve">The OPSC should undertake a review of the factors affecting workloads, particularly in electorate offices, including support systems and processes, and external factors such as the adequacy of government services and electorate composition, to inform an </w:t>
      </w:r>
      <w:r w:rsidRPr="00EA03C6">
        <w:t xml:space="preserve">evidence-based </w:t>
      </w:r>
      <w:r>
        <w:t>consideration of office and staffing resources. The review should recommend principles to be considered by the Prime Minister in determining staffing allocations.</w:t>
      </w:r>
    </w:p>
    <w:p w14:paraId="2972FDDC" w14:textId="5EE3F34A" w:rsidR="00DB1F7D" w:rsidRPr="00EA03C6" w:rsidRDefault="00DB1F7D" w:rsidP="008554EE">
      <w:pPr>
        <w:pStyle w:val="Heading3"/>
      </w:pPr>
      <w:r>
        <w:t>Recommendation 4 – Transparency of staffing allocations</w:t>
      </w:r>
    </w:p>
    <w:p w14:paraId="24A000ED" w14:textId="77777777" w:rsidR="00E10145" w:rsidRDefault="00E10145" w:rsidP="00E10145">
      <w:r w:rsidRPr="007A5285">
        <w:t xml:space="preserve">The </w:t>
      </w:r>
      <w:r>
        <w:t xml:space="preserve">MoP(S) </w:t>
      </w:r>
      <w:r w:rsidRPr="007A5285">
        <w:t xml:space="preserve">Act should be amended to require </w:t>
      </w:r>
      <w:r>
        <w:t xml:space="preserve">the allocation of staff to be transparent through annual reporting arrangements. </w:t>
      </w:r>
    </w:p>
    <w:p w14:paraId="77C4A097" w14:textId="56DCB55F" w:rsidR="00DB1F7D" w:rsidRPr="00EA03C6" w:rsidRDefault="00DB1F7D" w:rsidP="008554EE">
      <w:pPr>
        <w:pStyle w:val="Heading3"/>
      </w:pPr>
      <w:r w:rsidRPr="00EA03C6">
        <w:t xml:space="preserve">Recommendation </w:t>
      </w:r>
      <w:r>
        <w:t>5</w:t>
      </w:r>
      <w:r w:rsidRPr="00EA03C6">
        <w:t xml:space="preserve"> </w:t>
      </w:r>
      <w:r>
        <w:t>– M</w:t>
      </w:r>
      <w:r w:rsidRPr="00EA03C6">
        <w:t>odernising the Act</w:t>
      </w:r>
    </w:p>
    <w:p w14:paraId="4D51BF7C" w14:textId="77777777" w:rsidR="00E10145" w:rsidRPr="00EA03C6" w:rsidRDefault="00E10145" w:rsidP="00E10145">
      <w:r w:rsidRPr="00EA03C6">
        <w:t>The MoP(S) Act should be modernised by including an objects clause to reflect the purposes of the Act, and amending provisions relating to superannuation and consultants to better reflect contemporary settings.</w:t>
      </w:r>
    </w:p>
    <w:p w14:paraId="542BD0FC" w14:textId="558213C4" w:rsidR="00DB1F7D" w:rsidRPr="00EA03C6" w:rsidRDefault="00DB1F7D" w:rsidP="008554EE">
      <w:pPr>
        <w:pStyle w:val="Heading3"/>
      </w:pPr>
      <w:r w:rsidRPr="00EA03C6">
        <w:t xml:space="preserve">Recommendation </w:t>
      </w:r>
      <w:r>
        <w:t>6</w:t>
      </w:r>
      <w:r w:rsidRPr="00EA03C6">
        <w:t xml:space="preserve"> – </w:t>
      </w:r>
      <w:r>
        <w:t>I</w:t>
      </w:r>
      <w:r w:rsidRPr="00EA03C6">
        <w:t>ncrease transparency for terms and conditions</w:t>
      </w:r>
    </w:p>
    <w:p w14:paraId="2C1EEB14" w14:textId="77777777" w:rsidR="00E10145" w:rsidRPr="00EA03C6" w:rsidRDefault="00E10145" w:rsidP="00E10145">
      <w:r>
        <w:t>T</w:t>
      </w:r>
      <w:r w:rsidRPr="00EA03C6">
        <w:t xml:space="preserve">ransparency of employment arrangements </w:t>
      </w:r>
      <w:r>
        <w:t>should be enhanced by including in the MoP(S) Act:</w:t>
      </w:r>
      <w:r w:rsidRPr="00EA03C6">
        <w:t xml:space="preserve"> </w:t>
      </w:r>
    </w:p>
    <w:p w14:paraId="392D26CC" w14:textId="77777777" w:rsidR="00E10145" w:rsidRPr="000665BF" w:rsidRDefault="00E10145" w:rsidP="0001101F">
      <w:pPr>
        <w:pStyle w:val="ListParagraph"/>
        <w:numPr>
          <w:ilvl w:val="0"/>
          <w:numId w:val="30"/>
        </w:numPr>
      </w:pPr>
      <w:r>
        <w:t>a requirement that</w:t>
      </w:r>
      <w:r w:rsidRPr="00EA03C6">
        <w:t xml:space="preserve"> determinations</w:t>
      </w:r>
      <w:r>
        <w:t xml:space="preserve"> made under the MoP(S) Act</w:t>
      </w:r>
      <w:r w:rsidRPr="00EA03C6">
        <w:t xml:space="preserve"> </w:t>
      </w:r>
      <w:r>
        <w:t>about terms and conditions be</w:t>
      </w:r>
      <w:r w:rsidRPr="00EA03C6">
        <w:t xml:space="preserve"> published except in circumstances where individua</w:t>
      </w:r>
      <w:r>
        <w:t>ls may reasonably be identified</w:t>
      </w:r>
    </w:p>
    <w:p w14:paraId="1436335C" w14:textId="77777777" w:rsidR="00E10145" w:rsidRPr="00D60A02" w:rsidRDefault="00E10145" w:rsidP="0001101F">
      <w:pPr>
        <w:pStyle w:val="ListParagraph"/>
        <w:numPr>
          <w:ilvl w:val="0"/>
          <w:numId w:val="30"/>
        </w:numPr>
      </w:pPr>
      <w:r>
        <w:t>a provision</w:t>
      </w:r>
      <w:r w:rsidRPr="00EA03C6">
        <w:t xml:space="preserve"> for the continuity of employment and employer powers </w:t>
      </w:r>
      <w:r>
        <w:t xml:space="preserve">when a seat becomes vacant, including </w:t>
      </w:r>
      <w:r w:rsidRPr="00EA03C6">
        <w:t>between the date of dissolution of parliament and the date a poll is declared.</w:t>
      </w:r>
    </w:p>
    <w:p w14:paraId="1FE2E599" w14:textId="39774F1A" w:rsidR="00DB1F7D" w:rsidRDefault="00DB1F7D" w:rsidP="008554EE">
      <w:pPr>
        <w:pStyle w:val="Heading3"/>
      </w:pPr>
      <w:r w:rsidRPr="00136BEE">
        <w:t>R</w:t>
      </w:r>
      <w:r>
        <w:t>ecommendation 7 –</w:t>
      </w:r>
      <w:r w:rsidR="00CB748B">
        <w:t xml:space="preserve"> </w:t>
      </w:r>
      <w:r>
        <w:t>Recruitment</w:t>
      </w:r>
    </w:p>
    <w:p w14:paraId="5E8ED547" w14:textId="1367C1C6" w:rsidR="00E10145" w:rsidRDefault="00E10145" w:rsidP="00E10145">
      <w:r>
        <w:t xml:space="preserve">The MoP(S) Act should require parliamentarians to recruit staff against specified position descriptions and </w:t>
      </w:r>
      <w:r w:rsidRPr="00E432FF">
        <w:t>undertake an assessment of a</w:t>
      </w:r>
      <w:r>
        <w:t xml:space="preserve"> candidate’s capacity to successfully perform the prescribed role. The OPSC should develop policies and guidance to support this, including consideration of the use of self-declarations and pre-engagement checks.</w:t>
      </w:r>
    </w:p>
    <w:p w14:paraId="2898F590" w14:textId="41FDA09E" w:rsidR="00DB1F7D" w:rsidRPr="00136BEE" w:rsidRDefault="00DB1F7D" w:rsidP="008554EE">
      <w:pPr>
        <w:pStyle w:val="Heading3"/>
      </w:pPr>
      <w:r w:rsidRPr="00136BEE">
        <w:t>R</w:t>
      </w:r>
      <w:r>
        <w:t>ecommendation 8 – W</w:t>
      </w:r>
      <w:r w:rsidRPr="00136BEE">
        <w:t>ork health and safety of non-MoP(S) workers</w:t>
      </w:r>
    </w:p>
    <w:p w14:paraId="0F1156F4" w14:textId="296FF2F7" w:rsidR="00E10145" w:rsidRDefault="00E10145" w:rsidP="00E10145">
      <w:r>
        <w:t>Visibility and protection of non-MoP(S) Act workers should be increased by requiring parliamentarians to notify the OPSC</w:t>
      </w:r>
      <w:r w:rsidDel="00BD7961">
        <w:t xml:space="preserve"> </w:t>
      </w:r>
      <w:r>
        <w:t xml:space="preserve">when any person not engaged under the MoP(S) Act commences working in their office (e.g. volunteers and interns). </w:t>
      </w:r>
    </w:p>
    <w:p w14:paraId="47705ACD" w14:textId="0BF07C9C" w:rsidR="00DB1F7D" w:rsidRPr="00EA03C6" w:rsidRDefault="00DB1F7D" w:rsidP="008554EE">
      <w:pPr>
        <w:pStyle w:val="Heading3"/>
      </w:pPr>
      <w:r w:rsidRPr="00EA03C6">
        <w:t>Rec</w:t>
      </w:r>
      <w:r>
        <w:t>ommendation 9</w:t>
      </w:r>
      <w:r w:rsidRPr="00EA03C6">
        <w:t xml:space="preserve"> </w:t>
      </w:r>
      <w:r w:rsidR="00CB748B">
        <w:t>–</w:t>
      </w:r>
      <w:r>
        <w:t xml:space="preserve"> E</w:t>
      </w:r>
      <w:r w:rsidRPr="00EA03C6">
        <w:t>mployment principles</w:t>
      </w:r>
    </w:p>
    <w:p w14:paraId="3C583D45" w14:textId="77777777" w:rsidR="00E10145" w:rsidRPr="00EA03C6" w:rsidRDefault="00E10145" w:rsidP="00E10145">
      <w:r>
        <w:t>T</w:t>
      </w:r>
      <w:r w:rsidRPr="00EA03C6">
        <w:t xml:space="preserve">he </w:t>
      </w:r>
      <w:r>
        <w:t xml:space="preserve">MoP(S) </w:t>
      </w:r>
      <w:r w:rsidRPr="00EA03C6">
        <w:t>Act should be amended to include employment principles</w:t>
      </w:r>
      <w:r>
        <w:t xml:space="preserve"> to </w:t>
      </w:r>
      <w:r w:rsidRPr="00EA03C6">
        <w:t xml:space="preserve">professionalise the </w:t>
      </w:r>
      <w:r>
        <w:t xml:space="preserve">employment framework </w:t>
      </w:r>
      <w:r w:rsidRPr="00EA03C6">
        <w:t xml:space="preserve">and provide legislative support to underpin broader implementation of the recommendations made in </w:t>
      </w:r>
      <w:r w:rsidRPr="00EA03C6">
        <w:rPr>
          <w:i/>
        </w:rPr>
        <w:t>Set the Standard</w:t>
      </w:r>
      <w:r w:rsidRPr="00EA03C6">
        <w:t xml:space="preserve"> and this Review</w:t>
      </w:r>
      <w:r>
        <w:t>.</w:t>
      </w:r>
      <w:r w:rsidRPr="00EA03C6">
        <w:t xml:space="preserve"> </w:t>
      </w:r>
    </w:p>
    <w:p w14:paraId="20334EE5" w14:textId="1413C8EC" w:rsidR="00DB1F7D" w:rsidRPr="00EA03C6" w:rsidRDefault="00DB1F7D" w:rsidP="008554EE">
      <w:pPr>
        <w:pStyle w:val="Heading3"/>
      </w:pPr>
      <w:r>
        <w:t>Recommendation 10</w:t>
      </w:r>
      <w:r w:rsidRPr="00EA03C6">
        <w:t xml:space="preserve"> – </w:t>
      </w:r>
      <w:r>
        <w:t>P</w:t>
      </w:r>
      <w:r w:rsidRPr="00EA03C6">
        <w:t xml:space="preserve">arliamentarian obligations </w:t>
      </w:r>
    </w:p>
    <w:p w14:paraId="6B665DF6" w14:textId="77777777" w:rsidR="00E10145" w:rsidRPr="00EA03C6" w:rsidRDefault="00E10145" w:rsidP="00E10145">
      <w:r>
        <w:t>T</w:t>
      </w:r>
      <w:r w:rsidRPr="00EA03C6">
        <w:t xml:space="preserve">he </w:t>
      </w:r>
      <w:r>
        <w:t xml:space="preserve">MoP(S) </w:t>
      </w:r>
      <w:r w:rsidRPr="00EA03C6">
        <w:t>Act should</w:t>
      </w:r>
      <w:r>
        <w:t xml:space="preserve"> </w:t>
      </w:r>
      <w:r w:rsidRPr="00EA03C6">
        <w:t>list the requirements of a parliamentarian as employer, including</w:t>
      </w:r>
      <w:r>
        <w:t xml:space="preserve"> to</w:t>
      </w:r>
      <w:r w:rsidRPr="00EA03C6">
        <w:t xml:space="preserve">: </w:t>
      </w:r>
      <w:r>
        <w:t>provide</w:t>
      </w:r>
      <w:r w:rsidRPr="00EA03C6">
        <w:t xml:space="preserve"> a safe and respectful workplace</w:t>
      </w:r>
      <w:r>
        <w:t>; make recruitment decisions based on an assessment of capability and provide</w:t>
      </w:r>
      <w:r w:rsidRPr="00EA03C6">
        <w:t xml:space="preserve"> procedural fairness in termination.</w:t>
      </w:r>
    </w:p>
    <w:p w14:paraId="512F9E1A" w14:textId="5B774FB4" w:rsidR="00DB1F7D" w:rsidRPr="00136BEE" w:rsidRDefault="00DB1F7D" w:rsidP="008554EE">
      <w:pPr>
        <w:pStyle w:val="Heading3"/>
      </w:pPr>
      <w:r>
        <w:t>Recommendation 11 –</w:t>
      </w:r>
      <w:r w:rsidR="00CB748B">
        <w:t xml:space="preserve"> </w:t>
      </w:r>
      <w:r>
        <w:t>E</w:t>
      </w:r>
      <w:r w:rsidRPr="00136BEE">
        <w:t>mployee obligations</w:t>
      </w:r>
      <w:r w:rsidRPr="00136BEE" w:rsidDel="00440E2B">
        <w:t xml:space="preserve"> </w:t>
      </w:r>
    </w:p>
    <w:p w14:paraId="2AD12F7A" w14:textId="77777777" w:rsidR="00E10145" w:rsidRPr="005E7617" w:rsidRDefault="00E10145" w:rsidP="00E10145">
      <w:r>
        <w:t xml:space="preserve">The MoP(S) Act should list the requirements of an employee including to: contribute to a safe and respectful workplace; act in accordance with any applicable codes of conduct; and </w:t>
      </w:r>
      <w:r w:rsidRPr="005E7617">
        <w:t>exercis</w:t>
      </w:r>
      <w:r>
        <w:t>e</w:t>
      </w:r>
      <w:r w:rsidRPr="005E7617">
        <w:t xml:space="preserve"> delegations in accordance with legal obligations.</w:t>
      </w:r>
    </w:p>
    <w:p w14:paraId="3617219B" w14:textId="23CDB956" w:rsidR="00DB1F7D" w:rsidRPr="00136BEE" w:rsidRDefault="00DB1F7D" w:rsidP="008554EE">
      <w:pPr>
        <w:pStyle w:val="Heading3"/>
      </w:pPr>
      <w:r w:rsidRPr="00136BEE">
        <w:t>R</w:t>
      </w:r>
      <w:r>
        <w:t>ecommendation 12</w:t>
      </w:r>
      <w:r w:rsidRPr="00136BEE">
        <w:t xml:space="preserve"> – Annual reporting</w:t>
      </w:r>
    </w:p>
    <w:p w14:paraId="3E23A341" w14:textId="77777777" w:rsidR="00E10145" w:rsidRDefault="00E10145" w:rsidP="00E10145">
      <w:r>
        <w:t xml:space="preserve">The OPSC should collect the information identified in Recommendations 7 and 19 of </w:t>
      </w:r>
      <w:r w:rsidRPr="00630775">
        <w:rPr>
          <w:i/>
        </w:rPr>
        <w:t>Set the Standard</w:t>
      </w:r>
      <w:r>
        <w:t xml:space="preserve"> and any additional data required to provide a transparent account of the MoP(S) Act employment framework in its annual report to Parliament.</w:t>
      </w:r>
    </w:p>
    <w:p w14:paraId="606F923E" w14:textId="73DF418D" w:rsidR="00D70336" w:rsidRDefault="00D70336">
      <w:pPr>
        <w:spacing w:after="200"/>
      </w:pPr>
      <w:r>
        <w:br w:type="page"/>
      </w:r>
    </w:p>
    <w:p w14:paraId="01AA99DA" w14:textId="0E5D14A7" w:rsidR="00DB1F7D" w:rsidRDefault="00DB1F7D" w:rsidP="008554EE">
      <w:pPr>
        <w:pStyle w:val="Heading3"/>
      </w:pPr>
      <w:r w:rsidRPr="006861A0">
        <w:t>R</w:t>
      </w:r>
      <w:r>
        <w:t xml:space="preserve">ecommendation 13 – Termination </w:t>
      </w:r>
    </w:p>
    <w:p w14:paraId="08DCFFAA" w14:textId="77777777" w:rsidR="00E10145" w:rsidRDefault="00E10145" w:rsidP="00E10145">
      <w:r>
        <w:t>The</w:t>
      </w:r>
      <w:r w:rsidRPr="00E40892">
        <w:t xml:space="preserve"> </w:t>
      </w:r>
      <w:r>
        <w:t xml:space="preserve">MoP(S) </w:t>
      </w:r>
      <w:r w:rsidRPr="00E40892">
        <w:t xml:space="preserve">Act </w:t>
      </w:r>
      <w:r>
        <w:t>should be amended to improve the certainty and fairness of termination processes, including provisions that:</w:t>
      </w:r>
    </w:p>
    <w:p w14:paraId="7BEA2CAB" w14:textId="77777777" w:rsidR="00E10145" w:rsidRDefault="00E10145" w:rsidP="0001101F">
      <w:pPr>
        <w:pStyle w:val="ListParagraph"/>
        <w:numPr>
          <w:ilvl w:val="0"/>
          <w:numId w:val="31"/>
        </w:numPr>
      </w:pPr>
      <w:r>
        <w:t>a p</w:t>
      </w:r>
      <w:r w:rsidRPr="00E40892">
        <w:t xml:space="preserve">arliamentarian must consult the OPSC </w:t>
      </w:r>
      <w:r>
        <w:t xml:space="preserve">on best practice </w:t>
      </w:r>
      <w:r w:rsidRPr="00E40892">
        <w:t>prior to effecting any termination</w:t>
      </w:r>
      <w:r>
        <w:t xml:space="preserve"> </w:t>
      </w:r>
    </w:p>
    <w:p w14:paraId="008C206D" w14:textId="77777777" w:rsidR="00E10145" w:rsidRPr="005D23D9" w:rsidRDefault="00E10145" w:rsidP="0001101F">
      <w:pPr>
        <w:pStyle w:val="ListParagraph"/>
        <w:numPr>
          <w:ilvl w:val="0"/>
          <w:numId w:val="31"/>
        </w:numPr>
      </w:pPr>
      <w:r w:rsidRPr="005D23D9">
        <w:t>the employing parlia</w:t>
      </w:r>
      <w:r>
        <w:t>mentarian</w:t>
      </w:r>
      <w:r w:rsidRPr="005D23D9">
        <w:t xml:space="preserve"> may suspend the employment of a MoP(S) Act employee</w:t>
      </w:r>
    </w:p>
    <w:p w14:paraId="33AA6B57" w14:textId="5D998A18" w:rsidR="00E10145" w:rsidRDefault="00E10145" w:rsidP="0001101F">
      <w:pPr>
        <w:pStyle w:val="ListParagraph"/>
        <w:numPr>
          <w:ilvl w:val="0"/>
          <w:numId w:val="31"/>
        </w:numPr>
      </w:pPr>
      <w:r w:rsidRPr="00B829E0">
        <w:t>the OPSC</w:t>
      </w:r>
      <w:r>
        <w:t xml:space="preserve"> </w:t>
      </w:r>
      <w:r w:rsidRPr="00B829E0">
        <w:t>may suspend the employment of a MoP(S) Act employee</w:t>
      </w:r>
      <w:r>
        <w:t xml:space="preserve"> in cases of immediate risk,</w:t>
      </w:r>
      <w:r w:rsidRPr="006E733D">
        <w:t xml:space="preserve"> </w:t>
      </w:r>
      <w:r>
        <w:t>including on advice from the Independent Parliamentary Standards Commission.</w:t>
      </w:r>
    </w:p>
    <w:p w14:paraId="03709858" w14:textId="550A5BDE" w:rsidR="00DB1F7D" w:rsidRDefault="00DB1F7D" w:rsidP="008554EE">
      <w:pPr>
        <w:pStyle w:val="Heading3"/>
      </w:pPr>
      <w:r>
        <w:t>Recommendation 14 – Automatic termination provisions</w:t>
      </w:r>
    </w:p>
    <w:p w14:paraId="1191293C" w14:textId="77777777" w:rsidR="00D70336" w:rsidRDefault="00D70336" w:rsidP="00D70336">
      <w:r>
        <w:t xml:space="preserve">The automatic terminations provisions in the MoP(S) Act should be amended to improve job security and increase clarity for staff by: </w:t>
      </w:r>
    </w:p>
    <w:p w14:paraId="25D39FCB" w14:textId="77777777" w:rsidR="00D70336" w:rsidRDefault="00D70336" w:rsidP="0001101F">
      <w:pPr>
        <w:pStyle w:val="ListParagraph"/>
        <w:numPr>
          <w:ilvl w:val="0"/>
          <w:numId w:val="32"/>
        </w:numPr>
      </w:pPr>
      <w:r>
        <w:t>retaining the existing high level automatic terminations triggers, but allowing for determinations to clarify specific circumstances</w:t>
      </w:r>
    </w:p>
    <w:p w14:paraId="03F2B3F2" w14:textId="77777777" w:rsidR="00D70336" w:rsidRPr="00136BEE" w:rsidRDefault="00D70336" w:rsidP="0001101F">
      <w:pPr>
        <w:pStyle w:val="ListParagraph"/>
        <w:numPr>
          <w:ilvl w:val="0"/>
          <w:numId w:val="32"/>
        </w:numPr>
      </w:pPr>
      <w:r w:rsidRPr="00136BEE">
        <w:t>provid</w:t>
      </w:r>
      <w:r>
        <w:t>ing</w:t>
      </w:r>
      <w:r w:rsidRPr="00136BEE">
        <w:t xml:space="preserve"> that automatic termination provisions for electorate staff</w:t>
      </w:r>
      <w:r w:rsidRPr="00136BEE" w:rsidDel="00E42466">
        <w:t xml:space="preserve"> </w:t>
      </w:r>
      <w:r>
        <w:t xml:space="preserve">employed under Part III </w:t>
      </w:r>
      <w:r w:rsidRPr="00136BEE">
        <w:t>only apply where the employing parliamentarian ceases to have a personal staffing allocation.</w:t>
      </w:r>
    </w:p>
    <w:p w14:paraId="61437A22" w14:textId="3770CCE5" w:rsidR="00DB1F7D" w:rsidRDefault="00DB1F7D" w:rsidP="008554EE">
      <w:pPr>
        <w:pStyle w:val="Heading3"/>
      </w:pPr>
      <w:r>
        <w:t xml:space="preserve">Recommendation </w:t>
      </w:r>
      <w:r w:rsidRPr="007A5216">
        <w:t>1</w:t>
      </w:r>
      <w:r w:rsidR="00D70336">
        <w:t>5 – Five</w:t>
      </w:r>
      <w:r>
        <w:t xml:space="preserve"> year review</w:t>
      </w:r>
    </w:p>
    <w:p w14:paraId="40E03870" w14:textId="77777777" w:rsidR="00D70336" w:rsidRDefault="00D70336" w:rsidP="00D70336">
      <w:r w:rsidRPr="00FF0565">
        <w:t xml:space="preserve">The MoP(S) Act should be reviewed for effectiveness, in the context of </w:t>
      </w:r>
      <w:r>
        <w:t>broader</w:t>
      </w:r>
      <w:r w:rsidRPr="00FF0565">
        <w:t xml:space="preserve"> changes to the parliamentary workplace, within </w:t>
      </w:r>
      <w:r>
        <w:t>five</w:t>
      </w:r>
      <w:r w:rsidRPr="00FF0565">
        <w:t xml:space="preserve"> years of the amendments to the Act.</w:t>
      </w:r>
    </w:p>
    <w:p w14:paraId="53D62C54" w14:textId="1943CE55" w:rsidR="00A44542" w:rsidRDefault="00A44542">
      <w:pPr>
        <w:spacing w:after="200"/>
      </w:pPr>
      <w:r>
        <w:br w:type="page"/>
      </w:r>
    </w:p>
    <w:p w14:paraId="5A6F72F2" w14:textId="3CC146E7" w:rsidR="00F55DC4" w:rsidRPr="000F2E36" w:rsidRDefault="00F55DC4" w:rsidP="00F55DC4">
      <w:pPr>
        <w:pStyle w:val="Heading1"/>
      </w:pPr>
      <w:bookmarkStart w:id="778" w:name="_Toc104212775"/>
      <w:bookmarkStart w:id="779" w:name="_Toc114230854"/>
      <w:bookmarkStart w:id="780" w:name="_Toc114232911"/>
      <w:bookmarkStart w:id="781" w:name="_Toc114233559"/>
      <w:bookmarkStart w:id="782" w:name="_Toc114233631"/>
      <w:bookmarkStart w:id="783" w:name="_Toc114240586"/>
      <w:bookmarkStart w:id="784" w:name="_Toc114240660"/>
      <w:bookmarkStart w:id="785" w:name="_Toc114241004"/>
      <w:bookmarkStart w:id="786" w:name="_Toc114493877"/>
      <w:bookmarkStart w:id="787" w:name="_Toc114500278"/>
      <w:bookmarkStart w:id="788" w:name="_Toc114500353"/>
      <w:bookmarkStart w:id="789" w:name="_Toc114518626"/>
      <w:bookmarkStart w:id="790" w:name="_Toc114520298"/>
      <w:bookmarkStart w:id="791" w:name="_Toc114520707"/>
      <w:bookmarkStart w:id="792" w:name="_Toc114565735"/>
      <w:bookmarkStart w:id="793" w:name="_Toc114566716"/>
      <w:bookmarkStart w:id="794" w:name="_Toc114566941"/>
      <w:bookmarkStart w:id="795" w:name="_Toc114566865"/>
      <w:bookmarkStart w:id="796" w:name="_Toc114585866"/>
      <w:bookmarkStart w:id="797" w:name="_Toc114586010"/>
      <w:bookmarkStart w:id="798" w:name="_Toc114586082"/>
      <w:bookmarkStart w:id="799" w:name="_Toc114601222"/>
      <w:bookmarkStart w:id="800" w:name="_Toc114657263"/>
      <w:bookmarkStart w:id="801" w:name="_Toc114659725"/>
      <w:bookmarkStart w:id="802" w:name="_Toc114662710"/>
      <w:bookmarkStart w:id="803" w:name="_Toc114665094"/>
      <w:bookmarkStart w:id="804" w:name="_Toc114672403"/>
      <w:bookmarkStart w:id="805" w:name="_Toc114672615"/>
      <w:bookmarkStart w:id="806" w:name="_Toc114673170"/>
      <w:bookmarkStart w:id="807" w:name="_Toc114674281"/>
      <w:bookmarkStart w:id="808" w:name="_Toc114687454"/>
      <w:bookmarkStart w:id="809" w:name="_Toc114689918"/>
      <w:bookmarkStart w:id="810" w:name="_Toc114731781"/>
      <w:bookmarkStart w:id="811" w:name="_Toc114733546"/>
      <w:bookmarkStart w:id="812" w:name="_Toc114735487"/>
      <w:bookmarkStart w:id="813" w:name="_Toc114755817"/>
      <w:bookmarkStart w:id="814" w:name="_Toc114757122"/>
      <w:bookmarkStart w:id="815" w:name="_Toc114757406"/>
      <w:bookmarkStart w:id="816" w:name="_Toc114757508"/>
      <w:bookmarkStart w:id="817" w:name="_Toc114758181"/>
      <w:bookmarkStart w:id="818" w:name="_Toc114824351"/>
      <w:bookmarkStart w:id="819" w:name="_Toc114829427"/>
      <w:bookmarkStart w:id="820" w:name="_Toc114829758"/>
      <w:bookmarkStart w:id="821" w:name="_Toc114829935"/>
      <w:bookmarkStart w:id="822" w:name="_Toc115099014"/>
      <w:bookmarkStart w:id="823" w:name="_Toc115099086"/>
      <w:bookmarkStart w:id="824" w:name="_Toc115101663"/>
      <w:bookmarkStart w:id="825" w:name="_Toc115102508"/>
      <w:bookmarkStart w:id="826" w:name="_Toc115105481"/>
      <w:bookmarkStart w:id="827" w:name="_Toc115110342"/>
      <w:bookmarkStart w:id="828" w:name="_Toc115110469"/>
      <w:bookmarkStart w:id="829" w:name="_Toc115121587"/>
      <w:bookmarkStart w:id="830" w:name="_Toc115121957"/>
      <w:bookmarkStart w:id="831" w:name="_Toc115123437"/>
      <w:bookmarkStart w:id="832" w:name="_Toc115123685"/>
      <w:bookmarkStart w:id="833" w:name="_Toc115126817"/>
      <w:bookmarkStart w:id="834" w:name="_Toc115185454"/>
      <w:bookmarkStart w:id="835" w:name="_Toc115186081"/>
      <w:bookmarkStart w:id="836" w:name="_Toc115189239"/>
      <w:bookmarkStart w:id="837" w:name="_Toc115194212"/>
      <w:bookmarkStart w:id="838" w:name="_Toc115194949"/>
      <w:bookmarkStart w:id="839" w:name="_Toc115196359"/>
      <w:bookmarkStart w:id="840" w:name="_Toc115198860"/>
      <w:bookmarkStart w:id="841" w:name="_Toc115208875"/>
      <w:bookmarkStart w:id="842" w:name="_Toc115209011"/>
      <w:bookmarkStart w:id="843" w:name="_Toc115210342"/>
      <w:bookmarkStart w:id="844" w:name="_Toc115212567"/>
      <w:bookmarkStart w:id="845" w:name="_Toc115213207"/>
      <w:bookmarkStart w:id="846" w:name="_Toc115216705"/>
      <w:bookmarkStart w:id="847" w:name="_Toc115270396"/>
      <w:bookmarkStart w:id="848" w:name="_Toc115271339"/>
      <w:bookmarkStart w:id="849" w:name="_Toc115272256"/>
      <w:bookmarkStart w:id="850" w:name="_Toc115273426"/>
      <w:bookmarkStart w:id="851" w:name="_Toc115273354"/>
      <w:bookmarkStart w:id="852" w:name="_Toc115274607"/>
      <w:bookmarkStart w:id="853" w:name="_Toc115274833"/>
      <w:bookmarkStart w:id="854" w:name="_Toc115275190"/>
      <w:bookmarkStart w:id="855" w:name="_Toc115275333"/>
      <w:bookmarkStart w:id="856" w:name="_Toc115274170"/>
      <w:bookmarkStart w:id="857" w:name="_Toc115274471"/>
      <w:bookmarkStart w:id="858" w:name="_Toc115274539"/>
      <w:bookmarkStart w:id="859" w:name="_Toc115274697"/>
      <w:bookmarkStart w:id="860" w:name="_Toc115277431"/>
      <w:bookmarkStart w:id="861" w:name="_Toc115277635"/>
      <w:bookmarkStart w:id="862" w:name="_Toc115278524"/>
      <w:bookmarkStart w:id="863" w:name="_Toc115278604"/>
      <w:bookmarkStart w:id="864" w:name="_Toc115282274"/>
      <w:bookmarkStart w:id="865" w:name="_Toc115284727"/>
      <w:bookmarkStart w:id="866" w:name="_Toc115286819"/>
      <w:bookmarkStart w:id="867" w:name="_Toc115294753"/>
      <w:bookmarkStart w:id="868" w:name="_Toc115296333"/>
      <w:bookmarkStart w:id="869" w:name="_Toc115308519"/>
      <w:bookmarkStart w:id="870" w:name="_Toc115311171"/>
      <w:bookmarkStart w:id="871" w:name="_Toc115312651"/>
      <w:bookmarkStart w:id="872" w:name="_Toc115343825"/>
      <w:bookmarkStart w:id="873" w:name="_Toc115348263"/>
      <w:bookmarkStart w:id="874" w:name="_Toc115350361"/>
      <w:bookmarkStart w:id="875" w:name="_Toc115353449"/>
      <w:bookmarkStart w:id="876" w:name="_Toc115359480"/>
      <w:bookmarkStart w:id="877" w:name="_Toc115361884"/>
      <w:bookmarkStart w:id="878" w:name="_Toc115364277"/>
      <w:bookmarkStart w:id="879" w:name="_Toc115365371"/>
      <w:bookmarkStart w:id="880" w:name="_Toc115365643"/>
      <w:bookmarkStart w:id="881" w:name="_Toc115365711"/>
      <w:bookmarkStart w:id="882" w:name="_Toc115366175"/>
      <w:bookmarkStart w:id="883" w:name="_Toc115368548"/>
      <w:bookmarkStart w:id="884" w:name="_Toc115370065"/>
      <w:bookmarkStart w:id="885" w:name="_Toc115370731"/>
      <w:bookmarkStart w:id="886" w:name="_Toc115374371"/>
      <w:bookmarkStart w:id="887" w:name="_Toc115378710"/>
      <w:bookmarkStart w:id="888" w:name="_Toc115380942"/>
      <w:bookmarkStart w:id="889" w:name="_Toc115384094"/>
      <w:bookmarkStart w:id="890" w:name="_Toc115387323"/>
      <w:bookmarkStart w:id="891" w:name="_Toc115388789"/>
      <w:bookmarkStart w:id="892" w:name="_Toc115431427"/>
      <w:bookmarkStart w:id="893" w:name="_Toc115432805"/>
      <w:bookmarkStart w:id="894" w:name="_Toc115434376"/>
      <w:bookmarkStart w:id="895" w:name="_Toc115434475"/>
      <w:bookmarkStart w:id="896" w:name="_Toc115434544"/>
      <w:bookmarkStart w:id="897" w:name="_Toc115434613"/>
      <w:bookmarkStart w:id="898" w:name="_Toc115442783"/>
      <w:bookmarkStart w:id="899" w:name="_Toc115448026"/>
      <w:bookmarkStart w:id="900" w:name="_Toc115449418"/>
      <w:bookmarkStart w:id="901" w:name="_Toc115452438"/>
      <w:bookmarkStart w:id="902" w:name="_Toc115455255"/>
      <w:bookmarkStart w:id="903" w:name="_Toc115455321"/>
      <w:bookmarkStart w:id="904" w:name="_Toc115457271"/>
      <w:bookmarkStart w:id="905" w:name="_Toc115458107"/>
      <w:bookmarkStart w:id="906" w:name="_Toc115948135"/>
      <w:bookmarkStart w:id="907" w:name="_Toc115948582"/>
      <w:r>
        <w:t xml:space="preserve">1 </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00775681" w:rsidRPr="000F2E36">
        <w:t>I</w:t>
      </w:r>
      <w:r w:rsidR="00775681">
        <w:t>ntroduction</w:t>
      </w:r>
      <w:bookmarkEnd w:id="898"/>
      <w:bookmarkEnd w:id="899"/>
      <w:bookmarkEnd w:id="900"/>
      <w:bookmarkEnd w:id="901"/>
      <w:bookmarkEnd w:id="902"/>
      <w:bookmarkEnd w:id="903"/>
      <w:bookmarkEnd w:id="904"/>
      <w:bookmarkEnd w:id="905"/>
      <w:bookmarkEnd w:id="906"/>
      <w:bookmarkEnd w:id="907"/>
    </w:p>
    <w:p w14:paraId="0099A55B" w14:textId="3E666DA8" w:rsidR="00F55DC4" w:rsidRPr="003A186A" w:rsidRDefault="00F55DC4" w:rsidP="00F55DC4">
      <w:pPr>
        <w:pStyle w:val="Heading2"/>
      </w:pPr>
      <w:bookmarkStart w:id="908" w:name="_Toc104212776"/>
      <w:bookmarkStart w:id="909" w:name="_Toc114230855"/>
      <w:bookmarkStart w:id="910" w:name="_Toc114232912"/>
      <w:bookmarkStart w:id="911" w:name="_Toc114233560"/>
      <w:bookmarkStart w:id="912" w:name="_Toc114233632"/>
      <w:bookmarkStart w:id="913" w:name="_Toc114240587"/>
      <w:bookmarkStart w:id="914" w:name="_Toc114240661"/>
      <w:bookmarkStart w:id="915" w:name="_Toc114241005"/>
      <w:bookmarkStart w:id="916" w:name="_Toc114493878"/>
      <w:bookmarkStart w:id="917" w:name="_Toc114500279"/>
      <w:bookmarkStart w:id="918" w:name="_Toc114500354"/>
      <w:bookmarkStart w:id="919" w:name="_Toc114518627"/>
      <w:bookmarkStart w:id="920" w:name="_Toc114520299"/>
      <w:bookmarkStart w:id="921" w:name="_Toc114520708"/>
      <w:bookmarkStart w:id="922" w:name="_Toc114565736"/>
      <w:bookmarkStart w:id="923" w:name="_Toc114566717"/>
      <w:bookmarkStart w:id="924" w:name="_Toc114566942"/>
      <w:bookmarkStart w:id="925" w:name="_Toc114566866"/>
      <w:bookmarkStart w:id="926" w:name="_Toc114585867"/>
      <w:bookmarkStart w:id="927" w:name="_Toc114586011"/>
      <w:bookmarkStart w:id="928" w:name="_Toc114586083"/>
      <w:bookmarkStart w:id="929" w:name="_Toc114601223"/>
      <w:bookmarkStart w:id="930" w:name="_Toc114657264"/>
      <w:bookmarkStart w:id="931" w:name="_Toc114659726"/>
      <w:bookmarkStart w:id="932" w:name="_Toc114662711"/>
      <w:bookmarkStart w:id="933" w:name="_Toc114665095"/>
      <w:bookmarkStart w:id="934" w:name="_Toc114672404"/>
      <w:bookmarkStart w:id="935" w:name="_Toc114672616"/>
      <w:bookmarkStart w:id="936" w:name="_Toc114673171"/>
      <w:bookmarkStart w:id="937" w:name="_Toc114674282"/>
      <w:bookmarkStart w:id="938" w:name="_Toc114687455"/>
      <w:bookmarkStart w:id="939" w:name="_Toc114689919"/>
      <w:bookmarkStart w:id="940" w:name="_Toc114731782"/>
      <w:bookmarkStart w:id="941" w:name="_Toc114733547"/>
      <w:bookmarkStart w:id="942" w:name="_Toc114735488"/>
      <w:bookmarkStart w:id="943" w:name="_Toc114755818"/>
      <w:bookmarkStart w:id="944" w:name="_Toc114757123"/>
      <w:bookmarkStart w:id="945" w:name="_Toc114757407"/>
      <w:bookmarkStart w:id="946" w:name="_Toc114757509"/>
      <w:bookmarkStart w:id="947" w:name="_Toc114758182"/>
      <w:bookmarkStart w:id="948" w:name="_Toc114824352"/>
      <w:bookmarkStart w:id="949" w:name="_Toc114829428"/>
      <w:bookmarkStart w:id="950" w:name="_Toc114829792"/>
      <w:bookmarkStart w:id="951" w:name="_Toc114829759"/>
      <w:bookmarkStart w:id="952" w:name="_Toc114829936"/>
      <w:bookmarkStart w:id="953" w:name="_Toc115099015"/>
      <w:bookmarkStart w:id="954" w:name="_Toc115099087"/>
      <w:bookmarkStart w:id="955" w:name="_Toc115101664"/>
      <w:bookmarkStart w:id="956" w:name="_Toc115102509"/>
      <w:bookmarkStart w:id="957" w:name="_Toc115105482"/>
      <w:bookmarkStart w:id="958" w:name="_Toc115110343"/>
      <w:bookmarkStart w:id="959" w:name="_Toc115110470"/>
      <w:bookmarkStart w:id="960" w:name="_Toc115121588"/>
      <w:bookmarkStart w:id="961" w:name="_Toc115121958"/>
      <w:bookmarkStart w:id="962" w:name="_Toc115123438"/>
      <w:bookmarkStart w:id="963" w:name="_Toc115123686"/>
      <w:bookmarkStart w:id="964" w:name="_Toc115126818"/>
      <w:bookmarkStart w:id="965" w:name="_Toc115185455"/>
      <w:bookmarkStart w:id="966" w:name="_Toc115186082"/>
      <w:bookmarkStart w:id="967" w:name="_Toc115189240"/>
      <w:bookmarkStart w:id="968" w:name="_Toc115194213"/>
      <w:bookmarkStart w:id="969" w:name="_Toc115194950"/>
      <w:bookmarkStart w:id="970" w:name="_Toc115196360"/>
      <w:bookmarkStart w:id="971" w:name="_Toc115198861"/>
      <w:bookmarkStart w:id="972" w:name="_Toc115208876"/>
      <w:bookmarkStart w:id="973" w:name="_Toc115209012"/>
      <w:bookmarkStart w:id="974" w:name="_Toc115210343"/>
      <w:bookmarkStart w:id="975" w:name="_Toc115212568"/>
      <w:bookmarkStart w:id="976" w:name="_Toc115213208"/>
      <w:bookmarkStart w:id="977" w:name="_Toc115216706"/>
      <w:bookmarkStart w:id="978" w:name="_Toc115270397"/>
      <w:bookmarkStart w:id="979" w:name="_Toc115271340"/>
      <w:bookmarkStart w:id="980" w:name="_Toc115272257"/>
      <w:bookmarkStart w:id="981" w:name="_Toc115273427"/>
      <w:bookmarkStart w:id="982" w:name="_Toc115273355"/>
      <w:bookmarkStart w:id="983" w:name="_Toc115274608"/>
      <w:bookmarkStart w:id="984" w:name="_Toc115274834"/>
      <w:bookmarkStart w:id="985" w:name="_Toc115275191"/>
      <w:bookmarkStart w:id="986" w:name="_Toc115275334"/>
      <w:bookmarkStart w:id="987" w:name="_Toc115274171"/>
      <w:bookmarkStart w:id="988" w:name="_Toc115274472"/>
      <w:bookmarkStart w:id="989" w:name="_Toc115274540"/>
      <w:bookmarkStart w:id="990" w:name="_Toc115274698"/>
      <w:bookmarkStart w:id="991" w:name="_Toc115277432"/>
      <w:bookmarkStart w:id="992" w:name="_Toc115277636"/>
      <w:bookmarkStart w:id="993" w:name="_Toc115278525"/>
      <w:bookmarkStart w:id="994" w:name="_Toc115278605"/>
      <w:bookmarkStart w:id="995" w:name="_Toc115282275"/>
      <w:bookmarkStart w:id="996" w:name="_Toc115284728"/>
      <w:bookmarkStart w:id="997" w:name="_Toc115286820"/>
      <w:bookmarkStart w:id="998" w:name="_Toc115294754"/>
      <w:bookmarkStart w:id="999" w:name="_Toc115296334"/>
      <w:bookmarkStart w:id="1000" w:name="_Toc115308520"/>
      <w:bookmarkStart w:id="1001" w:name="_Toc115311172"/>
      <w:bookmarkStart w:id="1002" w:name="_Toc115312652"/>
      <w:bookmarkStart w:id="1003" w:name="_Toc115343826"/>
      <w:bookmarkStart w:id="1004" w:name="_Toc115348264"/>
      <w:bookmarkStart w:id="1005" w:name="_Toc115350362"/>
      <w:bookmarkStart w:id="1006" w:name="_Toc115353450"/>
      <w:bookmarkStart w:id="1007" w:name="_Toc115359481"/>
      <w:bookmarkStart w:id="1008" w:name="_Toc115361885"/>
      <w:bookmarkStart w:id="1009" w:name="_Toc115364278"/>
      <w:bookmarkStart w:id="1010" w:name="_Toc115365372"/>
      <w:bookmarkStart w:id="1011" w:name="_Toc115365644"/>
      <w:bookmarkStart w:id="1012" w:name="_Toc115365712"/>
      <w:bookmarkStart w:id="1013" w:name="_Toc115366176"/>
      <w:bookmarkStart w:id="1014" w:name="_Toc115368549"/>
      <w:bookmarkStart w:id="1015" w:name="_Toc115370066"/>
      <w:bookmarkStart w:id="1016" w:name="_Toc115370732"/>
      <w:bookmarkStart w:id="1017" w:name="_Toc115374372"/>
      <w:bookmarkStart w:id="1018" w:name="_Toc115378711"/>
      <w:bookmarkStart w:id="1019" w:name="_Toc115380943"/>
      <w:bookmarkStart w:id="1020" w:name="_Toc115384095"/>
      <w:bookmarkStart w:id="1021" w:name="_Toc115387324"/>
      <w:bookmarkStart w:id="1022" w:name="_Toc115388790"/>
      <w:bookmarkStart w:id="1023" w:name="_Toc115431428"/>
      <w:bookmarkStart w:id="1024" w:name="_Toc115432806"/>
      <w:bookmarkStart w:id="1025" w:name="_Toc115434377"/>
      <w:bookmarkStart w:id="1026" w:name="_Toc115434476"/>
      <w:bookmarkStart w:id="1027" w:name="_Toc115434545"/>
      <w:bookmarkStart w:id="1028" w:name="_Toc115434614"/>
      <w:bookmarkStart w:id="1029" w:name="_Toc115442784"/>
      <w:bookmarkStart w:id="1030" w:name="_Toc115448027"/>
      <w:bookmarkStart w:id="1031" w:name="_Toc115449419"/>
      <w:bookmarkStart w:id="1032" w:name="_Toc115452439"/>
      <w:bookmarkStart w:id="1033" w:name="_Toc115455256"/>
      <w:bookmarkStart w:id="1034" w:name="_Toc115455322"/>
      <w:bookmarkStart w:id="1035" w:name="_Toc115457272"/>
      <w:bookmarkStart w:id="1036" w:name="_Toc115458108"/>
      <w:bookmarkStart w:id="1037" w:name="_Toc115948136"/>
      <w:bookmarkStart w:id="1038" w:name="_Toc115948583"/>
      <w:r w:rsidRPr="003A186A">
        <w:t>1.1 Context</w:t>
      </w:r>
      <w:bookmarkEnd w:id="908"/>
      <w:r w:rsidR="000050E1">
        <w:t xml:space="preserve"> and </w:t>
      </w:r>
      <w:r w:rsidR="00893AEA">
        <w:t>s</w:t>
      </w:r>
      <w:r w:rsidR="000050E1">
        <w:t>cope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216935B4" w14:textId="77777777" w:rsidR="00C43269" w:rsidRDefault="00605BE3" w:rsidP="00F55DC4">
      <w:r w:rsidRPr="00AC7B73">
        <w:t>The then Prime Minister the Hon Scott Morrison MP commissioned the Department of the Prime Minister and Cabinet (PM&amp;C) to unde</w:t>
      </w:r>
      <w:r w:rsidR="003A65E6" w:rsidRPr="00AC7B73">
        <w:t xml:space="preserve">rtake a </w:t>
      </w:r>
      <w:r w:rsidR="00F42498" w:rsidRPr="00916FC9">
        <w:t>r</w:t>
      </w:r>
      <w:r w:rsidR="003A65E6" w:rsidRPr="00916FC9">
        <w:t>eview</w:t>
      </w:r>
      <w:r w:rsidR="003A65E6" w:rsidRPr="0061179A">
        <w:t xml:space="preserve"> of the</w:t>
      </w:r>
      <w:r w:rsidR="003A65E6" w:rsidRPr="00AC7B73">
        <w:rPr>
          <w:i/>
        </w:rPr>
        <w:t xml:space="preserve"> Members of Parliament (Staff) Act 1984</w:t>
      </w:r>
      <w:r w:rsidR="003A65E6" w:rsidRPr="00AC7B73">
        <w:t xml:space="preserve"> (MoP(S) Act) (Review) </w:t>
      </w:r>
      <w:r w:rsidR="00026CB0">
        <w:t>on</w:t>
      </w:r>
      <w:r w:rsidR="003A65E6" w:rsidRPr="00AC7B73">
        <w:t xml:space="preserve"> </w:t>
      </w:r>
      <w:r w:rsidR="00026CB0">
        <w:t>10</w:t>
      </w:r>
      <w:r w:rsidR="003A65E6" w:rsidRPr="00AC7B73">
        <w:t xml:space="preserve"> February 2022.</w:t>
      </w:r>
    </w:p>
    <w:p w14:paraId="5C3E0338" w14:textId="2161CDDD" w:rsidR="00C43269" w:rsidRDefault="001C6F9E" w:rsidP="00F55DC4">
      <w:r>
        <w:t xml:space="preserve">This was in response to </w:t>
      </w:r>
      <w:r w:rsidR="00C43269" w:rsidRPr="00C43269">
        <w:t>Sex Discrimination Commissioner Kate Jenkins</w:t>
      </w:r>
      <w:r w:rsidR="0002116B">
        <w:t>’</w:t>
      </w:r>
      <w:r w:rsidR="00C43269" w:rsidRPr="00C43269">
        <w:t xml:space="preserve"> </w:t>
      </w:r>
      <w:r>
        <w:t xml:space="preserve">recommendation </w:t>
      </w:r>
      <w:r w:rsidR="00C43269" w:rsidRPr="00C43269">
        <w:t xml:space="preserve">in </w:t>
      </w:r>
      <w:r w:rsidR="00C02D41">
        <w:t>the Australian Human Rights Commission</w:t>
      </w:r>
      <w:r w:rsidR="00C43269" w:rsidRPr="00C43269">
        <w:t xml:space="preserve"> report </w:t>
      </w:r>
      <w:r w:rsidR="00AA3B05" w:rsidRPr="00AA3B05" w:rsidDel="00142173">
        <w:rPr>
          <w:i/>
        </w:rPr>
        <w:t>Set the Standard</w:t>
      </w:r>
      <w:r w:rsidR="00C43269" w:rsidRPr="00C43269">
        <w:rPr>
          <w:i/>
        </w:rPr>
        <w:t>: Report on the Independent Review into Commo</w:t>
      </w:r>
      <w:r w:rsidR="00EC093F">
        <w:rPr>
          <w:i/>
        </w:rPr>
        <w:t>nwealth Parliamentary Workplaces</w:t>
      </w:r>
      <w:r w:rsidR="00C43269" w:rsidRPr="00C43269">
        <w:t xml:space="preserve"> (</w:t>
      </w:r>
      <w:r w:rsidR="00142173" w:rsidRPr="00142173">
        <w:rPr>
          <w:i/>
        </w:rPr>
        <w:t>Set the Standard</w:t>
      </w:r>
      <w:r w:rsidR="00C43269" w:rsidRPr="00C43269">
        <w:t>)</w:t>
      </w:r>
      <w:r w:rsidR="00EC093F">
        <w:t xml:space="preserve"> </w:t>
      </w:r>
      <w:r>
        <w:t xml:space="preserve">that </w:t>
      </w:r>
      <w:r w:rsidR="00EC093F" w:rsidRPr="00E417E1">
        <w:t xml:space="preserve">the Australian Government undertake </w:t>
      </w:r>
      <w:r w:rsidR="00C02D41">
        <w:t xml:space="preserve">a </w:t>
      </w:r>
      <w:r w:rsidR="00D43776">
        <w:t>‘</w:t>
      </w:r>
      <w:r w:rsidR="00C02D41">
        <w:t>comprehensive review of the Mo</w:t>
      </w:r>
      <w:r w:rsidR="00EC093F" w:rsidRPr="00E417E1">
        <w:t>P(S) Act employment framework to reduce complexity, increase clarity and ensure consistency with modern employment frameworks</w:t>
      </w:r>
      <w:r w:rsidR="00D43776">
        <w:t>’</w:t>
      </w:r>
      <w:r w:rsidR="00746BF8">
        <w:t>.</w:t>
      </w:r>
      <w:r w:rsidR="00D43776" w:rsidRPr="00D43776">
        <w:rPr>
          <w:rStyle w:val="FootnoteReference"/>
        </w:rPr>
        <w:t xml:space="preserve"> </w:t>
      </w:r>
      <w:r w:rsidR="00D43776">
        <w:rPr>
          <w:rStyle w:val="FootnoteReference"/>
        </w:rPr>
        <w:footnoteReference w:id="3"/>
      </w:r>
    </w:p>
    <w:p w14:paraId="520E75F7" w14:textId="6E346B85" w:rsidR="00612FAE" w:rsidRDefault="00612FAE" w:rsidP="00F55DC4">
      <w:r>
        <w:t>The objective of the Review, as</w:t>
      </w:r>
      <w:r w:rsidR="00A801A7">
        <w:t xml:space="preserve"> identified in the terms of r</w:t>
      </w:r>
      <w:r>
        <w:t>eference</w:t>
      </w:r>
      <w:r w:rsidR="00C24BA8">
        <w:t>,</w:t>
      </w:r>
      <w:r w:rsidR="007C1BC7">
        <w:rPr>
          <w:rStyle w:val="FootnoteReference"/>
        </w:rPr>
        <w:footnoteReference w:id="4"/>
      </w:r>
      <w:r w:rsidDel="007C1BC7">
        <w:t xml:space="preserve"> </w:t>
      </w:r>
      <w:r>
        <w:t>is</w:t>
      </w:r>
      <w:r w:rsidR="00B75C12">
        <w:t xml:space="preserve"> to</w:t>
      </w:r>
      <w:r>
        <w:t>:</w:t>
      </w:r>
    </w:p>
    <w:p w14:paraId="0FD05535" w14:textId="77777777" w:rsidR="00612FAE" w:rsidRPr="00612FAE" w:rsidRDefault="00612FAE" w:rsidP="006A0D1E">
      <w:pPr>
        <w:pStyle w:val="BulletedList-Level1"/>
      </w:pPr>
      <w:r w:rsidRPr="00612FAE">
        <w:t>Identify legislative, policy or other changes or initiatives necessary to ensure the employment arrangements of parliamentarians and their staff are fit for purpose to:</w:t>
      </w:r>
    </w:p>
    <w:p w14:paraId="466188E0" w14:textId="77777777" w:rsidR="00612FAE" w:rsidRPr="00612FAE" w:rsidRDefault="00612FAE" w:rsidP="00971ECB">
      <w:pPr>
        <w:pStyle w:val="BulletedList-Level1"/>
        <w:numPr>
          <w:ilvl w:val="1"/>
          <w:numId w:val="24"/>
        </w:numPr>
      </w:pPr>
      <w:r w:rsidRPr="00612FAE">
        <w:t>support a professional, high-performing, safe and respectful workplace for all parliamentarians and their staff</w:t>
      </w:r>
    </w:p>
    <w:p w14:paraId="26CCE32D" w14:textId="77777777" w:rsidR="00612FAE" w:rsidRPr="00612FAE" w:rsidRDefault="00DF612B" w:rsidP="00971ECB">
      <w:pPr>
        <w:pStyle w:val="BulletedList-Level1"/>
        <w:numPr>
          <w:ilvl w:val="1"/>
          <w:numId w:val="24"/>
        </w:numPr>
      </w:pPr>
      <w:r>
        <w:t>prevent bullying, harass</w:t>
      </w:r>
      <w:r w:rsidR="00612FAE" w:rsidRPr="00612FAE">
        <w:t>ment, sexual harassment and sexual assault and address its impacts according to best practice.</w:t>
      </w:r>
    </w:p>
    <w:p w14:paraId="1D33FB1C" w14:textId="6E44949E" w:rsidR="00F55DC4" w:rsidRDefault="00A801A7" w:rsidP="00F55DC4">
      <w:r>
        <w:t>The terms of r</w:t>
      </w:r>
      <w:r w:rsidR="00746BF8" w:rsidDel="00B75C12">
        <w:t>eference</w:t>
      </w:r>
      <w:r w:rsidR="002F39AA" w:rsidDel="00B75C12">
        <w:t xml:space="preserve"> </w:t>
      </w:r>
      <w:r w:rsidR="000050E1">
        <w:t>ask</w:t>
      </w:r>
      <w:r w:rsidR="00746BF8">
        <w:t xml:space="preserve"> </w:t>
      </w:r>
      <w:r w:rsidR="00303E54">
        <w:t>PM&amp;C to consider</w:t>
      </w:r>
      <w:r w:rsidR="00155979">
        <w:t>:</w:t>
      </w:r>
    </w:p>
    <w:p w14:paraId="6E3518C4" w14:textId="77777777" w:rsidR="00155979" w:rsidRDefault="008445EF" w:rsidP="006A0D1E">
      <w:pPr>
        <w:pStyle w:val="BulletedList-Level1"/>
      </w:pPr>
      <w:r>
        <w:t>t</w:t>
      </w:r>
      <w:r w:rsidR="00155979">
        <w:t xml:space="preserve">he recruitment of </w:t>
      </w:r>
      <w:r w:rsidR="00122A67">
        <w:t>MoP</w:t>
      </w:r>
      <w:r w:rsidR="00155979">
        <w:t xml:space="preserve">(S) Act </w:t>
      </w:r>
      <w:r w:rsidR="0057230A">
        <w:t>employees</w:t>
      </w:r>
      <w:r w:rsidR="00155979">
        <w:t>, including transparency of arrangements, the use of merit-based recruitment, and pre-engagement checks</w:t>
      </w:r>
    </w:p>
    <w:p w14:paraId="06040EDE" w14:textId="77777777" w:rsidR="00155979" w:rsidRDefault="008445EF" w:rsidP="006A0D1E">
      <w:pPr>
        <w:pStyle w:val="BulletedList-Level1"/>
      </w:pPr>
      <w:r>
        <w:t>p</w:t>
      </w:r>
      <w:r w:rsidR="00155979">
        <w:t xml:space="preserve">rocedural fairness for the terms, conditions, and termination of employees and employers under the </w:t>
      </w:r>
      <w:r w:rsidR="00122A67">
        <w:t>MoP</w:t>
      </w:r>
      <w:r w:rsidR="00155979">
        <w:t>(S) Act</w:t>
      </w:r>
    </w:p>
    <w:p w14:paraId="64BB1145" w14:textId="77777777" w:rsidR="00155979" w:rsidRDefault="008445EF" w:rsidP="006A0D1E">
      <w:pPr>
        <w:pStyle w:val="BulletedList-Level1"/>
      </w:pPr>
      <w:r>
        <w:t>t</w:t>
      </w:r>
      <w:r w:rsidR="00155979">
        <w:t xml:space="preserve">he responsibilities, expectations, and accountability of </w:t>
      </w:r>
      <w:r w:rsidR="00122A67">
        <w:t>MoP</w:t>
      </w:r>
      <w:r w:rsidR="00155979">
        <w:t>(S) Act employees</w:t>
      </w:r>
    </w:p>
    <w:p w14:paraId="77926DDD" w14:textId="77777777" w:rsidR="00155979" w:rsidRDefault="008445EF" w:rsidP="006A0D1E">
      <w:pPr>
        <w:pStyle w:val="BulletedList-Level1"/>
      </w:pPr>
      <w:r>
        <w:t>a</w:t>
      </w:r>
      <w:r w:rsidR="00155979">
        <w:t xml:space="preserve">ppropriate public reporting and accountability of the administration of the </w:t>
      </w:r>
      <w:r w:rsidR="00122A67">
        <w:t>MoP</w:t>
      </w:r>
      <w:r w:rsidR="00155979">
        <w:t>(S) Act</w:t>
      </w:r>
    </w:p>
    <w:p w14:paraId="0A1FEC32" w14:textId="2D43F731" w:rsidR="000A629B" w:rsidRDefault="00297A59" w:rsidP="00C43269">
      <w:r>
        <w:t>In accordance with the t</w:t>
      </w:r>
      <w:r w:rsidR="00D77646">
        <w:t>e</w:t>
      </w:r>
      <w:r>
        <w:t>rms of r</w:t>
      </w:r>
      <w:r w:rsidR="00D77646">
        <w:t>eference,</w:t>
      </w:r>
      <w:r w:rsidR="00216E99">
        <w:t xml:space="preserve"> the </w:t>
      </w:r>
      <w:r w:rsidR="00087FF8">
        <w:t>R</w:t>
      </w:r>
      <w:r w:rsidR="00216E99">
        <w:t xml:space="preserve">eview </w:t>
      </w:r>
      <w:r w:rsidR="00155979">
        <w:t>consider</w:t>
      </w:r>
      <w:r w:rsidR="00D77646">
        <w:t>s</w:t>
      </w:r>
      <w:r w:rsidR="00155979">
        <w:t xml:space="preserve"> </w:t>
      </w:r>
      <w:r w:rsidR="00D77646">
        <w:t>only</w:t>
      </w:r>
      <w:r w:rsidR="00155979">
        <w:t xml:space="preserve"> the terms and conditions of employment legislated un</w:t>
      </w:r>
      <w:r w:rsidR="00216E99">
        <w:t>der</w:t>
      </w:r>
      <w:r w:rsidR="00155979">
        <w:t xml:space="preserve"> the MoP(S) Act</w:t>
      </w:r>
      <w:r w:rsidR="00D77646">
        <w:t>,</w:t>
      </w:r>
      <w:r w:rsidR="00155979">
        <w:t xml:space="preserve"> </w:t>
      </w:r>
      <w:r w:rsidR="00D77646">
        <w:t xml:space="preserve">but has </w:t>
      </w:r>
      <w:r w:rsidR="00216E99">
        <w:t>regard to</w:t>
      </w:r>
      <w:r w:rsidR="00155979">
        <w:t xml:space="preserve"> </w:t>
      </w:r>
      <w:r w:rsidR="00D77646">
        <w:t>other</w:t>
      </w:r>
      <w:r w:rsidR="00155979">
        <w:t xml:space="preserve"> legislation </w:t>
      </w:r>
      <w:r w:rsidR="00D77646">
        <w:t>where relevant.</w:t>
      </w:r>
    </w:p>
    <w:p w14:paraId="05B4EC98" w14:textId="0D62389E" w:rsidR="00B75C12" w:rsidRDefault="00297A59" w:rsidP="00B75C12">
      <w:r>
        <w:t>The terms of r</w:t>
      </w:r>
      <w:r w:rsidR="00B75C12" w:rsidRPr="00DE5C41">
        <w:t>eference require a final written report to be provided to the Prime Minister by 30 September 2022.</w:t>
      </w:r>
    </w:p>
    <w:p w14:paraId="08E54010" w14:textId="2A6092C1" w:rsidR="00155979" w:rsidRDefault="00155979" w:rsidP="00C43269">
      <w:r>
        <w:t xml:space="preserve">For the purposes of this </w:t>
      </w:r>
      <w:r w:rsidR="004011BC">
        <w:t>R</w:t>
      </w:r>
      <w:r>
        <w:t xml:space="preserve">eview, the MoP(S) </w:t>
      </w:r>
      <w:r w:rsidR="000A629B">
        <w:t xml:space="preserve">Act </w:t>
      </w:r>
      <w:r w:rsidR="00B75C12">
        <w:t xml:space="preserve">framework </w:t>
      </w:r>
      <w:r>
        <w:t xml:space="preserve">includes the </w:t>
      </w:r>
      <w:r w:rsidR="00EB15B4">
        <w:t xml:space="preserve">MoP(S) </w:t>
      </w:r>
      <w:r>
        <w:t xml:space="preserve">Act itself in addition to </w:t>
      </w:r>
      <w:r w:rsidR="004011BC">
        <w:t xml:space="preserve">the </w:t>
      </w:r>
      <w:r>
        <w:t xml:space="preserve">instruments, determinations and policies </w:t>
      </w:r>
      <w:r w:rsidR="005F6FD6">
        <w:t>flowing</w:t>
      </w:r>
      <w:r>
        <w:t xml:space="preserve"> from it. Whil</w:t>
      </w:r>
      <w:r w:rsidR="00D77646">
        <w:t>e</w:t>
      </w:r>
      <w:r>
        <w:t xml:space="preserve"> the exact </w:t>
      </w:r>
      <w:r w:rsidR="002C7A59">
        <w:t>terms and conditions</w:t>
      </w:r>
      <w:r>
        <w:t xml:space="preserve"> of the </w:t>
      </w:r>
      <w:r w:rsidR="00301AF5" w:rsidRPr="00301AF5">
        <w:t>Commonwealth Members of Parliament Staff</w:t>
      </w:r>
      <w:r w:rsidR="00301AF5">
        <w:t xml:space="preserve"> </w:t>
      </w:r>
      <w:r>
        <w:t xml:space="preserve">Enterprise Agreement </w:t>
      </w:r>
      <w:r w:rsidR="00301AF5">
        <w:t>2020-23 (</w:t>
      </w:r>
      <w:r w:rsidR="00982005">
        <w:t>EA</w:t>
      </w:r>
      <w:r w:rsidR="00301AF5">
        <w:t xml:space="preserve">) </w:t>
      </w:r>
      <w:r w:rsidR="00B75C12">
        <w:t xml:space="preserve">are </w:t>
      </w:r>
      <w:r>
        <w:t xml:space="preserve">considered </w:t>
      </w:r>
      <w:r w:rsidR="00B75C12">
        <w:t xml:space="preserve">to be </w:t>
      </w:r>
      <w:r>
        <w:t>out of scope</w:t>
      </w:r>
      <w:r w:rsidR="00301AF5">
        <w:t>,</w:t>
      </w:r>
      <w:r w:rsidDel="00F37A2D">
        <w:t xml:space="preserve"> </w:t>
      </w:r>
      <w:r w:rsidR="00F37A2D">
        <w:t xml:space="preserve">we note any changes to the MoP(S) Act are likely to impact upon </w:t>
      </w:r>
      <w:r w:rsidR="002C7A59">
        <w:t xml:space="preserve">the next </w:t>
      </w:r>
      <w:r w:rsidR="00982005">
        <w:t>EA</w:t>
      </w:r>
      <w:r w:rsidR="002C7A59">
        <w:t>.</w:t>
      </w:r>
    </w:p>
    <w:p w14:paraId="5DD76C2B" w14:textId="1342752E" w:rsidR="00155979" w:rsidRDefault="00155979" w:rsidP="002C7A59">
      <w:r>
        <w:t xml:space="preserve">In addition, although the Review team heard concerns from stakeholders around aspects of their </w:t>
      </w:r>
      <w:r w:rsidR="00216E99">
        <w:t xml:space="preserve">broader </w:t>
      </w:r>
      <w:r>
        <w:t>employment landscape</w:t>
      </w:r>
      <w:r w:rsidR="007A3365">
        <w:t xml:space="preserve"> – for example, </w:t>
      </w:r>
      <w:r w:rsidR="00216E99">
        <w:t xml:space="preserve">covered under the </w:t>
      </w:r>
      <w:r w:rsidR="00216E99">
        <w:rPr>
          <w:i/>
        </w:rPr>
        <w:t>Parliamentary Business Resources Act 2017</w:t>
      </w:r>
      <w:r w:rsidR="007A3365">
        <w:t xml:space="preserve"> – </w:t>
      </w:r>
      <w:r w:rsidR="00216E99" w:rsidRPr="00921639">
        <w:t xml:space="preserve">these </w:t>
      </w:r>
      <w:r w:rsidR="007A3365" w:rsidRPr="00921639">
        <w:t>aspects</w:t>
      </w:r>
      <w:r w:rsidR="007A3365">
        <w:t xml:space="preserve"> </w:t>
      </w:r>
      <w:r w:rsidR="00216E99">
        <w:t xml:space="preserve">were largely out of scope of this </w:t>
      </w:r>
      <w:r w:rsidR="00234CB8">
        <w:t>R</w:t>
      </w:r>
      <w:r w:rsidR="00216E99">
        <w:t>eview.</w:t>
      </w:r>
      <w:r w:rsidR="00D64FC8">
        <w:t xml:space="preserve"> </w:t>
      </w:r>
    </w:p>
    <w:p w14:paraId="2C5D9CF7" w14:textId="569CEB8B" w:rsidR="000A629B" w:rsidRDefault="004B325D" w:rsidP="000A629B">
      <w:r>
        <w:t>The full t</w:t>
      </w:r>
      <w:r w:rsidR="000A629B">
        <w:t>er</w:t>
      </w:r>
      <w:r>
        <w:t>ms of reference are</w:t>
      </w:r>
      <w:r w:rsidR="000A629B">
        <w:t xml:space="preserve"> available at </w:t>
      </w:r>
      <w:r w:rsidR="00B44E48">
        <w:rPr>
          <w:b/>
        </w:rPr>
        <w:t>Appendix </w:t>
      </w:r>
      <w:r w:rsidR="00B46D82">
        <w:rPr>
          <w:b/>
        </w:rPr>
        <w:t>8</w:t>
      </w:r>
      <w:r w:rsidR="000A629B" w:rsidRPr="00612FAE">
        <w:rPr>
          <w:b/>
        </w:rPr>
        <w:t>.2</w:t>
      </w:r>
      <w:r w:rsidR="000A629B">
        <w:t>.</w:t>
      </w:r>
    </w:p>
    <w:p w14:paraId="1E5B866D" w14:textId="6B9F7506" w:rsidR="00612FAE" w:rsidRDefault="00612FAE" w:rsidP="00C43269">
      <w:r>
        <w:t xml:space="preserve">The </w:t>
      </w:r>
      <w:r w:rsidR="00234CB8">
        <w:t>R</w:t>
      </w:r>
      <w:r>
        <w:t xml:space="preserve">eview </w:t>
      </w:r>
      <w:r w:rsidR="00E706F3">
        <w:t>covers</w:t>
      </w:r>
      <w:r>
        <w:t xml:space="preserve"> all employees of parliamentarians, from casual through to full-time</w:t>
      </w:r>
      <w:r w:rsidR="00C02D41">
        <w:t>, non-ongoing to ongoing</w:t>
      </w:r>
      <w:r>
        <w:t>, including tho</w:t>
      </w:r>
      <w:r w:rsidR="00B44E48">
        <w:t>se of office</w:t>
      </w:r>
      <w:r w:rsidR="00B40D5C">
        <w:t>-</w:t>
      </w:r>
      <w:r w:rsidR="00B44E48">
        <w:t>holders under Part </w:t>
      </w:r>
      <w:r>
        <w:t xml:space="preserve">III of the MoP(S) Act and those of Senators and Members under Part IV. Although much of the publicity around MoP(S) </w:t>
      </w:r>
      <w:r w:rsidR="007A3365">
        <w:t xml:space="preserve">Act </w:t>
      </w:r>
      <w:r>
        <w:t>empl</w:t>
      </w:r>
      <w:r w:rsidR="007A3365">
        <w:t>oyees in recent years has focus</w:t>
      </w:r>
      <w:r>
        <w:t xml:space="preserve">ed on </w:t>
      </w:r>
      <w:r w:rsidR="00D6635B">
        <w:t>m</w:t>
      </w:r>
      <w:r>
        <w:t xml:space="preserve">inisterial </w:t>
      </w:r>
      <w:r w:rsidR="00D6635B">
        <w:t>a</w:t>
      </w:r>
      <w:r>
        <w:t>dvisers</w:t>
      </w:r>
      <w:r w:rsidR="002C7A59">
        <w:t>, and other personal staffing position</w:t>
      </w:r>
      <w:r w:rsidR="00F37A2D">
        <w:t>s</w:t>
      </w:r>
      <w:r w:rsidR="00F61E9E">
        <w:t xml:space="preserve">, </w:t>
      </w:r>
      <w:r w:rsidR="00D6635B">
        <w:t>e</w:t>
      </w:r>
      <w:r w:rsidR="00F61E9E">
        <w:t>lectorate o</w:t>
      </w:r>
      <w:r>
        <w:t>fficers (em</w:t>
      </w:r>
      <w:r w:rsidR="00B44E48">
        <w:t>ployed predominantly under Part </w:t>
      </w:r>
      <w:r>
        <w:t xml:space="preserve">IV of the </w:t>
      </w:r>
      <w:r w:rsidR="00EB15B4">
        <w:t xml:space="preserve">MoP(S) </w:t>
      </w:r>
      <w:r>
        <w:t>Act) are the larger cohort</w:t>
      </w:r>
      <w:r w:rsidR="002C7A59">
        <w:t>.</w:t>
      </w:r>
      <w:r w:rsidR="00C02D41">
        <w:t xml:space="preserve"> This</w:t>
      </w:r>
      <w:r w:rsidR="00E706F3">
        <w:t xml:space="preserve"> </w:t>
      </w:r>
      <w:r w:rsidR="00234CB8">
        <w:t>R</w:t>
      </w:r>
      <w:r w:rsidR="00E706F3">
        <w:t xml:space="preserve">eview </w:t>
      </w:r>
      <w:r w:rsidR="00F37A2D">
        <w:t xml:space="preserve">considers </w:t>
      </w:r>
      <w:r w:rsidR="00E706F3">
        <w:t xml:space="preserve">all types of </w:t>
      </w:r>
      <w:r w:rsidR="00F37A2D">
        <w:t xml:space="preserve">MoP(S) </w:t>
      </w:r>
      <w:r w:rsidR="000C429B">
        <w:t xml:space="preserve">Act </w:t>
      </w:r>
      <w:r w:rsidR="00E706F3">
        <w:t>employees</w:t>
      </w:r>
      <w:r>
        <w:t xml:space="preserve">. </w:t>
      </w:r>
    </w:p>
    <w:p w14:paraId="3840BD25" w14:textId="5E542469" w:rsidR="007A7449" w:rsidRDefault="007A7449" w:rsidP="007A7449">
      <w:r>
        <w:t>As at 1 August 2022</w:t>
      </w:r>
      <w:r w:rsidR="00946F7F">
        <w:t>,</w:t>
      </w:r>
      <w:r w:rsidR="00EE3100">
        <w:rPr>
          <w:rStyle w:val="FootnoteReference"/>
        </w:rPr>
        <w:footnoteReference w:id="5"/>
      </w:r>
      <w:r>
        <w:t xml:space="preserve"> approximately </w:t>
      </w:r>
      <w:r w:rsidRPr="00921639">
        <w:t>1,753</w:t>
      </w:r>
      <w:r>
        <w:t xml:space="preserve"> employees were engaged under the MoP(S) Act:</w:t>
      </w:r>
    </w:p>
    <w:p w14:paraId="26A4FB1A" w14:textId="77777777" w:rsidR="007A7449" w:rsidRDefault="007A7449" w:rsidP="007A7449">
      <w:pPr>
        <w:pStyle w:val="BulletedList-Level1"/>
      </w:pPr>
      <w:r w:rsidRPr="00921639">
        <w:t>1,708</w:t>
      </w:r>
      <w:r>
        <w:t xml:space="preserve"> employees are engaged by parliamentarians (151 </w:t>
      </w:r>
      <w:r w:rsidR="00DE2416">
        <w:t xml:space="preserve">members </w:t>
      </w:r>
      <w:r>
        <w:t xml:space="preserve">of the House of Representatives and 76 </w:t>
      </w:r>
      <w:r w:rsidR="00DE2416">
        <w:t>senators</w:t>
      </w:r>
      <w:r>
        <w:t>)</w:t>
      </w:r>
    </w:p>
    <w:p w14:paraId="2241D2F0" w14:textId="60B49EA3" w:rsidR="007A7449" w:rsidRDefault="007A7449" w:rsidP="007A7449">
      <w:pPr>
        <w:pStyle w:val="BulletedList-Level1"/>
      </w:pPr>
      <w:r w:rsidRPr="00921639">
        <w:t>21</w:t>
      </w:r>
      <w:r>
        <w:t xml:space="preserve"> employees are engaged by former Prime Ministers no longer in </w:t>
      </w:r>
      <w:r w:rsidR="006146A9">
        <w:t>p</w:t>
      </w:r>
      <w:r>
        <w:t>arliament</w:t>
      </w:r>
      <w:r w:rsidR="00C966AD">
        <w:t xml:space="preserve">, </w:t>
      </w:r>
      <w:r>
        <w:t xml:space="preserve">and </w:t>
      </w:r>
    </w:p>
    <w:p w14:paraId="52460765" w14:textId="0B8A9C5A" w:rsidR="007A7449" w:rsidRDefault="00E1697B" w:rsidP="007A7449">
      <w:pPr>
        <w:pStyle w:val="BulletedList-Level1"/>
      </w:pPr>
      <w:r>
        <w:t xml:space="preserve">24 </w:t>
      </w:r>
      <w:r w:rsidR="007A7449">
        <w:t xml:space="preserve">employees engaged at </w:t>
      </w:r>
      <w:r w:rsidR="00963A4E">
        <w:t>official residences</w:t>
      </w:r>
      <w:r w:rsidR="00196423">
        <w:t>.</w:t>
      </w:r>
      <w:r w:rsidR="007A7449">
        <w:rPr>
          <w:rStyle w:val="FootnoteReference"/>
        </w:rPr>
        <w:footnoteReference w:id="6"/>
      </w:r>
      <w:r w:rsidR="007A7449">
        <w:t xml:space="preserve"> </w:t>
      </w:r>
    </w:p>
    <w:p w14:paraId="63968F19" w14:textId="77777777" w:rsidR="007A7449" w:rsidRDefault="007A7449" w:rsidP="007A7449">
      <w:r>
        <w:t xml:space="preserve">These employees, and their workplaces, are geographically dispersed across Australia. Of the </w:t>
      </w:r>
      <w:r w:rsidRPr="00921639">
        <w:t>1,708</w:t>
      </w:r>
      <w:r>
        <w:t xml:space="preserve"> engaged by parliamentarians, 68 per cent are electorate staff and 32 per cent are personal staff. Sixty</w:t>
      </w:r>
      <w:r>
        <w:noBreakHyphen/>
        <w:t>four per cent are full-time ongoing, 14 per cent part-time ongoing, 7 per cent part-time non</w:t>
      </w:r>
      <w:r>
        <w:noBreakHyphen/>
        <w:t>ongoing, 10 per cent part-time non-ongoing, and 6 per cent casual staff.</w:t>
      </w:r>
    </w:p>
    <w:p w14:paraId="7154259C" w14:textId="77777777" w:rsidR="000050E1" w:rsidRDefault="000050E1" w:rsidP="00ED58FA"/>
    <w:p w14:paraId="4433C5BC" w14:textId="16A6C922" w:rsidR="000050E1" w:rsidRPr="000F2E36" w:rsidRDefault="002333F5" w:rsidP="000050E1">
      <w:pPr>
        <w:pStyle w:val="Heading2"/>
      </w:pPr>
      <w:bookmarkStart w:id="1039" w:name="_Toc104212778"/>
      <w:bookmarkStart w:id="1040" w:name="_Toc114230856"/>
      <w:bookmarkStart w:id="1041" w:name="_Toc114232913"/>
      <w:bookmarkStart w:id="1042" w:name="_Toc114233561"/>
      <w:bookmarkStart w:id="1043" w:name="_Toc114233633"/>
      <w:bookmarkStart w:id="1044" w:name="_Toc114240588"/>
      <w:bookmarkStart w:id="1045" w:name="_Toc114240662"/>
      <w:bookmarkStart w:id="1046" w:name="_Toc114241006"/>
      <w:bookmarkStart w:id="1047" w:name="_Toc114493879"/>
      <w:bookmarkStart w:id="1048" w:name="_Toc114500280"/>
      <w:bookmarkStart w:id="1049" w:name="_Toc114500355"/>
      <w:bookmarkStart w:id="1050" w:name="_Toc114518628"/>
      <w:bookmarkStart w:id="1051" w:name="_Toc114520300"/>
      <w:bookmarkStart w:id="1052" w:name="_Toc114520709"/>
      <w:bookmarkStart w:id="1053" w:name="_Toc114565737"/>
      <w:bookmarkStart w:id="1054" w:name="_Toc114566718"/>
      <w:bookmarkStart w:id="1055" w:name="_Toc114566943"/>
      <w:bookmarkStart w:id="1056" w:name="_Toc114566867"/>
      <w:bookmarkStart w:id="1057" w:name="_Toc114585868"/>
      <w:bookmarkStart w:id="1058" w:name="_Toc114586012"/>
      <w:bookmarkStart w:id="1059" w:name="_Toc114586084"/>
      <w:bookmarkStart w:id="1060" w:name="_Toc114601224"/>
      <w:bookmarkStart w:id="1061" w:name="_Toc114657265"/>
      <w:bookmarkStart w:id="1062" w:name="_Toc114659727"/>
      <w:bookmarkStart w:id="1063" w:name="_Toc114662712"/>
      <w:bookmarkStart w:id="1064" w:name="_Toc114665096"/>
      <w:bookmarkStart w:id="1065" w:name="_Toc114672405"/>
      <w:bookmarkStart w:id="1066" w:name="_Toc114672617"/>
      <w:bookmarkStart w:id="1067" w:name="_Toc114673172"/>
      <w:bookmarkStart w:id="1068" w:name="_Toc114674283"/>
      <w:bookmarkStart w:id="1069" w:name="_Toc114687456"/>
      <w:bookmarkStart w:id="1070" w:name="_Toc114689920"/>
      <w:bookmarkStart w:id="1071" w:name="_Toc114731783"/>
      <w:bookmarkStart w:id="1072" w:name="_Toc114733548"/>
      <w:bookmarkStart w:id="1073" w:name="_Toc114735489"/>
      <w:bookmarkStart w:id="1074" w:name="_Toc114755819"/>
      <w:bookmarkStart w:id="1075" w:name="_Toc114757124"/>
      <w:bookmarkStart w:id="1076" w:name="_Toc114757408"/>
      <w:bookmarkStart w:id="1077" w:name="_Toc114757510"/>
      <w:bookmarkStart w:id="1078" w:name="_Toc114758183"/>
      <w:bookmarkStart w:id="1079" w:name="_Toc114824353"/>
      <w:bookmarkStart w:id="1080" w:name="_Toc114829429"/>
      <w:bookmarkStart w:id="1081" w:name="_Toc114829793"/>
      <w:bookmarkStart w:id="1082" w:name="_Toc114829760"/>
      <w:bookmarkStart w:id="1083" w:name="_Toc114829937"/>
      <w:bookmarkStart w:id="1084" w:name="_Toc115099016"/>
      <w:bookmarkStart w:id="1085" w:name="_Toc115099088"/>
      <w:bookmarkStart w:id="1086" w:name="_Toc115101665"/>
      <w:bookmarkStart w:id="1087" w:name="_Toc115102510"/>
      <w:bookmarkStart w:id="1088" w:name="_Toc115105483"/>
      <w:bookmarkStart w:id="1089" w:name="_Toc115110344"/>
      <w:bookmarkStart w:id="1090" w:name="_Toc115110471"/>
      <w:bookmarkStart w:id="1091" w:name="_Toc115121589"/>
      <w:bookmarkStart w:id="1092" w:name="_Toc115121959"/>
      <w:bookmarkStart w:id="1093" w:name="_Toc115123439"/>
      <w:bookmarkStart w:id="1094" w:name="_Toc115123687"/>
      <w:bookmarkStart w:id="1095" w:name="_Toc115126819"/>
      <w:bookmarkStart w:id="1096" w:name="_Toc115185456"/>
      <w:bookmarkStart w:id="1097" w:name="_Toc115186083"/>
      <w:bookmarkStart w:id="1098" w:name="_Toc115189241"/>
      <w:bookmarkStart w:id="1099" w:name="_Toc115194214"/>
      <w:bookmarkStart w:id="1100" w:name="_Toc115194951"/>
      <w:bookmarkStart w:id="1101" w:name="_Toc115196361"/>
      <w:bookmarkStart w:id="1102" w:name="_Toc115198862"/>
      <w:bookmarkStart w:id="1103" w:name="_Toc115208877"/>
      <w:bookmarkStart w:id="1104" w:name="_Toc115209013"/>
      <w:bookmarkStart w:id="1105" w:name="_Toc115210344"/>
      <w:bookmarkStart w:id="1106" w:name="_Toc115212569"/>
      <w:bookmarkStart w:id="1107" w:name="_Toc115213209"/>
      <w:bookmarkStart w:id="1108" w:name="_Toc115216707"/>
      <w:bookmarkStart w:id="1109" w:name="_Toc115270398"/>
      <w:bookmarkStart w:id="1110" w:name="_Toc115271341"/>
      <w:bookmarkStart w:id="1111" w:name="_Toc115272258"/>
      <w:bookmarkStart w:id="1112" w:name="_Toc115273428"/>
      <w:bookmarkStart w:id="1113" w:name="_Toc115273356"/>
      <w:bookmarkStart w:id="1114" w:name="_Toc115274609"/>
      <w:bookmarkStart w:id="1115" w:name="_Toc115274835"/>
      <w:bookmarkStart w:id="1116" w:name="_Toc115275192"/>
      <w:bookmarkStart w:id="1117" w:name="_Toc115275335"/>
      <w:bookmarkStart w:id="1118" w:name="_Toc115274172"/>
      <w:bookmarkStart w:id="1119" w:name="_Toc115274473"/>
      <w:bookmarkStart w:id="1120" w:name="_Toc115274541"/>
      <w:bookmarkStart w:id="1121" w:name="_Toc115274699"/>
      <w:bookmarkStart w:id="1122" w:name="_Toc115277433"/>
      <w:bookmarkStart w:id="1123" w:name="_Toc115277637"/>
      <w:bookmarkStart w:id="1124" w:name="_Toc115278526"/>
      <w:bookmarkStart w:id="1125" w:name="_Toc115278606"/>
      <w:bookmarkStart w:id="1126" w:name="_Toc115282276"/>
      <w:bookmarkStart w:id="1127" w:name="_Toc115284729"/>
      <w:bookmarkStart w:id="1128" w:name="_Toc115286821"/>
      <w:bookmarkStart w:id="1129" w:name="_Toc115294755"/>
      <w:bookmarkStart w:id="1130" w:name="_Toc115296335"/>
      <w:bookmarkStart w:id="1131" w:name="_Toc115308521"/>
      <w:bookmarkStart w:id="1132" w:name="_Toc115311173"/>
      <w:bookmarkStart w:id="1133" w:name="_Toc115312653"/>
      <w:bookmarkStart w:id="1134" w:name="_Toc115343827"/>
      <w:bookmarkStart w:id="1135" w:name="_Toc115348265"/>
      <w:bookmarkStart w:id="1136" w:name="_Toc115350363"/>
      <w:bookmarkStart w:id="1137" w:name="_Toc115353451"/>
      <w:bookmarkStart w:id="1138" w:name="_Toc115359482"/>
      <w:bookmarkStart w:id="1139" w:name="_Toc115361886"/>
      <w:bookmarkStart w:id="1140" w:name="_Toc115364279"/>
      <w:bookmarkStart w:id="1141" w:name="_Toc115365373"/>
      <w:bookmarkStart w:id="1142" w:name="_Toc115365645"/>
      <w:bookmarkStart w:id="1143" w:name="_Toc115365713"/>
      <w:bookmarkStart w:id="1144" w:name="_Toc115366177"/>
      <w:bookmarkStart w:id="1145" w:name="_Toc115368550"/>
      <w:bookmarkStart w:id="1146" w:name="_Toc115370067"/>
      <w:bookmarkStart w:id="1147" w:name="_Toc115370733"/>
      <w:bookmarkStart w:id="1148" w:name="_Toc115374373"/>
      <w:bookmarkStart w:id="1149" w:name="_Toc115378712"/>
      <w:bookmarkStart w:id="1150" w:name="_Toc115380944"/>
      <w:bookmarkStart w:id="1151" w:name="_Toc115384096"/>
      <w:bookmarkStart w:id="1152" w:name="_Toc115387325"/>
      <w:bookmarkStart w:id="1153" w:name="_Toc115388791"/>
      <w:bookmarkStart w:id="1154" w:name="_Toc115431429"/>
      <w:bookmarkStart w:id="1155" w:name="_Toc115432807"/>
      <w:bookmarkStart w:id="1156" w:name="_Toc115434378"/>
      <w:bookmarkStart w:id="1157" w:name="_Toc115434477"/>
      <w:bookmarkStart w:id="1158" w:name="_Toc115434546"/>
      <w:bookmarkStart w:id="1159" w:name="_Toc115434615"/>
      <w:bookmarkStart w:id="1160" w:name="_Toc115442785"/>
      <w:bookmarkStart w:id="1161" w:name="_Toc115448028"/>
      <w:bookmarkStart w:id="1162" w:name="_Toc115449420"/>
      <w:bookmarkStart w:id="1163" w:name="_Toc115452440"/>
      <w:bookmarkStart w:id="1164" w:name="_Toc115455257"/>
      <w:bookmarkStart w:id="1165" w:name="_Toc115455323"/>
      <w:bookmarkStart w:id="1166" w:name="_Toc115457273"/>
      <w:bookmarkStart w:id="1167" w:name="_Toc115458109"/>
      <w:bookmarkStart w:id="1168" w:name="_Toc115948137"/>
      <w:bookmarkStart w:id="1169" w:name="_Toc115948584"/>
      <w:r>
        <w:t>1.2</w:t>
      </w:r>
      <w:r w:rsidR="000050E1" w:rsidRPr="000F2E36">
        <w:t xml:space="preserve"> The </w:t>
      </w:r>
      <w:r w:rsidR="00CB748B">
        <w:t>case</w:t>
      </w:r>
      <w:r w:rsidR="000050E1" w:rsidRPr="000F2E36">
        <w:t xml:space="preserve"> for the </w:t>
      </w:r>
      <w:r w:rsidR="00CB748B">
        <w:t>r</w:t>
      </w:r>
      <w:r w:rsidR="000050E1" w:rsidRPr="000F2E36">
        <w:t>eview</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1135A513" w14:textId="04F1C0F7" w:rsidR="000050E1" w:rsidRDefault="00F37A2D" w:rsidP="000050E1">
      <w:r>
        <w:t xml:space="preserve">As </w:t>
      </w:r>
      <w:r w:rsidR="00142173" w:rsidRPr="00142173">
        <w:rPr>
          <w:i/>
        </w:rPr>
        <w:t>Set the Standard</w:t>
      </w:r>
      <w:r w:rsidR="000050E1">
        <w:t xml:space="preserve"> highlight</w:t>
      </w:r>
      <w:r>
        <w:t>s</w:t>
      </w:r>
      <w:r w:rsidR="00F61E9E">
        <w:t>,</w:t>
      </w:r>
      <w:r w:rsidR="00E72898">
        <w:t xml:space="preserve"> there has</w:t>
      </w:r>
      <w:r w:rsidR="000050E1">
        <w:t xml:space="preserve"> been no review of the MoP(S) Act since it was enacted in 1984</w:t>
      </w:r>
      <w:r w:rsidR="00D6635B">
        <w:t>.</w:t>
      </w:r>
      <w:r w:rsidR="000050E1">
        <w:rPr>
          <w:rStyle w:val="FootnoteReference"/>
        </w:rPr>
        <w:footnoteReference w:id="7"/>
      </w:r>
      <w:r w:rsidR="000050E1">
        <w:t xml:space="preserve"> </w:t>
      </w:r>
      <w:r w:rsidR="00D6635B">
        <w:t>I</w:t>
      </w:r>
      <w:r w:rsidR="000050E1">
        <w:t xml:space="preserve">n that </w:t>
      </w:r>
      <w:r w:rsidR="000050E1" w:rsidRPr="00E61184">
        <w:t xml:space="preserve">time the </w:t>
      </w:r>
      <w:r w:rsidR="008B5C33" w:rsidRPr="00E61184">
        <w:t xml:space="preserve">MoP(S) </w:t>
      </w:r>
      <w:r w:rsidR="000050E1" w:rsidRPr="00E61184">
        <w:t>workforce ha</w:t>
      </w:r>
      <w:r w:rsidRPr="00E61184">
        <w:t>s</w:t>
      </w:r>
      <w:r w:rsidR="000050E1" w:rsidRPr="00E61184">
        <w:t xml:space="preserve"> grown </w:t>
      </w:r>
      <w:r w:rsidR="000050E1">
        <w:t xml:space="preserve">and the role </w:t>
      </w:r>
      <w:r>
        <w:t xml:space="preserve">of employees </w:t>
      </w:r>
      <w:r w:rsidR="000050E1">
        <w:t>ha</w:t>
      </w:r>
      <w:r>
        <w:t>s</w:t>
      </w:r>
      <w:r w:rsidR="000050E1">
        <w:t xml:space="preserve"> changed significantly.</w:t>
      </w:r>
    </w:p>
    <w:p w14:paraId="520A9355" w14:textId="526D2A46" w:rsidR="000050E1" w:rsidRDefault="00142173" w:rsidP="000050E1">
      <w:r w:rsidRPr="00142173">
        <w:rPr>
          <w:i/>
        </w:rPr>
        <w:t>Set the Standard</w:t>
      </w:r>
      <w:r w:rsidR="000050E1">
        <w:t xml:space="preserve"> </w:t>
      </w:r>
      <w:r w:rsidR="00CD189E">
        <w:t xml:space="preserve">identified issues </w:t>
      </w:r>
      <w:r w:rsidR="0060412D">
        <w:t>on</w:t>
      </w:r>
      <w:r w:rsidR="000050E1">
        <w:t xml:space="preserve"> </w:t>
      </w:r>
      <w:r w:rsidR="00F37A2D">
        <w:t xml:space="preserve">the </w:t>
      </w:r>
      <w:r w:rsidR="000050E1">
        <w:t>complexity and clarity</w:t>
      </w:r>
      <w:r w:rsidR="00F37A2D">
        <w:t xml:space="preserve"> of the employment framework</w:t>
      </w:r>
      <w:r w:rsidR="00CD189E">
        <w:t xml:space="preserve"> including:</w:t>
      </w:r>
      <w:r w:rsidR="00F37A2D">
        <w:t xml:space="preserve"> </w:t>
      </w:r>
    </w:p>
    <w:p w14:paraId="7AC2FE04" w14:textId="77777777" w:rsidR="000050E1" w:rsidRDefault="008F30DE" w:rsidP="00661448">
      <w:pPr>
        <w:pStyle w:val="ListParagraph"/>
        <w:numPr>
          <w:ilvl w:val="0"/>
          <w:numId w:val="7"/>
        </w:numPr>
      </w:pPr>
      <w:r>
        <w:t xml:space="preserve">lack of clarity about who is the </w:t>
      </w:r>
      <w:r w:rsidR="000050E1">
        <w:t xml:space="preserve">employer </w:t>
      </w:r>
      <w:r w:rsidR="00CB43A4">
        <w:t>on behalf of the Commonwealth (</w:t>
      </w:r>
      <w:r>
        <w:t xml:space="preserve">that is, the parliamentarian or </w:t>
      </w:r>
      <w:r w:rsidR="009E7546">
        <w:t xml:space="preserve">the Department of </w:t>
      </w:r>
      <w:r w:rsidR="000720C4">
        <w:t>Finance</w:t>
      </w:r>
      <w:r w:rsidR="009E7546">
        <w:t xml:space="preserve"> (Finance)</w:t>
      </w:r>
      <w:r w:rsidR="000050E1">
        <w:t>)</w:t>
      </w:r>
    </w:p>
    <w:p w14:paraId="2597CD00" w14:textId="36FBB8CF" w:rsidR="000050E1" w:rsidRDefault="003E72FD" w:rsidP="00661448">
      <w:pPr>
        <w:pStyle w:val="ListParagraph"/>
        <w:numPr>
          <w:ilvl w:val="0"/>
          <w:numId w:val="7"/>
        </w:numPr>
      </w:pPr>
      <w:r>
        <w:t>lack of clarity a</w:t>
      </w:r>
      <w:r w:rsidR="004358CA">
        <w:t>s to</w:t>
      </w:r>
      <w:r>
        <w:t xml:space="preserve"> t</w:t>
      </w:r>
      <w:r w:rsidR="000050E1">
        <w:t>he role</w:t>
      </w:r>
      <w:r w:rsidR="004358CA">
        <w:t>s</w:t>
      </w:r>
      <w:r w:rsidR="000050E1">
        <w:t xml:space="preserve"> of the parliamentarian</w:t>
      </w:r>
      <w:r w:rsidR="004358CA">
        <w:t>,</w:t>
      </w:r>
      <w:r w:rsidR="000050E1">
        <w:t xml:space="preserve"> Finance</w:t>
      </w:r>
      <w:r w:rsidR="004358CA">
        <w:t>,</w:t>
      </w:r>
      <w:r w:rsidR="000050E1">
        <w:t xml:space="preserve"> </w:t>
      </w:r>
      <w:r w:rsidR="004358CA">
        <w:t>and</w:t>
      </w:r>
      <w:r w:rsidR="000050E1">
        <w:t xml:space="preserve"> other parliamentary bodies </w:t>
      </w:r>
      <w:r w:rsidR="004358CA">
        <w:t>in relation to</w:t>
      </w:r>
      <w:r w:rsidR="000050E1">
        <w:t xml:space="preserve"> </w:t>
      </w:r>
      <w:r w:rsidR="00F37A2D">
        <w:t xml:space="preserve">workplace </w:t>
      </w:r>
      <w:r w:rsidR="000050E1">
        <w:t xml:space="preserve">matters like </w:t>
      </w:r>
      <w:r w:rsidR="00522978">
        <w:t>work health and safety (</w:t>
      </w:r>
      <w:r w:rsidR="00D14441">
        <w:t>WHS</w:t>
      </w:r>
      <w:r w:rsidR="00522978">
        <w:t>)</w:t>
      </w:r>
    </w:p>
    <w:p w14:paraId="4BA0420E" w14:textId="63BC5F7E" w:rsidR="000050E1" w:rsidRDefault="0002116B" w:rsidP="00661448">
      <w:pPr>
        <w:pStyle w:val="ListParagraph"/>
        <w:numPr>
          <w:ilvl w:val="0"/>
          <w:numId w:val="7"/>
        </w:numPr>
      </w:pPr>
      <w:r>
        <w:t>t</w:t>
      </w:r>
      <w:r w:rsidR="000050E1">
        <w:t xml:space="preserve">he </w:t>
      </w:r>
      <w:r w:rsidR="003E72FD">
        <w:t>belief</w:t>
      </w:r>
      <w:r w:rsidR="00F66055">
        <w:t xml:space="preserve"> that</w:t>
      </w:r>
      <w:r w:rsidR="000050E1">
        <w:t xml:space="preserve"> employment</w:t>
      </w:r>
      <w:r w:rsidR="00554332">
        <w:t>-</w:t>
      </w:r>
      <w:r w:rsidR="000050E1">
        <w:t>related legislation (</w:t>
      </w:r>
      <w:r w:rsidR="00F37A2D">
        <w:t>for example,</w:t>
      </w:r>
      <w:r w:rsidR="000050E1">
        <w:t xml:space="preserve"> </w:t>
      </w:r>
      <w:r w:rsidR="00522978">
        <w:rPr>
          <w:i/>
        </w:rPr>
        <w:t xml:space="preserve">Fair Work </w:t>
      </w:r>
      <w:r w:rsidR="00522978">
        <w:t>Act (</w:t>
      </w:r>
      <w:r w:rsidR="000050E1" w:rsidRPr="003A76F3">
        <w:t>F</w:t>
      </w:r>
      <w:r w:rsidR="007B4F25" w:rsidRPr="003A76F3">
        <w:t>W</w:t>
      </w:r>
      <w:r w:rsidR="000050E1" w:rsidRPr="003A76F3">
        <w:t xml:space="preserve"> Act</w:t>
      </w:r>
      <w:r w:rsidR="00522978">
        <w:t>)</w:t>
      </w:r>
      <w:r w:rsidR="000050E1">
        <w:t xml:space="preserve">, </w:t>
      </w:r>
      <w:r w:rsidR="000050E1" w:rsidRPr="00DC29C5">
        <w:rPr>
          <w:i/>
        </w:rPr>
        <w:t>Work Health and Safety Act 2011</w:t>
      </w:r>
      <w:r w:rsidR="000050E1" w:rsidRPr="00DC29C5">
        <w:t xml:space="preserve">, </w:t>
      </w:r>
      <w:r w:rsidR="000050E1">
        <w:t xml:space="preserve">and </w:t>
      </w:r>
      <w:r w:rsidR="00F37A2D">
        <w:t>Commonwealth anti-</w:t>
      </w:r>
      <w:r w:rsidR="000050E1">
        <w:t>discrimination legislation) do</w:t>
      </w:r>
      <w:r w:rsidR="003E72FD">
        <w:t>es</w:t>
      </w:r>
      <w:r w:rsidR="000050E1">
        <w:t>n’t apply to staff employed under the MoP(S) Act</w:t>
      </w:r>
    </w:p>
    <w:p w14:paraId="5E12F0BF" w14:textId="77777777" w:rsidR="000050E1" w:rsidRDefault="00F66055" w:rsidP="00661448">
      <w:pPr>
        <w:pStyle w:val="ListParagraph"/>
        <w:numPr>
          <w:ilvl w:val="0"/>
          <w:numId w:val="7"/>
        </w:numPr>
      </w:pPr>
      <w:r>
        <w:t>l</w:t>
      </w:r>
      <w:r w:rsidR="003E72FD">
        <w:t xml:space="preserve">ack of awareness </w:t>
      </w:r>
      <w:r w:rsidR="000050E1">
        <w:t>of determinations made under the MoP(S) legislation framework, both publicly available and not.</w:t>
      </w:r>
    </w:p>
    <w:p w14:paraId="17AAAB2D" w14:textId="738B28C6" w:rsidR="000050E1" w:rsidRDefault="00142173" w:rsidP="000050E1">
      <w:r w:rsidRPr="00142173">
        <w:rPr>
          <w:i/>
        </w:rPr>
        <w:t>Set the Standard</w:t>
      </w:r>
      <w:r w:rsidR="000050E1">
        <w:t xml:space="preserve"> also highlight</w:t>
      </w:r>
      <w:r w:rsidR="00F37A2D">
        <w:t>s</w:t>
      </w:r>
      <w:r w:rsidR="000050E1">
        <w:t xml:space="preserve"> the lack of consistency </w:t>
      </w:r>
      <w:r w:rsidR="00451A08">
        <w:t xml:space="preserve">between </w:t>
      </w:r>
      <w:r w:rsidR="00D170AD">
        <w:t>MoP</w:t>
      </w:r>
      <w:r w:rsidR="00451A08">
        <w:t xml:space="preserve">(S) </w:t>
      </w:r>
      <w:r w:rsidR="00136872">
        <w:t>Act</w:t>
      </w:r>
      <w:r w:rsidR="00451A08">
        <w:t xml:space="preserve"> employment and</w:t>
      </w:r>
      <w:r w:rsidR="000050E1">
        <w:t xml:space="preserve"> modern employment frameworks which </w:t>
      </w:r>
      <w:r w:rsidR="008F30DE">
        <w:t>was</w:t>
      </w:r>
      <w:r w:rsidR="000050E1">
        <w:t xml:space="preserve"> </w:t>
      </w:r>
      <w:r w:rsidR="00893AEA">
        <w:t xml:space="preserve">a </w:t>
      </w:r>
      <w:r w:rsidR="000050E1">
        <w:t xml:space="preserve">focus of the </w:t>
      </w:r>
      <w:r w:rsidR="003E72FD">
        <w:t xml:space="preserve">Review </w:t>
      </w:r>
      <w:r w:rsidR="000050E1">
        <w:t>team</w:t>
      </w:r>
      <w:r w:rsidR="004358CA">
        <w:t>’</w:t>
      </w:r>
      <w:r w:rsidR="000050E1">
        <w:t>s work, including but not limited to:</w:t>
      </w:r>
    </w:p>
    <w:p w14:paraId="0975A462" w14:textId="77777777" w:rsidR="000050E1" w:rsidRPr="00B209FB" w:rsidRDefault="00975E45" w:rsidP="00661448">
      <w:pPr>
        <w:pStyle w:val="ListParagraph"/>
        <w:numPr>
          <w:ilvl w:val="0"/>
          <w:numId w:val="7"/>
        </w:numPr>
      </w:pPr>
      <w:r>
        <w:t>o</w:t>
      </w:r>
      <w:r w:rsidR="00F66055">
        <w:t>ther federal Commonwealth e</w:t>
      </w:r>
      <w:r w:rsidR="000050E1">
        <w:t xml:space="preserve">mployment frameworks (e.g. </w:t>
      </w:r>
      <w:r w:rsidR="000050E1" w:rsidRPr="00B209FB">
        <w:rPr>
          <w:i/>
        </w:rPr>
        <w:t>Public Service Act 1999</w:t>
      </w:r>
      <w:r w:rsidR="000050E1">
        <w:rPr>
          <w:i/>
        </w:rPr>
        <w:t>, Parliamentary Service Act 1999)</w:t>
      </w:r>
    </w:p>
    <w:p w14:paraId="012FFE93" w14:textId="77777777" w:rsidR="000050E1" w:rsidRDefault="00975E45" w:rsidP="00661448">
      <w:pPr>
        <w:pStyle w:val="ListParagraph"/>
        <w:numPr>
          <w:ilvl w:val="0"/>
          <w:numId w:val="7"/>
        </w:numPr>
      </w:pPr>
      <w:r>
        <w:t>o</w:t>
      </w:r>
      <w:r w:rsidR="000050E1">
        <w:t xml:space="preserve">ther federal employment legislation (e.g. </w:t>
      </w:r>
      <w:r w:rsidR="007B4F25" w:rsidRPr="003A76F3">
        <w:t>FW</w:t>
      </w:r>
      <w:r w:rsidR="000050E1" w:rsidRPr="003A76F3">
        <w:t xml:space="preserve"> Act</w:t>
      </w:r>
      <w:r w:rsidR="000050E1">
        <w:rPr>
          <w:i/>
        </w:rPr>
        <w:t>)</w:t>
      </w:r>
    </w:p>
    <w:p w14:paraId="2945FF02" w14:textId="77777777" w:rsidR="000050E1" w:rsidRDefault="00975E45" w:rsidP="00661448">
      <w:pPr>
        <w:pStyle w:val="ListParagraph"/>
        <w:numPr>
          <w:ilvl w:val="0"/>
          <w:numId w:val="7"/>
        </w:numPr>
      </w:pPr>
      <w:r>
        <w:t>e</w:t>
      </w:r>
      <w:r w:rsidR="000050E1">
        <w:t>mployment frameworks in Australian State and Territory jurisdictions</w:t>
      </w:r>
    </w:p>
    <w:p w14:paraId="7D54ACA4" w14:textId="77777777" w:rsidR="000050E1" w:rsidRDefault="00975E45" w:rsidP="00661448">
      <w:pPr>
        <w:pStyle w:val="ListParagraph"/>
        <w:numPr>
          <w:ilvl w:val="0"/>
          <w:numId w:val="7"/>
        </w:numPr>
      </w:pPr>
      <w:r>
        <w:t>e</w:t>
      </w:r>
      <w:r w:rsidR="000050E1">
        <w:t xml:space="preserve">mployment frameworks in </w:t>
      </w:r>
      <w:r w:rsidR="009F6B70">
        <w:t xml:space="preserve">Westminster </w:t>
      </w:r>
      <w:r w:rsidR="00422E46">
        <w:t>democracies</w:t>
      </w:r>
      <w:r w:rsidR="000050E1">
        <w:t xml:space="preserve"> (United Kingdom, New Zealand, Canada</w:t>
      </w:r>
      <w:r w:rsidR="008445EF">
        <w:t>)</w:t>
      </w:r>
    </w:p>
    <w:p w14:paraId="34700EC5" w14:textId="77777777" w:rsidR="000050E1" w:rsidRDefault="00975E45" w:rsidP="00661448">
      <w:pPr>
        <w:pStyle w:val="ListParagraph"/>
        <w:numPr>
          <w:ilvl w:val="0"/>
          <w:numId w:val="7"/>
        </w:numPr>
      </w:pPr>
      <w:r>
        <w:t>e</w:t>
      </w:r>
      <w:r w:rsidR="000050E1">
        <w:t>mployment in the Australian private sector.</w:t>
      </w:r>
    </w:p>
    <w:p w14:paraId="49F36F1C" w14:textId="77777777" w:rsidR="00C17583" w:rsidRDefault="00522B4A" w:rsidP="000050E1">
      <w:r w:rsidRPr="003A76F3">
        <w:t>T</w:t>
      </w:r>
      <w:r w:rsidR="00893AEA" w:rsidRPr="003A76F3">
        <w:t>he following</w:t>
      </w:r>
      <w:r w:rsidR="00C17583" w:rsidRPr="003A76F3" w:rsidDel="00451A08">
        <w:t xml:space="preserve"> </w:t>
      </w:r>
      <w:r w:rsidR="00C17583" w:rsidRPr="003A76F3">
        <w:t xml:space="preserve">themes </w:t>
      </w:r>
      <w:r w:rsidRPr="003A76F3">
        <w:t>emerged during the Review</w:t>
      </w:r>
      <w:r w:rsidR="00C17583" w:rsidRPr="003A76F3">
        <w:t xml:space="preserve">, </w:t>
      </w:r>
      <w:r w:rsidR="003E72FD" w:rsidRPr="003A76F3">
        <w:t>loosely</w:t>
      </w:r>
      <w:r w:rsidR="00305571">
        <w:t xml:space="preserve"> in order of </w:t>
      </w:r>
      <w:r w:rsidR="00C17583">
        <w:t>frequency raised:</w:t>
      </w:r>
    </w:p>
    <w:p w14:paraId="1AFA7352" w14:textId="77777777" w:rsidR="00C17583" w:rsidRDefault="00C17583" w:rsidP="00661448">
      <w:pPr>
        <w:pStyle w:val="ListParagraph"/>
        <w:numPr>
          <w:ilvl w:val="0"/>
          <w:numId w:val="7"/>
        </w:numPr>
      </w:pPr>
      <w:r>
        <w:t>merit based recruitment</w:t>
      </w:r>
    </w:p>
    <w:p w14:paraId="1526C4B8" w14:textId="77777777" w:rsidR="00C17583" w:rsidRDefault="00C17583" w:rsidP="00661448">
      <w:pPr>
        <w:pStyle w:val="ListParagraph"/>
        <w:numPr>
          <w:ilvl w:val="0"/>
          <w:numId w:val="7"/>
        </w:numPr>
      </w:pPr>
      <w:r>
        <w:t xml:space="preserve">culture </w:t>
      </w:r>
      <w:r w:rsidR="00AA25DA">
        <w:t>and</w:t>
      </w:r>
      <w:r>
        <w:t xml:space="preserve"> conflict in the workplace</w:t>
      </w:r>
    </w:p>
    <w:p w14:paraId="0B55759A" w14:textId="77777777" w:rsidR="00C17583" w:rsidRDefault="00C17583" w:rsidP="00661448">
      <w:pPr>
        <w:pStyle w:val="ListParagraph"/>
        <w:numPr>
          <w:ilvl w:val="0"/>
          <w:numId w:val="7"/>
        </w:numPr>
      </w:pPr>
      <w:r>
        <w:t>handling of complaints</w:t>
      </w:r>
    </w:p>
    <w:p w14:paraId="688D559B" w14:textId="77777777" w:rsidR="00C17583" w:rsidRDefault="00451A08" w:rsidP="00661448">
      <w:pPr>
        <w:pStyle w:val="ListParagraph"/>
        <w:numPr>
          <w:ilvl w:val="0"/>
          <w:numId w:val="7"/>
        </w:numPr>
      </w:pPr>
      <w:r>
        <w:t xml:space="preserve">the accessibility and effectiveness of </w:t>
      </w:r>
      <w:r w:rsidR="002C0D22">
        <w:t>HR</w:t>
      </w:r>
      <w:r>
        <w:t xml:space="preserve"> s</w:t>
      </w:r>
      <w:r w:rsidR="00C17583">
        <w:t>upport</w:t>
      </w:r>
    </w:p>
    <w:p w14:paraId="111A1226" w14:textId="77777777" w:rsidR="00AA25DA" w:rsidRDefault="00522B4A" w:rsidP="00661448">
      <w:pPr>
        <w:pStyle w:val="ListParagraph"/>
        <w:numPr>
          <w:ilvl w:val="0"/>
          <w:numId w:val="7"/>
        </w:numPr>
      </w:pPr>
      <w:r>
        <w:t>t</w:t>
      </w:r>
      <w:r w:rsidR="00AA25DA">
        <w:t>raining</w:t>
      </w:r>
    </w:p>
    <w:p w14:paraId="3036F26E" w14:textId="77777777" w:rsidR="00C17583" w:rsidRDefault="00C17583" w:rsidP="00661448">
      <w:pPr>
        <w:pStyle w:val="ListParagraph"/>
        <w:numPr>
          <w:ilvl w:val="0"/>
          <w:numId w:val="7"/>
        </w:numPr>
      </w:pPr>
      <w:r>
        <w:t>staffing allocations</w:t>
      </w:r>
    </w:p>
    <w:p w14:paraId="46FF2965" w14:textId="5FD44603" w:rsidR="00AA25DA" w:rsidRDefault="00AA25DA" w:rsidP="00661448">
      <w:pPr>
        <w:pStyle w:val="ListParagraph"/>
        <w:numPr>
          <w:ilvl w:val="0"/>
          <w:numId w:val="7"/>
        </w:numPr>
      </w:pPr>
      <w:r>
        <w:t xml:space="preserve">termination </w:t>
      </w:r>
    </w:p>
    <w:p w14:paraId="45E3F3D0" w14:textId="77777777" w:rsidR="00AA25DA" w:rsidRDefault="00522B4A" w:rsidP="00661448">
      <w:pPr>
        <w:pStyle w:val="ListParagraph"/>
        <w:numPr>
          <w:ilvl w:val="0"/>
          <w:numId w:val="7"/>
        </w:numPr>
      </w:pPr>
      <w:r>
        <w:t>a</w:t>
      </w:r>
      <w:r w:rsidR="00AA25DA">
        <w:t>ccountability</w:t>
      </w:r>
    </w:p>
    <w:p w14:paraId="550D5086" w14:textId="77777777" w:rsidR="00AA25DA" w:rsidRDefault="00AA25DA" w:rsidP="00661448">
      <w:pPr>
        <w:pStyle w:val="ListParagraph"/>
        <w:numPr>
          <w:ilvl w:val="0"/>
          <w:numId w:val="7"/>
        </w:numPr>
      </w:pPr>
      <w:r>
        <w:t>workload</w:t>
      </w:r>
    </w:p>
    <w:p w14:paraId="7AD6F5F9" w14:textId="77777777" w:rsidR="00A5292E" w:rsidRDefault="00AA25DA" w:rsidP="00661448">
      <w:pPr>
        <w:pStyle w:val="ListParagraph"/>
        <w:numPr>
          <w:ilvl w:val="0"/>
          <w:numId w:val="7"/>
        </w:numPr>
      </w:pPr>
      <w:r>
        <w:t>employment framework</w:t>
      </w:r>
      <w:r w:rsidR="00A5292E">
        <w:t>.</w:t>
      </w:r>
    </w:p>
    <w:p w14:paraId="23A754BC" w14:textId="7804FB84" w:rsidR="007611F4" w:rsidRDefault="00893AEA" w:rsidP="000050E1">
      <w:r>
        <w:t xml:space="preserve">There are </w:t>
      </w:r>
      <w:r w:rsidRPr="00E61184">
        <w:t>also two underlying themes</w:t>
      </w:r>
      <w:r>
        <w:t xml:space="preserve"> in what we heard</w:t>
      </w:r>
      <w:r w:rsidR="007611F4">
        <w:t xml:space="preserve"> which were also </w:t>
      </w:r>
      <w:r w:rsidR="00A5292E">
        <w:t>identified</w:t>
      </w:r>
      <w:r w:rsidR="007611F4">
        <w:t xml:space="preserve"> in </w:t>
      </w:r>
      <w:r w:rsidR="00142173" w:rsidRPr="00142173">
        <w:rPr>
          <w:i/>
        </w:rPr>
        <w:t>Set the Standard</w:t>
      </w:r>
      <w:r w:rsidR="007611F4">
        <w:t>. The first</w:t>
      </w:r>
      <w:r>
        <w:t xml:space="preserve"> </w:t>
      </w:r>
      <w:r w:rsidR="00451A08">
        <w:t>i</w:t>
      </w:r>
      <w:r w:rsidR="000050E1">
        <w:t xml:space="preserve">s the power imbalance </w:t>
      </w:r>
      <w:r w:rsidR="00451A08">
        <w:t xml:space="preserve">between </w:t>
      </w:r>
      <w:r>
        <w:t xml:space="preserve">MoP(S) Act </w:t>
      </w:r>
      <w:r w:rsidR="00451A08">
        <w:t>e</w:t>
      </w:r>
      <w:r>
        <w:t>mployees and</w:t>
      </w:r>
      <w:r w:rsidR="000050E1">
        <w:t xml:space="preserve"> parliamentarian</w:t>
      </w:r>
      <w:r>
        <w:t>s</w:t>
      </w:r>
      <w:r w:rsidR="000050E1">
        <w:t xml:space="preserve">. </w:t>
      </w:r>
      <w:r w:rsidR="007611F4">
        <w:t xml:space="preserve">The second is the importance of leadership, by both parliamentarians and others, in making positive cultural change. </w:t>
      </w:r>
    </w:p>
    <w:p w14:paraId="656A6CC3" w14:textId="76D1B61F" w:rsidR="000050E1" w:rsidRDefault="000050E1" w:rsidP="000050E1">
      <w:r>
        <w:t>This Review</w:t>
      </w:r>
      <w:r w:rsidR="00451A08">
        <w:t>, through its</w:t>
      </w:r>
      <w:r>
        <w:t xml:space="preserve"> recommendations</w:t>
      </w:r>
      <w:r w:rsidR="00451A08">
        <w:t>,</w:t>
      </w:r>
      <w:r>
        <w:t xml:space="preserve"> </w:t>
      </w:r>
      <w:r w:rsidR="007611F4">
        <w:t xml:space="preserve">seeks </w:t>
      </w:r>
      <w:r w:rsidR="00451A08">
        <w:t>to</w:t>
      </w:r>
      <w:r>
        <w:t xml:space="preserve"> </w:t>
      </w:r>
      <w:r w:rsidR="00D6635B">
        <w:t xml:space="preserve">put in place processes which acknowledge this </w:t>
      </w:r>
      <w:r w:rsidR="002A19DD">
        <w:t>im</w:t>
      </w:r>
      <w:r w:rsidR="00D6635B">
        <w:t xml:space="preserve">balance and mitigate the impacts on staff. </w:t>
      </w:r>
    </w:p>
    <w:p w14:paraId="3EDB6515" w14:textId="420B687A" w:rsidR="000050E1" w:rsidRDefault="007611F4" w:rsidP="000050E1">
      <w:r>
        <w:t>The high</w:t>
      </w:r>
      <w:r w:rsidR="00305571">
        <w:t xml:space="preserve"> </w:t>
      </w:r>
      <w:r>
        <w:t>turnover of MoP(S)</w:t>
      </w:r>
      <w:r w:rsidR="000C429B">
        <w:t xml:space="preserve"> Act</w:t>
      </w:r>
      <w:r>
        <w:t xml:space="preserve"> employees presents both an opportunity and a challenge </w:t>
      </w:r>
      <w:r w:rsidR="00305571">
        <w:t>for</w:t>
      </w:r>
      <w:r>
        <w:t xml:space="preserve"> embedding cultural change. Both short and long term strategies </w:t>
      </w:r>
      <w:r w:rsidR="00D6635B">
        <w:t>will</w:t>
      </w:r>
      <w:r>
        <w:t xml:space="preserve"> be needed. </w:t>
      </w:r>
      <w:r w:rsidR="000050E1">
        <w:t xml:space="preserve">As one </w:t>
      </w:r>
      <w:r w:rsidR="00C55CD6">
        <w:t>contributor</w:t>
      </w:r>
      <w:r w:rsidR="000050E1">
        <w:t xml:space="preserve"> to the Review indicated, many </w:t>
      </w:r>
      <w:r w:rsidR="00305571">
        <w:t>employees</w:t>
      </w:r>
      <w:r w:rsidR="000050E1">
        <w:t xml:space="preserve"> are </w:t>
      </w:r>
      <w:r w:rsidR="008F30DE">
        <w:t>seen to be</w:t>
      </w:r>
      <w:r w:rsidR="000050E1">
        <w:t xml:space="preserve"> </w:t>
      </w:r>
      <w:r w:rsidR="00D97E79">
        <w:t>‘</w:t>
      </w:r>
      <w:r w:rsidR="000050E1">
        <w:t>politicians in training</w:t>
      </w:r>
      <w:r w:rsidR="00D97E79">
        <w:t>’</w:t>
      </w:r>
      <w:r w:rsidR="00305571">
        <w:t>,</w:t>
      </w:r>
      <w:r w:rsidR="000050E1">
        <w:t xml:space="preserve"> and setting frameworks and culture correctly at </w:t>
      </w:r>
      <w:r w:rsidR="00305571">
        <w:t xml:space="preserve">an early stage in their </w:t>
      </w:r>
      <w:r>
        <w:t>career c</w:t>
      </w:r>
      <w:r w:rsidR="000050E1">
        <w:t xml:space="preserve">ould translate to systemic improvements </w:t>
      </w:r>
      <w:r w:rsidR="001933E1">
        <w:t>over the longer</w:t>
      </w:r>
      <w:r w:rsidR="00D6635B">
        <w:t xml:space="preserve"> </w:t>
      </w:r>
      <w:r w:rsidR="001933E1">
        <w:t xml:space="preserve">term </w:t>
      </w:r>
      <w:r w:rsidR="00946F7F">
        <w:t>if</w:t>
      </w:r>
      <w:r w:rsidR="00921657">
        <w:t xml:space="preserve"> these </w:t>
      </w:r>
      <w:r w:rsidR="001667BC">
        <w:t>employees</w:t>
      </w:r>
      <w:r w:rsidR="000050E1">
        <w:t xml:space="preserve"> return </w:t>
      </w:r>
      <w:r w:rsidR="00E059C9">
        <w:t xml:space="preserve">to parliament </w:t>
      </w:r>
      <w:r w:rsidR="000050E1">
        <w:t xml:space="preserve">as </w:t>
      </w:r>
      <w:r w:rsidR="00E059C9">
        <w:t>employers</w:t>
      </w:r>
      <w:r w:rsidR="000050E1">
        <w:t xml:space="preserve"> in the future.</w:t>
      </w:r>
    </w:p>
    <w:p w14:paraId="01C1B438" w14:textId="1698565A" w:rsidR="00414FF2" w:rsidRDefault="004853C1" w:rsidP="000050E1">
      <w:r>
        <w:t>While the</w:t>
      </w:r>
      <w:r w:rsidR="003A76F3">
        <w:t xml:space="preserve"> R</w:t>
      </w:r>
      <w:r w:rsidR="008F30DE">
        <w:t>eview</w:t>
      </w:r>
      <w:r w:rsidR="003A76F3">
        <w:t xml:space="preserve"> heard</w:t>
      </w:r>
      <w:r w:rsidR="008F30DE">
        <w:t xml:space="preserve"> about </w:t>
      </w:r>
      <w:r w:rsidR="003A76F3">
        <w:t>negative</w:t>
      </w:r>
      <w:r w:rsidR="00414FF2">
        <w:t xml:space="preserve"> experiences </w:t>
      </w:r>
      <w:r w:rsidR="008F30DE">
        <w:t>in</w:t>
      </w:r>
      <w:r w:rsidR="00414FF2">
        <w:t xml:space="preserve"> Mo</w:t>
      </w:r>
      <w:r w:rsidR="00080CF6">
        <w:t>P(S) Act employment</w:t>
      </w:r>
      <w:r>
        <w:t>,</w:t>
      </w:r>
      <w:r w:rsidR="00E61184">
        <w:t xml:space="preserve"> we </w:t>
      </w:r>
      <w:r w:rsidR="00631B3E">
        <w:t>also heard</w:t>
      </w:r>
      <w:r w:rsidR="00080CF6">
        <w:t xml:space="preserve"> about</w:t>
      </w:r>
      <w:r w:rsidR="00414FF2">
        <w:t xml:space="preserve"> </w:t>
      </w:r>
      <w:r w:rsidR="007611F4">
        <w:t xml:space="preserve">MoP(S) </w:t>
      </w:r>
      <w:r w:rsidR="000C429B">
        <w:t xml:space="preserve">Act </w:t>
      </w:r>
      <w:r w:rsidR="007611F4">
        <w:t>employees</w:t>
      </w:r>
      <w:r w:rsidR="00080CF6">
        <w:t>’ positive</w:t>
      </w:r>
      <w:r w:rsidR="007611F4">
        <w:t xml:space="preserve"> </w:t>
      </w:r>
      <w:r w:rsidR="00080CF6">
        <w:t>experiences</w:t>
      </w:r>
      <w:r w:rsidR="00D6635B">
        <w:t>.</w:t>
      </w:r>
      <w:r w:rsidR="00080CF6">
        <w:t xml:space="preserve"> </w:t>
      </w:r>
    </w:p>
    <w:p w14:paraId="5752316A" w14:textId="77777777" w:rsidR="00E706F3" w:rsidRDefault="00E706F3" w:rsidP="00C43269"/>
    <w:p w14:paraId="073E81DC" w14:textId="106F62EA" w:rsidR="00612FAE" w:rsidRPr="00612FAE" w:rsidRDefault="00612FAE" w:rsidP="00612FAE">
      <w:pPr>
        <w:pStyle w:val="Heading2"/>
      </w:pPr>
      <w:bookmarkStart w:id="1170" w:name="_Toc114230857"/>
      <w:bookmarkStart w:id="1171" w:name="_Toc114232914"/>
      <w:bookmarkStart w:id="1172" w:name="_Toc114233562"/>
      <w:bookmarkStart w:id="1173" w:name="_Toc114233634"/>
      <w:bookmarkStart w:id="1174" w:name="_Toc114240589"/>
      <w:bookmarkStart w:id="1175" w:name="_Toc114240663"/>
      <w:bookmarkStart w:id="1176" w:name="_Toc114241007"/>
      <w:bookmarkStart w:id="1177" w:name="_Toc114493880"/>
      <w:bookmarkStart w:id="1178" w:name="_Toc114500281"/>
      <w:bookmarkStart w:id="1179" w:name="_Toc114500356"/>
      <w:bookmarkStart w:id="1180" w:name="_Toc114518629"/>
      <w:bookmarkStart w:id="1181" w:name="_Toc114520301"/>
      <w:bookmarkStart w:id="1182" w:name="_Toc114520710"/>
      <w:bookmarkStart w:id="1183" w:name="_Toc114565738"/>
      <w:bookmarkStart w:id="1184" w:name="_Toc114566719"/>
      <w:bookmarkStart w:id="1185" w:name="_Toc114566944"/>
      <w:bookmarkStart w:id="1186" w:name="_Toc114566868"/>
      <w:bookmarkStart w:id="1187" w:name="_Toc114585869"/>
      <w:bookmarkStart w:id="1188" w:name="_Toc114586013"/>
      <w:bookmarkStart w:id="1189" w:name="_Toc114586085"/>
      <w:bookmarkStart w:id="1190" w:name="_Toc114601225"/>
      <w:bookmarkStart w:id="1191" w:name="_Toc114657266"/>
      <w:bookmarkStart w:id="1192" w:name="_Toc114659728"/>
      <w:bookmarkStart w:id="1193" w:name="_Toc114662713"/>
      <w:bookmarkStart w:id="1194" w:name="_Toc114665097"/>
      <w:bookmarkStart w:id="1195" w:name="_Toc114672406"/>
      <w:bookmarkStart w:id="1196" w:name="_Toc114672618"/>
      <w:bookmarkStart w:id="1197" w:name="_Toc114673173"/>
      <w:bookmarkStart w:id="1198" w:name="_Toc114674284"/>
      <w:bookmarkStart w:id="1199" w:name="_Toc114687457"/>
      <w:bookmarkStart w:id="1200" w:name="_Toc114689921"/>
      <w:bookmarkStart w:id="1201" w:name="_Toc114731784"/>
      <w:bookmarkStart w:id="1202" w:name="_Toc114733549"/>
      <w:bookmarkStart w:id="1203" w:name="_Toc114735490"/>
      <w:bookmarkStart w:id="1204" w:name="_Toc114755820"/>
      <w:bookmarkStart w:id="1205" w:name="_Toc114757125"/>
      <w:bookmarkStart w:id="1206" w:name="_Toc114757409"/>
      <w:bookmarkStart w:id="1207" w:name="_Toc114757511"/>
      <w:bookmarkStart w:id="1208" w:name="_Toc114758184"/>
      <w:bookmarkStart w:id="1209" w:name="_Toc114824354"/>
      <w:bookmarkStart w:id="1210" w:name="_Toc114829430"/>
      <w:bookmarkStart w:id="1211" w:name="_Toc114829794"/>
      <w:bookmarkStart w:id="1212" w:name="_Toc114829761"/>
      <w:bookmarkStart w:id="1213" w:name="_Toc114829938"/>
      <w:bookmarkStart w:id="1214" w:name="_Toc115099017"/>
      <w:bookmarkStart w:id="1215" w:name="_Toc115099089"/>
      <w:bookmarkStart w:id="1216" w:name="_Toc115101666"/>
      <w:bookmarkStart w:id="1217" w:name="_Toc115102511"/>
      <w:bookmarkStart w:id="1218" w:name="_Toc115105484"/>
      <w:bookmarkStart w:id="1219" w:name="_Toc115110345"/>
      <w:bookmarkStart w:id="1220" w:name="_Toc115110472"/>
      <w:bookmarkStart w:id="1221" w:name="_Toc115121590"/>
      <w:bookmarkStart w:id="1222" w:name="_Toc115121960"/>
      <w:bookmarkStart w:id="1223" w:name="_Toc115123440"/>
      <w:bookmarkStart w:id="1224" w:name="_Toc115123688"/>
      <w:bookmarkStart w:id="1225" w:name="_Toc115126820"/>
      <w:bookmarkStart w:id="1226" w:name="_Toc115185457"/>
      <w:bookmarkStart w:id="1227" w:name="_Toc115186084"/>
      <w:bookmarkStart w:id="1228" w:name="_Toc115189242"/>
      <w:bookmarkStart w:id="1229" w:name="_Toc115194215"/>
      <w:bookmarkStart w:id="1230" w:name="_Toc115194952"/>
      <w:bookmarkStart w:id="1231" w:name="_Toc115196362"/>
      <w:bookmarkStart w:id="1232" w:name="_Toc115198863"/>
      <w:bookmarkStart w:id="1233" w:name="_Toc115208878"/>
      <w:bookmarkStart w:id="1234" w:name="_Toc115209014"/>
      <w:bookmarkStart w:id="1235" w:name="_Toc115210345"/>
      <w:bookmarkStart w:id="1236" w:name="_Toc115212570"/>
      <w:bookmarkStart w:id="1237" w:name="_Toc115213210"/>
      <w:bookmarkStart w:id="1238" w:name="_Toc115216708"/>
      <w:bookmarkStart w:id="1239" w:name="_Toc115270399"/>
      <w:bookmarkStart w:id="1240" w:name="_Toc115271342"/>
      <w:bookmarkStart w:id="1241" w:name="_Toc115272259"/>
      <w:bookmarkStart w:id="1242" w:name="_Toc115273429"/>
      <w:bookmarkStart w:id="1243" w:name="_Toc115273357"/>
      <w:bookmarkStart w:id="1244" w:name="_Toc115274610"/>
      <w:bookmarkStart w:id="1245" w:name="_Toc115274836"/>
      <w:bookmarkStart w:id="1246" w:name="_Toc115275193"/>
      <w:bookmarkStart w:id="1247" w:name="_Toc115275336"/>
      <w:bookmarkStart w:id="1248" w:name="_Toc115274173"/>
      <w:bookmarkStart w:id="1249" w:name="_Toc115274474"/>
      <w:bookmarkStart w:id="1250" w:name="_Toc115274542"/>
      <w:bookmarkStart w:id="1251" w:name="_Toc115274700"/>
      <w:bookmarkStart w:id="1252" w:name="_Toc115277434"/>
      <w:bookmarkStart w:id="1253" w:name="_Toc115277638"/>
      <w:bookmarkStart w:id="1254" w:name="_Toc115278527"/>
      <w:bookmarkStart w:id="1255" w:name="_Toc115278607"/>
      <w:bookmarkStart w:id="1256" w:name="_Toc115282277"/>
      <w:bookmarkStart w:id="1257" w:name="_Toc115284730"/>
      <w:bookmarkStart w:id="1258" w:name="_Toc115286822"/>
      <w:bookmarkStart w:id="1259" w:name="_Toc115294756"/>
      <w:bookmarkStart w:id="1260" w:name="_Toc115296336"/>
      <w:bookmarkStart w:id="1261" w:name="_Toc115308522"/>
      <w:bookmarkStart w:id="1262" w:name="_Toc115311174"/>
      <w:bookmarkStart w:id="1263" w:name="_Toc115312654"/>
      <w:bookmarkStart w:id="1264" w:name="_Toc115343828"/>
      <w:bookmarkStart w:id="1265" w:name="_Toc115348266"/>
      <w:bookmarkStart w:id="1266" w:name="_Toc115350364"/>
      <w:bookmarkStart w:id="1267" w:name="_Toc115353452"/>
      <w:bookmarkStart w:id="1268" w:name="_Toc115359483"/>
      <w:bookmarkStart w:id="1269" w:name="_Toc115361887"/>
      <w:bookmarkStart w:id="1270" w:name="_Toc115364280"/>
      <w:bookmarkStart w:id="1271" w:name="_Toc115365374"/>
      <w:bookmarkStart w:id="1272" w:name="_Toc115365646"/>
      <w:bookmarkStart w:id="1273" w:name="_Toc115365714"/>
      <w:bookmarkStart w:id="1274" w:name="_Toc115366178"/>
      <w:bookmarkStart w:id="1275" w:name="_Toc115368551"/>
      <w:bookmarkStart w:id="1276" w:name="_Toc115370068"/>
      <w:bookmarkStart w:id="1277" w:name="_Toc115370734"/>
      <w:bookmarkStart w:id="1278" w:name="_Toc115374374"/>
      <w:bookmarkStart w:id="1279" w:name="_Toc115378713"/>
      <w:bookmarkStart w:id="1280" w:name="_Toc115380945"/>
      <w:bookmarkStart w:id="1281" w:name="_Toc115384097"/>
      <w:bookmarkStart w:id="1282" w:name="_Toc115387326"/>
      <w:bookmarkStart w:id="1283" w:name="_Toc115388792"/>
      <w:bookmarkStart w:id="1284" w:name="_Toc115431430"/>
      <w:bookmarkStart w:id="1285" w:name="_Toc115432808"/>
      <w:bookmarkStart w:id="1286" w:name="_Toc115434379"/>
      <w:bookmarkStart w:id="1287" w:name="_Toc115434478"/>
      <w:bookmarkStart w:id="1288" w:name="_Toc115434547"/>
      <w:bookmarkStart w:id="1289" w:name="_Toc115434616"/>
      <w:bookmarkStart w:id="1290" w:name="_Toc115442786"/>
      <w:bookmarkStart w:id="1291" w:name="_Toc115446322"/>
      <w:bookmarkStart w:id="1292" w:name="_Toc115448029"/>
      <w:bookmarkStart w:id="1293" w:name="_Toc115449421"/>
      <w:bookmarkStart w:id="1294" w:name="_Toc115452441"/>
      <w:bookmarkStart w:id="1295" w:name="_Toc115455258"/>
      <w:bookmarkStart w:id="1296" w:name="_Toc115455324"/>
      <w:bookmarkStart w:id="1297" w:name="_Toc115457274"/>
      <w:bookmarkStart w:id="1298" w:name="_Toc115458110"/>
      <w:bookmarkStart w:id="1299" w:name="_Toc115948138"/>
      <w:bookmarkStart w:id="1300" w:name="_Toc115948585"/>
      <w:r w:rsidRPr="00612FAE">
        <w:t xml:space="preserve">1.3 Interdependencies with </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00142173" w:rsidRPr="00142173">
        <w:rPr>
          <w:i/>
        </w:rPr>
        <w:t>Set the Standard</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040879F1" w14:textId="347A4F0C" w:rsidR="00B61814" w:rsidRDefault="00612FAE" w:rsidP="00F55DC4">
      <w:r>
        <w:t xml:space="preserve">This </w:t>
      </w:r>
      <w:r w:rsidR="00234CB8">
        <w:t>R</w:t>
      </w:r>
      <w:r>
        <w:t>eview look</w:t>
      </w:r>
      <w:r w:rsidR="009D6EED">
        <w:t>s</w:t>
      </w:r>
      <w:r>
        <w:t xml:space="preserve"> comprehensively at the MoP(S) Act framework, as ou</w:t>
      </w:r>
      <w:r w:rsidR="002A2304">
        <w:t>tline</w:t>
      </w:r>
      <w:r w:rsidR="00FD13DF">
        <w:t>d in the terms of r</w:t>
      </w:r>
      <w:r w:rsidR="002A2304">
        <w:t>eference</w:t>
      </w:r>
      <w:r w:rsidR="007611F4">
        <w:t>.</w:t>
      </w:r>
      <w:r w:rsidR="001655EC">
        <w:t xml:space="preserve"> </w:t>
      </w:r>
      <w:r w:rsidR="00142173" w:rsidRPr="00142173">
        <w:rPr>
          <w:i/>
        </w:rPr>
        <w:t>Set the Standard</w:t>
      </w:r>
      <w:r w:rsidR="001655EC">
        <w:t xml:space="preserve"> also recommend</w:t>
      </w:r>
      <w:r w:rsidR="007F4491">
        <w:t>s</w:t>
      </w:r>
      <w:r w:rsidR="001655EC">
        <w:t xml:space="preserve"> initiatives that go to the same objective</w:t>
      </w:r>
      <w:r w:rsidR="008905E3">
        <w:t>s</w:t>
      </w:r>
      <w:r w:rsidR="001655EC">
        <w:t>. The</w:t>
      </w:r>
      <w:r w:rsidR="007611F4">
        <w:t xml:space="preserve">se recommendations </w:t>
      </w:r>
      <w:r w:rsidR="001655EC">
        <w:t xml:space="preserve">are being implemented by a range of bodies. The </w:t>
      </w:r>
      <w:r w:rsidR="001655EC" w:rsidRPr="00B61814">
        <w:t xml:space="preserve">Review team has </w:t>
      </w:r>
      <w:r w:rsidR="002A2304">
        <w:t xml:space="preserve">assumed </w:t>
      </w:r>
      <w:r w:rsidR="00B61814">
        <w:t xml:space="preserve">those </w:t>
      </w:r>
      <w:r w:rsidR="002A2304">
        <w:t xml:space="preserve">recommendations will be </w:t>
      </w:r>
      <w:r w:rsidR="007F4491">
        <w:t>implemented</w:t>
      </w:r>
      <w:r w:rsidR="00B61814">
        <w:t xml:space="preserve"> in line with </w:t>
      </w:r>
      <w:r w:rsidR="00142173" w:rsidRPr="00142173">
        <w:rPr>
          <w:i/>
        </w:rPr>
        <w:t>Set the Standard</w:t>
      </w:r>
      <w:r w:rsidR="007611F4">
        <w:t xml:space="preserve"> and </w:t>
      </w:r>
      <w:r w:rsidR="00B61814">
        <w:t>present</w:t>
      </w:r>
      <w:r w:rsidR="007F4491">
        <w:t>s</w:t>
      </w:r>
      <w:r w:rsidR="00B61814">
        <w:t xml:space="preserve"> them as part of the </w:t>
      </w:r>
      <w:r w:rsidR="008905E3">
        <w:t>proposed</w:t>
      </w:r>
      <w:r w:rsidR="00B61814">
        <w:t xml:space="preserve"> future state. </w:t>
      </w:r>
    </w:p>
    <w:p w14:paraId="543ABBAF" w14:textId="15BFA161" w:rsidR="00E905CA" w:rsidRDefault="000050E1" w:rsidP="00F55DC4">
      <w:r>
        <w:t xml:space="preserve">For example, this Review refers to the roles and functions of the </w:t>
      </w:r>
      <w:r w:rsidR="007611F4">
        <w:t xml:space="preserve">proposed </w:t>
      </w:r>
      <w:r w:rsidR="002A2304">
        <w:t xml:space="preserve">Office of Parliamentarian Staffing and Culture </w:t>
      </w:r>
      <w:r w:rsidR="007611F4">
        <w:t>(OPSC) in accordance with</w:t>
      </w:r>
      <w:r>
        <w:t xml:space="preserve"> </w:t>
      </w:r>
      <w:r w:rsidR="00020D6B">
        <w:t xml:space="preserve">Recommendation </w:t>
      </w:r>
      <w:r>
        <w:t xml:space="preserve">11 of </w:t>
      </w:r>
      <w:r w:rsidR="00142173" w:rsidRPr="00142173">
        <w:rPr>
          <w:i/>
        </w:rPr>
        <w:t>Set the Standard</w:t>
      </w:r>
      <w:r w:rsidR="007611F4">
        <w:t xml:space="preserve">, and the </w:t>
      </w:r>
      <w:r w:rsidR="00FD1C44">
        <w:t xml:space="preserve">proposed </w:t>
      </w:r>
      <w:r w:rsidR="00A85D97">
        <w:t xml:space="preserve">Independent Parliamentary Standards Commission (IPSC), </w:t>
      </w:r>
      <w:r w:rsidR="007611F4">
        <w:t xml:space="preserve">in accordance with </w:t>
      </w:r>
      <w:r w:rsidR="00020D6B">
        <w:t xml:space="preserve">Recommendation </w:t>
      </w:r>
      <w:r w:rsidR="00A85D97">
        <w:t xml:space="preserve">22 of </w:t>
      </w:r>
      <w:r w:rsidR="00142173" w:rsidRPr="00142173">
        <w:rPr>
          <w:i/>
        </w:rPr>
        <w:t>Set the Standard</w:t>
      </w:r>
      <w:r w:rsidR="00E905CA">
        <w:t>. The IPSC is expected to</w:t>
      </w:r>
      <w:r w:rsidR="00A85D97">
        <w:t xml:space="preserve"> be the forma</w:t>
      </w:r>
      <w:r w:rsidR="00E905CA">
        <w:t xml:space="preserve">l complaints mechanism </w:t>
      </w:r>
      <w:r w:rsidR="00FD1C44">
        <w:t>for breaches of codes of conduct for parliamentary workplaces. Currently,</w:t>
      </w:r>
      <w:r w:rsidR="00E905CA">
        <w:t xml:space="preserve"> </w:t>
      </w:r>
      <w:r w:rsidR="00FD1C44">
        <w:t>this</w:t>
      </w:r>
      <w:r w:rsidR="00A85D97">
        <w:t xml:space="preserve"> </w:t>
      </w:r>
      <w:r w:rsidR="00FD1C44">
        <w:t>function is</w:t>
      </w:r>
      <w:r w:rsidR="00A85D97">
        <w:t xml:space="preserve"> undertaken by the Parliamentary Workplace Support Service (PWSS)</w:t>
      </w:r>
      <w:r w:rsidR="00FD1C44">
        <w:t xml:space="preserve"> for complaints of workplace misconduct involving MoP(S) Act staff or parliamentarians</w:t>
      </w:r>
      <w:r w:rsidR="00A85D97">
        <w:t xml:space="preserve">. </w:t>
      </w:r>
    </w:p>
    <w:p w14:paraId="63AB925C" w14:textId="2967EA91" w:rsidR="000B765F" w:rsidRPr="00A32B11" w:rsidRDefault="00A85D97" w:rsidP="00A32B11">
      <w:r>
        <w:t xml:space="preserve">The IPSC </w:t>
      </w:r>
      <w:r w:rsidR="00E905CA">
        <w:t xml:space="preserve">is expected to be established </w:t>
      </w:r>
      <w:r>
        <w:t xml:space="preserve">following </w:t>
      </w:r>
      <w:r w:rsidR="00E905CA">
        <w:t>the Joint Select Committee on Parliamentary Standards</w:t>
      </w:r>
      <w:r w:rsidR="00FD1C44">
        <w:t>’</w:t>
      </w:r>
      <w:r w:rsidR="00E905CA">
        <w:t xml:space="preserve"> consideration of </w:t>
      </w:r>
      <w:r w:rsidR="00E16721">
        <w:t xml:space="preserve">matters relating to the development of </w:t>
      </w:r>
      <w:r w:rsidR="00E905CA">
        <w:t xml:space="preserve">codes of conduct </w:t>
      </w:r>
      <w:r w:rsidR="00E16721">
        <w:t xml:space="preserve">for Commonwealth Parliamentary Workplaces </w:t>
      </w:r>
      <w:r w:rsidR="00E905CA">
        <w:t>(</w:t>
      </w:r>
      <w:r w:rsidR="00020D6B">
        <w:t xml:space="preserve">Recommendation </w:t>
      </w:r>
      <w:r w:rsidR="00E905CA">
        <w:t xml:space="preserve">21 of </w:t>
      </w:r>
      <w:r w:rsidR="00E905CA">
        <w:rPr>
          <w:i/>
        </w:rPr>
        <w:t>Set the Standard</w:t>
      </w:r>
      <w:r w:rsidR="00E905CA">
        <w:t xml:space="preserve">). The Committee </w:t>
      </w:r>
      <w:r>
        <w:t>is due to report to parliament by 1 December 2022</w:t>
      </w:r>
      <w:r w:rsidR="00942900">
        <w:t xml:space="preserve">, including on its consideration of the development of a code or </w:t>
      </w:r>
      <w:r w:rsidR="00F5469C">
        <w:t xml:space="preserve">codes </w:t>
      </w:r>
      <w:r w:rsidR="00942900">
        <w:t xml:space="preserve">of conduct </w:t>
      </w:r>
      <w:r w:rsidR="000B765F">
        <w:t>for</w:t>
      </w:r>
      <w:r w:rsidR="00A32B11">
        <w:t xml:space="preserve"> </w:t>
      </w:r>
      <w:r w:rsidR="003272EE" w:rsidRPr="00A32B11">
        <w:t>p</w:t>
      </w:r>
      <w:r w:rsidR="000B765F" w:rsidRPr="00A32B11">
        <w:t>arliamentarians</w:t>
      </w:r>
      <w:r w:rsidR="00A32B11">
        <w:t xml:space="preserve">, </w:t>
      </w:r>
      <w:r w:rsidR="00942900" w:rsidRPr="00A32B11">
        <w:t xml:space="preserve">parliamentary staff </w:t>
      </w:r>
      <w:r w:rsidR="00A32B11">
        <w:t xml:space="preserve">and </w:t>
      </w:r>
      <w:r w:rsidR="00FD1C44" w:rsidRPr="00A32B11">
        <w:t xml:space="preserve">the </w:t>
      </w:r>
      <w:r w:rsidR="003272EE" w:rsidRPr="00A32B11">
        <w:t>p</w:t>
      </w:r>
      <w:r w:rsidR="000B765F" w:rsidRPr="00A32B11">
        <w:t xml:space="preserve">arliamentary </w:t>
      </w:r>
      <w:r w:rsidR="00FD1C44" w:rsidRPr="00A32B11">
        <w:t>precincts</w:t>
      </w:r>
      <w:r w:rsidR="000B765F" w:rsidRPr="00A32B11">
        <w:t>.</w:t>
      </w:r>
    </w:p>
    <w:p w14:paraId="481AC649" w14:textId="264F35BC" w:rsidR="00A85D97" w:rsidRDefault="00E905CA" w:rsidP="00F55DC4">
      <w:r>
        <w:t>The codes of c</w:t>
      </w:r>
      <w:r w:rsidR="00A85D97">
        <w:t xml:space="preserve">onduct, in particular the </w:t>
      </w:r>
      <w:r w:rsidR="007F4491">
        <w:t xml:space="preserve">MoP(S) </w:t>
      </w:r>
      <w:r w:rsidR="000C429B">
        <w:t>Act employee</w:t>
      </w:r>
      <w:r w:rsidR="00F23879">
        <w:t xml:space="preserve"> Code </w:t>
      </w:r>
      <w:r w:rsidR="00F5469C">
        <w:t xml:space="preserve">of </w:t>
      </w:r>
      <w:r w:rsidR="00F23879">
        <w:t>Conduct</w:t>
      </w:r>
      <w:r w:rsidR="00F5469C">
        <w:t xml:space="preserve"> which </w:t>
      </w:r>
      <w:r w:rsidR="009768D9" w:rsidRPr="009768D9">
        <w:rPr>
          <w:i/>
        </w:rPr>
        <w:t>Set the Standard</w:t>
      </w:r>
      <w:r w:rsidR="009768D9">
        <w:t xml:space="preserve"> recommends should</w:t>
      </w:r>
      <w:r w:rsidR="00F5469C">
        <w:t xml:space="preserve"> </w:t>
      </w:r>
      <w:r w:rsidR="007F4491">
        <w:t xml:space="preserve">form part of </w:t>
      </w:r>
      <w:r w:rsidR="00F5469C">
        <w:t xml:space="preserve">the MoP(S) Act, will </w:t>
      </w:r>
      <w:r w:rsidR="007F4491">
        <w:t>be</w:t>
      </w:r>
      <w:r w:rsidR="00F5469C">
        <w:t xml:space="preserve"> an important part of the future employment landscape. Given that the Committee reports after this Review, we</w:t>
      </w:r>
      <w:r w:rsidR="00F5469C" w:rsidDel="00054046">
        <w:t xml:space="preserve"> </w:t>
      </w:r>
      <w:r w:rsidR="000B765F">
        <w:t xml:space="preserve">refer </w:t>
      </w:r>
      <w:r w:rsidR="00054046">
        <w:t xml:space="preserve">to </w:t>
      </w:r>
      <w:r w:rsidR="000B765F">
        <w:t>it where relevant</w:t>
      </w:r>
      <w:r w:rsidR="00054046">
        <w:t>, and</w:t>
      </w:r>
      <w:r w:rsidR="000B765F">
        <w:t xml:space="preserve"> indicate where </w:t>
      </w:r>
      <w:r w:rsidR="00054046">
        <w:t xml:space="preserve">implementation of </w:t>
      </w:r>
      <w:r w:rsidR="00402492">
        <w:t xml:space="preserve">our </w:t>
      </w:r>
      <w:r w:rsidR="000B765F">
        <w:t xml:space="preserve">recommendations may need to </w:t>
      </w:r>
      <w:r w:rsidR="00054046">
        <w:t>take account of any</w:t>
      </w:r>
      <w:r w:rsidR="000B765F">
        <w:t xml:space="preserve"> codes</w:t>
      </w:r>
      <w:r w:rsidR="000B765F" w:rsidDel="00054046">
        <w:t xml:space="preserve"> </w:t>
      </w:r>
      <w:r w:rsidR="000B765F">
        <w:t>settled.</w:t>
      </w:r>
    </w:p>
    <w:p w14:paraId="4635C9D1" w14:textId="58373D58" w:rsidR="00500DC8" w:rsidRDefault="00500DC8" w:rsidP="00F55DC4">
      <w:r>
        <w:t xml:space="preserve">We provide more detail about the OPSC below, given our frequent references to it in the Review and the central role we see it occupying in the future MoP(S) </w:t>
      </w:r>
      <w:r w:rsidR="00136872">
        <w:t>Act</w:t>
      </w:r>
      <w:r>
        <w:t xml:space="preserve"> employment framework.</w:t>
      </w:r>
    </w:p>
    <w:p w14:paraId="188C34F7" w14:textId="77777777" w:rsidR="00D475CE" w:rsidRDefault="00D475CE" w:rsidP="00F55DC4"/>
    <w:p w14:paraId="55D899A2" w14:textId="25C066B0" w:rsidR="003A2623" w:rsidRDefault="00500DC8" w:rsidP="000136FD">
      <w:pPr>
        <w:pStyle w:val="Heading3"/>
      </w:pPr>
      <w:r>
        <w:t>1.3.1 The OPSC</w:t>
      </w:r>
    </w:p>
    <w:p w14:paraId="718AB4A4" w14:textId="77777777" w:rsidR="00500DC8" w:rsidRDefault="00500DC8" w:rsidP="00500DC8">
      <w:r>
        <w:t xml:space="preserve">The establishment of the OPSC is one of the key structural reforms that the </w:t>
      </w:r>
      <w:r w:rsidR="00942900" w:rsidRPr="003E4C5B">
        <w:rPr>
          <w:i/>
        </w:rPr>
        <w:t>Set the Standard</w:t>
      </w:r>
      <w:r w:rsidRPr="003E4C5B">
        <w:rPr>
          <w:i/>
        </w:rPr>
        <w:t xml:space="preserve"> </w:t>
      </w:r>
      <w:r>
        <w:t xml:space="preserve">recommends to build a professionalised, safer, supportive and respectful workplace. The OPSC </w:t>
      </w:r>
      <w:r w:rsidR="00942900">
        <w:t xml:space="preserve">is intended to </w:t>
      </w:r>
      <w:r>
        <w:t xml:space="preserve">support parliamentarians and their staff by providing centralised human resources support with a focus on policy development, training, advice and support, and education. </w:t>
      </w:r>
    </w:p>
    <w:p w14:paraId="7140DAC8" w14:textId="77777777" w:rsidR="00500DC8" w:rsidRDefault="00C966AD" w:rsidP="00500DC8">
      <w:r>
        <w:t>T</w:t>
      </w:r>
      <w:r w:rsidR="00500DC8">
        <w:t xml:space="preserve">he OPSC is intended to address the following issues identified in the </w:t>
      </w:r>
      <w:r w:rsidR="00942900" w:rsidRPr="003E4C5B">
        <w:rPr>
          <w:i/>
        </w:rPr>
        <w:t>Set the Standard Repor</w:t>
      </w:r>
      <w:r w:rsidR="00942900">
        <w:t xml:space="preserve">t </w:t>
      </w:r>
      <w:r>
        <w:t>as currently present in the parliamentary workplace</w:t>
      </w:r>
      <w:r w:rsidR="00500DC8">
        <w:t xml:space="preserve">: </w:t>
      </w:r>
    </w:p>
    <w:p w14:paraId="60161760" w14:textId="77777777" w:rsidR="008445EF" w:rsidRDefault="00C966AD" w:rsidP="0098231E">
      <w:pPr>
        <w:pStyle w:val="BulletedList-Level1"/>
      </w:pPr>
      <w:r>
        <w:t>a</w:t>
      </w:r>
      <w:r w:rsidR="00500DC8">
        <w:t xml:space="preserve"> complex framework for HR services</w:t>
      </w:r>
    </w:p>
    <w:p w14:paraId="4A8BAD4B" w14:textId="77777777" w:rsidR="008445EF" w:rsidRDefault="00C966AD" w:rsidP="0098231E">
      <w:pPr>
        <w:pStyle w:val="BulletedList-Level1"/>
      </w:pPr>
      <w:r>
        <w:t xml:space="preserve">lack </w:t>
      </w:r>
      <w:r w:rsidR="00500DC8">
        <w:t>of clear authorising environment</w:t>
      </w:r>
    </w:p>
    <w:p w14:paraId="6B83F3E7" w14:textId="77777777" w:rsidR="008445EF" w:rsidRDefault="008445EF" w:rsidP="008445EF">
      <w:pPr>
        <w:pStyle w:val="BulletedList-Level1"/>
      </w:pPr>
      <w:r>
        <w:t>l</w:t>
      </w:r>
      <w:r w:rsidR="00500DC8">
        <w:t>oss of confidence in existing HR services.</w:t>
      </w:r>
    </w:p>
    <w:p w14:paraId="2F1D64A6" w14:textId="1D49419A" w:rsidR="00500DC8" w:rsidRDefault="003E4C5B" w:rsidP="00A32B11">
      <w:r>
        <w:t>The</w:t>
      </w:r>
      <w:r w:rsidR="00C966AD">
        <w:t xml:space="preserve"> central</w:t>
      </w:r>
      <w:r>
        <w:t xml:space="preserve"> objective of</w:t>
      </w:r>
      <w:r w:rsidR="00500DC8">
        <w:t xml:space="preserve"> the OPSC is to assist parliamentarians and their staff </w:t>
      </w:r>
      <w:r w:rsidR="00F75E42">
        <w:t xml:space="preserve">to </w:t>
      </w:r>
      <w:r w:rsidR="00500DC8">
        <w:t xml:space="preserve">build and maintain a workplace that is safe, supportive, respectful, professional and high performing. It will provide advice and education to parliamentarians and MoP(S) Act employees, undertake strategic </w:t>
      </w:r>
      <w:r w:rsidR="00D6635B">
        <w:t xml:space="preserve">HR </w:t>
      </w:r>
      <w:r w:rsidR="00500DC8">
        <w:t>initiatives, improve</w:t>
      </w:r>
      <w:r>
        <w:t xml:space="preserve"> culture and diversity and be a central</w:t>
      </w:r>
      <w:r w:rsidR="00500DC8">
        <w:t xml:space="preserve"> hub for operational HR support.</w:t>
      </w:r>
    </w:p>
    <w:p w14:paraId="15AAF63F" w14:textId="77777777" w:rsidR="00B76271" w:rsidRDefault="00B76271" w:rsidP="00500DC8"/>
    <w:p w14:paraId="5AB57C5E" w14:textId="5E4CB197" w:rsidR="00F55DC4" w:rsidRPr="000F2E36" w:rsidRDefault="000050E1" w:rsidP="00F55DC4">
      <w:pPr>
        <w:pStyle w:val="Heading2"/>
      </w:pPr>
      <w:bookmarkStart w:id="1301" w:name="_Toc104212779"/>
      <w:bookmarkStart w:id="1302" w:name="_Toc114230858"/>
      <w:bookmarkStart w:id="1303" w:name="_Toc114232915"/>
      <w:bookmarkStart w:id="1304" w:name="_Toc114233563"/>
      <w:bookmarkStart w:id="1305" w:name="_Toc114233635"/>
      <w:bookmarkStart w:id="1306" w:name="_Toc114240590"/>
      <w:bookmarkStart w:id="1307" w:name="_Toc114240664"/>
      <w:bookmarkStart w:id="1308" w:name="_Toc114241008"/>
      <w:bookmarkStart w:id="1309" w:name="_Toc114493881"/>
      <w:bookmarkStart w:id="1310" w:name="_Toc114500282"/>
      <w:bookmarkStart w:id="1311" w:name="_Toc114500357"/>
      <w:bookmarkStart w:id="1312" w:name="_Toc114518630"/>
      <w:bookmarkStart w:id="1313" w:name="_Toc114520302"/>
      <w:bookmarkStart w:id="1314" w:name="_Toc114520711"/>
      <w:bookmarkStart w:id="1315" w:name="_Toc114565739"/>
      <w:bookmarkStart w:id="1316" w:name="_Toc114566720"/>
      <w:bookmarkStart w:id="1317" w:name="_Toc114566945"/>
      <w:bookmarkStart w:id="1318" w:name="_Toc114566869"/>
      <w:bookmarkStart w:id="1319" w:name="_Toc114585870"/>
      <w:bookmarkStart w:id="1320" w:name="_Toc114586014"/>
      <w:bookmarkStart w:id="1321" w:name="_Toc114586086"/>
      <w:bookmarkStart w:id="1322" w:name="_Toc114601226"/>
      <w:bookmarkStart w:id="1323" w:name="_Toc114657267"/>
      <w:bookmarkStart w:id="1324" w:name="_Toc114659729"/>
      <w:bookmarkStart w:id="1325" w:name="_Toc114662714"/>
      <w:bookmarkStart w:id="1326" w:name="_Toc114665098"/>
      <w:bookmarkStart w:id="1327" w:name="_Toc114672407"/>
      <w:bookmarkStart w:id="1328" w:name="_Toc114672619"/>
      <w:bookmarkStart w:id="1329" w:name="_Toc114673174"/>
      <w:bookmarkStart w:id="1330" w:name="_Toc114674285"/>
      <w:bookmarkStart w:id="1331" w:name="_Toc114687458"/>
      <w:bookmarkStart w:id="1332" w:name="_Toc114689922"/>
      <w:bookmarkStart w:id="1333" w:name="_Toc114731785"/>
      <w:bookmarkStart w:id="1334" w:name="_Toc114733550"/>
      <w:bookmarkStart w:id="1335" w:name="_Toc114735491"/>
      <w:bookmarkStart w:id="1336" w:name="_Toc114755821"/>
      <w:bookmarkStart w:id="1337" w:name="_Toc114757126"/>
      <w:bookmarkStart w:id="1338" w:name="_Toc114757410"/>
      <w:bookmarkStart w:id="1339" w:name="_Toc114757512"/>
      <w:bookmarkStart w:id="1340" w:name="_Toc114758185"/>
      <w:bookmarkStart w:id="1341" w:name="_Toc114824355"/>
      <w:bookmarkStart w:id="1342" w:name="_Toc114829431"/>
      <w:bookmarkStart w:id="1343" w:name="_Toc114829795"/>
      <w:bookmarkStart w:id="1344" w:name="_Toc114829762"/>
      <w:bookmarkStart w:id="1345" w:name="_Toc114829939"/>
      <w:bookmarkStart w:id="1346" w:name="_Toc115099018"/>
      <w:bookmarkStart w:id="1347" w:name="_Toc115099090"/>
      <w:bookmarkStart w:id="1348" w:name="_Toc115101667"/>
      <w:bookmarkStart w:id="1349" w:name="_Toc115102512"/>
      <w:bookmarkStart w:id="1350" w:name="_Toc115105485"/>
      <w:bookmarkStart w:id="1351" w:name="_Toc115110346"/>
      <w:bookmarkStart w:id="1352" w:name="_Toc115110473"/>
      <w:bookmarkStart w:id="1353" w:name="_Toc115121591"/>
      <w:bookmarkStart w:id="1354" w:name="_Toc115121961"/>
      <w:bookmarkStart w:id="1355" w:name="_Toc115123441"/>
      <w:bookmarkStart w:id="1356" w:name="_Toc115123689"/>
      <w:bookmarkStart w:id="1357" w:name="_Toc115126821"/>
      <w:bookmarkStart w:id="1358" w:name="_Toc115185458"/>
      <w:bookmarkStart w:id="1359" w:name="_Toc115186085"/>
      <w:bookmarkStart w:id="1360" w:name="_Toc115189243"/>
      <w:bookmarkStart w:id="1361" w:name="_Toc115194216"/>
      <w:bookmarkStart w:id="1362" w:name="_Toc115194953"/>
      <w:bookmarkStart w:id="1363" w:name="_Toc115196363"/>
      <w:bookmarkStart w:id="1364" w:name="_Toc115198864"/>
      <w:bookmarkStart w:id="1365" w:name="_Toc115208879"/>
      <w:bookmarkStart w:id="1366" w:name="_Toc115209015"/>
      <w:bookmarkStart w:id="1367" w:name="_Toc115210346"/>
      <w:bookmarkStart w:id="1368" w:name="_Toc115212571"/>
      <w:bookmarkStart w:id="1369" w:name="_Toc115213211"/>
      <w:bookmarkStart w:id="1370" w:name="_Toc115216709"/>
      <w:bookmarkStart w:id="1371" w:name="_Toc115270400"/>
      <w:bookmarkStart w:id="1372" w:name="_Toc115271343"/>
      <w:bookmarkStart w:id="1373" w:name="_Toc115272260"/>
      <w:bookmarkStart w:id="1374" w:name="_Toc115273430"/>
      <w:bookmarkStart w:id="1375" w:name="_Toc115273358"/>
      <w:bookmarkStart w:id="1376" w:name="_Toc115274611"/>
      <w:bookmarkStart w:id="1377" w:name="_Toc115274837"/>
      <w:bookmarkStart w:id="1378" w:name="_Toc115275194"/>
      <w:bookmarkStart w:id="1379" w:name="_Toc115275337"/>
      <w:bookmarkStart w:id="1380" w:name="_Toc115274174"/>
      <w:bookmarkStart w:id="1381" w:name="_Toc115274475"/>
      <w:bookmarkStart w:id="1382" w:name="_Toc115274543"/>
      <w:bookmarkStart w:id="1383" w:name="_Toc115274701"/>
      <w:bookmarkStart w:id="1384" w:name="_Toc115277435"/>
      <w:bookmarkStart w:id="1385" w:name="_Toc115277639"/>
      <w:bookmarkStart w:id="1386" w:name="_Toc115278528"/>
      <w:bookmarkStart w:id="1387" w:name="_Toc115278608"/>
      <w:bookmarkStart w:id="1388" w:name="_Toc115282278"/>
      <w:bookmarkStart w:id="1389" w:name="_Toc115284731"/>
      <w:bookmarkStart w:id="1390" w:name="_Toc115286823"/>
      <w:bookmarkStart w:id="1391" w:name="_Toc115294757"/>
      <w:bookmarkStart w:id="1392" w:name="_Toc115296337"/>
      <w:bookmarkStart w:id="1393" w:name="_Toc115308523"/>
      <w:bookmarkStart w:id="1394" w:name="_Toc115311175"/>
      <w:bookmarkStart w:id="1395" w:name="_Toc115312655"/>
      <w:bookmarkStart w:id="1396" w:name="_Toc115343829"/>
      <w:bookmarkStart w:id="1397" w:name="_Toc115348267"/>
      <w:bookmarkStart w:id="1398" w:name="_Toc115350365"/>
      <w:bookmarkStart w:id="1399" w:name="_Toc115353453"/>
      <w:bookmarkStart w:id="1400" w:name="_Toc115359484"/>
      <w:bookmarkStart w:id="1401" w:name="_Toc115361888"/>
      <w:bookmarkStart w:id="1402" w:name="_Toc115364281"/>
      <w:bookmarkStart w:id="1403" w:name="_Toc115365375"/>
      <w:bookmarkStart w:id="1404" w:name="_Toc115365647"/>
      <w:bookmarkStart w:id="1405" w:name="_Toc115365715"/>
      <w:bookmarkStart w:id="1406" w:name="_Toc115366179"/>
      <w:bookmarkStart w:id="1407" w:name="_Toc115368552"/>
      <w:bookmarkStart w:id="1408" w:name="_Toc115370069"/>
      <w:bookmarkStart w:id="1409" w:name="_Toc115370735"/>
      <w:bookmarkStart w:id="1410" w:name="_Toc115374375"/>
      <w:bookmarkStart w:id="1411" w:name="_Toc115378714"/>
      <w:bookmarkStart w:id="1412" w:name="_Toc115380946"/>
      <w:bookmarkStart w:id="1413" w:name="_Toc115384098"/>
      <w:bookmarkStart w:id="1414" w:name="_Toc115387327"/>
      <w:bookmarkStart w:id="1415" w:name="_Toc115388793"/>
      <w:bookmarkStart w:id="1416" w:name="_Toc115431431"/>
      <w:bookmarkStart w:id="1417" w:name="_Toc115432809"/>
      <w:bookmarkStart w:id="1418" w:name="_Toc115434380"/>
      <w:bookmarkStart w:id="1419" w:name="_Toc115434479"/>
      <w:bookmarkStart w:id="1420" w:name="_Toc115434548"/>
      <w:bookmarkStart w:id="1421" w:name="_Toc115434617"/>
      <w:bookmarkStart w:id="1422" w:name="_Toc115442787"/>
      <w:bookmarkStart w:id="1423" w:name="_Toc115446323"/>
      <w:bookmarkStart w:id="1424" w:name="_Toc115448030"/>
      <w:bookmarkStart w:id="1425" w:name="_Toc115449422"/>
      <w:bookmarkStart w:id="1426" w:name="_Toc115452442"/>
      <w:bookmarkStart w:id="1427" w:name="_Toc115455259"/>
      <w:bookmarkStart w:id="1428" w:name="_Toc115455325"/>
      <w:bookmarkStart w:id="1429" w:name="_Toc115457275"/>
      <w:bookmarkStart w:id="1430" w:name="_Toc115458111"/>
      <w:bookmarkStart w:id="1431" w:name="_Toc115948139"/>
      <w:bookmarkStart w:id="1432" w:name="_Toc115948586"/>
      <w:r>
        <w:t>1.4</w:t>
      </w:r>
      <w:r w:rsidR="00F55DC4" w:rsidRPr="000F2E36">
        <w:t xml:space="preserve"> Methodology</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7F7105CD" w14:textId="5A2A2763" w:rsidR="002233FD" w:rsidRDefault="000B3948" w:rsidP="00F55DC4">
      <w:r>
        <w:t>The R</w:t>
      </w:r>
      <w:r w:rsidR="002233FD">
        <w:t xml:space="preserve">eview </w:t>
      </w:r>
      <w:r w:rsidR="00E905CA">
        <w:t xml:space="preserve">sought </w:t>
      </w:r>
      <w:r w:rsidR="002233FD">
        <w:t>public submissions, interview</w:t>
      </w:r>
      <w:r w:rsidR="000535FA">
        <w:t>ed</w:t>
      </w:r>
      <w:r w:rsidR="00111FF3">
        <w:t xml:space="preserve"> a range of stakeholders</w:t>
      </w:r>
      <w:r w:rsidR="002233FD">
        <w:t xml:space="preserve">, </w:t>
      </w:r>
      <w:r w:rsidR="00054046">
        <w:t xml:space="preserve">and </w:t>
      </w:r>
      <w:r w:rsidR="00E905CA">
        <w:t xml:space="preserve">surveyed </w:t>
      </w:r>
      <w:r w:rsidR="001F298B">
        <w:t xml:space="preserve">current and former </w:t>
      </w:r>
      <w:r w:rsidR="005E76B6">
        <w:t>parliamentarians and</w:t>
      </w:r>
      <w:r w:rsidR="001F298B">
        <w:t xml:space="preserve"> MoP(S) Act employees</w:t>
      </w:r>
      <w:r>
        <w:t>. The R</w:t>
      </w:r>
      <w:r w:rsidR="00054046">
        <w:t>eview also considered</w:t>
      </w:r>
      <w:r w:rsidR="00111FF3" w:rsidDel="00054046">
        <w:t xml:space="preserve"> </w:t>
      </w:r>
      <w:r w:rsidR="002233FD">
        <w:t xml:space="preserve">public submissions to other </w:t>
      </w:r>
      <w:r w:rsidR="00054046">
        <w:t xml:space="preserve">recent </w:t>
      </w:r>
      <w:r w:rsidR="002233FD">
        <w:t>reviews</w:t>
      </w:r>
      <w:r w:rsidR="00054046">
        <w:t>,</w:t>
      </w:r>
      <w:r w:rsidR="002233FD">
        <w:t xml:space="preserve"> like </w:t>
      </w:r>
      <w:r w:rsidR="00142173" w:rsidRPr="00142173">
        <w:rPr>
          <w:i/>
        </w:rPr>
        <w:t>Set the Standard</w:t>
      </w:r>
      <w:r w:rsidR="002233FD">
        <w:t>.</w:t>
      </w:r>
    </w:p>
    <w:p w14:paraId="2DF879A4" w14:textId="03F3836F" w:rsidR="00F55DC4" w:rsidRDefault="00FF78F2" w:rsidP="00F55DC4">
      <w:r>
        <w:t>Public s</w:t>
      </w:r>
      <w:r w:rsidR="00B8182A">
        <w:t>ubmission</w:t>
      </w:r>
      <w:r>
        <w:t>s</w:t>
      </w:r>
      <w:r w:rsidR="00B8182A">
        <w:t xml:space="preserve"> </w:t>
      </w:r>
      <w:r w:rsidR="00D10231">
        <w:t xml:space="preserve">opened </w:t>
      </w:r>
      <w:r>
        <w:t xml:space="preserve">on </w:t>
      </w:r>
      <w:r w:rsidR="0031263D">
        <w:t>PM&amp;C</w:t>
      </w:r>
      <w:r>
        <w:t xml:space="preserve">’s website on </w:t>
      </w:r>
      <w:r w:rsidR="00B44E48">
        <w:t>28 February </w:t>
      </w:r>
      <w:r w:rsidR="00111FF3">
        <w:t>2022</w:t>
      </w:r>
      <w:r w:rsidR="00B8182A">
        <w:t xml:space="preserve"> </w:t>
      </w:r>
      <w:r w:rsidR="00111FF3">
        <w:t>and closed</w:t>
      </w:r>
      <w:r w:rsidR="00B44E48">
        <w:t xml:space="preserve"> on 1 </w:t>
      </w:r>
      <w:r>
        <w:t>July</w:t>
      </w:r>
      <w:r w:rsidR="00B44E48">
        <w:t> </w:t>
      </w:r>
      <w:r>
        <w:t>2022</w:t>
      </w:r>
      <w:r w:rsidR="00054046">
        <w:t xml:space="preserve">. This period included </w:t>
      </w:r>
      <w:r>
        <w:t xml:space="preserve">two extensions </w:t>
      </w:r>
      <w:r w:rsidR="00054046">
        <w:t>of time</w:t>
      </w:r>
      <w:r w:rsidR="0068169F">
        <w:t>, which were</w:t>
      </w:r>
      <w:r w:rsidR="00054046">
        <w:t xml:space="preserve"> considered appropriate</w:t>
      </w:r>
      <w:r w:rsidR="0068169F">
        <w:t xml:space="preserve"> given</w:t>
      </w:r>
      <w:r>
        <w:t xml:space="preserve"> </w:t>
      </w:r>
      <w:r w:rsidR="00111FF3">
        <w:t xml:space="preserve">the 2022 </w:t>
      </w:r>
      <w:r>
        <w:t xml:space="preserve">federal </w:t>
      </w:r>
      <w:r w:rsidR="00B8182A">
        <w:t>election</w:t>
      </w:r>
      <w:r>
        <w:t>.</w:t>
      </w:r>
      <w:r w:rsidR="00473AD2">
        <w:t xml:space="preserve"> </w:t>
      </w:r>
    </w:p>
    <w:p w14:paraId="305F5F45" w14:textId="50FDA4C0" w:rsidR="00FF78F2" w:rsidRDefault="00D10231" w:rsidP="00F55DC4">
      <w:r>
        <w:t>T</w:t>
      </w:r>
      <w:r w:rsidR="00D9622C">
        <w:t xml:space="preserve">he Review team </w:t>
      </w:r>
      <w:r w:rsidR="00F278C0">
        <w:t>engag</w:t>
      </w:r>
      <w:r w:rsidR="0068169F">
        <w:t>ed</w:t>
      </w:r>
      <w:r w:rsidR="00F278C0">
        <w:t xml:space="preserve"> with</w:t>
      </w:r>
      <w:r w:rsidR="00D9622C">
        <w:t xml:space="preserve"> both targeted stakeholders and those who nominated themselves </w:t>
      </w:r>
      <w:r w:rsidR="0068169F">
        <w:t xml:space="preserve">for interview </w:t>
      </w:r>
      <w:r w:rsidR="00D9622C">
        <w:t>through a general request</w:t>
      </w:r>
      <w:r w:rsidR="00AE0054">
        <w:t xml:space="preserve"> to current and former </w:t>
      </w:r>
      <w:r w:rsidR="00C663B2">
        <w:t>parliamentarians and</w:t>
      </w:r>
      <w:r w:rsidR="00AE0054">
        <w:t xml:space="preserve"> </w:t>
      </w:r>
      <w:r w:rsidR="005E76B6">
        <w:t>MoP(S) employees</w:t>
      </w:r>
      <w:r w:rsidR="00D9622C">
        <w:t>.</w:t>
      </w:r>
    </w:p>
    <w:p w14:paraId="55D6B9F9" w14:textId="07F5F064" w:rsidR="00D9622C" w:rsidRDefault="00D9622C" w:rsidP="00F55DC4">
      <w:r>
        <w:t xml:space="preserve">Finally, </w:t>
      </w:r>
      <w:r w:rsidR="00E905CA">
        <w:t xml:space="preserve">PM&amp;C arranged for a short </w:t>
      </w:r>
      <w:r>
        <w:t xml:space="preserve">survey to </w:t>
      </w:r>
      <w:r w:rsidR="00E905CA">
        <w:t xml:space="preserve">be sent to </w:t>
      </w:r>
      <w:r>
        <w:t xml:space="preserve">current and former </w:t>
      </w:r>
      <w:r w:rsidR="00966D2B">
        <w:t xml:space="preserve">MoP(S) Act </w:t>
      </w:r>
      <w:r w:rsidR="00C663B2">
        <w:t xml:space="preserve">parliamentarians and </w:t>
      </w:r>
      <w:r w:rsidR="00966D2B">
        <w:t>employees.</w:t>
      </w:r>
      <w:r>
        <w:t xml:space="preserve"> The </w:t>
      </w:r>
      <w:r w:rsidR="00F350AE">
        <w:t xml:space="preserve">survey </w:t>
      </w:r>
      <w:r w:rsidR="0068169F">
        <w:t>reach</w:t>
      </w:r>
      <w:r w:rsidR="00F350AE">
        <w:t>ed</w:t>
      </w:r>
      <w:r w:rsidR="0068169F">
        <w:t xml:space="preserve"> a larger number of people and </w:t>
      </w:r>
      <w:r>
        <w:t>gather</w:t>
      </w:r>
      <w:r w:rsidR="00F350AE">
        <w:t>ed</w:t>
      </w:r>
      <w:r>
        <w:t xml:space="preserve"> a broad range of views.</w:t>
      </w:r>
    </w:p>
    <w:p w14:paraId="29A9727B" w14:textId="18B76D39" w:rsidR="002A2304" w:rsidRDefault="00D10231" w:rsidP="00F55DC4">
      <w:r>
        <w:t xml:space="preserve">We want to sincerely thank everyone who contributed to this Review. </w:t>
      </w:r>
      <w:r w:rsidR="00E550AC">
        <w:t>In sum</w:t>
      </w:r>
      <w:r w:rsidR="00966D2B">
        <w:t>mary, the R</w:t>
      </w:r>
      <w:r w:rsidR="002A2304">
        <w:t>eview drew on:</w:t>
      </w:r>
    </w:p>
    <w:p w14:paraId="6499972C" w14:textId="77777777" w:rsidR="00E550AC" w:rsidRPr="008C2208" w:rsidRDefault="00E550AC" w:rsidP="008B2275">
      <w:pPr>
        <w:pStyle w:val="BulletedList-Level1"/>
      </w:pPr>
      <w:r w:rsidRPr="00E61184">
        <w:t>47</w:t>
      </w:r>
      <w:r w:rsidR="00966D2B">
        <w:t xml:space="preserve"> submissions</w:t>
      </w:r>
    </w:p>
    <w:p w14:paraId="73495F8D" w14:textId="77777777" w:rsidR="00E550AC" w:rsidRDefault="00E550AC" w:rsidP="008B2275">
      <w:pPr>
        <w:pStyle w:val="BulletedList-Level1"/>
      </w:pPr>
      <w:r w:rsidRPr="00E61184">
        <w:t>39</w:t>
      </w:r>
      <w:r w:rsidRPr="008C2208">
        <w:t xml:space="preserve"> interviews</w:t>
      </w:r>
    </w:p>
    <w:p w14:paraId="60E3ABFE" w14:textId="77777777" w:rsidR="00E550AC" w:rsidRDefault="004E144E" w:rsidP="008B2275">
      <w:pPr>
        <w:pStyle w:val="BulletedList-Level1"/>
      </w:pPr>
      <w:r w:rsidRPr="00E61184">
        <w:t>3</w:t>
      </w:r>
      <w:r>
        <w:t>3</w:t>
      </w:r>
      <w:r w:rsidR="00E550AC">
        <w:t xml:space="preserve"> t</w:t>
      </w:r>
      <w:r w:rsidR="00E550AC" w:rsidRPr="008C2208">
        <w:t xml:space="preserve">argeted </w:t>
      </w:r>
      <w:r w:rsidR="00966D2B">
        <w:t>stakeholder engagements</w:t>
      </w:r>
    </w:p>
    <w:p w14:paraId="194A0E36" w14:textId="77777777" w:rsidR="00E550AC" w:rsidRPr="008C2208" w:rsidRDefault="00E550AC" w:rsidP="008B2275">
      <w:pPr>
        <w:pStyle w:val="BulletedList-Level1"/>
      </w:pPr>
      <w:r>
        <w:t>a staff consultation session with rep</w:t>
      </w:r>
      <w:r w:rsidR="00F350AE">
        <w:t>resentative</w:t>
      </w:r>
      <w:r>
        <w:t xml:space="preserve">s invited from across parties and </w:t>
      </w:r>
      <w:r w:rsidR="001A228E">
        <w:t>staffing levels</w:t>
      </w:r>
    </w:p>
    <w:p w14:paraId="490FE66A" w14:textId="78FE7529" w:rsidR="00E550AC" w:rsidRPr="008C2208" w:rsidRDefault="00E550AC" w:rsidP="008B2275">
      <w:pPr>
        <w:pStyle w:val="BulletedList-Level1"/>
      </w:pPr>
      <w:r w:rsidRPr="008C2208">
        <w:t xml:space="preserve">388 survey responses from current and former </w:t>
      </w:r>
      <w:r w:rsidR="00C663B2">
        <w:t xml:space="preserve">parliamentarians and </w:t>
      </w:r>
      <w:r w:rsidRPr="008C2208">
        <w:t xml:space="preserve">MoP(S) </w:t>
      </w:r>
      <w:r w:rsidR="002D62B0">
        <w:t>Act employees</w:t>
      </w:r>
      <w:r w:rsidRPr="008C2208">
        <w:t>.</w:t>
      </w:r>
    </w:p>
    <w:p w14:paraId="3C499F78" w14:textId="0E06A778" w:rsidR="00426EF9" w:rsidRDefault="0050727A" w:rsidP="00D10231">
      <w:r>
        <w:t xml:space="preserve">Further detail </w:t>
      </w:r>
      <w:r w:rsidR="005D5368">
        <w:t xml:space="preserve">on the methodology used in </w:t>
      </w:r>
      <w:r w:rsidR="00D10231">
        <w:t>this</w:t>
      </w:r>
      <w:r w:rsidR="005D5368">
        <w:t xml:space="preserve"> R</w:t>
      </w:r>
      <w:r>
        <w:t xml:space="preserve">eview is available at </w:t>
      </w:r>
      <w:r w:rsidR="00B44E48">
        <w:rPr>
          <w:b/>
        </w:rPr>
        <w:t>Appendix </w:t>
      </w:r>
      <w:r w:rsidR="00B46D82">
        <w:rPr>
          <w:b/>
        </w:rPr>
        <w:t>8</w:t>
      </w:r>
      <w:r w:rsidRPr="00612FAE">
        <w:rPr>
          <w:b/>
        </w:rPr>
        <w:t>.</w:t>
      </w:r>
      <w:r w:rsidR="00921639">
        <w:rPr>
          <w:b/>
        </w:rPr>
        <w:t>3</w:t>
      </w:r>
      <w:r>
        <w:t xml:space="preserve">. </w:t>
      </w:r>
      <w:r w:rsidR="00426EF9">
        <w:br w:type="page"/>
      </w:r>
    </w:p>
    <w:p w14:paraId="6F778D7E" w14:textId="4B9E7546" w:rsidR="00E27BFE" w:rsidRPr="000F2E36" w:rsidRDefault="00E27BFE" w:rsidP="00E27BFE">
      <w:pPr>
        <w:pStyle w:val="Heading1"/>
      </w:pPr>
      <w:bookmarkStart w:id="1433" w:name="_Toc115449423"/>
      <w:bookmarkStart w:id="1434" w:name="_Toc114230859"/>
      <w:bookmarkStart w:id="1435" w:name="_Toc114232916"/>
      <w:bookmarkStart w:id="1436" w:name="_Toc114233564"/>
      <w:bookmarkStart w:id="1437" w:name="_Toc114233636"/>
      <w:bookmarkStart w:id="1438" w:name="_Toc114240591"/>
      <w:bookmarkStart w:id="1439" w:name="_Toc114240665"/>
      <w:bookmarkStart w:id="1440" w:name="_Toc114241009"/>
      <w:bookmarkStart w:id="1441" w:name="_Toc114493882"/>
      <w:bookmarkStart w:id="1442" w:name="_Toc114500283"/>
      <w:bookmarkStart w:id="1443" w:name="_Toc114500358"/>
      <w:bookmarkStart w:id="1444" w:name="_Toc114518631"/>
      <w:bookmarkStart w:id="1445" w:name="_Toc114520303"/>
      <w:bookmarkStart w:id="1446" w:name="_Toc114520712"/>
      <w:bookmarkStart w:id="1447" w:name="_Toc114565740"/>
      <w:bookmarkStart w:id="1448" w:name="_Toc114566721"/>
      <w:bookmarkStart w:id="1449" w:name="_Toc114566946"/>
      <w:bookmarkStart w:id="1450" w:name="_Toc114566870"/>
      <w:bookmarkStart w:id="1451" w:name="_Toc114585871"/>
      <w:bookmarkStart w:id="1452" w:name="_Toc114586015"/>
      <w:bookmarkStart w:id="1453" w:name="_Toc114586087"/>
      <w:bookmarkStart w:id="1454" w:name="_Toc114601227"/>
      <w:bookmarkStart w:id="1455" w:name="_Toc114657268"/>
      <w:bookmarkStart w:id="1456" w:name="_Toc114659730"/>
      <w:bookmarkStart w:id="1457" w:name="_Toc114662715"/>
      <w:bookmarkStart w:id="1458" w:name="_Toc114665099"/>
      <w:bookmarkStart w:id="1459" w:name="_Toc114672408"/>
      <w:bookmarkStart w:id="1460" w:name="_Toc114672620"/>
      <w:bookmarkStart w:id="1461" w:name="_Toc114673175"/>
      <w:bookmarkStart w:id="1462" w:name="_Toc114673761"/>
      <w:bookmarkStart w:id="1463" w:name="_Toc114674286"/>
      <w:bookmarkStart w:id="1464" w:name="_Toc114687459"/>
      <w:bookmarkStart w:id="1465" w:name="_Toc114689923"/>
      <w:bookmarkStart w:id="1466" w:name="_Toc114731786"/>
      <w:bookmarkStart w:id="1467" w:name="_Toc114733551"/>
      <w:bookmarkStart w:id="1468" w:name="_Toc114735492"/>
      <w:bookmarkStart w:id="1469" w:name="_Toc114755822"/>
      <w:bookmarkStart w:id="1470" w:name="_Toc114757127"/>
      <w:bookmarkStart w:id="1471" w:name="_Toc114757411"/>
      <w:bookmarkStart w:id="1472" w:name="_Toc114757513"/>
      <w:bookmarkStart w:id="1473" w:name="_Toc114758186"/>
      <w:bookmarkStart w:id="1474" w:name="_Toc114824356"/>
      <w:bookmarkStart w:id="1475" w:name="_Toc114829432"/>
      <w:bookmarkStart w:id="1476" w:name="_Toc114829796"/>
      <w:bookmarkStart w:id="1477" w:name="_Toc114829763"/>
      <w:bookmarkStart w:id="1478" w:name="_Toc114829940"/>
      <w:bookmarkStart w:id="1479" w:name="_Toc115099019"/>
      <w:bookmarkStart w:id="1480" w:name="_Toc115099091"/>
      <w:bookmarkStart w:id="1481" w:name="_Toc115101668"/>
      <w:bookmarkStart w:id="1482" w:name="_Toc115102513"/>
      <w:bookmarkStart w:id="1483" w:name="_Toc115105486"/>
      <w:bookmarkStart w:id="1484" w:name="_Toc115110347"/>
      <w:bookmarkStart w:id="1485" w:name="_Toc115110474"/>
      <w:bookmarkStart w:id="1486" w:name="_Toc115121592"/>
      <w:bookmarkStart w:id="1487" w:name="_Toc115121962"/>
      <w:bookmarkStart w:id="1488" w:name="_Toc115123442"/>
      <w:bookmarkStart w:id="1489" w:name="_Toc115123690"/>
      <w:bookmarkStart w:id="1490" w:name="_Toc115126822"/>
      <w:bookmarkStart w:id="1491" w:name="_Toc115185459"/>
      <w:bookmarkStart w:id="1492" w:name="_Toc115186086"/>
      <w:bookmarkStart w:id="1493" w:name="_Toc115189244"/>
      <w:bookmarkStart w:id="1494" w:name="_Toc115194217"/>
      <w:bookmarkStart w:id="1495" w:name="_Toc115194954"/>
      <w:bookmarkStart w:id="1496" w:name="_Toc115196364"/>
      <w:bookmarkStart w:id="1497" w:name="_Toc115198865"/>
      <w:bookmarkStart w:id="1498" w:name="_Toc115208880"/>
      <w:bookmarkStart w:id="1499" w:name="_Toc115209016"/>
      <w:bookmarkStart w:id="1500" w:name="_Toc115210347"/>
      <w:bookmarkStart w:id="1501" w:name="_Toc115212572"/>
      <w:bookmarkStart w:id="1502" w:name="_Toc115213212"/>
      <w:bookmarkStart w:id="1503" w:name="_Toc115216710"/>
      <w:bookmarkStart w:id="1504" w:name="_Toc115270401"/>
      <w:bookmarkStart w:id="1505" w:name="_Toc115271344"/>
      <w:bookmarkStart w:id="1506" w:name="_Toc115272261"/>
      <w:bookmarkStart w:id="1507" w:name="_Toc115273431"/>
      <w:bookmarkStart w:id="1508" w:name="_Toc115273359"/>
      <w:bookmarkStart w:id="1509" w:name="_Toc115274612"/>
      <w:bookmarkStart w:id="1510" w:name="_Toc115274838"/>
      <w:bookmarkStart w:id="1511" w:name="_Toc115275195"/>
      <w:bookmarkStart w:id="1512" w:name="_Toc115275338"/>
      <w:bookmarkStart w:id="1513" w:name="_Toc115274175"/>
      <w:bookmarkStart w:id="1514" w:name="_Toc115274476"/>
      <w:bookmarkStart w:id="1515" w:name="_Toc115274544"/>
      <w:bookmarkStart w:id="1516" w:name="_Toc115274702"/>
      <w:bookmarkStart w:id="1517" w:name="_Toc115277436"/>
      <w:bookmarkStart w:id="1518" w:name="_Toc115277640"/>
      <w:bookmarkStart w:id="1519" w:name="_Toc115278529"/>
      <w:bookmarkStart w:id="1520" w:name="_Toc115278609"/>
      <w:bookmarkStart w:id="1521" w:name="_Toc115282279"/>
      <w:bookmarkStart w:id="1522" w:name="_Toc115284732"/>
      <w:bookmarkStart w:id="1523" w:name="_Toc115286824"/>
      <w:bookmarkStart w:id="1524" w:name="_Toc115294758"/>
      <w:bookmarkStart w:id="1525" w:name="_Toc115296338"/>
      <w:bookmarkStart w:id="1526" w:name="_Toc115308524"/>
      <w:bookmarkStart w:id="1527" w:name="_Toc115311176"/>
      <w:bookmarkStart w:id="1528" w:name="_Toc115312656"/>
      <w:bookmarkStart w:id="1529" w:name="_Toc115343830"/>
      <w:bookmarkStart w:id="1530" w:name="_Toc115348268"/>
      <w:bookmarkStart w:id="1531" w:name="_Toc115350366"/>
      <w:bookmarkStart w:id="1532" w:name="_Toc115353454"/>
      <w:bookmarkStart w:id="1533" w:name="_Toc115359485"/>
      <w:bookmarkStart w:id="1534" w:name="_Toc115361889"/>
      <w:bookmarkStart w:id="1535" w:name="_Toc115364282"/>
      <w:bookmarkStart w:id="1536" w:name="_Toc115365376"/>
      <w:bookmarkStart w:id="1537" w:name="_Toc115365648"/>
      <w:bookmarkStart w:id="1538" w:name="_Toc115365716"/>
      <w:bookmarkStart w:id="1539" w:name="_Toc115366180"/>
      <w:bookmarkStart w:id="1540" w:name="_Toc115368553"/>
      <w:bookmarkStart w:id="1541" w:name="_Toc115370070"/>
      <w:bookmarkStart w:id="1542" w:name="_Toc115370736"/>
      <w:bookmarkStart w:id="1543" w:name="_Toc115374376"/>
      <w:bookmarkStart w:id="1544" w:name="_Toc115378715"/>
      <w:bookmarkStart w:id="1545" w:name="_Toc115380947"/>
      <w:bookmarkStart w:id="1546" w:name="_Toc115384099"/>
      <w:bookmarkStart w:id="1547" w:name="_Toc115387328"/>
      <w:bookmarkStart w:id="1548" w:name="_Toc115388794"/>
      <w:bookmarkStart w:id="1549" w:name="_Toc115431432"/>
      <w:bookmarkStart w:id="1550" w:name="_Toc115432810"/>
      <w:bookmarkStart w:id="1551" w:name="_Toc115434381"/>
      <w:bookmarkStart w:id="1552" w:name="_Toc115434480"/>
      <w:bookmarkStart w:id="1553" w:name="_Toc115434549"/>
      <w:bookmarkStart w:id="1554" w:name="_Toc115434618"/>
      <w:bookmarkStart w:id="1555" w:name="_Toc115442788"/>
      <w:bookmarkStart w:id="1556" w:name="_Toc115446324"/>
      <w:bookmarkStart w:id="1557" w:name="_Toc115448031"/>
      <w:bookmarkStart w:id="1558" w:name="_Toc115452443"/>
      <w:bookmarkStart w:id="1559" w:name="_Toc115455260"/>
      <w:bookmarkStart w:id="1560" w:name="_Toc115455326"/>
      <w:bookmarkStart w:id="1561" w:name="_Toc115457276"/>
      <w:bookmarkStart w:id="1562" w:name="_Toc115458112"/>
      <w:bookmarkStart w:id="1563" w:name="_Toc115948140"/>
      <w:bookmarkStart w:id="1564" w:name="_Toc115948587"/>
      <w:bookmarkStart w:id="1565" w:name="_Toc104212781"/>
      <w:r>
        <w:t>2</w:t>
      </w:r>
      <w:bookmarkEnd w:id="1433"/>
      <w:r>
        <w:t xml:space="preserve"> E</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r w:rsidR="00AF4854">
        <w:t>mployment framework</w:t>
      </w:r>
      <w:bookmarkEnd w:id="1555"/>
      <w:bookmarkEnd w:id="1556"/>
      <w:bookmarkEnd w:id="1557"/>
      <w:bookmarkEnd w:id="1558"/>
      <w:bookmarkEnd w:id="1559"/>
      <w:bookmarkEnd w:id="1560"/>
      <w:bookmarkEnd w:id="1561"/>
      <w:bookmarkEnd w:id="1562"/>
      <w:bookmarkEnd w:id="1563"/>
      <w:bookmarkEnd w:id="1564"/>
    </w:p>
    <w:p w14:paraId="587BFEE0" w14:textId="77777777" w:rsidR="00E835AA" w:rsidRDefault="00E835AA" w:rsidP="00E835AA">
      <w:pPr>
        <w:pStyle w:val="Heading2"/>
      </w:pPr>
      <w:bookmarkStart w:id="1566" w:name="_Toc114230860"/>
      <w:bookmarkStart w:id="1567" w:name="_Toc114232917"/>
      <w:bookmarkStart w:id="1568" w:name="_Toc114233565"/>
      <w:bookmarkStart w:id="1569" w:name="_Toc114233637"/>
      <w:bookmarkStart w:id="1570" w:name="_Toc114240592"/>
      <w:bookmarkStart w:id="1571" w:name="_Toc114240666"/>
      <w:bookmarkStart w:id="1572" w:name="_Toc114241010"/>
      <w:bookmarkStart w:id="1573" w:name="_Toc114493883"/>
      <w:bookmarkStart w:id="1574" w:name="_Toc114500284"/>
      <w:bookmarkStart w:id="1575" w:name="_Toc114500359"/>
      <w:bookmarkStart w:id="1576" w:name="_Toc114518632"/>
      <w:bookmarkStart w:id="1577" w:name="_Toc114520304"/>
      <w:bookmarkStart w:id="1578" w:name="_Toc114520713"/>
      <w:bookmarkStart w:id="1579" w:name="_Toc114565741"/>
      <w:bookmarkStart w:id="1580" w:name="_Toc114566722"/>
      <w:bookmarkStart w:id="1581" w:name="_Toc114566947"/>
      <w:bookmarkStart w:id="1582" w:name="_Toc114566871"/>
      <w:bookmarkStart w:id="1583" w:name="_Toc114585872"/>
      <w:bookmarkStart w:id="1584" w:name="_Toc114586016"/>
      <w:bookmarkStart w:id="1585" w:name="_Toc114586088"/>
      <w:bookmarkStart w:id="1586" w:name="_Toc114601228"/>
      <w:bookmarkStart w:id="1587" w:name="_Toc114657269"/>
      <w:bookmarkStart w:id="1588" w:name="_Toc114659731"/>
      <w:bookmarkStart w:id="1589" w:name="_Toc114662716"/>
      <w:bookmarkStart w:id="1590" w:name="_Toc114665100"/>
      <w:bookmarkStart w:id="1591" w:name="_Toc114672409"/>
      <w:bookmarkStart w:id="1592" w:name="_Toc114672621"/>
      <w:bookmarkStart w:id="1593" w:name="_Toc114673176"/>
      <w:bookmarkStart w:id="1594" w:name="_Toc114673762"/>
      <w:bookmarkStart w:id="1595" w:name="_Toc114674287"/>
      <w:bookmarkStart w:id="1596" w:name="_Toc114687460"/>
      <w:bookmarkStart w:id="1597" w:name="_Toc114689924"/>
      <w:bookmarkStart w:id="1598" w:name="_Toc114731787"/>
      <w:bookmarkStart w:id="1599" w:name="_Toc114733552"/>
      <w:bookmarkStart w:id="1600" w:name="_Toc114735493"/>
      <w:bookmarkStart w:id="1601" w:name="_Toc114755823"/>
      <w:bookmarkStart w:id="1602" w:name="_Toc114757128"/>
      <w:bookmarkStart w:id="1603" w:name="_Toc114757412"/>
      <w:bookmarkStart w:id="1604" w:name="_Toc114757514"/>
      <w:bookmarkStart w:id="1605" w:name="_Toc114758187"/>
      <w:bookmarkStart w:id="1606" w:name="_Toc114824357"/>
      <w:bookmarkStart w:id="1607" w:name="_Toc114829433"/>
      <w:bookmarkStart w:id="1608" w:name="_Toc114829797"/>
      <w:bookmarkStart w:id="1609" w:name="_Toc114829764"/>
      <w:bookmarkStart w:id="1610" w:name="_Toc114829941"/>
      <w:bookmarkStart w:id="1611" w:name="_Toc115099020"/>
      <w:bookmarkStart w:id="1612" w:name="_Toc115099092"/>
      <w:bookmarkStart w:id="1613" w:name="_Toc115101669"/>
      <w:bookmarkStart w:id="1614" w:name="_Toc115102514"/>
      <w:bookmarkStart w:id="1615" w:name="_Toc115105487"/>
      <w:bookmarkStart w:id="1616" w:name="_Toc115110348"/>
      <w:bookmarkStart w:id="1617" w:name="_Toc115110475"/>
      <w:bookmarkStart w:id="1618" w:name="_Toc115121593"/>
      <w:bookmarkStart w:id="1619" w:name="_Toc115121963"/>
      <w:bookmarkStart w:id="1620" w:name="_Toc115123443"/>
      <w:bookmarkStart w:id="1621" w:name="_Toc115123691"/>
      <w:bookmarkStart w:id="1622" w:name="_Toc115126823"/>
      <w:bookmarkStart w:id="1623" w:name="_Toc115185460"/>
      <w:bookmarkStart w:id="1624" w:name="_Toc115186087"/>
      <w:bookmarkStart w:id="1625" w:name="_Toc115189245"/>
      <w:bookmarkStart w:id="1626" w:name="_Toc115194218"/>
      <w:bookmarkStart w:id="1627" w:name="_Toc115194955"/>
      <w:bookmarkStart w:id="1628" w:name="_Toc115196365"/>
      <w:bookmarkStart w:id="1629" w:name="_Toc115198866"/>
      <w:bookmarkStart w:id="1630" w:name="_Toc115208881"/>
      <w:bookmarkStart w:id="1631" w:name="_Toc115209017"/>
      <w:bookmarkStart w:id="1632" w:name="_Toc115210348"/>
      <w:bookmarkStart w:id="1633" w:name="_Toc115212573"/>
      <w:bookmarkStart w:id="1634" w:name="_Toc115213213"/>
      <w:bookmarkStart w:id="1635" w:name="_Toc115216711"/>
      <w:bookmarkStart w:id="1636" w:name="_Toc115270402"/>
      <w:bookmarkStart w:id="1637" w:name="_Toc115271345"/>
      <w:bookmarkStart w:id="1638" w:name="_Toc115272262"/>
      <w:bookmarkStart w:id="1639" w:name="_Toc115273432"/>
      <w:bookmarkStart w:id="1640" w:name="_Toc115273360"/>
      <w:bookmarkStart w:id="1641" w:name="_Toc115274613"/>
      <w:bookmarkStart w:id="1642" w:name="_Toc115274839"/>
      <w:bookmarkStart w:id="1643" w:name="_Toc115275196"/>
      <w:bookmarkStart w:id="1644" w:name="_Toc115275339"/>
      <w:bookmarkStart w:id="1645" w:name="_Toc115274176"/>
      <w:bookmarkStart w:id="1646" w:name="_Toc115274477"/>
      <w:bookmarkStart w:id="1647" w:name="_Toc115274545"/>
      <w:bookmarkStart w:id="1648" w:name="_Toc115274703"/>
      <w:bookmarkStart w:id="1649" w:name="_Toc115277437"/>
      <w:bookmarkStart w:id="1650" w:name="_Toc115277641"/>
      <w:bookmarkStart w:id="1651" w:name="_Toc115278530"/>
      <w:bookmarkStart w:id="1652" w:name="_Toc115278610"/>
      <w:bookmarkStart w:id="1653" w:name="_Toc115282280"/>
      <w:bookmarkStart w:id="1654" w:name="_Toc115284733"/>
      <w:bookmarkStart w:id="1655" w:name="_Toc115286825"/>
      <w:bookmarkStart w:id="1656" w:name="_Toc115294759"/>
      <w:bookmarkStart w:id="1657" w:name="_Toc115296339"/>
      <w:bookmarkStart w:id="1658" w:name="_Toc115308525"/>
      <w:bookmarkStart w:id="1659" w:name="_Toc115311177"/>
      <w:bookmarkStart w:id="1660" w:name="_Toc115312657"/>
      <w:bookmarkStart w:id="1661" w:name="_Toc115343831"/>
      <w:bookmarkStart w:id="1662" w:name="_Toc115348269"/>
      <w:bookmarkStart w:id="1663" w:name="_Toc115350367"/>
      <w:bookmarkStart w:id="1664" w:name="_Toc115353455"/>
      <w:bookmarkStart w:id="1665" w:name="_Toc115359486"/>
      <w:bookmarkStart w:id="1666" w:name="_Toc115361890"/>
      <w:bookmarkStart w:id="1667" w:name="_Toc115364283"/>
      <w:bookmarkStart w:id="1668" w:name="_Toc115365377"/>
      <w:bookmarkStart w:id="1669" w:name="_Toc115365649"/>
      <w:bookmarkStart w:id="1670" w:name="_Toc115365717"/>
      <w:bookmarkStart w:id="1671" w:name="_Toc115366181"/>
      <w:bookmarkStart w:id="1672" w:name="_Toc115368554"/>
      <w:bookmarkStart w:id="1673" w:name="_Toc115370071"/>
      <w:bookmarkStart w:id="1674" w:name="_Toc115370737"/>
      <w:bookmarkStart w:id="1675" w:name="_Toc115374377"/>
      <w:bookmarkStart w:id="1676" w:name="_Toc115378716"/>
      <w:bookmarkStart w:id="1677" w:name="_Toc115380948"/>
      <w:bookmarkStart w:id="1678" w:name="_Toc115384100"/>
      <w:bookmarkStart w:id="1679" w:name="_Toc115387329"/>
      <w:bookmarkStart w:id="1680" w:name="_Toc115388795"/>
      <w:bookmarkStart w:id="1681" w:name="_Toc115431433"/>
      <w:bookmarkStart w:id="1682" w:name="_Toc115432811"/>
      <w:bookmarkStart w:id="1683" w:name="_Toc115434382"/>
      <w:bookmarkStart w:id="1684" w:name="_Toc115434481"/>
      <w:bookmarkStart w:id="1685" w:name="_Toc115434550"/>
      <w:bookmarkStart w:id="1686" w:name="_Toc115434619"/>
      <w:bookmarkStart w:id="1687" w:name="_Toc115442789"/>
      <w:bookmarkStart w:id="1688" w:name="_Toc115446325"/>
      <w:bookmarkStart w:id="1689" w:name="_Toc115448032"/>
      <w:bookmarkStart w:id="1690" w:name="_Toc115449424"/>
      <w:bookmarkStart w:id="1691" w:name="_Toc115452444"/>
      <w:bookmarkStart w:id="1692" w:name="_Toc115455261"/>
      <w:bookmarkStart w:id="1693" w:name="_Toc115455327"/>
      <w:bookmarkStart w:id="1694" w:name="_Toc115457277"/>
      <w:bookmarkStart w:id="1695" w:name="_Toc115458113"/>
      <w:bookmarkStart w:id="1696" w:name="_Toc115948141"/>
      <w:bookmarkStart w:id="1697" w:name="_Toc115948588"/>
      <w:r>
        <w:t>2.1 Introduction</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27EDCAFE" w14:textId="11422959" w:rsidR="00E835AA" w:rsidRDefault="00E835AA" w:rsidP="00E835AA">
      <w:r>
        <w:t xml:space="preserve">The MoP(S) Act is </w:t>
      </w:r>
      <w:r w:rsidR="003E72FD">
        <w:t xml:space="preserve">a relatively </w:t>
      </w:r>
      <w:r>
        <w:t>short</w:t>
      </w:r>
      <w:r w:rsidR="003272EE">
        <w:t xml:space="preserve"> </w:t>
      </w:r>
      <w:r w:rsidR="003E72FD">
        <w:t>piece of legislation</w:t>
      </w:r>
      <w:r w:rsidR="005C6BD5">
        <w:t xml:space="preserve"> </w:t>
      </w:r>
      <w:r w:rsidR="00922160">
        <w:t>and sets out</w:t>
      </w:r>
      <w:r>
        <w:t xml:space="preserve"> only part of the terms and conditions of MoP(S) Act employment. The </w:t>
      </w:r>
      <w:r w:rsidR="001E37F6">
        <w:t>R</w:t>
      </w:r>
      <w:r w:rsidR="0001653C">
        <w:t>eview considers</w:t>
      </w:r>
      <w:r>
        <w:t xml:space="preserve"> the Act in the context of its history and </w:t>
      </w:r>
      <w:r w:rsidR="00364FA7">
        <w:t>relat</w:t>
      </w:r>
      <w:r w:rsidR="0001653C">
        <w:t xml:space="preserve">ionship with other </w:t>
      </w:r>
      <w:r>
        <w:t>Acts, instruments and mechanisms.</w:t>
      </w:r>
    </w:p>
    <w:p w14:paraId="68913029" w14:textId="77777777" w:rsidR="00E835AA" w:rsidRDefault="00E835AA" w:rsidP="00E835AA">
      <w:r>
        <w:t>This chapter covers:</w:t>
      </w:r>
    </w:p>
    <w:p w14:paraId="24F19673" w14:textId="77777777" w:rsidR="00E835AA" w:rsidRDefault="00E835AA" w:rsidP="00E835AA">
      <w:pPr>
        <w:pStyle w:val="BulletedList-Level1"/>
      </w:pPr>
      <w:r>
        <w:t xml:space="preserve">the </w:t>
      </w:r>
      <w:r w:rsidR="0068169F">
        <w:t>h</w:t>
      </w:r>
      <w:r>
        <w:t>istory of the MoP(S) Act</w:t>
      </w:r>
    </w:p>
    <w:p w14:paraId="63256F6D" w14:textId="5FF595CF" w:rsidR="00E835AA" w:rsidRDefault="00E835AA" w:rsidP="00E835AA">
      <w:pPr>
        <w:pStyle w:val="BulletedList-Level1"/>
      </w:pPr>
      <w:r>
        <w:t xml:space="preserve">key features of the MoP(S) </w:t>
      </w:r>
      <w:r w:rsidR="00136872">
        <w:t xml:space="preserve">Act </w:t>
      </w:r>
      <w:r>
        <w:t>employment framework.</w:t>
      </w:r>
    </w:p>
    <w:p w14:paraId="2E308489" w14:textId="77777777" w:rsidR="00E835AA" w:rsidRDefault="00E835AA" w:rsidP="00E835AA">
      <w:pPr>
        <w:pStyle w:val="BodyText"/>
      </w:pPr>
    </w:p>
    <w:p w14:paraId="165950BE" w14:textId="77777777" w:rsidR="002225D9" w:rsidRDefault="00E835AA" w:rsidP="002225D9">
      <w:pPr>
        <w:pStyle w:val="Heading2"/>
      </w:pPr>
      <w:bookmarkStart w:id="1698" w:name="_Toc114230861"/>
      <w:bookmarkStart w:id="1699" w:name="_Toc114232918"/>
      <w:bookmarkStart w:id="1700" w:name="_Toc114233566"/>
      <w:bookmarkStart w:id="1701" w:name="_Toc114233638"/>
      <w:bookmarkStart w:id="1702" w:name="_Toc114240593"/>
      <w:bookmarkStart w:id="1703" w:name="_Toc114240667"/>
      <w:bookmarkStart w:id="1704" w:name="_Toc114241011"/>
      <w:bookmarkStart w:id="1705" w:name="_Toc114493884"/>
      <w:bookmarkStart w:id="1706" w:name="_Toc114500285"/>
      <w:bookmarkStart w:id="1707" w:name="_Toc114500360"/>
      <w:bookmarkStart w:id="1708" w:name="_Toc114518633"/>
      <w:bookmarkStart w:id="1709" w:name="_Toc114520305"/>
      <w:bookmarkStart w:id="1710" w:name="_Toc114520714"/>
      <w:bookmarkStart w:id="1711" w:name="_Toc114565742"/>
      <w:bookmarkStart w:id="1712" w:name="_Toc114566723"/>
      <w:bookmarkStart w:id="1713" w:name="_Toc114566948"/>
      <w:bookmarkStart w:id="1714" w:name="_Toc114566872"/>
      <w:bookmarkStart w:id="1715" w:name="_Toc114585873"/>
      <w:bookmarkStart w:id="1716" w:name="_Toc114586017"/>
      <w:bookmarkStart w:id="1717" w:name="_Toc114586089"/>
      <w:bookmarkStart w:id="1718" w:name="_Toc114601229"/>
      <w:bookmarkStart w:id="1719" w:name="_Toc114657270"/>
      <w:bookmarkStart w:id="1720" w:name="_Toc114659732"/>
      <w:bookmarkStart w:id="1721" w:name="_Toc114662717"/>
      <w:bookmarkStart w:id="1722" w:name="_Toc114665101"/>
      <w:bookmarkStart w:id="1723" w:name="_Toc114672410"/>
      <w:bookmarkStart w:id="1724" w:name="_Toc114672622"/>
      <w:bookmarkStart w:id="1725" w:name="_Toc114673177"/>
      <w:bookmarkStart w:id="1726" w:name="_Toc114673763"/>
      <w:bookmarkStart w:id="1727" w:name="_Toc114674288"/>
      <w:bookmarkStart w:id="1728" w:name="_Toc114687461"/>
      <w:bookmarkStart w:id="1729" w:name="_Toc114689925"/>
      <w:bookmarkStart w:id="1730" w:name="_Toc114731788"/>
      <w:bookmarkStart w:id="1731" w:name="_Toc114733553"/>
      <w:bookmarkStart w:id="1732" w:name="_Toc114735494"/>
      <w:bookmarkStart w:id="1733" w:name="_Toc114755824"/>
      <w:bookmarkStart w:id="1734" w:name="_Toc114757129"/>
      <w:bookmarkStart w:id="1735" w:name="_Toc114757413"/>
      <w:bookmarkStart w:id="1736" w:name="_Toc114757515"/>
      <w:bookmarkStart w:id="1737" w:name="_Toc114758188"/>
      <w:bookmarkStart w:id="1738" w:name="_Toc114824358"/>
      <w:bookmarkStart w:id="1739" w:name="_Toc114829434"/>
      <w:bookmarkStart w:id="1740" w:name="_Toc114829798"/>
      <w:bookmarkStart w:id="1741" w:name="_Toc114829765"/>
      <w:bookmarkStart w:id="1742" w:name="_Toc114829942"/>
      <w:bookmarkStart w:id="1743" w:name="_Toc115099021"/>
      <w:bookmarkStart w:id="1744" w:name="_Toc115099093"/>
      <w:bookmarkStart w:id="1745" w:name="_Toc115101670"/>
      <w:bookmarkStart w:id="1746" w:name="_Toc115102515"/>
      <w:bookmarkStart w:id="1747" w:name="_Toc115105488"/>
      <w:bookmarkStart w:id="1748" w:name="_Toc115110349"/>
      <w:bookmarkStart w:id="1749" w:name="_Toc115110476"/>
      <w:bookmarkStart w:id="1750" w:name="_Toc115121594"/>
      <w:bookmarkStart w:id="1751" w:name="_Toc115121964"/>
      <w:bookmarkStart w:id="1752" w:name="_Toc115123444"/>
      <w:bookmarkStart w:id="1753" w:name="_Toc115123692"/>
      <w:bookmarkStart w:id="1754" w:name="_Toc115126824"/>
      <w:bookmarkStart w:id="1755" w:name="_Toc115185461"/>
      <w:bookmarkStart w:id="1756" w:name="_Toc115186088"/>
      <w:bookmarkStart w:id="1757" w:name="_Toc115189246"/>
      <w:bookmarkStart w:id="1758" w:name="_Toc115194219"/>
      <w:bookmarkStart w:id="1759" w:name="_Toc115194956"/>
      <w:bookmarkStart w:id="1760" w:name="_Toc115196366"/>
      <w:bookmarkStart w:id="1761" w:name="_Toc115198867"/>
      <w:bookmarkStart w:id="1762" w:name="_Toc115208882"/>
      <w:bookmarkStart w:id="1763" w:name="_Toc115209018"/>
      <w:bookmarkStart w:id="1764" w:name="_Toc115210349"/>
      <w:bookmarkStart w:id="1765" w:name="_Toc115212574"/>
      <w:bookmarkStart w:id="1766" w:name="_Toc115213214"/>
      <w:bookmarkStart w:id="1767" w:name="_Toc115216712"/>
      <w:bookmarkStart w:id="1768" w:name="_Toc115270403"/>
      <w:bookmarkStart w:id="1769" w:name="_Toc115271346"/>
      <w:bookmarkStart w:id="1770" w:name="_Toc115272263"/>
      <w:bookmarkStart w:id="1771" w:name="_Toc115273433"/>
      <w:bookmarkStart w:id="1772" w:name="_Toc115273361"/>
      <w:bookmarkStart w:id="1773" w:name="_Toc115274614"/>
      <w:bookmarkStart w:id="1774" w:name="_Toc115274840"/>
      <w:bookmarkStart w:id="1775" w:name="_Toc115275197"/>
      <w:bookmarkStart w:id="1776" w:name="_Toc115275340"/>
      <w:bookmarkStart w:id="1777" w:name="_Toc115274177"/>
      <w:bookmarkStart w:id="1778" w:name="_Toc115274478"/>
      <w:bookmarkStart w:id="1779" w:name="_Toc115274546"/>
      <w:bookmarkStart w:id="1780" w:name="_Toc115274704"/>
      <w:bookmarkStart w:id="1781" w:name="_Toc115277438"/>
      <w:bookmarkStart w:id="1782" w:name="_Toc115277642"/>
      <w:bookmarkStart w:id="1783" w:name="_Toc115278531"/>
      <w:bookmarkStart w:id="1784" w:name="_Toc115278611"/>
      <w:bookmarkStart w:id="1785" w:name="_Toc115282281"/>
      <w:bookmarkStart w:id="1786" w:name="_Toc115284734"/>
      <w:bookmarkStart w:id="1787" w:name="_Toc115286826"/>
      <w:bookmarkStart w:id="1788" w:name="_Toc115294760"/>
      <w:bookmarkStart w:id="1789" w:name="_Toc115296340"/>
      <w:bookmarkStart w:id="1790" w:name="_Toc115308526"/>
      <w:bookmarkStart w:id="1791" w:name="_Toc115311178"/>
      <w:bookmarkStart w:id="1792" w:name="_Toc115312658"/>
      <w:bookmarkStart w:id="1793" w:name="_Toc115343832"/>
      <w:bookmarkStart w:id="1794" w:name="_Toc115348270"/>
      <w:bookmarkStart w:id="1795" w:name="_Toc115350368"/>
      <w:bookmarkStart w:id="1796" w:name="_Toc115353456"/>
      <w:bookmarkStart w:id="1797" w:name="_Toc115359487"/>
      <w:bookmarkStart w:id="1798" w:name="_Toc115361891"/>
      <w:bookmarkStart w:id="1799" w:name="_Toc115364284"/>
      <w:bookmarkStart w:id="1800" w:name="_Toc115365378"/>
      <w:bookmarkStart w:id="1801" w:name="_Toc115365650"/>
      <w:bookmarkStart w:id="1802" w:name="_Toc115365718"/>
      <w:bookmarkStart w:id="1803" w:name="_Toc115366182"/>
      <w:bookmarkStart w:id="1804" w:name="_Toc115368555"/>
      <w:bookmarkStart w:id="1805" w:name="_Toc115370072"/>
      <w:bookmarkStart w:id="1806" w:name="_Toc115370738"/>
      <w:bookmarkStart w:id="1807" w:name="_Toc115374378"/>
      <w:bookmarkStart w:id="1808" w:name="_Toc115378717"/>
      <w:bookmarkStart w:id="1809" w:name="_Toc115380949"/>
      <w:bookmarkStart w:id="1810" w:name="_Toc115384101"/>
      <w:bookmarkStart w:id="1811" w:name="_Toc115387330"/>
      <w:bookmarkStart w:id="1812" w:name="_Toc115388796"/>
      <w:bookmarkStart w:id="1813" w:name="_Toc115431434"/>
      <w:bookmarkStart w:id="1814" w:name="_Toc115432812"/>
      <w:bookmarkStart w:id="1815" w:name="_Toc115434383"/>
      <w:bookmarkStart w:id="1816" w:name="_Toc115434482"/>
      <w:bookmarkStart w:id="1817" w:name="_Toc115434551"/>
      <w:bookmarkStart w:id="1818" w:name="_Toc115434620"/>
      <w:bookmarkStart w:id="1819" w:name="_Toc115442790"/>
      <w:bookmarkStart w:id="1820" w:name="_Toc115446326"/>
      <w:bookmarkStart w:id="1821" w:name="_Toc115448033"/>
      <w:bookmarkStart w:id="1822" w:name="_Toc115449425"/>
      <w:bookmarkStart w:id="1823" w:name="_Toc115452445"/>
      <w:bookmarkStart w:id="1824" w:name="_Toc115455262"/>
      <w:bookmarkStart w:id="1825" w:name="_Toc115455328"/>
      <w:bookmarkStart w:id="1826" w:name="_Toc115457278"/>
      <w:bookmarkStart w:id="1827" w:name="_Toc115458114"/>
      <w:bookmarkStart w:id="1828" w:name="_Toc115948142"/>
      <w:bookmarkStart w:id="1829" w:name="_Toc115948589"/>
      <w:r>
        <w:t>2.2</w:t>
      </w:r>
      <w:r w:rsidR="002225D9">
        <w:t xml:space="preserve"> History of the MoP(S) Act</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278C5CEA" w14:textId="0BE8A660" w:rsidR="002E3869" w:rsidRDefault="00B51E9F" w:rsidP="002E3869">
      <w:r>
        <w:t xml:space="preserve">The MoP(S) Act commenced in 1984. </w:t>
      </w:r>
      <w:r w:rsidR="002E3869" w:rsidRPr="00EF7A99">
        <w:t>Prior to the</w:t>
      </w:r>
      <w:r w:rsidR="0053748C">
        <w:t xml:space="preserve"> </w:t>
      </w:r>
      <w:r w:rsidR="002E3869" w:rsidRPr="00EF7A99">
        <w:t xml:space="preserve">Act, senators and </w:t>
      </w:r>
      <w:r w:rsidR="002E3869">
        <w:t>members</w:t>
      </w:r>
      <w:r w:rsidR="002E3869" w:rsidRPr="00EF7A99">
        <w:t xml:space="preserve"> engaged personal staff (including private secretaries for </w:t>
      </w:r>
      <w:r w:rsidR="00514FBE">
        <w:t>m</w:t>
      </w:r>
      <w:r w:rsidR="002E3869" w:rsidRPr="00EF7A99">
        <w:t xml:space="preserve">inisters and the Leader of the Opposition in both houses of </w:t>
      </w:r>
      <w:r w:rsidR="006146A9">
        <w:t>p</w:t>
      </w:r>
      <w:r w:rsidR="002E3869" w:rsidRPr="00EF7A99">
        <w:t>arliament</w:t>
      </w:r>
      <w:r w:rsidR="002E3869" w:rsidRPr="00EF7A99">
        <w:rPr>
          <w:rStyle w:val="FootnoteReference"/>
        </w:rPr>
        <w:footnoteReference w:id="8"/>
      </w:r>
      <w:r w:rsidR="002E3869" w:rsidRPr="00EF7A99">
        <w:t xml:space="preserve">) </w:t>
      </w:r>
      <w:r w:rsidR="00795889" w:rsidRPr="00EF7A99">
        <w:t xml:space="preserve">using temporary employment provisions in the </w:t>
      </w:r>
      <w:r w:rsidR="00795889" w:rsidRPr="00EF7A99">
        <w:rPr>
          <w:i/>
        </w:rPr>
        <w:t>Public Service Act 1922</w:t>
      </w:r>
      <w:r w:rsidR="00795889" w:rsidRPr="00EF7A99">
        <w:rPr>
          <w:rStyle w:val="FootnoteReference"/>
        </w:rPr>
        <w:footnoteReference w:id="9"/>
      </w:r>
      <w:r w:rsidR="00795889" w:rsidRPr="00EF7A99">
        <w:t xml:space="preserve"> </w:t>
      </w:r>
      <w:r w:rsidR="002E3869" w:rsidRPr="00EF7A99">
        <w:t>or by private contractual arrangements.</w:t>
      </w:r>
      <w:r w:rsidR="002E3869" w:rsidRPr="00EF7A99">
        <w:rPr>
          <w:rStyle w:val="FootnoteReference"/>
        </w:rPr>
        <w:footnoteReference w:id="10"/>
      </w:r>
      <w:r w:rsidR="002E3869" w:rsidRPr="00EF7A99">
        <w:t xml:space="preserve"> </w:t>
      </w:r>
      <w:r w:rsidR="002E3869">
        <w:t xml:space="preserve"> D</w:t>
      </w:r>
      <w:r w:rsidR="002E3869" w:rsidRPr="00EF7A99">
        <w:t>ecisions regarding staff</w:t>
      </w:r>
      <w:r w:rsidR="002E3869">
        <w:t xml:space="preserve"> </w:t>
      </w:r>
      <w:r w:rsidR="002E3869" w:rsidRPr="00EF7A99">
        <w:t xml:space="preserve">engagement were </w:t>
      </w:r>
      <w:r w:rsidR="002E3869">
        <w:t xml:space="preserve">made </w:t>
      </w:r>
      <w:r w:rsidR="002E3869" w:rsidRPr="00EF7A99">
        <w:t>by officials in the then Department of the Special Minister of State.</w:t>
      </w:r>
      <w:r w:rsidR="002E3869" w:rsidRPr="00EF7A99">
        <w:rPr>
          <w:rStyle w:val="FootnoteReference"/>
        </w:rPr>
        <w:footnoteReference w:id="11"/>
      </w:r>
    </w:p>
    <w:p w14:paraId="24F8BA9B" w14:textId="77777777" w:rsidR="002444B5" w:rsidRDefault="0053748C" w:rsidP="00E835AA">
      <w:r>
        <w:t>A number of reviews</w:t>
      </w:r>
      <w:r w:rsidR="002444B5">
        <w:t xml:space="preserve"> into government administration</w:t>
      </w:r>
      <w:r>
        <w:t xml:space="preserve"> recommend</w:t>
      </w:r>
      <w:r w:rsidR="004449AB">
        <w:t>ed</w:t>
      </w:r>
      <w:r>
        <w:t xml:space="preserve"> that special arrangements be developed for the employment of ministerial staff.</w:t>
      </w:r>
      <w:r>
        <w:rPr>
          <w:rStyle w:val="FootnoteReference"/>
        </w:rPr>
        <w:footnoteReference w:id="12"/>
      </w:r>
      <w:r>
        <w:t xml:space="preserve"> </w:t>
      </w:r>
      <w:r w:rsidR="00866F9F">
        <w:t xml:space="preserve">The Government </w:t>
      </w:r>
      <w:r>
        <w:t xml:space="preserve">at the time expressed the need for </w:t>
      </w:r>
      <w:r w:rsidR="00514FBE">
        <w:t>m</w:t>
      </w:r>
      <w:r w:rsidR="00866F9F">
        <w:t xml:space="preserve">inisters to have </w:t>
      </w:r>
      <w:r>
        <w:t xml:space="preserve">assistance in key projects from people who </w:t>
      </w:r>
      <w:r w:rsidRPr="00EF7A99">
        <w:t>shared the government’s values and objectives</w:t>
      </w:r>
      <w:r w:rsidRPr="00EF7A99">
        <w:rPr>
          <w:rStyle w:val="FootnoteReference"/>
        </w:rPr>
        <w:footnoteReference w:id="13"/>
      </w:r>
      <w:r w:rsidRPr="00EF7A99">
        <w:t xml:space="preserve"> as opposed to apolitical public servants.</w:t>
      </w:r>
      <w:r w:rsidR="002444B5">
        <w:t xml:space="preserve"> </w:t>
      </w:r>
    </w:p>
    <w:p w14:paraId="210DE792" w14:textId="0CD6BC0B" w:rsidR="00657F3A" w:rsidRDefault="00657F3A" w:rsidP="00E835AA">
      <w:r w:rsidRPr="002E3869">
        <w:t>The</w:t>
      </w:r>
      <w:r w:rsidRPr="007713CB">
        <w:rPr>
          <w:i/>
        </w:rPr>
        <w:t xml:space="preserve"> Members of Parliament (Staff) Bill 1984</w:t>
      </w:r>
      <w:r w:rsidRPr="00EF7A99">
        <w:t xml:space="preserve"> was introduced as part of a legislative package aimed at improving the responsiveness of the public service to government priorities, improving equity within the workforce and enhancing efficiency.</w:t>
      </w:r>
      <w:r w:rsidRPr="00EF7A99">
        <w:rPr>
          <w:rStyle w:val="FootnoteReference"/>
        </w:rPr>
        <w:footnoteReference w:id="14"/>
      </w:r>
    </w:p>
    <w:p w14:paraId="435E4813" w14:textId="20442064" w:rsidR="00E835AA" w:rsidRDefault="00E835AA" w:rsidP="00E835AA">
      <w:r w:rsidRPr="00EF7A99">
        <w:t xml:space="preserve">The </w:t>
      </w:r>
      <w:r w:rsidR="00EB15B4">
        <w:t xml:space="preserve">MoP(S) </w:t>
      </w:r>
      <w:r w:rsidRPr="00EF7A99">
        <w:t xml:space="preserve">Act created a legislative basis for parliamentarians to engage </w:t>
      </w:r>
      <w:r w:rsidR="001E37F6" w:rsidRPr="00EF7A99">
        <w:t>employees</w:t>
      </w:r>
      <w:r w:rsidRPr="00EF7A99">
        <w:t xml:space="preserve"> separate from the public service and consultants to assist with their electorate, parliamentary and </w:t>
      </w:r>
      <w:r w:rsidR="0097218B" w:rsidRPr="00EF7A99">
        <w:t>m</w:t>
      </w:r>
      <w:r w:rsidRPr="00EF7A99">
        <w:t>inisterial work.</w:t>
      </w:r>
      <w:r w:rsidR="001007A9">
        <w:t xml:space="preserve"> </w:t>
      </w:r>
      <w:r w:rsidRPr="00EF7A99">
        <w:t xml:space="preserve">Flexibility was </w:t>
      </w:r>
      <w:r w:rsidR="00BA1769">
        <w:t xml:space="preserve">expressly </w:t>
      </w:r>
      <w:r w:rsidRPr="00EF7A99">
        <w:t xml:space="preserve">built into the </w:t>
      </w:r>
      <w:r w:rsidR="00EB15B4">
        <w:t xml:space="preserve">MoP(S) </w:t>
      </w:r>
      <w:r w:rsidRPr="00EF7A99">
        <w:t>Act</w:t>
      </w:r>
      <w:r w:rsidR="00BA1769">
        <w:t xml:space="preserve"> to</w:t>
      </w:r>
      <w:r w:rsidRPr="00EF7A99">
        <w:t xml:space="preserve"> allow parliamentarians to hire staff to meet the ‘volatile and partisan nature of political office’ and to adapt and respond to changing needs</w:t>
      </w:r>
      <w:r w:rsidR="00575DF6" w:rsidRPr="00EF7A99">
        <w:t>.</w:t>
      </w:r>
      <w:r w:rsidRPr="00EF7A99">
        <w:rPr>
          <w:vertAlign w:val="superscript"/>
        </w:rPr>
        <w:footnoteReference w:id="15"/>
      </w:r>
      <w:r w:rsidRPr="00EF7A99">
        <w:t xml:space="preserve"> Employment terms an</w:t>
      </w:r>
      <w:r w:rsidR="00657F3A">
        <w:t xml:space="preserve">d conditions could be varied </w:t>
      </w:r>
      <w:r w:rsidRPr="00EF7A99">
        <w:t>by the Prime Minister.</w:t>
      </w:r>
    </w:p>
    <w:p w14:paraId="12FFC983" w14:textId="77777777" w:rsidR="00E835AA" w:rsidRDefault="00E835AA" w:rsidP="00E835AA"/>
    <w:p w14:paraId="79E25A70" w14:textId="77777777" w:rsidR="00E835AA" w:rsidRPr="00CF61E6" w:rsidRDefault="00E835AA" w:rsidP="000136FD">
      <w:pPr>
        <w:pStyle w:val="Heading3"/>
      </w:pPr>
      <w:r w:rsidRPr="00CF61E6">
        <w:t xml:space="preserve">2.2.1 Review of the MoP(S) Act </w:t>
      </w:r>
    </w:p>
    <w:p w14:paraId="7BB46F33" w14:textId="77777777" w:rsidR="00E835AA" w:rsidRDefault="007A7449" w:rsidP="00E835AA">
      <w:r>
        <w:t>Since the commencement of the MoP(S) Act, the</w:t>
      </w:r>
      <w:r w:rsidR="00E835AA">
        <w:t xml:space="preserve"> political, legislative, employment, and social landscape has evolved. There have also been significant reforms to</w:t>
      </w:r>
      <w:r w:rsidR="00F57258">
        <w:t xml:space="preserve"> </w:t>
      </w:r>
      <w:r w:rsidR="00F57258" w:rsidRPr="00F95129">
        <w:t>workplace</w:t>
      </w:r>
      <w:r w:rsidR="00E835AA">
        <w:t xml:space="preserve"> relations </w:t>
      </w:r>
      <w:r w:rsidR="003E72FD">
        <w:t>laws,</w:t>
      </w:r>
      <w:r w:rsidR="00E835AA">
        <w:t xml:space="preserve"> work health and safety law, anti-discrimination laws, superannuation legislation, and the public service legislative framework. </w:t>
      </w:r>
    </w:p>
    <w:p w14:paraId="541AE2C0" w14:textId="77777777" w:rsidR="00E835AA" w:rsidRDefault="004202CB" w:rsidP="00E835AA">
      <w:r>
        <w:t>I</w:t>
      </w:r>
      <w:r w:rsidR="00E835AA">
        <w:t>n the last 20 years</w:t>
      </w:r>
      <w:r w:rsidR="001E37F6">
        <w:t>,</w:t>
      </w:r>
      <w:r w:rsidR="00E835AA">
        <w:t xml:space="preserve"> review and inquiry bodies have considered: </w:t>
      </w:r>
    </w:p>
    <w:p w14:paraId="2679B6E5" w14:textId="77777777" w:rsidR="00E835AA" w:rsidRPr="00E835AA" w:rsidRDefault="00E835AA" w:rsidP="00E835AA">
      <w:pPr>
        <w:pStyle w:val="BulletedList-Level1"/>
      </w:pPr>
      <w:r w:rsidRPr="00E835AA">
        <w:t>the accountability of ministerial advisers engaged under the MoP(S) Act and their interaction with public servants</w:t>
      </w:r>
      <w:r w:rsidR="00752FF2">
        <w:rPr>
          <w:rStyle w:val="FootnoteReference"/>
        </w:rPr>
        <w:footnoteReference w:id="16"/>
      </w:r>
    </w:p>
    <w:p w14:paraId="266A2C2F" w14:textId="77777777" w:rsidR="00E835AA" w:rsidRPr="00E835AA" w:rsidRDefault="00E835AA" w:rsidP="00E835AA">
      <w:pPr>
        <w:pStyle w:val="BulletedList-Level1"/>
      </w:pPr>
      <w:r w:rsidRPr="00E835AA">
        <w:t xml:space="preserve">the adequacy and appropriateness of the framework for employment, management and accountability of MoP(S) Act </w:t>
      </w:r>
      <w:r w:rsidR="00A44D63">
        <w:t>employees</w:t>
      </w:r>
      <w:r w:rsidRPr="00752FF2">
        <w:rPr>
          <w:rStyle w:val="FootnoteReference"/>
        </w:rPr>
        <w:footnoteReference w:id="17"/>
      </w:r>
    </w:p>
    <w:p w14:paraId="522DDB5E" w14:textId="77777777" w:rsidR="00E835AA" w:rsidRPr="00E835AA" w:rsidRDefault="00E835AA" w:rsidP="00E835AA">
      <w:pPr>
        <w:pStyle w:val="BulletedList-Level1"/>
      </w:pPr>
      <w:r w:rsidRPr="00E835AA">
        <w:t>the effectiveness of Finance</w:t>
      </w:r>
      <w:r w:rsidR="000720C4">
        <w:t>’s</w:t>
      </w:r>
      <w:r w:rsidRPr="00E835AA">
        <w:t xml:space="preserve"> administration and support of staff employed under the MoP(S) Act</w:t>
      </w:r>
      <w:r w:rsidRPr="00752FF2">
        <w:rPr>
          <w:rStyle w:val="FootnoteReference"/>
        </w:rPr>
        <w:footnoteReference w:id="18"/>
      </w:r>
    </w:p>
    <w:p w14:paraId="44458C40" w14:textId="4C7D6407" w:rsidR="00E835AA" w:rsidRPr="00E835AA" w:rsidRDefault="00E835AA" w:rsidP="00E835AA">
      <w:pPr>
        <w:pStyle w:val="BulletedList-Level1"/>
      </w:pPr>
      <w:r w:rsidRPr="00E835AA">
        <w:t xml:space="preserve">the appropriate number, classification and role of MoP(S) Act personal staff in the office of </w:t>
      </w:r>
      <w:r w:rsidR="003C0352">
        <w:t>m</w:t>
      </w:r>
      <w:r w:rsidRPr="00E835AA">
        <w:t xml:space="preserve">inisters and </w:t>
      </w:r>
      <w:r w:rsidR="00E21989">
        <w:t>parliamentary s</w:t>
      </w:r>
      <w:r w:rsidRPr="00E835AA">
        <w:t>ecretaries</w:t>
      </w:r>
      <w:r w:rsidRPr="00752FF2">
        <w:rPr>
          <w:rStyle w:val="FootnoteReference"/>
        </w:rPr>
        <w:footnoteReference w:id="19"/>
      </w:r>
    </w:p>
    <w:p w14:paraId="3B224AB1" w14:textId="77777777" w:rsidR="00E835AA" w:rsidRPr="00E835AA" w:rsidRDefault="00E835AA" w:rsidP="00E835AA">
      <w:pPr>
        <w:pStyle w:val="BulletedList-Level1"/>
      </w:pPr>
      <w:r w:rsidRPr="00E835AA">
        <w:t xml:space="preserve">the importance of effective partnerships between </w:t>
      </w:r>
      <w:r w:rsidR="003C0352">
        <w:t>m</w:t>
      </w:r>
      <w:r w:rsidRPr="00E835AA">
        <w:t xml:space="preserve">inisters, their staff and the </w:t>
      </w:r>
      <w:r w:rsidR="003C0352">
        <w:t>public s</w:t>
      </w:r>
      <w:r w:rsidRPr="00E835AA">
        <w:t>ervice, as well as clarity around roles, needs and responsibilities</w:t>
      </w:r>
      <w:r w:rsidR="00575DF6">
        <w:t>.</w:t>
      </w:r>
      <w:r w:rsidRPr="00752FF2">
        <w:rPr>
          <w:rStyle w:val="FootnoteReference"/>
        </w:rPr>
        <w:footnoteReference w:id="20"/>
      </w:r>
    </w:p>
    <w:p w14:paraId="4B613E3E" w14:textId="76931DBC" w:rsidR="0041237B" w:rsidRDefault="00E835AA" w:rsidP="00D41DBE">
      <w:r>
        <w:t xml:space="preserve">Despite this focus on the role of MoP(S) </w:t>
      </w:r>
      <w:r w:rsidR="00A44D63">
        <w:t xml:space="preserve">Act </w:t>
      </w:r>
      <w:r>
        <w:t xml:space="preserve">employees, there </w:t>
      </w:r>
      <w:r w:rsidRPr="00C73D03">
        <w:t xml:space="preserve">has been </w:t>
      </w:r>
      <w:r w:rsidR="00224874" w:rsidRPr="00C73D03">
        <w:t xml:space="preserve">minimal </w:t>
      </w:r>
      <w:r w:rsidRPr="00C73D03">
        <w:t>amendment to the</w:t>
      </w:r>
      <w:r>
        <w:t xml:space="preserve"> </w:t>
      </w:r>
      <w:r w:rsidR="001868BF">
        <w:t>MoP(S) Act</w:t>
      </w:r>
      <w:r w:rsidR="00475498">
        <w:t xml:space="preserve"> during this period</w:t>
      </w:r>
      <w:r w:rsidR="003E72FD">
        <w:t>.</w:t>
      </w:r>
    </w:p>
    <w:p w14:paraId="369E93AB" w14:textId="4A493063" w:rsidR="002225D9" w:rsidRDefault="00E835AA" w:rsidP="002225D9">
      <w:pPr>
        <w:pStyle w:val="Heading2"/>
      </w:pPr>
      <w:bookmarkStart w:id="1830" w:name="_Toc114230862"/>
      <w:bookmarkStart w:id="1831" w:name="_Toc114232919"/>
      <w:bookmarkStart w:id="1832" w:name="_Toc114233567"/>
      <w:bookmarkStart w:id="1833" w:name="_Toc114233639"/>
      <w:bookmarkStart w:id="1834" w:name="_Toc114240594"/>
      <w:bookmarkStart w:id="1835" w:name="_Toc114240668"/>
      <w:bookmarkStart w:id="1836" w:name="_Toc114241012"/>
      <w:bookmarkStart w:id="1837" w:name="_Toc114493885"/>
      <w:bookmarkStart w:id="1838" w:name="_Toc114500286"/>
      <w:bookmarkStart w:id="1839" w:name="_Toc114500361"/>
      <w:bookmarkStart w:id="1840" w:name="_Toc114518634"/>
      <w:bookmarkStart w:id="1841" w:name="_Toc114520306"/>
      <w:bookmarkStart w:id="1842" w:name="_Toc114520715"/>
      <w:bookmarkStart w:id="1843" w:name="_Toc114565743"/>
      <w:bookmarkStart w:id="1844" w:name="_Toc114566724"/>
      <w:bookmarkStart w:id="1845" w:name="_Toc114566949"/>
      <w:bookmarkStart w:id="1846" w:name="_Toc114566873"/>
      <w:bookmarkStart w:id="1847" w:name="_Toc114585874"/>
      <w:bookmarkStart w:id="1848" w:name="_Toc114586018"/>
      <w:bookmarkStart w:id="1849" w:name="_Toc114586090"/>
      <w:bookmarkStart w:id="1850" w:name="_Toc114601230"/>
      <w:bookmarkStart w:id="1851" w:name="_Toc114657271"/>
      <w:bookmarkStart w:id="1852" w:name="_Toc114659733"/>
      <w:bookmarkStart w:id="1853" w:name="_Toc114662718"/>
      <w:bookmarkStart w:id="1854" w:name="_Toc114665102"/>
      <w:bookmarkStart w:id="1855" w:name="_Toc114672411"/>
      <w:bookmarkStart w:id="1856" w:name="_Toc114672623"/>
      <w:bookmarkStart w:id="1857" w:name="_Toc114673178"/>
      <w:bookmarkStart w:id="1858" w:name="_Toc114673764"/>
      <w:bookmarkStart w:id="1859" w:name="_Toc114674289"/>
      <w:bookmarkStart w:id="1860" w:name="_Toc114687462"/>
      <w:bookmarkStart w:id="1861" w:name="_Toc114689926"/>
      <w:bookmarkStart w:id="1862" w:name="_Toc114731789"/>
      <w:bookmarkStart w:id="1863" w:name="_Toc114733554"/>
      <w:bookmarkStart w:id="1864" w:name="_Toc114735495"/>
      <w:bookmarkStart w:id="1865" w:name="_Toc114755825"/>
      <w:bookmarkStart w:id="1866" w:name="_Toc114757130"/>
      <w:bookmarkStart w:id="1867" w:name="_Toc114757414"/>
      <w:bookmarkStart w:id="1868" w:name="_Toc114757516"/>
      <w:bookmarkStart w:id="1869" w:name="_Toc114758189"/>
      <w:bookmarkStart w:id="1870" w:name="_Toc114824359"/>
      <w:bookmarkStart w:id="1871" w:name="_Toc114829435"/>
      <w:bookmarkStart w:id="1872" w:name="_Toc114829799"/>
      <w:bookmarkStart w:id="1873" w:name="_Toc114829766"/>
      <w:bookmarkStart w:id="1874" w:name="_Toc114829943"/>
      <w:bookmarkStart w:id="1875" w:name="_Toc115099022"/>
      <w:bookmarkStart w:id="1876" w:name="_Toc115099094"/>
      <w:bookmarkStart w:id="1877" w:name="_Toc115101671"/>
      <w:bookmarkStart w:id="1878" w:name="_Toc115102516"/>
      <w:bookmarkStart w:id="1879" w:name="_Toc115105489"/>
      <w:bookmarkStart w:id="1880" w:name="_Toc115110350"/>
      <w:bookmarkStart w:id="1881" w:name="_Toc115110477"/>
      <w:bookmarkStart w:id="1882" w:name="_Toc115121595"/>
      <w:bookmarkStart w:id="1883" w:name="_Toc115121965"/>
      <w:bookmarkStart w:id="1884" w:name="_Toc115123445"/>
      <w:bookmarkStart w:id="1885" w:name="_Toc115123693"/>
      <w:bookmarkStart w:id="1886" w:name="_Toc115126825"/>
      <w:bookmarkStart w:id="1887" w:name="_Toc115185462"/>
      <w:bookmarkStart w:id="1888" w:name="_Toc115186089"/>
      <w:bookmarkStart w:id="1889" w:name="_Toc115189247"/>
      <w:bookmarkStart w:id="1890" w:name="_Toc115194220"/>
      <w:bookmarkStart w:id="1891" w:name="_Toc115194957"/>
      <w:bookmarkStart w:id="1892" w:name="_Toc115196367"/>
      <w:bookmarkStart w:id="1893" w:name="_Toc115198868"/>
      <w:bookmarkStart w:id="1894" w:name="_Toc115208883"/>
      <w:bookmarkStart w:id="1895" w:name="_Toc115209019"/>
      <w:bookmarkStart w:id="1896" w:name="_Toc115210350"/>
      <w:bookmarkStart w:id="1897" w:name="_Toc115212575"/>
      <w:bookmarkStart w:id="1898" w:name="_Toc115213215"/>
      <w:bookmarkStart w:id="1899" w:name="_Toc115216713"/>
      <w:bookmarkStart w:id="1900" w:name="_Toc115270404"/>
      <w:bookmarkStart w:id="1901" w:name="_Toc115271347"/>
      <w:bookmarkStart w:id="1902" w:name="_Toc115272264"/>
      <w:bookmarkStart w:id="1903" w:name="_Toc115273434"/>
      <w:bookmarkStart w:id="1904" w:name="_Toc115273362"/>
      <w:bookmarkStart w:id="1905" w:name="_Toc115274615"/>
      <w:bookmarkStart w:id="1906" w:name="_Toc115274841"/>
      <w:bookmarkStart w:id="1907" w:name="_Toc115275198"/>
      <w:bookmarkStart w:id="1908" w:name="_Toc115275341"/>
      <w:bookmarkStart w:id="1909" w:name="_Toc115274178"/>
      <w:bookmarkStart w:id="1910" w:name="_Toc115274479"/>
      <w:bookmarkStart w:id="1911" w:name="_Toc115274547"/>
      <w:bookmarkStart w:id="1912" w:name="_Toc115274705"/>
      <w:bookmarkStart w:id="1913" w:name="_Toc115277439"/>
      <w:bookmarkStart w:id="1914" w:name="_Toc115277643"/>
      <w:bookmarkStart w:id="1915" w:name="_Toc115278532"/>
      <w:bookmarkStart w:id="1916" w:name="_Toc115278612"/>
      <w:bookmarkStart w:id="1917" w:name="_Toc115282282"/>
      <w:bookmarkStart w:id="1918" w:name="_Toc115284735"/>
      <w:bookmarkStart w:id="1919" w:name="_Toc115286827"/>
      <w:bookmarkStart w:id="1920" w:name="_Toc115294761"/>
      <w:bookmarkStart w:id="1921" w:name="_Toc115296341"/>
      <w:bookmarkStart w:id="1922" w:name="_Toc115308527"/>
      <w:bookmarkStart w:id="1923" w:name="_Toc115311179"/>
      <w:bookmarkStart w:id="1924" w:name="_Toc115312659"/>
      <w:bookmarkStart w:id="1925" w:name="_Toc115343833"/>
      <w:bookmarkStart w:id="1926" w:name="_Toc115348271"/>
      <w:bookmarkStart w:id="1927" w:name="_Toc115350369"/>
      <w:bookmarkStart w:id="1928" w:name="_Toc115353457"/>
      <w:bookmarkStart w:id="1929" w:name="_Toc115359488"/>
      <w:bookmarkStart w:id="1930" w:name="_Toc115361892"/>
      <w:bookmarkStart w:id="1931" w:name="_Toc115364285"/>
      <w:bookmarkStart w:id="1932" w:name="_Toc115365379"/>
      <w:bookmarkStart w:id="1933" w:name="_Toc115365651"/>
      <w:bookmarkStart w:id="1934" w:name="_Toc115365719"/>
      <w:bookmarkStart w:id="1935" w:name="_Toc115366183"/>
      <w:bookmarkStart w:id="1936" w:name="_Toc115368556"/>
      <w:bookmarkStart w:id="1937" w:name="_Toc115370073"/>
      <w:bookmarkStart w:id="1938" w:name="_Toc115370739"/>
      <w:bookmarkStart w:id="1939" w:name="_Toc115374379"/>
      <w:bookmarkStart w:id="1940" w:name="_Toc115378718"/>
      <w:bookmarkStart w:id="1941" w:name="_Toc115380950"/>
      <w:bookmarkStart w:id="1942" w:name="_Toc115384102"/>
      <w:bookmarkStart w:id="1943" w:name="_Toc115387331"/>
      <w:bookmarkStart w:id="1944" w:name="_Toc115388797"/>
      <w:bookmarkStart w:id="1945" w:name="_Toc115431435"/>
      <w:bookmarkStart w:id="1946" w:name="_Toc115432813"/>
      <w:bookmarkStart w:id="1947" w:name="_Toc115434384"/>
      <w:bookmarkStart w:id="1948" w:name="_Toc115434483"/>
      <w:bookmarkStart w:id="1949" w:name="_Toc115434552"/>
      <w:bookmarkStart w:id="1950" w:name="_Toc115434621"/>
      <w:bookmarkStart w:id="1951" w:name="_Toc115442791"/>
      <w:bookmarkStart w:id="1952" w:name="_Toc115446327"/>
      <w:bookmarkStart w:id="1953" w:name="_Toc115448034"/>
      <w:bookmarkStart w:id="1954" w:name="_Toc115449426"/>
      <w:bookmarkStart w:id="1955" w:name="_Toc115452446"/>
      <w:bookmarkStart w:id="1956" w:name="_Toc115455263"/>
      <w:bookmarkStart w:id="1957" w:name="_Toc115455329"/>
      <w:bookmarkStart w:id="1958" w:name="_Toc115457279"/>
      <w:bookmarkStart w:id="1959" w:name="_Toc115458115"/>
      <w:bookmarkStart w:id="1960" w:name="_Toc115948143"/>
      <w:bookmarkStart w:id="1961" w:name="_Toc115948590"/>
      <w:r>
        <w:t>2.3</w:t>
      </w:r>
      <w:r w:rsidR="002225D9">
        <w:t xml:space="preserve"> The </w:t>
      </w:r>
      <w:r w:rsidR="00C31118">
        <w:t>c</w:t>
      </w:r>
      <w:r w:rsidR="002225D9">
        <w:t xml:space="preserve">urrent MoP(S) Act </w:t>
      </w:r>
      <w:r w:rsidR="00C31118">
        <w:t>f</w:t>
      </w:r>
      <w:r w:rsidR="002225D9">
        <w:t>ramework</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61952A2A" w14:textId="1C8B7190" w:rsidR="00A33600" w:rsidRDefault="00EB15B4" w:rsidP="00E835AA">
      <w:r>
        <w:t>MoP(S) Act employees draw their employment terms and conditions from multiple sources, including the Act itself, determinations made under the Act, the EA, employment contracts and workplace policies. While complex, this is not dissimilar to other employment arrangements</w:t>
      </w:r>
      <w:r w:rsidDel="0068169F">
        <w:t xml:space="preserve"> </w:t>
      </w:r>
      <w:r>
        <w:t>across the Commonwealth.</w:t>
      </w:r>
    </w:p>
    <w:p w14:paraId="69C6018F" w14:textId="77777777" w:rsidR="00A33600" w:rsidRDefault="00A33600" w:rsidP="00A33600">
      <w:pPr>
        <w:pStyle w:val="Figure"/>
      </w:pPr>
    </w:p>
    <w:p w14:paraId="1D5CFE4E" w14:textId="0E39773A" w:rsidR="00A5792A" w:rsidRDefault="00F4328A" w:rsidP="00E835AA">
      <w:r>
        <w:rPr>
          <w:noProof/>
          <w:lang w:eastAsia="en-AU"/>
        </w:rPr>
        <w:drawing>
          <wp:inline distT="0" distB="0" distL="0" distR="0" wp14:anchorId="4D9FAF6E" wp14:editId="242BAC78">
            <wp:extent cx="5768751" cy="5040923"/>
            <wp:effectExtent l="0" t="0" r="3810" b="7620"/>
            <wp:docPr id="11" name="Picture 11" descr="This image shows the detailed relationship and interactions between employees; employers; responsible agencies; legislation, instruments, EA, contract and policies; and the broader workplace laws in the MoP(S) Act employment framework.&#10;&#10;This information is set out in greater detail throughout the text in this Section 2.3." title="Employ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PAct-Infographics-300922-F1-EmploymentFramewor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8751" cy="5040923"/>
                    </a:xfrm>
                    <a:prstGeom prst="rect">
                      <a:avLst/>
                    </a:prstGeom>
                  </pic:spPr>
                </pic:pic>
              </a:graphicData>
            </a:graphic>
          </wp:inline>
        </w:drawing>
      </w:r>
    </w:p>
    <w:p w14:paraId="5C9A0FBC" w14:textId="4FA76C5E" w:rsidR="00FC7CCF" w:rsidRDefault="00FC7CCF" w:rsidP="00FC7CCF">
      <w:r>
        <w:t>The MoP(S) Act workforce has grown steadily since the commencement of the Act in 1984 (</w:t>
      </w:r>
      <w:r w:rsidR="00F00D4A">
        <w:t>s</w:t>
      </w:r>
      <w:r>
        <w:t xml:space="preserve">ee </w:t>
      </w:r>
      <w:r w:rsidRPr="009711E9">
        <w:t xml:space="preserve">Figure </w:t>
      </w:r>
      <w:r w:rsidR="009711E9" w:rsidRPr="009711E9">
        <w:t>2</w:t>
      </w:r>
      <w:r>
        <w:t xml:space="preserve">).  </w:t>
      </w:r>
    </w:p>
    <w:p w14:paraId="19DE3709" w14:textId="77777777" w:rsidR="003A5736" w:rsidRDefault="003A5736" w:rsidP="003A5736">
      <w:pPr>
        <w:pStyle w:val="Figure"/>
      </w:pPr>
    </w:p>
    <w:p w14:paraId="214B5B09" w14:textId="1D7F512C" w:rsidR="00714A50" w:rsidRDefault="0095277C" w:rsidP="00E835AA">
      <w:r>
        <w:rPr>
          <w:noProof/>
          <w:lang w:eastAsia="en-AU"/>
        </w:rPr>
        <w:drawing>
          <wp:inline distT="0" distB="0" distL="0" distR="0" wp14:anchorId="0AC6118C" wp14:editId="52F28B33">
            <wp:extent cx="6120130" cy="3517265"/>
            <wp:effectExtent l="0" t="0" r="0" b="6985"/>
            <wp:docPr id="9" name="Picture 9" descr="This image is titled Growth in MoP(S) workforce and has three circles and text beneath it. &#10;&#10;The three circles show the growth in size of the MoP(S) Act workforce between the early 1980s, 2003 and 2022 and are shaded two colours to show the proportion of personal and electorate staff. The text beneath the circles states the corresponding Australian population and number of parliamentarians for each three time periods. &#10;&#10;The shading in the circles shows the ratio of electorate staff to personal staff which is approximately two thirds electorate staff to one third personal staff for each. &#10;&#10;In the 1980s the approximate total staff was 700, population 15.3 million and there were 189 parliamentarians. &#10;&#10;In 2003 the approximate total staff was 1200, population 19.9 million and there were 226 parliamentarians. &#10;&#10;In 2022 the approximate total staff was 2000, population 26 million and there were 227 parliamentarians." title="Growth in MoP(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PAct-Infographics-300922-F2-WorkforceGrow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517265"/>
                    </a:xfrm>
                    <a:prstGeom prst="rect">
                      <a:avLst/>
                    </a:prstGeom>
                  </pic:spPr>
                </pic:pic>
              </a:graphicData>
            </a:graphic>
          </wp:inline>
        </w:drawing>
      </w:r>
    </w:p>
    <w:p w14:paraId="1394BCD9" w14:textId="338583DA" w:rsidR="00E835AA" w:rsidRPr="00A824ED" w:rsidRDefault="00E835AA" w:rsidP="00D41DBE">
      <w:pPr>
        <w:pStyle w:val="Heading3"/>
      </w:pPr>
      <w:r w:rsidRPr="00A824ED">
        <w:t xml:space="preserve">2.3.1 The </w:t>
      </w:r>
      <w:r w:rsidR="00EB15B4">
        <w:t>MoP(S)</w:t>
      </w:r>
      <w:r w:rsidRPr="00A824ED">
        <w:t xml:space="preserve"> Act</w:t>
      </w:r>
    </w:p>
    <w:p w14:paraId="4C1D8163" w14:textId="06E213AA" w:rsidR="00E835AA" w:rsidRDefault="00E835AA" w:rsidP="00E835AA">
      <w:r>
        <w:t xml:space="preserve">The </w:t>
      </w:r>
      <w:r w:rsidR="00EB15B4">
        <w:t>MoP(S)</w:t>
      </w:r>
      <w:r>
        <w:t xml:space="preserve"> Act is made up of five parts:</w:t>
      </w:r>
      <w:r>
        <w:rPr>
          <w:rStyle w:val="FootnoteReference"/>
        </w:rPr>
        <w:footnoteReference w:id="21"/>
      </w:r>
      <w:r>
        <w:t xml:space="preserve"> </w:t>
      </w:r>
    </w:p>
    <w:p w14:paraId="22F9816B" w14:textId="5F99F62D" w:rsidR="00E835AA" w:rsidRDefault="00EB15B4" w:rsidP="00971ECB">
      <w:pPr>
        <w:pStyle w:val="ListParagraph"/>
        <w:numPr>
          <w:ilvl w:val="0"/>
          <w:numId w:val="10"/>
        </w:numPr>
      </w:pPr>
      <w:r>
        <w:t>p</w:t>
      </w:r>
      <w:r w:rsidR="00E835AA">
        <w:t>reliminary</w:t>
      </w:r>
    </w:p>
    <w:p w14:paraId="58E6A02A" w14:textId="12088B94" w:rsidR="00E835AA" w:rsidRDefault="00EB15B4" w:rsidP="00971ECB">
      <w:pPr>
        <w:pStyle w:val="ListParagraph"/>
        <w:numPr>
          <w:ilvl w:val="0"/>
          <w:numId w:val="10"/>
        </w:numPr>
      </w:pPr>
      <w:r>
        <w:t>m</w:t>
      </w:r>
      <w:r w:rsidR="00E835AA">
        <w:t>inisterial consultants</w:t>
      </w:r>
    </w:p>
    <w:p w14:paraId="229B513D" w14:textId="66C3ABAB" w:rsidR="00E835AA" w:rsidRDefault="00EB15B4" w:rsidP="00971ECB">
      <w:pPr>
        <w:pStyle w:val="ListParagraph"/>
        <w:numPr>
          <w:ilvl w:val="0"/>
          <w:numId w:val="10"/>
        </w:numPr>
      </w:pPr>
      <w:r>
        <w:t>s</w:t>
      </w:r>
      <w:r w:rsidR="00E835AA">
        <w:t>taff of office</w:t>
      </w:r>
      <w:r w:rsidR="00B40D5C">
        <w:t>-</w:t>
      </w:r>
      <w:r w:rsidR="00E835AA">
        <w:t>holders</w:t>
      </w:r>
    </w:p>
    <w:p w14:paraId="3B884CCE" w14:textId="48D0ED5E" w:rsidR="00E835AA" w:rsidRDefault="00EB15B4" w:rsidP="00971ECB">
      <w:pPr>
        <w:pStyle w:val="ListParagraph"/>
        <w:numPr>
          <w:ilvl w:val="0"/>
          <w:numId w:val="10"/>
        </w:numPr>
      </w:pPr>
      <w:r>
        <w:t>s</w:t>
      </w:r>
      <w:r w:rsidR="00E835AA">
        <w:t>taff of Senators and Members</w:t>
      </w:r>
    </w:p>
    <w:p w14:paraId="76F744CA" w14:textId="501B1072" w:rsidR="00E835AA" w:rsidRDefault="00EB15B4" w:rsidP="00971ECB">
      <w:pPr>
        <w:pStyle w:val="ListParagraph"/>
        <w:numPr>
          <w:ilvl w:val="0"/>
          <w:numId w:val="10"/>
        </w:numPr>
      </w:pPr>
      <w:r>
        <w:t>m</w:t>
      </w:r>
      <w:r w:rsidR="00E835AA">
        <w:t>iscellaneous</w:t>
      </w:r>
      <w:r w:rsidR="008F4CFC">
        <w:t>.</w:t>
      </w:r>
    </w:p>
    <w:p w14:paraId="405C2338" w14:textId="24A95256" w:rsidR="00847BF8" w:rsidRDefault="00E835AA" w:rsidP="0058683F">
      <w:r>
        <w:t xml:space="preserve">The legislation </w:t>
      </w:r>
      <w:r w:rsidR="00573B60">
        <w:t>is a slim</w:t>
      </w:r>
      <w:r>
        <w:t xml:space="preserve"> 35 pages covering</w:t>
      </w:r>
      <w:r w:rsidR="00573B60">
        <w:t xml:space="preserve"> only</w:t>
      </w:r>
      <w:r>
        <w:t xml:space="preserve"> 23 operative provisions</w:t>
      </w:r>
      <w:r w:rsidR="0068169F">
        <w:t>.</w:t>
      </w:r>
      <w:r>
        <w:t xml:space="preserve"> </w:t>
      </w:r>
      <w:r w:rsidR="0068169F">
        <w:t>P</w:t>
      </w:r>
      <w:r>
        <w:t>arts of the Act are duplicative, especially Parts III and IV.</w:t>
      </w:r>
      <w:r w:rsidR="007A7449">
        <w:t xml:space="preserve"> </w:t>
      </w:r>
      <w:r w:rsidR="00BC085F" w:rsidRPr="00515F62">
        <w:t xml:space="preserve">While there is provision for </w:t>
      </w:r>
      <w:r w:rsidR="00D14441">
        <w:t>r</w:t>
      </w:r>
      <w:r w:rsidR="00D14441" w:rsidRPr="00515F62">
        <w:t xml:space="preserve">egulations </w:t>
      </w:r>
      <w:r w:rsidR="00BC085F" w:rsidRPr="00515F62">
        <w:t>to be made</w:t>
      </w:r>
      <w:r w:rsidR="00BC085F">
        <w:t>,</w:t>
      </w:r>
      <w:r w:rsidR="00BC085F" w:rsidRPr="00515F62">
        <w:rPr>
          <w:rStyle w:val="FootnoteReference"/>
        </w:rPr>
        <w:footnoteReference w:id="22"/>
      </w:r>
      <w:r w:rsidR="00BC085F" w:rsidRPr="00515F62">
        <w:t xml:space="preserve"> there are none</w:t>
      </w:r>
      <w:r w:rsidR="00BC085F">
        <w:t>.</w:t>
      </w:r>
      <w:r w:rsidR="00BC085F">
        <w:rPr>
          <w:rStyle w:val="FootnoteReference"/>
        </w:rPr>
        <w:footnoteReference w:id="23"/>
      </w:r>
      <w:r w:rsidR="00847BF8">
        <w:t xml:space="preserve"> </w:t>
      </w:r>
      <w:r w:rsidR="00116CFF">
        <w:t xml:space="preserve">The following table sets out the operation </w:t>
      </w:r>
      <w:r w:rsidR="00F75E42">
        <w:t xml:space="preserve">of </w:t>
      </w:r>
      <w:r w:rsidR="00116CFF">
        <w:t xml:space="preserve">the </w:t>
      </w:r>
      <w:r w:rsidR="00A016F4">
        <w:t xml:space="preserve">different </w:t>
      </w:r>
      <w:r w:rsidR="00116CFF">
        <w:t xml:space="preserve">parts of the </w:t>
      </w:r>
      <w:r w:rsidR="00EB15B4">
        <w:t xml:space="preserve">MoP(S) </w:t>
      </w:r>
      <w:r w:rsidR="00116CFF">
        <w:t>Act.</w:t>
      </w:r>
      <w:r w:rsidR="00847BF8">
        <w:br w:type="page"/>
      </w:r>
    </w:p>
    <w:tbl>
      <w:tblPr>
        <w:tblStyle w:val="GridTable5Dark-Accent1"/>
        <w:tblW w:w="9690" w:type="dxa"/>
        <w:tblLook w:val="04A0" w:firstRow="1" w:lastRow="0" w:firstColumn="1" w:lastColumn="0" w:noHBand="0" w:noVBand="1"/>
        <w:tblDescription w:val="&#10;PARTS OF THE ACT &#10; Part I - Preliminary Part II - Ministerial consultants&#10;What it does Sets out the interpretations for the MoP(S) Act including definition of office-holder: &#10;Section 3: An ‘office-holder’ is: &#10;• a person who holds a ‘relevant office’ (a defined term including: minister, Leader of the Opposition in Senate and HOR, Deputy Leader of the Opposition in Senate and HOR, leader/deputy leader of a recognised political party.&#10;• ex-PMs&#10;• a person determined by the PM to be an office-holder&#10;New provision 3A about the relationship with the FW Act - added post Set the Standard  Governs the engagement of consultants (persons or companies) by ministers and department secretaries, subject to approval of the Prime Minister. &#10;Engagement by ministers (subsections 4(2)(a) and 4(2)(b)):&#10;• 1983 to 1996: common for consultants to be engaged by ministers&#10;• 1996 to 2007: only the Prime Minister engaged consultants &#10;• Ministerial consultants have not been engaged since 2006.&#10;Engagement by minister, to work under departmental secretary supervision (subsections 4(2)(c) and 4(2)(d)) occurred occasionally between 1984 and 1993.&#10; Part III - Staff of office-holders Part IV - Staff of Senators and Members&#10;What it does 12 – Prime Minister can make determination to empower a Senator or Member to employ staff under Part III&#10;13 – Office-holders may employ staff in accordance with arrangements approved by the PM, and subject to any conditions determined by the PM.&#10;14 – Terms and conditions of employment&#10;15 – Superannuation&#10;16 – Termination&#10;19 – Power to employ electorate staff under Part IV not affected  20 - Senator and Member may employ staff in accordance with arrangements approved by the PM, and subject to any conditions determined by the PM.&#10;21 – Terms and conditions of employment&#10;22 – Superannuation&#10;23 – Termination&#10; Part VI Miscellaneous &#10;What it does Sets out miscellaneous provisions relating to: the requirement for annual reporting of consultants; parliamentarian power to authorise others to exercise their powers under the MoP(S) Act; and provides for the making of regulations.&#10;"/>
      </w:tblPr>
      <w:tblGrid>
        <w:gridCol w:w="846"/>
        <w:gridCol w:w="4252"/>
        <w:gridCol w:w="4592"/>
      </w:tblGrid>
      <w:tr w:rsidR="00E835AA" w14:paraId="38BA6B22" w14:textId="77777777" w:rsidTr="00CC771F">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846" w:type="dxa"/>
          </w:tcPr>
          <w:p w14:paraId="0E935FBD" w14:textId="77777777" w:rsidR="00E835AA" w:rsidRPr="00F353E4" w:rsidRDefault="00E835AA" w:rsidP="001A1F03">
            <w:pPr>
              <w:rPr>
                <w:b w:val="0"/>
              </w:rPr>
            </w:pPr>
            <w:r>
              <w:br w:type="column"/>
            </w:r>
          </w:p>
        </w:tc>
        <w:tc>
          <w:tcPr>
            <w:tcW w:w="4252" w:type="dxa"/>
          </w:tcPr>
          <w:p w14:paraId="46CC847E" w14:textId="77777777" w:rsidR="00E835AA" w:rsidRPr="005E25D3" w:rsidRDefault="00E835AA" w:rsidP="001A1F03">
            <w:pPr>
              <w:cnfStyle w:val="100000000000" w:firstRow="1" w:lastRow="0" w:firstColumn="0" w:lastColumn="0" w:oddVBand="0" w:evenVBand="0" w:oddHBand="0" w:evenHBand="0" w:firstRowFirstColumn="0" w:firstRowLastColumn="0" w:lastRowFirstColumn="0" w:lastRowLastColumn="0"/>
            </w:pPr>
            <w:r>
              <w:t>PARTS</w:t>
            </w:r>
            <w:r w:rsidRPr="005E25D3">
              <w:t xml:space="preserve"> OF THE ACT</w:t>
            </w:r>
          </w:p>
        </w:tc>
        <w:tc>
          <w:tcPr>
            <w:tcW w:w="4592" w:type="dxa"/>
          </w:tcPr>
          <w:p w14:paraId="2F039D68" w14:textId="77777777" w:rsidR="00E835AA" w:rsidRPr="00F353E4" w:rsidRDefault="00E835AA" w:rsidP="001A1F03">
            <w:pPr>
              <w:cnfStyle w:val="100000000000" w:firstRow="1" w:lastRow="0" w:firstColumn="0" w:lastColumn="0" w:oddVBand="0" w:evenVBand="0" w:oddHBand="0" w:evenHBand="0" w:firstRowFirstColumn="0" w:firstRowLastColumn="0" w:lastRowFirstColumn="0" w:lastRowLastColumn="0"/>
              <w:rPr>
                <w:b w:val="0"/>
              </w:rPr>
            </w:pPr>
          </w:p>
        </w:tc>
      </w:tr>
      <w:tr w:rsidR="00E835AA" w14:paraId="19615317" w14:textId="77777777" w:rsidTr="00FE080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6" w:type="dxa"/>
          </w:tcPr>
          <w:p w14:paraId="62ACD4B6" w14:textId="77777777" w:rsidR="00E835AA" w:rsidRDefault="00E835AA" w:rsidP="001A1F03"/>
        </w:tc>
        <w:tc>
          <w:tcPr>
            <w:tcW w:w="4252" w:type="dxa"/>
          </w:tcPr>
          <w:p w14:paraId="1B693066" w14:textId="598735A7" w:rsidR="00E835AA" w:rsidRPr="00F353E4" w:rsidRDefault="00E835AA" w:rsidP="001A1F03">
            <w:pPr>
              <w:cnfStyle w:val="000000100000" w:firstRow="0" w:lastRow="0" w:firstColumn="0" w:lastColumn="0" w:oddVBand="0" w:evenVBand="0" w:oddHBand="1" w:evenHBand="0" w:firstRowFirstColumn="0" w:firstRowLastColumn="0" w:lastRowFirstColumn="0" w:lastRowLastColumn="0"/>
              <w:rPr>
                <w:b/>
              </w:rPr>
            </w:pPr>
            <w:r w:rsidRPr="00F353E4">
              <w:rPr>
                <w:b/>
              </w:rPr>
              <w:t>Part I</w:t>
            </w:r>
            <w:r>
              <w:rPr>
                <w:b/>
              </w:rPr>
              <w:t xml:space="preserve"> </w:t>
            </w:r>
            <w:r w:rsidR="00131D60">
              <w:rPr>
                <w:b/>
              </w:rPr>
              <w:t xml:space="preserve">- </w:t>
            </w:r>
            <w:r>
              <w:rPr>
                <w:b/>
              </w:rPr>
              <w:t>Preliminary</w:t>
            </w:r>
          </w:p>
        </w:tc>
        <w:tc>
          <w:tcPr>
            <w:tcW w:w="4592" w:type="dxa"/>
          </w:tcPr>
          <w:p w14:paraId="2D726A36" w14:textId="5F2130AA" w:rsidR="00E835AA" w:rsidRPr="00F353E4" w:rsidRDefault="00E835AA" w:rsidP="001A1F03">
            <w:pPr>
              <w:cnfStyle w:val="000000100000" w:firstRow="0" w:lastRow="0" w:firstColumn="0" w:lastColumn="0" w:oddVBand="0" w:evenVBand="0" w:oddHBand="1" w:evenHBand="0" w:firstRowFirstColumn="0" w:firstRowLastColumn="0" w:lastRowFirstColumn="0" w:lastRowLastColumn="0"/>
              <w:rPr>
                <w:b/>
              </w:rPr>
            </w:pPr>
            <w:r w:rsidRPr="00F353E4">
              <w:rPr>
                <w:b/>
              </w:rPr>
              <w:t>Part II</w:t>
            </w:r>
            <w:r>
              <w:rPr>
                <w:b/>
              </w:rPr>
              <w:t xml:space="preserve"> -</w:t>
            </w:r>
            <w:r w:rsidR="00131D60">
              <w:rPr>
                <w:b/>
              </w:rPr>
              <w:t xml:space="preserve"> </w:t>
            </w:r>
            <w:r w:rsidRPr="00F353E4">
              <w:rPr>
                <w:b/>
              </w:rPr>
              <w:t>Ministerial consultants</w:t>
            </w:r>
          </w:p>
        </w:tc>
      </w:tr>
      <w:tr w:rsidR="00E835AA" w14:paraId="43F714A1" w14:textId="77777777" w:rsidTr="00BE3209">
        <w:trPr>
          <w:trHeight w:val="913"/>
        </w:trPr>
        <w:tc>
          <w:tcPr>
            <w:cnfStyle w:val="001000000000" w:firstRow="0" w:lastRow="0" w:firstColumn="1" w:lastColumn="0" w:oddVBand="0" w:evenVBand="0" w:oddHBand="0" w:evenHBand="0" w:firstRowFirstColumn="0" w:firstRowLastColumn="0" w:lastRowFirstColumn="0" w:lastRowLastColumn="0"/>
            <w:tcW w:w="846" w:type="dxa"/>
          </w:tcPr>
          <w:p w14:paraId="45BD590B" w14:textId="77777777" w:rsidR="00E835AA" w:rsidRPr="00635168" w:rsidRDefault="00E835AA" w:rsidP="001A1F03">
            <w:r>
              <w:t>What it does</w:t>
            </w:r>
          </w:p>
        </w:tc>
        <w:tc>
          <w:tcPr>
            <w:tcW w:w="4252" w:type="dxa"/>
            <w:shd w:val="clear" w:color="auto" w:fill="F2F2F2" w:themeFill="background1" w:themeFillShade="F2"/>
          </w:tcPr>
          <w:p w14:paraId="0C0DE3F9" w14:textId="77130B92" w:rsidR="00E835AA" w:rsidRDefault="00E835AA" w:rsidP="001A1F03">
            <w:pPr>
              <w:cnfStyle w:val="000000000000" w:firstRow="0" w:lastRow="0" w:firstColumn="0" w:lastColumn="0" w:oddVBand="0" w:evenVBand="0" w:oddHBand="0" w:evenHBand="0" w:firstRowFirstColumn="0" w:firstRowLastColumn="0" w:lastRowFirstColumn="0" w:lastRowLastColumn="0"/>
            </w:pPr>
            <w:r>
              <w:t>S</w:t>
            </w:r>
            <w:r w:rsidRPr="00635168">
              <w:t>ets out the interpr</w:t>
            </w:r>
            <w:r>
              <w:t xml:space="preserve">etations for the </w:t>
            </w:r>
            <w:r w:rsidR="00EB15B4">
              <w:t xml:space="preserve">MoP(S) </w:t>
            </w:r>
            <w:r>
              <w:t xml:space="preserve">Act including definition of office-holder: </w:t>
            </w:r>
          </w:p>
          <w:p w14:paraId="0BEF8D4B" w14:textId="4E1D1648" w:rsidR="00E835AA" w:rsidRDefault="00DA2D56" w:rsidP="001A1F03">
            <w:pPr>
              <w:cnfStyle w:val="000000000000" w:firstRow="0" w:lastRow="0" w:firstColumn="0" w:lastColumn="0" w:oddVBand="0" w:evenVBand="0" w:oddHBand="0" w:evenHBand="0" w:firstRowFirstColumn="0" w:firstRowLastColumn="0" w:lastRowFirstColumn="0" w:lastRowLastColumn="0"/>
            </w:pPr>
            <w:r>
              <w:t xml:space="preserve">Section 3: </w:t>
            </w:r>
            <w:r w:rsidR="00E835AA">
              <w:t xml:space="preserve">An ‘office-holder’ is: </w:t>
            </w:r>
          </w:p>
          <w:p w14:paraId="000C34D1" w14:textId="34D20DAB" w:rsidR="00E835AA" w:rsidRDefault="00E835AA" w:rsidP="00971ECB">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 person who holds a ‘relevant office’</w:t>
            </w:r>
            <w:r w:rsidR="00866B22">
              <w:t xml:space="preserve"> </w:t>
            </w:r>
            <w:r>
              <w:t xml:space="preserve">(a defined term including: </w:t>
            </w:r>
            <w:r w:rsidR="00514FBE">
              <w:t>m</w:t>
            </w:r>
            <w:r>
              <w:t xml:space="preserve">inister, </w:t>
            </w:r>
            <w:r w:rsidR="008866BD">
              <w:t>L</w:t>
            </w:r>
            <w:r>
              <w:t xml:space="preserve">eader of the </w:t>
            </w:r>
            <w:r w:rsidR="008866BD">
              <w:t>O</w:t>
            </w:r>
            <w:r>
              <w:t xml:space="preserve">pposition in Senate and HOR, </w:t>
            </w:r>
            <w:r w:rsidR="008866BD">
              <w:t>D</w:t>
            </w:r>
            <w:r>
              <w:t xml:space="preserve">eputy </w:t>
            </w:r>
            <w:r w:rsidR="008866BD">
              <w:t>L</w:t>
            </w:r>
            <w:r>
              <w:t xml:space="preserve">eader of the </w:t>
            </w:r>
            <w:r w:rsidR="008866BD">
              <w:t>O</w:t>
            </w:r>
            <w:r>
              <w:t>pposition in Senate and HOR, leader/deputy leader of a recognised political party.</w:t>
            </w:r>
          </w:p>
          <w:p w14:paraId="6F52DCBC" w14:textId="77777777" w:rsidR="00E835AA" w:rsidRDefault="008445EF" w:rsidP="00971ECB">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ex-PMs</w:t>
            </w:r>
          </w:p>
          <w:p w14:paraId="58EB1BF2" w14:textId="77777777" w:rsidR="00E835AA" w:rsidRDefault="00E835AA" w:rsidP="00971ECB">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 person determined by the PM to be an office-holder</w:t>
            </w:r>
          </w:p>
          <w:p w14:paraId="4E9BFFEF" w14:textId="295D263D"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New provision 3A about the relationship with the </w:t>
            </w:r>
            <w:r w:rsidR="007B4F25">
              <w:t>FW</w:t>
            </w:r>
            <w:r>
              <w:t xml:space="preserve"> Act</w:t>
            </w:r>
            <w:r w:rsidR="00131D60">
              <w:t xml:space="preserve"> - added post </w:t>
            </w:r>
            <w:r w:rsidR="00131D60" w:rsidRPr="00142173">
              <w:rPr>
                <w:i/>
              </w:rPr>
              <w:t>Set the Standard</w:t>
            </w:r>
            <w:r>
              <w:t xml:space="preserve"> </w:t>
            </w:r>
          </w:p>
        </w:tc>
        <w:tc>
          <w:tcPr>
            <w:tcW w:w="4592" w:type="dxa"/>
            <w:shd w:val="clear" w:color="auto" w:fill="F2F2F2" w:themeFill="background1" w:themeFillShade="F2"/>
          </w:tcPr>
          <w:p w14:paraId="51B658AD" w14:textId="18B9EE96"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Governs the engagement of consultants (persons or companies) by </w:t>
            </w:r>
            <w:r w:rsidR="00514FBE">
              <w:t>m</w:t>
            </w:r>
            <w:r>
              <w:t>inisters and department secretaries, subject to approval of the Prime Minister</w:t>
            </w:r>
            <w:r w:rsidR="00131D60">
              <w:t>.</w:t>
            </w:r>
            <w:r>
              <w:rPr>
                <w:rStyle w:val="FootnoteReference"/>
              </w:rPr>
              <w:footnoteReference w:id="24"/>
            </w:r>
          </w:p>
          <w:p w14:paraId="5B74D16B" w14:textId="35E76DB6"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Engagement by </w:t>
            </w:r>
            <w:r w:rsidR="00514FBE">
              <w:t>m</w:t>
            </w:r>
            <w:r>
              <w:t>inisters (subsections 4(2)(a) and 4(2)(b)):</w:t>
            </w:r>
          </w:p>
          <w:p w14:paraId="2B92D748" w14:textId="1986376F" w:rsidR="00E835AA" w:rsidRDefault="00E835AA" w:rsidP="00971ECB">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1983 to 1996: common for consultants to be engaged by </w:t>
            </w:r>
            <w:r w:rsidR="00514FBE">
              <w:t>m</w:t>
            </w:r>
            <w:r>
              <w:t>inisters</w:t>
            </w:r>
          </w:p>
          <w:p w14:paraId="3B599DBA" w14:textId="77777777" w:rsidR="00E835AA" w:rsidRDefault="00E835AA" w:rsidP="00971ECB">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1996 to 2007: only the Prime Minister engaged consultants </w:t>
            </w:r>
          </w:p>
          <w:p w14:paraId="7804C7BA" w14:textId="48B48408" w:rsidR="00E835AA" w:rsidRDefault="00E835AA" w:rsidP="00971ECB">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Ministerial consultants have not been engaged since 20</w:t>
            </w:r>
            <w:r w:rsidR="001F0A87">
              <w:t>06</w:t>
            </w:r>
            <w:r>
              <w:t>.</w:t>
            </w:r>
          </w:p>
          <w:p w14:paraId="6A6F1EA2" w14:textId="5FFFB0E1"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Engagement by </w:t>
            </w:r>
            <w:r w:rsidR="00514FBE">
              <w:t>m</w:t>
            </w:r>
            <w:r>
              <w:t xml:space="preserve">inister, to work </w:t>
            </w:r>
            <w:r w:rsidR="00131D60">
              <w:t xml:space="preserve">under </w:t>
            </w:r>
            <w:r>
              <w:t xml:space="preserve">departmental secretary supervision (subsections 4(2)(c) and 4(2)(d)) occurred occasionally between 1984 </w:t>
            </w:r>
            <w:r w:rsidR="00866B22">
              <w:t>and</w:t>
            </w:r>
            <w:r>
              <w:t xml:space="preserve"> 1993.</w:t>
            </w:r>
          </w:p>
        </w:tc>
      </w:tr>
      <w:tr w:rsidR="00E835AA" w14:paraId="183156B5" w14:textId="77777777" w:rsidTr="00BE320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6" w:type="dxa"/>
          </w:tcPr>
          <w:p w14:paraId="78DF2DEA" w14:textId="77777777" w:rsidR="00E835AA" w:rsidRPr="00F353E4" w:rsidRDefault="00E835AA" w:rsidP="001A1F03">
            <w:pPr>
              <w:rPr>
                <w:b w:val="0"/>
              </w:rPr>
            </w:pPr>
          </w:p>
        </w:tc>
        <w:tc>
          <w:tcPr>
            <w:tcW w:w="4252" w:type="dxa"/>
          </w:tcPr>
          <w:p w14:paraId="24F16A83" w14:textId="3F4BC106" w:rsidR="00E835AA" w:rsidRPr="00F353E4" w:rsidRDefault="00E835AA" w:rsidP="001A1F03">
            <w:pPr>
              <w:cnfStyle w:val="000000100000" w:firstRow="0" w:lastRow="0" w:firstColumn="0" w:lastColumn="0" w:oddVBand="0" w:evenVBand="0" w:oddHBand="1" w:evenHBand="0" w:firstRowFirstColumn="0" w:firstRowLastColumn="0" w:lastRowFirstColumn="0" w:lastRowLastColumn="0"/>
              <w:rPr>
                <w:b/>
              </w:rPr>
            </w:pPr>
            <w:r w:rsidRPr="00F353E4">
              <w:rPr>
                <w:b/>
              </w:rPr>
              <w:t xml:space="preserve">Part III </w:t>
            </w:r>
            <w:r w:rsidR="00131D60">
              <w:rPr>
                <w:b/>
              </w:rPr>
              <w:t xml:space="preserve">- </w:t>
            </w:r>
            <w:r w:rsidRPr="00F353E4">
              <w:rPr>
                <w:b/>
              </w:rPr>
              <w:t>Staff of office-holders</w:t>
            </w:r>
          </w:p>
        </w:tc>
        <w:tc>
          <w:tcPr>
            <w:tcW w:w="4592" w:type="dxa"/>
          </w:tcPr>
          <w:p w14:paraId="5C8FEAD8" w14:textId="18E0B436" w:rsidR="00E835AA" w:rsidRPr="00F353E4" w:rsidRDefault="00E835AA" w:rsidP="001A1F03">
            <w:pPr>
              <w:cnfStyle w:val="000000100000" w:firstRow="0" w:lastRow="0" w:firstColumn="0" w:lastColumn="0" w:oddVBand="0" w:evenVBand="0" w:oddHBand="1" w:evenHBand="0" w:firstRowFirstColumn="0" w:firstRowLastColumn="0" w:lastRowFirstColumn="0" w:lastRowLastColumn="0"/>
              <w:rPr>
                <w:b/>
              </w:rPr>
            </w:pPr>
            <w:r w:rsidRPr="00F353E4">
              <w:rPr>
                <w:b/>
              </w:rPr>
              <w:t xml:space="preserve">Part IV </w:t>
            </w:r>
            <w:r w:rsidR="00131D60">
              <w:rPr>
                <w:b/>
              </w:rPr>
              <w:t xml:space="preserve">- </w:t>
            </w:r>
            <w:r w:rsidRPr="00F353E4">
              <w:rPr>
                <w:b/>
              </w:rPr>
              <w:t>Staff of Senators and Members</w:t>
            </w:r>
          </w:p>
        </w:tc>
      </w:tr>
      <w:tr w:rsidR="00E835AA" w14:paraId="4C9167FA" w14:textId="77777777" w:rsidTr="00BE3209">
        <w:trPr>
          <w:trHeight w:val="409"/>
        </w:trPr>
        <w:tc>
          <w:tcPr>
            <w:cnfStyle w:val="001000000000" w:firstRow="0" w:lastRow="0" w:firstColumn="1" w:lastColumn="0" w:oddVBand="0" w:evenVBand="0" w:oddHBand="0" w:evenHBand="0" w:firstRowFirstColumn="0" w:firstRowLastColumn="0" w:lastRowFirstColumn="0" w:lastRowLastColumn="0"/>
            <w:tcW w:w="846" w:type="dxa"/>
          </w:tcPr>
          <w:p w14:paraId="37D8295B" w14:textId="77777777" w:rsidR="00E835AA" w:rsidRDefault="00E835AA" w:rsidP="001A1F03">
            <w:r>
              <w:t>What it does</w:t>
            </w:r>
          </w:p>
        </w:tc>
        <w:tc>
          <w:tcPr>
            <w:tcW w:w="4252" w:type="dxa"/>
            <w:shd w:val="clear" w:color="auto" w:fill="F2F2F2" w:themeFill="background1" w:themeFillShade="F2"/>
          </w:tcPr>
          <w:p w14:paraId="7AB76C76"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12 – Prime Minister can make determination to empower a Senator or Member to employ staff under Part III</w:t>
            </w:r>
          </w:p>
          <w:p w14:paraId="69C8D3FD"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13 – Office-holders may employ staff in accordance with arrangements approved by the PM, and subject to any conditions determined by the PM.</w:t>
            </w:r>
          </w:p>
          <w:p w14:paraId="58798B1E"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14 – T</w:t>
            </w:r>
            <w:r w:rsidR="00B71022">
              <w:t xml:space="preserve">erms </w:t>
            </w:r>
            <w:r w:rsidR="00726E22">
              <w:t>and c</w:t>
            </w:r>
            <w:r w:rsidR="00B71022">
              <w:t>ondition</w:t>
            </w:r>
            <w:r>
              <w:t>s of employment</w:t>
            </w:r>
          </w:p>
          <w:p w14:paraId="49DAE18E"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15 – Superannuation</w:t>
            </w:r>
          </w:p>
          <w:p w14:paraId="6D0BCE63"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16 – Termination</w:t>
            </w:r>
          </w:p>
          <w:p w14:paraId="78F9A8F1" w14:textId="7C451184" w:rsidR="00020A11" w:rsidRPr="00635168" w:rsidRDefault="00E835AA" w:rsidP="001A1F03">
            <w:pPr>
              <w:cnfStyle w:val="000000000000" w:firstRow="0" w:lastRow="0" w:firstColumn="0" w:lastColumn="0" w:oddVBand="0" w:evenVBand="0" w:oddHBand="0" w:evenHBand="0" w:firstRowFirstColumn="0" w:firstRowLastColumn="0" w:lastRowFirstColumn="0" w:lastRowLastColumn="0"/>
            </w:pPr>
            <w:r>
              <w:t xml:space="preserve">19 – Power to employ electorate staff under Part IV not affected </w:t>
            </w:r>
          </w:p>
        </w:tc>
        <w:tc>
          <w:tcPr>
            <w:tcW w:w="4592" w:type="dxa"/>
            <w:shd w:val="clear" w:color="auto" w:fill="F2F2F2" w:themeFill="background1" w:themeFillShade="F2"/>
          </w:tcPr>
          <w:p w14:paraId="5D5F1C1C" w14:textId="77777777" w:rsidR="00131D60" w:rsidRDefault="00E835AA" w:rsidP="001A1F03">
            <w:pPr>
              <w:cnfStyle w:val="000000000000" w:firstRow="0" w:lastRow="0" w:firstColumn="0" w:lastColumn="0" w:oddVBand="0" w:evenVBand="0" w:oddHBand="0" w:evenHBand="0" w:firstRowFirstColumn="0" w:firstRowLastColumn="0" w:lastRowFirstColumn="0" w:lastRowLastColumn="0"/>
            </w:pPr>
            <w:r>
              <w:t>20 - Senator and Member may employ staff in accordance with arrangements approved by the PM, and subject to any conditions determined by the PM.</w:t>
            </w:r>
          </w:p>
          <w:p w14:paraId="1CD324DB" w14:textId="4C8D8917"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21 </w:t>
            </w:r>
            <w:r w:rsidR="00B71022">
              <w:t>–</w:t>
            </w:r>
            <w:r>
              <w:t xml:space="preserve"> T</w:t>
            </w:r>
            <w:r w:rsidR="00B71022">
              <w:t xml:space="preserve">erms </w:t>
            </w:r>
            <w:r w:rsidR="00726E22">
              <w:t>and</w:t>
            </w:r>
            <w:r w:rsidR="00B71022">
              <w:t xml:space="preserve"> </w:t>
            </w:r>
            <w:r w:rsidR="00726E22">
              <w:t>c</w:t>
            </w:r>
            <w:r w:rsidR="00B71022">
              <w:t>ondition</w:t>
            </w:r>
            <w:r w:rsidR="00B71022" w:rsidDel="00B33D13">
              <w:t>s</w:t>
            </w:r>
            <w:r>
              <w:t xml:space="preserve"> of employment</w:t>
            </w:r>
          </w:p>
          <w:p w14:paraId="6B39B069"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22 – </w:t>
            </w:r>
            <w:r w:rsidR="00B71022">
              <w:t>S</w:t>
            </w:r>
            <w:r>
              <w:t>uperannuation</w:t>
            </w:r>
          </w:p>
          <w:p w14:paraId="1F319798" w14:textId="77777777"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23 </w:t>
            </w:r>
            <w:r w:rsidR="00B71022">
              <w:t>–</w:t>
            </w:r>
            <w:r>
              <w:t xml:space="preserve"> </w:t>
            </w:r>
            <w:r w:rsidR="00B71022">
              <w:t>T</w:t>
            </w:r>
            <w:r>
              <w:t>ermination</w:t>
            </w:r>
          </w:p>
        </w:tc>
      </w:tr>
      <w:tr w:rsidR="00E835AA" w14:paraId="2D033485" w14:textId="77777777" w:rsidTr="00BE320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6" w:type="dxa"/>
          </w:tcPr>
          <w:p w14:paraId="014EBFC9" w14:textId="77777777" w:rsidR="00E835AA" w:rsidRPr="00F353E4" w:rsidRDefault="00E835AA" w:rsidP="001A1F03">
            <w:pPr>
              <w:rPr>
                <w:b w:val="0"/>
              </w:rPr>
            </w:pPr>
          </w:p>
        </w:tc>
        <w:tc>
          <w:tcPr>
            <w:tcW w:w="4252" w:type="dxa"/>
          </w:tcPr>
          <w:p w14:paraId="45202CF4" w14:textId="77777777" w:rsidR="00E835AA" w:rsidRPr="00F353E4" w:rsidRDefault="00E835AA" w:rsidP="001A1F03">
            <w:pPr>
              <w:cnfStyle w:val="000000100000" w:firstRow="0" w:lastRow="0" w:firstColumn="0" w:lastColumn="0" w:oddVBand="0" w:evenVBand="0" w:oddHBand="1" w:evenHBand="0" w:firstRowFirstColumn="0" w:firstRowLastColumn="0" w:lastRowFirstColumn="0" w:lastRowLastColumn="0"/>
              <w:rPr>
                <w:b/>
              </w:rPr>
            </w:pPr>
            <w:r w:rsidRPr="00F353E4">
              <w:rPr>
                <w:b/>
              </w:rPr>
              <w:t>Part VI Miscellaneous</w:t>
            </w:r>
          </w:p>
        </w:tc>
        <w:tc>
          <w:tcPr>
            <w:tcW w:w="4592" w:type="dxa"/>
          </w:tcPr>
          <w:p w14:paraId="7E69698D" w14:textId="77777777" w:rsidR="00E835AA" w:rsidRPr="00F353E4" w:rsidRDefault="00E835AA" w:rsidP="001A1F03">
            <w:pPr>
              <w:cnfStyle w:val="000000100000" w:firstRow="0" w:lastRow="0" w:firstColumn="0" w:lastColumn="0" w:oddVBand="0" w:evenVBand="0" w:oddHBand="1" w:evenHBand="0" w:firstRowFirstColumn="0" w:firstRowLastColumn="0" w:lastRowFirstColumn="0" w:lastRowLastColumn="0"/>
              <w:rPr>
                <w:b/>
              </w:rPr>
            </w:pPr>
          </w:p>
        </w:tc>
      </w:tr>
      <w:tr w:rsidR="00E835AA" w14:paraId="59DAE36B" w14:textId="77777777" w:rsidTr="005C1097">
        <w:trPr>
          <w:trHeight w:val="409"/>
        </w:trPr>
        <w:tc>
          <w:tcPr>
            <w:cnfStyle w:val="001000000000" w:firstRow="0" w:lastRow="0" w:firstColumn="1" w:lastColumn="0" w:oddVBand="0" w:evenVBand="0" w:oddHBand="0" w:evenHBand="0" w:firstRowFirstColumn="0" w:firstRowLastColumn="0" w:lastRowFirstColumn="0" w:lastRowLastColumn="0"/>
            <w:tcW w:w="846" w:type="dxa"/>
          </w:tcPr>
          <w:p w14:paraId="6F02942D" w14:textId="77777777" w:rsidR="00E835AA" w:rsidRDefault="00E835AA" w:rsidP="001A1F03">
            <w:r>
              <w:t>What it does</w:t>
            </w:r>
          </w:p>
        </w:tc>
        <w:tc>
          <w:tcPr>
            <w:tcW w:w="8844" w:type="dxa"/>
            <w:gridSpan w:val="2"/>
            <w:shd w:val="clear" w:color="auto" w:fill="F2F2F2" w:themeFill="background1" w:themeFillShade="F2"/>
          </w:tcPr>
          <w:p w14:paraId="50FB7596" w14:textId="36653226" w:rsidR="00E835AA" w:rsidRDefault="00E835AA" w:rsidP="001A1F03">
            <w:pPr>
              <w:cnfStyle w:val="000000000000" w:firstRow="0" w:lastRow="0" w:firstColumn="0" w:lastColumn="0" w:oddVBand="0" w:evenVBand="0" w:oddHBand="0" w:evenHBand="0" w:firstRowFirstColumn="0" w:firstRowLastColumn="0" w:lastRowFirstColumn="0" w:lastRowLastColumn="0"/>
            </w:pPr>
            <w:r>
              <w:t xml:space="preserve">Sets out miscellaneous provisions relating to: the requirement for annual reporting of consultants; parliamentarian power to authorise others to exercise their powers under the </w:t>
            </w:r>
            <w:r w:rsidR="00EB15B4">
              <w:t xml:space="preserve">MoP(S) </w:t>
            </w:r>
            <w:r>
              <w:t>Act; and provides for the making of regulations.</w:t>
            </w:r>
          </w:p>
        </w:tc>
      </w:tr>
    </w:tbl>
    <w:p w14:paraId="4146910F" w14:textId="77777777" w:rsidR="00E835AA" w:rsidRPr="00A824ED" w:rsidRDefault="00E835AA" w:rsidP="00465F9E">
      <w:pPr>
        <w:pStyle w:val="Heading3"/>
      </w:pPr>
      <w:r w:rsidRPr="00A824ED">
        <w:t>2.3.</w:t>
      </w:r>
      <w:r w:rsidR="005E26AA">
        <w:t>2</w:t>
      </w:r>
      <w:r w:rsidRPr="00A824ED">
        <w:t xml:space="preserve"> Determinations</w:t>
      </w:r>
    </w:p>
    <w:p w14:paraId="4B37B461" w14:textId="6B7FE0A1" w:rsidR="00E835AA" w:rsidRDefault="00E835AA" w:rsidP="00E835AA">
      <w:r>
        <w:t>The Prime Minister has powers to determine conditions and arrangements relating to the employment of staff</w:t>
      </w:r>
      <w:r w:rsidR="00575DF6">
        <w:t>,</w:t>
      </w:r>
      <w:r>
        <w:rPr>
          <w:rStyle w:val="FootnoteReference"/>
        </w:rPr>
        <w:footnoteReference w:id="25"/>
      </w:r>
      <w:r>
        <w:t xml:space="preserve"> and their terms and conditions of employment</w:t>
      </w:r>
      <w:r w:rsidRPr="00D20D34">
        <w:rPr>
          <w:rStyle w:val="FootnoteReference"/>
        </w:rPr>
        <w:footnoteReference w:id="26"/>
      </w:r>
      <w:r w:rsidRPr="00D20D34">
        <w:t xml:space="preserve"> (except for some matters related to superannuation</w:t>
      </w:r>
      <w:r w:rsidRPr="00D20D34">
        <w:rPr>
          <w:rStyle w:val="FootnoteReference"/>
        </w:rPr>
        <w:footnoteReference w:id="27"/>
      </w:r>
      <w:r w:rsidRPr="00D20D34">
        <w:t xml:space="preserve"> and termination</w:t>
      </w:r>
      <w:r w:rsidRPr="00D20D34">
        <w:rPr>
          <w:rStyle w:val="FootnoteReference"/>
        </w:rPr>
        <w:footnoteReference w:id="28"/>
      </w:r>
      <w:r w:rsidRPr="00D20D34">
        <w:t>).</w:t>
      </w:r>
      <w:r>
        <w:t xml:space="preserve"> Determinations are not required to be tabled</w:t>
      </w:r>
      <w:r w:rsidR="00B0689E">
        <w:t xml:space="preserve"> in </w:t>
      </w:r>
      <w:r w:rsidR="006146A9">
        <w:t>p</w:t>
      </w:r>
      <w:r w:rsidR="00B0689E">
        <w:t>arliament or be published. This protects the privacy of individuals in some cases.</w:t>
      </w:r>
    </w:p>
    <w:p w14:paraId="7DBDAF5D" w14:textId="5CF7E937" w:rsidR="00275D41" w:rsidRDefault="00E835AA" w:rsidP="00275D41">
      <w:r>
        <w:t xml:space="preserve">Under the </w:t>
      </w:r>
      <w:r w:rsidR="00EB15B4">
        <w:t xml:space="preserve">MoP(S) </w:t>
      </w:r>
      <w:r>
        <w:t>Act</w:t>
      </w:r>
      <w:r w:rsidR="00CF1A82">
        <w:t>,</w:t>
      </w:r>
      <w:r>
        <w:t xml:space="preserve"> determinations can be made with regard t</w:t>
      </w:r>
      <w:r w:rsidRPr="00037A7F">
        <w:t>o</w:t>
      </w:r>
      <w:r w:rsidR="00F85154">
        <w:t xml:space="preserve"> the matters listed in the table.</w:t>
      </w:r>
    </w:p>
    <w:tbl>
      <w:tblPr>
        <w:tblStyle w:val="GridTable5Dark-Accent1"/>
        <w:tblW w:w="9834" w:type="dxa"/>
        <w:tblLook w:val="04A0" w:firstRow="1" w:lastRow="0" w:firstColumn="1" w:lastColumn="0" w:noHBand="0" w:noVBand="1"/>
        <w:tblDescription w:val=" Office-holders&#10;(Part III) Senators and Members&#10;(Part IV)  Consultant&#10;(Part II)&#10;Determining non-prescribed Senators and Members as office-holders section 12 n/a  n/a&#10;Arrangements for, and any conditions upon, employing staff subsection 13(2) subsection 20(2) n/a&#10;Setting terms and conditions of employment/engagement subsection 14(3) subsection 21(3) section 5&#10;Deferring the date of automatic termination subsection 18(5) subsection 23(4) subsection 9(5)&#10;"/>
      </w:tblPr>
      <w:tblGrid>
        <w:gridCol w:w="3823"/>
        <w:gridCol w:w="1842"/>
        <w:gridCol w:w="2552"/>
        <w:gridCol w:w="1617"/>
      </w:tblGrid>
      <w:tr w:rsidR="00E835AA" w14:paraId="6B2D5CB4" w14:textId="77777777" w:rsidTr="00CC771F">
        <w:trPr>
          <w:cnfStyle w:val="100000000000" w:firstRow="1" w:lastRow="0" w:firstColumn="0" w:lastColumn="0" w:oddVBand="0" w:evenVBand="0" w:oddHBand="0" w:evenHBand="0" w:firstRowFirstColumn="0" w:firstRowLastColumn="0" w:lastRowFirstColumn="0" w:lastRowLastColumn="0"/>
          <w:trHeight w:val="725"/>
          <w:tblHeader/>
        </w:trPr>
        <w:tc>
          <w:tcPr>
            <w:cnfStyle w:val="001000000000" w:firstRow="0" w:lastRow="0" w:firstColumn="1" w:lastColumn="0" w:oddVBand="0" w:evenVBand="0" w:oddHBand="0" w:evenHBand="0" w:firstRowFirstColumn="0" w:firstRowLastColumn="0" w:lastRowFirstColumn="0" w:lastRowLastColumn="0"/>
            <w:tcW w:w="3823" w:type="dxa"/>
          </w:tcPr>
          <w:p w14:paraId="017D031C" w14:textId="77777777" w:rsidR="00E835AA" w:rsidRDefault="00E835AA" w:rsidP="001A1F03"/>
        </w:tc>
        <w:tc>
          <w:tcPr>
            <w:tcW w:w="1842" w:type="dxa"/>
          </w:tcPr>
          <w:p w14:paraId="33ED0A96" w14:textId="77777777" w:rsidR="00E835AA" w:rsidRDefault="00E835AA" w:rsidP="001A1F03">
            <w:pPr>
              <w:jc w:val="center"/>
              <w:cnfStyle w:val="100000000000" w:firstRow="1" w:lastRow="0" w:firstColumn="0" w:lastColumn="0" w:oddVBand="0" w:evenVBand="0" w:oddHBand="0" w:evenHBand="0" w:firstRowFirstColumn="0" w:firstRowLastColumn="0" w:lastRowFirstColumn="0" w:lastRowLastColumn="0"/>
            </w:pPr>
            <w:r>
              <w:t>Office-holders</w:t>
            </w:r>
            <w:r>
              <w:br/>
              <w:t>(Part III)</w:t>
            </w:r>
          </w:p>
        </w:tc>
        <w:tc>
          <w:tcPr>
            <w:tcW w:w="2552" w:type="dxa"/>
          </w:tcPr>
          <w:p w14:paraId="27BBE5ED" w14:textId="77777777" w:rsidR="00E835AA" w:rsidRDefault="00E835AA" w:rsidP="001A1F03">
            <w:pPr>
              <w:jc w:val="center"/>
              <w:cnfStyle w:val="100000000000" w:firstRow="1" w:lastRow="0" w:firstColumn="0" w:lastColumn="0" w:oddVBand="0" w:evenVBand="0" w:oddHBand="0" w:evenHBand="0" w:firstRowFirstColumn="0" w:firstRowLastColumn="0" w:lastRowFirstColumn="0" w:lastRowLastColumn="0"/>
            </w:pPr>
            <w:r>
              <w:t>Senators and Members</w:t>
            </w:r>
            <w:r>
              <w:br/>
              <w:t xml:space="preserve">(Part IV) </w:t>
            </w:r>
          </w:p>
        </w:tc>
        <w:tc>
          <w:tcPr>
            <w:tcW w:w="1617" w:type="dxa"/>
          </w:tcPr>
          <w:p w14:paraId="6E70745F" w14:textId="77777777" w:rsidR="00E835AA" w:rsidRDefault="00E835AA" w:rsidP="001A1F03">
            <w:pPr>
              <w:jc w:val="center"/>
              <w:cnfStyle w:val="100000000000" w:firstRow="1" w:lastRow="0" w:firstColumn="0" w:lastColumn="0" w:oddVBand="0" w:evenVBand="0" w:oddHBand="0" w:evenHBand="0" w:firstRowFirstColumn="0" w:firstRowLastColumn="0" w:lastRowFirstColumn="0" w:lastRowLastColumn="0"/>
            </w:pPr>
            <w:r>
              <w:t>Consultant</w:t>
            </w:r>
            <w:r>
              <w:br/>
              <w:t>(Part II)</w:t>
            </w:r>
          </w:p>
        </w:tc>
      </w:tr>
      <w:tr w:rsidR="00E835AA" w14:paraId="0204A2E5" w14:textId="77777777" w:rsidTr="005C1097">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823" w:type="dxa"/>
          </w:tcPr>
          <w:p w14:paraId="464A551C" w14:textId="77777777" w:rsidR="00E835AA" w:rsidRDefault="00E835AA" w:rsidP="005C1097">
            <w:r>
              <w:t xml:space="preserve">Determining </w:t>
            </w:r>
            <w:r w:rsidR="00F73896">
              <w:t xml:space="preserve">non-prescribed </w:t>
            </w:r>
            <w:r w:rsidR="009841DD">
              <w:t xml:space="preserve">Senators and Members as </w:t>
            </w:r>
            <w:r w:rsidDel="00B40D5C">
              <w:t>office</w:t>
            </w:r>
            <w:r w:rsidR="00B40D5C">
              <w:t>-holder</w:t>
            </w:r>
            <w:r>
              <w:t>s</w:t>
            </w:r>
          </w:p>
        </w:tc>
        <w:tc>
          <w:tcPr>
            <w:tcW w:w="1842" w:type="dxa"/>
            <w:shd w:val="clear" w:color="auto" w:fill="F2F2F2" w:themeFill="background1" w:themeFillShade="F2"/>
          </w:tcPr>
          <w:p w14:paraId="2CAFE66B" w14:textId="77777777" w:rsidR="00E835AA" w:rsidRDefault="00C03CCB" w:rsidP="001A1F03">
            <w:pPr>
              <w:jc w:val="center"/>
              <w:cnfStyle w:val="000000100000" w:firstRow="0" w:lastRow="0" w:firstColumn="0" w:lastColumn="0" w:oddVBand="0" w:evenVBand="0" w:oddHBand="1" w:evenHBand="0" w:firstRowFirstColumn="0" w:firstRowLastColumn="0" w:lastRowFirstColumn="0" w:lastRowLastColumn="0"/>
            </w:pPr>
            <w:r>
              <w:t xml:space="preserve">section </w:t>
            </w:r>
            <w:r w:rsidR="00F73896">
              <w:t>12</w:t>
            </w:r>
          </w:p>
        </w:tc>
        <w:tc>
          <w:tcPr>
            <w:tcW w:w="2552" w:type="dxa"/>
            <w:shd w:val="clear" w:color="auto" w:fill="F2F2F2" w:themeFill="background1" w:themeFillShade="F2"/>
          </w:tcPr>
          <w:p w14:paraId="73276924" w14:textId="77777777" w:rsidR="00E835AA" w:rsidRDefault="00F73896" w:rsidP="001A1F03">
            <w:pPr>
              <w:jc w:val="center"/>
              <w:cnfStyle w:val="000000100000" w:firstRow="0" w:lastRow="0" w:firstColumn="0" w:lastColumn="0" w:oddVBand="0" w:evenVBand="0" w:oddHBand="1" w:evenHBand="0" w:firstRowFirstColumn="0" w:firstRowLastColumn="0" w:lastRowFirstColumn="0" w:lastRowLastColumn="0"/>
            </w:pPr>
            <w:r>
              <w:t>n/a</w:t>
            </w:r>
            <w:r w:rsidDel="00F73896">
              <w:t xml:space="preserve"> </w:t>
            </w:r>
          </w:p>
        </w:tc>
        <w:tc>
          <w:tcPr>
            <w:tcW w:w="1617" w:type="dxa"/>
            <w:shd w:val="clear" w:color="auto" w:fill="F2F2F2" w:themeFill="background1" w:themeFillShade="F2"/>
          </w:tcPr>
          <w:p w14:paraId="49F974DA" w14:textId="77777777" w:rsidR="00E835AA" w:rsidRDefault="00E835AA" w:rsidP="001A1F03">
            <w:pPr>
              <w:jc w:val="center"/>
              <w:cnfStyle w:val="000000100000" w:firstRow="0" w:lastRow="0" w:firstColumn="0" w:lastColumn="0" w:oddVBand="0" w:evenVBand="0" w:oddHBand="1" w:evenHBand="0" w:firstRowFirstColumn="0" w:firstRowLastColumn="0" w:lastRowFirstColumn="0" w:lastRowLastColumn="0"/>
            </w:pPr>
            <w:r>
              <w:t>n/a</w:t>
            </w:r>
          </w:p>
        </w:tc>
      </w:tr>
      <w:tr w:rsidR="00E835AA" w14:paraId="54D2BB41" w14:textId="77777777" w:rsidTr="005C1097">
        <w:trPr>
          <w:trHeight w:val="793"/>
        </w:trPr>
        <w:tc>
          <w:tcPr>
            <w:cnfStyle w:val="001000000000" w:firstRow="0" w:lastRow="0" w:firstColumn="1" w:lastColumn="0" w:oddVBand="0" w:evenVBand="0" w:oddHBand="0" w:evenHBand="0" w:firstRowFirstColumn="0" w:firstRowLastColumn="0" w:lastRowFirstColumn="0" w:lastRowLastColumn="0"/>
            <w:tcW w:w="3823" w:type="dxa"/>
          </w:tcPr>
          <w:p w14:paraId="06E9DA8D" w14:textId="77777777" w:rsidR="00E835AA" w:rsidRDefault="00E835AA" w:rsidP="001A1F03">
            <w:r>
              <w:t>Arrangements for, and any conditions upon, employing staff</w:t>
            </w:r>
          </w:p>
        </w:tc>
        <w:tc>
          <w:tcPr>
            <w:tcW w:w="1842" w:type="dxa"/>
            <w:shd w:val="clear" w:color="auto" w:fill="F2F2F2" w:themeFill="background1" w:themeFillShade="F2"/>
          </w:tcPr>
          <w:p w14:paraId="5471FEE8" w14:textId="77777777" w:rsidR="00E835AA" w:rsidRDefault="00C03CCB" w:rsidP="001A1F03">
            <w:pPr>
              <w:jc w:val="center"/>
              <w:cnfStyle w:val="000000000000" w:firstRow="0" w:lastRow="0" w:firstColumn="0" w:lastColumn="0" w:oddVBand="0" w:evenVBand="0" w:oddHBand="0" w:evenHBand="0" w:firstRowFirstColumn="0" w:firstRowLastColumn="0" w:lastRowFirstColumn="0" w:lastRowLastColumn="0"/>
            </w:pPr>
            <w:r>
              <w:t xml:space="preserve">subsection </w:t>
            </w:r>
            <w:r w:rsidR="00E835AA">
              <w:t>13(2)</w:t>
            </w:r>
          </w:p>
        </w:tc>
        <w:tc>
          <w:tcPr>
            <w:tcW w:w="2552" w:type="dxa"/>
            <w:shd w:val="clear" w:color="auto" w:fill="F2F2F2" w:themeFill="background1" w:themeFillShade="F2"/>
          </w:tcPr>
          <w:p w14:paraId="344CF725" w14:textId="77777777" w:rsidR="00E835AA" w:rsidRDefault="00C03CCB" w:rsidP="001A1F03">
            <w:pPr>
              <w:jc w:val="center"/>
              <w:cnfStyle w:val="000000000000" w:firstRow="0" w:lastRow="0" w:firstColumn="0" w:lastColumn="0" w:oddVBand="0" w:evenVBand="0" w:oddHBand="0" w:evenHBand="0" w:firstRowFirstColumn="0" w:firstRowLastColumn="0" w:lastRowFirstColumn="0" w:lastRowLastColumn="0"/>
            </w:pPr>
            <w:r>
              <w:t xml:space="preserve">subsection </w:t>
            </w:r>
            <w:r w:rsidR="00E835AA">
              <w:t>20(2)</w:t>
            </w:r>
          </w:p>
        </w:tc>
        <w:tc>
          <w:tcPr>
            <w:tcW w:w="1617" w:type="dxa"/>
            <w:shd w:val="clear" w:color="auto" w:fill="F2F2F2" w:themeFill="background1" w:themeFillShade="F2"/>
          </w:tcPr>
          <w:p w14:paraId="07B20E14" w14:textId="77777777" w:rsidR="00E835AA" w:rsidRDefault="00E835AA" w:rsidP="001A1F03">
            <w:pPr>
              <w:jc w:val="center"/>
              <w:cnfStyle w:val="000000000000" w:firstRow="0" w:lastRow="0" w:firstColumn="0" w:lastColumn="0" w:oddVBand="0" w:evenVBand="0" w:oddHBand="0" w:evenHBand="0" w:firstRowFirstColumn="0" w:firstRowLastColumn="0" w:lastRowFirstColumn="0" w:lastRowLastColumn="0"/>
            </w:pPr>
            <w:r>
              <w:t>n/a</w:t>
            </w:r>
          </w:p>
        </w:tc>
      </w:tr>
      <w:tr w:rsidR="00E835AA" w14:paraId="772849BE" w14:textId="77777777" w:rsidTr="005C109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823" w:type="dxa"/>
          </w:tcPr>
          <w:p w14:paraId="336689FA" w14:textId="77777777" w:rsidR="00E835AA" w:rsidRDefault="00E835AA" w:rsidP="005C1097">
            <w:r>
              <w:t>Setting terms and conditions of employment/engagement</w:t>
            </w:r>
          </w:p>
        </w:tc>
        <w:tc>
          <w:tcPr>
            <w:tcW w:w="1842" w:type="dxa"/>
            <w:shd w:val="clear" w:color="auto" w:fill="F2F2F2" w:themeFill="background1" w:themeFillShade="F2"/>
          </w:tcPr>
          <w:p w14:paraId="7FC7FBBB" w14:textId="77777777" w:rsidR="00E835AA" w:rsidRDefault="00C03CCB" w:rsidP="001A1F03">
            <w:pPr>
              <w:jc w:val="center"/>
              <w:cnfStyle w:val="000000100000" w:firstRow="0" w:lastRow="0" w:firstColumn="0" w:lastColumn="0" w:oddVBand="0" w:evenVBand="0" w:oddHBand="1" w:evenHBand="0" w:firstRowFirstColumn="0" w:firstRowLastColumn="0" w:lastRowFirstColumn="0" w:lastRowLastColumn="0"/>
            </w:pPr>
            <w:r>
              <w:t xml:space="preserve">subsection </w:t>
            </w:r>
            <w:r w:rsidR="00E835AA">
              <w:t>14(3)</w:t>
            </w:r>
          </w:p>
        </w:tc>
        <w:tc>
          <w:tcPr>
            <w:tcW w:w="2552" w:type="dxa"/>
            <w:shd w:val="clear" w:color="auto" w:fill="F2F2F2" w:themeFill="background1" w:themeFillShade="F2"/>
          </w:tcPr>
          <w:p w14:paraId="361132D0" w14:textId="77777777" w:rsidR="00E835AA" w:rsidRDefault="00C03CCB" w:rsidP="001A1F03">
            <w:pPr>
              <w:jc w:val="center"/>
              <w:cnfStyle w:val="000000100000" w:firstRow="0" w:lastRow="0" w:firstColumn="0" w:lastColumn="0" w:oddVBand="0" w:evenVBand="0" w:oddHBand="1" w:evenHBand="0" w:firstRowFirstColumn="0" w:firstRowLastColumn="0" w:lastRowFirstColumn="0" w:lastRowLastColumn="0"/>
            </w:pPr>
            <w:r>
              <w:t xml:space="preserve">subsection </w:t>
            </w:r>
            <w:r w:rsidR="00E835AA">
              <w:t>21(3)</w:t>
            </w:r>
          </w:p>
        </w:tc>
        <w:tc>
          <w:tcPr>
            <w:tcW w:w="1617" w:type="dxa"/>
            <w:shd w:val="clear" w:color="auto" w:fill="F2F2F2" w:themeFill="background1" w:themeFillShade="F2"/>
          </w:tcPr>
          <w:p w14:paraId="4CD73565" w14:textId="77777777" w:rsidR="00E835AA" w:rsidRDefault="00C03CCB" w:rsidP="001A1F03">
            <w:pPr>
              <w:jc w:val="center"/>
              <w:cnfStyle w:val="000000100000" w:firstRow="0" w:lastRow="0" w:firstColumn="0" w:lastColumn="0" w:oddVBand="0" w:evenVBand="0" w:oddHBand="1" w:evenHBand="0" w:firstRowFirstColumn="0" w:firstRowLastColumn="0" w:lastRowFirstColumn="0" w:lastRowLastColumn="0"/>
            </w:pPr>
            <w:r>
              <w:t xml:space="preserve">section </w:t>
            </w:r>
            <w:r w:rsidR="00E835AA">
              <w:t>5</w:t>
            </w:r>
          </w:p>
        </w:tc>
      </w:tr>
      <w:tr w:rsidR="00E835AA" w14:paraId="3D3EBB39" w14:textId="77777777" w:rsidTr="005C1097">
        <w:trPr>
          <w:trHeight w:val="417"/>
        </w:trPr>
        <w:tc>
          <w:tcPr>
            <w:cnfStyle w:val="001000000000" w:firstRow="0" w:lastRow="0" w:firstColumn="1" w:lastColumn="0" w:oddVBand="0" w:evenVBand="0" w:oddHBand="0" w:evenHBand="0" w:firstRowFirstColumn="0" w:firstRowLastColumn="0" w:lastRowFirstColumn="0" w:lastRowLastColumn="0"/>
            <w:tcW w:w="3823" w:type="dxa"/>
          </w:tcPr>
          <w:p w14:paraId="6127B0E8" w14:textId="08CB4DFE" w:rsidR="00E835AA" w:rsidRDefault="00E835AA" w:rsidP="001A1F03">
            <w:r>
              <w:t>Deferring th</w:t>
            </w:r>
            <w:r w:rsidR="005C1097">
              <w:t>e date of automatic termination</w:t>
            </w:r>
          </w:p>
        </w:tc>
        <w:tc>
          <w:tcPr>
            <w:tcW w:w="1842" w:type="dxa"/>
            <w:shd w:val="clear" w:color="auto" w:fill="F2F2F2" w:themeFill="background1" w:themeFillShade="F2"/>
          </w:tcPr>
          <w:p w14:paraId="4ABAA02D" w14:textId="77777777" w:rsidR="00E835AA" w:rsidRDefault="00C03CCB" w:rsidP="001A1F03">
            <w:pPr>
              <w:jc w:val="center"/>
              <w:cnfStyle w:val="000000000000" w:firstRow="0" w:lastRow="0" w:firstColumn="0" w:lastColumn="0" w:oddVBand="0" w:evenVBand="0" w:oddHBand="0" w:evenHBand="0" w:firstRowFirstColumn="0" w:firstRowLastColumn="0" w:lastRowFirstColumn="0" w:lastRowLastColumn="0"/>
            </w:pPr>
            <w:r>
              <w:t xml:space="preserve">subsection </w:t>
            </w:r>
            <w:r w:rsidR="00E835AA">
              <w:t>18(5)</w:t>
            </w:r>
          </w:p>
        </w:tc>
        <w:tc>
          <w:tcPr>
            <w:tcW w:w="2552" w:type="dxa"/>
            <w:shd w:val="clear" w:color="auto" w:fill="F2F2F2" w:themeFill="background1" w:themeFillShade="F2"/>
          </w:tcPr>
          <w:p w14:paraId="749FCDC3" w14:textId="77777777" w:rsidR="00E835AA" w:rsidRDefault="00C03CCB" w:rsidP="001A1F03">
            <w:pPr>
              <w:jc w:val="center"/>
              <w:cnfStyle w:val="000000000000" w:firstRow="0" w:lastRow="0" w:firstColumn="0" w:lastColumn="0" w:oddVBand="0" w:evenVBand="0" w:oddHBand="0" w:evenHBand="0" w:firstRowFirstColumn="0" w:firstRowLastColumn="0" w:lastRowFirstColumn="0" w:lastRowLastColumn="0"/>
            </w:pPr>
            <w:r>
              <w:t xml:space="preserve">subsection </w:t>
            </w:r>
            <w:r w:rsidR="00E835AA">
              <w:t>23(4)</w:t>
            </w:r>
          </w:p>
        </w:tc>
        <w:tc>
          <w:tcPr>
            <w:tcW w:w="1617" w:type="dxa"/>
            <w:shd w:val="clear" w:color="auto" w:fill="F2F2F2" w:themeFill="background1" w:themeFillShade="F2"/>
          </w:tcPr>
          <w:p w14:paraId="31A5B5DD" w14:textId="77777777" w:rsidR="00E835AA" w:rsidRDefault="00C03CCB" w:rsidP="001A1F03">
            <w:pPr>
              <w:jc w:val="center"/>
              <w:cnfStyle w:val="000000000000" w:firstRow="0" w:lastRow="0" w:firstColumn="0" w:lastColumn="0" w:oddVBand="0" w:evenVBand="0" w:oddHBand="0" w:evenHBand="0" w:firstRowFirstColumn="0" w:firstRowLastColumn="0" w:lastRowFirstColumn="0" w:lastRowLastColumn="0"/>
            </w:pPr>
            <w:r>
              <w:t xml:space="preserve">subsection </w:t>
            </w:r>
            <w:r w:rsidR="00E835AA">
              <w:t>9(5)</w:t>
            </w:r>
          </w:p>
        </w:tc>
      </w:tr>
    </w:tbl>
    <w:p w14:paraId="18909EA4" w14:textId="77777777" w:rsidR="00020A11" w:rsidRDefault="00020A11" w:rsidP="00E835AA"/>
    <w:p w14:paraId="09541BF1" w14:textId="09EC5790" w:rsidR="00E835AA" w:rsidRDefault="00E835AA" w:rsidP="00E835AA">
      <w:r>
        <w:t>The bulk of determinations made under the</w:t>
      </w:r>
      <w:r w:rsidR="00EB15B4">
        <w:t xml:space="preserve"> MoP(S)</w:t>
      </w:r>
      <w:r>
        <w:t xml:space="preserve"> Act relate to individuals and their terms and conditions</w:t>
      </w:r>
      <w:r w:rsidR="00754941">
        <w:t xml:space="preserve">, </w:t>
      </w:r>
      <w:r w:rsidR="00754941" w:rsidRPr="00D92D1A">
        <w:t xml:space="preserve">particularly </w:t>
      </w:r>
      <w:r w:rsidR="00204AC4" w:rsidRPr="00D92D1A">
        <w:t xml:space="preserve">the </w:t>
      </w:r>
      <w:r w:rsidR="00754941" w:rsidRPr="00D92D1A">
        <w:t>deferral of termination dates</w:t>
      </w:r>
      <w:r w:rsidRPr="00D92D1A">
        <w:t>.</w:t>
      </w:r>
      <w:r w:rsidR="00754941" w:rsidRPr="00D92D1A">
        <w:t xml:space="preserve"> The number of determinations made each year is contingent on a number of factors, including automatic termination events and changes in office</w:t>
      </w:r>
      <w:r w:rsidR="000535FA">
        <w:noBreakHyphen/>
      </w:r>
      <w:r w:rsidR="00754941" w:rsidRPr="00D92D1A">
        <w:t>holders.</w:t>
      </w:r>
      <w:r w:rsidRPr="00D92D1A">
        <w:t xml:space="preserve"> </w:t>
      </w:r>
      <w:r w:rsidR="005F2169">
        <w:t>Over the period 2016-22,</w:t>
      </w:r>
      <w:r w:rsidR="002B5CFB" w:rsidRPr="00D92D1A">
        <w:t xml:space="preserve"> the number of determinations made </w:t>
      </w:r>
      <w:r w:rsidR="006F4D1D" w:rsidRPr="00D92D1A">
        <w:t xml:space="preserve">annually </w:t>
      </w:r>
      <w:r w:rsidR="002B5CFB" w:rsidRPr="00D92D1A">
        <w:t xml:space="preserve">averages between 20 and 30. </w:t>
      </w:r>
      <w:r w:rsidR="0032249C" w:rsidRPr="00D92D1A">
        <w:t>After</w:t>
      </w:r>
      <w:r w:rsidR="002B5CFB" w:rsidRPr="00D92D1A">
        <w:t xml:space="preserve"> an election, the number of determination</w:t>
      </w:r>
      <w:r w:rsidR="00754941" w:rsidRPr="00D92D1A">
        <w:t>s tend</w:t>
      </w:r>
      <w:r w:rsidR="00BD3083" w:rsidRPr="00D92D1A">
        <w:t>s</w:t>
      </w:r>
      <w:r w:rsidR="00754941" w:rsidRPr="00D92D1A">
        <w:t xml:space="preserve"> to </w:t>
      </w:r>
      <w:r w:rsidR="002B5CFB" w:rsidRPr="00D92D1A">
        <w:t>increase</w:t>
      </w:r>
      <w:r w:rsidR="00800A24">
        <w:t xml:space="preserve"> to reflect both staffing allocation, and deferral periods and terminations</w:t>
      </w:r>
      <w:r w:rsidR="001204CE" w:rsidRPr="00D92D1A">
        <w:t>.</w:t>
      </w:r>
      <w:r w:rsidR="002B5CFB">
        <w:t xml:space="preserve"> </w:t>
      </w:r>
      <w:r>
        <w:t xml:space="preserve">These </w:t>
      </w:r>
      <w:r w:rsidR="00800A24">
        <w:t xml:space="preserve">types of determination </w:t>
      </w:r>
      <w:r>
        <w:t xml:space="preserve">are </w:t>
      </w:r>
      <w:r w:rsidR="00497B19">
        <w:t>generally</w:t>
      </w:r>
      <w:r>
        <w:t xml:space="preserve"> </w:t>
      </w:r>
      <w:r w:rsidR="00204AC4">
        <w:t>n</w:t>
      </w:r>
      <w:r w:rsidR="005F2169">
        <w:t>ot</w:t>
      </w:r>
      <w:r>
        <w:t xml:space="preserve"> published</w:t>
      </w:r>
      <w:r w:rsidR="005F2169">
        <w:t>.</w:t>
      </w:r>
      <w:r>
        <w:rPr>
          <w:rStyle w:val="FootnoteReference"/>
        </w:rPr>
        <w:footnoteReference w:id="29"/>
      </w:r>
      <w:r>
        <w:t xml:space="preserve"> .</w:t>
      </w:r>
    </w:p>
    <w:p w14:paraId="7AC09EE6" w14:textId="124E6F43" w:rsidR="00E835AA" w:rsidRDefault="00E835AA" w:rsidP="00E835AA">
      <w:r>
        <w:t>In practice</w:t>
      </w:r>
      <w:r w:rsidR="00370DDB">
        <w:t>,</w:t>
      </w:r>
      <w:r>
        <w:t xml:space="preserve"> the Prime </w:t>
      </w:r>
      <w:r w:rsidRPr="00631C21">
        <w:t xml:space="preserve">Minister </w:t>
      </w:r>
      <w:r w:rsidR="00754941" w:rsidRPr="00631C21">
        <w:t xml:space="preserve">authorises </w:t>
      </w:r>
      <w:r w:rsidR="00270D9B" w:rsidRPr="00631C21">
        <w:t xml:space="preserve">a </w:t>
      </w:r>
      <w:r w:rsidR="00514FBE">
        <w:t>m</w:t>
      </w:r>
      <w:r w:rsidRPr="00631C21">
        <w:t>inister (usually the Special Minister of State (SMOS)</w:t>
      </w:r>
      <w:r w:rsidR="00B01B73">
        <w:t>)</w:t>
      </w:r>
      <w:r w:rsidR="003D7EE0" w:rsidRPr="00631C21">
        <w:t>, or occasionally the Finance Minister</w:t>
      </w:r>
      <w:r w:rsidRPr="00631C21">
        <w:t xml:space="preserve">) to </w:t>
      </w:r>
      <w:r w:rsidR="00631C21">
        <w:t xml:space="preserve">make </w:t>
      </w:r>
      <w:r w:rsidR="00754941" w:rsidRPr="00631C21">
        <w:t>determination</w:t>
      </w:r>
      <w:r w:rsidR="00631C21">
        <w:t>s</w:t>
      </w:r>
      <w:r w:rsidR="00754941" w:rsidRPr="00631C21">
        <w:t xml:space="preserve"> </w:t>
      </w:r>
      <w:r w:rsidRPr="00631C21">
        <w:t xml:space="preserve">and </w:t>
      </w:r>
      <w:r w:rsidR="00754941" w:rsidRPr="00631C21">
        <w:t xml:space="preserve">to </w:t>
      </w:r>
      <w:r w:rsidRPr="00631C21">
        <w:t>administer</w:t>
      </w:r>
      <w:r w:rsidRPr="0059587C">
        <w:t xml:space="preserve"> the terms and conditions of emp</w:t>
      </w:r>
      <w:r>
        <w:t>loyment for most M</w:t>
      </w:r>
      <w:r w:rsidR="000959E5">
        <w:t>o</w:t>
      </w:r>
      <w:r>
        <w:t xml:space="preserve">P(S) </w:t>
      </w:r>
      <w:r w:rsidR="002D62B0">
        <w:t>Act employees</w:t>
      </w:r>
      <w:r w:rsidR="00575DF6">
        <w:t>.</w:t>
      </w:r>
      <w:r>
        <w:rPr>
          <w:rStyle w:val="FootnoteReference"/>
        </w:rPr>
        <w:footnoteReference w:id="30"/>
      </w:r>
    </w:p>
    <w:p w14:paraId="4A9CE028" w14:textId="1C25D597" w:rsidR="00167B51" w:rsidRDefault="00167B51" w:rsidP="00167B51">
      <w:r w:rsidRPr="00D92D1A">
        <w:t xml:space="preserve">Terms and conditions of employment for </w:t>
      </w:r>
      <w:r w:rsidR="00A26F2E" w:rsidRPr="00D92D1A">
        <w:t>employees of The Lodge and Kirribilli House (</w:t>
      </w:r>
      <w:r w:rsidRPr="00D92D1A">
        <w:t>Official Establishments</w:t>
      </w:r>
      <w:r w:rsidR="00A26F2E" w:rsidRPr="00D92D1A">
        <w:t>)</w:t>
      </w:r>
      <w:r w:rsidRPr="00D92D1A">
        <w:t xml:space="preserve"> are set </w:t>
      </w:r>
      <w:r w:rsidR="00270D9B" w:rsidRPr="00D92D1A">
        <w:t>by</w:t>
      </w:r>
      <w:r w:rsidRPr="00D92D1A">
        <w:t xml:space="preserve"> determination </w:t>
      </w:r>
      <w:r w:rsidR="00270D9B" w:rsidRPr="00D92D1A">
        <w:t>of an authorised officer in PM&amp;C</w:t>
      </w:r>
      <w:r w:rsidR="00C461D3" w:rsidRPr="00D92D1A">
        <w:t>.</w:t>
      </w:r>
      <w:r w:rsidR="00270D9B" w:rsidRPr="00D92D1A">
        <w:rPr>
          <w:rStyle w:val="FootnoteReference"/>
        </w:rPr>
        <w:footnoteReference w:id="31"/>
      </w:r>
      <w:r w:rsidR="00270D9B" w:rsidRPr="00D92D1A">
        <w:t xml:space="preserve"> These largely mirror the terms and conditions in the </w:t>
      </w:r>
      <w:r w:rsidR="00982005" w:rsidRPr="00D92D1A">
        <w:t>EA</w:t>
      </w:r>
      <w:r w:rsidR="00C461D3" w:rsidRPr="00D92D1A">
        <w:t>.</w:t>
      </w:r>
      <w:r w:rsidR="00675C33" w:rsidRPr="00D92D1A">
        <w:rPr>
          <w:rStyle w:val="FootnoteReference"/>
        </w:rPr>
        <w:footnoteReference w:id="32"/>
      </w:r>
      <w:r w:rsidR="00270D9B">
        <w:t xml:space="preserve"> </w:t>
      </w:r>
    </w:p>
    <w:p w14:paraId="7F502915" w14:textId="77777777" w:rsidR="00E835AA" w:rsidRDefault="00E835AA" w:rsidP="00E835AA"/>
    <w:p w14:paraId="41450091" w14:textId="77777777" w:rsidR="00E835AA" w:rsidRDefault="00E835AA" w:rsidP="00465F9E">
      <w:pPr>
        <w:pStyle w:val="Heading3"/>
        <w:rPr>
          <w:i/>
        </w:rPr>
      </w:pPr>
      <w:r w:rsidRPr="00A824ED">
        <w:rPr>
          <w:rFonts w:eastAsiaTheme="minorHAnsi"/>
          <w:noProof/>
          <w:lang w:eastAsia="en-AU"/>
        </w:rPr>
        <mc:AlternateContent>
          <mc:Choice Requires="wps">
            <w:drawing>
              <wp:anchor distT="0" distB="0" distL="114300" distR="114300" simplePos="0" relativeHeight="251658241" behindDoc="0" locked="0" layoutInCell="1" allowOverlap="1" wp14:anchorId="2C81D052" wp14:editId="0B2199EE">
                <wp:simplePos x="0" y="0"/>
                <wp:positionH relativeFrom="column">
                  <wp:posOffset>4402455</wp:posOffset>
                </wp:positionH>
                <wp:positionV relativeFrom="paragraph">
                  <wp:posOffset>0</wp:posOffset>
                </wp:positionV>
                <wp:extent cx="1778000" cy="2654935"/>
                <wp:effectExtent l="0" t="0" r="12700" b="12065"/>
                <wp:wrapSquare wrapText="bothSides"/>
                <wp:docPr id="6" name="Text Box 6"/>
                <wp:cNvGraphicFramePr/>
                <a:graphic xmlns:a="http://schemas.openxmlformats.org/drawingml/2006/main">
                  <a:graphicData uri="http://schemas.microsoft.com/office/word/2010/wordprocessingShape">
                    <wps:wsp>
                      <wps:cNvSpPr txBox="1"/>
                      <wps:spPr>
                        <a:xfrm>
                          <a:off x="0" y="0"/>
                          <a:ext cx="1778000" cy="2654935"/>
                        </a:xfrm>
                        <a:prstGeom prst="roundRect">
                          <a:avLst/>
                        </a:prstGeom>
                        <a:ln>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6C769E99" w14:textId="77777777" w:rsidR="00C02D25" w:rsidRPr="00C92F23" w:rsidRDefault="00C02D25" w:rsidP="00E835AA">
                            <w:pPr>
                              <w:pStyle w:val="BodyText"/>
                              <w:rPr>
                                <w:b/>
                                <w:sz w:val="16"/>
                                <w:szCs w:val="16"/>
                              </w:rPr>
                            </w:pPr>
                            <w:r w:rsidRPr="00C92F23">
                              <w:rPr>
                                <w:b/>
                                <w:sz w:val="16"/>
                                <w:szCs w:val="16"/>
                              </w:rPr>
                              <w:t xml:space="preserve">Terms and conditions covered by the EA include: </w:t>
                            </w:r>
                          </w:p>
                          <w:p w14:paraId="1DAF4001" w14:textId="77777777" w:rsidR="00C02D25" w:rsidRPr="00FE0801" w:rsidRDefault="00C02D25" w:rsidP="00FE0801">
                            <w:pPr>
                              <w:pStyle w:val="BulletedList-Level3"/>
                              <w:ind w:left="284" w:hanging="142"/>
                              <w:rPr>
                                <w:sz w:val="15"/>
                                <w:szCs w:val="15"/>
                              </w:rPr>
                            </w:pPr>
                            <w:r w:rsidRPr="00FE0801">
                              <w:rPr>
                                <w:sz w:val="15"/>
                                <w:szCs w:val="15"/>
                              </w:rPr>
                              <w:t>types of employment (e.g. ongoing, non-ongoing, casual, full-time and part-time)</w:t>
                            </w:r>
                          </w:p>
                          <w:p w14:paraId="673739E8" w14:textId="77777777" w:rsidR="00C02D25" w:rsidRPr="00FE0801" w:rsidRDefault="00C02D25" w:rsidP="00FE0801">
                            <w:pPr>
                              <w:pStyle w:val="BulletedList-Level3"/>
                              <w:ind w:left="284" w:hanging="142"/>
                              <w:rPr>
                                <w:sz w:val="15"/>
                                <w:szCs w:val="15"/>
                              </w:rPr>
                            </w:pPr>
                            <w:r w:rsidRPr="00FE0801">
                              <w:rPr>
                                <w:sz w:val="15"/>
                                <w:szCs w:val="15"/>
                              </w:rPr>
                              <w:t>position classifications</w:t>
                            </w:r>
                          </w:p>
                          <w:p w14:paraId="4CB5676D" w14:textId="77777777" w:rsidR="00C02D25" w:rsidRPr="00FE0801" w:rsidRDefault="00C02D25" w:rsidP="00FE0801">
                            <w:pPr>
                              <w:pStyle w:val="BulletedList-Level3"/>
                              <w:ind w:left="284" w:hanging="142"/>
                              <w:rPr>
                                <w:sz w:val="15"/>
                                <w:szCs w:val="15"/>
                              </w:rPr>
                            </w:pPr>
                            <w:r w:rsidRPr="00FE0801">
                              <w:rPr>
                                <w:sz w:val="15"/>
                                <w:szCs w:val="15"/>
                              </w:rPr>
                              <w:t xml:space="preserve">salaries and pay rises </w:t>
                            </w:r>
                          </w:p>
                          <w:p w14:paraId="664D9AE2" w14:textId="77777777" w:rsidR="00C02D25" w:rsidRPr="00FE0801" w:rsidRDefault="00C02D25" w:rsidP="00FE0801">
                            <w:pPr>
                              <w:pStyle w:val="BulletedList-Level3"/>
                              <w:ind w:left="284" w:hanging="142"/>
                              <w:rPr>
                                <w:sz w:val="15"/>
                                <w:szCs w:val="15"/>
                              </w:rPr>
                            </w:pPr>
                            <w:r w:rsidRPr="00FE0801">
                              <w:rPr>
                                <w:sz w:val="15"/>
                                <w:szCs w:val="15"/>
                              </w:rPr>
                              <w:t>allowances</w:t>
                            </w:r>
                          </w:p>
                          <w:p w14:paraId="4A3BCB95" w14:textId="77777777" w:rsidR="00C02D25" w:rsidRPr="00FE0801" w:rsidRDefault="00C02D25" w:rsidP="00FE0801">
                            <w:pPr>
                              <w:pStyle w:val="BulletedList-Level3"/>
                              <w:ind w:left="284" w:hanging="142"/>
                              <w:rPr>
                                <w:sz w:val="15"/>
                                <w:szCs w:val="15"/>
                              </w:rPr>
                            </w:pPr>
                            <w:r w:rsidRPr="00FE0801">
                              <w:rPr>
                                <w:sz w:val="15"/>
                                <w:szCs w:val="15"/>
                              </w:rPr>
                              <w:t>relocations</w:t>
                            </w:r>
                          </w:p>
                          <w:p w14:paraId="72FDFA27" w14:textId="77777777" w:rsidR="00C02D25" w:rsidRPr="00FE0801" w:rsidRDefault="00C02D25" w:rsidP="00FE0801">
                            <w:pPr>
                              <w:pStyle w:val="BulletedList-Level3"/>
                              <w:ind w:left="284" w:hanging="142"/>
                              <w:rPr>
                                <w:sz w:val="15"/>
                                <w:szCs w:val="15"/>
                              </w:rPr>
                            </w:pPr>
                            <w:r w:rsidRPr="00FE0801">
                              <w:rPr>
                                <w:sz w:val="15"/>
                                <w:szCs w:val="15"/>
                              </w:rPr>
                              <w:t>working hours</w:t>
                            </w:r>
                          </w:p>
                          <w:p w14:paraId="1472A102" w14:textId="77777777" w:rsidR="00C02D25" w:rsidRPr="00FE0801" w:rsidRDefault="00C02D25" w:rsidP="00FE0801">
                            <w:pPr>
                              <w:pStyle w:val="BulletedList-Level3"/>
                              <w:ind w:left="284" w:hanging="142"/>
                              <w:rPr>
                                <w:sz w:val="15"/>
                                <w:szCs w:val="15"/>
                              </w:rPr>
                            </w:pPr>
                            <w:r w:rsidRPr="00FE0801">
                              <w:rPr>
                                <w:sz w:val="15"/>
                                <w:szCs w:val="15"/>
                              </w:rPr>
                              <w:t>leave entitlements</w:t>
                            </w:r>
                          </w:p>
                          <w:p w14:paraId="0C978081" w14:textId="77777777" w:rsidR="00C02D25" w:rsidRPr="00FE0801" w:rsidRDefault="00C02D25" w:rsidP="00FE0801">
                            <w:pPr>
                              <w:pStyle w:val="BulletedList-Level3"/>
                              <w:ind w:left="284" w:hanging="142"/>
                              <w:rPr>
                                <w:sz w:val="15"/>
                                <w:szCs w:val="15"/>
                              </w:rPr>
                            </w:pPr>
                            <w:r w:rsidRPr="00FE0801">
                              <w:rPr>
                                <w:sz w:val="15"/>
                                <w:szCs w:val="15"/>
                              </w:rPr>
                              <w:t>learning and development arrangements</w:t>
                            </w:r>
                          </w:p>
                          <w:p w14:paraId="2B297FE0" w14:textId="77777777" w:rsidR="00C02D25" w:rsidRPr="00FE0801" w:rsidRDefault="00C02D25" w:rsidP="00FE0801">
                            <w:pPr>
                              <w:pStyle w:val="BulletedList-Level3"/>
                              <w:ind w:left="284" w:hanging="142"/>
                              <w:rPr>
                                <w:sz w:val="15"/>
                                <w:szCs w:val="15"/>
                              </w:rPr>
                            </w:pPr>
                            <w:r w:rsidRPr="00FE0801">
                              <w:rPr>
                                <w:sz w:val="15"/>
                                <w:szCs w:val="15"/>
                              </w:rPr>
                              <w:t>allowances and payments when employment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1D052" id="Text Box 6" o:spid="_x0000_s1026" style="position:absolute;margin-left:346.65pt;margin-top:0;width:140pt;height:209.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" fillcolor="white [3201]" strokecolor="#85aadb [1300]" strokeweight="1pt">
                <v:stroke joinstyle="miter"/>
                <v:textbox>
                  <w:txbxContent>
                    <w:p w14:paraId="6C769E99" w14:textId="77777777" w:rsidR="00C02D25" w:rsidRPr="00C92F23" w:rsidRDefault="00C02D25" w:rsidP="00E835AA">
                      <w:pPr>
                        <w:pStyle w:val="BodyText"/>
                        <w:rPr>
                          <w:b/>
                          <w:sz w:val="16"/>
                          <w:szCs w:val="16"/>
                        </w:rPr>
                      </w:pPr>
                      <w:r w:rsidRPr="00C92F23">
                        <w:rPr>
                          <w:b/>
                          <w:sz w:val="16"/>
                          <w:szCs w:val="16"/>
                        </w:rPr>
                        <w:t xml:space="preserve">Terms and conditions covered by the EA include: </w:t>
                      </w:r>
                    </w:p>
                    <w:p w14:paraId="1DAF4001" w14:textId="77777777" w:rsidR="00C02D25" w:rsidRPr="00FE0801" w:rsidRDefault="00C02D25" w:rsidP="00FE0801">
                      <w:pPr>
                        <w:pStyle w:val="BulletedList-Level3"/>
                        <w:ind w:left="284" w:hanging="142"/>
                        <w:rPr>
                          <w:sz w:val="15"/>
                          <w:szCs w:val="15"/>
                        </w:rPr>
                      </w:pPr>
                      <w:r w:rsidRPr="00FE0801">
                        <w:rPr>
                          <w:sz w:val="15"/>
                          <w:szCs w:val="15"/>
                        </w:rPr>
                        <w:t>types of employment (e.g. ongoing, non-ongoing, casual, full-time and part-time)</w:t>
                      </w:r>
                    </w:p>
                    <w:p w14:paraId="673739E8" w14:textId="77777777" w:rsidR="00C02D25" w:rsidRPr="00FE0801" w:rsidRDefault="00C02D25" w:rsidP="00FE0801">
                      <w:pPr>
                        <w:pStyle w:val="BulletedList-Level3"/>
                        <w:ind w:left="284" w:hanging="142"/>
                        <w:rPr>
                          <w:sz w:val="15"/>
                          <w:szCs w:val="15"/>
                        </w:rPr>
                      </w:pPr>
                      <w:r w:rsidRPr="00FE0801">
                        <w:rPr>
                          <w:sz w:val="15"/>
                          <w:szCs w:val="15"/>
                        </w:rPr>
                        <w:t>position classifications</w:t>
                      </w:r>
                    </w:p>
                    <w:p w14:paraId="4CB5676D" w14:textId="77777777" w:rsidR="00C02D25" w:rsidRPr="00FE0801" w:rsidRDefault="00C02D25" w:rsidP="00FE0801">
                      <w:pPr>
                        <w:pStyle w:val="BulletedList-Level3"/>
                        <w:ind w:left="284" w:hanging="142"/>
                        <w:rPr>
                          <w:sz w:val="15"/>
                          <w:szCs w:val="15"/>
                        </w:rPr>
                      </w:pPr>
                      <w:r w:rsidRPr="00FE0801">
                        <w:rPr>
                          <w:sz w:val="15"/>
                          <w:szCs w:val="15"/>
                        </w:rPr>
                        <w:t xml:space="preserve">salaries and pay rises </w:t>
                      </w:r>
                    </w:p>
                    <w:p w14:paraId="664D9AE2" w14:textId="77777777" w:rsidR="00C02D25" w:rsidRPr="00FE0801" w:rsidRDefault="00C02D25" w:rsidP="00FE0801">
                      <w:pPr>
                        <w:pStyle w:val="BulletedList-Level3"/>
                        <w:ind w:left="284" w:hanging="142"/>
                        <w:rPr>
                          <w:sz w:val="15"/>
                          <w:szCs w:val="15"/>
                        </w:rPr>
                      </w:pPr>
                      <w:r w:rsidRPr="00FE0801">
                        <w:rPr>
                          <w:sz w:val="15"/>
                          <w:szCs w:val="15"/>
                        </w:rPr>
                        <w:t>allowances</w:t>
                      </w:r>
                    </w:p>
                    <w:p w14:paraId="4A3BCB95" w14:textId="77777777" w:rsidR="00C02D25" w:rsidRPr="00FE0801" w:rsidRDefault="00C02D25" w:rsidP="00FE0801">
                      <w:pPr>
                        <w:pStyle w:val="BulletedList-Level3"/>
                        <w:ind w:left="284" w:hanging="142"/>
                        <w:rPr>
                          <w:sz w:val="15"/>
                          <w:szCs w:val="15"/>
                        </w:rPr>
                      </w:pPr>
                      <w:r w:rsidRPr="00FE0801">
                        <w:rPr>
                          <w:sz w:val="15"/>
                          <w:szCs w:val="15"/>
                        </w:rPr>
                        <w:t>relocations</w:t>
                      </w:r>
                    </w:p>
                    <w:p w14:paraId="72FDFA27" w14:textId="77777777" w:rsidR="00C02D25" w:rsidRPr="00FE0801" w:rsidRDefault="00C02D25" w:rsidP="00FE0801">
                      <w:pPr>
                        <w:pStyle w:val="BulletedList-Level3"/>
                        <w:ind w:left="284" w:hanging="142"/>
                        <w:rPr>
                          <w:sz w:val="15"/>
                          <w:szCs w:val="15"/>
                        </w:rPr>
                      </w:pPr>
                      <w:r w:rsidRPr="00FE0801">
                        <w:rPr>
                          <w:sz w:val="15"/>
                          <w:szCs w:val="15"/>
                        </w:rPr>
                        <w:t>working hours</w:t>
                      </w:r>
                    </w:p>
                    <w:p w14:paraId="1472A102" w14:textId="77777777" w:rsidR="00C02D25" w:rsidRPr="00FE0801" w:rsidRDefault="00C02D25" w:rsidP="00FE0801">
                      <w:pPr>
                        <w:pStyle w:val="BulletedList-Level3"/>
                        <w:ind w:left="284" w:hanging="142"/>
                        <w:rPr>
                          <w:sz w:val="15"/>
                          <w:szCs w:val="15"/>
                        </w:rPr>
                      </w:pPr>
                      <w:r w:rsidRPr="00FE0801">
                        <w:rPr>
                          <w:sz w:val="15"/>
                          <w:szCs w:val="15"/>
                        </w:rPr>
                        <w:t>leave entitlements</w:t>
                      </w:r>
                    </w:p>
                    <w:p w14:paraId="0C978081" w14:textId="77777777" w:rsidR="00C02D25" w:rsidRPr="00FE0801" w:rsidRDefault="00C02D25" w:rsidP="00FE0801">
                      <w:pPr>
                        <w:pStyle w:val="BulletedList-Level3"/>
                        <w:ind w:left="284" w:hanging="142"/>
                        <w:rPr>
                          <w:sz w:val="15"/>
                          <w:szCs w:val="15"/>
                        </w:rPr>
                      </w:pPr>
                      <w:r w:rsidRPr="00FE0801">
                        <w:rPr>
                          <w:sz w:val="15"/>
                          <w:szCs w:val="15"/>
                        </w:rPr>
                        <w:t>learning and development arrangements</w:t>
                      </w:r>
                    </w:p>
                    <w:p w14:paraId="2B297FE0" w14:textId="77777777" w:rsidR="00C02D25" w:rsidRPr="00FE0801" w:rsidRDefault="00C02D25" w:rsidP="00FE0801">
                      <w:pPr>
                        <w:pStyle w:val="BulletedList-Level3"/>
                        <w:ind w:left="284" w:hanging="142"/>
                        <w:rPr>
                          <w:sz w:val="15"/>
                          <w:szCs w:val="15"/>
                        </w:rPr>
                      </w:pPr>
                      <w:r w:rsidRPr="00FE0801">
                        <w:rPr>
                          <w:sz w:val="15"/>
                          <w:szCs w:val="15"/>
                        </w:rPr>
                        <w:t>allowances and payments when employment ends.</w:t>
                      </w:r>
                    </w:p>
                  </w:txbxContent>
                </v:textbox>
                <w10:wrap type="square"/>
              </v:roundrect>
            </w:pict>
          </mc:Fallback>
        </mc:AlternateContent>
      </w:r>
      <w:r w:rsidRPr="00A824ED">
        <w:rPr>
          <w:rFonts w:eastAsiaTheme="minorHAnsi"/>
        </w:rPr>
        <w:t>2.3.</w:t>
      </w:r>
      <w:r w:rsidR="00F65721">
        <w:rPr>
          <w:rFonts w:eastAsiaTheme="minorHAnsi"/>
        </w:rPr>
        <w:t>3</w:t>
      </w:r>
      <w:r w:rsidRPr="00A824ED">
        <w:rPr>
          <w:rFonts w:eastAsiaTheme="minorHAnsi"/>
        </w:rPr>
        <w:t xml:space="preserve"> Enterprise Agreement</w:t>
      </w:r>
    </w:p>
    <w:p w14:paraId="0F3390EC" w14:textId="0687BCD7" w:rsidR="00631C21" w:rsidRDefault="00332255" w:rsidP="00631C21">
      <w:r>
        <w:t xml:space="preserve">The </w:t>
      </w:r>
      <w:r w:rsidR="00982005">
        <w:t>EA</w:t>
      </w:r>
      <w:r>
        <w:t xml:space="preserve"> </w:t>
      </w:r>
      <w:r w:rsidR="00AA52A2">
        <w:t xml:space="preserve">is </w:t>
      </w:r>
      <w:r w:rsidR="007906CD">
        <w:t>an agreement</w:t>
      </w:r>
      <w:r w:rsidR="00AA52A2">
        <w:t xml:space="preserve"> </w:t>
      </w:r>
      <w:r>
        <w:t xml:space="preserve">between the Commonwealth (as </w:t>
      </w:r>
      <w:r w:rsidR="007809FF">
        <w:t>the</w:t>
      </w:r>
      <w:r w:rsidR="006A51A3">
        <w:t xml:space="preserve"> ultimate</w:t>
      </w:r>
      <w:r w:rsidR="007809FF">
        <w:t xml:space="preserve"> </w:t>
      </w:r>
      <w:r>
        <w:t xml:space="preserve">employer, signed by the Finance Minister) and MoP(S) Act </w:t>
      </w:r>
      <w:r w:rsidR="00AB3375">
        <w:t>employees</w:t>
      </w:r>
      <w:r>
        <w:rPr>
          <w:rStyle w:val="FootnoteReference"/>
        </w:rPr>
        <w:footnoteReference w:id="33"/>
      </w:r>
      <w:r>
        <w:t xml:space="preserve"> and </w:t>
      </w:r>
      <w:r w:rsidR="007906CD">
        <w:t xml:space="preserve">made under Part 2-4 </w:t>
      </w:r>
      <w:r w:rsidR="00A30C21">
        <w:t>o</w:t>
      </w:r>
      <w:r w:rsidR="007906CD">
        <w:t>f</w:t>
      </w:r>
      <w:r>
        <w:t xml:space="preserve"> the </w:t>
      </w:r>
      <w:r w:rsidRPr="002D3ED8">
        <w:t>F</w:t>
      </w:r>
      <w:r w:rsidR="007B4F25" w:rsidRPr="002D3ED8">
        <w:t xml:space="preserve">W </w:t>
      </w:r>
      <w:r w:rsidR="007B4F25" w:rsidRPr="00331EA7">
        <w:t>Act</w:t>
      </w:r>
      <w:r>
        <w:t>.</w:t>
      </w:r>
      <w:r w:rsidRPr="00332255">
        <w:t xml:space="preserve"> </w:t>
      </w:r>
      <w:r>
        <w:t xml:space="preserve">The current </w:t>
      </w:r>
      <w:r w:rsidR="00AB3375">
        <w:t>a</w:t>
      </w:r>
      <w:r>
        <w:t>greement commenced</w:t>
      </w:r>
      <w:r w:rsidDel="00B71022">
        <w:t xml:space="preserve"> </w:t>
      </w:r>
      <w:r>
        <w:t>on 5 August 2021 and will run for three years.</w:t>
      </w:r>
      <w:r>
        <w:rPr>
          <w:rStyle w:val="FootnoteReference"/>
        </w:rPr>
        <w:footnoteReference w:id="34"/>
      </w:r>
    </w:p>
    <w:p w14:paraId="484B63D5" w14:textId="6246B773" w:rsidR="00E835AA" w:rsidRDefault="00631C21" w:rsidP="00E835AA">
      <w:r>
        <w:t xml:space="preserve">The </w:t>
      </w:r>
      <w:r w:rsidR="00982005">
        <w:t>EA</w:t>
      </w:r>
      <w:r>
        <w:t xml:space="preserve"> includes</w:t>
      </w:r>
      <w:r w:rsidR="00E835AA">
        <w:t xml:space="preserve"> employment terms and conditions for electorate staff</w:t>
      </w:r>
      <w:r w:rsidR="00E835AA">
        <w:rPr>
          <w:rStyle w:val="FootnoteReference"/>
        </w:rPr>
        <w:footnoteReference w:id="35"/>
      </w:r>
      <w:r w:rsidR="00E835AA">
        <w:t>and personal staff</w:t>
      </w:r>
      <w:r w:rsidR="00575DF6">
        <w:t>.</w:t>
      </w:r>
      <w:r w:rsidR="00E835AA">
        <w:rPr>
          <w:rStyle w:val="FootnoteReference"/>
        </w:rPr>
        <w:footnoteReference w:id="36"/>
      </w:r>
      <w:r w:rsidR="00E835AA">
        <w:t xml:space="preserve"> MoP(S) </w:t>
      </w:r>
      <w:r w:rsidR="000C429B">
        <w:t xml:space="preserve">Act </w:t>
      </w:r>
      <w:r w:rsidR="00365129">
        <w:t>employees</w:t>
      </w:r>
      <w:r w:rsidR="00E835AA">
        <w:t xml:space="preserve"> are remunerated through a combination of base salary, allowances and entitlements. </w:t>
      </w:r>
    </w:p>
    <w:p w14:paraId="0F41C1C4" w14:textId="77777777" w:rsidR="00A5792A" w:rsidRDefault="00A5792A" w:rsidP="00E835AA"/>
    <w:p w14:paraId="68B33871" w14:textId="77777777" w:rsidR="00E835AA" w:rsidRPr="00A824ED" w:rsidRDefault="00E835AA" w:rsidP="00465F9E">
      <w:pPr>
        <w:pStyle w:val="Heading3"/>
        <w:rPr>
          <w:rFonts w:eastAsiaTheme="minorHAnsi"/>
        </w:rPr>
      </w:pPr>
      <w:r w:rsidRPr="00A824ED">
        <w:rPr>
          <w:rFonts w:eastAsiaTheme="minorHAnsi"/>
        </w:rPr>
        <w:t>2.3.</w:t>
      </w:r>
      <w:r w:rsidR="00F65721">
        <w:rPr>
          <w:rFonts w:eastAsiaTheme="minorHAnsi"/>
        </w:rPr>
        <w:t>4</w:t>
      </w:r>
      <w:r w:rsidRPr="00A824ED">
        <w:rPr>
          <w:rFonts w:eastAsiaTheme="minorHAnsi"/>
        </w:rPr>
        <w:t xml:space="preserve"> Contract </w:t>
      </w:r>
    </w:p>
    <w:p w14:paraId="3E8948C1" w14:textId="77777777" w:rsidR="00E835AA" w:rsidRDefault="00E835AA" w:rsidP="00E835AA">
      <w:r>
        <w:t>MoP(S) Act employees are required to enter into a written employment contract with their employing parliamentarian, on behalf of the Commonwealth</w:t>
      </w:r>
      <w:r w:rsidR="00575DF6">
        <w:t>.</w:t>
      </w:r>
      <w:r>
        <w:rPr>
          <w:rStyle w:val="FootnoteReference"/>
        </w:rPr>
        <w:footnoteReference w:id="37"/>
      </w:r>
      <w:r>
        <w:t xml:space="preserve"> </w:t>
      </w:r>
    </w:p>
    <w:p w14:paraId="33B8D7B3" w14:textId="1F1A366F" w:rsidR="00E835AA" w:rsidRDefault="00E835AA" w:rsidP="00E835AA">
      <w:r>
        <w:t xml:space="preserve">The contract sets out details including the classification, salary, some </w:t>
      </w:r>
      <w:r w:rsidR="007906CD">
        <w:t>employment</w:t>
      </w:r>
      <w:r>
        <w:t xml:space="preserve"> terms and conditions, commencement date, whether a police check is required, </w:t>
      </w:r>
      <w:r w:rsidR="00121709">
        <w:t>probation, and</w:t>
      </w:r>
      <w:r>
        <w:t xml:space="preserve"> work pattern/hours. Pro forma contracts are issued by </w:t>
      </w:r>
      <w:r w:rsidR="00693461" w:rsidRPr="00AC3DEE">
        <w:t>Finance</w:t>
      </w:r>
      <w:r w:rsidR="00693461">
        <w:t>’s</w:t>
      </w:r>
      <w:r w:rsidR="00693461" w:rsidRPr="00AC3DEE">
        <w:t xml:space="preserve"> Ministerial and Parliamentary Services </w:t>
      </w:r>
      <w:r w:rsidR="00693461">
        <w:t>Division</w:t>
      </w:r>
      <w:r>
        <w:t xml:space="preserve"> </w:t>
      </w:r>
      <w:r w:rsidR="00693461">
        <w:t>(</w:t>
      </w:r>
      <w:r w:rsidR="00F33227" w:rsidRPr="00F33227">
        <w:t>MaPS</w:t>
      </w:r>
      <w:r w:rsidR="00693461">
        <w:t>)</w:t>
      </w:r>
      <w:r>
        <w:t xml:space="preserve">.  </w:t>
      </w:r>
    </w:p>
    <w:p w14:paraId="5537C1B9" w14:textId="77777777" w:rsidR="00AA52A2" w:rsidRDefault="00E835AA" w:rsidP="00E835AA">
      <w:r>
        <w:t>Contracts can be varied, for example following a change in ordinary hours of duty, or for specific terms under an Individual Flexib</w:t>
      </w:r>
      <w:r w:rsidR="001538F3">
        <w:t>ility</w:t>
      </w:r>
      <w:r>
        <w:t xml:space="preserve"> Arrangement</w:t>
      </w:r>
      <w:r w:rsidR="00575DF6">
        <w:t>.</w:t>
      </w:r>
      <w:r>
        <w:rPr>
          <w:rStyle w:val="FootnoteReference"/>
        </w:rPr>
        <w:footnoteReference w:id="38"/>
      </w:r>
      <w:r w:rsidR="00AA52A2">
        <w:t xml:space="preserve"> </w:t>
      </w:r>
      <w:r>
        <w:t>Alternatively</w:t>
      </w:r>
      <w:r w:rsidR="00A21B15">
        <w:t>,</w:t>
      </w:r>
      <w:r>
        <w:t xml:space="preserve"> new contracts may be required where employment classif</w:t>
      </w:r>
      <w:r w:rsidR="00AA52A2">
        <w:t xml:space="preserve">ication changes, </w:t>
      </w:r>
      <w:r>
        <w:t xml:space="preserve">to vary the engagement of </w:t>
      </w:r>
      <w:r w:rsidR="00AA52A2">
        <w:t xml:space="preserve">a casual, or </w:t>
      </w:r>
      <w:r>
        <w:t xml:space="preserve">if there is change in employment authority (such as a Part III to Part IV). </w:t>
      </w:r>
    </w:p>
    <w:p w14:paraId="570FABED" w14:textId="6EB4F307" w:rsidR="00824A2C" w:rsidRDefault="00AA52A2" w:rsidP="00E835AA">
      <w:r>
        <w:t>MoP(S)</w:t>
      </w:r>
      <w:r w:rsidR="000C429B">
        <w:t xml:space="preserve"> Act</w:t>
      </w:r>
      <w:r>
        <w:t xml:space="preserve"> employees working in </w:t>
      </w:r>
      <w:r w:rsidR="001F4F41" w:rsidRPr="001F4F41">
        <w:t>O</w:t>
      </w:r>
      <w:r w:rsidRPr="001F4F41">
        <w:t xml:space="preserve">fficial </w:t>
      </w:r>
      <w:r w:rsidR="001F4F41" w:rsidRPr="001F4F41">
        <w:t>E</w:t>
      </w:r>
      <w:r w:rsidR="00824A2C" w:rsidRPr="001F4F41">
        <w:t>stablishment</w:t>
      </w:r>
      <w:r w:rsidRPr="001F4F41">
        <w:t>s</w:t>
      </w:r>
      <w:r>
        <w:t xml:space="preserve"> enter into </w:t>
      </w:r>
      <w:r w:rsidR="00855D2D">
        <w:t>fix</w:t>
      </w:r>
      <w:r>
        <w:t>ed-</w:t>
      </w:r>
      <w:r w:rsidR="00824A2C">
        <w:t>term contracts with the Pr</w:t>
      </w:r>
      <w:r>
        <w:t>ime </w:t>
      </w:r>
      <w:r w:rsidR="00824A2C">
        <w:t xml:space="preserve">Minister, on behalf of the Commonwealth. </w:t>
      </w:r>
    </w:p>
    <w:p w14:paraId="2862C0C1" w14:textId="77777777" w:rsidR="00847BF8" w:rsidRDefault="00847BF8" w:rsidP="00E835AA"/>
    <w:p w14:paraId="29F1E250" w14:textId="1FE6B5E6" w:rsidR="00E835AA" w:rsidRPr="00A824ED" w:rsidRDefault="00E835AA" w:rsidP="00465F9E">
      <w:pPr>
        <w:pStyle w:val="Heading3"/>
        <w:rPr>
          <w:rFonts w:eastAsiaTheme="minorHAnsi"/>
        </w:rPr>
      </w:pPr>
      <w:r w:rsidRPr="00A824ED">
        <w:rPr>
          <w:rFonts w:eastAsiaTheme="minorHAnsi"/>
        </w:rPr>
        <w:t>2.3.</w:t>
      </w:r>
      <w:r w:rsidR="00F65721">
        <w:rPr>
          <w:rFonts w:eastAsiaTheme="minorHAnsi"/>
        </w:rPr>
        <w:t>5</w:t>
      </w:r>
      <w:r w:rsidRPr="00A824ED">
        <w:rPr>
          <w:rFonts w:eastAsiaTheme="minorHAnsi"/>
        </w:rPr>
        <w:t xml:space="preserve"> Workplace </w:t>
      </w:r>
      <w:r w:rsidR="00D236D5">
        <w:rPr>
          <w:rFonts w:eastAsiaTheme="minorHAnsi"/>
        </w:rPr>
        <w:t>policies</w:t>
      </w:r>
      <w:r w:rsidRPr="00A824ED">
        <w:rPr>
          <w:rFonts w:eastAsiaTheme="minorHAnsi"/>
        </w:rPr>
        <w:t xml:space="preserve"> and </w:t>
      </w:r>
      <w:r w:rsidR="00D236D5">
        <w:rPr>
          <w:rFonts w:eastAsiaTheme="minorHAnsi"/>
        </w:rPr>
        <w:t>g</w:t>
      </w:r>
      <w:r w:rsidRPr="00A824ED">
        <w:rPr>
          <w:rFonts w:eastAsiaTheme="minorHAnsi"/>
        </w:rPr>
        <w:t>uidelines</w:t>
      </w:r>
    </w:p>
    <w:p w14:paraId="3F83D0AF" w14:textId="77777777" w:rsidR="00E835AA" w:rsidRDefault="00E835AA" w:rsidP="001A1F03">
      <w:r>
        <w:t>A number of workplace policies and guid</w:t>
      </w:r>
      <w:r w:rsidR="00B71022">
        <w:t>ance</w:t>
      </w:r>
      <w:r w:rsidR="002D62B0">
        <w:t xml:space="preserve"> apply to MoP(S) Act employees</w:t>
      </w:r>
      <w:r>
        <w:t xml:space="preserve">. These are binding only </w:t>
      </w:r>
      <w:r w:rsidR="00E45879">
        <w:t>inso</w:t>
      </w:r>
      <w:r>
        <w:t xml:space="preserve">far as a </w:t>
      </w:r>
      <w:r w:rsidR="00093583">
        <w:t>determination, a</w:t>
      </w:r>
      <w:r>
        <w:t xml:space="preserve"> term of the </w:t>
      </w:r>
      <w:r w:rsidR="0065636F">
        <w:t xml:space="preserve">employment contract or </w:t>
      </w:r>
      <w:r w:rsidR="00093583">
        <w:t xml:space="preserve">the </w:t>
      </w:r>
      <w:r w:rsidR="00982005">
        <w:t>EA</w:t>
      </w:r>
      <w:r>
        <w:t xml:space="preserve"> requires compliance with a policy or guideline as a term and condition of </w:t>
      </w:r>
      <w:r w:rsidRPr="00FD1E8F">
        <w:t>employment.</w:t>
      </w:r>
      <w:r w:rsidR="00331EA7" w:rsidRPr="00FD1E8F">
        <w:t xml:space="preserve"> For example,</w:t>
      </w:r>
      <w:r w:rsidR="003127AC" w:rsidRPr="00FD1E8F">
        <w:t xml:space="preserve"> ‘Leave and public holidays’, ‘Part-time work’ and </w:t>
      </w:r>
      <w:r w:rsidR="00F92E9D" w:rsidRPr="00FD1E8F">
        <w:t>‘Working from home’ guidelines.</w:t>
      </w:r>
    </w:p>
    <w:p w14:paraId="525E15EB" w14:textId="77777777" w:rsidR="00847BF8" w:rsidRDefault="00847BF8" w:rsidP="001A1F03"/>
    <w:p w14:paraId="225A6043" w14:textId="77777777" w:rsidR="00E835AA" w:rsidRPr="00A824ED" w:rsidRDefault="00E835AA" w:rsidP="00465F9E">
      <w:pPr>
        <w:pStyle w:val="Heading3"/>
        <w:rPr>
          <w:rFonts w:eastAsiaTheme="minorHAnsi"/>
        </w:rPr>
      </w:pPr>
      <w:r w:rsidRPr="00A824ED">
        <w:rPr>
          <w:rFonts w:eastAsiaTheme="minorHAnsi"/>
        </w:rPr>
        <w:t>2.3.</w:t>
      </w:r>
      <w:r w:rsidR="00F65721">
        <w:rPr>
          <w:rFonts w:eastAsiaTheme="minorHAnsi"/>
        </w:rPr>
        <w:t>6</w:t>
      </w:r>
      <w:r w:rsidRPr="00A824ED">
        <w:rPr>
          <w:rFonts w:eastAsiaTheme="minorHAnsi"/>
        </w:rPr>
        <w:t xml:space="preserve"> </w:t>
      </w:r>
      <w:r w:rsidR="00EF259E">
        <w:rPr>
          <w:rFonts w:eastAsiaTheme="minorHAnsi"/>
        </w:rPr>
        <w:t>Workplace Laws</w:t>
      </w:r>
      <w:r w:rsidRPr="00A824ED">
        <w:rPr>
          <w:rFonts w:eastAsiaTheme="minorHAnsi"/>
        </w:rPr>
        <w:t xml:space="preserve">  </w:t>
      </w:r>
    </w:p>
    <w:p w14:paraId="002BB0ED" w14:textId="37E2229A" w:rsidR="00E835AA" w:rsidRDefault="00E835AA" w:rsidP="001A1F03">
      <w:r>
        <w:t xml:space="preserve">The MoP(S) </w:t>
      </w:r>
      <w:r w:rsidR="00136872">
        <w:t>Act</w:t>
      </w:r>
      <w:r>
        <w:t xml:space="preserve"> employment framework is overlaid by statutory regimes set out in the </w:t>
      </w:r>
      <w:r w:rsidR="007B4F25" w:rsidRPr="0020623D">
        <w:t>FW</w:t>
      </w:r>
      <w:r w:rsidRPr="00F409B6">
        <w:t xml:space="preserve"> Act</w:t>
      </w:r>
      <w:r>
        <w:rPr>
          <w:i/>
        </w:rPr>
        <w:t>, Safety Rehabilitation and Compensation Act 1988,</w:t>
      </w:r>
      <w:r>
        <w:t xml:space="preserve"> the </w:t>
      </w:r>
      <w:r>
        <w:rPr>
          <w:i/>
        </w:rPr>
        <w:t>Work Health and Safety Act 2011</w:t>
      </w:r>
      <w:r w:rsidR="0020623D">
        <w:rPr>
          <w:i/>
        </w:rPr>
        <w:t xml:space="preserve"> </w:t>
      </w:r>
      <w:r w:rsidR="0020623D">
        <w:t>(WHS Act)</w:t>
      </w:r>
      <w:r>
        <w:rPr>
          <w:i/>
        </w:rPr>
        <w:t xml:space="preserve"> </w:t>
      </w:r>
      <w:r>
        <w:t>and Commonwealth anti-discrimination legislation</w:t>
      </w:r>
      <w:r>
        <w:rPr>
          <w:i/>
        </w:rPr>
        <w:t xml:space="preserve">. </w:t>
      </w:r>
    </w:p>
    <w:p w14:paraId="272F2B9F" w14:textId="4392223D" w:rsidR="00E835AA" w:rsidRDefault="00093583" w:rsidP="001A1F03">
      <w:r>
        <w:t>The application of these statutes to the MoP(S) Act employment framework</w:t>
      </w:r>
      <w:r w:rsidR="00E835AA">
        <w:t xml:space="preserve"> has been recently clarified. The </w:t>
      </w:r>
      <w:r w:rsidR="00E835AA" w:rsidRPr="00E44A4C">
        <w:rPr>
          <w:i/>
        </w:rPr>
        <w:t>Parliamentary Workplace Reform (</w:t>
      </w:r>
      <w:r w:rsidR="00AA3B05" w:rsidRPr="00AA3B05" w:rsidDel="00142173">
        <w:rPr>
          <w:i/>
        </w:rPr>
        <w:t>Set the Standard</w:t>
      </w:r>
      <w:r w:rsidR="00E835AA" w:rsidRPr="00E44A4C">
        <w:rPr>
          <w:i/>
        </w:rPr>
        <w:t xml:space="preserve"> Measures No. 1) </w:t>
      </w:r>
      <w:r w:rsidR="00E835AA">
        <w:rPr>
          <w:i/>
        </w:rPr>
        <w:t>Act</w:t>
      </w:r>
      <w:r w:rsidR="00E835AA" w:rsidRPr="00E44A4C">
        <w:rPr>
          <w:i/>
        </w:rPr>
        <w:t xml:space="preserve"> 2022</w:t>
      </w:r>
      <w:r w:rsidR="00E835AA">
        <w:t xml:space="preserve"> implemented the following measures recommended in </w:t>
      </w:r>
      <w:r w:rsidR="00E835AA" w:rsidRPr="00142173">
        <w:rPr>
          <w:i/>
        </w:rPr>
        <w:t>Set the Standard</w:t>
      </w:r>
      <w:r w:rsidR="00E835AA">
        <w:t xml:space="preserve">: </w:t>
      </w:r>
    </w:p>
    <w:p w14:paraId="57A93D17" w14:textId="55D49941" w:rsidR="00E835AA" w:rsidRDefault="00E835AA" w:rsidP="001A1F03">
      <w:pPr>
        <w:pStyle w:val="BulletedList-Level1"/>
      </w:pPr>
      <w:r>
        <w:t xml:space="preserve">the MoP(S) Act was amended to provide </w:t>
      </w:r>
      <w:r w:rsidR="001868BF">
        <w:t xml:space="preserve">that </w:t>
      </w:r>
      <w:r>
        <w:t xml:space="preserve">written notice must be given to an employee specifying the grounds for termination of employment, and to clarify </w:t>
      </w:r>
      <w:r w:rsidR="00627088">
        <w:t xml:space="preserve">that </w:t>
      </w:r>
      <w:r>
        <w:t xml:space="preserve">existing legislative requirements apply to the termination of employment of MoP(S) Act employees, including the </w:t>
      </w:r>
      <w:r w:rsidR="007B4F25" w:rsidRPr="002D3ED8">
        <w:t xml:space="preserve">FW </w:t>
      </w:r>
      <w:r w:rsidRPr="002D3ED8">
        <w:t>Act</w:t>
      </w:r>
      <w:r>
        <w:rPr>
          <w:i/>
        </w:rPr>
        <w:t xml:space="preserve"> </w:t>
      </w:r>
      <w:r>
        <w:t>and anti-discrimination laws</w:t>
      </w:r>
      <w:r>
        <w:rPr>
          <w:rStyle w:val="FootnoteReference"/>
        </w:rPr>
        <w:footnoteReference w:id="39"/>
      </w:r>
    </w:p>
    <w:p w14:paraId="12998AC7" w14:textId="6754A0DE" w:rsidR="00E835AA" w:rsidRPr="001A1F03" w:rsidRDefault="00E835AA" w:rsidP="001A1F03">
      <w:pPr>
        <w:pStyle w:val="BulletedList-Level1"/>
      </w:pPr>
      <w:r w:rsidRPr="001A1F03">
        <w:t xml:space="preserve">the </w:t>
      </w:r>
      <w:r w:rsidR="00D14441">
        <w:t>WHS Act</w:t>
      </w:r>
      <w:r w:rsidRPr="001A1F03">
        <w:t xml:space="preserve"> was amended to clarify </w:t>
      </w:r>
      <w:r w:rsidR="0065636F">
        <w:t>that</w:t>
      </w:r>
      <w:r w:rsidRPr="001A1F03">
        <w:t xml:space="preserve"> </w:t>
      </w:r>
      <w:r w:rsidR="000C4E87">
        <w:t>s</w:t>
      </w:r>
      <w:r w:rsidRPr="001A1F03">
        <w:t>enator</w:t>
      </w:r>
      <w:r w:rsidR="0065636F">
        <w:t>s</w:t>
      </w:r>
      <w:r w:rsidR="00A56156">
        <w:t xml:space="preserve"> </w:t>
      </w:r>
      <w:r w:rsidR="0065636F">
        <w:t>and</w:t>
      </w:r>
      <w:r w:rsidRPr="001A1F03">
        <w:t xml:space="preserve"> </w:t>
      </w:r>
      <w:r w:rsidR="00A56156">
        <w:t>members</w:t>
      </w:r>
      <w:r w:rsidRPr="001A1F03">
        <w:t xml:space="preserve"> </w:t>
      </w:r>
      <w:r w:rsidR="0065636F">
        <w:t>owe duties</w:t>
      </w:r>
      <w:r w:rsidRPr="001A1F03">
        <w:t xml:space="preserve"> as officers of a </w:t>
      </w:r>
      <w:r w:rsidR="0065636F">
        <w:t xml:space="preserve">person conducting a </w:t>
      </w:r>
      <w:r w:rsidRPr="001A1F03">
        <w:t xml:space="preserve">business or undertaking (PCBU) under the </w:t>
      </w:r>
      <w:r w:rsidR="00EB15B4">
        <w:t xml:space="preserve">MoP(S) </w:t>
      </w:r>
      <w:r w:rsidRPr="001A1F03">
        <w:t>Act</w:t>
      </w:r>
      <w:r w:rsidRPr="001A1F03">
        <w:rPr>
          <w:rStyle w:val="FootnoteReference"/>
        </w:rPr>
        <w:footnoteReference w:id="40"/>
      </w:r>
    </w:p>
    <w:p w14:paraId="355C9BA5" w14:textId="08FC472E" w:rsidR="00A5792A" w:rsidRDefault="00E835AA" w:rsidP="00D4569A">
      <w:pPr>
        <w:pStyle w:val="BulletedList-Level1"/>
        <w:spacing w:after="200"/>
      </w:pPr>
      <w:r>
        <w:t xml:space="preserve">the </w:t>
      </w:r>
      <w:r>
        <w:rPr>
          <w:i/>
        </w:rPr>
        <w:t>Age Discrimination Act 2004</w:t>
      </w:r>
      <w:r>
        <w:t xml:space="preserve"> and the </w:t>
      </w:r>
      <w:r>
        <w:rPr>
          <w:i/>
        </w:rPr>
        <w:t>Disability Discrimination Act 1992</w:t>
      </w:r>
      <w:r>
        <w:t xml:space="preserve"> were amended to clarify these laws apply to staff employed or engaged under the MoP(S) Act</w:t>
      </w:r>
      <w:r w:rsidR="00575DF6">
        <w:t>.</w:t>
      </w:r>
      <w:r>
        <w:rPr>
          <w:rStyle w:val="FootnoteReference"/>
        </w:rPr>
        <w:footnoteReference w:id="41"/>
      </w:r>
      <w:r w:rsidR="00A5792A">
        <w:br w:type="page"/>
      </w:r>
    </w:p>
    <w:p w14:paraId="3CCBCFF9" w14:textId="058887F7" w:rsidR="001A1F03" w:rsidRPr="001A1F03" w:rsidRDefault="001A1F03" w:rsidP="001A1F03">
      <w:pPr>
        <w:pStyle w:val="Heading1"/>
      </w:pPr>
      <w:bookmarkStart w:id="1962" w:name="_Toc115432814"/>
      <w:bookmarkStart w:id="1963" w:name="_Toc115434385"/>
      <w:bookmarkStart w:id="1964" w:name="_Toc115434484"/>
      <w:bookmarkStart w:id="1965" w:name="_Toc115434553"/>
      <w:bookmarkStart w:id="1966" w:name="_Toc115434622"/>
      <w:bookmarkStart w:id="1967" w:name="_Toc114230863"/>
      <w:bookmarkStart w:id="1968" w:name="_Toc114232920"/>
      <w:bookmarkStart w:id="1969" w:name="_Toc114233568"/>
      <w:bookmarkStart w:id="1970" w:name="_Toc114233640"/>
      <w:bookmarkStart w:id="1971" w:name="_Toc114240595"/>
      <w:bookmarkStart w:id="1972" w:name="_Toc114240669"/>
      <w:bookmarkStart w:id="1973" w:name="_Toc114241013"/>
      <w:bookmarkStart w:id="1974" w:name="_Toc114494036"/>
      <w:bookmarkStart w:id="1975" w:name="_Toc114500287"/>
      <w:bookmarkStart w:id="1976" w:name="_Toc114500362"/>
      <w:bookmarkStart w:id="1977" w:name="_Toc114518635"/>
      <w:bookmarkStart w:id="1978" w:name="_Toc114520307"/>
      <w:bookmarkStart w:id="1979" w:name="_Toc114520716"/>
      <w:bookmarkStart w:id="1980" w:name="_Toc114565744"/>
      <w:bookmarkStart w:id="1981" w:name="_Toc114566725"/>
      <w:bookmarkStart w:id="1982" w:name="_Toc114566950"/>
      <w:bookmarkStart w:id="1983" w:name="_Toc114566874"/>
      <w:bookmarkStart w:id="1984" w:name="_Toc114585875"/>
      <w:bookmarkStart w:id="1985" w:name="_Toc114586019"/>
      <w:bookmarkStart w:id="1986" w:name="_Toc114586091"/>
      <w:bookmarkStart w:id="1987" w:name="_Toc114601231"/>
      <w:bookmarkStart w:id="1988" w:name="_Toc114657272"/>
      <w:bookmarkStart w:id="1989" w:name="_Toc114659734"/>
      <w:bookmarkStart w:id="1990" w:name="_Toc114662719"/>
      <w:bookmarkStart w:id="1991" w:name="_Toc114665103"/>
      <w:bookmarkStart w:id="1992" w:name="_Toc114672412"/>
      <w:bookmarkStart w:id="1993" w:name="_Toc114672624"/>
      <w:bookmarkStart w:id="1994" w:name="_Toc114673179"/>
      <w:bookmarkStart w:id="1995" w:name="_Toc114673765"/>
      <w:bookmarkStart w:id="1996" w:name="_Toc114674290"/>
      <w:bookmarkStart w:id="1997" w:name="_Toc114687463"/>
      <w:bookmarkStart w:id="1998" w:name="_Toc114689927"/>
      <w:bookmarkStart w:id="1999" w:name="_Toc114731790"/>
      <w:bookmarkStart w:id="2000" w:name="_Toc114733555"/>
      <w:bookmarkStart w:id="2001" w:name="_Toc114735496"/>
      <w:bookmarkStart w:id="2002" w:name="_Toc114755826"/>
      <w:bookmarkStart w:id="2003" w:name="_Toc114757131"/>
      <w:bookmarkStart w:id="2004" w:name="_Toc114757415"/>
      <w:bookmarkStart w:id="2005" w:name="_Toc114757517"/>
      <w:bookmarkStart w:id="2006" w:name="_Toc114758190"/>
      <w:bookmarkStart w:id="2007" w:name="_Toc114824360"/>
      <w:bookmarkStart w:id="2008" w:name="_Toc114829436"/>
      <w:bookmarkStart w:id="2009" w:name="_Toc114829800"/>
      <w:bookmarkStart w:id="2010" w:name="_Toc114829767"/>
      <w:bookmarkStart w:id="2011" w:name="_Toc114829944"/>
      <w:bookmarkStart w:id="2012" w:name="_Toc115099023"/>
      <w:bookmarkStart w:id="2013" w:name="_Toc115099095"/>
      <w:bookmarkStart w:id="2014" w:name="_Toc115101672"/>
      <w:bookmarkStart w:id="2015" w:name="_Toc115102517"/>
      <w:bookmarkStart w:id="2016" w:name="_Toc115105490"/>
      <w:bookmarkStart w:id="2017" w:name="_Toc115110351"/>
      <w:bookmarkStart w:id="2018" w:name="_Toc115110478"/>
      <w:bookmarkStart w:id="2019" w:name="_Toc115121596"/>
      <w:bookmarkStart w:id="2020" w:name="_Toc115121966"/>
      <w:bookmarkStart w:id="2021" w:name="_Toc115123446"/>
      <w:bookmarkStart w:id="2022" w:name="_Toc115123694"/>
      <w:bookmarkStart w:id="2023" w:name="_Toc115126826"/>
      <w:bookmarkStart w:id="2024" w:name="_Toc115185463"/>
      <w:bookmarkStart w:id="2025" w:name="_Toc115186090"/>
      <w:bookmarkStart w:id="2026" w:name="_Toc115189248"/>
      <w:bookmarkStart w:id="2027" w:name="_Toc115194221"/>
      <w:bookmarkStart w:id="2028" w:name="_Toc115194958"/>
      <w:bookmarkStart w:id="2029" w:name="_Toc115196368"/>
      <w:bookmarkStart w:id="2030" w:name="_Toc115198869"/>
      <w:bookmarkStart w:id="2031" w:name="_Toc115208884"/>
      <w:bookmarkStart w:id="2032" w:name="_Toc115209020"/>
      <w:bookmarkStart w:id="2033" w:name="_Toc115210351"/>
      <w:bookmarkStart w:id="2034" w:name="_Toc115212576"/>
      <w:bookmarkStart w:id="2035" w:name="_Toc115213216"/>
      <w:bookmarkStart w:id="2036" w:name="_Toc115216714"/>
      <w:bookmarkStart w:id="2037" w:name="_Toc115270405"/>
      <w:bookmarkStart w:id="2038" w:name="_Toc115271348"/>
      <w:bookmarkStart w:id="2039" w:name="_Toc115272265"/>
      <w:bookmarkStart w:id="2040" w:name="_Toc115273435"/>
      <w:bookmarkStart w:id="2041" w:name="_Toc115273363"/>
      <w:bookmarkStart w:id="2042" w:name="_Toc115274616"/>
      <w:bookmarkStart w:id="2043" w:name="_Toc115274842"/>
      <w:bookmarkStart w:id="2044" w:name="_Toc115275199"/>
      <w:bookmarkStart w:id="2045" w:name="_Toc115275342"/>
      <w:bookmarkStart w:id="2046" w:name="_Toc115274179"/>
      <w:bookmarkStart w:id="2047" w:name="_Toc115274480"/>
      <w:bookmarkStart w:id="2048" w:name="_Toc115274548"/>
      <w:bookmarkStart w:id="2049" w:name="_Toc115274706"/>
      <w:bookmarkStart w:id="2050" w:name="_Toc115277440"/>
      <w:bookmarkStart w:id="2051" w:name="_Toc115277644"/>
      <w:bookmarkStart w:id="2052" w:name="_Toc115278533"/>
      <w:bookmarkStart w:id="2053" w:name="_Toc115278613"/>
      <w:bookmarkStart w:id="2054" w:name="_Toc115282283"/>
      <w:bookmarkStart w:id="2055" w:name="_Toc115284736"/>
      <w:bookmarkStart w:id="2056" w:name="_Toc115286828"/>
      <w:bookmarkStart w:id="2057" w:name="_Toc115294762"/>
      <w:bookmarkStart w:id="2058" w:name="_Toc115296342"/>
      <w:bookmarkStart w:id="2059" w:name="_Toc115308528"/>
      <w:bookmarkStart w:id="2060" w:name="_Toc115311180"/>
      <w:bookmarkStart w:id="2061" w:name="_Toc115312660"/>
      <w:bookmarkStart w:id="2062" w:name="_Toc115343834"/>
      <w:bookmarkStart w:id="2063" w:name="_Toc115348272"/>
      <w:bookmarkStart w:id="2064" w:name="_Toc115350370"/>
      <w:bookmarkStart w:id="2065" w:name="_Toc115353458"/>
      <w:bookmarkStart w:id="2066" w:name="_Toc115359489"/>
      <w:bookmarkStart w:id="2067" w:name="_Toc115361893"/>
      <w:bookmarkStart w:id="2068" w:name="_Toc115364286"/>
      <w:bookmarkStart w:id="2069" w:name="_Toc115365380"/>
      <w:bookmarkStart w:id="2070" w:name="_Toc115365652"/>
      <w:bookmarkStart w:id="2071" w:name="_Toc115365720"/>
      <w:bookmarkStart w:id="2072" w:name="_Toc115366184"/>
      <w:bookmarkStart w:id="2073" w:name="_Toc115368557"/>
      <w:bookmarkStart w:id="2074" w:name="_Toc115370074"/>
      <w:bookmarkStart w:id="2075" w:name="_Toc115370740"/>
      <w:bookmarkStart w:id="2076" w:name="_Toc115374380"/>
      <w:bookmarkStart w:id="2077" w:name="_Toc115378719"/>
      <w:bookmarkStart w:id="2078" w:name="_Toc115380951"/>
      <w:bookmarkStart w:id="2079" w:name="_Toc115384103"/>
      <w:bookmarkStart w:id="2080" w:name="_Toc115387332"/>
      <w:bookmarkStart w:id="2081" w:name="_Toc115388798"/>
      <w:bookmarkStart w:id="2082" w:name="_Toc115431436"/>
      <w:bookmarkStart w:id="2083" w:name="_Toc115442792"/>
      <w:bookmarkStart w:id="2084" w:name="_Toc115446328"/>
      <w:bookmarkStart w:id="2085" w:name="_Toc115448035"/>
      <w:bookmarkStart w:id="2086" w:name="_Toc115449427"/>
      <w:bookmarkStart w:id="2087" w:name="_Toc115452447"/>
      <w:bookmarkStart w:id="2088" w:name="_Toc115455264"/>
      <w:bookmarkStart w:id="2089" w:name="_Toc115455330"/>
      <w:bookmarkStart w:id="2090" w:name="_Toc115457280"/>
      <w:bookmarkStart w:id="2091" w:name="_Toc115458116"/>
      <w:bookmarkStart w:id="2092" w:name="_Toc115948144"/>
      <w:bookmarkStart w:id="2093" w:name="_Toc115948591"/>
      <w:r w:rsidRPr="001A1F03">
        <w:t>3</w:t>
      </w:r>
      <w:bookmarkEnd w:id="1962"/>
      <w:bookmarkEnd w:id="1963"/>
      <w:bookmarkEnd w:id="1964"/>
      <w:bookmarkEnd w:id="1965"/>
      <w:bookmarkEnd w:id="1966"/>
      <w:r w:rsidRPr="001A1F03">
        <w:t xml:space="preserve"> M</w:t>
      </w:r>
      <w:r w:rsidR="008C22A3">
        <w:t>odernising</w:t>
      </w:r>
      <w:r w:rsidR="00AF4854">
        <w:t xml:space="preserve"> the framework</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71F664C9" w14:textId="77777777" w:rsidR="001A1F03" w:rsidRPr="001A1F03" w:rsidRDefault="001A1F03" w:rsidP="001A1F03">
      <w:pPr>
        <w:pStyle w:val="Heading2"/>
      </w:pPr>
      <w:bookmarkStart w:id="2094" w:name="_Toc114230864"/>
      <w:bookmarkStart w:id="2095" w:name="_Toc114232921"/>
      <w:bookmarkStart w:id="2096" w:name="_Toc114233569"/>
      <w:bookmarkStart w:id="2097" w:name="_Toc114233641"/>
      <w:bookmarkStart w:id="2098" w:name="_Toc114240596"/>
      <w:bookmarkStart w:id="2099" w:name="_Toc114240670"/>
      <w:bookmarkStart w:id="2100" w:name="_Toc114241014"/>
      <w:bookmarkStart w:id="2101" w:name="_Toc114494037"/>
      <w:bookmarkStart w:id="2102" w:name="_Toc114500288"/>
      <w:bookmarkStart w:id="2103" w:name="_Toc114500363"/>
      <w:bookmarkStart w:id="2104" w:name="_Toc114518636"/>
      <w:bookmarkStart w:id="2105" w:name="_Toc114520308"/>
      <w:bookmarkStart w:id="2106" w:name="_Toc114520717"/>
      <w:bookmarkStart w:id="2107" w:name="_Toc114565745"/>
      <w:bookmarkStart w:id="2108" w:name="_Toc114566726"/>
      <w:bookmarkStart w:id="2109" w:name="_Toc114566951"/>
      <w:bookmarkStart w:id="2110" w:name="_Toc114566875"/>
      <w:bookmarkStart w:id="2111" w:name="_Toc114585876"/>
      <w:bookmarkStart w:id="2112" w:name="_Toc114586020"/>
      <w:bookmarkStart w:id="2113" w:name="_Toc114586092"/>
      <w:bookmarkStart w:id="2114" w:name="_Toc114601232"/>
      <w:bookmarkStart w:id="2115" w:name="_Toc114657273"/>
      <w:bookmarkStart w:id="2116" w:name="_Toc114659735"/>
      <w:bookmarkStart w:id="2117" w:name="_Toc114662720"/>
      <w:bookmarkStart w:id="2118" w:name="_Toc114665104"/>
      <w:bookmarkStart w:id="2119" w:name="_Toc114672413"/>
      <w:bookmarkStart w:id="2120" w:name="_Toc114672625"/>
      <w:bookmarkStart w:id="2121" w:name="_Toc114673180"/>
      <w:bookmarkStart w:id="2122" w:name="_Toc114673766"/>
      <w:bookmarkStart w:id="2123" w:name="_Toc114674291"/>
      <w:bookmarkStart w:id="2124" w:name="_Toc114687464"/>
      <w:bookmarkStart w:id="2125" w:name="_Toc114689928"/>
      <w:bookmarkStart w:id="2126" w:name="_Toc114731791"/>
      <w:bookmarkStart w:id="2127" w:name="_Toc114733556"/>
      <w:bookmarkStart w:id="2128" w:name="_Toc114735497"/>
      <w:bookmarkStart w:id="2129" w:name="_Toc114755827"/>
      <w:bookmarkStart w:id="2130" w:name="_Toc114757132"/>
      <w:bookmarkStart w:id="2131" w:name="_Toc114757416"/>
      <w:bookmarkStart w:id="2132" w:name="_Toc114757518"/>
      <w:bookmarkStart w:id="2133" w:name="_Toc114758191"/>
      <w:bookmarkStart w:id="2134" w:name="_Toc114824361"/>
      <w:bookmarkStart w:id="2135" w:name="_Toc114829437"/>
      <w:bookmarkStart w:id="2136" w:name="_Toc114829801"/>
      <w:bookmarkStart w:id="2137" w:name="_Toc114829768"/>
      <w:bookmarkStart w:id="2138" w:name="_Toc114829945"/>
      <w:bookmarkStart w:id="2139" w:name="_Toc115099024"/>
      <w:bookmarkStart w:id="2140" w:name="_Toc115099096"/>
      <w:bookmarkStart w:id="2141" w:name="_Toc115101673"/>
      <w:bookmarkStart w:id="2142" w:name="_Toc115102518"/>
      <w:bookmarkStart w:id="2143" w:name="_Toc115105491"/>
      <w:bookmarkStart w:id="2144" w:name="_Toc115110352"/>
      <w:bookmarkStart w:id="2145" w:name="_Toc115110479"/>
      <w:bookmarkStart w:id="2146" w:name="_Toc115121597"/>
      <w:bookmarkStart w:id="2147" w:name="_Toc115121967"/>
      <w:bookmarkStart w:id="2148" w:name="_Toc115123447"/>
      <w:bookmarkStart w:id="2149" w:name="_Toc115123695"/>
      <w:bookmarkStart w:id="2150" w:name="_Toc115126827"/>
      <w:bookmarkStart w:id="2151" w:name="_Toc115185464"/>
      <w:bookmarkStart w:id="2152" w:name="_Toc115186091"/>
      <w:bookmarkStart w:id="2153" w:name="_Toc115189249"/>
      <w:bookmarkStart w:id="2154" w:name="_Toc115194222"/>
      <w:bookmarkStart w:id="2155" w:name="_Toc115194959"/>
      <w:bookmarkStart w:id="2156" w:name="_Toc115196369"/>
      <w:bookmarkStart w:id="2157" w:name="_Toc115198870"/>
      <w:bookmarkStart w:id="2158" w:name="_Toc115208885"/>
      <w:bookmarkStart w:id="2159" w:name="_Toc115209021"/>
      <w:bookmarkStart w:id="2160" w:name="_Toc115210352"/>
      <w:bookmarkStart w:id="2161" w:name="_Toc115212577"/>
      <w:bookmarkStart w:id="2162" w:name="_Toc115213217"/>
      <w:bookmarkStart w:id="2163" w:name="_Toc115216715"/>
      <w:bookmarkStart w:id="2164" w:name="_Toc115270406"/>
      <w:bookmarkStart w:id="2165" w:name="_Toc115271349"/>
      <w:bookmarkStart w:id="2166" w:name="_Toc115272266"/>
      <w:bookmarkStart w:id="2167" w:name="_Toc115273436"/>
      <w:bookmarkStart w:id="2168" w:name="_Toc115273364"/>
      <w:bookmarkStart w:id="2169" w:name="_Toc115273821"/>
      <w:bookmarkStart w:id="2170" w:name="_Toc115274617"/>
      <w:bookmarkStart w:id="2171" w:name="_Toc115274843"/>
      <w:bookmarkStart w:id="2172" w:name="_Toc115275200"/>
      <w:bookmarkStart w:id="2173" w:name="_Toc115275343"/>
      <w:bookmarkStart w:id="2174" w:name="_Toc115274180"/>
      <w:bookmarkStart w:id="2175" w:name="_Toc115274481"/>
      <w:bookmarkStart w:id="2176" w:name="_Toc115274549"/>
      <w:bookmarkStart w:id="2177" w:name="_Toc115274707"/>
      <w:bookmarkStart w:id="2178" w:name="_Toc115277441"/>
      <w:bookmarkStart w:id="2179" w:name="_Toc115277645"/>
      <w:bookmarkStart w:id="2180" w:name="_Toc115278534"/>
      <w:bookmarkStart w:id="2181" w:name="_Toc115278614"/>
      <w:bookmarkStart w:id="2182" w:name="_Toc115282284"/>
      <w:bookmarkStart w:id="2183" w:name="_Toc115284737"/>
      <w:bookmarkStart w:id="2184" w:name="_Toc115286829"/>
      <w:bookmarkStart w:id="2185" w:name="_Toc115294763"/>
      <w:bookmarkStart w:id="2186" w:name="_Toc115296343"/>
      <w:bookmarkStart w:id="2187" w:name="_Toc115308529"/>
      <w:bookmarkStart w:id="2188" w:name="_Toc115311181"/>
      <w:bookmarkStart w:id="2189" w:name="_Toc115312661"/>
      <w:bookmarkStart w:id="2190" w:name="_Toc115343835"/>
      <w:bookmarkStart w:id="2191" w:name="_Toc115348273"/>
      <w:bookmarkStart w:id="2192" w:name="_Toc115350371"/>
      <w:bookmarkStart w:id="2193" w:name="_Toc115353459"/>
      <w:bookmarkStart w:id="2194" w:name="_Toc115359490"/>
      <w:bookmarkStart w:id="2195" w:name="_Toc115361894"/>
      <w:bookmarkStart w:id="2196" w:name="_Toc115364287"/>
      <w:bookmarkStart w:id="2197" w:name="_Toc115365381"/>
      <w:bookmarkStart w:id="2198" w:name="_Toc115365653"/>
      <w:bookmarkStart w:id="2199" w:name="_Toc115365721"/>
      <w:bookmarkStart w:id="2200" w:name="_Toc115366185"/>
      <w:bookmarkStart w:id="2201" w:name="_Toc115368558"/>
      <w:bookmarkStart w:id="2202" w:name="_Toc115370075"/>
      <w:bookmarkStart w:id="2203" w:name="_Toc115370741"/>
      <w:bookmarkStart w:id="2204" w:name="_Toc115374381"/>
      <w:bookmarkStart w:id="2205" w:name="_Toc115378720"/>
      <w:bookmarkStart w:id="2206" w:name="_Toc115380952"/>
      <w:bookmarkStart w:id="2207" w:name="_Toc115384104"/>
      <w:bookmarkStart w:id="2208" w:name="_Toc115387333"/>
      <w:bookmarkStart w:id="2209" w:name="_Toc115388799"/>
      <w:bookmarkStart w:id="2210" w:name="_Toc115431437"/>
      <w:bookmarkStart w:id="2211" w:name="_Toc115432815"/>
      <w:bookmarkStart w:id="2212" w:name="_Toc115434386"/>
      <w:bookmarkStart w:id="2213" w:name="_Toc115434485"/>
      <w:bookmarkStart w:id="2214" w:name="_Toc115434554"/>
      <w:bookmarkStart w:id="2215" w:name="_Toc115434623"/>
      <w:bookmarkStart w:id="2216" w:name="_Toc115442793"/>
      <w:bookmarkStart w:id="2217" w:name="_Toc115446329"/>
      <w:bookmarkStart w:id="2218" w:name="_Toc115448036"/>
      <w:bookmarkStart w:id="2219" w:name="_Toc115449428"/>
      <w:bookmarkStart w:id="2220" w:name="_Toc115452448"/>
      <w:bookmarkStart w:id="2221" w:name="_Toc115455265"/>
      <w:bookmarkStart w:id="2222" w:name="_Toc115455331"/>
      <w:bookmarkStart w:id="2223" w:name="_Toc115457281"/>
      <w:bookmarkStart w:id="2224" w:name="_Toc115458117"/>
      <w:bookmarkStart w:id="2225" w:name="_Toc115948145"/>
      <w:bookmarkStart w:id="2226" w:name="_Toc115948592"/>
      <w:r w:rsidRPr="001A1F03">
        <w:t>3.1 Introduction</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1485715A" w14:textId="77777777" w:rsidR="001A1F03" w:rsidRDefault="001A1F03" w:rsidP="001A1F03">
      <w:r>
        <w:t xml:space="preserve">The </w:t>
      </w:r>
      <w:r w:rsidR="00C35C90">
        <w:t>R</w:t>
      </w:r>
      <w:r>
        <w:t xml:space="preserve">eview identifies </w:t>
      </w:r>
      <w:r w:rsidRPr="00DE786B">
        <w:t>opportunities to reduce co</w:t>
      </w:r>
      <w:r>
        <w:t xml:space="preserve">mplexity, increase clarity and </w:t>
      </w:r>
      <w:r w:rsidRPr="00DE786B">
        <w:t xml:space="preserve">promote </w:t>
      </w:r>
      <w:r>
        <w:t xml:space="preserve">the </w:t>
      </w:r>
      <w:r w:rsidRPr="00DE786B">
        <w:t xml:space="preserve">consistency </w:t>
      </w:r>
      <w:r>
        <w:t xml:space="preserve">of the MoP(S) Act employment framework </w:t>
      </w:r>
      <w:r w:rsidRPr="00DE786B">
        <w:t>with modern employment frameworks.</w:t>
      </w:r>
      <w:r>
        <w:t xml:space="preserve"> We recommend both structural and ‘tidy up’ changes </w:t>
      </w:r>
      <w:r w:rsidR="00AA52A2">
        <w:t xml:space="preserve">relating to </w:t>
      </w:r>
      <w:r>
        <w:t xml:space="preserve">different categories of employees and </w:t>
      </w:r>
      <w:r w:rsidR="00AA52A2">
        <w:t xml:space="preserve">to </w:t>
      </w:r>
      <w:r>
        <w:t xml:space="preserve">recognise the likely roles of the </w:t>
      </w:r>
      <w:r w:rsidR="00AA52A2">
        <w:t xml:space="preserve">proposed </w:t>
      </w:r>
      <w:r>
        <w:t xml:space="preserve">OPSC and </w:t>
      </w:r>
      <w:r w:rsidR="00372707">
        <w:t>IPSC</w:t>
      </w:r>
      <w:r>
        <w:t>.</w:t>
      </w:r>
    </w:p>
    <w:p w14:paraId="5E5A46C3" w14:textId="77777777" w:rsidR="001A1F03" w:rsidRDefault="001A1F03" w:rsidP="001A1F03">
      <w:r>
        <w:t>This chapter covers:</w:t>
      </w:r>
    </w:p>
    <w:p w14:paraId="4859821A" w14:textId="77777777" w:rsidR="001A1F03" w:rsidRDefault="00C35C90" w:rsidP="001A1F03">
      <w:pPr>
        <w:pStyle w:val="BulletedList-Level1"/>
      </w:pPr>
      <w:r>
        <w:t>s</w:t>
      </w:r>
      <w:r w:rsidR="001A1F03">
        <w:t xml:space="preserve">taff </w:t>
      </w:r>
      <w:r w:rsidR="00B71022">
        <w:t>c</w:t>
      </w:r>
      <w:r w:rsidR="001A1F03">
        <w:t>ategories under the MoP(S) Act</w:t>
      </w:r>
    </w:p>
    <w:p w14:paraId="2CE1026D" w14:textId="77777777" w:rsidR="001A1F03" w:rsidRDefault="00C35C90" w:rsidP="001A1F03">
      <w:pPr>
        <w:pStyle w:val="BulletedList-Level1"/>
      </w:pPr>
      <w:r>
        <w:t>t</w:t>
      </w:r>
      <w:r w:rsidR="001A1F03">
        <w:t xml:space="preserve">he </w:t>
      </w:r>
      <w:r w:rsidR="00B71022">
        <w:t>e</w:t>
      </w:r>
      <w:r w:rsidR="001A1F03">
        <w:t xml:space="preserve">mployment </w:t>
      </w:r>
      <w:r w:rsidR="00B71022">
        <w:t>m</w:t>
      </w:r>
      <w:r w:rsidR="001A1F03">
        <w:t>odel</w:t>
      </w:r>
    </w:p>
    <w:p w14:paraId="4F26E76A" w14:textId="77777777" w:rsidR="001A1F03" w:rsidRPr="001A1F03" w:rsidRDefault="00C35C90" w:rsidP="001A1F03">
      <w:pPr>
        <w:pStyle w:val="BulletedList-Level1"/>
      </w:pPr>
      <w:r>
        <w:t>w</w:t>
      </w:r>
      <w:r w:rsidR="001A1F03" w:rsidRPr="001A1F03">
        <w:t xml:space="preserve">orkplace </w:t>
      </w:r>
      <w:r w:rsidR="00B71022">
        <w:t>r</w:t>
      </w:r>
      <w:r w:rsidR="001A1F03" w:rsidRPr="001A1F03">
        <w:t xml:space="preserve">esourcing including </w:t>
      </w:r>
      <w:r w:rsidR="00B71022">
        <w:t>s</w:t>
      </w:r>
      <w:r w:rsidR="001A1F03" w:rsidRPr="001A1F03">
        <w:t xml:space="preserve">taffing </w:t>
      </w:r>
      <w:r w:rsidR="00B71022">
        <w:t>a</w:t>
      </w:r>
      <w:r w:rsidR="001A1F03" w:rsidRPr="001A1F03">
        <w:t>llocations</w:t>
      </w:r>
    </w:p>
    <w:p w14:paraId="2288A2DA" w14:textId="77777777" w:rsidR="001A1F03" w:rsidRDefault="00C35C90" w:rsidP="001A1F03">
      <w:pPr>
        <w:pStyle w:val="BulletedList-Level1"/>
      </w:pPr>
      <w:r>
        <w:t>o</w:t>
      </w:r>
      <w:r w:rsidR="001A1F03">
        <w:t xml:space="preserve">ther </w:t>
      </w:r>
      <w:r w:rsidR="00B71022">
        <w:t>l</w:t>
      </w:r>
      <w:r w:rsidR="001A1F03">
        <w:t xml:space="preserve">egislative </w:t>
      </w:r>
      <w:r w:rsidR="00B71022">
        <w:t>a</w:t>
      </w:r>
      <w:r w:rsidR="001A1F03">
        <w:t xml:space="preserve">mendments for </w:t>
      </w:r>
      <w:r w:rsidR="00B71022">
        <w:t>c</w:t>
      </w:r>
      <w:r w:rsidR="001A1F03">
        <w:t xml:space="preserve">larity and </w:t>
      </w:r>
      <w:r w:rsidR="00B71022">
        <w:t>c</w:t>
      </w:r>
      <w:r w:rsidR="001A1F03">
        <w:t>onsistency.</w:t>
      </w:r>
    </w:p>
    <w:p w14:paraId="6EDC5AC3" w14:textId="77777777" w:rsidR="002225D9" w:rsidRDefault="002225D9" w:rsidP="002225D9"/>
    <w:p w14:paraId="1692D551" w14:textId="77777777" w:rsidR="002225D9" w:rsidRDefault="001A1F03" w:rsidP="002225D9">
      <w:pPr>
        <w:pStyle w:val="Heading2"/>
      </w:pPr>
      <w:bookmarkStart w:id="2227" w:name="_Toc114230865"/>
      <w:bookmarkStart w:id="2228" w:name="_Toc114232922"/>
      <w:bookmarkStart w:id="2229" w:name="_Toc114233570"/>
      <w:bookmarkStart w:id="2230" w:name="_Toc114233642"/>
      <w:bookmarkStart w:id="2231" w:name="_Toc114240597"/>
      <w:bookmarkStart w:id="2232" w:name="_Toc114240671"/>
      <w:bookmarkStart w:id="2233" w:name="_Toc114241015"/>
      <w:bookmarkStart w:id="2234" w:name="_Toc114494038"/>
      <w:bookmarkStart w:id="2235" w:name="_Toc114500289"/>
      <w:bookmarkStart w:id="2236" w:name="_Toc114500364"/>
      <w:bookmarkStart w:id="2237" w:name="_Toc114518637"/>
      <w:bookmarkStart w:id="2238" w:name="_Toc114520309"/>
      <w:bookmarkStart w:id="2239" w:name="_Toc114520718"/>
      <w:bookmarkStart w:id="2240" w:name="_Toc114565746"/>
      <w:bookmarkStart w:id="2241" w:name="_Toc114566727"/>
      <w:bookmarkStart w:id="2242" w:name="_Toc114566952"/>
      <w:bookmarkStart w:id="2243" w:name="_Toc114566876"/>
      <w:bookmarkStart w:id="2244" w:name="_Toc114585877"/>
      <w:bookmarkStart w:id="2245" w:name="_Toc114586021"/>
      <w:bookmarkStart w:id="2246" w:name="_Toc114586093"/>
      <w:bookmarkStart w:id="2247" w:name="_Toc114601233"/>
      <w:bookmarkStart w:id="2248" w:name="_Toc114657274"/>
      <w:bookmarkStart w:id="2249" w:name="_Toc114659736"/>
      <w:bookmarkStart w:id="2250" w:name="_Toc114662721"/>
      <w:bookmarkStart w:id="2251" w:name="_Toc114665105"/>
      <w:bookmarkStart w:id="2252" w:name="_Toc114672414"/>
      <w:bookmarkStart w:id="2253" w:name="_Toc114672626"/>
      <w:bookmarkStart w:id="2254" w:name="_Toc114673181"/>
      <w:bookmarkStart w:id="2255" w:name="_Toc114673767"/>
      <w:bookmarkStart w:id="2256" w:name="_Toc114674292"/>
      <w:bookmarkStart w:id="2257" w:name="_Toc114687465"/>
      <w:bookmarkStart w:id="2258" w:name="_Toc114689929"/>
      <w:bookmarkStart w:id="2259" w:name="_Toc114731792"/>
      <w:bookmarkStart w:id="2260" w:name="_Toc114733557"/>
      <w:bookmarkStart w:id="2261" w:name="_Toc114735498"/>
      <w:bookmarkStart w:id="2262" w:name="_Toc114755828"/>
      <w:bookmarkStart w:id="2263" w:name="_Toc114757133"/>
      <w:bookmarkStart w:id="2264" w:name="_Toc114757417"/>
      <w:bookmarkStart w:id="2265" w:name="_Toc114757519"/>
      <w:bookmarkStart w:id="2266" w:name="_Toc114758192"/>
      <w:bookmarkStart w:id="2267" w:name="_Toc114824362"/>
      <w:bookmarkStart w:id="2268" w:name="_Toc114829438"/>
      <w:bookmarkStart w:id="2269" w:name="_Toc114829802"/>
      <w:bookmarkStart w:id="2270" w:name="_Toc114829769"/>
      <w:bookmarkStart w:id="2271" w:name="_Toc114829946"/>
      <w:bookmarkStart w:id="2272" w:name="_Toc115099025"/>
      <w:bookmarkStart w:id="2273" w:name="_Toc115099097"/>
      <w:bookmarkStart w:id="2274" w:name="_Toc115101674"/>
      <w:bookmarkStart w:id="2275" w:name="_Toc115102519"/>
      <w:bookmarkStart w:id="2276" w:name="_Toc115105492"/>
      <w:bookmarkStart w:id="2277" w:name="_Toc115110353"/>
      <w:bookmarkStart w:id="2278" w:name="_Toc115110480"/>
      <w:bookmarkStart w:id="2279" w:name="_Toc115121598"/>
      <w:bookmarkStart w:id="2280" w:name="_Toc115121968"/>
      <w:bookmarkStart w:id="2281" w:name="_Toc115123448"/>
      <w:bookmarkStart w:id="2282" w:name="_Toc115123696"/>
      <w:bookmarkStart w:id="2283" w:name="_Toc115126828"/>
      <w:bookmarkStart w:id="2284" w:name="_Toc115185465"/>
      <w:bookmarkStart w:id="2285" w:name="_Toc115186092"/>
      <w:bookmarkStart w:id="2286" w:name="_Toc115189250"/>
      <w:bookmarkStart w:id="2287" w:name="_Toc115194223"/>
      <w:bookmarkStart w:id="2288" w:name="_Toc115194960"/>
      <w:bookmarkStart w:id="2289" w:name="_Toc115196370"/>
      <w:bookmarkStart w:id="2290" w:name="_Toc115198871"/>
      <w:bookmarkStart w:id="2291" w:name="_Toc115208886"/>
      <w:bookmarkStart w:id="2292" w:name="_Toc115209022"/>
      <w:bookmarkStart w:id="2293" w:name="_Toc115210353"/>
      <w:bookmarkStart w:id="2294" w:name="_Toc115212578"/>
      <w:bookmarkStart w:id="2295" w:name="_Toc115213218"/>
      <w:bookmarkStart w:id="2296" w:name="_Toc115216716"/>
      <w:bookmarkStart w:id="2297" w:name="_Toc115270407"/>
      <w:bookmarkStart w:id="2298" w:name="_Toc115271350"/>
      <w:bookmarkStart w:id="2299" w:name="_Toc115272267"/>
      <w:bookmarkStart w:id="2300" w:name="_Toc115273437"/>
      <w:bookmarkStart w:id="2301" w:name="_Toc115273365"/>
      <w:bookmarkStart w:id="2302" w:name="_Toc115273822"/>
      <w:bookmarkStart w:id="2303" w:name="_Toc115274618"/>
      <w:bookmarkStart w:id="2304" w:name="_Toc115274844"/>
      <w:bookmarkStart w:id="2305" w:name="_Toc115275201"/>
      <w:bookmarkStart w:id="2306" w:name="_Toc115275344"/>
      <w:bookmarkStart w:id="2307" w:name="_Toc115274181"/>
      <w:bookmarkStart w:id="2308" w:name="_Toc115274482"/>
      <w:bookmarkStart w:id="2309" w:name="_Toc115274550"/>
      <w:bookmarkStart w:id="2310" w:name="_Toc115274708"/>
      <w:bookmarkStart w:id="2311" w:name="_Toc115277442"/>
      <w:bookmarkStart w:id="2312" w:name="_Toc115277646"/>
      <w:bookmarkStart w:id="2313" w:name="_Toc115278535"/>
      <w:bookmarkStart w:id="2314" w:name="_Toc115278615"/>
      <w:bookmarkStart w:id="2315" w:name="_Toc115282285"/>
      <w:bookmarkStart w:id="2316" w:name="_Toc115284738"/>
      <w:bookmarkStart w:id="2317" w:name="_Toc115286830"/>
      <w:bookmarkStart w:id="2318" w:name="_Toc115294764"/>
      <w:bookmarkStart w:id="2319" w:name="_Toc115296344"/>
      <w:bookmarkStart w:id="2320" w:name="_Toc115308530"/>
      <w:bookmarkStart w:id="2321" w:name="_Toc115311182"/>
      <w:bookmarkStart w:id="2322" w:name="_Toc115312662"/>
      <w:bookmarkStart w:id="2323" w:name="_Toc115343836"/>
      <w:bookmarkStart w:id="2324" w:name="_Toc115348274"/>
      <w:bookmarkStart w:id="2325" w:name="_Toc115350372"/>
      <w:bookmarkStart w:id="2326" w:name="_Toc115353460"/>
      <w:bookmarkStart w:id="2327" w:name="_Toc115359491"/>
      <w:bookmarkStart w:id="2328" w:name="_Toc115361895"/>
      <w:bookmarkStart w:id="2329" w:name="_Toc115364288"/>
      <w:bookmarkStart w:id="2330" w:name="_Toc115365382"/>
      <w:bookmarkStart w:id="2331" w:name="_Toc115365654"/>
      <w:bookmarkStart w:id="2332" w:name="_Toc115365722"/>
      <w:bookmarkStart w:id="2333" w:name="_Toc115366186"/>
      <w:bookmarkStart w:id="2334" w:name="_Toc115368559"/>
      <w:bookmarkStart w:id="2335" w:name="_Toc115370076"/>
      <w:bookmarkStart w:id="2336" w:name="_Toc115370742"/>
      <w:bookmarkStart w:id="2337" w:name="_Toc115374382"/>
      <w:bookmarkStart w:id="2338" w:name="_Toc115378721"/>
      <w:bookmarkStart w:id="2339" w:name="_Toc115380953"/>
      <w:bookmarkStart w:id="2340" w:name="_Toc115384105"/>
      <w:bookmarkStart w:id="2341" w:name="_Toc115387334"/>
      <w:bookmarkStart w:id="2342" w:name="_Toc115388800"/>
      <w:bookmarkStart w:id="2343" w:name="_Toc115431438"/>
      <w:bookmarkStart w:id="2344" w:name="_Toc115432816"/>
      <w:bookmarkStart w:id="2345" w:name="_Toc115434387"/>
      <w:bookmarkStart w:id="2346" w:name="_Toc115434486"/>
      <w:bookmarkStart w:id="2347" w:name="_Toc115434555"/>
      <w:bookmarkStart w:id="2348" w:name="_Toc115434624"/>
      <w:bookmarkStart w:id="2349" w:name="_Toc115442794"/>
      <w:bookmarkStart w:id="2350" w:name="_Toc115446330"/>
      <w:bookmarkStart w:id="2351" w:name="_Toc115448037"/>
      <w:bookmarkStart w:id="2352" w:name="_Toc115449429"/>
      <w:bookmarkStart w:id="2353" w:name="_Toc115452449"/>
      <w:bookmarkStart w:id="2354" w:name="_Toc115455266"/>
      <w:bookmarkStart w:id="2355" w:name="_Toc115455332"/>
      <w:bookmarkStart w:id="2356" w:name="_Toc115457282"/>
      <w:bookmarkStart w:id="2357" w:name="_Toc115458118"/>
      <w:bookmarkStart w:id="2358" w:name="_Toc115948146"/>
      <w:bookmarkStart w:id="2359" w:name="_Toc115948593"/>
      <w:r>
        <w:t>3.2</w:t>
      </w:r>
      <w:r w:rsidR="00AA52A2">
        <w:t xml:space="preserve"> Staff c</w:t>
      </w:r>
      <w:r w:rsidR="002225D9">
        <w:t>ategories under the MoP(S) Act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1A0E3C40" w14:textId="77777777" w:rsidR="001A1F03" w:rsidRDefault="001A1F03" w:rsidP="001A1F03">
      <w:r>
        <w:t>The definition and treatment of categories of employees under the MoP(S) Act is complex.</w:t>
      </w:r>
    </w:p>
    <w:p w14:paraId="2F2A2317" w14:textId="16389B5E" w:rsidR="001A1F03" w:rsidRDefault="001A1F03" w:rsidP="001A1F03">
      <w:r>
        <w:t xml:space="preserve">MoP(S) Act </w:t>
      </w:r>
      <w:r w:rsidR="002D62B0">
        <w:t>employees</w:t>
      </w:r>
      <w:r>
        <w:t xml:space="preserve"> are engaged under either Part III or Part IV of the </w:t>
      </w:r>
      <w:r w:rsidR="00EB15B4">
        <w:t xml:space="preserve">MoP(S) </w:t>
      </w:r>
      <w:r>
        <w:t>Act, depending on the role of the employing parliamentarian. The two parts are duplicative</w:t>
      </w:r>
      <w:r w:rsidR="00B71022">
        <w:t>,</w:t>
      </w:r>
      <w:r>
        <w:t xml:space="preserve"> with Part IV (Staff of Senators and Me</w:t>
      </w:r>
      <w:r w:rsidR="00331EA7">
        <w:t>mbers) largely mirroring Part III</w:t>
      </w:r>
      <w:r>
        <w:t xml:space="preserve"> (Staff of office-holders). The explanatory memorandum and second reading speech do n</w:t>
      </w:r>
      <w:r w:rsidR="00331EA7">
        <w:t>ot explain why the legislation wa</w:t>
      </w:r>
      <w:r>
        <w:t>s drafted in this way.</w:t>
      </w:r>
    </w:p>
    <w:p w14:paraId="7E90F9E6" w14:textId="3EA026F7" w:rsidR="001A1F03" w:rsidRDefault="00CF4B7E" w:rsidP="001A1F03">
      <w:r>
        <w:t>Part III or Part IV of the</w:t>
      </w:r>
      <w:r w:rsidR="00EB15B4">
        <w:t xml:space="preserve"> MoP(S)</w:t>
      </w:r>
      <w:r>
        <w:t xml:space="preserve"> Act</w:t>
      </w:r>
      <w:r w:rsidR="00B71022">
        <w:t xml:space="preserve"> do not cl</w:t>
      </w:r>
      <w:r w:rsidR="00B01E9B">
        <w:t xml:space="preserve">early distinguish between </w:t>
      </w:r>
      <w:r w:rsidR="007420F3">
        <w:t>categorie</w:t>
      </w:r>
      <w:r w:rsidR="007420F3" w:rsidRPr="007420F3">
        <w:t xml:space="preserve">s of </w:t>
      </w:r>
      <w:r w:rsidR="00B01E9B" w:rsidRPr="007420F3">
        <w:t>staff.</w:t>
      </w:r>
      <w:r w:rsidR="00B01E9B">
        <w:t xml:space="preserve"> </w:t>
      </w:r>
      <w:r w:rsidR="00331EA7">
        <w:t>E</w:t>
      </w:r>
      <w:r w:rsidR="00AA52A2">
        <w:t>lectorate staff can be</w:t>
      </w:r>
      <w:r w:rsidR="001A1F03">
        <w:t xml:space="preserve"> covere</w:t>
      </w:r>
      <w:r w:rsidR="00AA52A2">
        <w:t xml:space="preserve">d under either part </w:t>
      </w:r>
      <w:r w:rsidR="000D5640">
        <w:t>depending on the role of the employing parliamentarian</w:t>
      </w:r>
      <w:r w:rsidR="001A1F03">
        <w:t xml:space="preserve">. </w:t>
      </w:r>
      <w:r w:rsidR="00B01E9B">
        <w:t>Further</w:t>
      </w:r>
      <w:r w:rsidR="001A1F03">
        <w:t>, if the role of the employing parliamentarian changes (such as becoming an office-holder) electorate staff may need to sign a new contract if the legislative power under which they can be employed changes. Similarly, the automatic termination</w:t>
      </w:r>
      <w:r w:rsidR="00AA52A2">
        <w:t xml:space="preserve"> of employment</w:t>
      </w:r>
      <w:r w:rsidR="001A1F03">
        <w:t xml:space="preserve"> triggers differ between the two </w:t>
      </w:r>
      <w:r w:rsidR="00703A4E">
        <w:t>p</w:t>
      </w:r>
      <w:r w:rsidR="001A1F03">
        <w:t xml:space="preserve">arts (see </w:t>
      </w:r>
      <w:r w:rsidRPr="004C5971">
        <w:t>S</w:t>
      </w:r>
      <w:r w:rsidR="001A1F03" w:rsidRPr="004C5971">
        <w:t>ection</w:t>
      </w:r>
      <w:r w:rsidR="000D5640">
        <w:t> </w:t>
      </w:r>
      <w:r w:rsidR="00D84694" w:rsidRPr="004C5971">
        <w:t>6.5</w:t>
      </w:r>
      <w:r w:rsidR="004C5971" w:rsidRPr="004C5971">
        <w:t>.</w:t>
      </w:r>
      <w:r w:rsidR="004C5971">
        <w:t>1</w:t>
      </w:r>
      <w:r w:rsidR="001A1F03">
        <w:t xml:space="preserve">). </w:t>
      </w:r>
    </w:p>
    <w:p w14:paraId="1ACFF6E0" w14:textId="77777777" w:rsidR="001A1F03" w:rsidRDefault="001A1F03" w:rsidP="001A1F03"/>
    <w:p w14:paraId="373EAED7" w14:textId="77777777" w:rsidR="001A1F03" w:rsidRPr="00A824ED" w:rsidRDefault="001A1F03" w:rsidP="00465F9E">
      <w:pPr>
        <w:pStyle w:val="Heading3"/>
        <w:rPr>
          <w:rFonts w:eastAsiaTheme="minorHAnsi"/>
        </w:rPr>
      </w:pPr>
      <w:r w:rsidRPr="00A824ED">
        <w:rPr>
          <w:rFonts w:eastAsiaTheme="minorHAnsi"/>
        </w:rPr>
        <w:t>3.2.1 Current situation</w:t>
      </w:r>
    </w:p>
    <w:p w14:paraId="7AC6422C" w14:textId="77777777" w:rsidR="001A1F03" w:rsidRDefault="001A1F03" w:rsidP="001A1F03">
      <w:r>
        <w:t xml:space="preserve">MoP(S) Act </w:t>
      </w:r>
      <w:r w:rsidR="006F5F60">
        <w:t>employees fall into</w:t>
      </w:r>
      <w:r w:rsidR="00B01E9B">
        <w:t xml:space="preserve"> </w:t>
      </w:r>
      <w:r>
        <w:t xml:space="preserve">in two broad categories known as ‘electorate staff’ </w:t>
      </w:r>
      <w:r w:rsidR="00110C02">
        <w:t xml:space="preserve">(used interchangeably with the terms ‘electorate officers’, and ‘electorate employees’ in this report) </w:t>
      </w:r>
      <w:r>
        <w:t>and ‘personal staff’</w:t>
      </w:r>
      <w:r w:rsidR="00110C02">
        <w:t xml:space="preserve"> (also referred to as ‘personal employees’ in this report)</w:t>
      </w:r>
      <w:r w:rsidR="00575DF6">
        <w:t>.</w:t>
      </w:r>
      <w:r w:rsidR="006F5F60">
        <w:rPr>
          <w:rStyle w:val="FootnoteReference"/>
        </w:rPr>
        <w:footnoteReference w:id="42"/>
      </w:r>
      <w:r>
        <w:t xml:space="preserve"> </w:t>
      </w:r>
    </w:p>
    <w:p w14:paraId="22E58A8C" w14:textId="77777777" w:rsidR="001A1F03" w:rsidRDefault="001A1F03" w:rsidP="001A1F03"/>
    <w:p w14:paraId="64A1EC5D" w14:textId="77777777" w:rsidR="003D5BAD" w:rsidRDefault="003D5BAD" w:rsidP="003D5BAD">
      <w:pPr>
        <w:pStyle w:val="Figure"/>
      </w:pPr>
    </w:p>
    <w:p w14:paraId="5B00DA60" w14:textId="68BAEDDC" w:rsidR="00CE0C71" w:rsidRDefault="00C07914" w:rsidP="003D5BAD">
      <w:pPr>
        <w:pStyle w:val="Figure"/>
        <w:numPr>
          <w:ilvl w:val="0"/>
          <w:numId w:val="0"/>
        </w:numPr>
      </w:pPr>
      <w:r>
        <w:rPr>
          <w:lang w:eastAsia="en-AU"/>
        </w:rPr>
        <w:drawing>
          <wp:inline distT="0" distB="0" distL="0" distR="0" wp14:anchorId="4BD8E962" wp14:editId="65A49EE1">
            <wp:extent cx="6120130" cy="4289425"/>
            <wp:effectExtent l="0" t="0" r="0" b="0"/>
            <wp:docPr id="12" name="Picture 12" descr="This image is titled ‘Current MoP(S) Act staff’ and has two boxes beneath it, one for electorate employees and one for personal employees. &#10;&#10;The electoral employees box sets out that the Prime Minister allocates positions to all parliamentarians, either under Part III (for office-holders) or Part IV (for Senators and Members).  It also notes that relief staff are engaged under the Electorate Support Budget and that the number of electorate staff is determined by the Prime Minister depending on number of Commonwealth funded electorate offices (based on geographical size of electorates).&#10;&#10;The personal employees’ box sets out that the Prime Minister allocates positions to office holders under Part III. Number determined by Prime Minster and allocated to Ministers, Opposition leader and Deputy, Greens, Minor Parties, Independents, Presiding Officers and Whips.&#10;" title="Current MoP(S) Ac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PAct-Infographics-300922-F3-CurrentStaf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289425"/>
                    </a:xfrm>
                    <a:prstGeom prst="rect">
                      <a:avLst/>
                    </a:prstGeom>
                  </pic:spPr>
                </pic:pic>
              </a:graphicData>
            </a:graphic>
          </wp:inline>
        </w:drawing>
      </w:r>
    </w:p>
    <w:p w14:paraId="4AC67396" w14:textId="77777777" w:rsidR="001A1F03" w:rsidRDefault="007758E5" w:rsidP="001A1F03">
      <w:r>
        <w:t>O</w:t>
      </w:r>
      <w:r w:rsidR="001A1F03">
        <w:t>ther staff working in the offices of parliamentarians who do not come under the MoP(S) Act framework include interns, volunteers, and APS officers such as Departmental Liaison Officers.</w:t>
      </w:r>
      <w:r w:rsidR="006F5F60">
        <w:t xml:space="preserve"> </w:t>
      </w:r>
    </w:p>
    <w:p w14:paraId="3A4D0BBF" w14:textId="77777777" w:rsidR="001A1F03" w:rsidRDefault="001A1F03" w:rsidP="00465F9E">
      <w:pPr>
        <w:pStyle w:val="Heading4"/>
      </w:pPr>
      <w:r>
        <w:t>Electorate staff</w:t>
      </w:r>
    </w:p>
    <w:p w14:paraId="38C87874" w14:textId="044C2CDD" w:rsidR="001A1F03" w:rsidRDefault="001A1F03" w:rsidP="001A1F03">
      <w:r>
        <w:t xml:space="preserve">Electorate staff are responsible for managing the parliamentarian’s office in their electorate, liaising with constituents and providing (non-party political) support to the parliamentarian. </w:t>
      </w:r>
      <w:r w:rsidR="00522978">
        <w:t>For a discussion on party political activity</w:t>
      </w:r>
      <w:r w:rsidR="006D7242">
        <w:t>,</w:t>
      </w:r>
      <w:r w:rsidR="00522978">
        <w:t xml:space="preserve"> see Section 5.3.3.</w:t>
      </w:r>
      <w:r>
        <w:t xml:space="preserve"> All parliamentarians have the power to hire electorate staff on behalf of the Commonwealth, subject to arrangements and conditions (such as number of positions and office composition) determined by the Prime Minister</w:t>
      </w:r>
      <w:r w:rsidR="00575DF6">
        <w:t>.</w:t>
      </w:r>
      <w:r>
        <w:rPr>
          <w:rStyle w:val="FootnoteReference"/>
        </w:rPr>
        <w:footnoteReference w:id="43"/>
      </w:r>
      <w:r>
        <w:t xml:space="preserve"> Ministers and Opposition office-holders hire electorate staff under Part III of the </w:t>
      </w:r>
      <w:r w:rsidR="00EB15B4">
        <w:t xml:space="preserve">MoP(S) </w:t>
      </w:r>
      <w:r>
        <w:t xml:space="preserve">Act, and all other parliamentarians </w:t>
      </w:r>
      <w:r w:rsidR="00AE2DF6">
        <w:t xml:space="preserve">(including other office-holders) </w:t>
      </w:r>
      <w:r>
        <w:t xml:space="preserve">hire electorate staff under Part IV of the </w:t>
      </w:r>
      <w:r w:rsidR="00EB15B4">
        <w:t xml:space="preserve">MoP(S) </w:t>
      </w:r>
      <w:r>
        <w:t xml:space="preserve">Act. </w:t>
      </w:r>
    </w:p>
    <w:p w14:paraId="7DC1BA5A" w14:textId="77777777" w:rsidR="001A1F03" w:rsidRDefault="001A1F03" w:rsidP="001A1F03">
      <w:r>
        <w:t>Currently all parliamentarians are able to hire electorate staff against four full-time positions</w:t>
      </w:r>
      <w:r w:rsidR="00575DF6">
        <w:t>.</w:t>
      </w:r>
      <w:r>
        <w:rPr>
          <w:rStyle w:val="FootnoteReference"/>
        </w:rPr>
        <w:footnoteReference w:id="44"/>
      </w:r>
      <w:r>
        <w:t xml:space="preserve"> Three electorate staff positions must be based in the electorate and one electorate staff position can be based either in the electorate, at Parliament House, or in an office</w:t>
      </w:r>
      <w:r w:rsidR="00B40D5C">
        <w:t>-</w:t>
      </w:r>
      <w:r>
        <w:t>holder’s office within the state or territory of their electorate</w:t>
      </w:r>
      <w:r w:rsidR="00575DF6">
        <w:t>.</w:t>
      </w:r>
      <w:r>
        <w:rPr>
          <w:rStyle w:val="FootnoteReference"/>
        </w:rPr>
        <w:footnoteReference w:id="45"/>
      </w:r>
      <w:r>
        <w:t xml:space="preserve"> A </w:t>
      </w:r>
      <w:r w:rsidR="001E5385">
        <w:t xml:space="preserve">Member of the House of Representatives </w:t>
      </w:r>
      <w:r>
        <w:t>in a geographically large electorate, with a second or third Commonwealth funded electorate office, may hire electorate staff against one additional full-time position per additional office</w:t>
      </w:r>
      <w:r w:rsidR="00575DF6">
        <w:t>.</w:t>
      </w:r>
      <w:r>
        <w:rPr>
          <w:rStyle w:val="FootnoteReference"/>
        </w:rPr>
        <w:footnoteReference w:id="46"/>
      </w:r>
    </w:p>
    <w:p w14:paraId="0C170217" w14:textId="3230CA13" w:rsidR="001A1F03" w:rsidRDefault="001A1F03" w:rsidP="001A1F03">
      <w:r>
        <w:t xml:space="preserve">Parliamentarians structure their electorate office composition in accordance with </w:t>
      </w:r>
      <w:r w:rsidR="00AA52A2">
        <w:t xml:space="preserve">set </w:t>
      </w:r>
      <w:r>
        <w:t>arrangements</w:t>
      </w:r>
      <w:r w:rsidR="00CC2FD9">
        <w:t>. In</w:t>
      </w:r>
      <w:r>
        <w:t xml:space="preserve"> a four position electorate office, parliamentarians may choose between two combinations of </w:t>
      </w:r>
      <w:r w:rsidR="006F705D">
        <w:t xml:space="preserve">classification </w:t>
      </w:r>
      <w:r>
        <w:t>for their four staff</w:t>
      </w:r>
      <w:r w:rsidR="00575DF6">
        <w:t>.</w:t>
      </w:r>
      <w:r>
        <w:rPr>
          <w:rStyle w:val="FootnoteReference"/>
        </w:rPr>
        <w:footnoteReference w:id="47"/>
      </w:r>
      <w:r>
        <w:t xml:space="preserve"> Parliamentarians may also engage additional electorate staff on a part</w:t>
      </w:r>
      <w:r w:rsidR="00D236D5">
        <w:noBreakHyphen/>
      </w:r>
      <w:r>
        <w:t>time basis, within the limits of the maximum number of electorate positions (</w:t>
      </w:r>
      <w:r w:rsidR="00AA52A2">
        <w:t>for example, two</w:t>
      </w:r>
      <w:r>
        <w:t xml:space="preserve"> people could work part-time, filling one electorate staff position).</w:t>
      </w:r>
    </w:p>
    <w:p w14:paraId="69B7D557" w14:textId="20CD458F" w:rsidR="001A1F03" w:rsidRDefault="001A1F03" w:rsidP="001A1F03">
      <w:r>
        <w:t xml:space="preserve">Terms and conditions of electorate staff employment </w:t>
      </w:r>
      <w:r w:rsidR="00B50F0A">
        <w:t>are</w:t>
      </w:r>
      <w:r>
        <w:t xml:space="preserve"> set out in the </w:t>
      </w:r>
      <w:r w:rsidR="00EB15B4">
        <w:t xml:space="preserve">MoP(S) </w:t>
      </w:r>
      <w:r>
        <w:t>Act, determined by the Prime Minister (</w:t>
      </w:r>
      <w:r w:rsidR="00B50F0A">
        <w:t>e.g.</w:t>
      </w:r>
      <w:r>
        <w:t xml:space="preserve"> electorate staff must work under the direction of the employing parliamentarian and not be employed for party political purposes</w:t>
      </w:r>
      <w:r>
        <w:rPr>
          <w:rStyle w:val="FootnoteReference"/>
        </w:rPr>
        <w:footnoteReference w:id="48"/>
      </w:r>
      <w:r>
        <w:t xml:space="preserve">), in the </w:t>
      </w:r>
      <w:r w:rsidR="00982005">
        <w:t>EA</w:t>
      </w:r>
      <w:r>
        <w:t xml:space="preserve">, and in their employment contract. </w:t>
      </w:r>
    </w:p>
    <w:p w14:paraId="4C805228" w14:textId="77777777" w:rsidR="001A1F03" w:rsidRDefault="001A1F03" w:rsidP="001A1F03">
      <w:r>
        <w:t xml:space="preserve">Three classifications of electorate staff are set out in the </w:t>
      </w:r>
      <w:r w:rsidR="00982005">
        <w:t>EA</w:t>
      </w:r>
      <w:r>
        <w:t>. Classification is largely used to determine pay and conditions, and not how staff are referred to in their day-to-day roles</w:t>
      </w:r>
      <w:r w:rsidR="00575DF6">
        <w:t>.</w:t>
      </w:r>
      <w:r>
        <w:rPr>
          <w:rStyle w:val="FootnoteReference"/>
        </w:rPr>
        <w:footnoteReference w:id="49"/>
      </w:r>
      <w:r>
        <w:t xml:space="preserve">  </w:t>
      </w:r>
    </w:p>
    <w:p w14:paraId="71DCA36B" w14:textId="6FCB3674" w:rsidR="001A1F03" w:rsidRDefault="001A1F03" w:rsidP="001A1F03">
      <w:r>
        <w:t>All parliamentaria</w:t>
      </w:r>
      <w:r w:rsidR="0020623D">
        <w:t xml:space="preserve">ns are provided with an annual </w:t>
      </w:r>
      <w:r w:rsidR="000720C4">
        <w:t>E</w:t>
      </w:r>
      <w:r>
        <w:t xml:space="preserve">lectorate </w:t>
      </w:r>
      <w:r w:rsidR="000720C4">
        <w:t>Support Budget</w:t>
      </w:r>
      <w:r>
        <w:t xml:space="preserve"> (ESB) </w:t>
      </w:r>
      <w:r w:rsidR="00CA183F">
        <w:t>to allow for employment of</w:t>
      </w:r>
      <w:r w:rsidR="009E64D2">
        <w:t xml:space="preserve"> </w:t>
      </w:r>
      <w:r>
        <w:t xml:space="preserve">relief staff, and </w:t>
      </w:r>
      <w:r w:rsidR="00CA183F">
        <w:t>facilitate domestic travel</w:t>
      </w:r>
      <w:r w:rsidR="00B53AD7">
        <w:t xml:space="preserve"> for</w:t>
      </w:r>
      <w:r w:rsidR="00CA183F">
        <w:t xml:space="preserve"> </w:t>
      </w:r>
      <w:r>
        <w:t>electorate staff (and some personal staff) on official business.</w:t>
      </w:r>
    </w:p>
    <w:p w14:paraId="38762660" w14:textId="3E2B60B6" w:rsidR="001A1F03" w:rsidRDefault="006F42C6" w:rsidP="001A1F03">
      <w:r>
        <w:t>The tenure of e</w:t>
      </w:r>
      <w:r w:rsidR="001A1F03">
        <w:t>lectorate staff is linked to their employing parliamentarian</w:t>
      </w:r>
      <w:r>
        <w:t>. Their employment</w:t>
      </w:r>
      <w:r w:rsidR="001A1F03" w:rsidDel="006F42C6">
        <w:t xml:space="preserve"> </w:t>
      </w:r>
      <w:r w:rsidR="003F07A4">
        <w:t xml:space="preserve">automatically terminates in circumstances </w:t>
      </w:r>
      <w:r w:rsidR="001A1F03">
        <w:t xml:space="preserve">where the parliamentarian resigns, dies, does not stand for </w:t>
      </w:r>
      <w:r w:rsidR="00573CCA">
        <w:br/>
      </w:r>
      <w:r w:rsidR="001A1F03">
        <w:t>re-election, or is defeated at election</w:t>
      </w:r>
      <w:r w:rsidR="00575DF6">
        <w:t>.</w:t>
      </w:r>
      <w:r w:rsidR="001A1F03">
        <w:rPr>
          <w:rStyle w:val="FootnoteReference"/>
        </w:rPr>
        <w:footnoteReference w:id="50"/>
      </w:r>
      <w:r w:rsidR="001A1F03">
        <w:t xml:space="preserve"> </w:t>
      </w:r>
      <w:r w:rsidR="00930182">
        <w:t>In addition,</w:t>
      </w:r>
      <w:r w:rsidR="001A1F03">
        <w:t xml:space="preserve"> electorate staff of Government and Opposition </w:t>
      </w:r>
      <w:r w:rsidR="00573CCA">
        <w:br/>
      </w:r>
      <w:r w:rsidR="001A1F03">
        <w:t>office</w:t>
      </w:r>
      <w:r w:rsidR="00B40D5C">
        <w:t>-</w:t>
      </w:r>
      <w:r w:rsidR="001A1F03">
        <w:t>holders</w:t>
      </w:r>
      <w:r>
        <w:t xml:space="preserve"> are terminated</w:t>
      </w:r>
      <w:r w:rsidR="001A1F03">
        <w:t>, where the office</w:t>
      </w:r>
      <w:r w:rsidR="00B40D5C">
        <w:t>-</w:t>
      </w:r>
      <w:r w:rsidR="001A1F03">
        <w:t>holder ceases to hold office</w:t>
      </w:r>
      <w:r w:rsidR="001A1F03" w:rsidRPr="004120C6">
        <w:t xml:space="preserve"> </w:t>
      </w:r>
      <w:r w:rsidR="001A1F03">
        <w:t xml:space="preserve">or has their </w:t>
      </w:r>
      <w:r w:rsidR="00D85F12" w:rsidRPr="0055271A">
        <w:t>ability to employ personal staff (</w:t>
      </w:r>
      <w:r w:rsidR="001A1F03" w:rsidRPr="00275D41">
        <w:t>section 12 determination</w:t>
      </w:r>
      <w:r w:rsidR="00D85F12" w:rsidRPr="0055271A">
        <w:t>)</w:t>
      </w:r>
      <w:r w:rsidR="001A1F03">
        <w:t xml:space="preserve"> revoked</w:t>
      </w:r>
      <w:r w:rsidR="00575DF6">
        <w:t>.</w:t>
      </w:r>
      <w:r w:rsidR="001A1F03">
        <w:rPr>
          <w:rStyle w:val="FootnoteReference"/>
        </w:rPr>
        <w:footnoteReference w:id="51"/>
      </w:r>
      <w:r w:rsidR="001A1F03">
        <w:t xml:space="preserve"> </w:t>
      </w:r>
      <w:r w:rsidR="00930182">
        <w:t>T</w:t>
      </w:r>
      <w:r w:rsidR="002A347F">
        <w:t>ermination</w:t>
      </w:r>
      <w:r w:rsidR="00930182">
        <w:t xml:space="preserve"> is discussed f</w:t>
      </w:r>
      <w:r w:rsidR="001A1F03">
        <w:t xml:space="preserve">urther </w:t>
      </w:r>
      <w:r w:rsidR="00930182">
        <w:t>in</w:t>
      </w:r>
      <w:r w:rsidR="001A1F03">
        <w:t xml:space="preserve"> Chapter</w:t>
      </w:r>
      <w:r w:rsidR="00D85F12">
        <w:t> </w:t>
      </w:r>
      <w:r w:rsidR="00930182" w:rsidRPr="002A347F">
        <w:t>6.</w:t>
      </w:r>
    </w:p>
    <w:p w14:paraId="27AAF6EF" w14:textId="77777777" w:rsidR="001A1F03" w:rsidRDefault="001A1F03" w:rsidP="00051BDA">
      <w:pPr>
        <w:pStyle w:val="Heading4"/>
      </w:pPr>
      <w:r w:rsidRPr="00E44A4C">
        <w:t>Personal staff</w:t>
      </w:r>
    </w:p>
    <w:p w14:paraId="64D0024B" w14:textId="7A1DFC8A" w:rsidR="001A1F03" w:rsidRPr="003B4CE8" w:rsidRDefault="001A1F03" w:rsidP="001A1F03">
      <w:pPr>
        <w:rPr>
          <w:b/>
        </w:rPr>
      </w:pPr>
      <w:r>
        <w:t xml:space="preserve">A person, who is not electorate staff, who </w:t>
      </w:r>
      <w:r w:rsidR="00765811">
        <w:t xml:space="preserve">is </w:t>
      </w:r>
      <w:r>
        <w:t>employed by an office-holder (on behalf of the Commonwealth)</w:t>
      </w:r>
      <w:r w:rsidRPr="00B02172">
        <w:t xml:space="preserve"> </w:t>
      </w:r>
      <w:r>
        <w:t>under Part III</w:t>
      </w:r>
      <w:r>
        <w:rPr>
          <w:rStyle w:val="FootnoteReference"/>
        </w:rPr>
        <w:footnoteReference w:id="52"/>
      </w:r>
      <w:r>
        <w:t xml:space="preserve"> of the </w:t>
      </w:r>
      <w:r w:rsidR="00EB15B4">
        <w:t xml:space="preserve">MoP(S) </w:t>
      </w:r>
      <w:r>
        <w:t xml:space="preserve">Act is referred to as ‘personal staff’. Personal staff perform a range of roles, but are </w:t>
      </w:r>
      <w:r w:rsidR="00D24399">
        <w:t>usually</w:t>
      </w:r>
      <w:r>
        <w:t xml:space="preserve"> advisers and media advisers.</w:t>
      </w:r>
    </w:p>
    <w:p w14:paraId="1AF4DE6D" w14:textId="2985280B" w:rsidR="001A1F03" w:rsidRDefault="001A1F03" w:rsidP="001A1F03">
      <w:r>
        <w:t>Personal staff can only be engaged by an office-holder with the approval of the Prime Minister and subject to any conditions determined by the Prime Minister</w:t>
      </w:r>
      <w:r w:rsidR="00575DF6">
        <w:t>.</w:t>
      </w:r>
      <w:r>
        <w:rPr>
          <w:rStyle w:val="FootnoteReference"/>
        </w:rPr>
        <w:footnoteReference w:id="53"/>
      </w:r>
      <w:r>
        <w:t xml:space="preserve"> This is often referred to as ‘staffing allocation’ </w:t>
      </w:r>
      <w:r w:rsidR="004B48E3">
        <w:t xml:space="preserve">and is </w:t>
      </w:r>
      <w:r>
        <w:t xml:space="preserve">discussed further at </w:t>
      </w:r>
      <w:r w:rsidR="00CF4B7E" w:rsidRPr="00CF4B7E">
        <w:t>Section</w:t>
      </w:r>
      <w:r>
        <w:t xml:space="preserve"> </w:t>
      </w:r>
      <w:r w:rsidR="002C7924" w:rsidRPr="00CF4B7E">
        <w:t>3.4</w:t>
      </w:r>
      <w:r>
        <w:t xml:space="preserve">. </w:t>
      </w:r>
    </w:p>
    <w:p w14:paraId="3F05B3A5" w14:textId="72F94406" w:rsidR="001A1F03" w:rsidRDefault="001A1F03" w:rsidP="001A1F03">
      <w:pPr>
        <w:spacing w:line="240" w:lineRule="auto"/>
      </w:pPr>
      <w:r>
        <w:t xml:space="preserve">The </w:t>
      </w:r>
      <w:r w:rsidR="00EB15B4">
        <w:t xml:space="preserve">MoP(S) </w:t>
      </w:r>
      <w:r>
        <w:t>Act defines ‘office-holder’ as</w:t>
      </w:r>
      <w:r w:rsidR="00575DF6">
        <w:t>:</w:t>
      </w:r>
      <w:r>
        <w:rPr>
          <w:rStyle w:val="FootnoteReference"/>
        </w:rPr>
        <w:footnoteReference w:id="54"/>
      </w:r>
    </w:p>
    <w:p w14:paraId="58C995AF" w14:textId="3F2DF8AB" w:rsidR="001A1F03" w:rsidRPr="001A1F03" w:rsidRDefault="001A1F03" w:rsidP="001A1F03">
      <w:pPr>
        <w:pStyle w:val="BulletedList-Level1"/>
      </w:pPr>
      <w:r w:rsidRPr="001A1F03">
        <w:t xml:space="preserve">a person who holds a ‘relevant office’ (a defined term including: </w:t>
      </w:r>
      <w:r w:rsidR="00514FBE">
        <w:t>m</w:t>
      </w:r>
      <w:r w:rsidRPr="001A1F03">
        <w:t xml:space="preserve">inister, </w:t>
      </w:r>
      <w:r w:rsidR="008866BD">
        <w:t>L</w:t>
      </w:r>
      <w:r w:rsidRPr="001A1F03">
        <w:t xml:space="preserve">eader of the </w:t>
      </w:r>
      <w:r w:rsidR="00AD153C">
        <w:t>O</w:t>
      </w:r>
      <w:r w:rsidRPr="001A1F03">
        <w:t>pposition in Senate and H</w:t>
      </w:r>
      <w:r w:rsidR="006F5F60">
        <w:t>ouse of Representatives</w:t>
      </w:r>
      <w:r w:rsidRPr="001A1F03">
        <w:t xml:space="preserve">, </w:t>
      </w:r>
      <w:r w:rsidR="008866BD">
        <w:t>D</w:t>
      </w:r>
      <w:r w:rsidRPr="001A1F03">
        <w:t xml:space="preserve">eputy </w:t>
      </w:r>
      <w:r w:rsidR="008866BD">
        <w:t>L</w:t>
      </w:r>
      <w:r w:rsidRPr="001A1F03">
        <w:t xml:space="preserve">eader of the </w:t>
      </w:r>
      <w:r w:rsidR="00AD153C">
        <w:t>O</w:t>
      </w:r>
      <w:r w:rsidRPr="001A1F03">
        <w:t>pposition in Senate and House of Representatives, leader/deputy leader of a recognised political party</w:t>
      </w:r>
      <w:r w:rsidR="001204CE">
        <w:t>)</w:t>
      </w:r>
      <w:r>
        <w:rPr>
          <w:rStyle w:val="FootnoteReference"/>
        </w:rPr>
        <w:footnoteReference w:id="55"/>
      </w:r>
    </w:p>
    <w:p w14:paraId="4880451F" w14:textId="07D81096" w:rsidR="001A1F03" w:rsidRPr="001A1F03" w:rsidRDefault="001A1F03" w:rsidP="001A1F03">
      <w:pPr>
        <w:pStyle w:val="BulletedList-Level1"/>
      </w:pPr>
      <w:r w:rsidRPr="001A1F03">
        <w:t xml:space="preserve">former Prime Ministers no longer in </w:t>
      </w:r>
      <w:r w:rsidR="006146A9">
        <w:t>p</w:t>
      </w:r>
      <w:r w:rsidRPr="001A1F03">
        <w:t>arliament</w:t>
      </w:r>
    </w:p>
    <w:p w14:paraId="7BE89B56" w14:textId="77777777" w:rsidR="001A1F03" w:rsidRPr="001A1F03" w:rsidRDefault="001A1F03" w:rsidP="001A1F03">
      <w:pPr>
        <w:pStyle w:val="BulletedList-Level1"/>
      </w:pPr>
      <w:r w:rsidRPr="001A1F03">
        <w:t xml:space="preserve">a person determined by the Prime Minister to be an office-holder. </w:t>
      </w:r>
    </w:p>
    <w:p w14:paraId="259C33B8" w14:textId="77777777" w:rsidR="001A1F03" w:rsidRDefault="001A1F03" w:rsidP="001A1F03">
      <w:r>
        <w:rPr>
          <w:i/>
        </w:rPr>
        <w:t>Current list of personal staff</w:t>
      </w:r>
      <w:r w:rsidR="00B72DE6">
        <w:rPr>
          <w:i/>
        </w:rPr>
        <w:t xml:space="preserve"> arrangements</w:t>
      </w:r>
    </w:p>
    <w:p w14:paraId="7478EEE2" w14:textId="77777777" w:rsidR="001A1F03" w:rsidRPr="006D3DFF" w:rsidRDefault="00881626" w:rsidP="001A1F03">
      <w:r>
        <w:t>As at 1 August 2022</w:t>
      </w:r>
      <w:r w:rsidR="001A1F03">
        <w:t xml:space="preserve"> </w:t>
      </w:r>
      <w:r w:rsidR="001A1F03" w:rsidRPr="006D3DFF">
        <w:t>the Prime Minister</w:t>
      </w:r>
      <w:r w:rsidRPr="006D3DFF">
        <w:t xml:space="preserve"> has approved personal staff arrangements for</w:t>
      </w:r>
      <w:r w:rsidR="00575DF6" w:rsidRPr="006D3DFF">
        <w:t>:</w:t>
      </w:r>
      <w:r w:rsidR="00B10CF4" w:rsidRPr="006D3DFF">
        <w:t xml:space="preserve"> </w:t>
      </w:r>
    </w:p>
    <w:p w14:paraId="5E715A85" w14:textId="77777777" w:rsidR="001A1F03" w:rsidRPr="006D3DFF" w:rsidRDefault="001A1F03" w:rsidP="00971ECB">
      <w:pPr>
        <w:pStyle w:val="ListParagraph"/>
        <w:numPr>
          <w:ilvl w:val="0"/>
          <w:numId w:val="12"/>
        </w:numPr>
      </w:pPr>
      <w:r w:rsidRPr="006D3DFF">
        <w:t>President of the Senate and Speaker of the House of Representatives</w:t>
      </w:r>
    </w:p>
    <w:p w14:paraId="3DAA9B6D" w14:textId="77777777" w:rsidR="001A1F03" w:rsidRPr="006D3DFF" w:rsidRDefault="001A1F03" w:rsidP="00971ECB">
      <w:pPr>
        <w:pStyle w:val="ListParagraph"/>
        <w:numPr>
          <w:ilvl w:val="0"/>
          <w:numId w:val="12"/>
        </w:numPr>
      </w:pPr>
      <w:r w:rsidRPr="006D3DFF">
        <w:t>Deputy President and Deputy Speaker</w:t>
      </w:r>
    </w:p>
    <w:p w14:paraId="551968C8" w14:textId="77777777" w:rsidR="001A1F03" w:rsidRPr="006D3DFF" w:rsidRDefault="001A1F03" w:rsidP="00971ECB">
      <w:pPr>
        <w:pStyle w:val="ListParagraph"/>
        <w:numPr>
          <w:ilvl w:val="0"/>
          <w:numId w:val="12"/>
        </w:numPr>
      </w:pPr>
      <w:r w:rsidRPr="006D3DFF">
        <w:t>Government Whips</w:t>
      </w:r>
    </w:p>
    <w:p w14:paraId="4AD5A5BC" w14:textId="61F5018A" w:rsidR="001A1F03" w:rsidRPr="006D3DFF" w:rsidRDefault="006D7242" w:rsidP="00971ECB">
      <w:pPr>
        <w:pStyle w:val="ListParagraph"/>
        <w:numPr>
          <w:ilvl w:val="0"/>
          <w:numId w:val="12"/>
        </w:numPr>
      </w:pPr>
      <w:r>
        <w:t>t</w:t>
      </w:r>
      <w:r w:rsidR="00B72DE6" w:rsidRPr="006D3DFF">
        <w:t xml:space="preserve">he </w:t>
      </w:r>
      <w:r w:rsidR="001A1F03" w:rsidRPr="006D3DFF">
        <w:t xml:space="preserve">Opposition </w:t>
      </w:r>
      <w:r w:rsidR="00B72DE6" w:rsidRPr="006D3DFF">
        <w:t xml:space="preserve">(including allocation for </w:t>
      </w:r>
      <w:r w:rsidR="00514FBE">
        <w:t>s</w:t>
      </w:r>
      <w:r w:rsidR="001A1F03" w:rsidRPr="006D3DFF">
        <w:t xml:space="preserve">hadow </w:t>
      </w:r>
      <w:r w:rsidR="00514FBE">
        <w:t>m</w:t>
      </w:r>
      <w:r w:rsidR="001A1F03" w:rsidRPr="006D3DFF">
        <w:t>inisters</w:t>
      </w:r>
      <w:r w:rsidR="00B72DE6" w:rsidRPr="006D3DFF">
        <w:t xml:space="preserve"> and </w:t>
      </w:r>
      <w:r w:rsidR="00514FBE">
        <w:t>w</w:t>
      </w:r>
      <w:r w:rsidR="00B72DE6" w:rsidRPr="006D3DFF">
        <w:t>hips)</w:t>
      </w:r>
    </w:p>
    <w:p w14:paraId="0143F86A" w14:textId="0F48FFA6" w:rsidR="001A1F03" w:rsidRPr="006D3DFF" w:rsidRDefault="006D7242" w:rsidP="00971ECB">
      <w:pPr>
        <w:pStyle w:val="ListParagraph"/>
        <w:numPr>
          <w:ilvl w:val="0"/>
          <w:numId w:val="12"/>
        </w:numPr>
      </w:pPr>
      <w:r>
        <w:t>m</w:t>
      </w:r>
      <w:r w:rsidR="00B10CF4" w:rsidRPr="006D3DFF">
        <w:t>inor p</w:t>
      </w:r>
      <w:r w:rsidR="00BD39CD" w:rsidRPr="006D3DFF">
        <w:t>arties</w:t>
      </w:r>
      <w:r w:rsidR="00B72DE6" w:rsidRPr="006D3DFF">
        <w:t xml:space="preserve"> (including allocation for </w:t>
      </w:r>
      <w:r w:rsidR="00514FBE">
        <w:t>w</w:t>
      </w:r>
      <w:r w:rsidR="00B72DE6" w:rsidRPr="006D3DFF">
        <w:t>hips in relevant circumstances)</w:t>
      </w:r>
    </w:p>
    <w:p w14:paraId="279DA931" w14:textId="7E844816" w:rsidR="001A1F03" w:rsidRPr="006D3DFF" w:rsidRDefault="006D7242" w:rsidP="00971ECB">
      <w:pPr>
        <w:pStyle w:val="ListParagraph"/>
        <w:numPr>
          <w:ilvl w:val="0"/>
          <w:numId w:val="12"/>
        </w:numPr>
      </w:pPr>
      <w:r>
        <w:t>i</w:t>
      </w:r>
      <w:r w:rsidR="001A1F03" w:rsidRPr="006D3DFF">
        <w:t>ndependent Senators and Members</w:t>
      </w:r>
    </w:p>
    <w:p w14:paraId="6670767F" w14:textId="33CE6A74" w:rsidR="00023306" w:rsidRPr="006D3DFF" w:rsidRDefault="006D7242" w:rsidP="00971ECB">
      <w:pPr>
        <w:pStyle w:val="ListParagraph"/>
        <w:numPr>
          <w:ilvl w:val="0"/>
          <w:numId w:val="12"/>
        </w:numPr>
      </w:pPr>
      <w:r>
        <w:t>f</w:t>
      </w:r>
      <w:r w:rsidR="001A1F03" w:rsidRPr="006D3DFF">
        <w:t>orme</w:t>
      </w:r>
      <w:r w:rsidR="008445EF">
        <w:t xml:space="preserve">r Prime </w:t>
      </w:r>
      <w:r w:rsidR="001A1F03" w:rsidRPr="006D3DFF">
        <w:t>Ministers</w:t>
      </w:r>
    </w:p>
    <w:p w14:paraId="037EC63C" w14:textId="1A45CC38" w:rsidR="001A1F03" w:rsidRPr="006D3DFF" w:rsidRDefault="006D7242" w:rsidP="00971ECB">
      <w:pPr>
        <w:pStyle w:val="ListParagraph"/>
        <w:numPr>
          <w:ilvl w:val="0"/>
          <w:numId w:val="12"/>
        </w:numPr>
      </w:pPr>
      <w:r>
        <w:t>o</w:t>
      </w:r>
      <w:r w:rsidR="003126DE" w:rsidRPr="006D3DFF">
        <w:t xml:space="preserve">fficial </w:t>
      </w:r>
      <w:r>
        <w:t>e</w:t>
      </w:r>
      <w:r w:rsidR="003126DE" w:rsidRPr="006D3DFF">
        <w:t>stablishments</w:t>
      </w:r>
      <w:r w:rsidR="001204CE" w:rsidRPr="006D3DFF">
        <w:t>.</w:t>
      </w:r>
      <w:r w:rsidR="00B86423" w:rsidRPr="006D3DFF">
        <w:rPr>
          <w:rStyle w:val="FootnoteReference"/>
        </w:rPr>
        <w:footnoteReference w:id="56"/>
      </w:r>
    </w:p>
    <w:p w14:paraId="3187B0BB" w14:textId="77777777" w:rsidR="001A1F03" w:rsidRDefault="001A1F03" w:rsidP="001A1F03">
      <w:r>
        <w:t>Allocation</w:t>
      </w:r>
      <w:r w:rsidR="00EF71F0">
        <w:t>s</w:t>
      </w:r>
      <w:r>
        <w:t xml:space="preserve"> </w:t>
      </w:r>
      <w:r w:rsidR="00BC684F">
        <w:t xml:space="preserve">of personal staff </w:t>
      </w:r>
      <w:r>
        <w:t xml:space="preserve">to the </w:t>
      </w:r>
      <w:r w:rsidR="008866BD">
        <w:t>O</w:t>
      </w:r>
      <w:r>
        <w:t xml:space="preserve">pposition and minor parties </w:t>
      </w:r>
      <w:r w:rsidR="00EF71F0">
        <w:t>are</w:t>
      </w:r>
      <w:r>
        <w:t xml:space="preserve"> made to the leader of those parties for them to distribute across offices. </w:t>
      </w:r>
    </w:p>
    <w:p w14:paraId="3D93D3F8" w14:textId="77777777" w:rsidR="001A1F03" w:rsidRDefault="001A1F03" w:rsidP="001A1F03">
      <w:r>
        <w:t xml:space="preserve">As with electorate staff, personal staff terms and conditions are set out in the </w:t>
      </w:r>
      <w:r w:rsidR="00EF71F0">
        <w:t xml:space="preserve">MoP(S) </w:t>
      </w:r>
      <w:r>
        <w:t xml:space="preserve">Act, determined by the Prime Minister, in the </w:t>
      </w:r>
      <w:r w:rsidR="00982005">
        <w:t>EA</w:t>
      </w:r>
      <w:r>
        <w:t>, and in their employment contract.</w:t>
      </w:r>
    </w:p>
    <w:p w14:paraId="6B37A95B" w14:textId="77777777" w:rsidR="001A1F03" w:rsidRDefault="001A1F03" w:rsidP="001A1F03">
      <w:r>
        <w:t xml:space="preserve">Tenure of personal staff is linked to their employing parliamentarian and automatically terminates </w:t>
      </w:r>
      <w:r w:rsidR="00B94644">
        <w:t xml:space="preserve">in </w:t>
      </w:r>
      <w:r w:rsidR="008C0012">
        <w:t xml:space="preserve">certain </w:t>
      </w:r>
      <w:r w:rsidR="00B94644">
        <w:t>circumstances</w:t>
      </w:r>
      <w:r w:rsidR="008C0012">
        <w:t>,</w:t>
      </w:r>
      <w:r w:rsidR="00B94644">
        <w:t xml:space="preserve"> including</w:t>
      </w:r>
      <w:r>
        <w:t xml:space="preserve"> where the office</w:t>
      </w:r>
      <w:r w:rsidR="00B40D5C">
        <w:t>-</w:t>
      </w:r>
      <w:r>
        <w:t>holder ceases to hold office</w:t>
      </w:r>
      <w:r w:rsidRPr="004120C6">
        <w:t xml:space="preserve"> </w:t>
      </w:r>
      <w:r>
        <w:t>or has their section 12 determination revoked</w:t>
      </w:r>
      <w:r w:rsidR="00575DF6">
        <w:t>.</w:t>
      </w:r>
      <w:r>
        <w:rPr>
          <w:rStyle w:val="FootnoteReference"/>
        </w:rPr>
        <w:footnoteReference w:id="57"/>
      </w:r>
      <w:r>
        <w:t xml:space="preserve"> Other circumstances mirror Part IV automatic termination triggers </w:t>
      </w:r>
      <w:r w:rsidR="00062494">
        <w:t>–</w:t>
      </w:r>
      <w:r>
        <w:t xml:space="preserve"> if the office-holder dies, resigns, does not stand for re-election, or is defeated at election</w:t>
      </w:r>
      <w:r w:rsidR="00575DF6">
        <w:t>.</w:t>
      </w:r>
      <w:r>
        <w:rPr>
          <w:rStyle w:val="FootnoteReference"/>
        </w:rPr>
        <w:footnoteReference w:id="58"/>
      </w:r>
      <w:r>
        <w:t xml:space="preserve"> </w:t>
      </w:r>
      <w:r w:rsidR="00EF71F0">
        <w:t>This is discussed further in Chapter 6.</w:t>
      </w:r>
      <w:r>
        <w:t xml:space="preserve">  </w:t>
      </w:r>
    </w:p>
    <w:p w14:paraId="51690736" w14:textId="5F811CD3" w:rsidR="001A1F03" w:rsidRDefault="001A1F03" w:rsidP="001A1F03">
      <w:r>
        <w:t xml:space="preserve">As distinct from electorate staff, personal staff may be employed to provide political, media, policy and other </w:t>
      </w:r>
      <w:r w:rsidRPr="00B94644">
        <w:t xml:space="preserve">support. </w:t>
      </w:r>
      <w:r w:rsidR="006D7242">
        <w:t>A</w:t>
      </w:r>
      <w:r w:rsidR="004C0C9C" w:rsidRPr="00B94644">
        <w:t>ll s</w:t>
      </w:r>
      <w:r w:rsidRPr="00B94644">
        <w:t xml:space="preserve">taff of </w:t>
      </w:r>
      <w:r w:rsidR="002C6A83">
        <w:t>m</w:t>
      </w:r>
      <w:r w:rsidRPr="00B94644">
        <w:t>inisters are required</w:t>
      </w:r>
      <w:r>
        <w:t xml:space="preserve"> to comply with the Ministerial Staff Code of Conduct</w:t>
      </w:r>
      <w:r w:rsidR="006A0185">
        <w:t xml:space="preserve"> (</w:t>
      </w:r>
      <w:r w:rsidR="005B4DDE">
        <w:t xml:space="preserve">the </w:t>
      </w:r>
      <w:r w:rsidR="006A0185">
        <w:t>Ministerial Staff Code)</w:t>
      </w:r>
      <w:r w:rsidR="006D7242">
        <w:t>, including electorate staff</w:t>
      </w:r>
      <w:r w:rsidR="00035969">
        <w:t>.</w:t>
      </w:r>
      <w:r>
        <w:rPr>
          <w:rStyle w:val="FootnoteReference"/>
        </w:rPr>
        <w:footnoteReference w:id="59"/>
      </w:r>
      <w:r>
        <w:t xml:space="preserve"> </w:t>
      </w:r>
      <w:r w:rsidR="00035969">
        <w:t xml:space="preserve">For further information on accountability, </w:t>
      </w:r>
      <w:r w:rsidR="00EF71F0">
        <w:t>s</w:t>
      </w:r>
      <w:r>
        <w:t xml:space="preserve">ee </w:t>
      </w:r>
      <w:r w:rsidR="002B2F10">
        <w:t xml:space="preserve">Section </w:t>
      </w:r>
      <w:r w:rsidRPr="00275D41">
        <w:t>5.</w:t>
      </w:r>
      <w:r w:rsidR="00FC7507" w:rsidRPr="00275D41">
        <w:t>3</w:t>
      </w:r>
      <w:r>
        <w:t xml:space="preserve">. </w:t>
      </w:r>
    </w:p>
    <w:p w14:paraId="454685E6" w14:textId="77777777" w:rsidR="001A1F03" w:rsidRPr="0048523E" w:rsidRDefault="001A1F03" w:rsidP="00051BDA">
      <w:pPr>
        <w:pStyle w:val="Heading4"/>
      </w:pPr>
      <w:r>
        <w:t>What we heard</w:t>
      </w:r>
    </w:p>
    <w:p w14:paraId="3D8B95E2" w14:textId="3F692B35" w:rsidR="001A1F03" w:rsidRDefault="001A1F03" w:rsidP="001A1F03">
      <w:r>
        <w:t xml:space="preserve">The Review heard several </w:t>
      </w:r>
      <w:r w:rsidR="006F42C6">
        <w:t>views</w:t>
      </w:r>
      <w:r>
        <w:t xml:space="preserve"> </w:t>
      </w:r>
      <w:r w:rsidR="006F42C6">
        <w:t xml:space="preserve">about the </w:t>
      </w:r>
      <w:r>
        <w:t xml:space="preserve">distinction between the categories of MoP(S) Act </w:t>
      </w:r>
      <w:r w:rsidR="004165C0">
        <w:t>employees</w:t>
      </w:r>
      <w:r>
        <w:t xml:space="preserve">. </w:t>
      </w:r>
      <w:r w:rsidR="006F42C6">
        <w:t>Some c</w:t>
      </w:r>
      <w:r>
        <w:t xml:space="preserve">ontributors called for </w:t>
      </w:r>
      <w:r w:rsidRPr="006C12F9">
        <w:t>clear</w:t>
      </w:r>
      <w:r>
        <w:t>er</w:t>
      </w:r>
      <w:r w:rsidRPr="006C12F9">
        <w:t xml:space="preserve"> separation between </w:t>
      </w:r>
      <w:r w:rsidR="00D86EC0">
        <w:t>employees</w:t>
      </w:r>
      <w:r>
        <w:t xml:space="preserve"> in the </w:t>
      </w:r>
      <w:r w:rsidRPr="006C12F9">
        <w:t>executive and legislat</w:t>
      </w:r>
      <w:r w:rsidR="00F75E42">
        <w:t>ive</w:t>
      </w:r>
      <w:r w:rsidRPr="006C12F9">
        <w:t xml:space="preserve"> branches</w:t>
      </w:r>
      <w:r w:rsidR="00C06E61">
        <w:t xml:space="preserve"> and their lines of accountability</w:t>
      </w:r>
      <w:r w:rsidR="00575DF6">
        <w:t>.</w:t>
      </w:r>
      <w:r w:rsidR="00C06E61">
        <w:rPr>
          <w:rStyle w:val="FootnoteReference"/>
        </w:rPr>
        <w:footnoteReference w:id="60"/>
      </w:r>
      <w:r>
        <w:t xml:space="preserve"> Some suggested </w:t>
      </w:r>
      <w:r w:rsidR="006F42C6">
        <w:t xml:space="preserve">this requires </w:t>
      </w:r>
      <w:r w:rsidRPr="006C12F9">
        <w:t xml:space="preserve">two </w:t>
      </w:r>
      <w:r>
        <w:t xml:space="preserve">separate </w:t>
      </w:r>
      <w:r w:rsidRPr="006C12F9">
        <w:t xml:space="preserve">divisions </w:t>
      </w:r>
      <w:r w:rsidR="006F42C6">
        <w:t>for</w:t>
      </w:r>
      <w:r>
        <w:t xml:space="preserve"> </w:t>
      </w:r>
      <w:r w:rsidR="00C06E61">
        <w:t>employees</w:t>
      </w:r>
      <w:r>
        <w:t xml:space="preserve"> under the </w:t>
      </w:r>
      <w:r w:rsidR="00EB15B4">
        <w:t xml:space="preserve">MoP(S) </w:t>
      </w:r>
      <w:r>
        <w:t>Act,</w:t>
      </w:r>
      <w:r w:rsidR="00FC2C5B">
        <w:t xml:space="preserve"> </w:t>
      </w:r>
      <w:r>
        <w:t xml:space="preserve">including </w:t>
      </w:r>
      <w:r w:rsidRPr="006C12F9">
        <w:t xml:space="preserve">one </w:t>
      </w:r>
      <w:r>
        <w:t xml:space="preserve">specifically </w:t>
      </w:r>
      <w:r w:rsidRPr="006C12F9">
        <w:t xml:space="preserve">for the </w:t>
      </w:r>
      <w:r w:rsidR="00731237">
        <w:t>m</w:t>
      </w:r>
      <w:r w:rsidRPr="006C12F9">
        <w:t xml:space="preserve">inisterial </w:t>
      </w:r>
      <w:r>
        <w:t>staff, with related</w:t>
      </w:r>
      <w:r w:rsidRPr="006C12F9">
        <w:t xml:space="preserve"> duties and values</w:t>
      </w:r>
      <w:r>
        <w:t xml:space="preserve"> clearly set out under the </w:t>
      </w:r>
      <w:r w:rsidR="00EB15B4">
        <w:t xml:space="preserve">MoP(S) </w:t>
      </w:r>
      <w:r w:rsidRPr="006C12F9">
        <w:t>Act</w:t>
      </w:r>
      <w:r>
        <w:t>.</w:t>
      </w:r>
      <w:r w:rsidRPr="006C12F9">
        <w:t xml:space="preserve"> </w:t>
      </w:r>
      <w:r w:rsidR="00FC2C5B" w:rsidRPr="00F95129">
        <w:t xml:space="preserve">Some suggested electorate employees, even those of </w:t>
      </w:r>
      <w:r w:rsidR="00731237">
        <w:t>m</w:t>
      </w:r>
      <w:r w:rsidR="00FC2C5B" w:rsidRPr="00F95129">
        <w:t>inisters, should be distinguished because of their functions</w:t>
      </w:r>
      <w:r w:rsidR="00575DF6" w:rsidRPr="00F95129">
        <w:t>.</w:t>
      </w:r>
      <w:r w:rsidR="00FC2C5B" w:rsidRPr="00F95129">
        <w:rPr>
          <w:rStyle w:val="FootnoteReference"/>
        </w:rPr>
        <w:footnoteReference w:id="61"/>
      </w:r>
    </w:p>
    <w:p w14:paraId="2F01C3F6" w14:textId="001EEC0F" w:rsidR="001A1F03" w:rsidRDefault="001A1F03" w:rsidP="001A1F03">
      <w:r>
        <w:t xml:space="preserve">The Review heard a </w:t>
      </w:r>
      <w:r w:rsidR="00731237">
        <w:t>recurring</w:t>
      </w:r>
      <w:r>
        <w:t xml:space="preserve"> theme around increasing clarity and reducing complexity in the </w:t>
      </w:r>
      <w:r w:rsidR="00EB15B4">
        <w:t xml:space="preserve">MoP(S) </w:t>
      </w:r>
      <w:r>
        <w:t xml:space="preserve">Act by merging Parts III and IV of the </w:t>
      </w:r>
      <w:r w:rsidR="00EB15B4">
        <w:t xml:space="preserve">MoP(S) </w:t>
      </w:r>
      <w:r>
        <w:t>Act</w:t>
      </w:r>
      <w:r w:rsidR="00BC4D55">
        <w:t>.</w:t>
      </w:r>
      <w:r w:rsidR="00E716FA" w:rsidRPr="00275D41">
        <w:rPr>
          <w:rStyle w:val="FootnoteReference"/>
        </w:rPr>
        <w:footnoteReference w:id="62"/>
      </w:r>
      <w:r>
        <w:t xml:space="preserve"> </w:t>
      </w:r>
    </w:p>
    <w:p w14:paraId="71C78B6E" w14:textId="77777777" w:rsidR="001A1F03" w:rsidRDefault="001A1F03" w:rsidP="001A1F03"/>
    <w:p w14:paraId="0F3CFDB7" w14:textId="77777777" w:rsidR="001A1F03" w:rsidRPr="00FB2AAF" w:rsidRDefault="001A1F03" w:rsidP="00051BDA">
      <w:pPr>
        <w:pStyle w:val="Heading3"/>
        <w:rPr>
          <w:rFonts w:eastAsiaTheme="minorHAnsi"/>
        </w:rPr>
      </w:pPr>
      <w:r>
        <w:rPr>
          <w:rFonts w:eastAsiaTheme="minorHAnsi"/>
        </w:rPr>
        <w:t xml:space="preserve">3.2.2 </w:t>
      </w:r>
      <w:r w:rsidRPr="00FB2AAF">
        <w:rPr>
          <w:rFonts w:eastAsiaTheme="minorHAnsi"/>
        </w:rPr>
        <w:t>Options for improvement</w:t>
      </w:r>
    </w:p>
    <w:p w14:paraId="31DE079C" w14:textId="6A1BB54B" w:rsidR="00B94644" w:rsidRDefault="00B94644" w:rsidP="001A1F03">
      <w:r>
        <w:t xml:space="preserve">The current </w:t>
      </w:r>
      <w:r w:rsidR="000D47C9">
        <w:t xml:space="preserve">provisions </w:t>
      </w:r>
      <w:r>
        <w:t xml:space="preserve">for </w:t>
      </w:r>
      <w:r w:rsidR="001A1F03">
        <w:t xml:space="preserve">the engagement of </w:t>
      </w:r>
      <w:r w:rsidR="00F559B6">
        <w:t>employees</w:t>
      </w:r>
      <w:r w:rsidR="001A1F03">
        <w:t xml:space="preserve"> under Part III </w:t>
      </w:r>
      <w:r w:rsidR="00E1697B">
        <w:t>and</w:t>
      </w:r>
      <w:r w:rsidR="001A1F03">
        <w:t xml:space="preserve"> Part IV</w:t>
      </w:r>
      <w:r w:rsidR="00E1697B">
        <w:t xml:space="preserve"> </w:t>
      </w:r>
      <w:r w:rsidR="000D47C9">
        <w:t>are</w:t>
      </w:r>
      <w:r w:rsidR="001A1F03">
        <w:t xml:space="preserve"> duplicative, create confusion and add to the burden of administering MoP(S) Act employment. </w:t>
      </w:r>
    </w:p>
    <w:p w14:paraId="2DD6B301" w14:textId="24A59279" w:rsidR="00D463ED" w:rsidRDefault="001A1F03" w:rsidP="00D463ED">
      <w:r>
        <w:t xml:space="preserve">There have been calls </w:t>
      </w:r>
      <w:r w:rsidR="0031758C">
        <w:t xml:space="preserve">for a number of years </w:t>
      </w:r>
      <w:r>
        <w:t xml:space="preserve">to restructure the </w:t>
      </w:r>
      <w:r w:rsidR="00EB15B4">
        <w:t xml:space="preserve">MoP(S) </w:t>
      </w:r>
      <w:r>
        <w:t xml:space="preserve">Act to address this </w:t>
      </w:r>
      <w:r w:rsidR="0031758C">
        <w:t>point</w:t>
      </w:r>
      <w:r w:rsidR="00521FE8">
        <w:t>.</w:t>
      </w:r>
      <w:r>
        <w:rPr>
          <w:rStyle w:val="FootnoteReference"/>
        </w:rPr>
        <w:footnoteReference w:id="63"/>
      </w:r>
      <w:r w:rsidR="00B94644">
        <w:t xml:space="preserve"> </w:t>
      </w:r>
      <w:r w:rsidR="00D463ED">
        <w:t xml:space="preserve">Streamlining the employment powers and terms and conditions under </w:t>
      </w:r>
      <w:r w:rsidR="00343977">
        <w:t>a single</w:t>
      </w:r>
      <w:r w:rsidR="00D463ED">
        <w:t xml:space="preserve"> Part </w:t>
      </w:r>
      <w:r w:rsidR="00343977">
        <w:t>in</w:t>
      </w:r>
      <w:r w:rsidR="00D463ED">
        <w:t xml:space="preserve"> the </w:t>
      </w:r>
      <w:r w:rsidR="00EB15B4">
        <w:t xml:space="preserve">MoP(S) </w:t>
      </w:r>
      <w:r w:rsidR="00D463ED">
        <w:t>Act would facilitate standardised terms and conditions</w:t>
      </w:r>
      <w:r w:rsidR="00D463ED" w:rsidRPr="00B02413">
        <w:t xml:space="preserve"> </w:t>
      </w:r>
      <w:r w:rsidR="00D463ED">
        <w:t xml:space="preserve">to the extent they apply to all MoP(S) Act </w:t>
      </w:r>
      <w:r w:rsidR="00F559B6">
        <w:t>employees</w:t>
      </w:r>
      <w:r w:rsidR="00343977">
        <w:t>. T</w:t>
      </w:r>
      <w:r w:rsidR="00D463ED">
        <w:t xml:space="preserve">he categories of staff allows for </w:t>
      </w:r>
      <w:r w:rsidR="00D463ED" w:rsidRPr="00480D14">
        <w:t>differentiat</w:t>
      </w:r>
      <w:r w:rsidR="00D463ED">
        <w:t>ion</w:t>
      </w:r>
      <w:r w:rsidR="00D463ED" w:rsidRPr="00480D14">
        <w:t xml:space="preserve"> when needed (</w:t>
      </w:r>
      <w:r w:rsidR="00D463ED">
        <w:t>see</w:t>
      </w:r>
      <w:r w:rsidR="00D6075F">
        <w:t>,</w:t>
      </w:r>
      <w:r w:rsidR="00D463ED">
        <w:t xml:space="preserve"> for example, Section </w:t>
      </w:r>
      <w:r w:rsidR="00D463ED" w:rsidRPr="00343977">
        <w:t>6.5</w:t>
      </w:r>
      <w:r w:rsidR="00D463ED">
        <w:t xml:space="preserve"> on </w:t>
      </w:r>
      <w:r w:rsidR="00D463ED" w:rsidRPr="00480D14">
        <w:t xml:space="preserve">automatic termination). </w:t>
      </w:r>
    </w:p>
    <w:p w14:paraId="209E0435" w14:textId="4660A382" w:rsidR="00D463ED" w:rsidRDefault="00B94644" w:rsidP="00B94644">
      <w:r w:rsidRPr="004A1C5B">
        <w:t>Most</w:t>
      </w:r>
      <w:r>
        <w:t xml:space="preserve"> other </w:t>
      </w:r>
      <w:r w:rsidR="00F559B6">
        <w:t>jurisdiction</w:t>
      </w:r>
      <w:r w:rsidR="00625206">
        <w:t>s</w:t>
      </w:r>
      <w:r w:rsidR="00F559B6">
        <w:t xml:space="preserve"> distinguish </w:t>
      </w:r>
      <w:r>
        <w:t>between electorate staff and personal staff</w:t>
      </w:r>
      <w:r w:rsidR="00F559B6">
        <w:t xml:space="preserve"> in their MoP(S) Act equivalent legislation</w:t>
      </w:r>
      <w:r>
        <w:t>.</w:t>
      </w:r>
      <w:r>
        <w:rPr>
          <w:rStyle w:val="FootnoteReference"/>
        </w:rPr>
        <w:footnoteReference w:id="64"/>
      </w:r>
      <w:r>
        <w:t xml:space="preserve"> </w:t>
      </w:r>
      <w:r w:rsidR="00946EE2">
        <w:t>I</w:t>
      </w:r>
      <w:r w:rsidR="001A1F03" w:rsidRPr="00480D14">
        <w:t xml:space="preserve">n Victoria, personal staff are further delineated between </w:t>
      </w:r>
      <w:r w:rsidR="00C20022">
        <w:t>the pe</w:t>
      </w:r>
      <w:r w:rsidR="001A1F03" w:rsidRPr="00480D14">
        <w:t xml:space="preserve">rsonal </w:t>
      </w:r>
      <w:r w:rsidR="00C20022">
        <w:t>staff of m</w:t>
      </w:r>
      <w:r w:rsidR="001A1F03" w:rsidRPr="00480D14">
        <w:t>inister</w:t>
      </w:r>
      <w:r w:rsidR="00C20022">
        <w:t>s</w:t>
      </w:r>
      <w:r w:rsidR="001A1F03" w:rsidRPr="00480D14">
        <w:t xml:space="preserve"> and </w:t>
      </w:r>
      <w:r w:rsidR="00C20022">
        <w:t>s</w:t>
      </w:r>
      <w:r w:rsidR="001A1F03" w:rsidRPr="00480D14">
        <w:t xml:space="preserve">hadow </w:t>
      </w:r>
      <w:r w:rsidR="00C20022">
        <w:t>m</w:t>
      </w:r>
      <w:r w:rsidR="001A1F03" w:rsidRPr="00480D14">
        <w:t>inister</w:t>
      </w:r>
      <w:r w:rsidR="00C20022">
        <w:t>s,</w:t>
      </w:r>
      <w:r w:rsidR="001A1F03" w:rsidRPr="00480D14">
        <w:t xml:space="preserve"> and </w:t>
      </w:r>
      <w:r w:rsidR="00C20022">
        <w:t>p</w:t>
      </w:r>
      <w:r w:rsidR="001A1F03" w:rsidRPr="00480D14">
        <w:t>ersonal</w:t>
      </w:r>
      <w:r w:rsidR="00C20022">
        <w:t xml:space="preserve"> staff of</w:t>
      </w:r>
      <w:r w:rsidR="001A1F03" w:rsidRPr="00480D14">
        <w:t xml:space="preserve"> other</w:t>
      </w:r>
      <w:r w:rsidR="00C20022">
        <w:t xml:space="preserve"> parliamentarians</w:t>
      </w:r>
      <w:r w:rsidR="001A1F03" w:rsidRPr="00480D14">
        <w:t>. In South Australia</w:t>
      </w:r>
      <w:r w:rsidR="00783E34">
        <w:t xml:space="preserve"> (SA)</w:t>
      </w:r>
      <w:r w:rsidR="001A1F03" w:rsidRPr="00480D14">
        <w:t xml:space="preserve"> and Queenslan</w:t>
      </w:r>
      <w:r>
        <w:t>d</w:t>
      </w:r>
      <w:r w:rsidR="00974620">
        <w:t>,</w:t>
      </w:r>
      <w:r w:rsidR="00783E34">
        <w:t xml:space="preserve"> </w:t>
      </w:r>
      <w:r w:rsidR="001A1F03" w:rsidRPr="00480D14">
        <w:t xml:space="preserve">the delineation is </w:t>
      </w:r>
      <w:r w:rsidR="00C20022">
        <w:t>between p</w:t>
      </w:r>
      <w:r w:rsidR="001A1F03" w:rsidRPr="00480D14">
        <w:t>ersonal</w:t>
      </w:r>
      <w:r w:rsidR="00C20022">
        <w:t xml:space="preserve"> staff of m</w:t>
      </w:r>
      <w:r w:rsidR="001A1F03" w:rsidRPr="00480D14">
        <w:t>inister</w:t>
      </w:r>
      <w:r w:rsidR="00C20022">
        <w:t>s</w:t>
      </w:r>
      <w:r w:rsidR="001A1F03" w:rsidRPr="00480D14">
        <w:t xml:space="preserve"> and</w:t>
      </w:r>
      <w:r w:rsidR="001A1F03">
        <w:t xml:space="preserve"> </w:t>
      </w:r>
      <w:r w:rsidR="00C20022">
        <w:t>p</w:t>
      </w:r>
      <w:r w:rsidR="001A1F03">
        <w:t xml:space="preserve">ersonal </w:t>
      </w:r>
      <w:r w:rsidR="00C20022">
        <w:t xml:space="preserve">staff of </w:t>
      </w:r>
      <w:r w:rsidR="001A1F03">
        <w:t>other</w:t>
      </w:r>
      <w:r w:rsidR="00C20022">
        <w:t xml:space="preserve"> parliamentarians</w:t>
      </w:r>
      <w:r w:rsidR="001A1F03">
        <w:t xml:space="preserve">, including </w:t>
      </w:r>
      <w:r w:rsidR="00C20022">
        <w:t>s</w:t>
      </w:r>
      <w:r w:rsidR="001A1F03">
        <w:t xml:space="preserve">hadow </w:t>
      </w:r>
      <w:r w:rsidR="00C20022">
        <w:t>m</w:t>
      </w:r>
      <w:r w:rsidR="001A1F03">
        <w:t>inister</w:t>
      </w:r>
      <w:r w:rsidR="00C20022">
        <w:t>s</w:t>
      </w:r>
      <w:r w:rsidR="00946EE2">
        <w:t>.</w:t>
      </w:r>
      <w:r>
        <w:t xml:space="preserve"> </w:t>
      </w:r>
      <w:r w:rsidR="00D463ED">
        <w:t>In N</w:t>
      </w:r>
      <w:r w:rsidR="00783E34">
        <w:t xml:space="preserve">ew </w:t>
      </w:r>
      <w:r w:rsidR="00D463ED">
        <w:t>S</w:t>
      </w:r>
      <w:r w:rsidR="00783E34">
        <w:t xml:space="preserve">outh </w:t>
      </w:r>
      <w:r w:rsidR="00D463ED">
        <w:t>W</w:t>
      </w:r>
      <w:r w:rsidR="00783E34">
        <w:t>ales</w:t>
      </w:r>
      <w:r w:rsidR="00D463ED">
        <w:t xml:space="preserve">, there are </w:t>
      </w:r>
      <w:r w:rsidR="00C20022">
        <w:t>‘s</w:t>
      </w:r>
      <w:r w:rsidR="00D463ED" w:rsidRPr="002B0311">
        <w:t xml:space="preserve">taff of </w:t>
      </w:r>
      <w:r w:rsidR="00C20022">
        <w:t>m</w:t>
      </w:r>
      <w:r w:rsidR="00D463ED" w:rsidRPr="002B0311">
        <w:t xml:space="preserve">embers of </w:t>
      </w:r>
      <w:r w:rsidR="00C20022">
        <w:t>p</w:t>
      </w:r>
      <w:r w:rsidR="00D463ED" w:rsidRPr="002B0311">
        <w:t>arliament</w:t>
      </w:r>
      <w:r w:rsidR="00C20022">
        <w:t>’</w:t>
      </w:r>
      <w:r w:rsidR="00D463ED" w:rsidRPr="002B0311">
        <w:t xml:space="preserve"> and </w:t>
      </w:r>
      <w:r w:rsidR="00C20022">
        <w:t>‘s</w:t>
      </w:r>
      <w:r w:rsidR="00D463ED" w:rsidRPr="002B0311">
        <w:t xml:space="preserve">taff </w:t>
      </w:r>
      <w:r w:rsidR="00D463ED">
        <w:t xml:space="preserve">of </w:t>
      </w:r>
      <w:r w:rsidR="00C20022">
        <w:t>s</w:t>
      </w:r>
      <w:r w:rsidR="00D463ED">
        <w:t xml:space="preserve">pecial </w:t>
      </w:r>
      <w:r w:rsidR="00C20022">
        <w:t>o</w:t>
      </w:r>
      <w:r w:rsidR="00D463ED">
        <w:t xml:space="preserve">ffice </w:t>
      </w:r>
      <w:r w:rsidR="00C20022">
        <w:t>h</w:t>
      </w:r>
      <w:r w:rsidR="00D463ED">
        <w:t>olders</w:t>
      </w:r>
      <w:r w:rsidR="00C20022">
        <w:t>’</w:t>
      </w:r>
      <w:r w:rsidR="00D463ED">
        <w:t>.</w:t>
      </w:r>
      <w:r w:rsidR="00D463ED" w:rsidRPr="002B0311">
        <w:t xml:space="preserve"> </w:t>
      </w:r>
      <w:r w:rsidR="00D463ED">
        <w:t>In the UK</w:t>
      </w:r>
      <w:r w:rsidR="00DC208B">
        <w:t>, ‘s</w:t>
      </w:r>
      <w:r w:rsidR="00D463ED">
        <w:t xml:space="preserve">pecial </w:t>
      </w:r>
      <w:r w:rsidR="00DC208B">
        <w:t>a</w:t>
      </w:r>
      <w:r w:rsidR="00D463ED">
        <w:t>dvisers</w:t>
      </w:r>
      <w:r w:rsidR="00DC208B">
        <w:t>’</w:t>
      </w:r>
      <w:r w:rsidR="00D463ED">
        <w:t xml:space="preserve"> are political advisers to Ministers and are </w:t>
      </w:r>
      <w:r w:rsidR="00F85141">
        <w:t>subject to</w:t>
      </w:r>
      <w:r w:rsidR="00D463ED">
        <w:t xml:space="preserve"> accountability </w:t>
      </w:r>
      <w:r w:rsidR="00F85141">
        <w:t xml:space="preserve">mechanisms </w:t>
      </w:r>
      <w:r w:rsidR="00D463ED">
        <w:t xml:space="preserve">(for example, they are bound by a </w:t>
      </w:r>
      <w:r w:rsidR="003C6A1B">
        <w:t>c</w:t>
      </w:r>
      <w:r w:rsidR="00020D6B">
        <w:t>ode</w:t>
      </w:r>
      <w:r w:rsidR="00D463ED">
        <w:t xml:space="preserve"> of </w:t>
      </w:r>
      <w:r w:rsidR="003C6A1B">
        <w:t>c</w:t>
      </w:r>
      <w:r w:rsidR="00020D6B">
        <w:t>onduct</w:t>
      </w:r>
      <w:r w:rsidR="00DC208B">
        <w:t>,</w:t>
      </w:r>
      <w:r w:rsidR="00D463ED">
        <w:t xml:space="preserve"> accountable to their ministers for their conduct, and required to complete a declaration of interest). Similarly</w:t>
      </w:r>
      <w:r w:rsidR="00DC208B">
        <w:t>,</w:t>
      </w:r>
      <w:r w:rsidR="00D463ED">
        <w:t xml:space="preserve"> rules apply for certain House of Lords </w:t>
      </w:r>
      <w:r w:rsidR="00DC208B">
        <w:t>m</w:t>
      </w:r>
      <w:r w:rsidR="00D463ED">
        <w:t xml:space="preserve">embers’ staff who are required to comply with a </w:t>
      </w:r>
      <w:r w:rsidR="00FA463A">
        <w:t>c</w:t>
      </w:r>
      <w:r w:rsidR="00020D6B">
        <w:t>ode</w:t>
      </w:r>
      <w:r w:rsidR="00D463ED">
        <w:t xml:space="preserve"> of </w:t>
      </w:r>
      <w:r w:rsidR="00FA463A">
        <w:t>c</w:t>
      </w:r>
      <w:r w:rsidR="00020D6B">
        <w:t>onduct</w:t>
      </w:r>
      <w:r w:rsidR="00D463ED">
        <w:t xml:space="preserve">. Non-government political staff are employed under resolution of each house of parliament – to distinguish the staff from ministerial advisers. </w:t>
      </w:r>
    </w:p>
    <w:p w14:paraId="69142CBC" w14:textId="51BF888A" w:rsidR="00D463ED" w:rsidRDefault="00D463ED" w:rsidP="00D463ED">
      <w:r>
        <w:t xml:space="preserve">Personal staff of </w:t>
      </w:r>
      <w:r w:rsidR="0043496C">
        <w:t>m</w:t>
      </w:r>
      <w:r>
        <w:t xml:space="preserve">inisters work in a different arm of government (the </w:t>
      </w:r>
      <w:r w:rsidR="0043496C">
        <w:t>e</w:t>
      </w:r>
      <w:r>
        <w:t xml:space="preserve">xecutive) to other MoP(S) Act </w:t>
      </w:r>
      <w:r w:rsidR="00EF05B2">
        <w:t>employees</w:t>
      </w:r>
      <w:r>
        <w:t xml:space="preserve"> (the </w:t>
      </w:r>
      <w:r w:rsidR="0043496C">
        <w:t>p</w:t>
      </w:r>
      <w:r>
        <w:t xml:space="preserve">arliament). Articulating a distinct category of </w:t>
      </w:r>
      <w:r w:rsidR="00791CF4">
        <w:t>m</w:t>
      </w:r>
      <w:r>
        <w:t xml:space="preserve">inisterial personal staff permits a different level of scrutiny and accountability to apply to </w:t>
      </w:r>
      <w:r w:rsidR="005B4DDE">
        <w:t xml:space="preserve">employees </w:t>
      </w:r>
      <w:r>
        <w:t xml:space="preserve">in the </w:t>
      </w:r>
      <w:r w:rsidR="0043496C">
        <w:t>e</w:t>
      </w:r>
      <w:r>
        <w:t>xecutive arm of government (e.g. the Ministerial Staff Code</w:t>
      </w:r>
      <w:r w:rsidDel="005B4DDE">
        <w:t xml:space="preserve"> </w:t>
      </w:r>
      <w:r>
        <w:t xml:space="preserve">which only applies to personal staff of </w:t>
      </w:r>
      <w:r w:rsidR="0043496C">
        <w:t>m</w:t>
      </w:r>
      <w:r>
        <w:t xml:space="preserve">inisters, see also Section </w:t>
      </w:r>
      <w:r w:rsidR="00275D41" w:rsidRPr="00275D41">
        <w:t>5</w:t>
      </w:r>
      <w:r w:rsidRPr="00275D41">
        <w:t>.3</w:t>
      </w:r>
      <w:r>
        <w:t xml:space="preserve"> re accountability). </w:t>
      </w:r>
    </w:p>
    <w:p w14:paraId="46050D13" w14:textId="77777777" w:rsidR="00594B7C" w:rsidRDefault="00594B7C" w:rsidP="001A1F03">
      <w:pPr>
        <w:rPr>
          <w:b/>
        </w:rPr>
      </w:pPr>
    </w:p>
    <w:p w14:paraId="4AD37781" w14:textId="486BA151" w:rsidR="001A1F03" w:rsidRDefault="00AD5904" w:rsidP="00051BDA">
      <w:pPr>
        <w:pStyle w:val="Heading3"/>
      </w:pPr>
      <w:r>
        <w:t xml:space="preserve">3.2.3 </w:t>
      </w:r>
      <w:r w:rsidR="001A1F03">
        <w:t>Conclusion</w:t>
      </w:r>
    </w:p>
    <w:p w14:paraId="2D9C7564" w14:textId="77777777" w:rsidR="001A1F03" w:rsidRDefault="001A1F03" w:rsidP="001A1F03">
      <w:r>
        <w:t>The Review recommends reframing the</w:t>
      </w:r>
      <w:r w:rsidR="00D463ED">
        <w:t xml:space="preserve"> relevant part of the MoP(S)</w:t>
      </w:r>
      <w:r>
        <w:t xml:space="preserve"> Act to focus on the role of the employee (personal staff or electorate staff) rather than the role of their employing parliamentarian. </w:t>
      </w:r>
    </w:p>
    <w:p w14:paraId="66505BE3" w14:textId="773BC6F5" w:rsidR="00600F75" w:rsidRDefault="001A1F03" w:rsidP="001A1F03">
      <w:r>
        <w:t xml:space="preserve">Three categories of MoP(S) Act </w:t>
      </w:r>
      <w:r w:rsidR="00C84338">
        <w:t>employees</w:t>
      </w:r>
      <w:r>
        <w:t xml:space="preserve"> should be defined in the </w:t>
      </w:r>
      <w:r w:rsidR="00EB15B4">
        <w:t xml:space="preserve">MoP(S) </w:t>
      </w:r>
      <w:r>
        <w:t xml:space="preserve">Act under one Part: a) electorate </w:t>
      </w:r>
      <w:r w:rsidR="0010721C">
        <w:t>employee</w:t>
      </w:r>
      <w:r w:rsidR="00F7196D">
        <w:t>s</w:t>
      </w:r>
      <w:r>
        <w:t xml:space="preserve"> b) personal </w:t>
      </w:r>
      <w:r w:rsidR="0010721C">
        <w:t>employee</w:t>
      </w:r>
      <w:r w:rsidR="00F7196D">
        <w:t>s</w:t>
      </w:r>
      <w:r>
        <w:t xml:space="preserve"> – </w:t>
      </w:r>
      <w:r w:rsidR="00C84338">
        <w:t>m</w:t>
      </w:r>
      <w:r>
        <w:t>inisterial</w:t>
      </w:r>
      <w:r w:rsidR="00521FE8">
        <w:t>,</w:t>
      </w:r>
      <w:r>
        <w:rPr>
          <w:rStyle w:val="FootnoteReference"/>
        </w:rPr>
        <w:footnoteReference w:id="65"/>
      </w:r>
      <w:r>
        <w:t xml:space="preserve"> and c) personal </w:t>
      </w:r>
      <w:r w:rsidR="00F7196D">
        <w:t xml:space="preserve">employees </w:t>
      </w:r>
      <w:r>
        <w:t xml:space="preserve">– other (to be determined by the Prime Minister consistent with the current determination powers under the </w:t>
      </w:r>
      <w:r w:rsidR="00EB15B4">
        <w:t xml:space="preserve">MoP(S) </w:t>
      </w:r>
      <w:r>
        <w:t>Act</w:t>
      </w:r>
      <w:r w:rsidR="00D463ED">
        <w:t>)</w:t>
      </w:r>
      <w:r w:rsidR="006D52AC">
        <w:t>. Currently t</w:t>
      </w:r>
      <w:r w:rsidR="006D52AC" w:rsidRPr="005D23D9">
        <w:t xml:space="preserve">his includes staff of </w:t>
      </w:r>
      <w:r w:rsidR="00126B89">
        <w:t>shadow m</w:t>
      </w:r>
      <w:r w:rsidR="006D52AC" w:rsidRPr="005D23D9">
        <w:t>inisters, minor parties, independent</w:t>
      </w:r>
      <w:r w:rsidR="006D52AC">
        <w:t>s</w:t>
      </w:r>
      <w:r w:rsidR="006D52AC" w:rsidRPr="005D23D9">
        <w:t xml:space="preserve">, </w:t>
      </w:r>
      <w:r w:rsidR="00126B89">
        <w:t>presiding officers, w</w:t>
      </w:r>
      <w:r w:rsidR="006D52AC" w:rsidRPr="005D23D9">
        <w:t>hips and former Prime Ministers (i</w:t>
      </w:r>
      <w:r w:rsidR="006D52AC">
        <w:t xml:space="preserve">ncluding advisers and drivers), </w:t>
      </w:r>
      <w:r w:rsidR="006D52AC" w:rsidRPr="005D23D9">
        <w:t xml:space="preserve">staff employed at </w:t>
      </w:r>
      <w:r w:rsidR="006D52AC">
        <w:t>official residences,</w:t>
      </w:r>
      <w:r>
        <w:t xml:space="preserve">. </w:t>
      </w:r>
      <w:r w:rsidR="00E816B6" w:rsidRPr="00FA1C92">
        <w:t>On occasion</w:t>
      </w:r>
      <w:r w:rsidR="00241CF6">
        <w:t>,</w:t>
      </w:r>
      <w:r w:rsidR="00E816B6" w:rsidRPr="00FA1C92">
        <w:t xml:space="preserve"> additional accountabilities (such as Ministerial Staff Code) will apply to electorate employees engaged by </w:t>
      </w:r>
      <w:r w:rsidR="00514FBE">
        <w:t>m</w:t>
      </w:r>
      <w:r w:rsidR="00E816B6" w:rsidRPr="00FA1C92">
        <w:t>inisters.</w:t>
      </w:r>
      <w:r w:rsidR="00E816B6">
        <w:t xml:space="preserve"> </w:t>
      </w:r>
      <w:r>
        <w:t xml:space="preserve">The </w:t>
      </w:r>
      <w:r w:rsidR="00126B89" w:rsidRPr="00126B89">
        <w:t xml:space="preserve">2003 Senate Finance and Public Administration References Committee </w:t>
      </w:r>
      <w:r w:rsidR="00F354DD">
        <w:t>i</w:t>
      </w:r>
      <w:r w:rsidR="00126B89" w:rsidRPr="00126B89">
        <w:t xml:space="preserve">nquiry </w:t>
      </w:r>
      <w:r w:rsidR="00126B89">
        <w:t>into the MoP(S) Act</w:t>
      </w:r>
      <w:r>
        <w:t xml:space="preserve"> made a similar recommendation to restructure the </w:t>
      </w:r>
      <w:r w:rsidR="00EB15B4">
        <w:t xml:space="preserve">MoP(S) </w:t>
      </w:r>
      <w:r>
        <w:t>Act to define the different categories of MoP(S) Act employment</w:t>
      </w:r>
      <w:r w:rsidR="00521FE8">
        <w:t>.</w:t>
      </w:r>
      <w:r>
        <w:rPr>
          <w:rStyle w:val="FootnoteReference"/>
        </w:rPr>
        <w:footnoteReference w:id="66"/>
      </w:r>
      <w:r>
        <w:t xml:space="preserve"> </w:t>
      </w:r>
    </w:p>
    <w:p w14:paraId="0B35E203" w14:textId="77777777" w:rsidR="00C34C2C" w:rsidRDefault="00C34C2C" w:rsidP="001A1F03"/>
    <w:p w14:paraId="33E1F625" w14:textId="5C04FE90" w:rsidR="001A1F03" w:rsidRDefault="001A1F03" w:rsidP="00971ECB">
      <w:pPr>
        <w:pStyle w:val="BOXHeading2"/>
      </w:pPr>
      <w:bookmarkStart w:id="2360" w:name="_Toc114230866"/>
      <w:bookmarkStart w:id="2361" w:name="_Toc114232923"/>
      <w:bookmarkStart w:id="2362" w:name="_Toc114233571"/>
      <w:bookmarkStart w:id="2363" w:name="_Toc114233643"/>
      <w:bookmarkStart w:id="2364" w:name="_Toc114240598"/>
      <w:bookmarkStart w:id="2365" w:name="_Toc114240672"/>
      <w:bookmarkStart w:id="2366" w:name="_Toc114241016"/>
      <w:bookmarkStart w:id="2367" w:name="_Toc114494039"/>
      <w:bookmarkStart w:id="2368" w:name="_Toc114500290"/>
      <w:bookmarkStart w:id="2369" w:name="_Toc114500365"/>
      <w:bookmarkStart w:id="2370" w:name="_Toc114518638"/>
      <w:bookmarkStart w:id="2371" w:name="_Toc114520310"/>
      <w:bookmarkStart w:id="2372" w:name="_Toc114520719"/>
      <w:bookmarkStart w:id="2373" w:name="_Toc114565747"/>
      <w:bookmarkStart w:id="2374" w:name="_Toc114566728"/>
      <w:bookmarkStart w:id="2375" w:name="_Toc114566953"/>
      <w:bookmarkStart w:id="2376" w:name="_Toc114566877"/>
      <w:bookmarkStart w:id="2377" w:name="_Toc114585878"/>
      <w:bookmarkStart w:id="2378" w:name="_Toc114586022"/>
      <w:bookmarkStart w:id="2379" w:name="_Toc114586094"/>
      <w:bookmarkStart w:id="2380" w:name="_Toc114601234"/>
      <w:bookmarkStart w:id="2381" w:name="_Toc114657275"/>
      <w:bookmarkStart w:id="2382" w:name="_Toc114659737"/>
      <w:bookmarkStart w:id="2383" w:name="_Toc114662722"/>
      <w:bookmarkStart w:id="2384" w:name="_Toc114665106"/>
      <w:bookmarkStart w:id="2385" w:name="_Toc114672415"/>
      <w:bookmarkStart w:id="2386" w:name="_Toc114672627"/>
      <w:bookmarkStart w:id="2387" w:name="_Toc114673182"/>
      <w:bookmarkStart w:id="2388" w:name="_Toc114673768"/>
      <w:bookmarkStart w:id="2389" w:name="_Toc114674293"/>
      <w:bookmarkStart w:id="2390" w:name="_Toc114687466"/>
      <w:bookmarkStart w:id="2391" w:name="_Toc114689930"/>
      <w:bookmarkStart w:id="2392" w:name="_Toc114731793"/>
      <w:bookmarkStart w:id="2393" w:name="_Toc114733558"/>
      <w:bookmarkStart w:id="2394" w:name="_Toc114735499"/>
      <w:bookmarkStart w:id="2395" w:name="_Toc114755829"/>
      <w:bookmarkStart w:id="2396" w:name="_Toc114757134"/>
      <w:bookmarkStart w:id="2397" w:name="_Toc114757418"/>
      <w:bookmarkStart w:id="2398" w:name="_Toc114757520"/>
      <w:bookmarkStart w:id="2399" w:name="_Toc114758193"/>
      <w:bookmarkStart w:id="2400" w:name="_Toc114824363"/>
      <w:bookmarkStart w:id="2401" w:name="_Toc114829439"/>
      <w:bookmarkStart w:id="2402" w:name="_Toc114829803"/>
      <w:bookmarkStart w:id="2403" w:name="_Toc114829770"/>
      <w:bookmarkStart w:id="2404" w:name="_Toc114829947"/>
      <w:bookmarkStart w:id="2405" w:name="_Toc115099026"/>
      <w:bookmarkStart w:id="2406" w:name="_Toc115099098"/>
      <w:bookmarkStart w:id="2407" w:name="_Toc115101675"/>
      <w:bookmarkStart w:id="2408" w:name="_Toc115102520"/>
      <w:bookmarkStart w:id="2409" w:name="_Toc115105493"/>
      <w:bookmarkStart w:id="2410" w:name="_Toc115110354"/>
      <w:bookmarkStart w:id="2411" w:name="_Toc115110481"/>
      <w:bookmarkStart w:id="2412" w:name="_Toc115121599"/>
      <w:bookmarkStart w:id="2413" w:name="_Toc115121969"/>
      <w:bookmarkStart w:id="2414" w:name="_Toc115123449"/>
      <w:bookmarkStart w:id="2415" w:name="_Toc115123697"/>
      <w:bookmarkStart w:id="2416" w:name="_Toc115126829"/>
      <w:bookmarkStart w:id="2417" w:name="_Toc115185466"/>
      <w:bookmarkStart w:id="2418" w:name="_Toc115186093"/>
      <w:bookmarkStart w:id="2419" w:name="_Toc115189251"/>
      <w:bookmarkStart w:id="2420" w:name="_Toc115194224"/>
      <w:bookmarkStart w:id="2421" w:name="_Toc115194961"/>
      <w:bookmarkStart w:id="2422" w:name="_Toc115196371"/>
      <w:bookmarkStart w:id="2423" w:name="_Toc115198872"/>
      <w:bookmarkStart w:id="2424" w:name="_Toc115208887"/>
      <w:bookmarkStart w:id="2425" w:name="_Toc115209023"/>
      <w:bookmarkStart w:id="2426" w:name="_Toc115210354"/>
      <w:bookmarkStart w:id="2427" w:name="_Toc115212579"/>
      <w:bookmarkStart w:id="2428" w:name="_Toc115213219"/>
      <w:bookmarkStart w:id="2429" w:name="_Toc115216717"/>
      <w:bookmarkStart w:id="2430" w:name="_Toc115270408"/>
      <w:bookmarkStart w:id="2431" w:name="_Toc115271351"/>
      <w:bookmarkStart w:id="2432" w:name="_Toc115272268"/>
      <w:bookmarkStart w:id="2433" w:name="_Toc115273438"/>
      <w:bookmarkStart w:id="2434" w:name="_Toc115273366"/>
      <w:bookmarkStart w:id="2435" w:name="_Toc115273823"/>
      <w:bookmarkStart w:id="2436" w:name="_Toc115274619"/>
      <w:bookmarkStart w:id="2437" w:name="_Toc115274845"/>
      <w:bookmarkStart w:id="2438" w:name="_Toc115275202"/>
      <w:bookmarkStart w:id="2439" w:name="_Toc115275345"/>
      <w:bookmarkStart w:id="2440" w:name="_Toc115274182"/>
      <w:bookmarkStart w:id="2441" w:name="_Toc115274483"/>
      <w:bookmarkStart w:id="2442" w:name="_Toc115274551"/>
      <w:bookmarkStart w:id="2443" w:name="_Toc115274709"/>
      <w:bookmarkStart w:id="2444" w:name="_Toc115277443"/>
      <w:bookmarkStart w:id="2445" w:name="_Toc115277647"/>
      <w:bookmarkStart w:id="2446" w:name="_Toc115278536"/>
      <w:bookmarkStart w:id="2447" w:name="_Toc115278616"/>
      <w:bookmarkStart w:id="2448" w:name="_Toc115282286"/>
      <w:bookmarkStart w:id="2449" w:name="_Toc115284739"/>
      <w:bookmarkStart w:id="2450" w:name="_Toc115286831"/>
      <w:bookmarkStart w:id="2451" w:name="_Toc115294765"/>
      <w:bookmarkStart w:id="2452" w:name="_Toc115296345"/>
      <w:bookmarkStart w:id="2453" w:name="_Toc115308531"/>
      <w:bookmarkStart w:id="2454" w:name="_Toc115311183"/>
      <w:bookmarkStart w:id="2455" w:name="_Toc115312663"/>
      <w:bookmarkStart w:id="2456" w:name="_Toc115343837"/>
      <w:bookmarkStart w:id="2457" w:name="_Toc115348275"/>
      <w:bookmarkStart w:id="2458" w:name="_Toc115350373"/>
      <w:bookmarkStart w:id="2459" w:name="_Toc115353461"/>
      <w:bookmarkStart w:id="2460" w:name="_Toc115359492"/>
      <w:bookmarkStart w:id="2461" w:name="_Toc115361896"/>
      <w:bookmarkStart w:id="2462" w:name="_Toc115364289"/>
      <w:bookmarkStart w:id="2463" w:name="_Toc115365383"/>
      <w:bookmarkStart w:id="2464" w:name="_Toc115365655"/>
      <w:bookmarkStart w:id="2465" w:name="_Toc115365723"/>
      <w:bookmarkStart w:id="2466" w:name="_Toc115366187"/>
      <w:bookmarkStart w:id="2467" w:name="_Toc115368560"/>
      <w:bookmarkStart w:id="2468" w:name="_Toc115370077"/>
      <w:bookmarkStart w:id="2469" w:name="_Toc115370743"/>
      <w:bookmarkStart w:id="2470" w:name="_Toc115374383"/>
      <w:bookmarkStart w:id="2471" w:name="_Toc115378722"/>
      <w:bookmarkStart w:id="2472" w:name="_Toc115380954"/>
      <w:bookmarkStart w:id="2473" w:name="_Toc115384106"/>
      <w:bookmarkStart w:id="2474" w:name="_Toc115387335"/>
      <w:bookmarkStart w:id="2475" w:name="_Toc115388801"/>
      <w:bookmarkStart w:id="2476" w:name="_Toc115431439"/>
      <w:bookmarkStart w:id="2477" w:name="_Toc115432817"/>
      <w:bookmarkStart w:id="2478" w:name="_Toc115434388"/>
      <w:bookmarkStart w:id="2479" w:name="_Toc115434487"/>
      <w:bookmarkStart w:id="2480" w:name="_Toc115434556"/>
      <w:bookmarkStart w:id="2481" w:name="_Toc115434625"/>
      <w:bookmarkStart w:id="2482" w:name="_Toc115442795"/>
      <w:bookmarkStart w:id="2483" w:name="_Toc115446331"/>
      <w:bookmarkStart w:id="2484" w:name="_Toc115448038"/>
      <w:bookmarkStart w:id="2485" w:name="_Toc115449430"/>
      <w:bookmarkStart w:id="2486" w:name="_Toc115452450"/>
      <w:bookmarkStart w:id="2487" w:name="_Toc115455267"/>
      <w:bookmarkStart w:id="2488" w:name="_Toc115455333"/>
      <w:bookmarkStart w:id="2489" w:name="_Toc115457283"/>
      <w:bookmarkStart w:id="2490" w:name="_Toc115458119"/>
      <w:bookmarkStart w:id="2491" w:name="_Toc115948147"/>
      <w:bookmarkStart w:id="2492" w:name="_Toc115948594"/>
      <w:r>
        <w:t>Recommendation 1</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r w:rsidR="005439E8">
        <w:t xml:space="preserve"> – Employee categories</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40BF2598" w14:textId="77777777" w:rsidR="000136FD" w:rsidRPr="00EA03C6" w:rsidRDefault="000136FD" w:rsidP="000136FD">
      <w:pPr>
        <w:pStyle w:val="BOXText"/>
      </w:pPr>
      <w:r>
        <w:t>The MoP(S) Act should be simplified by merging P</w:t>
      </w:r>
      <w:r w:rsidRPr="00EA03C6">
        <w:t>arts III (Staff of office-holders) and IV (Staff of Senato</w:t>
      </w:r>
      <w:r>
        <w:t>rs and Members) into one part and</w:t>
      </w:r>
      <w:r w:rsidRPr="00EA03C6">
        <w:t xml:space="preserve"> r</w:t>
      </w:r>
      <w:r>
        <w:t>e</w:t>
      </w:r>
      <w:r w:rsidRPr="00EA03C6">
        <w:t>flect</w:t>
      </w:r>
      <w:r>
        <w:t>ing</w:t>
      </w:r>
      <w:r w:rsidRPr="00EA03C6">
        <w:t xml:space="preserve"> three categories of MoP(S) employees:</w:t>
      </w:r>
      <w:r>
        <w:t xml:space="preserve"> </w:t>
      </w:r>
      <w:r w:rsidRPr="00EA03C6">
        <w:t>electorate employees</w:t>
      </w:r>
      <w:r>
        <w:t xml:space="preserve">; </w:t>
      </w:r>
      <w:r w:rsidRPr="00EA03C6">
        <w:t>personal employees – ministerial</w:t>
      </w:r>
      <w:r>
        <w:t xml:space="preserve">; and </w:t>
      </w:r>
      <w:r w:rsidRPr="00EA03C6">
        <w:t xml:space="preserve">personal employees – other. </w:t>
      </w:r>
    </w:p>
    <w:p w14:paraId="46114437" w14:textId="77777777" w:rsidR="003A3C25" w:rsidRDefault="003A3C25" w:rsidP="003A3C25"/>
    <w:p w14:paraId="1F72C621" w14:textId="77777777" w:rsidR="002225D9" w:rsidRDefault="001A1F03" w:rsidP="00FB25A5">
      <w:pPr>
        <w:pStyle w:val="Heading2"/>
      </w:pPr>
      <w:bookmarkStart w:id="2493" w:name="_Toc114230867"/>
      <w:bookmarkStart w:id="2494" w:name="_Toc114232924"/>
      <w:bookmarkStart w:id="2495" w:name="_Toc114233572"/>
      <w:bookmarkStart w:id="2496" w:name="_Toc114233644"/>
      <w:bookmarkStart w:id="2497" w:name="_Toc114240599"/>
      <w:bookmarkStart w:id="2498" w:name="_Toc114240673"/>
      <w:bookmarkStart w:id="2499" w:name="_Toc114241017"/>
      <w:bookmarkStart w:id="2500" w:name="_Toc114494040"/>
      <w:bookmarkStart w:id="2501" w:name="_Toc114500291"/>
      <w:bookmarkStart w:id="2502" w:name="_Toc114500366"/>
      <w:bookmarkStart w:id="2503" w:name="_Toc114518639"/>
      <w:bookmarkStart w:id="2504" w:name="_Toc114520311"/>
      <w:bookmarkStart w:id="2505" w:name="_Toc114520720"/>
      <w:bookmarkStart w:id="2506" w:name="_Toc114565748"/>
      <w:bookmarkStart w:id="2507" w:name="_Toc114566729"/>
      <w:bookmarkStart w:id="2508" w:name="_Toc114566954"/>
      <w:bookmarkStart w:id="2509" w:name="_Toc114566878"/>
      <w:bookmarkStart w:id="2510" w:name="_Toc114585879"/>
      <w:bookmarkStart w:id="2511" w:name="_Toc114586023"/>
      <w:bookmarkStart w:id="2512" w:name="_Toc114586095"/>
      <w:bookmarkStart w:id="2513" w:name="_Toc114601235"/>
      <w:bookmarkStart w:id="2514" w:name="_Toc114657276"/>
      <w:bookmarkStart w:id="2515" w:name="_Toc114659738"/>
      <w:bookmarkStart w:id="2516" w:name="_Toc114662723"/>
      <w:bookmarkStart w:id="2517" w:name="_Toc114665107"/>
      <w:bookmarkStart w:id="2518" w:name="_Toc114672416"/>
      <w:bookmarkStart w:id="2519" w:name="_Toc114672628"/>
      <w:bookmarkStart w:id="2520" w:name="_Toc114673183"/>
      <w:bookmarkStart w:id="2521" w:name="_Toc114673769"/>
      <w:bookmarkStart w:id="2522" w:name="_Toc114674294"/>
      <w:bookmarkStart w:id="2523" w:name="_Toc114687467"/>
      <w:bookmarkStart w:id="2524" w:name="_Toc114689931"/>
      <w:bookmarkStart w:id="2525" w:name="_Toc114731794"/>
      <w:bookmarkStart w:id="2526" w:name="_Toc114733559"/>
      <w:bookmarkStart w:id="2527" w:name="_Toc114735500"/>
      <w:bookmarkStart w:id="2528" w:name="_Toc114755830"/>
      <w:bookmarkStart w:id="2529" w:name="_Toc114757135"/>
      <w:bookmarkStart w:id="2530" w:name="_Toc114757419"/>
      <w:bookmarkStart w:id="2531" w:name="_Toc114757521"/>
      <w:bookmarkStart w:id="2532" w:name="_Toc114758194"/>
      <w:bookmarkStart w:id="2533" w:name="_Toc114824364"/>
      <w:bookmarkStart w:id="2534" w:name="_Toc114829440"/>
      <w:bookmarkStart w:id="2535" w:name="_Toc114829804"/>
      <w:bookmarkStart w:id="2536" w:name="_Toc114829771"/>
      <w:bookmarkStart w:id="2537" w:name="_Toc114829948"/>
      <w:bookmarkStart w:id="2538" w:name="_Toc115099027"/>
      <w:bookmarkStart w:id="2539" w:name="_Toc115099099"/>
      <w:bookmarkStart w:id="2540" w:name="_Toc115101676"/>
      <w:bookmarkStart w:id="2541" w:name="_Toc115102521"/>
      <w:bookmarkStart w:id="2542" w:name="_Toc115105494"/>
      <w:bookmarkStart w:id="2543" w:name="_Toc115110355"/>
      <w:bookmarkStart w:id="2544" w:name="_Toc115110482"/>
      <w:bookmarkStart w:id="2545" w:name="_Toc115121600"/>
      <w:bookmarkStart w:id="2546" w:name="_Toc115121970"/>
      <w:bookmarkStart w:id="2547" w:name="_Toc115123450"/>
      <w:bookmarkStart w:id="2548" w:name="_Toc115123698"/>
      <w:bookmarkStart w:id="2549" w:name="_Toc115126830"/>
      <w:bookmarkStart w:id="2550" w:name="_Toc115185467"/>
      <w:bookmarkStart w:id="2551" w:name="_Toc115186094"/>
      <w:bookmarkStart w:id="2552" w:name="_Toc115189252"/>
      <w:bookmarkStart w:id="2553" w:name="_Toc115194225"/>
      <w:bookmarkStart w:id="2554" w:name="_Toc115194962"/>
      <w:bookmarkStart w:id="2555" w:name="_Toc115196372"/>
      <w:bookmarkStart w:id="2556" w:name="_Toc115198873"/>
      <w:bookmarkStart w:id="2557" w:name="_Toc115208888"/>
      <w:bookmarkStart w:id="2558" w:name="_Toc115209024"/>
      <w:bookmarkStart w:id="2559" w:name="_Toc115210355"/>
      <w:bookmarkStart w:id="2560" w:name="_Toc115212580"/>
      <w:bookmarkStart w:id="2561" w:name="_Toc115213220"/>
      <w:bookmarkStart w:id="2562" w:name="_Toc115216718"/>
      <w:bookmarkStart w:id="2563" w:name="_Toc115270409"/>
      <w:bookmarkStart w:id="2564" w:name="_Toc115271352"/>
      <w:bookmarkStart w:id="2565" w:name="_Toc115272269"/>
      <w:bookmarkStart w:id="2566" w:name="_Toc115273439"/>
      <w:bookmarkStart w:id="2567" w:name="_Toc115273367"/>
      <w:bookmarkStart w:id="2568" w:name="_Toc115274620"/>
      <w:bookmarkStart w:id="2569" w:name="_Toc115274846"/>
      <w:bookmarkStart w:id="2570" w:name="_Toc115275203"/>
      <w:bookmarkStart w:id="2571" w:name="_Toc115275346"/>
      <w:bookmarkStart w:id="2572" w:name="_Toc115274183"/>
      <w:bookmarkStart w:id="2573" w:name="_Toc115274484"/>
      <w:bookmarkStart w:id="2574" w:name="_Toc115274552"/>
      <w:bookmarkStart w:id="2575" w:name="_Toc115274710"/>
      <w:bookmarkStart w:id="2576" w:name="_Toc115277444"/>
      <w:bookmarkStart w:id="2577" w:name="_Toc115277648"/>
      <w:bookmarkStart w:id="2578" w:name="_Toc115278537"/>
      <w:bookmarkStart w:id="2579" w:name="_Toc115278617"/>
      <w:bookmarkStart w:id="2580" w:name="_Toc115282287"/>
      <w:bookmarkStart w:id="2581" w:name="_Toc115284740"/>
      <w:bookmarkStart w:id="2582" w:name="_Toc115286832"/>
      <w:bookmarkStart w:id="2583" w:name="_Toc115294766"/>
      <w:bookmarkStart w:id="2584" w:name="_Toc115296346"/>
      <w:bookmarkStart w:id="2585" w:name="_Toc115308532"/>
      <w:bookmarkStart w:id="2586" w:name="_Toc115311184"/>
      <w:bookmarkStart w:id="2587" w:name="_Toc115312664"/>
      <w:bookmarkStart w:id="2588" w:name="_Toc115343838"/>
      <w:bookmarkStart w:id="2589" w:name="_Toc115348276"/>
      <w:bookmarkStart w:id="2590" w:name="_Toc115350374"/>
      <w:bookmarkStart w:id="2591" w:name="_Toc115353462"/>
      <w:bookmarkStart w:id="2592" w:name="_Toc115359493"/>
      <w:bookmarkStart w:id="2593" w:name="_Toc115361897"/>
      <w:bookmarkStart w:id="2594" w:name="_Toc115364290"/>
      <w:bookmarkStart w:id="2595" w:name="_Toc115365384"/>
      <w:bookmarkStart w:id="2596" w:name="_Toc115365656"/>
      <w:bookmarkStart w:id="2597" w:name="_Toc115365724"/>
      <w:bookmarkStart w:id="2598" w:name="_Toc115366188"/>
      <w:bookmarkStart w:id="2599" w:name="_Toc115368561"/>
      <w:bookmarkStart w:id="2600" w:name="_Toc115370078"/>
      <w:bookmarkStart w:id="2601" w:name="_Toc115370744"/>
      <w:bookmarkStart w:id="2602" w:name="_Toc115374384"/>
      <w:bookmarkStart w:id="2603" w:name="_Toc115378723"/>
      <w:bookmarkStart w:id="2604" w:name="_Toc115380955"/>
      <w:bookmarkStart w:id="2605" w:name="_Toc115384107"/>
      <w:bookmarkStart w:id="2606" w:name="_Toc115387336"/>
      <w:bookmarkStart w:id="2607" w:name="_Toc115388802"/>
      <w:bookmarkStart w:id="2608" w:name="_Toc115431440"/>
      <w:bookmarkStart w:id="2609" w:name="_Toc115432818"/>
      <w:bookmarkStart w:id="2610" w:name="_Toc115434389"/>
      <w:bookmarkStart w:id="2611" w:name="_Toc115434488"/>
      <w:bookmarkStart w:id="2612" w:name="_Toc115434557"/>
      <w:bookmarkStart w:id="2613" w:name="_Toc115434626"/>
      <w:bookmarkStart w:id="2614" w:name="_Toc115442796"/>
      <w:bookmarkStart w:id="2615" w:name="_Toc115446332"/>
      <w:bookmarkStart w:id="2616" w:name="_Toc115448039"/>
      <w:bookmarkStart w:id="2617" w:name="_Toc115449431"/>
      <w:bookmarkStart w:id="2618" w:name="_Toc115452451"/>
      <w:bookmarkStart w:id="2619" w:name="_Toc115455268"/>
      <w:bookmarkStart w:id="2620" w:name="_Toc115455334"/>
      <w:bookmarkStart w:id="2621" w:name="_Toc115457284"/>
      <w:bookmarkStart w:id="2622" w:name="_Toc115458120"/>
      <w:bookmarkStart w:id="2623" w:name="_Toc115948148"/>
      <w:bookmarkStart w:id="2624" w:name="_Toc115948595"/>
      <w:r>
        <w:t>3.3</w:t>
      </w:r>
      <w:r w:rsidR="00D463ED">
        <w:t xml:space="preserve"> Employment m</w:t>
      </w:r>
      <w:r w:rsidR="002225D9">
        <w:t>odel</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112792CB" w14:textId="2E679EF7" w:rsidR="00DB62B7" w:rsidRDefault="00DB62B7" w:rsidP="00DB62B7">
      <w:pPr>
        <w:rPr>
          <w:b/>
        </w:rPr>
      </w:pPr>
      <w:r>
        <w:t xml:space="preserve">The employment </w:t>
      </w:r>
      <w:r w:rsidR="00D463ED">
        <w:t xml:space="preserve">model </w:t>
      </w:r>
      <w:r>
        <w:t xml:space="preserve">is a key theme raised by contributors to the </w:t>
      </w:r>
      <w:r w:rsidR="00257BF4">
        <w:t>R</w:t>
      </w:r>
      <w:r>
        <w:t xml:space="preserve">eview. Contributors often linked this </w:t>
      </w:r>
      <w:r w:rsidR="00F178E5">
        <w:t>theme</w:t>
      </w:r>
      <w:r>
        <w:t xml:space="preserve"> to other issues, like employer responsibility, lack of ma</w:t>
      </w:r>
      <w:r w:rsidR="00F178E5">
        <w:t xml:space="preserve">nagement experience, gaps in human resource </w:t>
      </w:r>
      <w:r>
        <w:t xml:space="preserve">support, </w:t>
      </w:r>
      <w:r w:rsidR="000E0FCB">
        <w:t>WHS</w:t>
      </w:r>
      <w:r>
        <w:t xml:space="preserve"> risk, and accountability.</w:t>
      </w:r>
    </w:p>
    <w:p w14:paraId="36372F11" w14:textId="5E8DFEEC" w:rsidR="00DB62B7" w:rsidRDefault="007C02F0" w:rsidP="00DB62B7">
      <w:r>
        <w:t>A significant number of</w:t>
      </w:r>
      <w:r w:rsidR="00DB62B7">
        <w:t xml:space="preserve"> MoP(S) </w:t>
      </w:r>
      <w:r w:rsidR="002D62B0">
        <w:t>Act employees</w:t>
      </w:r>
      <w:r w:rsidR="00DB62B7">
        <w:t xml:space="preserve"> and parliamentarians do not have a full understanding of the MoP(S) A</w:t>
      </w:r>
      <w:r w:rsidR="00F178E5">
        <w:t>ct employment framework. This i</w:t>
      </w:r>
      <w:r w:rsidR="00DB62B7">
        <w:t xml:space="preserve">s evident in the findings of </w:t>
      </w:r>
      <w:r w:rsidR="00142173" w:rsidRPr="00142173">
        <w:rPr>
          <w:i/>
        </w:rPr>
        <w:t>Set the Standard</w:t>
      </w:r>
      <w:r w:rsidR="00DB62B7">
        <w:t xml:space="preserve"> </w:t>
      </w:r>
      <w:r w:rsidR="00BC7020">
        <w:t xml:space="preserve">and </w:t>
      </w:r>
      <w:r w:rsidR="00DB62B7">
        <w:t xml:space="preserve">reaffirmed in what </w:t>
      </w:r>
      <w:r w:rsidR="00F178E5">
        <w:t xml:space="preserve">we </w:t>
      </w:r>
      <w:r w:rsidR="00DB62B7">
        <w:t xml:space="preserve">heard. </w:t>
      </w:r>
    </w:p>
    <w:p w14:paraId="7E15774A" w14:textId="105A4028" w:rsidR="00DB62B7" w:rsidRDefault="00142173" w:rsidP="00DB62B7">
      <w:r w:rsidRPr="00142173">
        <w:rPr>
          <w:i/>
        </w:rPr>
        <w:t>Set the Standard</w:t>
      </w:r>
      <w:r>
        <w:rPr>
          <w:i/>
        </w:rPr>
        <w:t xml:space="preserve"> </w:t>
      </w:r>
      <w:r w:rsidRPr="0055271A">
        <w:t>highlight</w:t>
      </w:r>
      <w:r w:rsidR="00DB62B7">
        <w:t xml:space="preserve">ed </w:t>
      </w:r>
      <w:r>
        <w:t xml:space="preserve">that </w:t>
      </w:r>
      <w:r w:rsidR="00DB62B7">
        <w:t xml:space="preserve">the </w:t>
      </w:r>
      <w:r w:rsidR="00EB15B4">
        <w:t xml:space="preserve">MoP(S) </w:t>
      </w:r>
      <w:r w:rsidR="00DB62B7">
        <w:t>Act creates a complex and confusing employment relationship, where multiple parties hold employer and other legal obligations to staff</w:t>
      </w:r>
      <w:r w:rsidR="00FB24C0">
        <w:t>.</w:t>
      </w:r>
      <w:r w:rsidR="007B5BCE">
        <w:rPr>
          <w:rStyle w:val="FootnoteReference"/>
        </w:rPr>
        <w:footnoteReference w:id="67"/>
      </w:r>
      <w:r w:rsidR="00DB62B7">
        <w:t xml:space="preserve"> This is not unusual in a parliamentar</w:t>
      </w:r>
      <w:r w:rsidR="00FB24C0">
        <w:t>y</w:t>
      </w:r>
      <w:r w:rsidR="00DB62B7">
        <w:t xml:space="preserve"> context</w:t>
      </w:r>
      <w:r w:rsidR="00FB24C0">
        <w:t xml:space="preserve"> – t</w:t>
      </w:r>
      <w:r w:rsidR="00DB62B7">
        <w:t>he Review found similar complexities in all models across the various Australian and international jurisdictions.</w:t>
      </w:r>
    </w:p>
    <w:p w14:paraId="188E431A" w14:textId="77777777" w:rsidR="00DB62B7" w:rsidRDefault="00DB62B7" w:rsidP="00DB62B7"/>
    <w:p w14:paraId="24B1019B" w14:textId="77777777" w:rsidR="00DB62B7" w:rsidRDefault="00DB62B7" w:rsidP="00051BDA">
      <w:pPr>
        <w:pStyle w:val="Heading3"/>
      </w:pPr>
      <w:r>
        <w:t>3.3.1 Current situation</w:t>
      </w:r>
    </w:p>
    <w:p w14:paraId="359763E3" w14:textId="77777777" w:rsidR="00DB62B7" w:rsidRDefault="00DB62B7" w:rsidP="00DB62B7">
      <w:r>
        <w:t xml:space="preserve">There are various roles and responsibilities within </w:t>
      </w:r>
      <w:r w:rsidR="00F178E5">
        <w:t xml:space="preserve">the MoP(S) </w:t>
      </w:r>
      <w:r w:rsidR="00F33227">
        <w:t xml:space="preserve">Act </w:t>
      </w:r>
      <w:r w:rsidR="00F178E5">
        <w:t>employment framework:</w:t>
      </w:r>
      <w:r>
        <w:t xml:space="preserve"> </w:t>
      </w:r>
    </w:p>
    <w:p w14:paraId="3F5F1DFF" w14:textId="54734D30" w:rsidR="00FB777B" w:rsidRDefault="00FB777B" w:rsidP="00FB777B">
      <w:pPr>
        <w:pStyle w:val="BulletedList-Level1"/>
      </w:pPr>
      <w:r>
        <w:t xml:space="preserve">the parliamentarian is responsible for day-to-day management of employees in their office and decides who to hire, their roles and functions, and whether to terminate employment (subject to the MoP(S) Act, any terms and conditions determined or varied by the Prime Minister, or set out in the EA and employment contract, and any applicable laws including the </w:t>
      </w:r>
      <w:r w:rsidRPr="00BC684F">
        <w:t>FW</w:t>
      </w:r>
      <w:r w:rsidRPr="002D3ED8">
        <w:t xml:space="preserve"> Act</w:t>
      </w:r>
      <w:r>
        <w:rPr>
          <w:i/>
        </w:rPr>
        <w:t xml:space="preserve">, </w:t>
      </w:r>
      <w:r>
        <w:t>anti</w:t>
      </w:r>
      <w:r>
        <w:noBreakHyphen/>
        <w:t>discrimination laws and WHS obligations)</w:t>
      </w:r>
    </w:p>
    <w:p w14:paraId="22F03B11" w14:textId="77777777" w:rsidR="00DB62B7" w:rsidRDefault="00DB62B7" w:rsidP="00DB62B7">
      <w:pPr>
        <w:pStyle w:val="BulletedList-Level1"/>
      </w:pPr>
      <w:r>
        <w:t>the Prime Minister</w:t>
      </w:r>
      <w:r w:rsidRPr="00F75DE2">
        <w:t xml:space="preserve"> </w:t>
      </w:r>
      <w:r>
        <w:t xml:space="preserve">has the power to </w:t>
      </w:r>
      <w:r w:rsidRPr="00F75DE2">
        <w:t xml:space="preserve">determine </w:t>
      </w:r>
      <w:r>
        <w:t xml:space="preserve">whether parliamentarians may employ staff (including allocation of electorate and personal staff), and their </w:t>
      </w:r>
      <w:r w:rsidRPr="00F75DE2">
        <w:t>terms and conditions o</w:t>
      </w:r>
      <w:r>
        <w:t xml:space="preserve">f employment </w:t>
      </w:r>
    </w:p>
    <w:p w14:paraId="0209106A" w14:textId="77777777" w:rsidR="00DB62B7" w:rsidRDefault="00DB62B7" w:rsidP="00DB62B7">
      <w:pPr>
        <w:pStyle w:val="BulletedList-Level1"/>
      </w:pPr>
      <w:r>
        <w:t xml:space="preserve">MaPS administers the MoP(S) Act framework and provides support services to </w:t>
      </w:r>
      <w:r w:rsidRPr="00E33522">
        <w:t>parliamentarian</w:t>
      </w:r>
      <w:r>
        <w:t>s</w:t>
      </w:r>
      <w:r w:rsidRPr="00E33522">
        <w:t xml:space="preserve"> and their </w:t>
      </w:r>
      <w:r>
        <w:t>staff</w:t>
      </w:r>
      <w:r w:rsidRPr="00E33522">
        <w:t xml:space="preserve">, </w:t>
      </w:r>
      <w:r>
        <w:t xml:space="preserve">on behalf of the Commonwealth – this includes administering payroll, </w:t>
      </w:r>
      <w:r w:rsidR="002C0D22">
        <w:t>HR</w:t>
      </w:r>
      <w:r w:rsidR="008317CA">
        <w:t xml:space="preserve"> (</w:t>
      </w:r>
      <w:r>
        <w:t>HR</w:t>
      </w:r>
      <w:r w:rsidR="008317CA">
        <w:t>)</w:t>
      </w:r>
      <w:r>
        <w:t xml:space="preserve"> policy, and certain office management services</w:t>
      </w:r>
      <w:r w:rsidR="00521FE8">
        <w:t>.</w:t>
      </w:r>
      <w:r>
        <w:rPr>
          <w:rStyle w:val="FootnoteReference"/>
        </w:rPr>
        <w:footnoteReference w:id="68"/>
      </w:r>
      <w:r>
        <w:t xml:space="preserve"> </w:t>
      </w:r>
    </w:p>
    <w:p w14:paraId="30C75AE5" w14:textId="3653B4F9" w:rsidR="00DB62B7" w:rsidRDefault="00F178E5" w:rsidP="00DB62B7">
      <w:r>
        <w:t xml:space="preserve">At the centre of the framework is the employee, who is directly accountable to their parliamentarian, </w:t>
      </w:r>
      <w:r w:rsidR="00FB777B">
        <w:t xml:space="preserve">who employs them on behalf of </w:t>
      </w:r>
      <w:r w:rsidRPr="003377A0">
        <w:t>the Commonwealth</w:t>
      </w:r>
      <w:r w:rsidRPr="00F178E5">
        <w:t>. T</w:t>
      </w:r>
      <w:r w:rsidR="00DB62B7" w:rsidRPr="00F178E5">
        <w:t>hese arrangements are not dissimilar to the Australian Public Service</w:t>
      </w:r>
      <w:r w:rsidR="00FC52A8" w:rsidRPr="00F178E5">
        <w:t xml:space="preserve"> (APS)</w:t>
      </w:r>
      <w:r w:rsidR="00DB62B7" w:rsidRPr="00F178E5">
        <w:t xml:space="preserve">, or public service employers generally, or indeed any large employer. </w:t>
      </w:r>
      <w:r w:rsidR="00DB62B7">
        <w:t xml:space="preserve">However, as </w:t>
      </w:r>
      <w:r w:rsidR="00727013">
        <w:t>noted</w:t>
      </w:r>
      <w:r w:rsidR="00DB62B7">
        <w:t xml:space="preserve"> in </w:t>
      </w:r>
      <w:r w:rsidR="00142173" w:rsidRPr="00142173">
        <w:rPr>
          <w:i/>
        </w:rPr>
        <w:t>Set the Standard</w:t>
      </w:r>
      <w:r w:rsidR="00241CF6">
        <w:rPr>
          <w:i/>
        </w:rPr>
        <w:t>,</w:t>
      </w:r>
      <w:r w:rsidR="00DB62B7">
        <w:rPr>
          <w:rStyle w:val="FootnoteReference"/>
        </w:rPr>
        <w:footnoteReference w:id="69"/>
      </w:r>
      <w:r w:rsidR="00DB62B7">
        <w:t xml:space="preserve"> the employment landscape </w:t>
      </w:r>
      <w:r w:rsidR="002908E7">
        <w:t>operates</w:t>
      </w:r>
      <w:r w:rsidR="00DB62B7">
        <w:t xml:space="preserve"> like 227</w:t>
      </w:r>
      <w:r w:rsidR="007C78A2">
        <w:t> </w:t>
      </w:r>
      <w:r w:rsidR="00DB62B7">
        <w:t xml:space="preserve">small businesses operating in isolation.  </w:t>
      </w:r>
    </w:p>
    <w:p w14:paraId="6AF6D95C" w14:textId="77777777" w:rsidR="00DB62B7" w:rsidRDefault="00DB62B7" w:rsidP="00DB62B7">
      <w:r>
        <w:t>This le</w:t>
      </w:r>
      <w:r w:rsidR="00EF705B">
        <w:t>a</w:t>
      </w:r>
      <w:r>
        <w:t>d</w:t>
      </w:r>
      <w:r w:rsidR="00EF705B">
        <w:t>s</w:t>
      </w:r>
      <w:r>
        <w:t xml:space="preserve"> to confusion </w:t>
      </w:r>
      <w:r w:rsidR="00EF705B">
        <w:t>at time</w:t>
      </w:r>
      <w:r w:rsidR="00A94459">
        <w:t>s</w:t>
      </w:r>
      <w:r w:rsidR="00EF705B">
        <w:t xml:space="preserve"> about where ‘employer’ responsibilities lie. C</w:t>
      </w:r>
      <w:r>
        <w:t xml:space="preserve">ontributors to the Review indicated: </w:t>
      </w:r>
    </w:p>
    <w:p w14:paraId="1AFD8AEC" w14:textId="77777777" w:rsidR="00DB62B7" w:rsidRPr="00DB62B7" w:rsidRDefault="00DB62B7" w:rsidP="00DB62B7">
      <w:pPr>
        <w:pStyle w:val="BulletedList-Level1"/>
      </w:pPr>
      <w:r w:rsidRPr="00DB62B7">
        <w:t>there are issues with people understanding who the</w:t>
      </w:r>
      <w:r w:rsidR="000E6713">
        <w:t>ir</w:t>
      </w:r>
      <w:r w:rsidRPr="00DB62B7">
        <w:t xml:space="preserve"> employer is</w:t>
      </w:r>
    </w:p>
    <w:p w14:paraId="0BC733D0" w14:textId="23C7D83F" w:rsidR="00DB62B7" w:rsidRPr="00DB62B7" w:rsidRDefault="00DB62B7" w:rsidP="00DB62B7">
      <w:pPr>
        <w:pStyle w:val="BulletedList-Level1"/>
      </w:pPr>
      <w:r w:rsidRPr="00DB62B7">
        <w:t>‘</w:t>
      </w:r>
      <w:r w:rsidR="00241CF6">
        <w:t>t</w:t>
      </w:r>
      <w:r w:rsidRPr="00DB62B7">
        <w:t>he</w:t>
      </w:r>
      <w:r w:rsidR="00EB15B4">
        <w:t xml:space="preserve"> MoP(S)</w:t>
      </w:r>
      <w:r w:rsidRPr="00DB62B7">
        <w:t xml:space="preserve"> Act needs to clarify who is the employer of MoP</w:t>
      </w:r>
      <w:r w:rsidR="00866B22">
        <w:t>(</w:t>
      </w:r>
      <w:r w:rsidRPr="00DB62B7">
        <w:t>S</w:t>
      </w:r>
      <w:r w:rsidR="00866B22">
        <w:t>)</w:t>
      </w:r>
      <w:r w:rsidRPr="00DB62B7">
        <w:t xml:space="preserve"> Act </w:t>
      </w:r>
      <w:r w:rsidR="002D62B0">
        <w:t>employees</w:t>
      </w:r>
      <w:r w:rsidRPr="00DB62B7">
        <w:t>, and who is ultimately responsible for them’</w:t>
      </w:r>
      <w:r w:rsidR="00096B44">
        <w:t xml:space="preserve"> </w:t>
      </w:r>
    </w:p>
    <w:p w14:paraId="741B6F40" w14:textId="77777777" w:rsidR="00DB62B7" w:rsidRPr="00DB62B7" w:rsidRDefault="00DB62B7" w:rsidP="00DB62B7">
      <w:pPr>
        <w:pStyle w:val="BulletedList-Level1"/>
      </w:pPr>
      <w:r w:rsidRPr="00DB62B7">
        <w:t>‘There are lim</w:t>
      </w:r>
      <w:r w:rsidR="002D62B0">
        <w:t xml:space="preserve">ited safeguards for MoP(S) Act employees </w:t>
      </w:r>
      <w:r w:rsidRPr="00DB62B7">
        <w:t>experiencing workplace issues and a lack of clarity around who is responsible when something goes wrong. There is no clear ownership of employer responsibility in the MoP(S) Act by the various actors in the parliamentary workplace setting.’</w:t>
      </w:r>
    </w:p>
    <w:p w14:paraId="5B87EF65" w14:textId="6A582758" w:rsidR="00DB62B7" w:rsidRDefault="00DB62B7" w:rsidP="00DB62B7">
      <w:r>
        <w:t>We heard from a number of contributors who believed Finance was their employer</w:t>
      </w:r>
      <w:r w:rsidR="0089006B">
        <w:t>,</w:t>
      </w:r>
      <w:r>
        <w:t xml:space="preserve"> rather than their parliamentarian or the Commonwealth. This seems to stem from the</w:t>
      </w:r>
      <w:r w:rsidR="00283049">
        <w:t xml:space="preserve">ir </w:t>
      </w:r>
      <w:r>
        <w:t xml:space="preserve">interaction with Finance </w:t>
      </w:r>
      <w:r w:rsidR="00283049">
        <w:t xml:space="preserve">about </w:t>
      </w:r>
      <w:r w:rsidR="00F178E5">
        <w:t>administrative</w:t>
      </w:r>
      <w:r>
        <w:t xml:space="preserve"> </w:t>
      </w:r>
      <w:r w:rsidR="00283049">
        <w:t xml:space="preserve">matters </w:t>
      </w:r>
      <w:r w:rsidR="00F178E5">
        <w:t xml:space="preserve">– such as </w:t>
      </w:r>
      <w:r>
        <w:t>thei</w:t>
      </w:r>
      <w:r w:rsidR="00F178E5">
        <w:t xml:space="preserve">r employment contract, </w:t>
      </w:r>
      <w:r>
        <w:t xml:space="preserve">advice on salary and allowances, and the name they see on their payslips. </w:t>
      </w:r>
    </w:p>
    <w:p w14:paraId="02BFA104" w14:textId="77777777" w:rsidR="00C34C2C" w:rsidRDefault="00C34C2C">
      <w:pPr>
        <w:spacing w:after="200"/>
        <w:rPr>
          <w:rFonts w:asciiTheme="majorHAnsi" w:eastAsiaTheme="majorEastAsia" w:hAnsiTheme="majorHAnsi" w:cstheme="majorBidi"/>
          <w:color w:val="3266AB"/>
          <w:szCs w:val="22"/>
        </w:rPr>
      </w:pPr>
      <w:r>
        <w:br w:type="page"/>
      </w:r>
    </w:p>
    <w:p w14:paraId="08F7ED5B" w14:textId="77777777" w:rsidR="00DB62B7" w:rsidRPr="003F3ACE" w:rsidRDefault="00DB62B7" w:rsidP="00051BDA">
      <w:pPr>
        <w:pStyle w:val="Heading4"/>
      </w:pPr>
      <w:r>
        <w:t xml:space="preserve">Consideration of alternative frameworks </w:t>
      </w:r>
    </w:p>
    <w:p w14:paraId="2A59729C" w14:textId="44BFAD72" w:rsidR="00DB62B7" w:rsidRDefault="00F178E5" w:rsidP="00DB62B7">
      <w:r>
        <w:t>T</w:t>
      </w:r>
      <w:r w:rsidR="00DB62B7">
        <w:t>he Review heard a range of views on the employer framework, including:</w:t>
      </w:r>
    </w:p>
    <w:tbl>
      <w:tblPr>
        <w:tblStyle w:val="GridTable5Dark-Accent1"/>
        <w:tblW w:w="0" w:type="auto"/>
        <w:tblLook w:val="04A0" w:firstRow="1" w:lastRow="0" w:firstColumn="1" w:lastColumn="0" w:noHBand="0" w:noVBand="1"/>
        <w:tblDescription w:val="For changing&#10;‘A different, centralised employer could provide greater visibility of clusters of issues and identify trends that can be acted on’ &#10;‘Parliamentarians should not have unlimited powers over employees.  There needs to be external oversight of the relationship, and protections for staff who complain about behaviour of the MP, Senator or other staff.’&#10;For retaining &#10;‘The person who hires the staff (i.e. the parliamentarian) needs to be the accountable person’&#10;‘Changing the employer doesn’t work. It doesn’t change the situation.’&#10;‘The arrangements should continue to give parliamentarians as much flexibility as possible. MPs need the capacity to hire their own staff.’&#10;‘The framework is excellent and needs minimal change, if at all.’&#10;‘In the end, the buck stops with the employing Member or Senator. No matter what…some members and senators are terrible employers. Frankly, more training for the members and senators would be helpful - many of them have never employed staff before being elected, and have no idea how to lead employees.’&#10;"/>
      </w:tblPr>
      <w:tblGrid>
        <w:gridCol w:w="9351"/>
      </w:tblGrid>
      <w:tr w:rsidR="00200E2A" w14:paraId="4C9AFAAD" w14:textId="77777777" w:rsidTr="00CC77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tcPr>
          <w:p w14:paraId="2AE339F6" w14:textId="77777777" w:rsidR="00200E2A" w:rsidRDefault="00200E2A" w:rsidP="00D76D54">
            <w:r>
              <w:t>For changing</w:t>
            </w:r>
          </w:p>
        </w:tc>
      </w:tr>
      <w:tr w:rsidR="00200E2A" w14:paraId="4C4B2F47" w14:textId="77777777" w:rsidTr="00E84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4DAE02F5" w14:textId="149AA9DE" w:rsidR="00200E2A" w:rsidRPr="00200E2A" w:rsidRDefault="00200E2A" w:rsidP="00200E2A">
            <w:pPr>
              <w:rPr>
                <w:b w:val="0"/>
                <w:i/>
                <w:color w:val="auto"/>
                <w:sz w:val="20"/>
              </w:rPr>
            </w:pPr>
            <w:r w:rsidRPr="00200E2A">
              <w:rPr>
                <w:b w:val="0"/>
                <w:i/>
                <w:color w:val="auto"/>
                <w:sz w:val="20"/>
              </w:rPr>
              <w:t xml:space="preserve">‘A different, centralised employer could provide greater visibility of clusters of issues and identify trends that can be acted on’ </w:t>
            </w:r>
          </w:p>
          <w:p w14:paraId="4AED0F09" w14:textId="4F08DB20" w:rsidR="00200E2A" w:rsidRPr="00200E2A" w:rsidRDefault="00200E2A" w:rsidP="00200E2A">
            <w:pPr>
              <w:rPr>
                <w:b w:val="0"/>
                <w:i/>
                <w:color w:val="auto"/>
                <w:sz w:val="20"/>
              </w:rPr>
            </w:pPr>
            <w:r w:rsidRPr="00200E2A">
              <w:rPr>
                <w:b w:val="0"/>
                <w:i/>
                <w:color w:val="auto"/>
                <w:sz w:val="20"/>
              </w:rPr>
              <w:t>‘Parliamentarians should not have unlimited powers over employees.  There needs to be external oversight of the relationship, and protections for staff who complain about behaviour of the MP, Senator or other staff.’</w:t>
            </w:r>
          </w:p>
        </w:tc>
      </w:tr>
      <w:tr w:rsidR="00200E2A" w14:paraId="6A74B77A" w14:textId="77777777" w:rsidTr="00E8469A">
        <w:tc>
          <w:tcPr>
            <w:cnfStyle w:val="001000000000" w:firstRow="0" w:lastRow="0" w:firstColumn="1" w:lastColumn="0" w:oddVBand="0" w:evenVBand="0" w:oddHBand="0" w:evenHBand="0" w:firstRowFirstColumn="0" w:firstRowLastColumn="0" w:lastRowFirstColumn="0" w:lastRowLastColumn="0"/>
            <w:tcW w:w="9351" w:type="dxa"/>
          </w:tcPr>
          <w:p w14:paraId="43AAE5F1" w14:textId="45CDF20D" w:rsidR="00200E2A" w:rsidRPr="00200E2A" w:rsidRDefault="00200E2A" w:rsidP="00200E2A">
            <w:pPr>
              <w:rPr>
                <w:b w:val="0"/>
                <w:i/>
                <w:color w:val="auto"/>
                <w:sz w:val="20"/>
              </w:rPr>
            </w:pPr>
            <w:r w:rsidRPr="00200E2A">
              <w:t xml:space="preserve">For retaining </w:t>
            </w:r>
          </w:p>
        </w:tc>
      </w:tr>
      <w:tr w:rsidR="00200E2A" w14:paraId="2A6F15EE" w14:textId="77777777" w:rsidTr="00E84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F2F2F2" w:themeFill="background1" w:themeFillShade="F2"/>
          </w:tcPr>
          <w:p w14:paraId="4A5501B8" w14:textId="77777777" w:rsidR="00200E2A" w:rsidRPr="00200E2A" w:rsidRDefault="00200E2A" w:rsidP="00200E2A">
            <w:pPr>
              <w:rPr>
                <w:b w:val="0"/>
                <w:i/>
                <w:color w:val="auto"/>
                <w:sz w:val="20"/>
              </w:rPr>
            </w:pPr>
            <w:r w:rsidRPr="00200E2A">
              <w:rPr>
                <w:b w:val="0"/>
                <w:i/>
                <w:color w:val="auto"/>
                <w:sz w:val="20"/>
              </w:rPr>
              <w:t>‘The person who hires the staff (i.e. the parliamentarian) needs to be the accountable person’</w:t>
            </w:r>
          </w:p>
          <w:p w14:paraId="3A2FCB2F" w14:textId="77777777" w:rsidR="00200E2A" w:rsidRPr="00200E2A" w:rsidRDefault="00200E2A" w:rsidP="00200E2A">
            <w:pPr>
              <w:rPr>
                <w:b w:val="0"/>
                <w:i/>
                <w:color w:val="auto"/>
                <w:sz w:val="20"/>
              </w:rPr>
            </w:pPr>
            <w:r w:rsidRPr="00200E2A">
              <w:rPr>
                <w:b w:val="0"/>
                <w:i/>
                <w:color w:val="auto"/>
                <w:sz w:val="20"/>
              </w:rPr>
              <w:t>‘Changing the employer doesn’t work. It doesn’t change the situation.’</w:t>
            </w:r>
          </w:p>
          <w:p w14:paraId="56928DA9" w14:textId="77777777" w:rsidR="00200E2A" w:rsidRPr="00200E2A" w:rsidRDefault="00200E2A" w:rsidP="00200E2A">
            <w:pPr>
              <w:rPr>
                <w:b w:val="0"/>
                <w:i/>
                <w:color w:val="auto"/>
                <w:sz w:val="20"/>
              </w:rPr>
            </w:pPr>
            <w:r w:rsidRPr="00200E2A">
              <w:rPr>
                <w:b w:val="0"/>
                <w:i/>
                <w:color w:val="auto"/>
                <w:sz w:val="20"/>
              </w:rPr>
              <w:t>‘The arrangements should continue to give parliamentarians as much flexibility as possible. MPs need the capacity to hire their own staff.’</w:t>
            </w:r>
          </w:p>
          <w:p w14:paraId="4F516017" w14:textId="77777777" w:rsidR="00200E2A" w:rsidRPr="00200E2A" w:rsidRDefault="00200E2A" w:rsidP="00200E2A">
            <w:pPr>
              <w:rPr>
                <w:b w:val="0"/>
                <w:i/>
                <w:color w:val="auto"/>
                <w:sz w:val="20"/>
              </w:rPr>
            </w:pPr>
            <w:r w:rsidRPr="00200E2A">
              <w:rPr>
                <w:b w:val="0"/>
                <w:i/>
                <w:color w:val="auto"/>
                <w:sz w:val="20"/>
              </w:rPr>
              <w:t>‘The framework is excellent and needs minimal change, if at all.’</w:t>
            </w:r>
          </w:p>
          <w:p w14:paraId="6A88EDA7" w14:textId="7FE02812" w:rsidR="00200E2A" w:rsidRPr="00200E2A" w:rsidRDefault="00200E2A" w:rsidP="00200E2A">
            <w:pPr>
              <w:rPr>
                <w:b w:val="0"/>
                <w:i/>
                <w:color w:val="auto"/>
                <w:sz w:val="20"/>
              </w:rPr>
            </w:pPr>
            <w:r w:rsidRPr="00200E2A">
              <w:rPr>
                <w:b w:val="0"/>
                <w:i/>
                <w:color w:val="auto"/>
                <w:sz w:val="20"/>
              </w:rPr>
              <w:t>‘In the end, the buck stops with the employing Member or Senator. No matter what…some members and senators are terrible employers. Frankly, more training for the members and senators would be helpful - many of them have never employed staff before being elected, and have no idea how to lead employees.’</w:t>
            </w:r>
          </w:p>
        </w:tc>
      </w:tr>
    </w:tbl>
    <w:p w14:paraId="7B61A16A" w14:textId="77777777" w:rsidR="00DB62B7" w:rsidRDefault="00DB62B7" w:rsidP="00DB62B7">
      <w:pPr>
        <w:rPr>
          <w:b/>
        </w:rPr>
      </w:pPr>
    </w:p>
    <w:p w14:paraId="6B7A4B8D" w14:textId="30D3A701" w:rsidR="00DB62B7" w:rsidRDefault="00DB62B7" w:rsidP="00051BDA">
      <w:pPr>
        <w:pStyle w:val="Heading4"/>
      </w:pPr>
      <w:r>
        <w:t>What other</w:t>
      </w:r>
      <w:r w:rsidR="002E7408">
        <w:t>s</w:t>
      </w:r>
      <w:r>
        <w:t xml:space="preserve"> do </w:t>
      </w:r>
    </w:p>
    <w:p w14:paraId="4DB15DBA" w14:textId="2C409D19" w:rsidR="003D7AC5" w:rsidRDefault="00DB62B7" w:rsidP="00470699">
      <w:r>
        <w:t>The Review</w:t>
      </w:r>
      <w:r w:rsidRPr="00122396">
        <w:t xml:space="preserve"> examined employment models across </w:t>
      </w:r>
      <w:r>
        <w:t xml:space="preserve">a range of Australian and </w:t>
      </w:r>
      <w:r w:rsidRPr="00122396">
        <w:t>international jurisdictions</w:t>
      </w:r>
      <w:r w:rsidR="008F2301">
        <w:t xml:space="preserve"> (</w:t>
      </w:r>
      <w:r w:rsidR="00672FA2">
        <w:t>s</w:t>
      </w:r>
      <w:r w:rsidR="008F2301">
        <w:t>ee Figure 4)</w:t>
      </w:r>
      <w:r>
        <w:t xml:space="preserve">. </w:t>
      </w:r>
      <w:r w:rsidR="00BB425D">
        <w:t xml:space="preserve">Broadly speaking, there </w:t>
      </w:r>
      <w:r w:rsidR="00470699">
        <w:t>are</w:t>
      </w:r>
      <w:r w:rsidR="00BB425D">
        <w:t xml:space="preserve"> three</w:t>
      </w:r>
      <w:r>
        <w:t xml:space="preserve"> models</w:t>
      </w:r>
      <w:r w:rsidR="00E04F47">
        <w:t xml:space="preserve"> of employment</w:t>
      </w:r>
      <w:r w:rsidR="00C12FAF">
        <w:t xml:space="preserve">, </w:t>
      </w:r>
      <w:r w:rsidR="00470699">
        <w:t>with</w:t>
      </w:r>
      <w:r w:rsidR="00C12FAF">
        <w:t xml:space="preserve"> a parliamentarian’s staff member employed</w:t>
      </w:r>
      <w:r w:rsidR="00E04F47">
        <w:t xml:space="preserve"> by</w:t>
      </w:r>
      <w:r>
        <w:t xml:space="preserve">: </w:t>
      </w:r>
    </w:p>
    <w:p w14:paraId="28658C00" w14:textId="77777777" w:rsidR="003D7AC5" w:rsidRPr="0055271A" w:rsidRDefault="00C12FAF" w:rsidP="0055271A">
      <w:pPr>
        <w:pStyle w:val="BulletedList-Level1"/>
        <w:rPr>
          <w:rFonts w:ascii="Segoe UI Light" w:hAnsi="Segoe UI Light" w:cs="Segoe UI Light"/>
          <w:szCs w:val="22"/>
        </w:rPr>
      </w:pPr>
      <w:r>
        <w:t xml:space="preserve">the </w:t>
      </w:r>
      <w:r w:rsidR="00F178E5">
        <w:t>p</w:t>
      </w:r>
      <w:r w:rsidR="00DB62B7">
        <w:t>arliamentarian –</w:t>
      </w:r>
      <w:r w:rsidR="00FC7507">
        <w:t xml:space="preserve"> </w:t>
      </w:r>
      <w:r w:rsidR="00DB62B7">
        <w:t xml:space="preserve">on behalf of the state </w:t>
      </w:r>
    </w:p>
    <w:p w14:paraId="5AB8B743" w14:textId="77777777" w:rsidR="003D7AC5" w:rsidRPr="0055271A" w:rsidRDefault="00C12FAF" w:rsidP="0055271A">
      <w:pPr>
        <w:pStyle w:val="BulletedList-Level1"/>
        <w:rPr>
          <w:rFonts w:ascii="Segoe UI Light" w:hAnsi="Segoe UI Light" w:cs="Segoe UI Light"/>
          <w:szCs w:val="22"/>
        </w:rPr>
      </w:pPr>
      <w:r>
        <w:t>an</w:t>
      </w:r>
      <w:r w:rsidR="00F178E5">
        <w:t>o</w:t>
      </w:r>
      <w:r w:rsidR="00DB62B7">
        <w:t xml:space="preserve">ther parliamentarian </w:t>
      </w:r>
      <w:r w:rsidR="00F178E5">
        <w:t xml:space="preserve">– </w:t>
      </w:r>
      <w:r w:rsidR="005246F8">
        <w:t xml:space="preserve">on behalf of the state (for example, </w:t>
      </w:r>
      <w:r w:rsidR="00BB425D">
        <w:t>the</w:t>
      </w:r>
      <w:r w:rsidR="005246F8">
        <w:t xml:space="preserve"> Premier or Treasurer)</w:t>
      </w:r>
    </w:p>
    <w:p w14:paraId="7B5B6851" w14:textId="77777777" w:rsidR="00E04F47" w:rsidRPr="0055271A" w:rsidRDefault="00E3714F" w:rsidP="0055271A">
      <w:pPr>
        <w:pStyle w:val="BulletedList-Level1"/>
        <w:rPr>
          <w:rFonts w:ascii="Segoe UI Light" w:hAnsi="Segoe UI Light" w:cs="Segoe UI Light"/>
          <w:szCs w:val="22"/>
        </w:rPr>
      </w:pPr>
      <w:r>
        <w:t xml:space="preserve">a </w:t>
      </w:r>
      <w:r w:rsidR="00F178E5">
        <w:t>public service agency or p</w:t>
      </w:r>
      <w:r w:rsidR="00DB62B7">
        <w:t>arl</w:t>
      </w:r>
      <w:r w:rsidR="00F178E5">
        <w:t>iamentary d</w:t>
      </w:r>
      <w:r w:rsidR="00DB62B7">
        <w:t xml:space="preserve">epartment. </w:t>
      </w:r>
    </w:p>
    <w:p w14:paraId="7CBDE99A" w14:textId="18DD99C6" w:rsidR="00FD1E8F" w:rsidRDefault="00DB62B7" w:rsidP="0055271A">
      <w:r>
        <w:t xml:space="preserve">There are </w:t>
      </w:r>
      <w:r w:rsidR="008F2301">
        <w:t xml:space="preserve">further </w:t>
      </w:r>
      <w:r w:rsidR="006774F6">
        <w:t xml:space="preserve">distinctions </w:t>
      </w:r>
      <w:r>
        <w:t>within the</w:t>
      </w:r>
      <w:r w:rsidR="008F2301">
        <w:t xml:space="preserve"> m</w:t>
      </w:r>
      <w:r>
        <w:t>odels, for example, i</w:t>
      </w:r>
      <w:r w:rsidRPr="0014733D">
        <w:t xml:space="preserve">n </w:t>
      </w:r>
      <w:r w:rsidR="008F2301">
        <w:t xml:space="preserve">Victoria the Premier employs ministerial advisers, the Department of Premier and Cabinet employs parliamentary advisers, and Presiding Officers employ electorate officers. </w:t>
      </w:r>
      <w:r w:rsidR="00422AA1">
        <w:t>I</w:t>
      </w:r>
      <w:r w:rsidR="006774F6">
        <w:t xml:space="preserve">n South Australia, the Premier employs ministerial officers and the Treasurer employs all others. </w:t>
      </w:r>
      <w:r w:rsidR="008F2301">
        <w:t xml:space="preserve">In </w:t>
      </w:r>
      <w:r w:rsidRPr="0014733D">
        <w:t xml:space="preserve">New Zealand </w:t>
      </w:r>
      <w:r w:rsidR="00CC2FD9">
        <w:t>th</w:t>
      </w:r>
      <w:r w:rsidR="00CC2FD9" w:rsidRPr="00F178E5">
        <w:t>e employer of Member</w:t>
      </w:r>
      <w:r w:rsidR="00CC2FD9">
        <w:t>s’</w:t>
      </w:r>
      <w:r w:rsidR="00CC2FD9" w:rsidRPr="00F178E5">
        <w:t xml:space="preserve"> staff </w:t>
      </w:r>
      <w:r w:rsidR="00CC2FD9">
        <w:t>is</w:t>
      </w:r>
      <w:r w:rsidR="00CC2FD9" w:rsidRPr="00F178E5">
        <w:t xml:space="preserve"> the Parliamentary Service and, for </w:t>
      </w:r>
      <w:r w:rsidR="00514FBE">
        <w:t>m</w:t>
      </w:r>
      <w:r w:rsidR="00CC2FD9" w:rsidRPr="00F178E5">
        <w:t>inisterial staff, the Department of Internal Affairs.</w:t>
      </w:r>
      <w:r w:rsidR="00CC2FD9">
        <w:t xml:space="preserve"> </w:t>
      </w:r>
    </w:p>
    <w:p w14:paraId="7417B3FE" w14:textId="77777777" w:rsidR="00FD1E8F" w:rsidRDefault="00FD1E8F">
      <w:pPr>
        <w:spacing w:after="200"/>
      </w:pPr>
      <w:r>
        <w:br w:type="page"/>
      </w:r>
    </w:p>
    <w:p w14:paraId="1CB7B4A8" w14:textId="3D8CCF34" w:rsidR="00DB62B7" w:rsidRDefault="00DB62B7" w:rsidP="004D5287">
      <w:pPr>
        <w:pStyle w:val="Figure"/>
      </w:pPr>
    </w:p>
    <w:p w14:paraId="7DB0665A" w14:textId="77777777" w:rsidR="00AF4854" w:rsidRDefault="00C07914" w:rsidP="00DB62B7">
      <w:r>
        <w:rPr>
          <w:noProof/>
          <w:lang w:eastAsia="en-AU"/>
        </w:rPr>
        <w:drawing>
          <wp:inline distT="0" distB="0" distL="0" distR="0" wp14:anchorId="343A5FF1" wp14:editId="6FE2BAE8">
            <wp:extent cx="6120130" cy="4390390"/>
            <wp:effectExtent l="0" t="0" r="0" b="0"/>
            <wp:docPr id="15" name="Picture 15" descr="The image is titled ‘Employers in other jurisdictions’ and has three boxes beneath it.&#10;&#10;The first lists jurisdictions where employees are directly engaged by the parliamentarian as employer (current MoP(S), NSW, ACT, United Kingdom and Canada). &#10;&#10;The second list jurisdictions where employees are engaged by another parliamentarian (Victoria, South Australia and Western Australia.&#10;&#10;The third lists jurisdictions where employees are engaged by a public service agency or parliamentary department (Queensland and New Zealand).&#10;" title="Employers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PAct-Infographics-300922-F4-otherjurisdiction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390390"/>
                    </a:xfrm>
                    <a:prstGeom prst="rect">
                      <a:avLst/>
                    </a:prstGeom>
                  </pic:spPr>
                </pic:pic>
              </a:graphicData>
            </a:graphic>
          </wp:inline>
        </w:drawing>
      </w:r>
    </w:p>
    <w:p w14:paraId="4E9A404F" w14:textId="77777777" w:rsidR="00DB62B7" w:rsidRDefault="00DB62B7" w:rsidP="00DB62B7">
      <w:r>
        <w:t xml:space="preserve">The Review heard: </w:t>
      </w:r>
    </w:p>
    <w:p w14:paraId="0EA20825" w14:textId="77777777" w:rsidR="00DB62B7" w:rsidRDefault="00DB62B7" w:rsidP="00971ECB">
      <w:pPr>
        <w:pStyle w:val="ListParagraph"/>
        <w:numPr>
          <w:ilvl w:val="0"/>
          <w:numId w:val="13"/>
        </w:numPr>
      </w:pPr>
      <w:r>
        <w:t>‘It’s better at a state level, where an employee submits directly to a parliamentary department</w:t>
      </w:r>
      <w:r w:rsidR="00913D8B">
        <w:t>.</w:t>
      </w:r>
      <w:r>
        <w:t xml:space="preserve">’ </w:t>
      </w:r>
    </w:p>
    <w:p w14:paraId="791F2710" w14:textId="77777777" w:rsidR="00DB62B7" w:rsidRDefault="00DB62B7" w:rsidP="00DB62B7">
      <w:r>
        <w:t>And equally:</w:t>
      </w:r>
    </w:p>
    <w:p w14:paraId="3B2A96C9" w14:textId="77777777" w:rsidR="00DB62B7" w:rsidRDefault="00DB62B7" w:rsidP="00971ECB">
      <w:pPr>
        <w:pStyle w:val="ListParagraph"/>
        <w:numPr>
          <w:ilvl w:val="0"/>
          <w:numId w:val="13"/>
        </w:numPr>
      </w:pPr>
      <w:r>
        <w:t>‘I’m not sure that the Vi</w:t>
      </w:r>
      <w:r w:rsidR="00F178E5">
        <w:t xml:space="preserve">ctorian Parliament model helps </w:t>
      </w:r>
      <w:r>
        <w:t>as the same problem persist</w:t>
      </w:r>
      <w:r w:rsidR="00FE6A71">
        <w:t>s</w:t>
      </w:r>
      <w:r>
        <w:t xml:space="preserve"> – with the MP having too much power and staff </w:t>
      </w:r>
      <w:r w:rsidR="00C27E12">
        <w:t>do</w:t>
      </w:r>
      <w:r>
        <w:t xml:space="preserve">n’t feel that they can speak up’.   </w:t>
      </w:r>
    </w:p>
    <w:p w14:paraId="6BE76E2A" w14:textId="77777777" w:rsidR="00DB62B7" w:rsidRDefault="00DB62B7" w:rsidP="00DB62B7">
      <w:r>
        <w:t xml:space="preserve">NSW made a decision in 2013 to shift away from </w:t>
      </w:r>
      <w:r w:rsidR="00706253">
        <w:t xml:space="preserve">MoP(S) Act </w:t>
      </w:r>
      <w:r w:rsidR="002D62B0">
        <w:t>employees</w:t>
      </w:r>
      <w:r>
        <w:t xml:space="preserve"> being employed by the Premier’s Department</w:t>
      </w:r>
      <w:r>
        <w:rPr>
          <w:rStyle w:val="FootnoteReference"/>
        </w:rPr>
        <w:footnoteReference w:id="70"/>
      </w:r>
      <w:r>
        <w:t xml:space="preserve"> to </w:t>
      </w:r>
      <w:r w:rsidR="00706253">
        <w:t xml:space="preserve">being employed by </w:t>
      </w:r>
      <w:r>
        <w:t>the parliam</w:t>
      </w:r>
      <w:r w:rsidR="00913D8B">
        <w:t>entarian</w:t>
      </w:r>
      <w:r>
        <w:t>.</w:t>
      </w:r>
      <w:r w:rsidR="007C1C9A">
        <w:t xml:space="preserve"> </w:t>
      </w:r>
    </w:p>
    <w:p w14:paraId="287A3699" w14:textId="0861008C" w:rsidR="00DB62B7" w:rsidRDefault="00DB62B7" w:rsidP="00206869">
      <w:pPr>
        <w:pStyle w:val="BulletedList-Level1"/>
      </w:pPr>
      <w:r>
        <w:t xml:space="preserve">The employment framework for MoP(S) </w:t>
      </w:r>
      <w:r w:rsidR="002D62B0">
        <w:t>Act employees</w:t>
      </w:r>
      <w:r>
        <w:t xml:space="preserve"> in NSW closely mirrors the Commonwealth equivalent. In NSW, staff are employed by political office-holders on behalf of the State under the </w:t>
      </w:r>
      <w:r w:rsidRPr="007F2B8F">
        <w:rPr>
          <w:i/>
        </w:rPr>
        <w:t>Members of Parliament Staff Act 2013 (NSW)</w:t>
      </w:r>
      <w:r>
        <w:t xml:space="preserve">. The Premier may impose conditions on the employment of staff, and the automatic termination provisions are very similar to those in the Commonwealth legislation. Notable differences between the two frameworks </w:t>
      </w:r>
      <w:r w:rsidR="00AE3664">
        <w:t xml:space="preserve">in NSW </w:t>
      </w:r>
      <w:r>
        <w:t>are:</w:t>
      </w:r>
    </w:p>
    <w:p w14:paraId="738D5070" w14:textId="78239DC3" w:rsidR="00DB62B7" w:rsidRPr="00DB62B7" w:rsidRDefault="00241CF6" w:rsidP="00DB62B7">
      <w:pPr>
        <w:pStyle w:val="BulletedList-Level1"/>
      </w:pPr>
      <w:r>
        <w:t xml:space="preserve">all </w:t>
      </w:r>
      <w:r w:rsidR="00DB62B7" w:rsidRPr="00DB62B7">
        <w:t xml:space="preserve">MoP(S) </w:t>
      </w:r>
      <w:r w:rsidR="002D62B0">
        <w:t>Act employees</w:t>
      </w:r>
      <w:r w:rsidR="00DB62B7" w:rsidRPr="00DB62B7">
        <w:t xml:space="preserve"> are required to comply with a </w:t>
      </w:r>
      <w:r w:rsidR="00356DF7">
        <w:t>code</w:t>
      </w:r>
      <w:r w:rsidR="00DB62B7" w:rsidRPr="00DB62B7">
        <w:t xml:space="preserve"> of </w:t>
      </w:r>
      <w:r w:rsidR="00356DF7">
        <w:t>c</w:t>
      </w:r>
      <w:r w:rsidR="00DB62B7" w:rsidRPr="00DB62B7">
        <w:t>onduct (</w:t>
      </w:r>
      <w:r w:rsidR="005203A9">
        <w:t>in accordance with</w:t>
      </w:r>
      <w:r w:rsidR="00DB62B7" w:rsidRPr="00DB62B7">
        <w:t xml:space="preserve"> a determination by the Premier)</w:t>
      </w:r>
    </w:p>
    <w:p w14:paraId="0F53D61F" w14:textId="77777777" w:rsidR="00DB62B7" w:rsidRPr="00DB62B7" w:rsidRDefault="00015728" w:rsidP="00DB62B7">
      <w:pPr>
        <w:pStyle w:val="BulletedList-Level1"/>
      </w:pPr>
      <w:r>
        <w:t>p</w:t>
      </w:r>
      <w:r w:rsidR="00356DF7">
        <w:t>residing o</w:t>
      </w:r>
      <w:r w:rsidR="00DB62B7" w:rsidRPr="00DB62B7">
        <w:t xml:space="preserve">fficers are empowered to </w:t>
      </w:r>
      <w:r w:rsidR="00411BC2">
        <w:t xml:space="preserve">terminate or </w:t>
      </w:r>
      <w:r w:rsidR="00DB62B7" w:rsidRPr="00DB62B7">
        <w:t>suspend staff members for misconduct</w:t>
      </w:r>
    </w:p>
    <w:p w14:paraId="1E4A1970" w14:textId="77777777" w:rsidR="00DB62B7" w:rsidRPr="00DB62B7" w:rsidRDefault="00DB62B7" w:rsidP="00DB62B7">
      <w:pPr>
        <w:pStyle w:val="BulletedList-Level1"/>
      </w:pPr>
      <w:r w:rsidRPr="00DB62B7">
        <w:t xml:space="preserve">staffing allocations </w:t>
      </w:r>
      <w:r w:rsidR="00C256EF">
        <w:t xml:space="preserve">for non-ministerial staff </w:t>
      </w:r>
      <w:r w:rsidRPr="00DB62B7">
        <w:t>are determined by a Parliamentary Remuneration Tribunal.</w:t>
      </w:r>
    </w:p>
    <w:p w14:paraId="1BBE9DAE" w14:textId="77777777" w:rsidR="00FC7507" w:rsidRDefault="00FC7507" w:rsidP="00DB62B7"/>
    <w:p w14:paraId="7AB3D454" w14:textId="77777777" w:rsidR="00DB62B7" w:rsidRPr="00607928" w:rsidRDefault="00DB62B7" w:rsidP="00051BDA">
      <w:pPr>
        <w:pStyle w:val="Heading3"/>
      </w:pPr>
      <w:r>
        <w:t xml:space="preserve">3.3.2 </w:t>
      </w:r>
      <w:r w:rsidRPr="00607928">
        <w:t>Options for improvement</w:t>
      </w:r>
    </w:p>
    <w:p w14:paraId="5FE59C97" w14:textId="53C1D490" w:rsidR="00DB62B7" w:rsidRDefault="00241CF6" w:rsidP="00DB62B7">
      <w:r>
        <w:t>An a</w:t>
      </w:r>
      <w:r w:rsidR="00DB62B7">
        <w:t>rgument for a centralised employment model where a department or other person is responsible for aspects of employment</w:t>
      </w:r>
      <w:r w:rsidR="00015728">
        <w:t xml:space="preserve"> (</w:t>
      </w:r>
      <w:r w:rsidR="00DB62B7">
        <w:t>like recruitment and termination of staff</w:t>
      </w:r>
      <w:r w:rsidR="00015728">
        <w:t>)</w:t>
      </w:r>
      <w:r w:rsidR="006609C1">
        <w:t xml:space="preserve"> include</w:t>
      </w:r>
      <w:r>
        <w:t xml:space="preserve"> </w:t>
      </w:r>
      <w:r w:rsidR="00DB62B7">
        <w:t xml:space="preserve">consistency </w:t>
      </w:r>
      <w:r w:rsidR="00015728">
        <w:t>across</w:t>
      </w:r>
      <w:r w:rsidR="00DB62B7">
        <w:t xml:space="preserve"> employment practice and process. </w:t>
      </w:r>
    </w:p>
    <w:p w14:paraId="06B53349" w14:textId="4E58D6BC" w:rsidR="00DB62B7" w:rsidRDefault="00913D8B" w:rsidP="00DB62B7">
      <w:r>
        <w:t>However, even</w:t>
      </w:r>
      <w:r w:rsidR="00DB62B7">
        <w:t xml:space="preserve"> with a centralised employer (such as in NZ</w:t>
      </w:r>
      <w:r>
        <w:t xml:space="preserve"> and Vic</w:t>
      </w:r>
      <w:r w:rsidR="00AE3664">
        <w:t>toria</w:t>
      </w:r>
      <w:r w:rsidR="00783E34">
        <w:t>.</w:t>
      </w:r>
      <w:r>
        <w:t xml:space="preserve">) </w:t>
      </w:r>
      <w:r w:rsidR="00DB62B7">
        <w:t>parliamentarian</w:t>
      </w:r>
      <w:r w:rsidR="00BC684F">
        <w:t>s</w:t>
      </w:r>
      <w:r w:rsidR="00276722">
        <w:t>,</w:t>
      </w:r>
      <w:r w:rsidR="00DB62B7">
        <w:t xml:space="preserve"> or </w:t>
      </w:r>
      <w:r w:rsidR="00D76EB8">
        <w:t xml:space="preserve">senior staff in </w:t>
      </w:r>
      <w:r w:rsidR="00DB62B7">
        <w:t>their office</w:t>
      </w:r>
      <w:r w:rsidR="00276722">
        <w:t>, are engaged in the day-to-day management of employees and continue to have employer responsibilities</w:t>
      </w:r>
      <w:r w:rsidR="00DB62B7">
        <w:t xml:space="preserve">. </w:t>
      </w:r>
      <w:r>
        <w:t>R</w:t>
      </w:r>
      <w:r w:rsidR="00DB62B7">
        <w:t>emoving employing powers from parliamentaria</w:t>
      </w:r>
      <w:r>
        <w:t xml:space="preserve">ns could also impact </w:t>
      </w:r>
      <w:r w:rsidR="00DB62B7">
        <w:t>on the</w:t>
      </w:r>
      <w:r>
        <w:t>ir</w:t>
      </w:r>
      <w:r w:rsidR="00DB62B7">
        <w:t xml:space="preserve"> ability to run functional and successful offices, and to be held to account for employment practi</w:t>
      </w:r>
      <w:r w:rsidR="00B964D0">
        <w:t>c</w:t>
      </w:r>
      <w:r w:rsidR="00DB62B7">
        <w:t>es.</w:t>
      </w:r>
    </w:p>
    <w:p w14:paraId="707D369B" w14:textId="6F12EBBE" w:rsidR="00DB62B7" w:rsidRDefault="00913D8B" w:rsidP="00DB62B7">
      <w:r>
        <w:t xml:space="preserve">While changing the responsibility for recruitment and termination of staff may improve consistency in some respects, it does not </w:t>
      </w:r>
      <w:r w:rsidRPr="000A2E15">
        <w:t xml:space="preserve">reduce complexity in the framework or guarantee different results. </w:t>
      </w:r>
      <w:r w:rsidR="00DB62B7" w:rsidRPr="000A2E15">
        <w:t>Th</w:t>
      </w:r>
      <w:r w:rsidRPr="000A2E15">
        <w:t xml:space="preserve">ere are </w:t>
      </w:r>
      <w:r w:rsidR="00DB62B7" w:rsidRPr="000A2E15">
        <w:t>other options to address inconsistent employment practices</w:t>
      </w:r>
      <w:r w:rsidR="00241CF6">
        <w:t>,</w:t>
      </w:r>
      <w:r w:rsidR="00B964D0" w:rsidRPr="000A2E15">
        <w:t xml:space="preserve"> such as coordinating processes through the OPSC</w:t>
      </w:r>
      <w:r w:rsidR="00DB62B7" w:rsidRPr="000A2E15">
        <w:t xml:space="preserve"> and </w:t>
      </w:r>
      <w:r w:rsidR="00B964D0" w:rsidRPr="000A2E15">
        <w:t xml:space="preserve">increasing employer </w:t>
      </w:r>
      <w:r w:rsidR="00DB62B7" w:rsidRPr="000A2E15">
        <w:t>accountability</w:t>
      </w:r>
      <w:r w:rsidR="00DB62B7" w:rsidRPr="00DB62B7" w:rsidDel="00B964D0">
        <w:t>.</w:t>
      </w:r>
    </w:p>
    <w:p w14:paraId="0EA4D644" w14:textId="2A00F022" w:rsidR="00DB62B7" w:rsidRDefault="00DB62B7" w:rsidP="00DB62B7">
      <w:r w:rsidRPr="00AF4854">
        <w:t>In practice,</w:t>
      </w:r>
      <w:r w:rsidR="00913D8B" w:rsidRPr="00AF4854">
        <w:t xml:space="preserve"> the Review considers</w:t>
      </w:r>
      <w:r w:rsidRPr="00AF4854">
        <w:t xml:space="preserve"> there </w:t>
      </w:r>
      <w:r w:rsidR="00AE3664">
        <w:t>is</w:t>
      </w:r>
      <w:r w:rsidRPr="00AF4854">
        <w:t xml:space="preserve"> more to gain by building the skills of those making decisions (parliamentarians and their delegates), providing support for improved practices, and considering safeguards like requirements to consult with OPSC and step</w:t>
      </w:r>
      <w:r w:rsidR="00071760">
        <w:t>-</w:t>
      </w:r>
      <w:r>
        <w:t xml:space="preserve">in powers for the OPSC when decisions are not consistent with WHS. </w:t>
      </w:r>
    </w:p>
    <w:p w14:paraId="64BCAF37" w14:textId="77777777" w:rsidR="00DB62B7" w:rsidRPr="00F75DE2" w:rsidRDefault="00DB62B7" w:rsidP="00051BDA">
      <w:pPr>
        <w:pStyle w:val="Heading4"/>
      </w:pPr>
      <w:r w:rsidRPr="00F75DE2">
        <w:t>H</w:t>
      </w:r>
      <w:r>
        <w:t xml:space="preserve">uman </w:t>
      </w:r>
      <w:r w:rsidR="000A2E15">
        <w:t xml:space="preserve">resource </w:t>
      </w:r>
      <w:r w:rsidRPr="00F75DE2">
        <w:t>functions</w:t>
      </w:r>
    </w:p>
    <w:p w14:paraId="359AB9E2" w14:textId="77777777" w:rsidR="00DB62B7" w:rsidRDefault="00DB62B7" w:rsidP="00DB62B7">
      <w:r>
        <w:t xml:space="preserve">Currently, the MoP(S) Act does not include functions and powers with regard to </w:t>
      </w:r>
      <w:r w:rsidR="000A2E15">
        <w:t>HR</w:t>
      </w:r>
      <w:r>
        <w:t xml:space="preserve"> support and accountability, or linkages with </w:t>
      </w:r>
      <w:r w:rsidR="003941A0">
        <w:t>WHS</w:t>
      </w:r>
      <w:r>
        <w:t xml:space="preserve"> obligations. </w:t>
      </w:r>
      <w:r w:rsidR="00CE64A1">
        <w:t>The</w:t>
      </w:r>
      <w:r>
        <w:t xml:space="preserve"> </w:t>
      </w:r>
      <w:r w:rsidR="00CE64A1">
        <w:t xml:space="preserve">establishment of </w:t>
      </w:r>
      <w:r>
        <w:t>the</w:t>
      </w:r>
      <w:r w:rsidR="000A2E15">
        <w:t xml:space="preserve"> proposed</w:t>
      </w:r>
      <w:r>
        <w:t xml:space="preserve"> OPSC</w:t>
      </w:r>
      <w:r w:rsidR="00CE64A1">
        <w:t xml:space="preserve"> provides</w:t>
      </w:r>
      <w:r>
        <w:t xml:space="preserve"> an opportunity to </w:t>
      </w:r>
      <w:r w:rsidR="009D099B">
        <w:t>re</w:t>
      </w:r>
      <w:r>
        <w:t>consider how these parts of the employment framework will function.</w:t>
      </w:r>
      <w:r>
        <w:rPr>
          <w:rStyle w:val="FootnoteReference"/>
        </w:rPr>
        <w:footnoteReference w:id="71"/>
      </w:r>
      <w:r w:rsidRPr="00AD0262">
        <w:t xml:space="preserve"> </w:t>
      </w:r>
    </w:p>
    <w:p w14:paraId="0BD9D1F8" w14:textId="687363E9" w:rsidR="00DB62B7" w:rsidRDefault="00DB62B7" w:rsidP="00DB62B7">
      <w:r>
        <w:t>The role</w:t>
      </w:r>
      <w:r w:rsidR="006A61CD">
        <w:t xml:space="preserve"> of the </w:t>
      </w:r>
      <w:r>
        <w:t>OPSC</w:t>
      </w:r>
      <w:r w:rsidR="005246F8">
        <w:t xml:space="preserve"> </w:t>
      </w:r>
      <w:r w:rsidR="006A61CD">
        <w:t>will</w:t>
      </w:r>
      <w:r>
        <w:t xml:space="preserve"> include providing HR support to parliamentarians and MoP(S) Act employees</w:t>
      </w:r>
      <w:r w:rsidR="00241CF6">
        <w:t>,</w:t>
      </w:r>
      <w:r w:rsidR="008445EF">
        <w:t xml:space="preserve"> as well as </w:t>
      </w:r>
      <w:r>
        <w:t>the provision of strategic HR functions in the areas of policy development, training, advice, and education.</w:t>
      </w:r>
      <w:r w:rsidRPr="00AD0262">
        <w:t xml:space="preserve"> </w:t>
      </w:r>
    </w:p>
    <w:p w14:paraId="00281095" w14:textId="39C16DD2" w:rsidR="00AE176F" w:rsidRDefault="00AE176F" w:rsidP="00DB62B7">
      <w:r w:rsidRPr="00C26361">
        <w:t>Further consideration is given</w:t>
      </w:r>
      <w:r w:rsidR="00C26361" w:rsidRPr="00C26361">
        <w:t xml:space="preserve"> in Section 4.2</w:t>
      </w:r>
      <w:r w:rsidRPr="00C26361">
        <w:t xml:space="preserve"> on how best to support MoP(S) </w:t>
      </w:r>
      <w:r w:rsidR="005859C9" w:rsidRPr="00C26361">
        <w:t xml:space="preserve">Act </w:t>
      </w:r>
      <w:r w:rsidRPr="00C26361">
        <w:t xml:space="preserve">employees </w:t>
      </w:r>
      <w:r w:rsidR="00C26361" w:rsidRPr="00C26361">
        <w:t>who</w:t>
      </w:r>
      <w:r w:rsidR="00C26361">
        <w:t xml:space="preserve"> exercise HR </w:t>
      </w:r>
      <w:r w:rsidR="002F2F10">
        <w:t>delegations</w:t>
      </w:r>
      <w:r w:rsidR="00C26361">
        <w:t xml:space="preserve"> and functions, including through the provision of mandatory training as required.</w:t>
      </w:r>
    </w:p>
    <w:p w14:paraId="3E58D9C8" w14:textId="77777777" w:rsidR="00DB62B7" w:rsidRDefault="007667A8" w:rsidP="00DB62B7">
      <w:r>
        <w:t>The</w:t>
      </w:r>
      <w:r w:rsidR="00DB62B7">
        <w:t xml:space="preserve"> OPSC </w:t>
      </w:r>
      <w:r>
        <w:t>is likely to</w:t>
      </w:r>
      <w:r w:rsidR="00DB62B7">
        <w:t xml:space="preserve"> be a </w:t>
      </w:r>
      <w:r w:rsidR="005A534E">
        <w:t>‘</w:t>
      </w:r>
      <w:r w:rsidR="00DB62B7">
        <w:t>responsible agency</w:t>
      </w:r>
      <w:r w:rsidR="005A534E">
        <w:t>’</w:t>
      </w:r>
      <w:r w:rsidR="00E32C72">
        <w:t xml:space="preserve"> </w:t>
      </w:r>
      <w:r w:rsidR="005A534E">
        <w:t>(for the purposes of the WHS Act)</w:t>
      </w:r>
      <w:r w:rsidR="00C671FE">
        <w:t xml:space="preserve"> </w:t>
      </w:r>
      <w:r w:rsidR="00DB62B7">
        <w:t xml:space="preserve">on behalf of the Commonwealth, and </w:t>
      </w:r>
      <w:r>
        <w:t>will</w:t>
      </w:r>
      <w:r w:rsidR="00DB62B7">
        <w:t xml:space="preserve"> therefore be required to perform certain functions for MoP(S) </w:t>
      </w:r>
      <w:r w:rsidR="002D62B0">
        <w:t xml:space="preserve">Act employees </w:t>
      </w:r>
      <w:r w:rsidR="00DB62B7">
        <w:t xml:space="preserve">under WHS law. Consequently, </w:t>
      </w:r>
      <w:r w:rsidR="00CA2B63">
        <w:t>the</w:t>
      </w:r>
      <w:r w:rsidR="00DB62B7">
        <w:t xml:space="preserve"> OPSC will need to have powers to be able to take steps to manage and or mitigate certain WHS risks.</w:t>
      </w:r>
    </w:p>
    <w:p w14:paraId="71A79A74" w14:textId="77777777" w:rsidR="00DB62B7" w:rsidRDefault="00DB62B7" w:rsidP="00DB62B7">
      <w:r>
        <w:t>In response to submissions</w:t>
      </w:r>
      <w:r w:rsidR="00AD504A">
        <w:t>,</w:t>
      </w:r>
      <w:r w:rsidR="00FD75E2">
        <w:rPr>
          <w:rStyle w:val="FootnoteReference"/>
        </w:rPr>
        <w:footnoteReference w:id="72"/>
      </w:r>
      <w:r>
        <w:t xml:space="preserve"> the </w:t>
      </w:r>
      <w:r w:rsidR="007667A8">
        <w:t>R</w:t>
      </w:r>
      <w:r>
        <w:t xml:space="preserve">eview considered ways to </w:t>
      </w:r>
      <w:r w:rsidR="00E32C72">
        <w:t>ensure</w:t>
      </w:r>
      <w:r>
        <w:t xml:space="preserve"> </w:t>
      </w:r>
      <w:r w:rsidR="00CA2B63">
        <w:t xml:space="preserve">the </w:t>
      </w:r>
      <w:r>
        <w:t xml:space="preserve">OPSC </w:t>
      </w:r>
      <w:r w:rsidR="00974D4D">
        <w:t>is em</w:t>
      </w:r>
      <w:r w:rsidR="00E32C72">
        <w:t>power</w:t>
      </w:r>
      <w:r w:rsidR="00974D4D">
        <w:t>ed</w:t>
      </w:r>
      <w:r w:rsidR="00E32C72">
        <w:t xml:space="preserve"> to manage </w:t>
      </w:r>
      <w:r>
        <w:t xml:space="preserve">certain WHS </w:t>
      </w:r>
      <w:r w:rsidR="00E32C72">
        <w:t>matters</w:t>
      </w:r>
      <w:r>
        <w:t>, without fundamentally altering the employment relationship with parliamentarians or any of the parliamentarian’s WHS obligations.</w:t>
      </w:r>
    </w:p>
    <w:p w14:paraId="45DD5B50" w14:textId="4406F814" w:rsidR="00DB62B7" w:rsidRDefault="00DB62B7" w:rsidP="00DB62B7">
      <w:r>
        <w:t>The Review heard</w:t>
      </w:r>
      <w:r w:rsidR="00E1697B">
        <w:t xml:space="preserve"> </w:t>
      </w:r>
      <w:r w:rsidR="000D47C9">
        <w:t xml:space="preserve">a </w:t>
      </w:r>
      <w:r w:rsidR="002B3A94">
        <w:t xml:space="preserve">wide </w:t>
      </w:r>
      <w:r w:rsidR="000D47C9">
        <w:t xml:space="preserve">range of </w:t>
      </w:r>
      <w:r w:rsidR="001D3951">
        <w:t>views</w:t>
      </w:r>
      <w:r w:rsidR="000D47C9">
        <w:t xml:space="preserve"> </w:t>
      </w:r>
      <w:r w:rsidR="002B3A94">
        <w:t xml:space="preserve">and suggestions </w:t>
      </w:r>
      <w:r w:rsidR="000D47C9">
        <w:t>from contributors</w:t>
      </w:r>
      <w:r w:rsidR="001663F4">
        <w:t xml:space="preserve"> </w:t>
      </w:r>
      <w:r w:rsidR="002B3A94">
        <w:t xml:space="preserve">including </w:t>
      </w:r>
      <w:r w:rsidR="00E1697B">
        <w:t>that</w:t>
      </w:r>
      <w:r>
        <w:t xml:space="preserve">: </w:t>
      </w:r>
    </w:p>
    <w:p w14:paraId="5804D99D" w14:textId="62991375" w:rsidR="00DB62B7" w:rsidRDefault="008445EF" w:rsidP="00DB62B7">
      <w:pPr>
        <w:pStyle w:val="BulletedList-Level1"/>
      </w:pPr>
      <w:r>
        <w:t>m</w:t>
      </w:r>
      <w:r w:rsidR="00DB62B7">
        <w:t xml:space="preserve">any </w:t>
      </w:r>
      <w:r w:rsidR="00E1697B">
        <w:t xml:space="preserve">understood that </w:t>
      </w:r>
      <w:r w:rsidR="00DB62B7">
        <w:t xml:space="preserve">parliamentarians </w:t>
      </w:r>
      <w:r w:rsidR="00E1697B">
        <w:t xml:space="preserve">often </w:t>
      </w:r>
      <w:r w:rsidR="00DB62B7">
        <w:t>have no previous people management/HR experience</w:t>
      </w:r>
      <w:r w:rsidR="002C6A83">
        <w:t>.</w:t>
      </w:r>
      <w:r w:rsidR="00DB62B7">
        <w:t xml:space="preserve"> </w:t>
      </w:r>
      <w:r w:rsidR="00CA2B63">
        <w:t xml:space="preserve">One contributor </w:t>
      </w:r>
      <w:r w:rsidR="002B3A94">
        <w:t xml:space="preserve">suggested </w:t>
      </w:r>
      <w:r w:rsidR="00CA2B63">
        <w:t>that ‘f</w:t>
      </w:r>
      <w:r w:rsidR="00DB62B7" w:rsidRPr="007D5982">
        <w:t>ollow-up and ongoing support is required</w:t>
      </w:r>
      <w:r w:rsidR="00E1697B">
        <w:t xml:space="preserve"> butt</w:t>
      </w:r>
      <w:r w:rsidR="00DB62B7" w:rsidRPr="007D5982">
        <w:t xml:space="preserve">he challenge in this is </w:t>
      </w:r>
      <w:r w:rsidR="00CA2B63">
        <w:t>that it’</w:t>
      </w:r>
      <w:r w:rsidR="00DB62B7" w:rsidRPr="007D5982">
        <w:t>s hard to get people to admit in that environment they don’t know something and need support</w:t>
      </w:r>
      <w:r w:rsidR="00DB62B7">
        <w:t>’</w:t>
      </w:r>
    </w:p>
    <w:p w14:paraId="4D1D35CC" w14:textId="15E7C26D" w:rsidR="00DB62B7" w:rsidRPr="0026679C" w:rsidRDefault="001663F4" w:rsidP="00DB62B7">
      <w:pPr>
        <w:pStyle w:val="BulletedList-Level1"/>
      </w:pPr>
      <w:r>
        <w:t>some thought</w:t>
      </w:r>
      <w:r w:rsidR="00E1697B">
        <w:t xml:space="preserve"> that the </w:t>
      </w:r>
      <w:r w:rsidR="00522978">
        <w:t>p</w:t>
      </w:r>
      <w:r w:rsidR="00DB62B7" w:rsidRPr="0026679C">
        <w:t xml:space="preserve">arliament should have some power to intervene to </w:t>
      </w:r>
      <w:r w:rsidR="006D7242">
        <w:t xml:space="preserve">protect </w:t>
      </w:r>
      <w:r w:rsidR="00DB62B7" w:rsidRPr="0026679C">
        <w:t>individual staff member</w:t>
      </w:r>
      <w:r w:rsidR="00283292">
        <w:t>s</w:t>
      </w:r>
      <w:r w:rsidR="00DB62B7" w:rsidRPr="0026679C">
        <w:t xml:space="preserve">. </w:t>
      </w:r>
      <w:r w:rsidR="00ED58FA">
        <w:t>They felt that p</w:t>
      </w:r>
      <w:r w:rsidR="00DB62B7" w:rsidRPr="0026679C">
        <w:t xml:space="preserve">arties are not always incentivised to intervene for fear that the parliamentarian quits the party </w:t>
      </w:r>
      <w:r w:rsidR="00CA2B63">
        <w:t>and joins</w:t>
      </w:r>
      <w:r w:rsidR="00DB62B7" w:rsidRPr="0026679C">
        <w:t xml:space="preserve"> the crossbench. </w:t>
      </w:r>
      <w:r w:rsidR="002B3A94">
        <w:t>It was proposed that a</w:t>
      </w:r>
      <w:r w:rsidR="00DB62B7" w:rsidRPr="0026679C">
        <w:t>n arms</w:t>
      </w:r>
      <w:r w:rsidR="00E32C72">
        <w:noBreakHyphen/>
      </w:r>
      <w:r w:rsidR="00DB62B7" w:rsidRPr="0026679C">
        <w:t>length body would therefore</w:t>
      </w:r>
      <w:r w:rsidR="00CA2B63">
        <w:t xml:space="preserve"> be better placed to </w:t>
      </w:r>
      <w:r w:rsidR="00DB62B7" w:rsidRPr="0026679C">
        <w:t>uphold th</w:t>
      </w:r>
      <w:r w:rsidR="00CA2B63">
        <w:t>is</w:t>
      </w:r>
      <w:r w:rsidR="00DB62B7" w:rsidRPr="0026679C">
        <w:t xml:space="preserve"> duty of care</w:t>
      </w:r>
    </w:p>
    <w:p w14:paraId="74A5C42C" w14:textId="04D5D64B" w:rsidR="00DB62B7" w:rsidRDefault="008445EF" w:rsidP="00DB62B7">
      <w:pPr>
        <w:pStyle w:val="BulletedList-Level1"/>
      </w:pPr>
      <w:r>
        <w:t>f</w:t>
      </w:r>
      <w:r w:rsidR="00DB62B7">
        <w:t xml:space="preserve">or </w:t>
      </w:r>
      <w:r w:rsidR="00DB62B7" w:rsidRPr="00567E24">
        <w:t>WHS</w:t>
      </w:r>
      <w:r w:rsidR="00FF6B60">
        <w:t xml:space="preserve"> purposes</w:t>
      </w:r>
      <w:r w:rsidR="00DB62B7">
        <w:t xml:space="preserve">, </w:t>
      </w:r>
      <w:r w:rsidR="00DB62B7" w:rsidRPr="00567E24">
        <w:t xml:space="preserve">when </w:t>
      </w:r>
      <w:r w:rsidR="00DB62B7">
        <w:t xml:space="preserve">a </w:t>
      </w:r>
      <w:r w:rsidR="00DB62B7" w:rsidRPr="00567E24">
        <w:t xml:space="preserve">parliamentarian refuses to sack a staff member </w:t>
      </w:r>
      <w:r w:rsidR="00DB62B7">
        <w:t>there</w:t>
      </w:r>
      <w:r w:rsidR="00DB62B7" w:rsidRPr="00567E24">
        <w:t xml:space="preserve"> </w:t>
      </w:r>
      <w:r w:rsidR="001663F4">
        <w:t>were</w:t>
      </w:r>
      <w:r w:rsidR="00ED58FA">
        <w:t xml:space="preserve"> suggestions that there </w:t>
      </w:r>
      <w:r w:rsidR="00DB62B7" w:rsidRPr="00567E24">
        <w:t>need</w:t>
      </w:r>
      <w:r w:rsidR="00DB62B7">
        <w:t>s to be an</w:t>
      </w:r>
      <w:r w:rsidR="00DB62B7" w:rsidRPr="00567E24">
        <w:t xml:space="preserve"> accountability mechanism to the chamber </w:t>
      </w:r>
      <w:r w:rsidR="00ED58FA">
        <w:t>and that t</w:t>
      </w:r>
      <w:r w:rsidR="00DB62B7" w:rsidRPr="00567E24">
        <w:t xml:space="preserve">here </w:t>
      </w:r>
      <w:r w:rsidR="00ED58FA">
        <w:t>should be</w:t>
      </w:r>
      <w:r w:rsidR="00DB62B7" w:rsidRPr="00567E24">
        <w:t xml:space="preserve"> </w:t>
      </w:r>
      <w:r w:rsidR="00FF6B60">
        <w:t>an independent</w:t>
      </w:r>
      <w:r w:rsidR="00DB62B7" w:rsidRPr="00567E24">
        <w:t xml:space="preserve"> process to determine if </w:t>
      </w:r>
      <w:r w:rsidR="00FF6B60">
        <w:t>there</w:t>
      </w:r>
      <w:r w:rsidR="00DB62B7" w:rsidRPr="00567E24">
        <w:t xml:space="preserve"> is a problem</w:t>
      </w:r>
    </w:p>
    <w:p w14:paraId="1663CFDC" w14:textId="1A8AAD60" w:rsidR="00DB62B7" w:rsidRDefault="002B3A94" w:rsidP="00DB62B7">
      <w:pPr>
        <w:pStyle w:val="BulletedList-Level1"/>
      </w:pPr>
      <w:r>
        <w:t xml:space="preserve">some felt that </w:t>
      </w:r>
      <w:r w:rsidR="00ED58FA">
        <w:t xml:space="preserve">often </w:t>
      </w:r>
      <w:r w:rsidR="00522978">
        <w:t>m</w:t>
      </w:r>
      <w:r w:rsidR="00DB62B7" w:rsidRPr="00B53558">
        <w:t>inister</w:t>
      </w:r>
      <w:r w:rsidR="00DB62B7">
        <w:t>s</w:t>
      </w:r>
      <w:r w:rsidR="00DB62B7" w:rsidRPr="00B53558">
        <w:t xml:space="preserve"> </w:t>
      </w:r>
      <w:r w:rsidR="00ED58FA">
        <w:t xml:space="preserve">may be </w:t>
      </w:r>
      <w:r w:rsidR="00DB62B7" w:rsidRPr="00B53558">
        <w:t xml:space="preserve">too busy to take on </w:t>
      </w:r>
      <w:r w:rsidR="00DB62B7">
        <w:t>WHS/</w:t>
      </w:r>
      <w:r w:rsidR="00DB62B7" w:rsidRPr="00B53558">
        <w:t>conflict management in the office</w:t>
      </w:r>
      <w:r w:rsidR="00DB62B7">
        <w:t xml:space="preserve"> despite being aware of ongoing issues</w:t>
      </w:r>
    </w:p>
    <w:p w14:paraId="0E29F8C7" w14:textId="4CA5ACD7" w:rsidR="00DB62B7" w:rsidRDefault="008445EF" w:rsidP="00DB62B7">
      <w:pPr>
        <w:pStyle w:val="BulletedList-Level1"/>
      </w:pPr>
      <w:r>
        <w:t>t</w:t>
      </w:r>
      <w:r w:rsidR="00DB62B7">
        <w:t xml:space="preserve">here is a need </w:t>
      </w:r>
      <w:r w:rsidR="00DB62B7" w:rsidRPr="0026679C">
        <w:t>for greater clari</w:t>
      </w:r>
      <w:r w:rsidR="00DB62B7">
        <w:t>ty of roles in WHS</w:t>
      </w:r>
      <w:r w:rsidR="00E32C72">
        <w:t xml:space="preserve"> across the </w:t>
      </w:r>
      <w:r w:rsidR="00280390">
        <w:t xml:space="preserve">MoP(S) Act </w:t>
      </w:r>
      <w:r w:rsidR="00E32C72">
        <w:t>framework</w:t>
      </w:r>
      <w:r w:rsidR="00DB62B7">
        <w:t>, noting l</w:t>
      </w:r>
      <w:r w:rsidR="00DB62B7" w:rsidRPr="0026679C">
        <w:t xml:space="preserve">egislative amendments in early 2022 </w:t>
      </w:r>
      <w:r w:rsidR="002B3A94">
        <w:t xml:space="preserve">to </w:t>
      </w:r>
      <w:r w:rsidR="00DB62B7" w:rsidRPr="0026679C">
        <w:t>clarif</w:t>
      </w:r>
      <w:r w:rsidR="00E32C72">
        <w:t>y</w:t>
      </w:r>
      <w:r w:rsidR="00DB62B7" w:rsidRPr="0026679C">
        <w:t xml:space="preserve"> the WHS responsibilities of parliamentarians </w:t>
      </w:r>
    </w:p>
    <w:p w14:paraId="7B399333" w14:textId="47C9DF18" w:rsidR="00DB62B7" w:rsidRDefault="001663F4" w:rsidP="00DB62B7">
      <w:pPr>
        <w:pStyle w:val="BulletedList-Level1"/>
      </w:pPr>
      <w:r>
        <w:t>there could be</w:t>
      </w:r>
      <w:r w:rsidR="00DB62B7">
        <w:t xml:space="preserve"> </w:t>
      </w:r>
      <w:r w:rsidR="00DB62B7" w:rsidRPr="006D1FA2">
        <w:t>more oversight</w:t>
      </w:r>
      <w:r w:rsidR="00DB62B7">
        <w:t xml:space="preserve"> </w:t>
      </w:r>
      <w:r w:rsidR="00DB62B7" w:rsidRPr="006D1FA2">
        <w:t xml:space="preserve">from others </w:t>
      </w:r>
      <w:r w:rsidR="00DB62B7">
        <w:t>outside</w:t>
      </w:r>
      <w:r w:rsidR="00DB62B7" w:rsidRPr="006D1FA2">
        <w:t xml:space="preserve"> the </w:t>
      </w:r>
      <w:r w:rsidR="00DB62B7">
        <w:t>parliamentarian’s</w:t>
      </w:r>
      <w:r w:rsidR="00DB62B7" w:rsidRPr="006D1FA2">
        <w:t xml:space="preserve"> office </w:t>
      </w:r>
    </w:p>
    <w:p w14:paraId="6AD11279" w14:textId="094726B0" w:rsidR="00DB62B7" w:rsidRDefault="00ED58FA" w:rsidP="00DB62B7">
      <w:pPr>
        <w:pStyle w:val="BulletedList-Level1"/>
      </w:pPr>
      <w:r>
        <w:t xml:space="preserve">many feel that a </w:t>
      </w:r>
      <w:r w:rsidR="008445EF">
        <w:t>l</w:t>
      </w:r>
      <w:r w:rsidR="00DB62B7" w:rsidRPr="00EB4901">
        <w:t>ack of accountability</w:t>
      </w:r>
      <w:r w:rsidR="00DB62B7">
        <w:t xml:space="preserve"> (linked to WHS)</w:t>
      </w:r>
      <w:r w:rsidR="00DB62B7" w:rsidRPr="00EB4901">
        <w:t xml:space="preserve"> lead</w:t>
      </w:r>
      <w:r w:rsidR="00DB62B7">
        <w:t>s parliamentarians</w:t>
      </w:r>
      <w:r w:rsidR="00DB62B7" w:rsidRPr="00EB4901">
        <w:t xml:space="preserve"> and senior </w:t>
      </w:r>
      <w:r w:rsidR="00DB62B7">
        <w:t>staff</w:t>
      </w:r>
      <w:r w:rsidR="00DB62B7" w:rsidRPr="00EB4901">
        <w:t xml:space="preserve"> to act with impunity</w:t>
      </w:r>
      <w:r w:rsidR="00DB62B7">
        <w:t>.</w:t>
      </w:r>
    </w:p>
    <w:p w14:paraId="71BE8B0A" w14:textId="523D2025" w:rsidR="00DB62B7" w:rsidRDefault="000A2E15" w:rsidP="00DB62B7">
      <w:r>
        <w:t xml:space="preserve">The Review considers the </w:t>
      </w:r>
      <w:r w:rsidR="00DB62B7">
        <w:t xml:space="preserve">OPSC </w:t>
      </w:r>
      <w:r>
        <w:t xml:space="preserve">should </w:t>
      </w:r>
      <w:r w:rsidR="00DB62B7">
        <w:t>have certain powers to mitigate and manage WHS risks.</w:t>
      </w:r>
      <w:r w:rsidR="00DB62B7" w:rsidRPr="00F13B2A">
        <w:rPr>
          <w:b/>
          <w:i/>
        </w:rPr>
        <w:t xml:space="preserve"> </w:t>
      </w:r>
      <w:r w:rsidR="00DB62B7">
        <w:t>For example,</w:t>
      </w:r>
      <w:r>
        <w:t xml:space="preserve"> the OPSC should</w:t>
      </w:r>
      <w:r w:rsidR="00DB62B7">
        <w:t xml:space="preserve"> be able to </w:t>
      </w:r>
      <w:r w:rsidR="00C61DB9">
        <w:t xml:space="preserve">suspend </w:t>
      </w:r>
      <w:r w:rsidR="00DB62B7">
        <w:t xml:space="preserve">a MoP(S) Act employee </w:t>
      </w:r>
      <w:r w:rsidR="00C61DB9">
        <w:t>from the workplace in certain circumstances</w:t>
      </w:r>
      <w:r w:rsidR="002A347F">
        <w:t>. This would include</w:t>
      </w:r>
      <w:r w:rsidR="00C61DB9">
        <w:t xml:space="preserve"> </w:t>
      </w:r>
      <w:r w:rsidR="00DB62B7">
        <w:t>where the</w:t>
      </w:r>
      <w:r w:rsidR="00C61DB9">
        <w:t xml:space="preserve">re is an imminent </w:t>
      </w:r>
      <w:r w:rsidR="00921C6A">
        <w:t xml:space="preserve">WHS </w:t>
      </w:r>
      <w:r w:rsidR="00DB62B7">
        <w:t xml:space="preserve">risk and/or where the OPSC has notified the parliamentarian of the risk, the parliamentarian has had an opportunity to address the risk, and the parliamentarian has not </w:t>
      </w:r>
      <w:r w:rsidR="00F4763E">
        <w:t xml:space="preserve">taken any or </w:t>
      </w:r>
      <w:r w:rsidR="00DB62B7">
        <w:t>sufficient action</w:t>
      </w:r>
      <w:r w:rsidR="00384BE3">
        <w:t>.</w:t>
      </w:r>
      <w:r w:rsidR="00C61DB9">
        <w:t xml:space="preserve"> </w:t>
      </w:r>
      <w:r w:rsidR="002A347F">
        <w:t>This point is discussed in</w:t>
      </w:r>
      <w:r w:rsidR="00C61DB9">
        <w:t xml:space="preserve"> Section </w:t>
      </w:r>
      <w:r w:rsidR="00C61DB9" w:rsidRPr="00275D41">
        <w:t>6.4.</w:t>
      </w:r>
    </w:p>
    <w:p w14:paraId="35E8EBCE" w14:textId="0E071FA9" w:rsidR="00DB62B7" w:rsidRDefault="00DB62B7" w:rsidP="00DB62B7">
      <w:r>
        <w:t>The mechanism for building in the</w:t>
      </w:r>
      <w:r w:rsidR="00384BE3">
        <w:t>se</w:t>
      </w:r>
      <w:r>
        <w:t xml:space="preserve"> powers </w:t>
      </w:r>
      <w:r w:rsidR="00384BE3" w:rsidRPr="00384BE3">
        <w:t xml:space="preserve">(e.g. </w:t>
      </w:r>
      <w:r>
        <w:t xml:space="preserve">within the MoP(S) Act or </w:t>
      </w:r>
      <w:r w:rsidR="00384BE3" w:rsidRPr="00384BE3">
        <w:t>t</w:t>
      </w:r>
      <w:r w:rsidR="00384BE3">
        <w:t xml:space="preserve">he OPSC’s </w:t>
      </w:r>
      <w:r>
        <w:t>enabling legislation</w:t>
      </w:r>
      <w:r w:rsidR="00384BE3">
        <w:t xml:space="preserve">) will be a matter for consideration as the OPSC is set up. </w:t>
      </w:r>
      <w:r w:rsidR="001646AE">
        <w:t>The</w:t>
      </w:r>
      <w:r w:rsidR="00AD504A">
        <w:t xml:space="preserve"> </w:t>
      </w:r>
      <w:r>
        <w:t xml:space="preserve">OPSC’s proposed functions (to design and provide training, deliver induction, and </w:t>
      </w:r>
      <w:r w:rsidR="001C4025">
        <w:t>provide</w:t>
      </w:r>
      <w:r>
        <w:t xml:space="preserve"> people management and support) is what will make them a responsible agency under WHS laws in respect of any breach arising out of a failure to perform those functions. If the OPSC is not </w:t>
      </w:r>
      <w:r w:rsidR="00263668">
        <w:t>empowered</w:t>
      </w:r>
      <w:r>
        <w:t xml:space="preserve"> to mandate training </w:t>
      </w:r>
      <w:r w:rsidR="005246F8">
        <w:t xml:space="preserve">for MoP(S) Act employees </w:t>
      </w:r>
      <w:r>
        <w:t>or ensure training is undertaken</w:t>
      </w:r>
      <w:r w:rsidR="00B00D11">
        <w:t>,</w:t>
      </w:r>
      <w:r>
        <w:t xml:space="preserve"> then it will be harder for the Commonwealth to </w:t>
      </w:r>
      <w:r w:rsidR="00CA0752">
        <w:t>comply with</w:t>
      </w:r>
      <w:r>
        <w:t xml:space="preserve"> its WHS duties</w:t>
      </w:r>
      <w:r w:rsidR="00B00D11">
        <w:t>. For</w:t>
      </w:r>
      <w:r w:rsidR="003945F7">
        <w:t xml:space="preserve"> example, where </w:t>
      </w:r>
      <w:r>
        <w:t xml:space="preserve">a </w:t>
      </w:r>
      <w:r w:rsidR="003945F7">
        <w:t xml:space="preserve">WHS </w:t>
      </w:r>
      <w:r>
        <w:t xml:space="preserve">risk </w:t>
      </w:r>
      <w:r w:rsidR="003945F7">
        <w:t>arises</w:t>
      </w:r>
      <w:r>
        <w:t xml:space="preserve"> due to a failure to under</w:t>
      </w:r>
      <w:r w:rsidR="000A2E15">
        <w:t xml:space="preserve">take training. </w:t>
      </w:r>
      <w:r w:rsidR="003945F7" w:rsidRPr="002C2864">
        <w:t>We note that</w:t>
      </w:r>
      <w:r w:rsidRPr="002C2864">
        <w:t xml:space="preserve"> parliamentarian</w:t>
      </w:r>
      <w:r w:rsidR="003945F7" w:rsidRPr="002C2864">
        <w:t>s</w:t>
      </w:r>
      <w:r w:rsidRPr="002C2864">
        <w:t xml:space="preserve"> </w:t>
      </w:r>
      <w:r w:rsidR="003945F7" w:rsidRPr="002C2864">
        <w:t>may</w:t>
      </w:r>
      <w:r w:rsidRPr="002C2864">
        <w:t xml:space="preserve"> also </w:t>
      </w:r>
      <w:r w:rsidR="003945F7" w:rsidRPr="002C2864">
        <w:t>be held</w:t>
      </w:r>
      <w:r w:rsidRPr="002C2864">
        <w:t xml:space="preserve"> responsible for </w:t>
      </w:r>
      <w:r w:rsidR="000A3CE6" w:rsidRPr="002C2864">
        <w:t>failing</w:t>
      </w:r>
      <w:r w:rsidRPr="002C2864">
        <w:t xml:space="preserve"> to eliminate or minimise </w:t>
      </w:r>
      <w:r w:rsidR="003945F7" w:rsidRPr="002C2864">
        <w:t xml:space="preserve">such WHS </w:t>
      </w:r>
      <w:r w:rsidRPr="002C2864">
        <w:t>risks.</w:t>
      </w:r>
    </w:p>
    <w:p w14:paraId="43AB0A56" w14:textId="42563F4E" w:rsidR="00DB62B7" w:rsidRDefault="00DB62B7" w:rsidP="00DB62B7">
      <w:r>
        <w:t xml:space="preserve">Conversely, </w:t>
      </w:r>
      <w:r w:rsidR="00B00D11">
        <w:t>if</w:t>
      </w:r>
      <w:r>
        <w:t xml:space="preserve"> the OPSC has no power over elements of the employment relationship </w:t>
      </w:r>
      <w:r w:rsidR="0014134B">
        <w:t>such as</w:t>
      </w:r>
      <w:r>
        <w:t xml:space="preserve"> directing staff</w:t>
      </w:r>
      <w:r w:rsidR="0014134B">
        <w:t xml:space="preserve"> and</w:t>
      </w:r>
      <w:r>
        <w:t xml:space="preserve"> managing performance</w:t>
      </w:r>
      <w:r w:rsidR="0014134B">
        <w:t xml:space="preserve"> then</w:t>
      </w:r>
      <w:r>
        <w:t xml:space="preserve"> </w:t>
      </w:r>
      <w:r w:rsidRPr="002C2864">
        <w:t>it could not be the responsible agency if there are WHS failings in that regard.</w:t>
      </w:r>
      <w:r>
        <w:t xml:space="preserve">  </w:t>
      </w:r>
    </w:p>
    <w:p w14:paraId="13B8708B" w14:textId="77777777" w:rsidR="006E658D" w:rsidRPr="002C2864" w:rsidRDefault="006E658D" w:rsidP="00051BDA">
      <w:pPr>
        <w:pStyle w:val="Heading4"/>
      </w:pPr>
      <w:r w:rsidRPr="002C2864">
        <w:t>Delegation and authorisation to exercise employer powers</w:t>
      </w:r>
    </w:p>
    <w:p w14:paraId="25C23C2B" w14:textId="22BE24D8" w:rsidR="006E658D" w:rsidRDefault="006E658D" w:rsidP="0055271A">
      <w:r w:rsidRPr="002C2864">
        <w:t xml:space="preserve">Currently the </w:t>
      </w:r>
      <w:r w:rsidR="00EB15B4">
        <w:t xml:space="preserve">MoP(S) </w:t>
      </w:r>
      <w:r w:rsidRPr="002C2864">
        <w:t xml:space="preserve">Act permits a parliamentarian to, in writing, authorise another person to exercise their powers under the </w:t>
      </w:r>
      <w:r w:rsidR="00EB15B4">
        <w:t xml:space="preserve">MoP(S) </w:t>
      </w:r>
      <w:r w:rsidRPr="002C2864">
        <w:t>Act</w:t>
      </w:r>
      <w:r w:rsidRPr="002C2864">
        <w:rPr>
          <w:rStyle w:val="FootnoteReference"/>
        </w:rPr>
        <w:footnoteReference w:id="73"/>
      </w:r>
      <w:r w:rsidR="007703DF" w:rsidRPr="002C2864">
        <w:t xml:space="preserve"> </w:t>
      </w:r>
      <w:r w:rsidRPr="002C2864">
        <w:t xml:space="preserve">but does not include an express power of delegation or authorisation </w:t>
      </w:r>
      <w:r w:rsidR="007703DF" w:rsidRPr="002C2864">
        <w:t xml:space="preserve">with regard to </w:t>
      </w:r>
      <w:r w:rsidR="006D7242">
        <w:t xml:space="preserve">the </w:t>
      </w:r>
      <w:r w:rsidRPr="002C2864">
        <w:t>Prime Minister’s powers</w:t>
      </w:r>
      <w:r w:rsidR="007703DF" w:rsidRPr="002C2864">
        <w:t xml:space="preserve">. </w:t>
      </w:r>
      <w:r w:rsidR="00EB15B4">
        <w:t>The MoP(S)</w:t>
      </w:r>
      <w:r w:rsidR="007703DF" w:rsidRPr="002C2864">
        <w:t xml:space="preserve"> Act should be amended to include an express power of delegation in relation to the Prime Minister’s powers to ensure </w:t>
      </w:r>
      <w:r w:rsidR="00B00D11">
        <w:t xml:space="preserve">a </w:t>
      </w:r>
      <w:r w:rsidR="007703DF" w:rsidRPr="002C2864">
        <w:t>clear and transparent process, and the bounds of any such delegation are understood.</w:t>
      </w:r>
    </w:p>
    <w:p w14:paraId="355766DF" w14:textId="77777777" w:rsidR="00AD5904" w:rsidRDefault="00AD5904" w:rsidP="0055271A"/>
    <w:p w14:paraId="278B15E3" w14:textId="206875D4" w:rsidR="00DB62B7" w:rsidRDefault="00AD5904" w:rsidP="00051BDA">
      <w:pPr>
        <w:pStyle w:val="Heading3"/>
      </w:pPr>
      <w:r>
        <w:t xml:space="preserve">3.3.3 </w:t>
      </w:r>
      <w:r w:rsidR="00DB62B7">
        <w:t>Conclusion</w:t>
      </w:r>
    </w:p>
    <w:p w14:paraId="1DD37E42" w14:textId="064453AA" w:rsidR="00DB62B7" w:rsidRDefault="00277524" w:rsidP="0055271A">
      <w:r w:rsidRPr="00276722">
        <w:t xml:space="preserve">The Review looked at different models and concluded the most effective approach for the Commonwealth </w:t>
      </w:r>
      <w:r w:rsidR="002432AA" w:rsidRPr="00276722">
        <w:t xml:space="preserve">at this time </w:t>
      </w:r>
      <w:r w:rsidRPr="00276722">
        <w:t>is to retain a direct relationship between the parliamenta</w:t>
      </w:r>
      <w:r w:rsidR="00276722">
        <w:t>rian and MoP(S) Act employees</w:t>
      </w:r>
      <w:r w:rsidR="00A20985">
        <w:t>, but clarify</w:t>
      </w:r>
      <w:r w:rsidR="00255693">
        <w:t xml:space="preserve"> the role</w:t>
      </w:r>
      <w:r w:rsidR="00B11E32">
        <w:t>s</w:t>
      </w:r>
      <w:r w:rsidR="00255693">
        <w:t xml:space="preserve"> and responsibilities</w:t>
      </w:r>
      <w:r w:rsidR="00B11E32">
        <w:t xml:space="preserve"> of</w:t>
      </w:r>
      <w:r w:rsidR="003351B0">
        <w:t xml:space="preserve"> each party within the employment framework</w:t>
      </w:r>
      <w:r w:rsidR="00276722">
        <w:t xml:space="preserve">. </w:t>
      </w:r>
      <w:r w:rsidR="002432AA" w:rsidRPr="00276722">
        <w:t>In practice, the parliamentarian has day-to-day management and decision making in relation to employees. However</w:t>
      </w:r>
      <w:r w:rsidR="00B964D0" w:rsidRPr="00277524">
        <w:t>,</w:t>
      </w:r>
      <w:r w:rsidR="00DB62B7" w:rsidRPr="00277524" w:rsidDel="00B964D0">
        <w:t xml:space="preserve"> </w:t>
      </w:r>
      <w:r w:rsidR="00DB62B7" w:rsidRPr="00277524">
        <w:t xml:space="preserve">the </w:t>
      </w:r>
      <w:r w:rsidR="000A2E15" w:rsidRPr="00277524">
        <w:t xml:space="preserve">MoP(S) </w:t>
      </w:r>
      <w:r w:rsidR="00B72D2C" w:rsidRPr="00277524">
        <w:t xml:space="preserve">Act </w:t>
      </w:r>
      <w:r w:rsidR="000A2E15" w:rsidRPr="00277524">
        <w:t>employment landscape</w:t>
      </w:r>
      <w:r w:rsidR="00DB62B7" w:rsidRPr="00277524">
        <w:t xml:space="preserve"> </w:t>
      </w:r>
      <w:r w:rsidR="0093223F" w:rsidRPr="00277524">
        <w:t xml:space="preserve">will </w:t>
      </w:r>
      <w:r w:rsidR="00DB62B7" w:rsidRPr="00277524">
        <w:t xml:space="preserve">shift and operate more like </w:t>
      </w:r>
      <w:r w:rsidR="00B964D0" w:rsidRPr="00277524">
        <w:t>one</w:t>
      </w:r>
      <w:r w:rsidR="00DB62B7" w:rsidRPr="00277524">
        <w:t xml:space="preserve"> business with 227 managers </w:t>
      </w:r>
      <w:r w:rsidR="009E520B" w:rsidRPr="00277524">
        <w:t>s</w:t>
      </w:r>
      <w:r w:rsidR="000A2E15" w:rsidRPr="00277524">
        <w:t xml:space="preserve">upported by a </w:t>
      </w:r>
      <w:r w:rsidR="009E520B" w:rsidRPr="00277524">
        <w:t xml:space="preserve">strategic </w:t>
      </w:r>
      <w:r w:rsidR="00DB62B7" w:rsidRPr="00277524">
        <w:t>HR department</w:t>
      </w:r>
      <w:r w:rsidR="009E520B" w:rsidRPr="00277524">
        <w:t xml:space="preserve"> (the OPSC)</w:t>
      </w:r>
      <w:r w:rsidR="00DB62B7" w:rsidRPr="00277524">
        <w:t xml:space="preserve">. </w:t>
      </w:r>
    </w:p>
    <w:p w14:paraId="559F66D1" w14:textId="77777777" w:rsidR="00C57893" w:rsidRDefault="00C57893" w:rsidP="0055271A"/>
    <w:p w14:paraId="5F384CA5" w14:textId="0C3A714E" w:rsidR="00DB62B7" w:rsidRDefault="00DB62B7" w:rsidP="000136FD">
      <w:pPr>
        <w:pStyle w:val="BOXHeading2"/>
      </w:pPr>
      <w:bookmarkStart w:id="2625" w:name="_Toc114230868"/>
      <w:bookmarkStart w:id="2626" w:name="_Toc114232925"/>
      <w:bookmarkStart w:id="2627" w:name="_Toc114233573"/>
      <w:bookmarkStart w:id="2628" w:name="_Toc114233645"/>
      <w:bookmarkStart w:id="2629" w:name="_Toc114240600"/>
      <w:bookmarkStart w:id="2630" w:name="_Toc114240674"/>
      <w:bookmarkStart w:id="2631" w:name="_Toc114241018"/>
      <w:bookmarkStart w:id="2632" w:name="_Toc114494041"/>
      <w:bookmarkStart w:id="2633" w:name="_Toc114500292"/>
      <w:bookmarkStart w:id="2634" w:name="_Toc114500367"/>
      <w:bookmarkStart w:id="2635" w:name="_Toc114518640"/>
      <w:bookmarkStart w:id="2636" w:name="_Toc114520312"/>
      <w:bookmarkStart w:id="2637" w:name="_Toc114520721"/>
      <w:bookmarkStart w:id="2638" w:name="_Toc114565749"/>
      <w:bookmarkStart w:id="2639" w:name="_Toc114566730"/>
      <w:bookmarkStart w:id="2640" w:name="_Toc114566955"/>
      <w:bookmarkStart w:id="2641" w:name="_Toc114566879"/>
      <w:bookmarkStart w:id="2642" w:name="_Toc114585880"/>
      <w:bookmarkStart w:id="2643" w:name="_Toc114586024"/>
      <w:bookmarkStart w:id="2644" w:name="_Toc114586096"/>
      <w:bookmarkStart w:id="2645" w:name="_Toc114601236"/>
      <w:bookmarkStart w:id="2646" w:name="_Toc114657277"/>
      <w:bookmarkStart w:id="2647" w:name="_Toc114659739"/>
      <w:bookmarkStart w:id="2648" w:name="_Toc114662724"/>
      <w:bookmarkStart w:id="2649" w:name="_Toc114665108"/>
      <w:bookmarkStart w:id="2650" w:name="_Toc114672417"/>
      <w:bookmarkStart w:id="2651" w:name="_Toc114672629"/>
      <w:bookmarkStart w:id="2652" w:name="_Toc114673184"/>
      <w:bookmarkStart w:id="2653" w:name="_Toc114673770"/>
      <w:bookmarkStart w:id="2654" w:name="_Toc114674295"/>
      <w:bookmarkStart w:id="2655" w:name="_Toc114687468"/>
      <w:bookmarkStart w:id="2656" w:name="_Toc114689932"/>
      <w:bookmarkStart w:id="2657" w:name="_Toc114731795"/>
      <w:bookmarkStart w:id="2658" w:name="_Toc114733560"/>
      <w:bookmarkStart w:id="2659" w:name="_Toc114735501"/>
      <w:bookmarkStart w:id="2660" w:name="_Toc114755831"/>
      <w:bookmarkStart w:id="2661" w:name="_Toc114757136"/>
      <w:bookmarkStart w:id="2662" w:name="_Toc114757420"/>
      <w:bookmarkStart w:id="2663" w:name="_Toc114757522"/>
      <w:bookmarkStart w:id="2664" w:name="_Toc114758195"/>
      <w:bookmarkStart w:id="2665" w:name="_Toc114824365"/>
      <w:bookmarkStart w:id="2666" w:name="_Toc114829441"/>
      <w:bookmarkStart w:id="2667" w:name="_Toc114829805"/>
      <w:bookmarkStart w:id="2668" w:name="_Toc114829772"/>
      <w:bookmarkStart w:id="2669" w:name="_Toc114829949"/>
      <w:bookmarkStart w:id="2670" w:name="_Toc115099028"/>
      <w:bookmarkStart w:id="2671" w:name="_Toc115099100"/>
      <w:bookmarkStart w:id="2672" w:name="_Toc115101677"/>
      <w:bookmarkStart w:id="2673" w:name="_Toc115102522"/>
      <w:bookmarkStart w:id="2674" w:name="_Toc115105495"/>
      <w:bookmarkStart w:id="2675" w:name="_Toc115110356"/>
      <w:bookmarkStart w:id="2676" w:name="_Toc115110483"/>
      <w:bookmarkStart w:id="2677" w:name="_Toc115121601"/>
      <w:bookmarkStart w:id="2678" w:name="_Toc115121971"/>
      <w:bookmarkStart w:id="2679" w:name="_Toc115123451"/>
      <w:bookmarkStart w:id="2680" w:name="_Toc115123699"/>
      <w:bookmarkStart w:id="2681" w:name="_Toc115126831"/>
      <w:bookmarkStart w:id="2682" w:name="_Toc115185468"/>
      <w:bookmarkStart w:id="2683" w:name="_Toc115186095"/>
      <w:bookmarkStart w:id="2684" w:name="_Toc115189253"/>
      <w:bookmarkStart w:id="2685" w:name="_Toc115194226"/>
      <w:bookmarkStart w:id="2686" w:name="_Toc115194963"/>
      <w:bookmarkStart w:id="2687" w:name="_Toc115196373"/>
      <w:bookmarkStart w:id="2688" w:name="_Toc115198874"/>
      <w:bookmarkStart w:id="2689" w:name="_Toc115208889"/>
      <w:bookmarkStart w:id="2690" w:name="_Toc115209025"/>
      <w:bookmarkStart w:id="2691" w:name="_Toc115210356"/>
      <w:bookmarkStart w:id="2692" w:name="_Toc115212581"/>
      <w:bookmarkStart w:id="2693" w:name="_Toc115213221"/>
      <w:bookmarkStart w:id="2694" w:name="_Toc115216719"/>
      <w:bookmarkStart w:id="2695" w:name="_Toc115270410"/>
      <w:bookmarkStart w:id="2696" w:name="_Toc115271353"/>
      <w:bookmarkStart w:id="2697" w:name="_Toc115272270"/>
      <w:bookmarkStart w:id="2698" w:name="_Toc115273440"/>
      <w:bookmarkStart w:id="2699" w:name="_Toc115273368"/>
      <w:bookmarkStart w:id="2700" w:name="_Toc115274621"/>
      <w:bookmarkStart w:id="2701" w:name="_Toc115274847"/>
      <w:bookmarkStart w:id="2702" w:name="_Toc115275204"/>
      <w:bookmarkStart w:id="2703" w:name="_Toc115275347"/>
      <w:bookmarkStart w:id="2704" w:name="_Toc115274184"/>
      <w:bookmarkStart w:id="2705" w:name="_Toc115274485"/>
      <w:bookmarkStart w:id="2706" w:name="_Toc115274553"/>
      <w:bookmarkStart w:id="2707" w:name="_Toc115274711"/>
      <w:bookmarkStart w:id="2708" w:name="_Toc115277445"/>
      <w:bookmarkStart w:id="2709" w:name="_Toc115277649"/>
      <w:bookmarkStart w:id="2710" w:name="_Toc115278538"/>
      <w:bookmarkStart w:id="2711" w:name="_Toc115278618"/>
      <w:bookmarkStart w:id="2712" w:name="_Toc115282288"/>
      <w:bookmarkStart w:id="2713" w:name="_Toc115284741"/>
      <w:bookmarkStart w:id="2714" w:name="_Toc115286833"/>
      <w:bookmarkStart w:id="2715" w:name="_Toc115294767"/>
      <w:bookmarkStart w:id="2716" w:name="_Toc115296347"/>
      <w:bookmarkStart w:id="2717" w:name="_Toc115308533"/>
      <w:bookmarkStart w:id="2718" w:name="_Toc115311185"/>
      <w:bookmarkStart w:id="2719" w:name="_Toc115312665"/>
      <w:bookmarkStart w:id="2720" w:name="_Toc115343839"/>
      <w:bookmarkStart w:id="2721" w:name="_Toc115348277"/>
      <w:bookmarkStart w:id="2722" w:name="_Toc115350375"/>
      <w:bookmarkStart w:id="2723" w:name="_Toc115353463"/>
      <w:bookmarkStart w:id="2724" w:name="_Toc115359494"/>
      <w:bookmarkStart w:id="2725" w:name="_Toc115361898"/>
      <w:bookmarkStart w:id="2726" w:name="_Toc115364291"/>
      <w:bookmarkStart w:id="2727" w:name="_Toc115365385"/>
      <w:bookmarkStart w:id="2728" w:name="_Toc115365657"/>
      <w:bookmarkStart w:id="2729" w:name="_Toc115365725"/>
      <w:bookmarkStart w:id="2730" w:name="_Toc115366189"/>
      <w:bookmarkStart w:id="2731" w:name="_Toc115368562"/>
      <w:bookmarkStart w:id="2732" w:name="_Toc115370079"/>
      <w:bookmarkStart w:id="2733" w:name="_Toc115370745"/>
      <w:bookmarkStart w:id="2734" w:name="_Toc115374385"/>
      <w:bookmarkStart w:id="2735" w:name="_Toc115378724"/>
      <w:bookmarkStart w:id="2736" w:name="_Toc115380956"/>
      <w:bookmarkStart w:id="2737" w:name="_Toc115384108"/>
      <w:bookmarkStart w:id="2738" w:name="_Toc115387337"/>
      <w:bookmarkStart w:id="2739" w:name="_Toc115388803"/>
      <w:bookmarkStart w:id="2740" w:name="_Toc115431441"/>
      <w:bookmarkStart w:id="2741" w:name="_Toc115432819"/>
      <w:bookmarkStart w:id="2742" w:name="_Toc115434390"/>
      <w:bookmarkStart w:id="2743" w:name="_Toc115434489"/>
      <w:bookmarkStart w:id="2744" w:name="_Toc115434558"/>
      <w:bookmarkStart w:id="2745" w:name="_Toc115434627"/>
      <w:bookmarkStart w:id="2746" w:name="_Toc115442797"/>
      <w:bookmarkStart w:id="2747" w:name="_Toc115446333"/>
      <w:bookmarkStart w:id="2748" w:name="_Toc115448040"/>
      <w:bookmarkStart w:id="2749" w:name="_Toc115449432"/>
      <w:bookmarkStart w:id="2750" w:name="_Toc115452452"/>
      <w:bookmarkStart w:id="2751" w:name="_Toc115455269"/>
      <w:bookmarkStart w:id="2752" w:name="_Toc115455335"/>
      <w:bookmarkStart w:id="2753" w:name="_Toc115457285"/>
      <w:bookmarkStart w:id="2754" w:name="_Toc115458121"/>
      <w:bookmarkStart w:id="2755" w:name="_Toc115948149"/>
      <w:bookmarkStart w:id="2756" w:name="_Toc115948596"/>
      <w:r>
        <w:t>Recommendation 2</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sidR="005439E8">
        <w:t xml:space="preserve"> – Employer duties</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487C30D9" w14:textId="77777777" w:rsidR="000136FD" w:rsidRPr="00EA03C6" w:rsidRDefault="000136FD" w:rsidP="000136FD">
      <w:pPr>
        <w:pStyle w:val="BOXText"/>
      </w:pPr>
      <w:r w:rsidRPr="00EA03C6">
        <w:t>The MoP(S) Act should provide greater clarity over employ</w:t>
      </w:r>
      <w:r>
        <w:t>ment</w:t>
      </w:r>
      <w:r w:rsidRPr="00EA03C6">
        <w:t xml:space="preserve"> roles and responsibilities by setting out the specific duties of parliamentarians, the OPSC and the Prime Minister, </w:t>
      </w:r>
      <w:r>
        <w:t>and</w:t>
      </w:r>
      <w:r w:rsidRPr="00EA03C6">
        <w:t xml:space="preserve"> includ</w:t>
      </w:r>
      <w:r>
        <w:t>e</w:t>
      </w:r>
      <w:r w:rsidRPr="00EA03C6">
        <w:t xml:space="preserve"> an express power to delegate. Th</w:t>
      </w:r>
      <w:r>
        <w:t>e OPSC should have</w:t>
      </w:r>
      <w:r w:rsidRPr="00EA03C6">
        <w:t xml:space="preserve"> powers to </w:t>
      </w:r>
      <w:r>
        <w:t xml:space="preserve">require specified training, </w:t>
      </w:r>
      <w:r w:rsidRPr="00EA03C6">
        <w:t>and report on the administration of the Act.</w:t>
      </w:r>
    </w:p>
    <w:p w14:paraId="2B126F87" w14:textId="77777777" w:rsidR="002225D9" w:rsidRDefault="00A72598" w:rsidP="00D02F22">
      <w:pPr>
        <w:pStyle w:val="Heading2"/>
      </w:pPr>
      <w:bookmarkStart w:id="2757" w:name="_Toc114230869"/>
      <w:bookmarkStart w:id="2758" w:name="_Toc114232926"/>
      <w:bookmarkStart w:id="2759" w:name="_Toc114233574"/>
      <w:bookmarkStart w:id="2760" w:name="_Toc114233646"/>
      <w:bookmarkStart w:id="2761" w:name="_Toc114240601"/>
      <w:bookmarkStart w:id="2762" w:name="_Toc114240675"/>
      <w:bookmarkStart w:id="2763" w:name="_Toc114241019"/>
      <w:bookmarkStart w:id="2764" w:name="_Toc114494042"/>
      <w:bookmarkStart w:id="2765" w:name="_Toc114500293"/>
      <w:bookmarkStart w:id="2766" w:name="_Toc114500368"/>
      <w:bookmarkStart w:id="2767" w:name="_Toc114518641"/>
      <w:bookmarkStart w:id="2768" w:name="_Toc114520313"/>
      <w:bookmarkStart w:id="2769" w:name="_Toc114520722"/>
      <w:bookmarkStart w:id="2770" w:name="_Toc114565750"/>
      <w:bookmarkStart w:id="2771" w:name="_Toc114566731"/>
      <w:bookmarkStart w:id="2772" w:name="_Toc114566956"/>
      <w:bookmarkStart w:id="2773" w:name="_Toc114566880"/>
      <w:bookmarkStart w:id="2774" w:name="_Toc114585881"/>
      <w:bookmarkStart w:id="2775" w:name="_Toc114586025"/>
      <w:bookmarkStart w:id="2776" w:name="_Toc114586097"/>
      <w:bookmarkStart w:id="2777" w:name="_Toc114601237"/>
      <w:bookmarkStart w:id="2778" w:name="_Toc114657278"/>
      <w:bookmarkStart w:id="2779" w:name="_Toc114659740"/>
      <w:bookmarkStart w:id="2780" w:name="_Toc114662725"/>
      <w:bookmarkStart w:id="2781" w:name="_Toc114665109"/>
      <w:bookmarkStart w:id="2782" w:name="_Toc114672418"/>
      <w:bookmarkStart w:id="2783" w:name="_Toc114672630"/>
      <w:bookmarkStart w:id="2784" w:name="_Toc114673185"/>
      <w:bookmarkStart w:id="2785" w:name="_Toc114673771"/>
      <w:bookmarkStart w:id="2786" w:name="_Toc114674296"/>
      <w:bookmarkStart w:id="2787" w:name="_Toc114687469"/>
      <w:bookmarkStart w:id="2788" w:name="_Toc114689933"/>
      <w:bookmarkStart w:id="2789" w:name="_Toc114731796"/>
      <w:bookmarkStart w:id="2790" w:name="_Toc114733561"/>
      <w:bookmarkStart w:id="2791" w:name="_Toc114735502"/>
      <w:bookmarkStart w:id="2792" w:name="_Toc114755832"/>
      <w:bookmarkStart w:id="2793" w:name="_Toc114757137"/>
      <w:bookmarkStart w:id="2794" w:name="_Toc114757421"/>
      <w:bookmarkStart w:id="2795" w:name="_Toc114757523"/>
      <w:bookmarkStart w:id="2796" w:name="_Toc114758196"/>
      <w:bookmarkStart w:id="2797" w:name="_Toc114824366"/>
      <w:bookmarkStart w:id="2798" w:name="_Toc114829442"/>
      <w:bookmarkStart w:id="2799" w:name="_Toc114829806"/>
      <w:bookmarkStart w:id="2800" w:name="_Toc114829773"/>
      <w:bookmarkStart w:id="2801" w:name="_Toc114829950"/>
      <w:bookmarkStart w:id="2802" w:name="_Toc115099029"/>
      <w:bookmarkStart w:id="2803" w:name="_Toc115099101"/>
      <w:bookmarkStart w:id="2804" w:name="_Toc115101678"/>
      <w:bookmarkStart w:id="2805" w:name="_Toc115102523"/>
      <w:bookmarkStart w:id="2806" w:name="_Toc115105496"/>
      <w:bookmarkStart w:id="2807" w:name="_Toc115110357"/>
      <w:bookmarkStart w:id="2808" w:name="_Toc115110484"/>
      <w:bookmarkStart w:id="2809" w:name="_Toc115121602"/>
      <w:bookmarkStart w:id="2810" w:name="_Toc115121972"/>
      <w:bookmarkStart w:id="2811" w:name="_Toc115123452"/>
      <w:bookmarkStart w:id="2812" w:name="_Toc115123700"/>
      <w:bookmarkStart w:id="2813" w:name="_Toc115126832"/>
      <w:bookmarkStart w:id="2814" w:name="_Toc115185469"/>
      <w:bookmarkStart w:id="2815" w:name="_Toc115186096"/>
      <w:bookmarkStart w:id="2816" w:name="_Toc115189254"/>
      <w:bookmarkStart w:id="2817" w:name="_Toc115194227"/>
      <w:bookmarkStart w:id="2818" w:name="_Toc115194964"/>
      <w:bookmarkStart w:id="2819" w:name="_Toc115196374"/>
      <w:bookmarkStart w:id="2820" w:name="_Toc115198875"/>
      <w:bookmarkStart w:id="2821" w:name="_Toc115208890"/>
      <w:bookmarkStart w:id="2822" w:name="_Toc115209026"/>
      <w:bookmarkStart w:id="2823" w:name="_Toc115210357"/>
      <w:bookmarkStart w:id="2824" w:name="_Toc115212582"/>
      <w:bookmarkStart w:id="2825" w:name="_Toc115213222"/>
      <w:bookmarkStart w:id="2826" w:name="_Toc115216720"/>
      <w:bookmarkStart w:id="2827" w:name="_Toc115270411"/>
      <w:bookmarkStart w:id="2828" w:name="_Toc115271354"/>
      <w:bookmarkStart w:id="2829" w:name="_Toc115272271"/>
      <w:bookmarkStart w:id="2830" w:name="_Toc115273441"/>
      <w:bookmarkStart w:id="2831" w:name="_Toc115273369"/>
      <w:bookmarkStart w:id="2832" w:name="_Toc115274622"/>
      <w:bookmarkStart w:id="2833" w:name="_Toc115274848"/>
      <w:bookmarkStart w:id="2834" w:name="_Toc115275205"/>
      <w:bookmarkStart w:id="2835" w:name="_Toc115275348"/>
      <w:bookmarkStart w:id="2836" w:name="_Toc115274185"/>
      <w:bookmarkStart w:id="2837" w:name="_Toc115274486"/>
      <w:bookmarkStart w:id="2838" w:name="_Toc115274554"/>
      <w:bookmarkStart w:id="2839" w:name="_Toc115274712"/>
      <w:bookmarkStart w:id="2840" w:name="_Toc115277446"/>
      <w:bookmarkStart w:id="2841" w:name="_Toc115277650"/>
      <w:bookmarkStart w:id="2842" w:name="_Toc115278539"/>
      <w:bookmarkStart w:id="2843" w:name="_Toc115278619"/>
      <w:bookmarkStart w:id="2844" w:name="_Toc115282289"/>
      <w:bookmarkStart w:id="2845" w:name="_Toc115284742"/>
      <w:bookmarkStart w:id="2846" w:name="_Toc115286834"/>
      <w:bookmarkStart w:id="2847" w:name="_Toc115294768"/>
      <w:bookmarkStart w:id="2848" w:name="_Toc115296348"/>
      <w:bookmarkStart w:id="2849" w:name="_Toc115308534"/>
      <w:bookmarkStart w:id="2850" w:name="_Toc115311186"/>
      <w:bookmarkStart w:id="2851" w:name="_Toc115312666"/>
      <w:bookmarkStart w:id="2852" w:name="_Toc115343840"/>
      <w:bookmarkStart w:id="2853" w:name="_Toc115348278"/>
      <w:bookmarkStart w:id="2854" w:name="_Toc115350376"/>
      <w:bookmarkStart w:id="2855" w:name="_Toc115353464"/>
      <w:bookmarkStart w:id="2856" w:name="_Toc115359495"/>
      <w:bookmarkStart w:id="2857" w:name="_Toc115361899"/>
      <w:bookmarkStart w:id="2858" w:name="_Toc115364292"/>
      <w:bookmarkStart w:id="2859" w:name="_Toc115365386"/>
      <w:bookmarkStart w:id="2860" w:name="_Toc115365658"/>
      <w:bookmarkStart w:id="2861" w:name="_Toc115365726"/>
      <w:bookmarkStart w:id="2862" w:name="_Toc115366190"/>
      <w:bookmarkStart w:id="2863" w:name="_Toc115368563"/>
      <w:bookmarkStart w:id="2864" w:name="_Toc115370080"/>
      <w:bookmarkStart w:id="2865" w:name="_Toc115370746"/>
      <w:bookmarkStart w:id="2866" w:name="_Toc115374386"/>
      <w:bookmarkStart w:id="2867" w:name="_Toc115378725"/>
      <w:bookmarkStart w:id="2868" w:name="_Toc115380957"/>
      <w:bookmarkStart w:id="2869" w:name="_Toc115384109"/>
      <w:bookmarkStart w:id="2870" w:name="_Toc115387338"/>
      <w:bookmarkStart w:id="2871" w:name="_Toc115388804"/>
      <w:bookmarkStart w:id="2872" w:name="_Toc115431442"/>
      <w:bookmarkStart w:id="2873" w:name="_Toc115432820"/>
      <w:bookmarkStart w:id="2874" w:name="_Toc115434391"/>
      <w:bookmarkStart w:id="2875" w:name="_Toc115434490"/>
      <w:bookmarkStart w:id="2876" w:name="_Toc115434559"/>
      <w:bookmarkStart w:id="2877" w:name="_Toc115434628"/>
      <w:bookmarkStart w:id="2878" w:name="_Toc115442798"/>
      <w:bookmarkStart w:id="2879" w:name="_Toc115448041"/>
      <w:bookmarkStart w:id="2880" w:name="_Toc115449433"/>
      <w:bookmarkStart w:id="2881" w:name="_Toc115452453"/>
      <w:bookmarkStart w:id="2882" w:name="_Toc115455270"/>
      <w:bookmarkStart w:id="2883" w:name="_Toc115455336"/>
      <w:bookmarkStart w:id="2884" w:name="_Toc115457286"/>
      <w:bookmarkStart w:id="2885" w:name="_Toc115458122"/>
      <w:bookmarkStart w:id="2886" w:name="_Toc115948150"/>
      <w:bookmarkStart w:id="2887" w:name="_Toc115948597"/>
      <w:r>
        <w:t>3.4</w:t>
      </w:r>
      <w:r w:rsidR="002225D9">
        <w:t xml:space="preserve"> </w:t>
      </w:r>
      <w:r w:rsidR="00E449DB">
        <w:t>Workplace r</w:t>
      </w:r>
      <w:r>
        <w:t xml:space="preserve">esourcing </w:t>
      </w:r>
      <w:r w:rsidR="000B7750">
        <w:t>(</w:t>
      </w:r>
      <w:r>
        <w:t xml:space="preserve">including </w:t>
      </w:r>
      <w:r w:rsidR="00E449DB">
        <w:t>st</w:t>
      </w:r>
      <w:r w:rsidR="002225D9">
        <w:t xml:space="preserve">affing </w:t>
      </w:r>
      <w:r w:rsidR="00E449DB">
        <w:t>a</w:t>
      </w:r>
      <w:r w:rsidR="002225D9">
        <w:t>llocation</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r w:rsidR="000B7750">
        <w:t>)</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7D4D54B2" w14:textId="040CE145" w:rsidR="00BD1D3C" w:rsidRDefault="00927495" w:rsidP="00BD1D3C">
      <w:r>
        <w:t xml:space="preserve">The Review heard about </w:t>
      </w:r>
      <w:r w:rsidR="00BD1D3C">
        <w:t xml:space="preserve">increased </w:t>
      </w:r>
      <w:r w:rsidRPr="00F95129">
        <w:t>workplace pressures</w:t>
      </w:r>
      <w:r w:rsidR="00BD1D3C">
        <w:t xml:space="preserve"> on parliamentarians and employees. Contributors identified causes for these pressures</w:t>
      </w:r>
      <w:r w:rsidR="00272CBE">
        <w:t>,</w:t>
      </w:r>
      <w:r w:rsidRPr="00F95129">
        <w:t xml:space="preserve"> including workload and staffing</w:t>
      </w:r>
      <w:r w:rsidR="009B651C">
        <w:t xml:space="preserve"> </w:t>
      </w:r>
      <w:r w:rsidR="00693134">
        <w:t>levels</w:t>
      </w:r>
      <w:r w:rsidR="00522029">
        <w:t xml:space="preserve">. Contributors also highlighted </w:t>
      </w:r>
      <w:r w:rsidR="009B651C">
        <w:t xml:space="preserve">the </w:t>
      </w:r>
      <w:r w:rsidR="00BD1D3C">
        <w:t>impact</w:t>
      </w:r>
      <w:r w:rsidR="00522029">
        <w:t xml:space="preserve"> of workplace pressures</w:t>
      </w:r>
      <w:r w:rsidR="00BD1D3C">
        <w:t xml:space="preserve"> </w:t>
      </w:r>
      <w:r w:rsidR="009B651C">
        <w:t xml:space="preserve">on </w:t>
      </w:r>
      <w:r w:rsidR="00435992">
        <w:t>WHS</w:t>
      </w:r>
      <w:r w:rsidR="009B651C">
        <w:t xml:space="preserve"> and </w:t>
      </w:r>
      <w:r w:rsidR="00BD1D3C">
        <w:t xml:space="preserve">on their capacity to </w:t>
      </w:r>
      <w:r w:rsidR="00693134">
        <w:t>perform their role</w:t>
      </w:r>
      <w:r w:rsidR="008501E8">
        <w:t>s</w:t>
      </w:r>
      <w:r w:rsidR="006521F4">
        <w:t>.</w:t>
      </w:r>
      <w:r w:rsidR="00BD1D3C">
        <w:t xml:space="preserve">  </w:t>
      </w:r>
    </w:p>
    <w:p w14:paraId="1AB73BE2" w14:textId="77777777" w:rsidR="00522029" w:rsidRDefault="00522029" w:rsidP="00522029">
      <w:r>
        <w:t>These key themes intersect with other themes raised during the Review including</w:t>
      </w:r>
      <w:r w:rsidR="003C5069">
        <w:t xml:space="preserve"> the ability for parliamentarians to set up an office for success, effective recruitment, impact on employees with caring responsibilities</w:t>
      </w:r>
      <w:r w:rsidR="00B3006B">
        <w:t xml:space="preserve"> (</w:t>
      </w:r>
      <w:r w:rsidR="00F40E15">
        <w:t>s</w:t>
      </w:r>
      <w:r w:rsidR="00B3006B">
        <w:t xml:space="preserve">ee Chapter </w:t>
      </w:r>
      <w:r w:rsidR="00B3006B" w:rsidRPr="00275D41">
        <w:t>4</w:t>
      </w:r>
      <w:r w:rsidR="00B3006B">
        <w:t>)</w:t>
      </w:r>
      <w:r w:rsidR="00D02B64">
        <w:t>, w</w:t>
      </w:r>
      <w:r>
        <w:t>orkplace culture</w:t>
      </w:r>
      <w:r w:rsidR="00B3006B">
        <w:t xml:space="preserve">, </w:t>
      </w:r>
      <w:r w:rsidR="00D02B64">
        <w:t>employee accountability</w:t>
      </w:r>
      <w:r w:rsidR="00B3006B">
        <w:t xml:space="preserve"> (</w:t>
      </w:r>
      <w:r w:rsidR="00F40E15">
        <w:t>s</w:t>
      </w:r>
      <w:r w:rsidR="00B3006B">
        <w:t xml:space="preserve">ee Chapter </w:t>
      </w:r>
      <w:r w:rsidR="00B3006B" w:rsidRPr="00275D41">
        <w:t>5</w:t>
      </w:r>
      <w:r w:rsidR="00B3006B">
        <w:t>), and high turnover of MoP(S) Act employees</w:t>
      </w:r>
      <w:r>
        <w:t xml:space="preserve"> (</w:t>
      </w:r>
      <w:r w:rsidR="00F40E15">
        <w:t>s</w:t>
      </w:r>
      <w:r>
        <w:t xml:space="preserve">ee </w:t>
      </w:r>
      <w:r w:rsidR="00B3006B">
        <w:t>Chapt</w:t>
      </w:r>
      <w:r w:rsidRPr="00B3388E">
        <w:t xml:space="preserve">er </w:t>
      </w:r>
      <w:r w:rsidR="00B3006B" w:rsidRPr="00275D41">
        <w:t>6</w:t>
      </w:r>
      <w:r w:rsidRPr="00B3388E">
        <w:t>).</w:t>
      </w:r>
    </w:p>
    <w:p w14:paraId="02811377" w14:textId="6D48CEBB" w:rsidR="00927495" w:rsidRDefault="00927495" w:rsidP="00927495">
      <w:r w:rsidRPr="002A0805">
        <w:t xml:space="preserve">This chapter considers staffing </w:t>
      </w:r>
      <w:r w:rsidR="00D02B64">
        <w:t xml:space="preserve">numbers </w:t>
      </w:r>
      <w:r w:rsidRPr="002A0805">
        <w:t xml:space="preserve">and workload, as well as the </w:t>
      </w:r>
      <w:r w:rsidR="00D02B64">
        <w:t xml:space="preserve">staffing </w:t>
      </w:r>
      <w:r w:rsidRPr="002A0805">
        <w:t>allocation</w:t>
      </w:r>
      <w:r w:rsidR="00D02B64">
        <w:t xml:space="preserve"> method</w:t>
      </w:r>
      <w:r w:rsidRPr="002A0805">
        <w:t xml:space="preserve">. </w:t>
      </w:r>
      <w:r w:rsidR="00D02B64">
        <w:t xml:space="preserve">We consider staffing allocation in </w:t>
      </w:r>
      <w:r w:rsidRPr="002A0805">
        <w:t>the broader contex</w:t>
      </w:r>
      <w:r w:rsidRPr="00995E11">
        <w:t>t of workplace resources because it</w:t>
      </w:r>
      <w:r w:rsidR="00693134">
        <w:t xml:space="preserve"> </w:t>
      </w:r>
      <w:r w:rsidR="00B941B3">
        <w:t>was raised</w:t>
      </w:r>
      <w:r w:rsidR="00693134">
        <w:t xml:space="preserve"> </w:t>
      </w:r>
      <w:r w:rsidRPr="00995E11">
        <w:t>as part of overall workplace resourcing concerns.</w:t>
      </w:r>
      <w:r w:rsidRPr="00AF62DD">
        <w:t xml:space="preserve"> </w:t>
      </w:r>
    </w:p>
    <w:p w14:paraId="4A8359C5" w14:textId="77777777" w:rsidR="001D7C73" w:rsidRDefault="001D7C73" w:rsidP="00927495"/>
    <w:p w14:paraId="2CD45ED9" w14:textId="77777777" w:rsidR="00090EAA" w:rsidRDefault="00090EAA" w:rsidP="00051BDA">
      <w:pPr>
        <w:pStyle w:val="Heading3"/>
      </w:pPr>
      <w:r>
        <w:t>3.4.1 Current situation</w:t>
      </w:r>
    </w:p>
    <w:p w14:paraId="6A478186" w14:textId="77777777" w:rsidR="00090EAA" w:rsidRPr="0042469E" w:rsidRDefault="00090EAA" w:rsidP="00006865">
      <w:r w:rsidRPr="00006865">
        <w:rPr>
          <w:i/>
        </w:rPr>
        <w:t>The workplace</w:t>
      </w:r>
    </w:p>
    <w:p w14:paraId="5440E897" w14:textId="7B326D8B" w:rsidR="00090EAA" w:rsidRDefault="00090EAA" w:rsidP="00090EAA">
      <w:r>
        <w:t xml:space="preserve">MoP(S) Act employees </w:t>
      </w:r>
      <w:r w:rsidR="00A91834">
        <w:t>work from</w:t>
      </w:r>
      <w:r>
        <w:t xml:space="preserve"> different office locations</w:t>
      </w:r>
      <w:r w:rsidR="008501E8">
        <w:t xml:space="preserve"> across Australia</w:t>
      </w:r>
      <w:r>
        <w:t xml:space="preserve">, </w:t>
      </w:r>
      <w:r w:rsidR="00A91834">
        <w:t xml:space="preserve">under different </w:t>
      </w:r>
      <w:r>
        <w:t>working arrangements</w:t>
      </w:r>
      <w:r w:rsidR="00A91834">
        <w:t>, with varying access</w:t>
      </w:r>
      <w:r>
        <w:t xml:space="preserve"> </w:t>
      </w:r>
      <w:r w:rsidR="00D25C52">
        <w:t>to</w:t>
      </w:r>
      <w:r>
        <w:t xml:space="preserve"> resources. </w:t>
      </w:r>
    </w:p>
    <w:p w14:paraId="5927CCCF" w14:textId="48EF3C7F" w:rsidR="00090EAA" w:rsidRDefault="0031263D" w:rsidP="00090EAA">
      <w:r w:rsidRPr="00767C21">
        <w:t>PM&amp;C</w:t>
      </w:r>
      <w:r w:rsidR="00090EAA" w:rsidRPr="00767C21">
        <w:t xml:space="preserve">’s 2021 </w:t>
      </w:r>
      <w:r w:rsidR="00090EAA">
        <w:t>Foster Re</w:t>
      </w:r>
      <w:r w:rsidR="00C532F6">
        <w:t>view</w:t>
      </w:r>
      <w:r w:rsidR="00090EAA">
        <w:t xml:space="preserve"> acknowledged while there may be similar priorities across offices and opportunities to work collaboratively, parliamentarians and their offices </w:t>
      </w:r>
      <w:r w:rsidR="0042469E">
        <w:t xml:space="preserve">largely </w:t>
      </w:r>
      <w:r w:rsidR="00090EAA">
        <w:t>operate as self-contained workplaces.</w:t>
      </w:r>
      <w:r w:rsidR="00090EAA">
        <w:rPr>
          <w:rStyle w:val="FootnoteReference"/>
        </w:rPr>
        <w:footnoteReference w:id="74"/>
      </w:r>
      <w:r w:rsidR="00090EAA">
        <w:t xml:space="preserve"> </w:t>
      </w:r>
      <w:r w:rsidR="00090EAA" w:rsidRPr="00142173">
        <w:rPr>
          <w:i/>
        </w:rPr>
        <w:t>Set the Standard</w:t>
      </w:r>
      <w:r w:rsidR="00090EAA">
        <w:t xml:space="preserve"> reflected on the geographical dispersion</w:t>
      </w:r>
      <w:r w:rsidR="00090EAA">
        <w:rPr>
          <w:rStyle w:val="FootnoteReference"/>
        </w:rPr>
        <w:footnoteReference w:id="75"/>
      </w:r>
      <w:r w:rsidR="00090EAA">
        <w:t xml:space="preserve"> of MoP(S) Act </w:t>
      </w:r>
      <w:r w:rsidR="002D62B0">
        <w:t>employees</w:t>
      </w:r>
      <w:r w:rsidR="00090EAA">
        <w:t xml:space="preserve"> and the pastiche of work locations (from electorate offices, to taxis and airplanes).</w:t>
      </w:r>
      <w:r w:rsidR="00090EAA">
        <w:rPr>
          <w:rStyle w:val="FootnoteReference"/>
        </w:rPr>
        <w:footnoteReference w:id="76"/>
      </w:r>
    </w:p>
    <w:p w14:paraId="66E906E0" w14:textId="754FE0CD" w:rsidR="00090EAA" w:rsidRDefault="00090EAA" w:rsidP="00090EAA">
      <w:r w:rsidRPr="00F95129">
        <w:t xml:space="preserve">The Foster </w:t>
      </w:r>
      <w:r w:rsidR="00C532F6">
        <w:t>Review</w:t>
      </w:r>
      <w:r w:rsidRPr="00F95129">
        <w:t xml:space="preserve"> also acknowledged the </w:t>
      </w:r>
      <w:r w:rsidR="00D408B2">
        <w:t xml:space="preserve">parliamentary </w:t>
      </w:r>
      <w:r w:rsidRPr="00F95129">
        <w:t xml:space="preserve">workplace is like no other. It is uniquely impacted by high-intensity and </w:t>
      </w:r>
      <w:r>
        <w:t xml:space="preserve">heavy </w:t>
      </w:r>
      <w:r w:rsidRPr="00F95129">
        <w:t xml:space="preserve">workloads, long hours, </w:t>
      </w:r>
      <w:r>
        <w:t xml:space="preserve">demanding </w:t>
      </w:r>
      <w:r w:rsidRPr="00F95129">
        <w:t>travel schedules, extended periods away from family and friends, and constant media scrutiny.</w:t>
      </w:r>
      <w:r w:rsidRPr="00F95129">
        <w:rPr>
          <w:rStyle w:val="FootnoteReference"/>
        </w:rPr>
        <w:footnoteReference w:id="77"/>
      </w:r>
      <w:r w:rsidRPr="00F95129">
        <w:t xml:space="preserve"> </w:t>
      </w:r>
      <w:r w:rsidR="00F97E6A" w:rsidRPr="00F97E6A">
        <w:rPr>
          <w:i/>
        </w:rPr>
        <w:t>Set the Standard</w:t>
      </w:r>
      <w:r w:rsidR="00F97E6A">
        <w:t xml:space="preserve"> also</w:t>
      </w:r>
      <w:r w:rsidR="00F97E6A" w:rsidRPr="00F97E6A">
        <w:t xml:space="preserve"> identif</w:t>
      </w:r>
      <w:r w:rsidR="00F97E6A">
        <w:t>ied</w:t>
      </w:r>
      <w:r w:rsidR="00F97E6A" w:rsidRPr="00F97E6A">
        <w:t xml:space="preserve"> a high pressure work environment characterised by </w:t>
      </w:r>
      <w:r w:rsidR="00B036CD">
        <w:t xml:space="preserve">extreme expectations, </w:t>
      </w:r>
      <w:r w:rsidR="00F97E6A" w:rsidRPr="00F97E6A">
        <w:t xml:space="preserve">long hours, </w:t>
      </w:r>
      <w:r w:rsidR="00B036CD">
        <w:t xml:space="preserve">lack of role clarity, </w:t>
      </w:r>
      <w:r w:rsidR="00F97E6A" w:rsidRPr="00F97E6A">
        <w:t>small offices</w:t>
      </w:r>
      <w:r w:rsidR="00F97E6A">
        <w:t>,</w:t>
      </w:r>
      <w:r w:rsidR="00F97E6A" w:rsidRPr="00F97E6A">
        <w:t xml:space="preserve"> and high levels of responsibility for relatively junior staff</w:t>
      </w:r>
      <w:r w:rsidR="00F97E6A">
        <w:t>.</w:t>
      </w:r>
      <w:r w:rsidR="00B036CD">
        <w:rPr>
          <w:rStyle w:val="FootnoteReference"/>
        </w:rPr>
        <w:footnoteReference w:id="78"/>
      </w:r>
      <w:r w:rsidR="00F97E6A">
        <w:t xml:space="preserve"> </w:t>
      </w:r>
    </w:p>
    <w:p w14:paraId="0C671CCB" w14:textId="77777777" w:rsidR="004A2F10" w:rsidRDefault="004A2F10" w:rsidP="002A0805">
      <w:pPr>
        <w:rPr>
          <w:i/>
        </w:rPr>
      </w:pPr>
    </w:p>
    <w:p w14:paraId="14B9ABE0" w14:textId="1C8A9AF3" w:rsidR="00090EAA" w:rsidRPr="0042469E" w:rsidRDefault="00A84EF1" w:rsidP="002A0805">
      <w:pPr>
        <w:rPr>
          <w:i/>
        </w:rPr>
      </w:pPr>
      <w:r>
        <w:rPr>
          <w:i/>
        </w:rPr>
        <w:t>Work</w:t>
      </w:r>
      <w:r w:rsidR="00090EAA" w:rsidRPr="002A0805">
        <w:rPr>
          <w:i/>
        </w:rPr>
        <w:t xml:space="preserve"> </w:t>
      </w:r>
      <w:r w:rsidR="00090EAA" w:rsidRPr="00995E11">
        <w:rPr>
          <w:i/>
        </w:rPr>
        <w:t>expectation</w:t>
      </w:r>
    </w:p>
    <w:p w14:paraId="32036474" w14:textId="7D322B5D" w:rsidR="00090EAA" w:rsidRDefault="00767C21" w:rsidP="00090EAA">
      <w:r>
        <w:t>Roles and working arrangements are not uniform across parliamentarian</w:t>
      </w:r>
      <w:r w:rsidR="00BB479A">
        <w:t>s’</w:t>
      </w:r>
      <w:r>
        <w:t xml:space="preserve"> offices.</w:t>
      </w:r>
      <w:r>
        <w:rPr>
          <w:rStyle w:val="FootnoteReference"/>
        </w:rPr>
        <w:footnoteReference w:id="79"/>
      </w:r>
      <w:r>
        <w:t xml:space="preserve"> However, u</w:t>
      </w:r>
      <w:r w:rsidR="00090EAA" w:rsidRPr="00396995">
        <w:t xml:space="preserve">nder the current </w:t>
      </w:r>
      <w:r w:rsidR="00090EAA">
        <w:t>EA</w:t>
      </w:r>
      <w:r w:rsidR="00D44270">
        <w:t>,</w:t>
      </w:r>
      <w:r w:rsidR="00090EAA" w:rsidRPr="00396995">
        <w:t xml:space="preserve"> the ordinary hours of duty</w:t>
      </w:r>
      <w:r w:rsidR="00090EAA">
        <w:t xml:space="preserve"> for a full</w:t>
      </w:r>
      <w:r w:rsidR="00DF788B">
        <w:t>-</w:t>
      </w:r>
      <w:r w:rsidR="00090EAA" w:rsidRPr="00396995">
        <w:t>time MoP(S) Act employee are 38 hours per week</w:t>
      </w:r>
      <w:r>
        <w:t xml:space="preserve">, to be </w:t>
      </w:r>
      <w:r w:rsidR="00090EAA">
        <w:t xml:space="preserve">worked </w:t>
      </w:r>
      <w:r>
        <w:t xml:space="preserve">generally </w:t>
      </w:r>
      <w:r w:rsidR="00090EAA">
        <w:t>between 8:00 am to</w:t>
      </w:r>
      <w:r w:rsidR="00090EAA" w:rsidRPr="00396995">
        <w:t xml:space="preserve"> 6:00 pm, Monday to Friday.</w:t>
      </w:r>
      <w:r w:rsidR="00090EAA">
        <w:rPr>
          <w:rStyle w:val="FootnoteReference"/>
        </w:rPr>
        <w:footnoteReference w:id="80"/>
      </w:r>
      <w:r w:rsidR="00090EAA">
        <w:t xml:space="preserve"> MoP(S) Act employee remuneration – including salary, allowances and other benefits – reflects the expectation that employees will be required to work reasonable additional hours over and above the ordinary hours.</w:t>
      </w:r>
      <w:r w:rsidR="00090EAA">
        <w:rPr>
          <w:rStyle w:val="FootnoteReference"/>
        </w:rPr>
        <w:footnoteReference w:id="81"/>
      </w:r>
      <w:r w:rsidR="00090EAA">
        <w:t xml:space="preserve"> </w:t>
      </w:r>
    </w:p>
    <w:p w14:paraId="473172D5" w14:textId="77777777" w:rsidR="00090EAA" w:rsidRPr="00491B09" w:rsidRDefault="00090EAA" w:rsidP="00491B09">
      <w:pPr>
        <w:rPr>
          <w:i/>
        </w:rPr>
      </w:pPr>
      <w:r w:rsidRPr="00491B09">
        <w:rPr>
          <w:i/>
        </w:rPr>
        <w:t>Resources</w:t>
      </w:r>
    </w:p>
    <w:p w14:paraId="4F0F342A" w14:textId="44816B2F" w:rsidR="006F62BD" w:rsidRDefault="006A012E" w:rsidP="008B4C95">
      <w:r>
        <w:t>Core w</w:t>
      </w:r>
      <w:r w:rsidR="008B4C95" w:rsidRPr="007244DC">
        <w:t xml:space="preserve">orkplace resources </w:t>
      </w:r>
      <w:r w:rsidR="00322EB9">
        <w:t xml:space="preserve">in </w:t>
      </w:r>
      <w:r w:rsidR="0039793F" w:rsidRPr="00200409">
        <w:t xml:space="preserve">parliamentarian offices </w:t>
      </w:r>
      <w:r>
        <w:t>are</w:t>
      </w:r>
      <w:r w:rsidR="008B4C95" w:rsidRPr="007244DC">
        <w:t xml:space="preserve"> people</w:t>
      </w:r>
      <w:r w:rsidR="00D44270">
        <w:t>:</w:t>
      </w:r>
      <w:r w:rsidR="008B4C95" w:rsidRPr="007244DC">
        <w:t xml:space="preserve"> technology; systems and processes; </w:t>
      </w:r>
      <w:r w:rsidR="008B4C95" w:rsidRPr="00200409">
        <w:t>information</w:t>
      </w:r>
      <w:r w:rsidR="00D44270">
        <w:t>;</w:t>
      </w:r>
      <w:r w:rsidR="008B4C95" w:rsidRPr="00200409">
        <w:t xml:space="preserve"> and facilities.</w:t>
      </w:r>
      <w:r w:rsidR="00AA28E0" w:rsidRPr="00200409">
        <w:t xml:space="preserve"> </w:t>
      </w:r>
      <w:r w:rsidR="004837F2" w:rsidRPr="00200409">
        <w:t xml:space="preserve">There is a </w:t>
      </w:r>
      <w:r w:rsidR="00693134">
        <w:t>range of</w:t>
      </w:r>
      <w:r w:rsidR="004837F2" w:rsidRPr="00200409">
        <w:t xml:space="preserve"> entities administering these resources in</w:t>
      </w:r>
      <w:r w:rsidR="0039793F">
        <w:t xml:space="preserve"> the MoP(S) Act employment framework</w:t>
      </w:r>
      <w:r w:rsidR="00B1388E">
        <w:t xml:space="preserve"> </w:t>
      </w:r>
      <w:r w:rsidR="004837F2" w:rsidRPr="00200409">
        <w:t>(</w:t>
      </w:r>
      <w:r w:rsidR="001F539B">
        <w:t>s</w:t>
      </w:r>
      <w:r w:rsidR="004837F2" w:rsidRPr="00200409">
        <w:t xml:space="preserve">ee </w:t>
      </w:r>
      <w:r w:rsidR="00200409" w:rsidRPr="00200409">
        <w:t>Figure</w:t>
      </w:r>
      <w:r w:rsidR="00F3276E" w:rsidRPr="00200409">
        <w:t xml:space="preserve"> </w:t>
      </w:r>
      <w:r w:rsidR="001F539B">
        <w:t>5</w:t>
      </w:r>
      <w:r w:rsidR="00F3276E">
        <w:t>)</w:t>
      </w:r>
      <w:r w:rsidR="008501E8">
        <w:t xml:space="preserve"> with the administrative burden of identifying and seeking services having an impact on the ease of office management</w:t>
      </w:r>
      <w:r w:rsidR="00AA28E0">
        <w:t xml:space="preserve">. </w:t>
      </w:r>
      <w:r w:rsidR="004B500E">
        <w:t>To reduce complexity for parliamentarians and MoP(S) Act employees</w:t>
      </w:r>
      <w:r w:rsidR="0039793F">
        <w:t xml:space="preserve"> when accessing these resources,</w:t>
      </w:r>
      <w:r w:rsidR="004B500E">
        <w:t xml:space="preserve"> t</w:t>
      </w:r>
      <w:r w:rsidR="00AA28E0">
        <w:t xml:space="preserve">he recent </w:t>
      </w:r>
      <w:r w:rsidR="00AA28E0" w:rsidRPr="00AA28E0">
        <w:rPr>
          <w:i/>
        </w:rPr>
        <w:t xml:space="preserve">Parliamentary Business Resources Act 2017 and Independent Parliamentary Expenses Authority Act 2017 </w:t>
      </w:r>
      <w:r w:rsidR="00AA28E0" w:rsidRPr="00B3006B">
        <w:rPr>
          <w:i/>
        </w:rPr>
        <w:t>Review</w:t>
      </w:r>
      <w:r w:rsidR="00AA28E0" w:rsidRPr="00B3006B">
        <w:rPr>
          <w:rStyle w:val="FootnoteReference"/>
          <w:i/>
        </w:rPr>
        <w:footnoteReference w:id="82"/>
      </w:r>
      <w:r w:rsidR="00AA28E0" w:rsidRPr="00B3006B">
        <w:rPr>
          <w:i/>
        </w:rPr>
        <w:t xml:space="preserve"> </w:t>
      </w:r>
      <w:r w:rsidR="00AA28E0" w:rsidRPr="00B3006B">
        <w:t xml:space="preserve">(PBR/IPEA Review) </w:t>
      </w:r>
      <w:r w:rsidRPr="00B3006B">
        <w:t>recommended</w:t>
      </w:r>
      <w:r>
        <w:t xml:space="preserve"> the administering entities </w:t>
      </w:r>
      <w:r w:rsidR="00F72E8B">
        <w:t xml:space="preserve">collaborate to </w:t>
      </w:r>
      <w:r>
        <w:t xml:space="preserve">offer a single </w:t>
      </w:r>
      <w:r w:rsidR="00F72E8B">
        <w:t xml:space="preserve">access </w:t>
      </w:r>
      <w:r w:rsidR="004837F2">
        <w:t>point</w:t>
      </w:r>
      <w:r w:rsidR="00017A25">
        <w:t xml:space="preserve">: </w:t>
      </w:r>
      <w:r w:rsidR="004B500E">
        <w:t xml:space="preserve">a </w:t>
      </w:r>
      <w:r>
        <w:t>‘one-stop shop’</w:t>
      </w:r>
      <w:r w:rsidR="00F72E8B">
        <w:t xml:space="preserve"> for their various service delivery arrangements</w:t>
      </w:r>
      <w:r w:rsidR="0039793F">
        <w:t>.</w:t>
      </w:r>
      <w:r w:rsidR="004837F2">
        <w:rPr>
          <w:rStyle w:val="FootnoteReference"/>
        </w:rPr>
        <w:footnoteReference w:id="83"/>
      </w:r>
      <w:r>
        <w:t xml:space="preserve"> </w:t>
      </w:r>
      <w:r w:rsidR="00D3002F">
        <w:t xml:space="preserve">The PBR/IPEA Review also </w:t>
      </w:r>
      <w:r w:rsidR="00196BA0">
        <w:t xml:space="preserve">made recommendations </w:t>
      </w:r>
      <w:r w:rsidR="008501E8">
        <w:t>reflecting issues with current resourcing supports and the management of these</w:t>
      </w:r>
      <w:r w:rsidR="00D44270">
        <w:t>,</w:t>
      </w:r>
      <w:r w:rsidR="008501E8">
        <w:t xml:space="preserve"> including </w:t>
      </w:r>
      <w:r w:rsidR="00196BA0">
        <w:t>modernising</w:t>
      </w:r>
      <w:r w:rsidR="00D3002F">
        <w:t xml:space="preserve"> </w:t>
      </w:r>
      <w:r w:rsidR="001916A0">
        <w:t>ICT</w:t>
      </w:r>
      <w:r w:rsidR="00D3002F">
        <w:t xml:space="preserve"> resource</w:t>
      </w:r>
      <w:r w:rsidR="00196BA0">
        <w:t>s</w:t>
      </w:r>
      <w:r w:rsidR="001916A0">
        <w:t xml:space="preserve">, providing </w:t>
      </w:r>
      <w:r w:rsidR="00887BE2">
        <w:t xml:space="preserve">training </w:t>
      </w:r>
      <w:r w:rsidR="001916A0">
        <w:t xml:space="preserve">and </w:t>
      </w:r>
      <w:r w:rsidR="00887BE2" w:rsidRPr="00887BE2">
        <w:t xml:space="preserve">guidance </w:t>
      </w:r>
      <w:r w:rsidR="001916A0">
        <w:t xml:space="preserve">around budget </w:t>
      </w:r>
      <w:r w:rsidR="00887BE2">
        <w:t>systems and processes,</w:t>
      </w:r>
      <w:r w:rsidR="001916A0">
        <w:t xml:space="preserve"> and </w:t>
      </w:r>
      <w:r w:rsidR="008501E8">
        <w:t xml:space="preserve">reconsidering </w:t>
      </w:r>
      <w:r w:rsidR="001916A0">
        <w:t>of financial support for certain office</w:t>
      </w:r>
      <w:r w:rsidR="00BB479A">
        <w:t>s</w:t>
      </w:r>
      <w:r w:rsidR="001916A0">
        <w:t>.</w:t>
      </w:r>
      <w:r w:rsidR="00887BE2">
        <w:rPr>
          <w:rStyle w:val="FootnoteReference"/>
        </w:rPr>
        <w:footnoteReference w:id="84"/>
      </w:r>
      <w:r w:rsidR="00887BE2">
        <w:t xml:space="preserve"> </w:t>
      </w:r>
    </w:p>
    <w:p w14:paraId="33F9C470" w14:textId="77777777" w:rsidR="006F62BD" w:rsidRDefault="006F62BD">
      <w:pPr>
        <w:spacing w:after="200"/>
      </w:pPr>
      <w:r>
        <w:br w:type="page"/>
      </w:r>
    </w:p>
    <w:p w14:paraId="67F4F4D6" w14:textId="77777777" w:rsidR="004D5287" w:rsidRDefault="004D5287" w:rsidP="004D5287">
      <w:pPr>
        <w:pStyle w:val="Figure"/>
      </w:pPr>
    </w:p>
    <w:p w14:paraId="67A26B25" w14:textId="3C5B0B2E" w:rsidR="00AF4854" w:rsidRDefault="00CE6B47" w:rsidP="00A72598">
      <w:pPr>
        <w:rPr>
          <w:i/>
        </w:rPr>
      </w:pPr>
      <w:r>
        <w:rPr>
          <w:i/>
          <w:noProof/>
          <w:lang w:eastAsia="en-AU"/>
        </w:rPr>
        <w:drawing>
          <wp:inline distT="0" distB="0" distL="0" distR="0" wp14:anchorId="167E3EDB" wp14:editId="556248F1">
            <wp:extent cx="6120130" cy="3082290"/>
            <wp:effectExtent l="0" t="0" r="0" b="3810"/>
            <wp:docPr id="16" name="Picture 16" descr="This image has ‘workplace resources’ as a central box, surrounded by 5 boxes labelled people, technology, facilities, information and systems and processes.&#10;&#10;To the right of the people box is a smaller box labelled PM and another box labelled staffing allocation.&#10;&#10;To the right of the technology box, are boxes labelled DPS, parliamentarian and IT systems and equipment.&#10;&#10;To the right of the systems and processes box, are boxes labelled MaPS, parliamentarian and workflow and task manager tools.&#10;&#10;To the left of the information box, are boxes labelled MaPS, government entities and training government services.&#10;&#10;To the left of the facilities box, are boxes labelled MaPS, government entities and APH Office Electorate Offices.&#10;" title="Workplac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PAct-Infographics-300922-F5-WorkplaceResour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082290"/>
                    </a:xfrm>
                    <a:prstGeom prst="rect">
                      <a:avLst/>
                    </a:prstGeom>
                  </pic:spPr>
                </pic:pic>
              </a:graphicData>
            </a:graphic>
          </wp:inline>
        </w:drawing>
      </w:r>
    </w:p>
    <w:p w14:paraId="793B09FE" w14:textId="77777777" w:rsidR="006F62BD" w:rsidRDefault="006F62BD" w:rsidP="00A72598">
      <w:pPr>
        <w:rPr>
          <w:i/>
        </w:rPr>
      </w:pPr>
    </w:p>
    <w:p w14:paraId="5F8C44A0" w14:textId="1A20D93F" w:rsidR="0030129B" w:rsidRPr="0042469E" w:rsidRDefault="0030129B" w:rsidP="00A72598">
      <w:pPr>
        <w:rPr>
          <w:i/>
        </w:rPr>
      </w:pPr>
      <w:r w:rsidRPr="0042469E">
        <w:rPr>
          <w:i/>
        </w:rPr>
        <w:t xml:space="preserve">Staffing allocation </w:t>
      </w:r>
      <w:r w:rsidR="00470699">
        <w:rPr>
          <w:i/>
        </w:rPr>
        <w:t>–</w:t>
      </w:r>
      <w:r w:rsidR="0042469E" w:rsidRPr="0042469E">
        <w:rPr>
          <w:i/>
        </w:rPr>
        <w:t xml:space="preserve"> </w:t>
      </w:r>
      <w:r w:rsidR="00AA0EFC">
        <w:rPr>
          <w:i/>
        </w:rPr>
        <w:t>m</w:t>
      </w:r>
      <w:r w:rsidR="0042469E" w:rsidRPr="0042469E">
        <w:rPr>
          <w:i/>
        </w:rPr>
        <w:t>ethod</w:t>
      </w:r>
    </w:p>
    <w:p w14:paraId="23319514" w14:textId="1E7C1CF7" w:rsidR="003127F7" w:rsidRDefault="0063717A" w:rsidP="003127F7">
      <w:r>
        <w:t>U</w:t>
      </w:r>
      <w:r w:rsidR="0042469E">
        <w:t>nder the</w:t>
      </w:r>
      <w:r w:rsidR="00740145">
        <w:t xml:space="preserve"> MoP(S) Act</w:t>
      </w:r>
      <w:r w:rsidR="00DE6EE5">
        <w:t>,</w:t>
      </w:r>
      <w:r w:rsidR="00740145">
        <w:t xml:space="preserve"> the Prime Minister has the power to determine the number</w:t>
      </w:r>
      <w:r w:rsidR="00147B6C">
        <w:rPr>
          <w:rStyle w:val="FootnoteReference"/>
        </w:rPr>
        <w:footnoteReference w:id="85"/>
      </w:r>
      <w:r w:rsidR="00740145">
        <w:t xml:space="preserve"> of positions a parliamentarian can employ people in, including the position classification levels</w:t>
      </w:r>
      <w:r>
        <w:t xml:space="preserve"> (discussed also in Section 3.2.1)</w:t>
      </w:r>
      <w:r w:rsidR="00740145">
        <w:t xml:space="preserve">. </w:t>
      </w:r>
      <w:r>
        <w:t xml:space="preserve">Before a parliamentarian can exercise their employer powers to engage an employee, the </w:t>
      </w:r>
      <w:r w:rsidR="00740145">
        <w:t xml:space="preserve">Prime Minister must </w:t>
      </w:r>
      <w:r w:rsidR="0042469E">
        <w:t xml:space="preserve">first allocate </w:t>
      </w:r>
      <w:r w:rsidR="00740145">
        <w:t xml:space="preserve">the </w:t>
      </w:r>
      <w:r w:rsidR="0042469E">
        <w:t>positions. This process is broadly described as ‘staffing allocation’</w:t>
      </w:r>
      <w:r w:rsidR="00F3276E">
        <w:t xml:space="preserve"> and applies to </w:t>
      </w:r>
      <w:r w:rsidR="00D44097">
        <w:t>the</w:t>
      </w:r>
      <w:r w:rsidR="00F3276E">
        <w:t xml:space="preserve"> allocation of </w:t>
      </w:r>
      <w:r w:rsidR="00D44097">
        <w:t xml:space="preserve">both </w:t>
      </w:r>
      <w:r w:rsidR="00F3276E">
        <w:t>electorate and personal employees</w:t>
      </w:r>
      <w:r w:rsidR="00EA442B">
        <w:t xml:space="preserve"> to a parliamentarian, or a party</w:t>
      </w:r>
      <w:r w:rsidR="0042469E">
        <w:t xml:space="preserve">. </w:t>
      </w:r>
    </w:p>
    <w:p w14:paraId="4030E9C5" w14:textId="4935FD69" w:rsidR="008438D9" w:rsidRDefault="00D20CD5" w:rsidP="003127F7">
      <w:r>
        <w:t>S</w:t>
      </w:r>
      <w:r w:rsidR="008438D9">
        <w:t xml:space="preserve">taffing </w:t>
      </w:r>
      <w:r w:rsidR="00F5263E">
        <w:t xml:space="preserve">allocation </w:t>
      </w:r>
      <w:r w:rsidR="008438D9">
        <w:t xml:space="preserve">determinations </w:t>
      </w:r>
      <w:r>
        <w:t xml:space="preserve">for </w:t>
      </w:r>
      <w:r w:rsidRPr="00D20CD5">
        <w:t>e</w:t>
      </w:r>
      <w:r>
        <w:t>le</w:t>
      </w:r>
      <w:r w:rsidRPr="00D20CD5">
        <w:t>ctorate office</w:t>
      </w:r>
      <w:r>
        <w:t>s</w:t>
      </w:r>
      <w:r w:rsidRPr="00D20CD5">
        <w:t xml:space="preserve"> </w:t>
      </w:r>
      <w:r w:rsidR="008438D9">
        <w:t>are published</w:t>
      </w:r>
      <w:r w:rsidR="00EA442B">
        <w:t>.</w:t>
      </w:r>
      <w:r w:rsidR="00EA442B">
        <w:rPr>
          <w:rStyle w:val="FootnoteReference"/>
        </w:rPr>
        <w:footnoteReference w:id="86"/>
      </w:r>
      <w:r w:rsidR="008438D9">
        <w:t xml:space="preserve"> Personal staffing allocation determinations are not</w:t>
      </w:r>
      <w:r w:rsidR="00EA442B">
        <w:t>.</w:t>
      </w:r>
      <w:r w:rsidR="00EA442B">
        <w:rPr>
          <w:rStyle w:val="FootnoteReference"/>
        </w:rPr>
        <w:footnoteReference w:id="87"/>
      </w:r>
      <w:r w:rsidR="008438D9">
        <w:t xml:space="preserve"> However, details regarding personal staffing allocation </w:t>
      </w:r>
      <w:r w:rsidR="005004B9">
        <w:t>are</w:t>
      </w:r>
      <w:r w:rsidR="003229DF">
        <w:t xml:space="preserve"> made</w:t>
      </w:r>
      <w:r w:rsidR="008438D9">
        <w:t xml:space="preserve"> publicly available</w:t>
      </w:r>
      <w:r w:rsidR="003229DF">
        <w:t xml:space="preserve"> </w:t>
      </w:r>
      <w:r w:rsidR="00AF52C1">
        <w:t xml:space="preserve">by Finance </w:t>
      </w:r>
      <w:r w:rsidR="003229DF">
        <w:t xml:space="preserve">through Senate Estimates hearings. </w:t>
      </w:r>
    </w:p>
    <w:p w14:paraId="2F850BAD" w14:textId="77777777" w:rsidR="00A72598" w:rsidRPr="00F577E5" w:rsidRDefault="00A72598" w:rsidP="00A72598">
      <w:pPr>
        <w:rPr>
          <w:i/>
        </w:rPr>
      </w:pPr>
      <w:r w:rsidRPr="00F577E5">
        <w:rPr>
          <w:i/>
        </w:rPr>
        <w:t xml:space="preserve">Electorate office staffing </w:t>
      </w:r>
    </w:p>
    <w:p w14:paraId="1E1DAEE9" w14:textId="6559E426" w:rsidR="00EA5215" w:rsidRDefault="00EA5215" w:rsidP="00EA5215">
      <w:r>
        <w:t xml:space="preserve">All parliamentarians have the power to hire electorate </w:t>
      </w:r>
      <w:r w:rsidR="00A17669">
        <w:t>staff</w:t>
      </w:r>
      <w:r>
        <w:t xml:space="preserve"> on behalf of the Commonwealth, subject to </w:t>
      </w:r>
      <w:r w:rsidR="00875720">
        <w:t>the Prime Minister</w:t>
      </w:r>
      <w:r w:rsidR="0055180C">
        <w:t>’s (or delegate</w:t>
      </w:r>
      <w:r w:rsidR="00BB479A">
        <w:t>’s</w:t>
      </w:r>
      <w:r w:rsidR="0055180C">
        <w:t>)</w:t>
      </w:r>
      <w:r w:rsidR="00875720">
        <w:t xml:space="preserve"> staffing allocation determination</w:t>
      </w:r>
      <w:r>
        <w:t>.</w:t>
      </w:r>
      <w:r>
        <w:rPr>
          <w:rStyle w:val="FootnoteReference"/>
        </w:rPr>
        <w:footnoteReference w:id="88"/>
      </w:r>
      <w:r>
        <w:t xml:space="preserve"> </w:t>
      </w:r>
    </w:p>
    <w:p w14:paraId="73CBE9EC" w14:textId="6C1A4400" w:rsidR="00EA5215" w:rsidRDefault="00EA5215" w:rsidP="00EA5215">
      <w:r w:rsidRPr="00EA5215">
        <w:t xml:space="preserve">The number of </w:t>
      </w:r>
      <w:r w:rsidR="00A17669">
        <w:t xml:space="preserve">positions for </w:t>
      </w:r>
      <w:r w:rsidRPr="00EA5215">
        <w:t xml:space="preserve">electorate </w:t>
      </w:r>
      <w:r w:rsidR="00A17669">
        <w:t xml:space="preserve">staff </w:t>
      </w:r>
      <w:r w:rsidR="00875720">
        <w:t xml:space="preserve">is </w:t>
      </w:r>
      <w:r w:rsidR="00BF3263">
        <w:t xml:space="preserve">set </w:t>
      </w:r>
      <w:r w:rsidR="0032198B">
        <w:t xml:space="preserve">uniformly across </w:t>
      </w:r>
      <w:r w:rsidR="004D0447">
        <w:t>electorate</w:t>
      </w:r>
      <w:r w:rsidR="0032198B">
        <w:t xml:space="preserve"> offices</w:t>
      </w:r>
      <w:r w:rsidR="004F1707">
        <w:t xml:space="preserve">. By determination of the Prime Minister, the number of electorate officer positions </w:t>
      </w:r>
      <w:r w:rsidR="00BF3263">
        <w:t xml:space="preserve">has </w:t>
      </w:r>
      <w:r w:rsidRPr="00EA5215">
        <w:t xml:space="preserve">increased </w:t>
      </w:r>
      <w:r w:rsidR="00BF3263">
        <w:t xml:space="preserve">incrementally </w:t>
      </w:r>
      <w:r w:rsidRPr="00EA5215">
        <w:t>per parliamentarian since</w:t>
      </w:r>
      <w:r>
        <w:t xml:space="preserve"> the </w:t>
      </w:r>
      <w:r w:rsidR="00EB15B4">
        <w:t xml:space="preserve">MoP(S) </w:t>
      </w:r>
      <w:r>
        <w:t>Act commenced:</w:t>
      </w:r>
    </w:p>
    <w:p w14:paraId="70D9F54C" w14:textId="77777777" w:rsidR="00EA5215" w:rsidRDefault="00EA5215" w:rsidP="00971ECB">
      <w:pPr>
        <w:pStyle w:val="ListParagraph"/>
        <w:numPr>
          <w:ilvl w:val="0"/>
          <w:numId w:val="13"/>
        </w:numPr>
      </w:pPr>
      <w:r>
        <w:t xml:space="preserve">1984: increase </w:t>
      </w:r>
      <w:r w:rsidRPr="006929AE">
        <w:t xml:space="preserve">from </w:t>
      </w:r>
      <w:r>
        <w:t>two t</w:t>
      </w:r>
      <w:r w:rsidRPr="006929AE">
        <w:t xml:space="preserve">o three </w:t>
      </w:r>
      <w:r>
        <w:t xml:space="preserve">positions </w:t>
      </w:r>
      <w:r w:rsidRPr="006929AE">
        <w:t xml:space="preserve">for each </w:t>
      </w:r>
      <w:r>
        <w:t>senator</w:t>
      </w:r>
      <w:r w:rsidRPr="006929AE">
        <w:t xml:space="preserve"> and </w:t>
      </w:r>
      <w:r>
        <w:t>m</w:t>
      </w:r>
      <w:r w:rsidRPr="006929AE">
        <w:t>ember</w:t>
      </w:r>
      <w:r>
        <w:t xml:space="preserve"> (</w:t>
      </w:r>
      <w:r w:rsidRPr="006929AE">
        <w:t>four in larger electorates with second electorate office</w:t>
      </w:r>
      <w:r>
        <w:t>)</w:t>
      </w:r>
      <w:r>
        <w:rPr>
          <w:rStyle w:val="FootnoteReference"/>
        </w:rPr>
        <w:footnoteReference w:id="89"/>
      </w:r>
    </w:p>
    <w:p w14:paraId="74A45A78" w14:textId="77777777" w:rsidR="00EA5215" w:rsidRDefault="00EA5215" w:rsidP="00971ECB">
      <w:pPr>
        <w:pStyle w:val="ListParagraph"/>
        <w:numPr>
          <w:ilvl w:val="0"/>
          <w:numId w:val="13"/>
        </w:numPr>
      </w:pPr>
      <w:r>
        <w:t>2007: increase from three to four</w:t>
      </w:r>
      <w:r>
        <w:rPr>
          <w:rStyle w:val="FootnoteReference"/>
        </w:rPr>
        <w:footnoteReference w:id="90"/>
      </w:r>
      <w:r>
        <w:t xml:space="preserve"> positions for each s</w:t>
      </w:r>
      <w:r w:rsidRPr="006929AE">
        <w:t xml:space="preserve">enator and </w:t>
      </w:r>
      <w:r>
        <w:t>m</w:t>
      </w:r>
      <w:r w:rsidRPr="006929AE">
        <w:t>ember</w:t>
      </w:r>
      <w:r>
        <w:t xml:space="preserve"> (</w:t>
      </w:r>
      <w:r w:rsidRPr="006929AE">
        <w:t>five</w:t>
      </w:r>
      <w:r>
        <w:t>/six in</w:t>
      </w:r>
      <w:r w:rsidRPr="006929AE">
        <w:t xml:space="preserve"> a second</w:t>
      </w:r>
      <w:r>
        <w:t>/third</w:t>
      </w:r>
      <w:r w:rsidRPr="006929AE">
        <w:t xml:space="preserve"> electorate office</w:t>
      </w:r>
      <w:r>
        <w:t>).</w:t>
      </w:r>
    </w:p>
    <w:p w14:paraId="602FA328" w14:textId="75271B11" w:rsidR="00EA5215" w:rsidRDefault="00054C58" w:rsidP="00EA5215">
      <w:r>
        <w:t>The r</w:t>
      </w:r>
      <w:r w:rsidR="00EA5215">
        <w:t>ational</w:t>
      </w:r>
      <w:r>
        <w:t>e</w:t>
      </w:r>
      <w:r w:rsidR="00EA5215">
        <w:t xml:space="preserve"> for </w:t>
      </w:r>
      <w:r w:rsidR="000C64EA">
        <w:t>one</w:t>
      </w:r>
      <w:r w:rsidR="00EA5215">
        <w:t xml:space="preserve"> additional position in 2007 was </w:t>
      </w:r>
      <w:r w:rsidR="000C64EA">
        <w:t xml:space="preserve">to acknowledge </w:t>
      </w:r>
      <w:r w:rsidR="00EA5215">
        <w:t xml:space="preserve">the ‘greater and more complex’ workload of </w:t>
      </w:r>
      <w:r w:rsidR="00DE2416">
        <w:t xml:space="preserve">senators </w:t>
      </w:r>
      <w:r w:rsidR="00EA5215">
        <w:t xml:space="preserve">and </w:t>
      </w:r>
      <w:r w:rsidR="00DE2416">
        <w:t>members</w:t>
      </w:r>
      <w:r w:rsidR="00EA5215">
        <w:t xml:space="preserve"> than in 1984 </w:t>
      </w:r>
      <w:r w:rsidR="00775C27">
        <w:t>(</w:t>
      </w:r>
      <w:r w:rsidR="00EA5215">
        <w:t>when the</w:t>
      </w:r>
      <w:r w:rsidR="00B036CD">
        <w:t xml:space="preserve"> allocation was </w:t>
      </w:r>
      <w:r w:rsidR="00B036CD" w:rsidDel="005C7B6D">
        <w:t xml:space="preserve">previously </w:t>
      </w:r>
      <w:r w:rsidR="00B036CD">
        <w:t>increased</w:t>
      </w:r>
      <w:r w:rsidR="000C64EA">
        <w:t xml:space="preserve">). The </w:t>
      </w:r>
      <w:r w:rsidR="00EA5215">
        <w:t>advent of email and surge in correspondence, and increased community expectations of government services</w:t>
      </w:r>
      <w:r w:rsidR="000C64EA">
        <w:t xml:space="preserve"> were contributing factors</w:t>
      </w:r>
      <w:r w:rsidR="00EA5215">
        <w:t xml:space="preserve">. </w:t>
      </w:r>
      <w:r w:rsidR="005B2606">
        <w:t>These a</w:t>
      </w:r>
      <w:r w:rsidR="00EA5215">
        <w:t xml:space="preserve">dditional pressures </w:t>
      </w:r>
      <w:r w:rsidR="005B2606">
        <w:t xml:space="preserve">impacted </w:t>
      </w:r>
      <w:r w:rsidR="00EA5215">
        <w:t>on the relief staff budge</w:t>
      </w:r>
      <w:r w:rsidR="00EA5215" w:rsidRPr="00B1388E">
        <w:t>t</w:t>
      </w:r>
      <w:r w:rsidR="005B2606" w:rsidRPr="00B1388E">
        <w:t>.</w:t>
      </w:r>
      <w:r w:rsidR="00EA5215" w:rsidRPr="00B1388E">
        <w:rPr>
          <w:rStyle w:val="FootnoteReference"/>
        </w:rPr>
        <w:footnoteReference w:id="91"/>
      </w:r>
      <w:r w:rsidR="00EA5215" w:rsidRPr="00B1388E">
        <w:t xml:space="preserve"> </w:t>
      </w:r>
    </w:p>
    <w:p w14:paraId="1E930F39" w14:textId="4DC3A203" w:rsidR="00EA5215" w:rsidRDefault="00875720" w:rsidP="00EA5215">
      <w:r>
        <w:t>Since the</w:t>
      </w:r>
      <w:r w:rsidR="00EB15B4">
        <w:t xml:space="preserve"> MoP(S)</w:t>
      </w:r>
      <w:r>
        <w:t xml:space="preserve"> Act commenced, t</w:t>
      </w:r>
      <w:r w:rsidRPr="0055271A">
        <w:t xml:space="preserve">he </w:t>
      </w:r>
      <w:r>
        <w:t>population has increased and the number of parliamentarians has increased.</w:t>
      </w:r>
      <w:r>
        <w:rPr>
          <w:rStyle w:val="FootnoteReference"/>
        </w:rPr>
        <w:footnoteReference w:id="92"/>
      </w:r>
      <w:r>
        <w:t xml:space="preserve"> </w:t>
      </w:r>
      <w:r w:rsidRPr="0055271A">
        <w:t xml:space="preserve">The average number of electors per </w:t>
      </w:r>
      <w:r>
        <w:t>m</w:t>
      </w:r>
      <w:r w:rsidRPr="0055271A">
        <w:t xml:space="preserve">ember of the House of Representatives has </w:t>
      </w:r>
      <w:r>
        <w:t xml:space="preserve">also </w:t>
      </w:r>
      <w:r w:rsidRPr="0055271A">
        <w:t>increased from approximately 75,000 in 1983</w:t>
      </w:r>
      <w:r>
        <w:t>; 91,000 in 2007</w:t>
      </w:r>
      <w:r w:rsidRPr="00EA5215">
        <w:t xml:space="preserve">; </w:t>
      </w:r>
      <w:r w:rsidR="0063421E">
        <w:t>to</w:t>
      </w:r>
      <w:r w:rsidRPr="00EA5215">
        <w:t xml:space="preserve"> 114,000 in 2022</w:t>
      </w:r>
      <w:r w:rsidR="007301DC">
        <w:t xml:space="preserve"> (</w:t>
      </w:r>
      <w:r w:rsidR="00F00D4A">
        <w:t>s</w:t>
      </w:r>
      <w:r w:rsidR="007301DC">
        <w:t xml:space="preserve">ee Figure </w:t>
      </w:r>
      <w:r w:rsidR="001F539B">
        <w:t>6</w:t>
      </w:r>
      <w:r w:rsidR="00BB479A">
        <w:rPr>
          <w:rStyle w:val="FootnoteReference"/>
        </w:rPr>
        <w:footnoteReference w:id="93"/>
      </w:r>
      <w:r w:rsidR="007301DC">
        <w:t>)</w:t>
      </w:r>
      <w:r w:rsidRPr="00EA5215">
        <w:t xml:space="preserve">. </w:t>
      </w:r>
      <w:r w:rsidR="00731968">
        <w:t xml:space="preserve"> </w:t>
      </w:r>
      <w:r w:rsidR="005B2606">
        <w:t>However, t</w:t>
      </w:r>
      <w:r w:rsidR="00EA5215">
        <w:t xml:space="preserve">he base level of four electorate officer positions </w:t>
      </w:r>
      <w:r w:rsidR="00E904D8">
        <w:t xml:space="preserve">has </w:t>
      </w:r>
      <w:r w:rsidR="005B2606">
        <w:t>not changed</w:t>
      </w:r>
      <w:r w:rsidR="00EA5215">
        <w:t xml:space="preserve"> for the last 15 years.</w:t>
      </w:r>
    </w:p>
    <w:p w14:paraId="75A66CDD" w14:textId="77777777" w:rsidR="00017187" w:rsidRDefault="00017187">
      <w:pPr>
        <w:spacing w:after="200"/>
        <w:rPr>
          <w:rFonts w:ascii="Segoe UI" w:hAnsi="Segoe UI" w:cs="Segoe UI"/>
          <w:noProof/>
          <w:color w:val="3266AB"/>
        </w:rPr>
      </w:pPr>
      <w:r>
        <w:br w:type="page"/>
      </w:r>
    </w:p>
    <w:p w14:paraId="522C56B9" w14:textId="022C397F" w:rsidR="00143E95" w:rsidRDefault="00A470C5" w:rsidP="00DD1AC0">
      <w:pPr>
        <w:pStyle w:val="Figure"/>
        <w:ind w:left="0" w:firstLine="0"/>
      </w:pPr>
      <w:r>
        <w:br/>
      </w:r>
      <w:r w:rsidR="00CE6B47">
        <w:rPr>
          <w:lang w:eastAsia="en-AU"/>
        </w:rPr>
        <w:drawing>
          <wp:inline distT="0" distB="0" distL="0" distR="0" wp14:anchorId="21671475" wp14:editId="2866C0EA">
            <wp:extent cx="6120130" cy="4427855"/>
            <wp:effectExtent l="0" t="0" r="0" b="0"/>
            <wp:docPr id="17" name="Picture 17" descr="This image is titled Electorate Office staffing allocation and is a graph comparing the average number of voting constituents per member, the number of members and the electorate staff allocation over the period 1983 to 2022.&#10;&#10;In 1983 there were 125 members, with an average of 77,000 voting constituents and 2 electorate staff.&#10;&#10;In 1984 there were 148 members, with an average of with an average of 67,000 voting constituents and 3 electorate staff.&#10;&#10;In 2007 there were 150 members, with an average of 91,000 voting constituents and 4 electorate staff.&#10;&#10;In 2022 there were 151 members, with an average of 114,000 voting constituents and 4 electorate staff.&#10;" title="Electorate office staff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PAct-Infographics-300922-F6-staffingalocation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427855"/>
                    </a:xfrm>
                    <a:prstGeom prst="rect">
                      <a:avLst/>
                    </a:prstGeom>
                  </pic:spPr>
                </pic:pic>
              </a:graphicData>
            </a:graphic>
          </wp:inline>
        </w:drawing>
      </w:r>
    </w:p>
    <w:p w14:paraId="0ABBC172" w14:textId="77777777" w:rsidR="00EA5215" w:rsidRPr="00D75ABA" w:rsidRDefault="00EA5215" w:rsidP="00EA5215">
      <w:pPr>
        <w:rPr>
          <w:i/>
        </w:rPr>
      </w:pPr>
      <w:r>
        <w:rPr>
          <w:i/>
        </w:rPr>
        <w:t>Personal staff allocation</w:t>
      </w:r>
    </w:p>
    <w:p w14:paraId="5FF8EDAE" w14:textId="77777777" w:rsidR="00EA5215" w:rsidRDefault="00EA5215" w:rsidP="00EA5215">
      <w:r>
        <w:t xml:space="preserve">Only parliamentarians </w:t>
      </w:r>
      <w:r w:rsidR="00110C02">
        <w:t>who hold particular offices (see</w:t>
      </w:r>
      <w:r w:rsidR="00F32DFE">
        <w:t xml:space="preserve"> Section 3.2.1)</w:t>
      </w:r>
      <w:r w:rsidR="00110C02">
        <w:t xml:space="preserve"> </w:t>
      </w:r>
      <w:r>
        <w:t>may engage personal employees under the MoP(S) Act. The number and type of positions allocated to each office-holder is a matter for the Prime Minister to determine, and is not delegated to the SMOS.</w:t>
      </w:r>
      <w:r>
        <w:rPr>
          <w:rStyle w:val="FootnoteReference"/>
        </w:rPr>
        <w:footnoteReference w:id="94"/>
      </w:r>
      <w:r>
        <w:t xml:space="preserve">  </w:t>
      </w:r>
    </w:p>
    <w:p w14:paraId="37B16585" w14:textId="77777777" w:rsidR="00EA5215" w:rsidRDefault="00EA5215" w:rsidP="00EA5215">
      <w:r w:rsidRPr="00736CC6">
        <w:t xml:space="preserve">Traditionally, the major parties have </w:t>
      </w:r>
      <w:r>
        <w:t xml:space="preserve">followed </w:t>
      </w:r>
      <w:r w:rsidR="002E74DA">
        <w:t xml:space="preserve">a </w:t>
      </w:r>
      <w:r>
        <w:t xml:space="preserve">convention for setting staffing </w:t>
      </w:r>
      <w:r w:rsidRPr="00736CC6">
        <w:t>ratio</w:t>
      </w:r>
      <w:r>
        <w:t>s</w:t>
      </w:r>
      <w:r w:rsidRPr="00736CC6" w:rsidDel="00CA5FF5">
        <w:t xml:space="preserve"> </w:t>
      </w:r>
      <w:r w:rsidRPr="00736CC6">
        <w:t xml:space="preserve">such that any increase or decrease in ministerial staffing by the Prime Minister of the day is met with a commensurate (albeit smaller in overall terms) change in </w:t>
      </w:r>
      <w:r>
        <w:t>O</w:t>
      </w:r>
      <w:r w:rsidRPr="00736CC6">
        <w:t>pposition</w:t>
      </w:r>
      <w:r w:rsidRPr="00736CC6">
        <w:rPr>
          <w:rStyle w:val="FootnoteReference"/>
        </w:rPr>
        <w:footnoteReference w:id="95"/>
      </w:r>
      <w:r w:rsidRPr="00736CC6">
        <w:t xml:space="preserve"> and minor party</w:t>
      </w:r>
      <w:r>
        <w:rPr>
          <w:rStyle w:val="FootnoteReference"/>
        </w:rPr>
        <w:footnoteReference w:id="96"/>
      </w:r>
      <w:r w:rsidRPr="00736CC6">
        <w:t xml:space="preserve"> staffing levels. </w:t>
      </w:r>
    </w:p>
    <w:p w14:paraId="2B906E38" w14:textId="77777777" w:rsidR="00EA5215" w:rsidRDefault="00EA5215" w:rsidP="00EA5215">
      <w:r>
        <w:t>Independents first received an allocation of one personal staff member in 2007. Between 2007 and 2022, the allocation fluctuated between one and four personal staff members, the reasons for which are not</w:t>
      </w:r>
      <w:r w:rsidDel="005E0C0F">
        <w:t xml:space="preserve"> </w:t>
      </w:r>
      <w:r>
        <w:t xml:space="preserve">public. Allocations were reduced under the current Government. </w:t>
      </w:r>
    </w:p>
    <w:p w14:paraId="5EE11815" w14:textId="2F31FDCB" w:rsidR="00EA5215" w:rsidRDefault="00EA5215" w:rsidP="00EA5215">
      <w:r w:rsidRPr="00736CC6">
        <w:t xml:space="preserve">The political landscape has changed significantly since </w:t>
      </w:r>
      <w:r>
        <w:t xml:space="preserve">the </w:t>
      </w:r>
      <w:r w:rsidR="00EB15B4">
        <w:t xml:space="preserve">MoP(S) </w:t>
      </w:r>
      <w:r>
        <w:t>Act commenced</w:t>
      </w:r>
      <w:r w:rsidRPr="00736CC6">
        <w:t>, with a dominant two party system being disrupted by greater numbers of minor parties</w:t>
      </w:r>
      <w:r>
        <w:t xml:space="preserve"> and independents. </w:t>
      </w:r>
      <w:r w:rsidRPr="00736CC6">
        <w:t xml:space="preserve">While key parliamentary roles </w:t>
      </w:r>
      <w:r>
        <w:t xml:space="preserve">(such as ministries and shadow ministries) </w:t>
      </w:r>
      <w:r w:rsidRPr="00736CC6">
        <w:t xml:space="preserve">do not rest with the crossbench, </w:t>
      </w:r>
      <w:r w:rsidRPr="00CE327F">
        <w:t>independents and parliamentarians belonging to minor parties have</w:t>
      </w:r>
      <w:r w:rsidR="00C04DBC" w:rsidRPr="00CE327F">
        <w:t xml:space="preserve"> </w:t>
      </w:r>
      <w:r w:rsidR="003A18D0" w:rsidRPr="00CE327F">
        <w:t xml:space="preserve">had </w:t>
      </w:r>
      <w:r w:rsidR="00C04DBC" w:rsidRPr="00CE327F">
        <w:t>an increasing role in the parliament.</w:t>
      </w:r>
      <w:r w:rsidR="003A18D0" w:rsidRPr="00CE327F">
        <w:t xml:space="preserve"> </w:t>
      </w:r>
    </w:p>
    <w:p w14:paraId="276728DB" w14:textId="77777777" w:rsidR="004D5287" w:rsidRDefault="004D5287" w:rsidP="004D5287">
      <w:pPr>
        <w:pStyle w:val="Figure"/>
      </w:pPr>
    </w:p>
    <w:p w14:paraId="33474BCF" w14:textId="5279A383" w:rsidR="00DD1AC0" w:rsidRDefault="00CE6B47" w:rsidP="00EA5215">
      <w:r>
        <w:rPr>
          <w:noProof/>
          <w:lang w:eastAsia="en-AU"/>
        </w:rPr>
        <w:drawing>
          <wp:inline distT="0" distB="0" distL="0" distR="0" wp14:anchorId="10D36633" wp14:editId="57ABF56B">
            <wp:extent cx="6120130" cy="3774440"/>
            <wp:effectExtent l="0" t="0" r="0" b="0"/>
            <wp:docPr id="20" name="Picture 20" descr="This image is titled Personal staffing allocation – 2002 to 2022. It is a line graph with the x axis setting out years and the y axis total numbers of personal staff.&#10;&#10;The line across the graph generally trends upwards over the 20 year period, with a spike in 2007, a dip in 2008, a spike in 2011, a further spike in 2017 and a dip in 2022. &#10;&#10;Starting at the left, the line in the graph shows: in 2002 there were 478 personal staff; in 2003 there were 492 personal staff; in 2004 there were 464 personal staff; in 2005 there were 540 personal staff; in 2006 there were 579 personal staff; in 2007 there were 607 personal staff; in 2008 there were 456.34 personal staff; in 2009 there were 460.34 personal staff; in 2010 there were 509.34 personal staff; in 2011 there were 591.34 personal staff; in 2012 there were 588.34 personal staff; in 2013 there were 593 personal staff; in 2014 there were 600 personal staff; in 2015 there were 600 personal staff; in 2016 there were 651 personal staff; in 2017 there were 681 personal staff; in 2018 there were 663 personal staff; in 2019 there were 681 personal staff; in 2020 there were 673 personal staff; in 2021 there were 684 personal staff; and in 2022 there were 555 personal staff. &#10;" title="Personal staffing allocation – 2002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PAct-Infographics-300922-F7-personalstaffingalocati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774440"/>
                    </a:xfrm>
                    <a:prstGeom prst="rect">
                      <a:avLst/>
                    </a:prstGeom>
                  </pic:spPr>
                </pic:pic>
              </a:graphicData>
            </a:graphic>
          </wp:inline>
        </w:drawing>
      </w:r>
    </w:p>
    <w:p w14:paraId="30100015" w14:textId="594A61B2" w:rsidR="00600731" w:rsidRDefault="006E3C16" w:rsidP="00EA5215">
      <w:r>
        <w:t xml:space="preserve">The </w:t>
      </w:r>
      <w:r w:rsidR="00600731">
        <w:t>total number of personal staff positions</w:t>
      </w:r>
      <w:r>
        <w:t xml:space="preserve"> has fluctuated</w:t>
      </w:r>
      <w:r w:rsidR="00600731">
        <w:t xml:space="preserve"> sin</w:t>
      </w:r>
      <w:r>
        <w:t xml:space="preserve">ce the commencement of the </w:t>
      </w:r>
      <w:r w:rsidR="00EB15B4">
        <w:t xml:space="preserve">MoP(S) </w:t>
      </w:r>
      <w:r>
        <w:t>Act, but have generally trended up over time (</w:t>
      </w:r>
      <w:r w:rsidR="001F539B">
        <w:t>s</w:t>
      </w:r>
      <w:r>
        <w:t xml:space="preserve">ee Figure </w:t>
      </w:r>
      <w:r w:rsidR="001F539B">
        <w:t>7</w:t>
      </w:r>
      <w:r w:rsidR="007569F4">
        <w:rPr>
          <w:rStyle w:val="FootnoteReference"/>
        </w:rPr>
        <w:footnoteReference w:id="97"/>
      </w:r>
      <w:r>
        <w:t xml:space="preserve">). </w:t>
      </w:r>
    </w:p>
    <w:p w14:paraId="7C65D13D" w14:textId="36A0E60E" w:rsidR="00EA5215" w:rsidRDefault="00EA5215" w:rsidP="00EA5215">
      <w:r>
        <w:t>A</w:t>
      </w:r>
      <w:r w:rsidRPr="00210423">
        <w:t xml:space="preserve"> review into government staffing </w:t>
      </w:r>
      <w:r>
        <w:t xml:space="preserve">was conducted in </w:t>
      </w:r>
      <w:r w:rsidRPr="00210423">
        <w:t>2009</w:t>
      </w:r>
      <w:r w:rsidR="000E3C43">
        <w:t>,</w:t>
      </w:r>
      <w:r w:rsidRPr="00210423">
        <w:t xml:space="preserve"> </w:t>
      </w:r>
      <w:r>
        <w:t>f</w:t>
      </w:r>
      <w:r w:rsidRPr="00281E0F">
        <w:t xml:space="preserve">ollowing a </w:t>
      </w:r>
      <w:r>
        <w:t xml:space="preserve">determination of the then Prime Minister to cut </w:t>
      </w:r>
      <w:r w:rsidRPr="00281E0F">
        <w:t xml:space="preserve">MoP(S) Act personal staffing levels </w:t>
      </w:r>
      <w:r>
        <w:t xml:space="preserve">by </w:t>
      </w:r>
      <w:r w:rsidRPr="00281E0F">
        <w:t>30 per cent in mid-2007</w:t>
      </w:r>
      <w:r>
        <w:t xml:space="preserve"> to 1996 levels (Henderson</w:t>
      </w:r>
      <w:r w:rsidR="008E516F">
        <w:t> </w:t>
      </w:r>
      <w:r>
        <w:t>Review).</w:t>
      </w:r>
      <w:r w:rsidRPr="00281E0F">
        <w:rPr>
          <w:rStyle w:val="FootnoteReference"/>
        </w:rPr>
        <w:footnoteReference w:id="98"/>
      </w:r>
      <w:r>
        <w:t xml:space="preserve"> The Henderson Review </w:t>
      </w:r>
      <w:r w:rsidRPr="00210423">
        <w:t xml:space="preserve">recommended </w:t>
      </w:r>
      <w:r w:rsidR="00B97033">
        <w:t xml:space="preserve">the </w:t>
      </w:r>
      <w:r>
        <w:t xml:space="preserve">government </w:t>
      </w:r>
      <w:r w:rsidRPr="00210423">
        <w:t>personal staffing allocation increase by 42 ministerial staff positions</w:t>
      </w:r>
      <w:r w:rsidR="00B97033">
        <w:t xml:space="preserve"> – reflecting </w:t>
      </w:r>
      <w:r w:rsidRPr="00210423">
        <w:t>high workload</w:t>
      </w:r>
      <w:r>
        <w:t>s</w:t>
      </w:r>
      <w:r w:rsidRPr="00210423">
        <w:t xml:space="preserve"> </w:t>
      </w:r>
      <w:r>
        <w:t xml:space="preserve">and </w:t>
      </w:r>
      <w:r w:rsidR="00B97033">
        <w:t xml:space="preserve">increased work pressures </w:t>
      </w:r>
      <w:r w:rsidRPr="00210423">
        <w:t>resulting from a major change program</w:t>
      </w:r>
      <w:r>
        <w:t xml:space="preserve"> </w:t>
      </w:r>
      <w:r w:rsidRPr="00210423">
        <w:t xml:space="preserve">and </w:t>
      </w:r>
      <w:r>
        <w:t xml:space="preserve">the </w:t>
      </w:r>
      <w:r w:rsidRPr="00281E0F">
        <w:t xml:space="preserve">demands of modern communication </w:t>
      </w:r>
      <w:r w:rsidRPr="00210423">
        <w:t xml:space="preserve">relative to </w:t>
      </w:r>
      <w:r w:rsidR="00A66F5A">
        <w:t xml:space="preserve">conditions in </w:t>
      </w:r>
      <w:r w:rsidRPr="00210423">
        <w:t>1996.</w:t>
      </w:r>
      <w:r>
        <w:t xml:space="preserve"> </w:t>
      </w:r>
      <w:r w:rsidRPr="00281E0F">
        <w:t xml:space="preserve">There was a concomitant increase </w:t>
      </w:r>
      <w:r>
        <w:t xml:space="preserve">in personal staff allocation </w:t>
      </w:r>
      <w:r w:rsidRPr="00281E0F">
        <w:t>of seven for the Opposition and</w:t>
      </w:r>
      <w:r>
        <w:t xml:space="preserve"> one for the Australian Greens.  </w:t>
      </w:r>
    </w:p>
    <w:p w14:paraId="69191BC6" w14:textId="77777777" w:rsidR="00EA5215" w:rsidRPr="007F2C0D" w:rsidRDefault="00EA5215" w:rsidP="007A2B94"/>
    <w:p w14:paraId="034B7CA2" w14:textId="1B0A16BD" w:rsidR="007A2B94" w:rsidRPr="00EE1333" w:rsidRDefault="00BB0923" w:rsidP="007A2B94">
      <w:pPr>
        <w:rPr>
          <w:b/>
        </w:rPr>
      </w:pPr>
      <w:r w:rsidRPr="00EE1333">
        <w:rPr>
          <w:b/>
        </w:rPr>
        <w:t>What we heard</w:t>
      </w:r>
      <w:r>
        <w:rPr>
          <w:b/>
        </w:rPr>
        <w:t xml:space="preserve"> about workplace resourcing</w:t>
      </w:r>
    </w:p>
    <w:tbl>
      <w:tblPr>
        <w:tblStyle w:val="PlainTable2"/>
        <w:tblW w:w="9639" w:type="dxa"/>
        <w:tblBorders>
          <w:insideH w:val="single" w:sz="4" w:space="0" w:color="7F7F7F" w:themeColor="text1" w:themeTint="80"/>
          <w:insideV w:val="single" w:sz="4" w:space="0" w:color="auto"/>
        </w:tblBorders>
        <w:tblLook w:val="04A0" w:firstRow="1" w:lastRow="0" w:firstColumn="1" w:lastColumn="0" w:noHBand="0" w:noVBand="1"/>
        <w:tblDescription w:val="Workload&#10;‘Workload of staff is extraordinary’.&#10;‘The amount of overwork in our new office is ridiculous. With limited parliamentary staff the electorate office is suffering badly as electorate positions are being used for parliamentary roles. This has greatly impacted the lives of employees and the workload is not within reasonable expectations’. [combined with recruitment concerns] Both these factors are risks to the health safety and wellbeing of everyone in our office’.&#10;‘It is an unusual employment environment. Hours are undefined. Travel to and from Canberra in own time impacts on family and personal life’.  &#10;‘The pace and hours worked have a big impact on mental health of many employees but is not acknowledged by leadership and goes unreported’.&#10;Staffing allocation&#10;‘Fair Work Commission or other body to determine staff allocation not the PM who can politicise and weaponise the decision. I am employed as EO staff part -time (due to cuts to parliamentary staff) but do parliamentary advisory work. Despite being only 3 days (due to limited resources) I effectively work full time or more. Already I am on less than half the salary I was on in my corporate career and the work load on part time means I am a victim of severe wage theft. I am overworked, exhausted and it's impacting on my mental and physical health and that of my family….The work doesn't go away. We have a duty to our electorate to serve them and represent them to the standard expected and which they deserve….’&#10; ‘It's too restrictive on the structure of the office. Staffing/office levels only take into account geographic area, not workload/population’.&#10;‘Independent offices don’t have the resources of government and shadow ministry, they need the right staffing allocation to understand and influence the decisions that affect their communities’.  &#10;"/>
      </w:tblPr>
      <w:tblGrid>
        <w:gridCol w:w="4678"/>
        <w:gridCol w:w="4961"/>
      </w:tblGrid>
      <w:tr w:rsidR="00CF2DB5" w:rsidRPr="004E6641" w14:paraId="5C72BDF8" w14:textId="77777777" w:rsidTr="00DD2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bottom w:val="none" w:sz="0" w:space="0" w:color="auto"/>
              <w:right w:val="single" w:sz="4" w:space="0" w:color="FFFFFF" w:themeColor="background1"/>
            </w:tcBorders>
            <w:shd w:val="clear" w:color="auto" w:fill="1B375C" w:themeFill="accent1"/>
          </w:tcPr>
          <w:p w14:paraId="30CB25E5" w14:textId="77777777" w:rsidR="00CF2DB5" w:rsidRPr="00DD2B36" w:rsidRDefault="00CF2DB5" w:rsidP="00CF2DB5">
            <w:pPr>
              <w:pStyle w:val="BodyText"/>
              <w:rPr>
                <w:color w:val="FFFFFF" w:themeColor="background1"/>
                <w:sz w:val="22"/>
              </w:rPr>
            </w:pPr>
            <w:r w:rsidRPr="00DD2B36">
              <w:rPr>
                <w:color w:val="FFFFFF" w:themeColor="background1"/>
                <w:sz w:val="22"/>
              </w:rPr>
              <w:t>Workload</w:t>
            </w:r>
          </w:p>
        </w:tc>
        <w:tc>
          <w:tcPr>
            <w:tcW w:w="4961" w:type="dxa"/>
            <w:tcBorders>
              <w:left w:val="single" w:sz="4" w:space="0" w:color="FFFFFF" w:themeColor="background1"/>
            </w:tcBorders>
            <w:shd w:val="clear" w:color="auto" w:fill="1B375C" w:themeFill="accent1"/>
          </w:tcPr>
          <w:p w14:paraId="7C7981BA" w14:textId="77777777" w:rsidR="00CF2DB5" w:rsidRPr="00F9053D" w:rsidRDefault="00CF2DB5" w:rsidP="00CF2DB5">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F9053D">
              <w:rPr>
                <w:color w:val="FFFFFF" w:themeColor="background1"/>
                <w:sz w:val="22"/>
              </w:rPr>
              <w:t>Staffing allocation</w:t>
            </w:r>
          </w:p>
        </w:tc>
      </w:tr>
      <w:tr w:rsidR="00CF2DB5" w:rsidRPr="004C2FBF" w14:paraId="0F55BEC3" w14:textId="77777777" w:rsidTr="0081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bottom w:val="none" w:sz="0" w:space="0" w:color="auto"/>
              <w:right w:val="single" w:sz="4" w:space="0" w:color="FFFFFF" w:themeColor="background1"/>
            </w:tcBorders>
            <w:shd w:val="clear" w:color="auto" w:fill="F2F2F2" w:themeFill="background1" w:themeFillShade="F2"/>
          </w:tcPr>
          <w:p w14:paraId="38EEC79C" w14:textId="2F6407C6" w:rsidR="00CF2DB5" w:rsidRPr="004C2FBF" w:rsidRDefault="00CF2DB5" w:rsidP="00CF2DB5">
            <w:pPr>
              <w:pStyle w:val="BodyText"/>
              <w:rPr>
                <w:b w:val="0"/>
                <w:i/>
              </w:rPr>
            </w:pPr>
            <w:r w:rsidRPr="004C2FBF">
              <w:rPr>
                <w:b w:val="0"/>
                <w:i/>
              </w:rPr>
              <w:t>‘Workload of staff is extraordinary’</w:t>
            </w:r>
            <w:r w:rsidR="007113FC">
              <w:rPr>
                <w:b w:val="0"/>
                <w:i/>
              </w:rPr>
              <w:t>.</w:t>
            </w:r>
          </w:p>
          <w:p w14:paraId="3B6C7075" w14:textId="77777777" w:rsidR="00CF2DB5" w:rsidRPr="004C2FBF" w:rsidRDefault="00CF2DB5" w:rsidP="00CF2DB5">
            <w:pPr>
              <w:pStyle w:val="BodyText"/>
              <w:rPr>
                <w:b w:val="0"/>
                <w:i/>
              </w:rPr>
            </w:pPr>
            <w:r w:rsidRPr="004C2FBF">
              <w:rPr>
                <w:b w:val="0"/>
                <w:i/>
              </w:rPr>
              <w:t>‘The amount of overwork in our new office is ridiculous. With limited parliamentary staff the electorate office is suffering badly as electorate positions are being used for parliamentary roles. This has greatly impacted the lives of employees and the workload is not within reasonable expectations’. [combined with recruitment concerns] Both these factors are risks to the health safety and wellbeing of everyone in our office’.</w:t>
            </w:r>
          </w:p>
          <w:p w14:paraId="4A23089A" w14:textId="227DD615" w:rsidR="00CF2DB5" w:rsidRPr="004C2FBF" w:rsidRDefault="00CF2DB5" w:rsidP="00CF2DB5">
            <w:pPr>
              <w:pStyle w:val="BodyText"/>
              <w:rPr>
                <w:b w:val="0"/>
                <w:i/>
              </w:rPr>
            </w:pPr>
            <w:r>
              <w:rPr>
                <w:b w:val="0"/>
                <w:i/>
              </w:rPr>
              <w:t>‘</w:t>
            </w:r>
            <w:r w:rsidRPr="004C2FBF">
              <w:rPr>
                <w:b w:val="0"/>
                <w:i/>
              </w:rPr>
              <w:t>It is an unusual employment environment. Hours are undefined. Travel to and from Canberra in own time impac</w:t>
            </w:r>
            <w:r w:rsidR="007113FC">
              <w:rPr>
                <w:b w:val="0"/>
                <w:i/>
              </w:rPr>
              <w:t>ts on family and personal life</w:t>
            </w:r>
            <w:r>
              <w:rPr>
                <w:b w:val="0"/>
                <w:i/>
              </w:rPr>
              <w:t>’</w:t>
            </w:r>
            <w:r w:rsidR="007113FC">
              <w:rPr>
                <w:b w:val="0"/>
                <w:i/>
              </w:rPr>
              <w:t>.</w:t>
            </w:r>
            <w:r w:rsidRPr="004C2FBF">
              <w:rPr>
                <w:b w:val="0"/>
                <w:i/>
              </w:rPr>
              <w:t xml:space="preserve">  </w:t>
            </w:r>
          </w:p>
          <w:p w14:paraId="57CF262E" w14:textId="4F771433" w:rsidR="00CF2DB5" w:rsidRPr="004C2FBF" w:rsidRDefault="00CF2DB5" w:rsidP="00CF2DB5">
            <w:pPr>
              <w:pStyle w:val="BodyText"/>
              <w:rPr>
                <w:b w:val="0"/>
                <w:i/>
              </w:rPr>
            </w:pPr>
            <w:r w:rsidRPr="000A7C37">
              <w:rPr>
                <w:b w:val="0"/>
                <w:i/>
              </w:rPr>
              <w:t>‘The pace and hours worked have a big impact on mental health of many employees but is not acknowledged by leadership and goes unreported’</w:t>
            </w:r>
            <w:r w:rsidR="007113FC">
              <w:rPr>
                <w:b w:val="0"/>
                <w:i/>
              </w:rPr>
              <w:t>.</w:t>
            </w:r>
          </w:p>
        </w:tc>
        <w:tc>
          <w:tcPr>
            <w:tcW w:w="4961" w:type="dxa"/>
            <w:tcBorders>
              <w:top w:val="none" w:sz="0" w:space="0" w:color="auto"/>
              <w:left w:val="single" w:sz="4" w:space="0" w:color="FFFFFF" w:themeColor="background1"/>
              <w:bottom w:val="none" w:sz="0" w:space="0" w:color="auto"/>
              <w:right w:val="nil"/>
            </w:tcBorders>
            <w:shd w:val="clear" w:color="auto" w:fill="F2F2F2" w:themeFill="background1" w:themeFillShade="F2"/>
          </w:tcPr>
          <w:p w14:paraId="40F89CF6" w14:textId="77777777"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‘Fair Work Commission or other body to determine staff allocation not the PM who can politicise and weaponise the decision. I am employed as EO staff part -time (due to cuts to parliamentary staff) but do parliamentary advisory work. Despite being only 3 days (due to limited resources) I effectively work full time or more. Already I am on less than half the salary I was on in my corporate career and the work load on part time means I am a victim of severe wage theft. I am overworked, exhausted and it's impacting on my mental and physical health and that of my family….The work doesn't go away. We have a duty to our electorate to serve them and represent them to the standard expected and which they deserve….’</w:t>
            </w:r>
          </w:p>
          <w:p w14:paraId="1CAA5293" w14:textId="17D264E0"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sidDel="007F027B">
              <w:rPr>
                <w:i/>
              </w:rPr>
              <w:t xml:space="preserve"> </w:t>
            </w:r>
            <w:r w:rsidRPr="00815C78">
              <w:rPr>
                <w:i/>
              </w:rPr>
              <w:t>‘It's too restrictive on the structure of the office. Staffing/office levels only take into account geographic area, not workload/population’</w:t>
            </w:r>
            <w:r w:rsidR="007113FC">
              <w:rPr>
                <w:i/>
              </w:rPr>
              <w:t>.</w:t>
            </w:r>
          </w:p>
          <w:p w14:paraId="4D2E96A3" w14:textId="77777777" w:rsidR="00CF2DB5" w:rsidRPr="004C2FBF"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 xml:space="preserve">‘Independent offices don’t have the resources of government and shadow ministry, they need the right staffing allocation to understand and influence the decisions that affect their communities’.  </w:t>
            </w:r>
          </w:p>
        </w:tc>
      </w:tr>
    </w:tbl>
    <w:p w14:paraId="3115F8CD" w14:textId="77777777" w:rsidR="00DD2B36" w:rsidRPr="003A5077" w:rsidRDefault="00DD2B36">
      <w:pPr>
        <w:rPr>
          <w:sz w:val="4"/>
          <w:szCs w:val="4"/>
        </w:rPr>
      </w:pPr>
    </w:p>
    <w:tbl>
      <w:tblPr>
        <w:tblStyle w:val="PlainTable2"/>
        <w:tblW w:w="9639" w:type="dxa"/>
        <w:tblBorders>
          <w:insideH w:val="single" w:sz="4" w:space="0" w:color="7F7F7F" w:themeColor="text1" w:themeTint="80"/>
          <w:insideV w:val="single" w:sz="4" w:space="0" w:color="auto"/>
        </w:tblBorders>
        <w:tblLook w:val="04A0" w:firstRow="1" w:lastRow="0" w:firstColumn="1" w:lastColumn="0" w:noHBand="0" w:noVBand="1"/>
        <w:tblDescription w:val="Resources&#10;‘Electorate offices are under-resourced. Electorates have grown in size, but resourcing has not. The demands placed on staff are unreasonable. Feel burnt out all over again just thinking about it. I'm now paid more, and with a better work life balance. Better standards, position descriptions, performance appraisal and training would all make a positive difference. But the underlying unrealistic workload demands placed on staff means the system will remain inherently broken’.&#10;‘It's an all hands on deck role, more like being in a tech start-up than a public service role. The resources are very limited for the amount of work that needs to be done’.&#10;‘It would be good if a location allowance was available to staff who work in offices that are in regional and remote locations (like government department staff get). Some of us work in regional and remote areas where the cost of living is so high that we cannot survive on an EO wage alone (again making recruiting hard which results in existing staff members covering for the vacancy and getting burnt out). The region I work in people can get a cleaning or truck driving job for double what I get paid, and without having anyone yelling and abusing them on a daily’.&#10;Coordinated approach&#10;‘The Department has to stop thinking about parliamentary offices like they're a bunch of fish and chip shops owned and operated by their MP or Senator. Parliamentary offices are not small businesses. We work for the Commonwealth of Australia. The Commonwealth of Australia should protect us’.&#10;‘There should be a procedure which each office follows to ensure that, in the event the MP changes, that the constituents aren’t impacted negatively. There was no post-election handover’.&#10;‘There is too much discretion for parliamentarians when it comes to how their office is run’. &#10;‘All offices run differently. A cohesive office runs from the top down’.&#10;‘In my experience each politician's office operates as a silo and the individual employee's experience, good or bad, is entirely reliant on how well run their office is’.&#10;‘I think there needs to be more oversight from others not within the political office. I feel that unless enforced, the framework is not abided by or promoted to employees by the senator/minister or chief of staff’.&#10;‘The whole experience lacked accountability and coordination’.&#10;&#10;"/>
      </w:tblPr>
      <w:tblGrid>
        <w:gridCol w:w="4678"/>
        <w:gridCol w:w="4961"/>
      </w:tblGrid>
      <w:tr w:rsidR="00CF2DB5" w:rsidRPr="00690F61" w14:paraId="224CB3D8" w14:textId="77777777" w:rsidTr="00DD2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FFFFFF" w:themeColor="background1"/>
            </w:tcBorders>
            <w:shd w:val="clear" w:color="auto" w:fill="1B375C" w:themeFill="accent1"/>
          </w:tcPr>
          <w:p w14:paraId="6784069E" w14:textId="77777777" w:rsidR="00CF2DB5" w:rsidRPr="00DD2B36" w:rsidRDefault="00CF2DB5" w:rsidP="00CF2DB5">
            <w:pPr>
              <w:pStyle w:val="BodyText"/>
              <w:rPr>
                <w:color w:val="FFFFFF" w:themeColor="background1"/>
                <w:sz w:val="22"/>
              </w:rPr>
            </w:pPr>
            <w:r w:rsidRPr="00DD2B36">
              <w:rPr>
                <w:color w:val="FFFFFF" w:themeColor="background1"/>
                <w:sz w:val="22"/>
              </w:rPr>
              <w:t>Resources</w:t>
            </w:r>
          </w:p>
        </w:tc>
        <w:tc>
          <w:tcPr>
            <w:tcW w:w="4961" w:type="dxa"/>
            <w:tcBorders>
              <w:left w:val="single" w:sz="4" w:space="0" w:color="FFFFFF" w:themeColor="background1"/>
            </w:tcBorders>
            <w:shd w:val="clear" w:color="auto" w:fill="1B375C" w:themeFill="accent1"/>
          </w:tcPr>
          <w:p w14:paraId="4EFEDC0D" w14:textId="77777777" w:rsidR="00CF2DB5" w:rsidRPr="004810C9" w:rsidRDefault="00CF2DB5" w:rsidP="00CF2DB5">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4810C9">
              <w:rPr>
                <w:color w:val="FFFFFF" w:themeColor="background1"/>
                <w:sz w:val="22"/>
              </w:rPr>
              <w:t>Coordinated approach</w:t>
            </w:r>
          </w:p>
        </w:tc>
      </w:tr>
      <w:tr w:rsidR="00CF2DB5" w:rsidRPr="00690F61" w14:paraId="6BD9D43F" w14:textId="77777777" w:rsidTr="0081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bottom w:val="none" w:sz="0" w:space="0" w:color="auto"/>
              <w:right w:val="single" w:sz="4" w:space="0" w:color="FFFFFF" w:themeColor="background1"/>
            </w:tcBorders>
            <w:shd w:val="clear" w:color="auto" w:fill="F2F2F2" w:themeFill="background1" w:themeFillShade="F2"/>
          </w:tcPr>
          <w:p w14:paraId="739C2621" w14:textId="77C83B07" w:rsidR="00CF2DB5" w:rsidRPr="00815C78" w:rsidRDefault="00CF2DB5" w:rsidP="00CF2DB5">
            <w:pPr>
              <w:pStyle w:val="BodyText"/>
              <w:rPr>
                <w:rFonts w:eastAsia="Times New Roman" w:cstheme="minorHAnsi"/>
                <w:b w:val="0"/>
                <w:i/>
                <w:lang w:eastAsia="en-AU"/>
              </w:rPr>
            </w:pPr>
            <w:r>
              <w:rPr>
                <w:b w:val="0"/>
                <w:i/>
              </w:rPr>
              <w:t>‘</w:t>
            </w:r>
            <w:r w:rsidRPr="00815C78">
              <w:rPr>
                <w:b w:val="0"/>
                <w:i/>
              </w:rPr>
              <w:t xml:space="preserve">Electorate offices are under-resourced. Electorates have grown in size, but resourcing has not. </w:t>
            </w:r>
            <w:r w:rsidRPr="00815C78">
              <w:rPr>
                <w:rFonts w:eastAsia="Times New Roman" w:cstheme="minorHAnsi"/>
                <w:b w:val="0"/>
                <w:i/>
                <w:lang w:eastAsia="en-AU"/>
              </w:rPr>
              <w:t>The demands placed on staff are unreasonable. Feel burnt out all over again just thinking about it. I'm now paid more, and with a better work life balance. Better standards, position descriptions, performance appraisal and training would all make a positive difference. But the underlying unrealistic workload demands placed on staff means the system will remain inherently broken’</w:t>
            </w:r>
            <w:r w:rsidR="007113FC">
              <w:rPr>
                <w:rFonts w:eastAsia="Times New Roman" w:cstheme="minorHAnsi"/>
                <w:b w:val="0"/>
                <w:i/>
                <w:lang w:eastAsia="en-AU"/>
              </w:rPr>
              <w:t>.</w:t>
            </w:r>
          </w:p>
          <w:p w14:paraId="486FB6D3" w14:textId="73FB245C" w:rsidR="00CF2DB5" w:rsidRPr="00815C78" w:rsidRDefault="00CF2DB5" w:rsidP="00CF2DB5">
            <w:pPr>
              <w:pStyle w:val="BodyText"/>
              <w:rPr>
                <w:b w:val="0"/>
                <w:i/>
              </w:rPr>
            </w:pPr>
            <w:r w:rsidRPr="00815C78">
              <w:rPr>
                <w:b w:val="0"/>
                <w:i/>
              </w:rPr>
              <w:t xml:space="preserve">‘It's an all hands on deck role, more like being in a tech </w:t>
            </w:r>
            <w:r w:rsidR="00A7045A" w:rsidRPr="00F537F0">
              <w:rPr>
                <w:b w:val="0"/>
                <w:i/>
              </w:rPr>
              <w:t>start-up</w:t>
            </w:r>
            <w:r w:rsidRPr="00815C78">
              <w:rPr>
                <w:b w:val="0"/>
                <w:i/>
              </w:rPr>
              <w:t xml:space="preserve"> than a public service role. The resources are very limited for the amount of work that needs to be done’</w:t>
            </w:r>
            <w:r w:rsidR="007113FC">
              <w:rPr>
                <w:b w:val="0"/>
                <w:i/>
              </w:rPr>
              <w:t>.</w:t>
            </w:r>
          </w:p>
          <w:p w14:paraId="00C599CB" w14:textId="60510445" w:rsidR="00CF2DB5" w:rsidRPr="00690F61" w:rsidRDefault="00CF2DB5" w:rsidP="007113FC">
            <w:pPr>
              <w:pStyle w:val="BodyText"/>
              <w:rPr>
                <w:b w:val="0"/>
                <w:i/>
              </w:rPr>
            </w:pPr>
            <w:r w:rsidRPr="00815C78">
              <w:rPr>
                <w:b w:val="0"/>
                <w:i/>
              </w:rPr>
              <w:t>‘It would be good if a location allowance was available to staff who work in offices that are in regional and remote locations (like government department staff get). Some of us work in regional and remote areas where the cost of living is so high that we cannot survive on an EO wage alone (again making recruiting hard which results in existing staff members covering for the vacancy and getting burnt out). The region I work in people can get a cleaning or truck driving job for double what I get paid, and without having anyone yelling and abusing them on a daily’</w:t>
            </w:r>
            <w:r w:rsidR="007113FC">
              <w:rPr>
                <w:b w:val="0"/>
                <w:i/>
              </w:rPr>
              <w:t>.</w:t>
            </w:r>
          </w:p>
        </w:tc>
        <w:tc>
          <w:tcPr>
            <w:tcW w:w="4961" w:type="dxa"/>
            <w:tcBorders>
              <w:top w:val="none" w:sz="0" w:space="0" w:color="auto"/>
              <w:left w:val="single" w:sz="4" w:space="0" w:color="FFFFFF" w:themeColor="background1"/>
              <w:bottom w:val="none" w:sz="0" w:space="0" w:color="auto"/>
            </w:tcBorders>
            <w:shd w:val="clear" w:color="auto" w:fill="F2F2F2" w:themeFill="background1" w:themeFillShade="F2"/>
          </w:tcPr>
          <w:p w14:paraId="37A9ABC1" w14:textId="4FABAA7F"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‘The Department has to stop thinking about parliamentary offices like they're a bunch of fish and chip shops owned and operated by their MP or Senator. Parliamentary offices are not small businesses. We work for the Commonwealth of Australia. The Commonwealth of Australia should protect us</w:t>
            </w:r>
            <w:r w:rsidR="007113FC">
              <w:rPr>
                <w:i/>
              </w:rPr>
              <w:t>’</w:t>
            </w:r>
            <w:r w:rsidRPr="00815C78">
              <w:rPr>
                <w:i/>
              </w:rPr>
              <w:t>.</w:t>
            </w:r>
          </w:p>
          <w:p w14:paraId="32F3AAC9" w14:textId="5A3F5FB1" w:rsidR="00C7246F" w:rsidRPr="00815C78" w:rsidRDefault="00C7246F" w:rsidP="00CF2DB5">
            <w:pPr>
              <w:pStyle w:val="BodyText"/>
              <w:cnfStyle w:val="000000100000" w:firstRow="0" w:lastRow="0" w:firstColumn="0" w:lastColumn="0" w:oddVBand="0" w:evenVBand="0" w:oddHBand="1" w:evenHBand="0" w:firstRowFirstColumn="0" w:firstRowLastColumn="0" w:lastRowFirstColumn="0" w:lastRowLastColumn="0"/>
              <w:rPr>
                <w:i/>
              </w:rPr>
            </w:pPr>
            <w:r>
              <w:rPr>
                <w:i/>
              </w:rPr>
              <w:t>‘There should be a procedure which each office follows to ensure that, in the event the MP changes, that the constituents aren’t impacted negatively. There was no post-election handover’.</w:t>
            </w:r>
          </w:p>
          <w:p w14:paraId="032EEEFF" w14:textId="08F89F1B"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‘There is too much discretion for parliamentarians when it comes to how their office is run’</w:t>
            </w:r>
            <w:r w:rsidR="007113FC">
              <w:rPr>
                <w:i/>
              </w:rPr>
              <w:t>.</w:t>
            </w:r>
            <w:r w:rsidRPr="00815C78">
              <w:rPr>
                <w:i/>
              </w:rPr>
              <w:t xml:space="preserve"> </w:t>
            </w:r>
          </w:p>
          <w:p w14:paraId="3A937073" w14:textId="77777777"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‘All offices run differently. A cohesive office runs from the top down’.</w:t>
            </w:r>
          </w:p>
          <w:p w14:paraId="454DAE04" w14:textId="471B12AE"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‘In my experience each politician's office operates as a silo and the individual employee's experience, good or bad, is entirely reliant on how well run their office is</w:t>
            </w:r>
            <w:r w:rsidR="007113FC">
              <w:rPr>
                <w:i/>
              </w:rPr>
              <w:t>’.</w:t>
            </w:r>
          </w:p>
          <w:p w14:paraId="5019AFCF" w14:textId="1054F7B4" w:rsidR="00CF2DB5" w:rsidRPr="00815C78"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‘I think there needs to be more oversight from others not within the political office. I feel that unless enforced, the framework is not abided by or promoted to employees by the senator/minister or chief of staff</w:t>
            </w:r>
            <w:r w:rsidR="007113FC">
              <w:rPr>
                <w:i/>
              </w:rPr>
              <w:t>’</w:t>
            </w:r>
            <w:r w:rsidRPr="00815C78">
              <w:rPr>
                <w:i/>
              </w:rPr>
              <w:t>.</w:t>
            </w:r>
          </w:p>
          <w:p w14:paraId="3912E427" w14:textId="77777777" w:rsidR="00CF2DB5"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‘The whole experience lacked accountability and coordination’.</w:t>
            </w:r>
          </w:p>
          <w:p w14:paraId="047A88AC" w14:textId="14E9E934" w:rsidR="00815C78" w:rsidRPr="00690F61" w:rsidRDefault="00815C78" w:rsidP="00CF2DB5">
            <w:pPr>
              <w:pStyle w:val="BodyText"/>
              <w:cnfStyle w:val="000000100000" w:firstRow="0" w:lastRow="0" w:firstColumn="0" w:lastColumn="0" w:oddVBand="0" w:evenVBand="0" w:oddHBand="1" w:evenHBand="0" w:firstRowFirstColumn="0" w:firstRowLastColumn="0" w:lastRowFirstColumn="0" w:lastRowLastColumn="0"/>
              <w:rPr>
                <w:i/>
              </w:rPr>
            </w:pPr>
          </w:p>
        </w:tc>
      </w:tr>
    </w:tbl>
    <w:p w14:paraId="675C0F01" w14:textId="77777777" w:rsidR="00DD2B36" w:rsidRPr="003A5077" w:rsidRDefault="00DD2B36">
      <w:pPr>
        <w:rPr>
          <w:sz w:val="4"/>
          <w:szCs w:val="4"/>
        </w:rPr>
      </w:pPr>
    </w:p>
    <w:tbl>
      <w:tblPr>
        <w:tblStyle w:val="PlainTable2"/>
        <w:tblW w:w="9639" w:type="dxa"/>
        <w:tblBorders>
          <w:insideH w:val="single" w:sz="4" w:space="0" w:color="7F7F7F" w:themeColor="text1" w:themeTint="80"/>
          <w:insideV w:val="single" w:sz="4" w:space="0" w:color="auto"/>
        </w:tblBorders>
        <w:tblLook w:val="04A0" w:firstRow="1" w:lastRow="0" w:firstColumn="1" w:lastColumn="0" w:noHBand="0" w:noVBand="1"/>
        <w:tblDescription w:val="Lack of support&#10;‘Fix the departments and the system, including its governance and management and you’ll fix all of the problems we have recently seen.’&#10;‘As for HR, everything from the unfriendly software to the failure to respond to request for advice or assistance, I came to see them as Human Resistance’.&#10;Call to review&#10;‘An independent review would also enable consideration of the complexity of constituent matters received in each MP’s office to inform pay scales and staffing levels’.&#10;"/>
      </w:tblPr>
      <w:tblGrid>
        <w:gridCol w:w="4678"/>
        <w:gridCol w:w="4961"/>
      </w:tblGrid>
      <w:tr w:rsidR="00CF2DB5" w:rsidRPr="000A7C37" w14:paraId="142E602C" w14:textId="77777777" w:rsidTr="00DD2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FFFFFF" w:themeColor="background1"/>
            </w:tcBorders>
            <w:shd w:val="clear" w:color="auto" w:fill="1B375C" w:themeFill="accent1"/>
          </w:tcPr>
          <w:p w14:paraId="1EB063B5" w14:textId="77777777" w:rsidR="00CF2DB5" w:rsidRPr="00DD2B36" w:rsidRDefault="00CF2DB5" w:rsidP="00CF2DB5">
            <w:pPr>
              <w:pStyle w:val="BodyText"/>
              <w:rPr>
                <w:color w:val="FFFFFF" w:themeColor="background1"/>
                <w:sz w:val="22"/>
                <w:szCs w:val="22"/>
              </w:rPr>
            </w:pPr>
            <w:r w:rsidRPr="00DD2B36">
              <w:rPr>
                <w:color w:val="FFFFFF" w:themeColor="background1"/>
                <w:sz w:val="22"/>
                <w:szCs w:val="22"/>
              </w:rPr>
              <w:t>Lack of support</w:t>
            </w:r>
          </w:p>
        </w:tc>
        <w:tc>
          <w:tcPr>
            <w:tcW w:w="4961" w:type="dxa"/>
            <w:tcBorders>
              <w:left w:val="single" w:sz="4" w:space="0" w:color="FFFFFF" w:themeColor="background1"/>
            </w:tcBorders>
            <w:shd w:val="clear" w:color="auto" w:fill="1B375C" w:themeFill="accent1"/>
          </w:tcPr>
          <w:p w14:paraId="6FEDE31A" w14:textId="77777777" w:rsidR="00CF2DB5" w:rsidRPr="004810C9" w:rsidRDefault="00CF2DB5" w:rsidP="00CF2DB5">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2B36">
              <w:rPr>
                <w:color w:val="FFFFFF" w:themeColor="background1"/>
                <w:sz w:val="22"/>
              </w:rPr>
              <w:t>Call to review</w:t>
            </w:r>
          </w:p>
        </w:tc>
      </w:tr>
      <w:tr w:rsidR="00CF2DB5" w:rsidRPr="000A7C37" w14:paraId="7754E6F7" w14:textId="77777777" w:rsidTr="0081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bottom w:val="none" w:sz="0" w:space="0" w:color="auto"/>
              <w:right w:val="single" w:sz="4" w:space="0" w:color="FFFFFF" w:themeColor="background1"/>
            </w:tcBorders>
            <w:shd w:val="clear" w:color="auto" w:fill="F2F2F2" w:themeFill="background1" w:themeFillShade="F2"/>
          </w:tcPr>
          <w:p w14:paraId="522C380C" w14:textId="4631381C" w:rsidR="00CF2DB5" w:rsidRPr="00815C78" w:rsidRDefault="00CF2DB5" w:rsidP="00CF2DB5">
            <w:pPr>
              <w:pStyle w:val="BodyText"/>
              <w:rPr>
                <w:b w:val="0"/>
                <w:i/>
              </w:rPr>
            </w:pPr>
            <w:r w:rsidRPr="00815C78">
              <w:rPr>
                <w:b w:val="0"/>
                <w:i/>
              </w:rPr>
              <w:t>‘Fix the departments and the system, including its governance and management and you’ll fix all of the problems we have recently seen</w:t>
            </w:r>
            <w:r w:rsidR="007113FC">
              <w:rPr>
                <w:b w:val="0"/>
                <w:i/>
              </w:rPr>
              <w:t>.</w:t>
            </w:r>
            <w:r w:rsidRPr="00815C78">
              <w:rPr>
                <w:b w:val="0"/>
                <w:i/>
              </w:rPr>
              <w:t>’</w:t>
            </w:r>
          </w:p>
          <w:p w14:paraId="056F09D1" w14:textId="601C6699" w:rsidR="00CF2DB5" w:rsidRPr="00AC078A" w:rsidRDefault="00CF2DB5" w:rsidP="00CF2DB5">
            <w:pPr>
              <w:pStyle w:val="BodyText"/>
              <w:rPr>
                <w:i/>
              </w:rPr>
            </w:pPr>
            <w:r w:rsidRPr="00815C78">
              <w:rPr>
                <w:b w:val="0"/>
                <w:i/>
              </w:rPr>
              <w:t>‘As for HR, everything from the unfriendly software to the failure to respond to request for advice or assistance, I came to see them as Hu</w:t>
            </w:r>
            <w:r w:rsidR="007113FC">
              <w:rPr>
                <w:b w:val="0"/>
                <w:i/>
              </w:rPr>
              <w:t>man Resistance</w:t>
            </w:r>
            <w:r w:rsidRPr="00815C78">
              <w:rPr>
                <w:b w:val="0"/>
                <w:i/>
              </w:rPr>
              <w:t>’</w:t>
            </w:r>
            <w:r w:rsidR="007113FC">
              <w:rPr>
                <w:b w:val="0"/>
                <w:i/>
              </w:rPr>
              <w:t>.</w:t>
            </w:r>
          </w:p>
        </w:tc>
        <w:tc>
          <w:tcPr>
            <w:tcW w:w="4961" w:type="dxa"/>
            <w:tcBorders>
              <w:top w:val="none" w:sz="0" w:space="0" w:color="auto"/>
              <w:left w:val="single" w:sz="4" w:space="0" w:color="FFFFFF" w:themeColor="background1"/>
              <w:bottom w:val="none" w:sz="0" w:space="0" w:color="auto"/>
            </w:tcBorders>
            <w:shd w:val="clear" w:color="auto" w:fill="F2F2F2" w:themeFill="background1" w:themeFillShade="F2"/>
          </w:tcPr>
          <w:p w14:paraId="0FD84828" w14:textId="7F5C8955" w:rsidR="00CF2DB5" w:rsidRPr="000A7C37" w:rsidRDefault="00CF2DB5" w:rsidP="00CF2DB5">
            <w:pPr>
              <w:pStyle w:val="BodyText"/>
              <w:cnfStyle w:val="000000100000" w:firstRow="0" w:lastRow="0" w:firstColumn="0" w:lastColumn="0" w:oddVBand="0" w:evenVBand="0" w:oddHBand="1" w:evenHBand="0" w:firstRowFirstColumn="0" w:firstRowLastColumn="0" w:lastRowFirstColumn="0" w:lastRowLastColumn="0"/>
              <w:rPr>
                <w:i/>
              </w:rPr>
            </w:pPr>
            <w:r w:rsidRPr="00815C78">
              <w:rPr>
                <w:i/>
              </w:rPr>
              <w:t>‘An independent review would also enable consideration of the complexity of constituent matters received in each MP’s office to inform pay scales and staffing levels’.</w:t>
            </w:r>
          </w:p>
        </w:tc>
      </w:tr>
    </w:tbl>
    <w:p w14:paraId="2609AAE4" w14:textId="4F0CB7D9" w:rsidR="00CF2DB5" w:rsidRDefault="00CF2DB5" w:rsidP="00521CEA"/>
    <w:p w14:paraId="35F5D2B4" w14:textId="2DB733F2" w:rsidR="00CF2DB5" w:rsidRDefault="00CF2DB5" w:rsidP="00051BDA">
      <w:pPr>
        <w:pStyle w:val="Heading4"/>
      </w:pPr>
      <w:r>
        <w:t>What we heard about workload pressures</w:t>
      </w:r>
    </w:p>
    <w:p w14:paraId="01F91671" w14:textId="77777777" w:rsidR="00521CEA" w:rsidRDefault="00521CEA" w:rsidP="00521CEA">
      <w:r>
        <w:t>Contributors to the Review identified a number of ca</w:t>
      </w:r>
      <w:r w:rsidR="00B97033">
        <w:t xml:space="preserve">uses of workload pressures. </w:t>
      </w:r>
    </w:p>
    <w:p w14:paraId="4BDE9A62" w14:textId="77777777" w:rsidR="0061372D" w:rsidRDefault="0061372D" w:rsidP="0061372D">
      <w:pPr>
        <w:rPr>
          <w:i/>
        </w:rPr>
      </w:pPr>
      <w:r w:rsidRPr="00563981">
        <w:rPr>
          <w:i/>
        </w:rPr>
        <w:t>Work</w:t>
      </w:r>
      <w:r>
        <w:rPr>
          <w:i/>
        </w:rPr>
        <w:t xml:space="preserve"> hours</w:t>
      </w:r>
      <w:r w:rsidRPr="00563981">
        <w:rPr>
          <w:i/>
        </w:rPr>
        <w:t xml:space="preserve"> </w:t>
      </w:r>
    </w:p>
    <w:p w14:paraId="35D58E52" w14:textId="77777777" w:rsidR="0061372D" w:rsidRPr="00281E0F" w:rsidRDefault="0061372D" w:rsidP="0061372D">
      <w:pPr>
        <w:rPr>
          <w:b/>
        </w:rPr>
      </w:pPr>
      <w:r>
        <w:t xml:space="preserve">The Review heard, as did </w:t>
      </w:r>
      <w:r>
        <w:rPr>
          <w:i/>
        </w:rPr>
        <w:t>Set the Standard</w:t>
      </w:r>
      <w:r>
        <w:t>, about unreasonable work hours</w:t>
      </w:r>
      <w:r w:rsidR="00B63169">
        <w:t>,</w:t>
      </w:r>
      <w:r>
        <w:t xml:space="preserve"> </w:t>
      </w:r>
      <w:r w:rsidR="005E4F5A">
        <w:t>manifesting in</w:t>
      </w:r>
      <w:r>
        <w:t xml:space="preserve">: </w:t>
      </w:r>
    </w:p>
    <w:p w14:paraId="5CC1A120" w14:textId="77777777" w:rsidR="0061372D" w:rsidRDefault="0061372D" w:rsidP="0061372D">
      <w:pPr>
        <w:pStyle w:val="BulletedList-Level1"/>
      </w:pPr>
      <w:r>
        <w:t xml:space="preserve">many employees working well in excess of the required 38 hours per week </w:t>
      </w:r>
    </w:p>
    <w:p w14:paraId="0B4F3174" w14:textId="53FC4BC8" w:rsidR="0061372D" w:rsidRDefault="0061372D" w:rsidP="0061372D">
      <w:pPr>
        <w:pStyle w:val="BulletedList-Level1"/>
      </w:pPr>
      <w:r>
        <w:t xml:space="preserve">some part-time employees </w:t>
      </w:r>
      <w:r w:rsidR="007A13BF">
        <w:t>fe</w:t>
      </w:r>
      <w:r w:rsidR="005E4F5A">
        <w:t xml:space="preserve">eling </w:t>
      </w:r>
      <w:r w:rsidR="007A13BF">
        <w:t xml:space="preserve">they were </w:t>
      </w:r>
      <w:r>
        <w:t>required to undertake a full-time workload</w:t>
      </w:r>
    </w:p>
    <w:p w14:paraId="7828E709" w14:textId="77777777" w:rsidR="0061372D" w:rsidRDefault="0061372D" w:rsidP="0061372D">
      <w:pPr>
        <w:pStyle w:val="BulletedList-Level1"/>
      </w:pPr>
      <w:r>
        <w:t>in</w:t>
      </w:r>
      <w:r w:rsidRPr="0061372D">
        <w:t>adequate</w:t>
      </w:r>
      <w:r>
        <w:t xml:space="preserve"> compensation for additional hours worked</w:t>
      </w:r>
    </w:p>
    <w:p w14:paraId="54343170" w14:textId="77777777" w:rsidR="0061372D" w:rsidRPr="0061372D" w:rsidRDefault="0061372D" w:rsidP="0061372D">
      <w:pPr>
        <w:pStyle w:val="BulletedList-Level1"/>
      </w:pPr>
      <w:r>
        <w:t>allowances for ‘reaso</w:t>
      </w:r>
      <w:r w:rsidRPr="0061372D">
        <w:t xml:space="preserve">nable additional hours’ not </w:t>
      </w:r>
      <w:r w:rsidR="005E4F5A">
        <w:t xml:space="preserve">being </w:t>
      </w:r>
      <w:r w:rsidRPr="0061372D">
        <w:t>applied</w:t>
      </w:r>
      <w:r>
        <w:t xml:space="preserve"> equitably</w:t>
      </w:r>
      <w:r w:rsidRPr="0061372D">
        <w:t xml:space="preserve"> or well understood</w:t>
      </w:r>
    </w:p>
    <w:p w14:paraId="7159888D" w14:textId="20BE522B" w:rsidR="0061372D" w:rsidRDefault="005E4F5A" w:rsidP="0061372D">
      <w:pPr>
        <w:pStyle w:val="BulletedList-Level1"/>
      </w:pPr>
      <w:r>
        <w:t xml:space="preserve">calls for </w:t>
      </w:r>
      <w:r w:rsidR="0061372D">
        <w:t xml:space="preserve">systems </w:t>
      </w:r>
      <w:r>
        <w:t xml:space="preserve">to </w:t>
      </w:r>
      <w:r w:rsidR="0061372D">
        <w:t>be established to better reflect the hours that MoP(S) Act employees work.</w:t>
      </w:r>
      <w:r w:rsidR="0061372D">
        <w:rPr>
          <w:rStyle w:val="FootnoteReference"/>
        </w:rPr>
        <w:footnoteReference w:id="99"/>
      </w:r>
      <w:r w:rsidR="0061372D">
        <w:t xml:space="preserve"> </w:t>
      </w:r>
    </w:p>
    <w:p w14:paraId="138C649B" w14:textId="77777777" w:rsidR="004F61E3" w:rsidRDefault="004F61E3" w:rsidP="00A72598">
      <w:pPr>
        <w:rPr>
          <w:i/>
        </w:rPr>
      </w:pPr>
    </w:p>
    <w:p w14:paraId="6B851EE0" w14:textId="77777777" w:rsidR="004F61E3" w:rsidRDefault="004F61E3">
      <w:pPr>
        <w:spacing w:after="200"/>
        <w:rPr>
          <w:i/>
        </w:rPr>
      </w:pPr>
      <w:r>
        <w:rPr>
          <w:i/>
        </w:rPr>
        <w:br w:type="page"/>
      </w:r>
    </w:p>
    <w:p w14:paraId="12D87486" w14:textId="0BFC5CE9" w:rsidR="00A72598" w:rsidRPr="00563981" w:rsidRDefault="00A72598" w:rsidP="00A72598">
      <w:pPr>
        <w:rPr>
          <w:i/>
        </w:rPr>
      </w:pPr>
      <w:r w:rsidRPr="00563981">
        <w:rPr>
          <w:i/>
        </w:rPr>
        <w:t>Keeping pace with the changing landscape</w:t>
      </w:r>
    </w:p>
    <w:p w14:paraId="14FAF05B" w14:textId="77777777" w:rsidR="00A72598" w:rsidRDefault="00B5735E" w:rsidP="00A72598">
      <w:r>
        <w:t xml:space="preserve">The </w:t>
      </w:r>
      <w:r w:rsidR="00A72598">
        <w:t xml:space="preserve">Review heard, as did </w:t>
      </w:r>
      <w:r w:rsidR="00142173" w:rsidRPr="00142173">
        <w:rPr>
          <w:i/>
        </w:rPr>
        <w:t>Set the Standard</w:t>
      </w:r>
      <w:r w:rsidR="00A72598">
        <w:t xml:space="preserve">, about significant social and technological changes impacting electorate </w:t>
      </w:r>
      <w:r w:rsidR="007A13BF">
        <w:t>employee</w:t>
      </w:r>
      <w:r w:rsidR="008B27AB">
        <w:t>’s</w:t>
      </w:r>
      <w:r w:rsidR="00A72598">
        <w:t xml:space="preserve"> day-to-day workloads, stress levels, and office culture</w:t>
      </w:r>
      <w:r w:rsidR="004957A1">
        <w:t>, such as</w:t>
      </w:r>
      <w:r w:rsidR="00A72598">
        <w:t>:</w:t>
      </w:r>
    </w:p>
    <w:p w14:paraId="79E384F5" w14:textId="2FB6759D" w:rsidR="00A72598" w:rsidRDefault="00A72598" w:rsidP="00A72598">
      <w:pPr>
        <w:pStyle w:val="BulletedList-Level1"/>
      </w:pPr>
      <w:r>
        <w:t>changed constituent demographics and increased electorate popul</w:t>
      </w:r>
      <w:r w:rsidR="00B5735E">
        <w:t>ations (including non-citizens)</w:t>
      </w:r>
    </w:p>
    <w:p w14:paraId="2870AA29" w14:textId="77777777" w:rsidR="00A72598" w:rsidRDefault="005B1B88" w:rsidP="00A72598">
      <w:pPr>
        <w:pStyle w:val="BulletedList-Level1"/>
      </w:pPr>
      <w:r>
        <w:t>higher</w:t>
      </w:r>
      <w:r w:rsidR="00A72598">
        <w:t xml:space="preserve"> expectations </w:t>
      </w:r>
      <w:r>
        <w:t>of the</w:t>
      </w:r>
      <w:r w:rsidR="00A72598">
        <w:t xml:space="preserve"> Government</w:t>
      </w:r>
      <w:r>
        <w:t xml:space="preserve"> within communities</w:t>
      </w:r>
      <w:r w:rsidR="00A72598">
        <w:rPr>
          <w:rStyle w:val="FootnoteReference"/>
        </w:rPr>
        <w:footnoteReference w:id="100"/>
      </w:r>
    </w:p>
    <w:p w14:paraId="053CA3D1" w14:textId="56DAD668" w:rsidR="00A72598" w:rsidRDefault="00A72598" w:rsidP="00A72598">
      <w:pPr>
        <w:pStyle w:val="BulletedList-Level1"/>
      </w:pPr>
      <w:r>
        <w:t xml:space="preserve">changes in technology </w:t>
      </w:r>
      <w:r w:rsidR="005F6646">
        <w:t xml:space="preserve">dramatically </w:t>
      </w:r>
      <w:r>
        <w:t xml:space="preserve">increasing the </w:t>
      </w:r>
      <w:r w:rsidRPr="007754B5">
        <w:t xml:space="preserve">volume </w:t>
      </w:r>
      <w:r>
        <w:t xml:space="preserve">and pace </w:t>
      </w:r>
      <w:r w:rsidRPr="007754B5">
        <w:t xml:space="preserve">of </w:t>
      </w:r>
      <w:r w:rsidR="005F6646">
        <w:t xml:space="preserve">email </w:t>
      </w:r>
      <w:r w:rsidRPr="007754B5">
        <w:t>correspondence</w:t>
      </w:r>
    </w:p>
    <w:p w14:paraId="02652FE5" w14:textId="77777777" w:rsidR="00A72598" w:rsidRDefault="00A72598" w:rsidP="00A72598">
      <w:pPr>
        <w:pStyle w:val="BulletedList-Level1"/>
      </w:pPr>
      <w:r>
        <w:t xml:space="preserve">increased toxicity in political debate and </w:t>
      </w:r>
      <w:r w:rsidR="005F6646">
        <w:t xml:space="preserve">the </w:t>
      </w:r>
      <w:r>
        <w:t>demanding 24hr media cycle</w:t>
      </w:r>
    </w:p>
    <w:p w14:paraId="7EEB02AF" w14:textId="77777777" w:rsidR="00A72598" w:rsidRDefault="00A72598" w:rsidP="00A72598">
      <w:pPr>
        <w:pStyle w:val="BulletedList-Level1"/>
      </w:pPr>
      <w:r>
        <w:t>amplification of abuse delivered to electorate offices via telephone/email/social media</w:t>
      </w:r>
      <w:r w:rsidR="007A13BF">
        <w:t>,</w:t>
      </w:r>
      <w:r>
        <w:rPr>
          <w:rStyle w:val="FootnoteReference"/>
        </w:rPr>
        <w:footnoteReference w:id="101"/>
      </w:r>
      <w:r w:rsidR="007A13BF">
        <w:t>and</w:t>
      </w:r>
      <w:r>
        <w:t xml:space="preserve"> </w:t>
      </w:r>
    </w:p>
    <w:p w14:paraId="18D2F102" w14:textId="4BF2EAE0" w:rsidR="00500FD0" w:rsidRPr="0097266D" w:rsidRDefault="008445EF" w:rsidP="00A72598">
      <w:pPr>
        <w:pStyle w:val="BulletedList-Level1"/>
      </w:pPr>
      <w:r>
        <w:t>u</w:t>
      </w:r>
      <w:r w:rsidR="0097266D" w:rsidRPr="0097266D">
        <w:t>neven focus</w:t>
      </w:r>
      <w:r w:rsidR="00500FD0" w:rsidRPr="0097266D">
        <w:t xml:space="preserve"> </w:t>
      </w:r>
      <w:r>
        <w:t>on</w:t>
      </w:r>
      <w:r w:rsidR="00500FD0" w:rsidRPr="0097266D">
        <w:t xml:space="preserve"> electorates with large geog</w:t>
      </w:r>
      <w:r w:rsidR="0097266D" w:rsidRPr="0097266D">
        <w:t>raphy over</w:t>
      </w:r>
      <w:r w:rsidR="00500FD0" w:rsidRPr="0097266D">
        <w:t xml:space="preserve"> those with larger numbers of constituents</w:t>
      </w:r>
      <w:r w:rsidR="0097266D" w:rsidRPr="0097266D">
        <w:t>.</w:t>
      </w:r>
    </w:p>
    <w:p w14:paraId="6F74A6D3" w14:textId="77777777" w:rsidR="0036482A" w:rsidRPr="00563981" w:rsidRDefault="0036482A" w:rsidP="0036482A">
      <w:pPr>
        <w:rPr>
          <w:i/>
        </w:rPr>
      </w:pPr>
      <w:r w:rsidRPr="00563981">
        <w:rPr>
          <w:i/>
        </w:rPr>
        <w:t>Government services</w:t>
      </w:r>
    </w:p>
    <w:p w14:paraId="6930E955" w14:textId="77777777" w:rsidR="0036482A" w:rsidRDefault="0036482A" w:rsidP="0036482A">
      <w:r>
        <w:t>The Review heard</w:t>
      </w:r>
      <w:r w:rsidR="00983458">
        <w:t xml:space="preserve"> that</w:t>
      </w:r>
      <w:r>
        <w:t xml:space="preserve">: </w:t>
      </w:r>
    </w:p>
    <w:p w14:paraId="14744550" w14:textId="2BE21676" w:rsidR="0036482A" w:rsidRDefault="008445EF" w:rsidP="0036482A">
      <w:pPr>
        <w:pStyle w:val="BulletedList-Level1"/>
      </w:pPr>
      <w:r>
        <w:t xml:space="preserve">workload pressures </w:t>
      </w:r>
      <w:r w:rsidR="00983458">
        <w:t>are compounded by</w:t>
      </w:r>
      <w:r>
        <w:t xml:space="preserve"> an </w:t>
      </w:r>
      <w:r w:rsidR="0036482A">
        <w:t>increase in case work and support for individuals navigating Commonwealth government</w:t>
      </w:r>
      <w:r w:rsidR="0036482A" w:rsidRPr="007754B5">
        <w:t xml:space="preserve"> servi</w:t>
      </w:r>
      <w:r w:rsidR="0036482A">
        <w:t xml:space="preserve">ces </w:t>
      </w:r>
      <w:r w:rsidR="0036482A" w:rsidRPr="007754B5">
        <w:t>(e.g.</w:t>
      </w:r>
      <w:r w:rsidR="00983458">
        <w:t>, in relation to</w:t>
      </w:r>
      <w:r w:rsidR="0036482A" w:rsidRPr="007754B5">
        <w:t xml:space="preserve"> </w:t>
      </w:r>
      <w:r w:rsidR="00D111C5">
        <w:t>i</w:t>
      </w:r>
      <w:r w:rsidR="0036482A">
        <w:t xml:space="preserve">mmigration, </w:t>
      </w:r>
      <w:r w:rsidR="0036482A" w:rsidRPr="007754B5">
        <w:t xml:space="preserve">NDIS, </w:t>
      </w:r>
      <w:r w:rsidR="00D111C5">
        <w:t>a</w:t>
      </w:r>
      <w:r w:rsidR="0036482A" w:rsidRPr="007754B5">
        <w:t xml:space="preserve">ged </w:t>
      </w:r>
      <w:r w:rsidR="00D111C5">
        <w:t>c</w:t>
      </w:r>
      <w:r w:rsidR="0036482A" w:rsidRPr="007754B5">
        <w:t>are</w:t>
      </w:r>
      <w:r w:rsidR="0036482A">
        <w:t xml:space="preserve">, </w:t>
      </w:r>
      <w:r w:rsidR="0036482A" w:rsidRPr="007754B5">
        <w:t>Centrelink</w:t>
      </w:r>
      <w:r w:rsidR="00B55425">
        <w:t>)</w:t>
      </w:r>
      <w:r w:rsidR="0036482A">
        <w:t xml:space="preserve"> and grants application work</w:t>
      </w:r>
    </w:p>
    <w:p w14:paraId="4B93C2F6" w14:textId="123A8CC8" w:rsidR="0036482A" w:rsidRDefault="008445EF" w:rsidP="0036482A">
      <w:pPr>
        <w:pStyle w:val="BulletedList-Level1"/>
      </w:pPr>
      <w:r>
        <w:t>the</w:t>
      </w:r>
      <w:r w:rsidR="00983458">
        <w:t>re is a</w:t>
      </w:r>
      <w:r>
        <w:t xml:space="preserve"> need for </w:t>
      </w:r>
      <w:r w:rsidR="0036482A">
        <w:t xml:space="preserve">a feedback loop between electorate offices and </w:t>
      </w:r>
      <w:r w:rsidR="00283292">
        <w:t xml:space="preserve">government </w:t>
      </w:r>
      <w:r w:rsidR="0036482A">
        <w:t>departments</w:t>
      </w:r>
      <w:r w:rsidR="00283292">
        <w:t xml:space="preserve"> </w:t>
      </w:r>
      <w:r w:rsidR="0036482A">
        <w:t xml:space="preserve">to better track the nature of constituency work linked to government services, and there may be ways for departments to improve </w:t>
      </w:r>
      <w:r w:rsidR="0036482A" w:rsidRPr="00180FE6">
        <w:t>the efficiency of this work</w:t>
      </w:r>
      <w:r w:rsidR="0036482A">
        <w:t>.</w:t>
      </w:r>
    </w:p>
    <w:p w14:paraId="7EAB3A58" w14:textId="77777777" w:rsidR="00DF6E39" w:rsidRPr="00DF6E39" w:rsidRDefault="00DF6E39" w:rsidP="0036482A">
      <w:pPr>
        <w:rPr>
          <w:i/>
        </w:rPr>
      </w:pPr>
      <w:r w:rsidRPr="00DF6E39">
        <w:rPr>
          <w:i/>
        </w:rPr>
        <w:t>HR support</w:t>
      </w:r>
    </w:p>
    <w:p w14:paraId="09EA4027" w14:textId="50E324CB" w:rsidR="00B506C8" w:rsidRPr="00EF5571" w:rsidRDefault="00223DF1" w:rsidP="00B506C8">
      <w:pPr>
        <w:rPr>
          <w:i/>
        </w:rPr>
      </w:pPr>
      <w:r w:rsidRPr="00223DF1">
        <w:t>The</w:t>
      </w:r>
      <w:r>
        <w:t xml:space="preserve"> Review heard concerns about the HR support available to parliamentarians and employees. </w:t>
      </w:r>
      <w:r w:rsidR="00AF12D0">
        <w:t>Contributors to the Review were</w:t>
      </w:r>
      <w:r w:rsidR="00B506C8">
        <w:t xml:space="preserve"> generally </w:t>
      </w:r>
      <w:r w:rsidR="00AF12D0">
        <w:t xml:space="preserve">not </w:t>
      </w:r>
      <w:r w:rsidR="00B506C8">
        <w:t>inclined to raise issue</w:t>
      </w:r>
      <w:r w:rsidR="00AF12D0">
        <w:t>s</w:t>
      </w:r>
      <w:r w:rsidR="00B506C8">
        <w:t xml:space="preserve"> of excessive work hours or unreasonable expectations with </w:t>
      </w:r>
      <w:r>
        <w:t>MaPS</w:t>
      </w:r>
      <w:r w:rsidR="00B506C8">
        <w:t>.</w:t>
      </w:r>
      <w:r w:rsidR="00B506C8" w:rsidDel="00153973">
        <w:t xml:space="preserve"> </w:t>
      </w:r>
      <w:r w:rsidR="00B506C8" w:rsidRPr="00142173">
        <w:rPr>
          <w:i/>
        </w:rPr>
        <w:t>Set the Standard</w:t>
      </w:r>
      <w:r w:rsidR="00B506C8">
        <w:t xml:space="preserve"> explored in depth some of the underlying factors that contributed to an environment in which MoP(S) Act employees may not seek assistance or raise issues with </w:t>
      </w:r>
      <w:r w:rsidR="008E516F">
        <w:t>a</w:t>
      </w:r>
      <w:r w:rsidR="00B506C8">
        <w:t xml:space="preserve"> HR body.</w:t>
      </w:r>
      <w:r w:rsidR="00B506C8">
        <w:rPr>
          <w:rStyle w:val="FootnoteReference"/>
        </w:rPr>
        <w:footnoteReference w:id="102"/>
      </w:r>
      <w:r w:rsidR="00B506C8">
        <w:t xml:space="preserve"> The OPSC, once established, will have an important role in defining reasonable expectations </w:t>
      </w:r>
      <w:r w:rsidR="008E516F">
        <w:t>of</w:t>
      </w:r>
      <w:r w:rsidR="00B506C8">
        <w:t xml:space="preserve"> MoP(S) Act employees and promoting a culture where seeking advice and assistance to resolve HR issues is </w:t>
      </w:r>
      <w:r w:rsidR="004E54C2">
        <w:t>standard practice</w:t>
      </w:r>
      <w:r w:rsidR="00B506C8">
        <w:t xml:space="preserve">. </w:t>
      </w:r>
      <w:r w:rsidR="0029360D">
        <w:t xml:space="preserve">The OPSC will also have a role to play in delivering training to support employees, such as dealing with difficult constituents and ways for staff to support their own health during times of stress. </w:t>
      </w:r>
    </w:p>
    <w:p w14:paraId="7AABC725" w14:textId="77777777" w:rsidR="0036482A" w:rsidRPr="00B3006B" w:rsidRDefault="00B3006B" w:rsidP="00051BDA">
      <w:pPr>
        <w:pStyle w:val="Heading4"/>
      </w:pPr>
      <w:r>
        <w:t>Impacts</w:t>
      </w:r>
    </w:p>
    <w:p w14:paraId="166D0568" w14:textId="21E9BFE4" w:rsidR="00B97033" w:rsidRDefault="00B97033" w:rsidP="008C7CF6">
      <w:pPr>
        <w:keepNext/>
        <w:keepLines/>
        <w:rPr>
          <w:i/>
        </w:rPr>
      </w:pPr>
      <w:r>
        <w:t xml:space="preserve">Contributors raised concerns about the impact of these workplace pressures on their capacity to do their jobs and on </w:t>
      </w:r>
      <w:r w:rsidR="008F1ECA">
        <w:t>WHS</w:t>
      </w:r>
      <w:r>
        <w:t xml:space="preserve">. </w:t>
      </w:r>
      <w:r w:rsidR="00890255">
        <w:t xml:space="preserve">The impact of workplace pressures is also discussed in Chapter </w:t>
      </w:r>
      <w:r w:rsidR="00890255" w:rsidRPr="00275D41">
        <w:t>5</w:t>
      </w:r>
      <w:r w:rsidR="00890255">
        <w:t xml:space="preserve"> (</w:t>
      </w:r>
      <w:r w:rsidR="00B3006B">
        <w:t>workplace culture</w:t>
      </w:r>
      <w:r w:rsidR="00890255">
        <w:t xml:space="preserve"> and</w:t>
      </w:r>
      <w:r w:rsidR="00B3006B">
        <w:t xml:space="preserve"> employee accountability</w:t>
      </w:r>
      <w:r w:rsidR="00890255">
        <w:t>) and</w:t>
      </w:r>
      <w:r w:rsidR="00B3006B">
        <w:t xml:space="preserve"> Chapter </w:t>
      </w:r>
      <w:r w:rsidR="00890255" w:rsidRPr="00275D41">
        <w:t>6</w:t>
      </w:r>
      <w:r w:rsidR="00890255">
        <w:t xml:space="preserve"> (</w:t>
      </w:r>
      <w:r w:rsidR="00B3006B">
        <w:t>high turnover of MoP(S) Act employees</w:t>
      </w:r>
      <w:r w:rsidR="008E1A6C">
        <w:t>)</w:t>
      </w:r>
      <w:r w:rsidR="00B3006B" w:rsidRPr="00B3388E">
        <w:t>.</w:t>
      </w:r>
    </w:p>
    <w:p w14:paraId="4CAA7122" w14:textId="49F9FD08" w:rsidR="0036482A" w:rsidRPr="007A13BF" w:rsidRDefault="0036482A" w:rsidP="0036482A">
      <w:r>
        <w:t xml:space="preserve">The Review heard: </w:t>
      </w:r>
    </w:p>
    <w:p w14:paraId="41C31166" w14:textId="0FED58C5" w:rsidR="0036482A" w:rsidRDefault="0036482A" w:rsidP="0036482A">
      <w:pPr>
        <w:pStyle w:val="BulletedList-Level1"/>
      </w:pPr>
      <w:r>
        <w:t>in more diverse and socio-economically disadvantaged electorates, workload demands are often higher</w:t>
      </w:r>
    </w:p>
    <w:p w14:paraId="737F4D0B" w14:textId="77777777" w:rsidR="0036482A" w:rsidRDefault="0036482A" w:rsidP="0036482A">
      <w:pPr>
        <w:pStyle w:val="BulletedList-Level1"/>
      </w:pPr>
      <w:r>
        <w:t>constituent engagement requires significant time and emotional resources</w:t>
      </w:r>
    </w:p>
    <w:p w14:paraId="75BB9AC6" w14:textId="77777777" w:rsidR="0036482A" w:rsidRDefault="0036482A" w:rsidP="0036482A">
      <w:pPr>
        <w:pStyle w:val="BulletedList-Level1"/>
      </w:pPr>
      <w:r>
        <w:t>the ability of constituent views and voices to be heard in parliament is impacted by staffing levels</w:t>
      </w:r>
    </w:p>
    <w:p w14:paraId="392DA0D5" w14:textId="53347606" w:rsidR="0036482A" w:rsidRDefault="0036482A" w:rsidP="0036482A">
      <w:pPr>
        <w:pStyle w:val="BulletedList-Level1"/>
      </w:pPr>
      <w:r>
        <w:t>smaller part</w:t>
      </w:r>
      <w:r w:rsidR="00D92AE6">
        <w:t xml:space="preserve">ies </w:t>
      </w:r>
      <w:r w:rsidR="00BD0EC6">
        <w:t>and independents</w:t>
      </w:r>
      <w:r w:rsidR="00D92AE6">
        <w:t xml:space="preserve"> are not able to rely on party structures</w:t>
      </w:r>
      <w:r>
        <w:t>,</w:t>
      </w:r>
      <w:r w:rsidR="00D92AE6">
        <w:t xml:space="preserve"> which contributes to </w:t>
      </w:r>
      <w:r>
        <w:t>greater workload, particularly in the early stages of a term when establishing systems, policies and procedures</w:t>
      </w:r>
      <w:r w:rsidR="00EE7BFF">
        <w:t>.</w:t>
      </w:r>
    </w:p>
    <w:p w14:paraId="0FAC9382" w14:textId="77777777" w:rsidR="00D92AE6" w:rsidRPr="00563981" w:rsidRDefault="00D92AE6" w:rsidP="00D92AE6">
      <w:pPr>
        <w:rPr>
          <w:i/>
        </w:rPr>
      </w:pPr>
      <w:r>
        <w:rPr>
          <w:i/>
        </w:rPr>
        <w:t>Safe and suitable workplace</w:t>
      </w:r>
    </w:p>
    <w:p w14:paraId="6AA39374" w14:textId="75F95188" w:rsidR="00D92AE6" w:rsidRDefault="00D92AE6" w:rsidP="00D92AE6">
      <w:r>
        <w:t xml:space="preserve">We heard about the negative impact workload pressures and high levels of stress have on a parliamentarian’s ability to provide a safe and suitable workplace. </w:t>
      </w:r>
    </w:p>
    <w:p w14:paraId="205CAFF2" w14:textId="1B846BCF" w:rsidR="0036482A" w:rsidRDefault="0036482A" w:rsidP="0036482A">
      <w:r>
        <w:t>The Review heard from a number of stakeholders who were concerned that the number of employees allocated to parliamentarians is insufficient for their workload.</w:t>
      </w:r>
      <w:r w:rsidR="007A13BF" w:rsidRPr="007A13BF">
        <w:t xml:space="preserve"> </w:t>
      </w:r>
      <w:r w:rsidR="00254D2C">
        <w:t xml:space="preserve">Independent parliamentarians </w:t>
      </w:r>
      <w:r w:rsidR="007A13BF">
        <w:t xml:space="preserve">told us the decrease in personal staff positions has increased stress levels </w:t>
      </w:r>
      <w:r w:rsidR="00D92AE6">
        <w:t xml:space="preserve">for employees </w:t>
      </w:r>
      <w:r w:rsidR="007A13BF">
        <w:t xml:space="preserve">and could lead to </w:t>
      </w:r>
      <w:r w:rsidR="002618A7">
        <w:t>poor behaviours</w:t>
      </w:r>
      <w:r w:rsidR="007A13BF">
        <w:t xml:space="preserve"> and an unsafe workplace, as staff vie for limited roles.</w:t>
      </w:r>
      <w:r w:rsidR="007A13BF" w:rsidDel="00CB5AFD">
        <w:t xml:space="preserve"> </w:t>
      </w:r>
      <w:r w:rsidR="007A13BF">
        <w:t>Similar issues were also reported in 2007</w:t>
      </w:r>
      <w:r w:rsidR="00711653">
        <w:t>,</w:t>
      </w:r>
      <w:r w:rsidR="007A13BF">
        <w:t xml:space="preserve"> following </w:t>
      </w:r>
      <w:r w:rsidR="00711653">
        <w:t>the</w:t>
      </w:r>
      <w:r w:rsidR="007A13BF">
        <w:t xml:space="preserve"> 30 per cent reduction in ministerial staff</w:t>
      </w:r>
      <w:r w:rsidR="00711653">
        <w:t>,</w:t>
      </w:r>
      <w:r w:rsidR="007A13BF">
        <w:rPr>
          <w:rStyle w:val="FootnoteReference"/>
        </w:rPr>
        <w:footnoteReference w:id="103"/>
      </w:r>
      <w:r w:rsidR="007A13BF">
        <w:t xml:space="preserve"> and in 2009.</w:t>
      </w:r>
      <w:r w:rsidR="007A13BF">
        <w:rPr>
          <w:rStyle w:val="FootnoteReference"/>
        </w:rPr>
        <w:footnoteReference w:id="104"/>
      </w:r>
      <w:r w:rsidR="007A13BF">
        <w:t xml:space="preserve"> See also Section </w:t>
      </w:r>
      <w:r w:rsidR="007A13BF" w:rsidRPr="00275D41">
        <w:t>5.3</w:t>
      </w:r>
      <w:r w:rsidR="007A13BF">
        <w:t>.</w:t>
      </w:r>
    </w:p>
    <w:p w14:paraId="1ED6927C" w14:textId="77777777" w:rsidR="00506BA8" w:rsidRPr="00281E0F" w:rsidRDefault="00506BA8" w:rsidP="00506BA8">
      <w:pPr>
        <w:rPr>
          <w:i/>
        </w:rPr>
      </w:pPr>
      <w:r>
        <w:rPr>
          <w:i/>
        </w:rPr>
        <w:t>Impact on people with caring responsibilities</w:t>
      </w:r>
    </w:p>
    <w:p w14:paraId="28BE6209" w14:textId="52A0B017" w:rsidR="00506BA8" w:rsidRDefault="00506BA8" w:rsidP="00506BA8">
      <w:r>
        <w:t xml:space="preserve">The expectation for employees to work long hours has had a significant impact on people with caring responsibilities. </w:t>
      </w:r>
      <w:r w:rsidR="008501E8">
        <w:t>A</w:t>
      </w:r>
      <w:r>
        <w:t xml:space="preserve"> number of current and former MoP(S) Act employees – especially women – said that their workloads and work environment were ‘wholly incompatible’ with any caring responsibilities they had, or planned to have. </w:t>
      </w:r>
    </w:p>
    <w:p w14:paraId="2AC3B595" w14:textId="4312AB09" w:rsidR="00506BA8" w:rsidRDefault="00506BA8" w:rsidP="00506BA8">
      <w:r>
        <w:t>Some contributors felt that they could not have a family and continue in their MoP(S) Act employment. The Review heard</w:t>
      </w:r>
      <w:r w:rsidR="00724210">
        <w:t>,</w:t>
      </w:r>
      <w:r>
        <w:t xml:space="preserve"> in some instances, employees were expressly told that their caring responsibilities precluded them from becoming or remaining a MoP(S) Act employee. The Review notes the detrimental impact that these expectations ha</w:t>
      </w:r>
      <w:r w:rsidR="00303830">
        <w:t>ve</w:t>
      </w:r>
      <w:r>
        <w:t xml:space="preserve"> on hiring and retaining a diverse workforce. Many women who spoke to the Review felt that because they wanted to</w:t>
      </w:r>
      <w:r w:rsidR="00303830">
        <w:t xml:space="preserve"> have</w:t>
      </w:r>
      <w:r>
        <w:t xml:space="preserve"> or </w:t>
      </w:r>
      <w:r w:rsidR="00303830">
        <w:t>had</w:t>
      </w:r>
      <w:r>
        <w:t xml:space="preserve"> a family</w:t>
      </w:r>
      <w:r w:rsidR="00303830">
        <w:t>,</w:t>
      </w:r>
      <w:r>
        <w:t xml:space="preserve"> their careers as parliamentary staffers would eventually plateau or c</w:t>
      </w:r>
      <w:r w:rsidR="008435F0">
        <w:t>ome to a</w:t>
      </w:r>
      <w:r w:rsidR="00397765">
        <w:t>n end</w:t>
      </w:r>
      <w:r>
        <w:t>. Section</w:t>
      </w:r>
      <w:r w:rsidRPr="00A1455F">
        <w:t xml:space="preserve"> </w:t>
      </w:r>
      <w:r w:rsidRPr="00275D41">
        <w:t>4.2</w:t>
      </w:r>
      <w:r w:rsidRPr="00A1455F">
        <w:t xml:space="preserve"> discusses how </w:t>
      </w:r>
      <w:r w:rsidR="00E95FF4">
        <w:t xml:space="preserve">an </w:t>
      </w:r>
      <w:r w:rsidRPr="00A1455F">
        <w:t xml:space="preserve">inflexible </w:t>
      </w:r>
      <w:r w:rsidR="00E95FF4">
        <w:t xml:space="preserve">workplace and high </w:t>
      </w:r>
      <w:r w:rsidRPr="00A1455F">
        <w:t>workload</w:t>
      </w:r>
      <w:r w:rsidR="00E95FF4">
        <w:t>s</w:t>
      </w:r>
      <w:r w:rsidRPr="00A1455F">
        <w:t xml:space="preserve"> </w:t>
      </w:r>
      <w:r w:rsidR="00E95FF4">
        <w:t>reduces the diversity and inclusivity of the</w:t>
      </w:r>
      <w:r w:rsidRPr="00A1455F">
        <w:t xml:space="preserve"> workforce.</w:t>
      </w:r>
      <w:r>
        <w:t xml:space="preserve"> </w:t>
      </w:r>
    </w:p>
    <w:p w14:paraId="32754C2C" w14:textId="795C6056" w:rsidR="006F62BD" w:rsidRPr="00294EA4" w:rsidRDefault="00506BA8" w:rsidP="00D75A0A">
      <w:r>
        <w:t>The Review notes changes have recently been made to the House of Representatives</w:t>
      </w:r>
      <w:r>
        <w:rPr>
          <w:rStyle w:val="FootnoteReference"/>
        </w:rPr>
        <w:footnoteReference w:id="105"/>
      </w:r>
      <w:r>
        <w:t xml:space="preserve"> and Senate</w:t>
      </w:r>
      <w:r>
        <w:rPr>
          <w:rStyle w:val="FootnoteReference"/>
        </w:rPr>
        <w:footnoteReference w:id="106"/>
      </w:r>
      <w:r>
        <w:t xml:space="preserve"> standing orders, which may help to address the long hours required of parliamentarians and their employees during sitting weeks, as recommended in </w:t>
      </w:r>
      <w:r w:rsidRPr="00142173">
        <w:rPr>
          <w:i/>
        </w:rPr>
        <w:t>Set the Standard</w:t>
      </w:r>
      <w:r>
        <w:t>.</w:t>
      </w:r>
      <w:r>
        <w:rPr>
          <w:rStyle w:val="FootnoteReference"/>
        </w:rPr>
        <w:footnoteReference w:id="107"/>
      </w:r>
      <w:r>
        <w:t xml:space="preserve"> The </w:t>
      </w:r>
      <w:r w:rsidR="00877C1C">
        <w:t xml:space="preserve">current </w:t>
      </w:r>
      <w:r>
        <w:t xml:space="preserve">sitting calendar was developed to avoid parliament sitting during school holidays, to </w:t>
      </w:r>
      <w:r w:rsidR="00724210">
        <w:t xml:space="preserve">help </w:t>
      </w:r>
      <w:r>
        <w:t xml:space="preserve">make Commonwealth parliamentary workplaces more family friendly.  </w:t>
      </w:r>
    </w:p>
    <w:p w14:paraId="7B799058" w14:textId="3569AF42" w:rsidR="00D75A0A" w:rsidRPr="00563981" w:rsidRDefault="00D75A0A" w:rsidP="00D75A0A">
      <w:pPr>
        <w:rPr>
          <w:i/>
        </w:rPr>
      </w:pPr>
      <w:r w:rsidRPr="00563981">
        <w:rPr>
          <w:i/>
        </w:rPr>
        <w:t>Workforce alternatives</w:t>
      </w:r>
    </w:p>
    <w:p w14:paraId="01A38319" w14:textId="34777C4F" w:rsidR="00D75A0A" w:rsidRDefault="00D75A0A" w:rsidP="00D75A0A">
      <w:r>
        <w:t>Many offices have been using workarounds or proposing programs to fill the workforce gaps (</w:t>
      </w:r>
      <w:r w:rsidRPr="009B538D">
        <w:t>e.g. increasing volunteer numbers, creating more roles for part-time s</w:t>
      </w:r>
      <w:r>
        <w:t>taff within the four full-time equivalent allocation</w:t>
      </w:r>
      <w:r w:rsidRPr="009B538D">
        <w:t xml:space="preserve"> and using the </w:t>
      </w:r>
      <w:r>
        <w:t>e</w:t>
      </w:r>
      <w:r w:rsidRPr="009B538D">
        <w:t xml:space="preserve">lectorate </w:t>
      </w:r>
      <w:r>
        <w:t>support budget</w:t>
      </w:r>
      <w:r w:rsidRPr="009B538D">
        <w:t xml:space="preserve"> to engage lower paid and less experienced staff)</w:t>
      </w:r>
      <w:r w:rsidR="00373C8B">
        <w:rPr>
          <w:rStyle w:val="FootnoteReference"/>
        </w:rPr>
        <w:footnoteReference w:id="108"/>
      </w:r>
      <w:r w:rsidRPr="009B538D">
        <w:t xml:space="preserve"> which can present separate </w:t>
      </w:r>
      <w:r w:rsidR="007C766D">
        <w:t>WHS</w:t>
      </w:r>
      <w:r w:rsidRPr="009B538D">
        <w:t xml:space="preserve"> and accountability issues</w:t>
      </w:r>
      <w:r w:rsidRPr="00F4763E">
        <w:t xml:space="preserve">. Some contributors to the </w:t>
      </w:r>
      <w:r w:rsidR="00AC2732">
        <w:t>R</w:t>
      </w:r>
      <w:r w:rsidRPr="00F4763E">
        <w:t xml:space="preserve">eview proposed self-funding or crowd-funding for </w:t>
      </w:r>
      <w:r>
        <w:t>personal staff</w:t>
      </w:r>
      <w:r w:rsidRPr="00F4763E">
        <w:t xml:space="preserve"> positions.</w:t>
      </w:r>
    </w:p>
    <w:p w14:paraId="78E904C2" w14:textId="1877CEC3" w:rsidR="00D75A0A" w:rsidRDefault="000A5589" w:rsidP="00D75A0A">
      <w:r>
        <w:t>Some c</w:t>
      </w:r>
      <w:r w:rsidR="00D75A0A">
        <w:t xml:space="preserve">ontributors indicated an additional 0.5 FTE electorate staff position would assist to reduce workload pressures. </w:t>
      </w:r>
      <w:r w:rsidR="00647809">
        <w:t>One contributor</w:t>
      </w:r>
      <w:r w:rsidR="00D75A0A">
        <w:t xml:space="preserve"> suggested a</w:t>
      </w:r>
      <w:r w:rsidR="00D75A0A" w:rsidRPr="00026E28">
        <w:t xml:space="preserve"> </w:t>
      </w:r>
      <w:r w:rsidR="00D75A0A">
        <w:t xml:space="preserve">program proposal to </w:t>
      </w:r>
      <w:r w:rsidR="00D75A0A" w:rsidRPr="00026E28">
        <w:t>creat</w:t>
      </w:r>
      <w:r w:rsidR="00D75A0A">
        <w:t>e</w:t>
      </w:r>
      <w:r w:rsidR="00D75A0A" w:rsidRPr="00026E28">
        <w:t xml:space="preserve"> a traineeship program</w:t>
      </w:r>
      <w:r w:rsidR="00D75A0A">
        <w:t>,</w:t>
      </w:r>
      <w:r w:rsidR="00D75A0A" w:rsidRPr="00026E28">
        <w:t xml:space="preserve"> similar to </w:t>
      </w:r>
      <w:r w:rsidR="00D75A0A">
        <w:t xml:space="preserve">the program used by the </w:t>
      </w:r>
      <w:r w:rsidR="00D75A0A" w:rsidRPr="00026E28">
        <w:t>S</w:t>
      </w:r>
      <w:r w:rsidR="00D75A0A">
        <w:t>outh Australian</w:t>
      </w:r>
      <w:r w:rsidR="00D75A0A" w:rsidRPr="00026E28">
        <w:t xml:space="preserve"> Parliament.</w:t>
      </w:r>
      <w:r w:rsidR="00D75A0A">
        <w:t xml:space="preserve"> </w:t>
      </w:r>
    </w:p>
    <w:p w14:paraId="0716F620" w14:textId="77777777" w:rsidR="00D75A0A" w:rsidRPr="00F4763E" w:rsidRDefault="00D75A0A" w:rsidP="00D75A0A">
      <w:r>
        <w:t xml:space="preserve">Submissions to </w:t>
      </w:r>
      <w:r w:rsidRPr="00142173">
        <w:rPr>
          <w:i/>
        </w:rPr>
        <w:t>Set the Standard</w:t>
      </w:r>
      <w:r>
        <w:t xml:space="preserve"> also called for additional staffing positions in all electorate offices, including a more senior and appropriately remunerated </w:t>
      </w:r>
      <w:r w:rsidR="00AE307B">
        <w:t>chief</w:t>
      </w:r>
      <w:r>
        <w:t xml:space="preserve"> of </w:t>
      </w:r>
      <w:r w:rsidR="00AE307B">
        <w:t>s</w:t>
      </w:r>
      <w:r>
        <w:t xml:space="preserve">taff position for the offices and appropriately remunerated electorate staff, to reduce issues of retention of experienced staff in </w:t>
      </w:r>
      <w:r w:rsidRPr="00F4763E">
        <w:t>electorate offices.</w:t>
      </w:r>
      <w:r w:rsidRPr="00F4763E">
        <w:rPr>
          <w:rStyle w:val="FootnoteReference"/>
        </w:rPr>
        <w:footnoteReference w:id="109"/>
      </w:r>
      <w:r w:rsidRPr="00F4763E">
        <w:t xml:space="preserve"> </w:t>
      </w:r>
    </w:p>
    <w:p w14:paraId="50C9EB0F" w14:textId="4D1A344F" w:rsidR="00D75A0A" w:rsidRDefault="00D75A0A" w:rsidP="00D75A0A">
      <w:r w:rsidRPr="00F4763E">
        <w:t>We also heard proposals to provide resourcing support for parliamentarians through the Parliamentary Library. Contributors to the Review welcomed the additional resource but queried whether the library resource was an adequate replacement for dedicated personal staff.</w:t>
      </w:r>
    </w:p>
    <w:p w14:paraId="05B5C281" w14:textId="77777777" w:rsidR="004653C8" w:rsidRPr="00281E0F" w:rsidRDefault="004653C8" w:rsidP="00051BDA">
      <w:pPr>
        <w:pStyle w:val="Heading4"/>
      </w:pPr>
      <w:r w:rsidRPr="00EE1333">
        <w:t>What we heard</w:t>
      </w:r>
      <w:r>
        <w:t xml:space="preserve"> </w:t>
      </w:r>
      <w:r w:rsidR="00D772C4">
        <w:t>about the</w:t>
      </w:r>
      <w:r>
        <w:t xml:space="preserve"> method of staffing allocation</w:t>
      </w:r>
    </w:p>
    <w:p w14:paraId="28F380FE" w14:textId="6B9CDDF5" w:rsidR="007C59BD" w:rsidRPr="00E16BDB" w:rsidRDefault="00203286" w:rsidP="007C59BD">
      <w:r>
        <w:t>The Review heard a range of views from contributors that:</w:t>
      </w:r>
    </w:p>
    <w:p w14:paraId="4E5B4ACC" w14:textId="117A765C" w:rsidR="000A2E54" w:rsidRPr="00FF4F96" w:rsidRDefault="000A2E54" w:rsidP="000A2E54">
      <w:pPr>
        <w:pStyle w:val="BulletedList-Level1"/>
      </w:pPr>
      <w:r w:rsidRPr="00FF4F96">
        <w:t>call</w:t>
      </w:r>
      <w:r w:rsidR="004464E0">
        <w:t>ed</w:t>
      </w:r>
      <w:r w:rsidRPr="00FF4F96">
        <w:t xml:space="preserve"> </w:t>
      </w:r>
      <w:r w:rsidR="004464E0">
        <w:t>for the</w:t>
      </w:r>
      <w:r w:rsidRPr="00FF4F96">
        <w:t xml:space="preserve"> analys</w:t>
      </w:r>
      <w:r w:rsidR="004464E0">
        <w:t>is of</w:t>
      </w:r>
      <w:r w:rsidRPr="00FF4F96">
        <w:t xml:space="preserve"> the real workload of parliamentarian offices to inform staffing allocations </w:t>
      </w:r>
    </w:p>
    <w:p w14:paraId="7B0BDC92" w14:textId="221B6637" w:rsidR="00EA13CD" w:rsidRDefault="004464E0" w:rsidP="005C31A6">
      <w:pPr>
        <w:pStyle w:val="BulletedList-Level1"/>
      </w:pPr>
      <w:r>
        <w:t xml:space="preserve">suggested </w:t>
      </w:r>
      <w:r w:rsidR="00C906B5" w:rsidRPr="00FF4F96">
        <w:t xml:space="preserve">workload pressures and already long hours </w:t>
      </w:r>
      <w:r>
        <w:t>were</w:t>
      </w:r>
      <w:r w:rsidRPr="00FF4F96">
        <w:t xml:space="preserve"> </w:t>
      </w:r>
      <w:r w:rsidR="00EA13CD" w:rsidRPr="00FF4F96">
        <w:t>exacerbated following recent r</w:t>
      </w:r>
      <w:r w:rsidR="00FA1246" w:rsidRPr="00FF4F96">
        <w:t xml:space="preserve">eductions in staffing allocation </w:t>
      </w:r>
      <w:r w:rsidR="00C906B5" w:rsidRPr="00FF4F96">
        <w:t xml:space="preserve">for independents and minor parties </w:t>
      </w:r>
    </w:p>
    <w:p w14:paraId="1CB667E8" w14:textId="2A8D2EF4" w:rsidR="000A2E54" w:rsidRPr="00FF4F96" w:rsidRDefault="004464E0" w:rsidP="005C31A6">
      <w:pPr>
        <w:pStyle w:val="BulletedList-Level1"/>
      </w:pPr>
      <w:r>
        <w:t xml:space="preserve">raised </w:t>
      </w:r>
      <w:r w:rsidR="000A2E54">
        <w:t>workload pressures within major party electorate offices, particularly those with</w:t>
      </w:r>
      <w:r w:rsidR="0011607F">
        <w:t xml:space="preserve"> complex and</w:t>
      </w:r>
      <w:r w:rsidR="000A2E54">
        <w:t xml:space="preserve"> </w:t>
      </w:r>
      <w:r w:rsidR="0011607F">
        <w:t xml:space="preserve">low socio-economic demographics, which have </w:t>
      </w:r>
      <w:r w:rsidR="000A2E54">
        <w:t xml:space="preserve">high </w:t>
      </w:r>
      <w:r w:rsidR="00DF35C1">
        <w:t xml:space="preserve">need for government services, </w:t>
      </w:r>
      <w:r w:rsidR="0011607F">
        <w:t xml:space="preserve">and suggested a variable formula to calculate the </w:t>
      </w:r>
      <w:r w:rsidR="008567FC">
        <w:t>electorate support budget</w:t>
      </w:r>
    </w:p>
    <w:p w14:paraId="7FC04BE5" w14:textId="11198BE2" w:rsidR="00C906B5" w:rsidRPr="00FF4F96" w:rsidRDefault="004464E0" w:rsidP="00C906B5">
      <w:pPr>
        <w:pStyle w:val="BulletedList-Level1"/>
        <w:rPr>
          <w:b/>
        </w:rPr>
      </w:pPr>
      <w:r>
        <w:t xml:space="preserve">some </w:t>
      </w:r>
      <w:r w:rsidR="00C906B5" w:rsidRPr="00FF4F96">
        <w:t xml:space="preserve">independents and minor parties </w:t>
      </w:r>
      <w:r>
        <w:t xml:space="preserve">are said to </w:t>
      </w:r>
      <w:r w:rsidR="00C906B5" w:rsidRPr="00FF4F96">
        <w:t>operate in fear of losing more staffing allocation where staffing allocation decisions remain a discretion of the Prime Minister</w:t>
      </w:r>
    </w:p>
    <w:p w14:paraId="2E02F458" w14:textId="42DB1731" w:rsidR="00175F8E" w:rsidRPr="00FF4F96" w:rsidRDefault="004464E0" w:rsidP="00175F8E">
      <w:pPr>
        <w:pStyle w:val="BulletedList-Level1"/>
      </w:pPr>
      <w:r>
        <w:t>called</w:t>
      </w:r>
      <w:r w:rsidR="00175F8E" w:rsidRPr="00FF4F96">
        <w:t xml:space="preserve"> for additional personal staff for all parliamentarians</w:t>
      </w:r>
      <w:r>
        <w:t xml:space="preserve">, as well as the </w:t>
      </w:r>
      <w:r w:rsidRPr="00FF4F96">
        <w:t>offices of independents and minor parties</w:t>
      </w:r>
    </w:p>
    <w:p w14:paraId="7535AC26" w14:textId="48B28A8B" w:rsidR="007C59BD" w:rsidRPr="00FF4F96" w:rsidRDefault="004464E0" w:rsidP="007C59BD">
      <w:pPr>
        <w:pStyle w:val="BulletedList-Level1"/>
      </w:pPr>
      <w:r>
        <w:t xml:space="preserve">suggested </w:t>
      </w:r>
      <w:r w:rsidR="0011607F">
        <w:t xml:space="preserve">that </w:t>
      </w:r>
      <w:r w:rsidR="007C59BD" w:rsidRPr="00FF4F96">
        <w:t xml:space="preserve">personal staffing should be determined by legislated ratios, including ratios for independents and minor parties as well as existing ratios for the Opposition and Greens </w:t>
      </w:r>
    </w:p>
    <w:p w14:paraId="2FA3943C" w14:textId="52FD6519" w:rsidR="007C59BD" w:rsidRPr="00FF4F96" w:rsidRDefault="007C59BD" w:rsidP="007C59BD">
      <w:pPr>
        <w:pStyle w:val="BulletedList-Level1"/>
      </w:pPr>
      <w:r w:rsidRPr="00FF4F96">
        <w:t xml:space="preserve">greater job insecurity </w:t>
      </w:r>
      <w:r w:rsidR="004464E0">
        <w:t>may arise if</w:t>
      </w:r>
      <w:r w:rsidRPr="00FF4F96">
        <w:t xml:space="preserve"> there is no certainty</w:t>
      </w:r>
      <w:r w:rsidR="00634842" w:rsidRPr="00FF4F96">
        <w:t xml:space="preserve"> (e.g. a convention, or a method like a</w:t>
      </w:r>
      <w:r w:rsidRPr="00FF4F96">
        <w:t xml:space="preserve"> ratio</w:t>
      </w:r>
      <w:r w:rsidR="00634842" w:rsidRPr="00FF4F96">
        <w:t xml:space="preserve"> or</w:t>
      </w:r>
      <w:r w:rsidRPr="00FF4F96">
        <w:t xml:space="preserve"> formula</w:t>
      </w:r>
      <w:r w:rsidR="00634842" w:rsidRPr="00FF4F96">
        <w:t xml:space="preserve">) as </w:t>
      </w:r>
      <w:r w:rsidRPr="00FF4F96">
        <w:t xml:space="preserve">to </w:t>
      </w:r>
      <w:r w:rsidR="00634842" w:rsidRPr="00FF4F96">
        <w:t>how</w:t>
      </w:r>
      <w:r w:rsidRPr="00FF4F96">
        <w:t xml:space="preserve"> personal staffing numbers </w:t>
      </w:r>
      <w:r w:rsidR="00634842" w:rsidRPr="00FF4F96">
        <w:t xml:space="preserve">are set </w:t>
      </w:r>
      <w:r w:rsidRPr="00FF4F96">
        <w:t>for independents and minor parties</w:t>
      </w:r>
    </w:p>
    <w:p w14:paraId="317A8EF9" w14:textId="6EE8F3AE" w:rsidR="007C59BD" w:rsidRPr="00FF4F96" w:rsidRDefault="0011607F" w:rsidP="007C59BD">
      <w:pPr>
        <w:pStyle w:val="BulletedList-Level1"/>
      </w:pPr>
      <w:r>
        <w:t>pointed to</w:t>
      </w:r>
      <w:r w:rsidR="004464E0">
        <w:t xml:space="preserve"> the different party structures, and </w:t>
      </w:r>
      <w:r>
        <w:t>said</w:t>
      </w:r>
      <w:r w:rsidR="004464E0">
        <w:t xml:space="preserve"> that </w:t>
      </w:r>
      <w:r w:rsidR="007C59BD" w:rsidRPr="00FF4F96">
        <w:t>the parliamentary workload for independents and minor parties cannot be shared or managed between party members’ staff or</w:t>
      </w:r>
      <w:r w:rsidR="004464E0">
        <w:t xml:space="preserve"> within</w:t>
      </w:r>
      <w:r w:rsidR="007C59BD" w:rsidRPr="00FF4F96">
        <w:t xml:space="preserve"> larger party structures, resulting in workload pressures and stress impacting work health and safety</w:t>
      </w:r>
      <w:r w:rsidR="004464E0">
        <w:t>.</w:t>
      </w:r>
    </w:p>
    <w:p w14:paraId="5521AB84" w14:textId="77777777" w:rsidR="000338CD" w:rsidRPr="00563981" w:rsidRDefault="000338CD" w:rsidP="000338CD">
      <w:r w:rsidRPr="00563981">
        <w:rPr>
          <w:i/>
        </w:rPr>
        <w:t>A call for transparency</w:t>
      </w:r>
      <w:r w:rsidRPr="00563981">
        <w:t xml:space="preserve"> </w:t>
      </w:r>
    </w:p>
    <w:p w14:paraId="07BDC66A" w14:textId="23B2F2D6" w:rsidR="004653C8" w:rsidRDefault="004653C8" w:rsidP="004653C8">
      <w:r>
        <w:t>The Review heard about perceived inequity in the discretion of the Prime Minister</w:t>
      </w:r>
      <w:r w:rsidR="0021170A">
        <w:t xml:space="preserve"> to allocate staffing positions</w:t>
      </w:r>
      <w:r w:rsidR="00715807">
        <w:t>,</w:t>
      </w:r>
      <w:r>
        <w:t xml:space="preserve"> and </w:t>
      </w:r>
      <w:r w:rsidR="00B10980">
        <w:t xml:space="preserve">the </w:t>
      </w:r>
      <w:r>
        <w:t xml:space="preserve">further </w:t>
      </w:r>
      <w:r w:rsidRPr="00281E0F">
        <w:t>discretion of party leaders in distributing positions.</w:t>
      </w:r>
      <w:r w:rsidRPr="00281E0F">
        <w:rPr>
          <w:rStyle w:val="FootnoteReference"/>
        </w:rPr>
        <w:footnoteReference w:id="110"/>
      </w:r>
      <w:r w:rsidRPr="00281E0F" w:rsidDel="005F6646">
        <w:t xml:space="preserve"> </w:t>
      </w:r>
      <w:r w:rsidR="00B10FE9">
        <w:t xml:space="preserve">Some contributors were critical of </w:t>
      </w:r>
      <w:r>
        <w:t xml:space="preserve">the </w:t>
      </w:r>
      <w:r w:rsidRPr="004653C8">
        <w:t>allocation process</w:t>
      </w:r>
      <w:r w:rsidR="00B10FE9">
        <w:t>, considered it</w:t>
      </w:r>
      <w:r w:rsidRPr="004653C8">
        <w:t xml:space="preserve"> c</w:t>
      </w:r>
      <w:r w:rsidR="00C32F97">
        <w:t>ould</w:t>
      </w:r>
      <w:r w:rsidRPr="004653C8">
        <w:t xml:space="preserve"> be used for political gain and to secure parliamentary votes, and questioned the lack of review process.</w:t>
      </w:r>
    </w:p>
    <w:p w14:paraId="167193B9" w14:textId="5C92396D" w:rsidR="000338CD" w:rsidRDefault="000A5589" w:rsidP="000338CD">
      <w:r>
        <w:t>Some c</w:t>
      </w:r>
      <w:r w:rsidR="00184016">
        <w:t xml:space="preserve">ontributors </w:t>
      </w:r>
      <w:r w:rsidR="000338CD">
        <w:t xml:space="preserve">to this </w:t>
      </w:r>
      <w:r w:rsidR="001535BC">
        <w:t>Review</w:t>
      </w:r>
      <w:r w:rsidR="000338CD">
        <w:t xml:space="preserve"> and </w:t>
      </w:r>
      <w:r w:rsidR="00142173" w:rsidRPr="00142173">
        <w:rPr>
          <w:i/>
        </w:rPr>
        <w:t>Set the Standard</w:t>
      </w:r>
      <w:r w:rsidR="000338CD">
        <w:rPr>
          <w:rStyle w:val="FootnoteReference"/>
        </w:rPr>
        <w:footnoteReference w:id="111"/>
      </w:r>
      <w:r w:rsidR="003C449B">
        <w:t xml:space="preserve"> call</w:t>
      </w:r>
      <w:r w:rsidR="000338CD">
        <w:t xml:space="preserve"> for transparent and independent allocation of staff </w:t>
      </w:r>
      <w:r w:rsidR="00147B48">
        <w:t xml:space="preserve">in the form of a </w:t>
      </w:r>
      <w:r w:rsidR="00147B48" w:rsidRPr="00147B48">
        <w:t xml:space="preserve">determination by an independent body (for example, the Remuneration Tribunal, OPSC, Parliamentary Budget Office or </w:t>
      </w:r>
      <w:r w:rsidR="00D6472B">
        <w:t>the Independent Parliamentary Expenses Authority (</w:t>
      </w:r>
      <w:r w:rsidR="00147B48" w:rsidRPr="00147B48">
        <w:t>IPEA</w:t>
      </w:r>
      <w:r w:rsidR="00D6472B">
        <w:t>)</w:t>
      </w:r>
      <w:r w:rsidR="00147B48" w:rsidRPr="00147B48">
        <w:t>)</w:t>
      </w:r>
      <w:r w:rsidR="00147B48">
        <w:t xml:space="preserve"> that is:</w:t>
      </w:r>
    </w:p>
    <w:p w14:paraId="1E3CD110" w14:textId="575288DE" w:rsidR="000338CD" w:rsidRPr="00373C8B" w:rsidRDefault="00D61F54" w:rsidP="000338CD">
      <w:pPr>
        <w:pStyle w:val="BulletedList-Level1"/>
      </w:pPr>
      <w:r w:rsidRPr="00373C8B">
        <w:t xml:space="preserve">based on </w:t>
      </w:r>
      <w:r w:rsidR="00573F14">
        <w:t>a</w:t>
      </w:r>
      <w:r w:rsidRPr="00373C8B">
        <w:t xml:space="preserve"> </w:t>
      </w:r>
      <w:r w:rsidRPr="008445EF">
        <w:t xml:space="preserve">formula, </w:t>
      </w:r>
      <w:r w:rsidR="000338CD" w:rsidRPr="008445EF">
        <w:t xml:space="preserve">pre-determined </w:t>
      </w:r>
      <w:r w:rsidR="00BF2DB9" w:rsidRPr="008445EF">
        <w:t>assessment criteria</w:t>
      </w:r>
      <w:r w:rsidRPr="008445EF">
        <w:t>, or in accordance with guideli</w:t>
      </w:r>
      <w:r w:rsidR="008445EF">
        <w:t>nes</w:t>
      </w:r>
      <w:r w:rsidR="00843A2A">
        <w:t xml:space="preserve"> </w:t>
      </w:r>
    </w:p>
    <w:p w14:paraId="1E2D16C6" w14:textId="77777777" w:rsidR="000338CD" w:rsidRPr="00373C8B" w:rsidRDefault="000338CD" w:rsidP="000338CD">
      <w:pPr>
        <w:pStyle w:val="BulletedList-Level1"/>
      </w:pPr>
      <w:r w:rsidRPr="00373C8B">
        <w:t>subject to periodic review</w:t>
      </w:r>
      <w:r w:rsidR="00246CE1" w:rsidRPr="00373C8B">
        <w:t>.</w:t>
      </w:r>
    </w:p>
    <w:p w14:paraId="42CF7A1A" w14:textId="43C37F2A" w:rsidR="000979B9" w:rsidRDefault="000338CD" w:rsidP="006C6FBB">
      <w:r>
        <w:t xml:space="preserve">The Review heard alternative calls for the Prime Minister to only have power over </w:t>
      </w:r>
      <w:r w:rsidR="00E5266E">
        <w:t>m</w:t>
      </w:r>
      <w:r>
        <w:t xml:space="preserve">inisterial </w:t>
      </w:r>
      <w:r w:rsidR="006C46C7">
        <w:t xml:space="preserve">or </w:t>
      </w:r>
      <w:r w:rsidR="00180FE6">
        <w:t>G</w:t>
      </w:r>
      <w:r w:rsidR="006C46C7">
        <w:t xml:space="preserve">overnment </w:t>
      </w:r>
      <w:r w:rsidR="003C449B">
        <w:t>personal staff allocation</w:t>
      </w:r>
      <w:r>
        <w:t xml:space="preserve">, with all other staff allocated </w:t>
      </w:r>
      <w:r w:rsidR="003C449B">
        <w:t xml:space="preserve">by an </w:t>
      </w:r>
      <w:r>
        <w:t>indepe</w:t>
      </w:r>
      <w:r w:rsidR="003C449B">
        <w:t>ndent person or body.</w:t>
      </w:r>
      <w:r w:rsidR="005A454C">
        <w:t xml:space="preserve"> Some contributors from the major parties were of the view that status quo should be maintained. </w:t>
      </w:r>
    </w:p>
    <w:p w14:paraId="2851CFA9" w14:textId="77777777" w:rsidR="00E6267F" w:rsidRDefault="00E6267F">
      <w:pPr>
        <w:spacing w:after="200"/>
        <w:rPr>
          <w:rFonts w:asciiTheme="majorHAnsi" w:eastAsiaTheme="majorEastAsia" w:hAnsiTheme="majorHAnsi" w:cstheme="majorBidi"/>
          <w:color w:val="3266AB"/>
          <w:szCs w:val="22"/>
        </w:rPr>
      </w:pPr>
      <w:r>
        <w:br w:type="page"/>
      </w:r>
    </w:p>
    <w:p w14:paraId="168B17A8" w14:textId="61AC414B" w:rsidR="00A72598" w:rsidRDefault="002E7408" w:rsidP="00051BDA">
      <w:pPr>
        <w:pStyle w:val="Heading4"/>
      </w:pPr>
      <w:r>
        <w:t>What others do</w:t>
      </w:r>
    </w:p>
    <w:p w14:paraId="71174C4A" w14:textId="41A9812E" w:rsidR="003350E4" w:rsidRDefault="003350E4" w:rsidP="00A72598">
      <w:pPr>
        <w:rPr>
          <w:i/>
        </w:rPr>
      </w:pPr>
      <w:r>
        <w:rPr>
          <w:i/>
        </w:rPr>
        <w:t>As</w:t>
      </w:r>
      <w:r w:rsidR="00D513FF">
        <w:rPr>
          <w:i/>
        </w:rPr>
        <w:t>sessing workloads and resources</w:t>
      </w:r>
    </w:p>
    <w:p w14:paraId="07149530" w14:textId="429B39EB" w:rsidR="00160A03" w:rsidRDefault="009D6A16" w:rsidP="00160A03">
      <w:r>
        <w:t xml:space="preserve">In NSW, </w:t>
      </w:r>
      <w:r w:rsidR="000B196F">
        <w:t>in response to a submission from a member of the Legislative Assembly, the Parliamentary Remuneration Tribunal may take the following into consideration when forming a view on whether additional staffing resources are required</w:t>
      </w:r>
      <w:r w:rsidR="00160A03">
        <w:t xml:space="preserve">: </w:t>
      </w:r>
    </w:p>
    <w:p w14:paraId="05D91458" w14:textId="353E8B9F" w:rsidR="00160A03" w:rsidRDefault="00160A03" w:rsidP="00160A03">
      <w:pPr>
        <w:pStyle w:val="BulletedList-Level1"/>
      </w:pPr>
      <w:r>
        <w:t>workload, including additional responsibilities undertaken by the office-holder and concomitant increases in workload for staff</w:t>
      </w:r>
      <w:r w:rsidR="00D06A0E">
        <w:rPr>
          <w:rStyle w:val="FootnoteReference"/>
        </w:rPr>
        <w:footnoteReference w:id="112"/>
      </w:r>
    </w:p>
    <w:p w14:paraId="38D77B94" w14:textId="65DD316A" w:rsidR="00160A03" w:rsidRDefault="00160A03" w:rsidP="00160A03">
      <w:pPr>
        <w:pStyle w:val="BulletedList-Level1"/>
      </w:pPr>
      <w:r>
        <w:t>the role these offices play in the business of parliament</w:t>
      </w:r>
      <w:r w:rsidR="00D06A0E">
        <w:rPr>
          <w:rStyle w:val="FootnoteReference"/>
        </w:rPr>
        <w:footnoteReference w:id="113"/>
      </w:r>
    </w:p>
    <w:p w14:paraId="6D018FE7" w14:textId="2AF5C424" w:rsidR="00160A03" w:rsidRDefault="00160A03" w:rsidP="00160A03">
      <w:pPr>
        <w:pStyle w:val="BulletedList-Level1"/>
      </w:pPr>
      <w:r>
        <w:t>consistency with resources allocated to other office-holders</w:t>
      </w:r>
      <w:r w:rsidR="00D06A0E">
        <w:rPr>
          <w:rStyle w:val="FootnoteReference"/>
        </w:rPr>
        <w:footnoteReference w:id="114"/>
      </w:r>
    </w:p>
    <w:p w14:paraId="38A130EC" w14:textId="01788346" w:rsidR="009D6A16" w:rsidRDefault="00160A03" w:rsidP="00160A03">
      <w:pPr>
        <w:pStyle w:val="BulletedList-Level1"/>
      </w:pPr>
      <w:r>
        <w:t xml:space="preserve">for </w:t>
      </w:r>
      <w:r w:rsidR="009C5E28">
        <w:t>i</w:t>
      </w:r>
      <w:r>
        <w:t xml:space="preserve">ndependents – the Tribunal strives to ensure independent members are sufficiently resourced to undertake their role in the </w:t>
      </w:r>
      <w:r w:rsidR="006146A9">
        <w:t>p</w:t>
      </w:r>
      <w:r>
        <w:t xml:space="preserve">arliament, recognising that they </w:t>
      </w:r>
      <w:r w:rsidR="009C5E28">
        <w:t>‘</w:t>
      </w:r>
      <w:r>
        <w:t>do not have access to support from colleagues or the Party support that is otherwise available to Members either in Government or the Opposition</w:t>
      </w:r>
      <w:r w:rsidR="009C5E28">
        <w:t>’</w:t>
      </w:r>
      <w:r w:rsidR="004A51FF">
        <w:t>.</w:t>
      </w:r>
      <w:r w:rsidR="004810C9">
        <w:rPr>
          <w:rStyle w:val="FootnoteReference"/>
        </w:rPr>
        <w:footnoteReference w:id="115"/>
      </w:r>
      <w:r w:rsidR="00B10FE9">
        <w:t xml:space="preserve"> </w:t>
      </w:r>
    </w:p>
    <w:p w14:paraId="762800C1" w14:textId="3CEF2941" w:rsidR="004A51FF" w:rsidRDefault="004A51FF" w:rsidP="0002141F">
      <w:r>
        <w:t xml:space="preserve">For any positions allocated, the NSW Presiding Officers </w:t>
      </w:r>
      <w:r w:rsidR="00CE7444">
        <w:t>may</w:t>
      </w:r>
      <w:r>
        <w:t xml:space="preserve"> undertake a work value assessment of the role to determine the appropriate classification and remuneration</w:t>
      </w:r>
      <w:r>
        <w:rPr>
          <w:b/>
          <w:i/>
        </w:rPr>
        <w:t xml:space="preserve"> </w:t>
      </w:r>
      <w:r>
        <w:t>in the course of determining terms and conditions of appointment.</w:t>
      </w:r>
      <w:r w:rsidR="003B556E">
        <w:rPr>
          <w:rStyle w:val="FootnoteReference"/>
        </w:rPr>
        <w:footnoteReference w:id="116"/>
      </w:r>
      <w:r>
        <w:t xml:space="preserve"> </w:t>
      </w:r>
    </w:p>
    <w:p w14:paraId="693FD57C" w14:textId="77B986F7" w:rsidR="001A6A65" w:rsidRDefault="006737AB" w:rsidP="006737AB">
      <w:r>
        <w:t xml:space="preserve">In </w:t>
      </w:r>
      <w:r w:rsidR="00783E34">
        <w:t>Queensland</w:t>
      </w:r>
      <w:r w:rsidR="003B556E">
        <w:t>,</w:t>
      </w:r>
      <w:r>
        <w:t xml:space="preserve"> </w:t>
      </w:r>
      <w:r w:rsidR="00D6340E">
        <w:t xml:space="preserve">where </w:t>
      </w:r>
      <w:r w:rsidR="001A6A65">
        <w:t>the Director-General of the Department of the Premier and Cabinet employs ministerial and other personal staff</w:t>
      </w:r>
      <w:r w:rsidR="00922685">
        <w:t xml:space="preserve"> on behalf of the State</w:t>
      </w:r>
      <w:r w:rsidR="00D6340E">
        <w:t>,</w:t>
      </w:r>
      <w:r w:rsidR="00922685">
        <w:t xml:space="preserve"> </w:t>
      </w:r>
      <w:r w:rsidR="002E0AAA">
        <w:t xml:space="preserve">members do not have an automatic </w:t>
      </w:r>
      <w:r w:rsidR="00922685">
        <w:t xml:space="preserve">entitlement </w:t>
      </w:r>
      <w:r w:rsidR="002E0AAA">
        <w:t>to staffing resources</w:t>
      </w:r>
      <w:r w:rsidR="00922685">
        <w:t>. D</w:t>
      </w:r>
      <w:r w:rsidR="001A6A65">
        <w:t>ecisions about employment of staff depends on ‘resources available</w:t>
      </w:r>
      <w:r w:rsidR="00D6340E">
        <w:t xml:space="preserve"> to the [Director-General] f</w:t>
      </w:r>
      <w:r w:rsidR="001A6A65" w:rsidRPr="001A6A65">
        <w:t>or the purpose</w:t>
      </w:r>
      <w:r w:rsidR="001A6A65">
        <w:t>’</w:t>
      </w:r>
      <w:r w:rsidR="00D6340E">
        <w:rPr>
          <w:rStyle w:val="FootnoteReference"/>
        </w:rPr>
        <w:footnoteReference w:id="117"/>
      </w:r>
      <w:r w:rsidR="001A6A65">
        <w:t xml:space="preserve"> </w:t>
      </w:r>
      <w:r w:rsidR="00922685">
        <w:t xml:space="preserve">and, for any </w:t>
      </w:r>
      <w:r w:rsidR="001A6A65" w:rsidRPr="001A6A65">
        <w:t xml:space="preserve">staff </w:t>
      </w:r>
      <w:r w:rsidR="001A6A65">
        <w:t>of</w:t>
      </w:r>
      <w:r w:rsidR="001A6A65" w:rsidRPr="001A6A65">
        <w:t xml:space="preserve"> a non-government member</w:t>
      </w:r>
      <w:r w:rsidR="00922685">
        <w:t>, the need for staffing resources</w:t>
      </w:r>
      <w:r w:rsidR="001A6A65">
        <w:t xml:space="preserve"> </w:t>
      </w:r>
      <w:r w:rsidR="00922685">
        <w:t xml:space="preserve">includes consideration of </w:t>
      </w:r>
      <w:r w:rsidR="001A6A65">
        <w:t>‘</w:t>
      </w:r>
      <w:r w:rsidR="001A6A65" w:rsidRPr="001A6A65">
        <w:t>whether the member has an increased workload because of the particular composition of the Legislative Assembly’</w:t>
      </w:r>
      <w:r w:rsidR="00922685">
        <w:t>.</w:t>
      </w:r>
      <w:r w:rsidR="0059668A">
        <w:rPr>
          <w:rStyle w:val="FootnoteReference"/>
        </w:rPr>
        <w:footnoteReference w:id="118"/>
      </w:r>
    </w:p>
    <w:p w14:paraId="7957B37C" w14:textId="77777777" w:rsidR="00E6267F" w:rsidRDefault="004A66D3" w:rsidP="006737AB">
      <w:r>
        <w:t xml:space="preserve">Also </w:t>
      </w:r>
      <w:r w:rsidR="001A6A65">
        <w:t xml:space="preserve">in </w:t>
      </w:r>
      <w:r w:rsidR="00CF5005">
        <w:t>Queensland</w:t>
      </w:r>
      <w:r w:rsidR="001A6A65">
        <w:t xml:space="preserve">, </w:t>
      </w:r>
      <w:r w:rsidR="00922685">
        <w:t xml:space="preserve">where cross bench members do not </w:t>
      </w:r>
      <w:r w:rsidR="002E0AAA">
        <w:t xml:space="preserve">usually </w:t>
      </w:r>
      <w:r w:rsidR="004C7F4B">
        <w:t xml:space="preserve">have a personal staffing allocation, </w:t>
      </w:r>
      <w:r w:rsidR="002E0AAA">
        <w:t xml:space="preserve">within three months of the </w:t>
      </w:r>
      <w:r w:rsidR="00277DF3">
        <w:t>Legislative Assembly being summoned to commence</w:t>
      </w:r>
      <w:r w:rsidR="00CF5005">
        <w:t>,</w:t>
      </w:r>
      <w:r w:rsidR="00277DF3">
        <w:t xml:space="preserve"> </w:t>
      </w:r>
      <w:r w:rsidR="006737AB">
        <w:t xml:space="preserve">the Independent Remuneration Tribunal can determine additional </w:t>
      </w:r>
      <w:r w:rsidR="00E90B06">
        <w:t xml:space="preserve">staffing </w:t>
      </w:r>
      <w:r w:rsidR="006737AB">
        <w:t>for cross bench members</w:t>
      </w:r>
      <w:r w:rsidR="00E6267F">
        <w:t>.</w:t>
      </w:r>
    </w:p>
    <w:p w14:paraId="38C40895" w14:textId="77777777" w:rsidR="00E6267F" w:rsidRDefault="00E6267F">
      <w:pPr>
        <w:spacing w:after="200"/>
      </w:pPr>
      <w:r>
        <w:br w:type="page"/>
      </w:r>
    </w:p>
    <w:p w14:paraId="22F31729" w14:textId="76249604" w:rsidR="006737AB" w:rsidRDefault="00E6267F" w:rsidP="006737AB">
      <w:r>
        <w:t>In making an additional staff member determination, Queensland’s Independent Remuneration Tribunal has</w:t>
      </w:r>
      <w:r w:rsidR="006737AB">
        <w:t xml:space="preserve"> regard to</w:t>
      </w:r>
      <w:r w:rsidR="00922685">
        <w:t>:</w:t>
      </w:r>
      <w:r w:rsidR="00E90B06">
        <w:rPr>
          <w:rStyle w:val="FootnoteReference"/>
        </w:rPr>
        <w:footnoteReference w:id="119"/>
      </w:r>
      <w:r w:rsidR="006737AB">
        <w:t xml:space="preserve"> </w:t>
      </w:r>
    </w:p>
    <w:p w14:paraId="62CC4773" w14:textId="5C4FD60A" w:rsidR="006737AB" w:rsidRDefault="00AE6B75" w:rsidP="0002141F">
      <w:pPr>
        <w:pStyle w:val="BulletedList-Level1"/>
      </w:pPr>
      <w:r>
        <w:t>p</w:t>
      </w:r>
      <w:r w:rsidR="006737AB">
        <w:t xml:space="preserve">arliamentary resources provided to cross bench members and other members of the Assembly </w:t>
      </w:r>
    </w:p>
    <w:p w14:paraId="51DDF286" w14:textId="7AE90281" w:rsidR="006737AB" w:rsidRDefault="006737AB" w:rsidP="0002141F">
      <w:pPr>
        <w:pStyle w:val="BulletedList-Level1"/>
      </w:pPr>
      <w:r>
        <w:t xml:space="preserve">the composition of the Assembly and how this affects cross bench members </w:t>
      </w:r>
    </w:p>
    <w:p w14:paraId="4AADE029" w14:textId="70DE1820" w:rsidR="006737AB" w:rsidRDefault="006737AB" w:rsidP="0002141F">
      <w:pPr>
        <w:pStyle w:val="BulletedList-Level1"/>
      </w:pPr>
      <w:r>
        <w:t>the workload and duties of the cross bench members for whom the Tribunal is considering to make the determination</w:t>
      </w:r>
      <w:r w:rsidR="006E196E">
        <w:t>, and</w:t>
      </w:r>
    </w:p>
    <w:p w14:paraId="1EC152E2" w14:textId="2E008FC6" w:rsidR="006737AB" w:rsidRDefault="006737AB" w:rsidP="006737AB">
      <w:pPr>
        <w:pStyle w:val="BulletedList-Level1"/>
      </w:pPr>
      <w:r>
        <w:t>whether the cross bench members are members of political parties</w:t>
      </w:r>
      <w:r w:rsidR="006E196E">
        <w:t>.</w:t>
      </w:r>
      <w:r w:rsidR="00CF5005">
        <w:rPr>
          <w:rStyle w:val="FootnoteReference"/>
        </w:rPr>
        <w:footnoteReference w:id="120"/>
      </w:r>
      <w:r>
        <w:t xml:space="preserve"> </w:t>
      </w:r>
    </w:p>
    <w:p w14:paraId="7373BC96" w14:textId="4D586217" w:rsidR="006737AB" w:rsidRDefault="004C7F4B" w:rsidP="006737AB">
      <w:r>
        <w:t>Other e</w:t>
      </w:r>
      <w:r w:rsidR="006737AB">
        <w:t>vidence the Tribunal</w:t>
      </w:r>
      <w:r w:rsidR="004A66D3">
        <w:t xml:space="preserve"> has considered in the past includes</w:t>
      </w:r>
      <w:r w:rsidR="006737AB">
        <w:t>:</w:t>
      </w:r>
    </w:p>
    <w:p w14:paraId="3A16CCFD" w14:textId="62C0F9D9" w:rsidR="006737AB" w:rsidRDefault="006737AB" w:rsidP="0002141F">
      <w:pPr>
        <w:pStyle w:val="BulletedList-Level1"/>
      </w:pPr>
      <w:r>
        <w:t xml:space="preserve">existing provisions for establishing a non-government office </w:t>
      </w:r>
    </w:p>
    <w:p w14:paraId="17C2E18D" w14:textId="10333776" w:rsidR="006737AB" w:rsidRDefault="006737AB" w:rsidP="0002141F">
      <w:pPr>
        <w:pStyle w:val="BulletedList-Level1"/>
      </w:pPr>
      <w:r>
        <w:t xml:space="preserve">historical considerations regarding the staffing of cross bench members </w:t>
      </w:r>
    </w:p>
    <w:p w14:paraId="2A539752" w14:textId="36E403F5" w:rsidR="006737AB" w:rsidRDefault="006737AB" w:rsidP="0002141F">
      <w:pPr>
        <w:pStyle w:val="BulletedList-Level1"/>
      </w:pPr>
      <w:r>
        <w:t xml:space="preserve">current Government and Opposition staffing arrangements </w:t>
      </w:r>
    </w:p>
    <w:p w14:paraId="63E0E7FF" w14:textId="773D0B44" w:rsidR="006737AB" w:rsidRDefault="006737AB" w:rsidP="0002141F">
      <w:pPr>
        <w:pStyle w:val="BulletedList-Level1"/>
      </w:pPr>
      <w:r>
        <w:t xml:space="preserve">provision of additional staff (if any) for cross bench members in other jurisdictions </w:t>
      </w:r>
    </w:p>
    <w:p w14:paraId="46311F37" w14:textId="4AE5360D" w:rsidR="006737AB" w:rsidRDefault="006737AB" w:rsidP="0002141F">
      <w:pPr>
        <w:pStyle w:val="BulletedList-Level1"/>
      </w:pPr>
      <w:r>
        <w:t xml:space="preserve">the composition of the current Legislative Assembly </w:t>
      </w:r>
    </w:p>
    <w:p w14:paraId="65876B4D" w14:textId="1459A19D" w:rsidR="006737AB" w:rsidRDefault="006737AB" w:rsidP="0002141F">
      <w:pPr>
        <w:pStyle w:val="BulletedList-Level1"/>
      </w:pPr>
      <w:r>
        <w:t xml:space="preserve">the role and responsibilities of a cross bench member </w:t>
      </w:r>
    </w:p>
    <w:p w14:paraId="0EE0C24A" w14:textId="12580F5F" w:rsidR="006737AB" w:rsidRDefault="006737AB" w:rsidP="0002141F">
      <w:pPr>
        <w:pStyle w:val="BulletedList-Level1"/>
      </w:pPr>
      <w:r>
        <w:t>submissions received from the Clerk and cross bench members/registered political parties.</w:t>
      </w:r>
      <w:r w:rsidR="0092595F">
        <w:rPr>
          <w:rStyle w:val="FootnoteReference"/>
        </w:rPr>
        <w:footnoteReference w:id="121"/>
      </w:r>
    </w:p>
    <w:p w14:paraId="5037C5B8" w14:textId="056CAF72" w:rsidR="00E6267F" w:rsidRDefault="00E6267F" w:rsidP="00E6267F">
      <w:r>
        <w:t>The Tribunal is also required to consult with and consider the views of the Clerk of the Parliament.</w:t>
      </w:r>
      <w:r>
        <w:rPr>
          <w:rStyle w:val="FootnoteReference"/>
        </w:rPr>
        <w:footnoteReference w:id="122"/>
      </w:r>
    </w:p>
    <w:p w14:paraId="463728E8" w14:textId="0E61AF7A" w:rsidR="00E6620E" w:rsidRDefault="00EE601D" w:rsidP="00E6620E">
      <w:r>
        <w:t xml:space="preserve">In the UK, members </w:t>
      </w:r>
      <w:r w:rsidR="00E60782">
        <w:t>have a staffing budget which is</w:t>
      </w:r>
      <w:r>
        <w:t xml:space="preserve"> set by the Independent Parliamentary Standards Authority (IPSA).</w:t>
      </w:r>
      <w:r w:rsidR="00DE465F">
        <w:t xml:space="preserve"> In addition to setting the </w:t>
      </w:r>
      <w:r>
        <w:t>staffing budget each year</w:t>
      </w:r>
      <w:r w:rsidR="00DE465F">
        <w:t xml:space="preserve">, </w:t>
      </w:r>
      <w:r>
        <w:t>IPSA also has the power to initiate broader reviews of budget for staffing allocation</w:t>
      </w:r>
      <w:r w:rsidR="00DE465F">
        <w:t xml:space="preserve">. For example, in 2020 in response to </w:t>
      </w:r>
      <w:r>
        <w:t>anecdotal evidence that staff were struggling to meet demands</w:t>
      </w:r>
      <w:r w:rsidR="001A0336">
        <w:t>,</w:t>
      </w:r>
      <w:r w:rsidR="00DE465F">
        <w:t xml:space="preserve"> and </w:t>
      </w:r>
      <w:r>
        <w:t>high level of turnover among staff</w:t>
      </w:r>
      <w:r w:rsidR="00603DFA">
        <w:t xml:space="preserve"> </w:t>
      </w:r>
      <w:r>
        <w:t xml:space="preserve">IPSA increased the staffing budget for </w:t>
      </w:r>
      <w:r w:rsidR="00E60782">
        <w:t>member</w:t>
      </w:r>
      <w:r>
        <w:t>s by 13-14</w:t>
      </w:r>
      <w:r w:rsidR="00603DFA">
        <w:t xml:space="preserve"> per cent</w:t>
      </w:r>
      <w:r w:rsidR="00E60782">
        <w:t>.</w:t>
      </w:r>
      <w:r w:rsidR="00E6620E" w:rsidRPr="00E6620E">
        <w:rPr>
          <w:rStyle w:val="FootnoteReference"/>
        </w:rPr>
        <w:t xml:space="preserve"> </w:t>
      </w:r>
      <w:r w:rsidR="00E6620E">
        <w:rPr>
          <w:rStyle w:val="FootnoteReference"/>
        </w:rPr>
        <w:footnoteReference w:id="123"/>
      </w:r>
      <w:r w:rsidR="00E60782">
        <w:t xml:space="preserve"> The increase reflected</w:t>
      </w:r>
      <w:r>
        <w:t xml:space="preserve"> </w:t>
      </w:r>
      <w:r w:rsidR="00E60782">
        <w:t xml:space="preserve">the following </w:t>
      </w:r>
      <w:r w:rsidR="006D32C9">
        <w:t>considerations</w:t>
      </w:r>
      <w:r>
        <w:t>:</w:t>
      </w:r>
      <w:r w:rsidR="00603DFA" w:rsidRPr="00603DFA">
        <w:rPr>
          <w:rStyle w:val="FootnoteReference"/>
        </w:rPr>
        <w:t xml:space="preserve"> </w:t>
      </w:r>
    </w:p>
    <w:p w14:paraId="6615F5BD" w14:textId="61339CC8" w:rsidR="00EE601D" w:rsidRDefault="00EE601D" w:rsidP="0002141F">
      <w:pPr>
        <w:pStyle w:val="BulletedList-Level1"/>
      </w:pPr>
      <w:r>
        <w:t xml:space="preserve">updated job descriptions of staff </w:t>
      </w:r>
    </w:p>
    <w:p w14:paraId="73814985" w14:textId="203E2A71" w:rsidR="00EE601D" w:rsidRDefault="00E60782" w:rsidP="0002141F">
      <w:pPr>
        <w:pStyle w:val="BulletedList-Level1"/>
      </w:pPr>
      <w:r>
        <w:t xml:space="preserve">market benchmarking of </w:t>
      </w:r>
      <w:r w:rsidR="00EE601D">
        <w:t>staff salaries</w:t>
      </w:r>
      <w:r>
        <w:t xml:space="preserve"> - </w:t>
      </w:r>
      <w:r w:rsidR="00EE601D">
        <w:t>adjusted, based on t</w:t>
      </w:r>
      <w:r>
        <w:t>he updated job descriptions, based on</w:t>
      </w:r>
      <w:r w:rsidR="00EE601D">
        <w:t xml:space="preserve"> a fair market rate and reflect cost-of-living increases</w:t>
      </w:r>
    </w:p>
    <w:p w14:paraId="41EE68CE" w14:textId="378AD39C" w:rsidR="00EE601D" w:rsidRDefault="00E60782" w:rsidP="0002141F">
      <w:pPr>
        <w:pStyle w:val="BulletedList-Level1"/>
      </w:pPr>
      <w:r>
        <w:t xml:space="preserve">additional </w:t>
      </w:r>
      <w:r w:rsidR="00EE601D">
        <w:t xml:space="preserve">staffing budget </w:t>
      </w:r>
      <w:r>
        <w:t>for e</w:t>
      </w:r>
      <w:r w:rsidR="00EE601D">
        <w:t>ach MP to provide additional support for training, wellbeing, health and welfare costs of their staff</w:t>
      </w:r>
      <w:r w:rsidR="00603DFA">
        <w:t>.</w:t>
      </w:r>
      <w:r w:rsidR="00333871">
        <w:rPr>
          <w:rStyle w:val="FootnoteReference"/>
        </w:rPr>
        <w:footnoteReference w:id="124"/>
      </w:r>
    </w:p>
    <w:p w14:paraId="04477CF0" w14:textId="31158750" w:rsidR="00603DFA" w:rsidRDefault="00E60782" w:rsidP="00603DFA">
      <w:r>
        <w:t xml:space="preserve">IPSA conveyed a </w:t>
      </w:r>
      <w:r w:rsidR="00603DFA">
        <w:t>clear intention behind the changes ‘made with the objective of supporting the recruitment and retention of high-quality staff, as well as of supporting their professional development through training and fair pay to recognise experience and skills’.</w:t>
      </w:r>
      <w:r>
        <w:rPr>
          <w:rStyle w:val="FootnoteReference"/>
        </w:rPr>
        <w:footnoteReference w:id="125"/>
      </w:r>
    </w:p>
    <w:p w14:paraId="495ABDE3" w14:textId="7C8E56ED" w:rsidR="003350E4" w:rsidRPr="006C6FBB" w:rsidRDefault="001C7842" w:rsidP="00A72598">
      <w:r>
        <w:t>Modern workplaces</w:t>
      </w:r>
      <w:r w:rsidR="009601B8">
        <w:t xml:space="preserve"> </w:t>
      </w:r>
      <w:r>
        <w:t xml:space="preserve">in </w:t>
      </w:r>
      <w:r w:rsidR="00582119">
        <w:t xml:space="preserve">both </w:t>
      </w:r>
      <w:r>
        <w:t xml:space="preserve">the </w:t>
      </w:r>
      <w:r w:rsidR="00582119">
        <w:t xml:space="preserve">public and </w:t>
      </w:r>
      <w:r>
        <w:t xml:space="preserve">private sector </w:t>
      </w:r>
      <w:r w:rsidR="00582119">
        <w:t>r</w:t>
      </w:r>
      <w:r w:rsidR="002E68EF">
        <w:t>outinely</w:t>
      </w:r>
      <w:r w:rsidR="00582119">
        <w:t xml:space="preserve"> </w:t>
      </w:r>
      <w:r>
        <w:t>review</w:t>
      </w:r>
      <w:r w:rsidR="00582119">
        <w:t xml:space="preserve"> their resourcing needs as part of workforce planning. </w:t>
      </w:r>
    </w:p>
    <w:p w14:paraId="3910E24D" w14:textId="0F59DDB1" w:rsidR="003350E4" w:rsidRPr="006C6FBB" w:rsidRDefault="00D92AE6" w:rsidP="00A72598">
      <w:pPr>
        <w:rPr>
          <w:i/>
        </w:rPr>
      </w:pPr>
      <w:r>
        <w:rPr>
          <w:i/>
        </w:rPr>
        <w:t>Method of allocating staff</w:t>
      </w:r>
    </w:p>
    <w:p w14:paraId="49B306C5" w14:textId="313D22F6" w:rsidR="002729F3" w:rsidRDefault="00A72598" w:rsidP="00A72598">
      <w:r w:rsidRPr="00474745">
        <w:t xml:space="preserve">There </w:t>
      </w:r>
      <w:r w:rsidR="005A454C">
        <w:t>is</w:t>
      </w:r>
      <w:r w:rsidRPr="00474745">
        <w:t xml:space="preserve"> a range of </w:t>
      </w:r>
      <w:r w:rsidR="00484E80">
        <w:t>methods for</w:t>
      </w:r>
      <w:r w:rsidRPr="00474745">
        <w:t xml:space="preserve"> determining staffing </w:t>
      </w:r>
      <w:r w:rsidR="00E82A1F">
        <w:t>resources</w:t>
      </w:r>
      <w:r w:rsidRPr="00474745">
        <w:t xml:space="preserve">. </w:t>
      </w:r>
      <w:r w:rsidR="0000747A">
        <w:t xml:space="preserve">In the Commonwealth MoP(S) Act framework, the power to determine </w:t>
      </w:r>
      <w:r w:rsidR="00064157">
        <w:t xml:space="preserve">both </w:t>
      </w:r>
      <w:r w:rsidR="0000747A">
        <w:t xml:space="preserve">electorate and personal employee </w:t>
      </w:r>
      <w:r w:rsidR="00064157">
        <w:t>resources for all parliamentarians</w:t>
      </w:r>
      <w:r w:rsidR="006671E8">
        <w:t xml:space="preserve"> rests with the Prime Minister</w:t>
      </w:r>
      <w:r w:rsidR="00EA1B03">
        <w:t>.</w:t>
      </w:r>
      <w:r w:rsidR="006671E8">
        <w:rPr>
          <w:rStyle w:val="FootnoteReference"/>
        </w:rPr>
        <w:footnoteReference w:id="126"/>
      </w:r>
      <w:r w:rsidR="00064157">
        <w:t xml:space="preserve"> </w:t>
      </w:r>
    </w:p>
    <w:p w14:paraId="4F06EB54" w14:textId="276ADD28" w:rsidR="00251FBD" w:rsidRDefault="00064157" w:rsidP="00A72598">
      <w:r>
        <w:t xml:space="preserve">The Act requires the Prime Minister to </w:t>
      </w:r>
      <w:r w:rsidR="00080840">
        <w:t>‘have regard to the P</w:t>
      </w:r>
      <w:r>
        <w:t xml:space="preserve">arliamentary duties’ of a senator or member, </w:t>
      </w:r>
      <w:r w:rsidR="00877709">
        <w:t>when determining whether the senator or member</w:t>
      </w:r>
      <w:r w:rsidR="009601B8">
        <w:t xml:space="preserve"> should be an office-</w:t>
      </w:r>
      <w:r w:rsidR="006671E8">
        <w:t>holder</w:t>
      </w:r>
      <w:r w:rsidR="00251FBD">
        <w:t xml:space="preserve"> and</w:t>
      </w:r>
      <w:r w:rsidR="006671E8">
        <w:t xml:space="preserve"> </w:t>
      </w:r>
      <w:r w:rsidR="00080840">
        <w:t xml:space="preserve">empowered to </w:t>
      </w:r>
      <w:r w:rsidR="009601B8">
        <w:t xml:space="preserve">engage </w:t>
      </w:r>
      <w:r w:rsidR="00080840">
        <w:t xml:space="preserve">personal </w:t>
      </w:r>
      <w:r w:rsidR="009601B8">
        <w:t>employees</w:t>
      </w:r>
      <w:r w:rsidR="00877709">
        <w:t xml:space="preserve"> subject to a staffing allocation</w:t>
      </w:r>
      <w:r w:rsidR="00251FBD">
        <w:t>.</w:t>
      </w:r>
      <w:r w:rsidR="006671E8">
        <w:rPr>
          <w:rStyle w:val="FootnoteReference"/>
        </w:rPr>
        <w:footnoteReference w:id="127"/>
      </w:r>
      <w:r w:rsidR="006671E8">
        <w:t xml:space="preserve"> </w:t>
      </w:r>
      <w:r w:rsidR="00251FBD">
        <w:t xml:space="preserve">However, </w:t>
      </w:r>
      <w:r w:rsidR="006671E8">
        <w:t xml:space="preserve">the Act does not </w:t>
      </w:r>
      <w:r w:rsidR="00251FBD">
        <w:t xml:space="preserve">require the Prime Minister to consider any other matters when determining staffing allocations. </w:t>
      </w:r>
      <w:r w:rsidR="008B682F">
        <w:t xml:space="preserve">‘Parliamentary duties’ is not defined in the Act, nor is any guidance available in extrinsic materials such as the explanatory memorandum or the second reading speech. </w:t>
      </w:r>
    </w:p>
    <w:p w14:paraId="6C245834" w14:textId="4675A72A" w:rsidR="008A53C1" w:rsidRDefault="00251FBD" w:rsidP="00A72598">
      <w:r>
        <w:t xml:space="preserve">In comparison, </w:t>
      </w:r>
      <w:r w:rsidR="00783E34">
        <w:t xml:space="preserve">the method of allocating staff </w:t>
      </w:r>
      <w:r w:rsidR="002729F3">
        <w:t xml:space="preserve">in </w:t>
      </w:r>
      <w:r>
        <w:t xml:space="preserve">all other state jurisdictions </w:t>
      </w:r>
      <w:r w:rsidR="00783E34">
        <w:t xml:space="preserve">is </w:t>
      </w:r>
      <w:r>
        <w:t>separate</w:t>
      </w:r>
      <w:r w:rsidR="00783E34">
        <w:t>d</w:t>
      </w:r>
      <w:r>
        <w:t xml:space="preserve"> between ministerial</w:t>
      </w:r>
      <w:r w:rsidR="00612242">
        <w:t xml:space="preserve"> staff</w:t>
      </w:r>
      <w:r>
        <w:t xml:space="preserve"> (and sometimes office-holder</w:t>
      </w:r>
      <w:r w:rsidR="005A454C">
        <w:t xml:space="preserve"> staff</w:t>
      </w:r>
      <w:r>
        <w:t xml:space="preserve">), and other personal staff and electorate staff. </w:t>
      </w:r>
      <w:r w:rsidR="00783E34">
        <w:t xml:space="preserve">For the most part, </w:t>
      </w:r>
      <w:r w:rsidR="00514FBE">
        <w:t>m</w:t>
      </w:r>
      <w:r w:rsidR="00783E34">
        <w:t xml:space="preserve">inisterial staff allocations are set by the Premier (NSW, </w:t>
      </w:r>
      <w:r w:rsidR="00974620">
        <w:t>Vic</w:t>
      </w:r>
      <w:r w:rsidR="00783E34">
        <w:t xml:space="preserve"> and SA) or by the Director-General of the Department of Premier and Cabinet </w:t>
      </w:r>
      <w:r w:rsidR="00612242">
        <w:t>(</w:t>
      </w:r>
      <w:r w:rsidR="00877709">
        <w:t xml:space="preserve">on </w:t>
      </w:r>
      <w:r w:rsidR="00612242">
        <w:t xml:space="preserve">the </w:t>
      </w:r>
      <w:r w:rsidR="00877709">
        <w:t>Premier</w:t>
      </w:r>
      <w:r w:rsidR="00612242">
        <w:t>’s</w:t>
      </w:r>
      <w:r w:rsidR="00877709">
        <w:t xml:space="preserve"> recommendation</w:t>
      </w:r>
      <w:r w:rsidR="00A7045A">
        <w:t>) (</w:t>
      </w:r>
      <w:r w:rsidR="00974620">
        <w:t>Qld</w:t>
      </w:r>
      <w:r w:rsidR="00783E34">
        <w:t>). In SA there is a ceiling on ministerial staffing numbers</w:t>
      </w:r>
      <w:r w:rsidR="00964EF2">
        <w:t>,</w:t>
      </w:r>
      <w:r w:rsidR="00783E34">
        <w:rPr>
          <w:rStyle w:val="FootnoteReference"/>
        </w:rPr>
        <w:footnoteReference w:id="128"/>
      </w:r>
      <w:r w:rsidR="00877709">
        <w:t xml:space="preserve"> </w:t>
      </w:r>
      <w:r w:rsidR="00964EF2">
        <w:t xml:space="preserve">and in NZ ministerial staffing levels are set by the Department of </w:t>
      </w:r>
      <w:r w:rsidR="009B226C">
        <w:t>Internal Affairs</w:t>
      </w:r>
      <w:r w:rsidR="00964EF2">
        <w:t>.</w:t>
      </w:r>
      <w:r w:rsidR="00877709">
        <w:t xml:space="preserve">  </w:t>
      </w:r>
    </w:p>
    <w:p w14:paraId="5BC371EC" w14:textId="4267161B" w:rsidR="00232FF8" w:rsidRDefault="00232FF8" w:rsidP="00A72598">
      <w:r>
        <w:t xml:space="preserve">Other methods for allocating personal staff and electorate staff include: </w:t>
      </w:r>
    </w:p>
    <w:p w14:paraId="08241952" w14:textId="77777777" w:rsidR="00232FF8" w:rsidRDefault="00232FF8" w:rsidP="00A72598">
      <w:pPr>
        <w:pStyle w:val="BulletedList-Level1"/>
      </w:pPr>
      <w:r w:rsidRPr="00232FF8">
        <w:rPr>
          <w:i/>
        </w:rPr>
        <w:t>Statutory formula</w:t>
      </w:r>
      <w:r>
        <w:t xml:space="preserve">: </w:t>
      </w:r>
      <w:r w:rsidR="00877709">
        <w:t xml:space="preserve">In Victoria, </w:t>
      </w:r>
      <w:r>
        <w:t>personal staff (parliamentary advisers</w:t>
      </w:r>
      <w:r w:rsidR="00612242">
        <w:t>)</w:t>
      </w:r>
      <w:r w:rsidR="00FA2879">
        <w:t xml:space="preserve"> </w:t>
      </w:r>
      <w:r>
        <w:t xml:space="preserve">are allocated to </w:t>
      </w:r>
      <w:r w:rsidR="00877709">
        <w:t>non-government party leader</w:t>
      </w:r>
      <w:r w:rsidR="00FA2879">
        <w:t>s</w:t>
      </w:r>
      <w:r>
        <w:t xml:space="preserve"> i</w:t>
      </w:r>
      <w:r w:rsidR="00877709">
        <w:t xml:space="preserve">n accordance with a </w:t>
      </w:r>
      <w:r w:rsidR="002E0AAA">
        <w:t xml:space="preserve">statutory </w:t>
      </w:r>
      <w:r w:rsidR="00877709">
        <w:t xml:space="preserve">formula </w:t>
      </w:r>
      <w:r>
        <w:t xml:space="preserve">which </w:t>
      </w:r>
      <w:r w:rsidR="00877709">
        <w:t>set</w:t>
      </w:r>
      <w:r>
        <w:t>s</w:t>
      </w:r>
      <w:r w:rsidR="00877709">
        <w:t xml:space="preserve"> out </w:t>
      </w:r>
      <w:r w:rsidR="00612242">
        <w:t xml:space="preserve">a ratio for </w:t>
      </w:r>
      <w:r w:rsidR="00877709">
        <w:t xml:space="preserve">the number of members and the correlating </w:t>
      </w:r>
      <w:r w:rsidR="00FA2879">
        <w:t xml:space="preserve">allocation </w:t>
      </w:r>
      <w:r w:rsidR="002E0AAA">
        <w:t xml:space="preserve">of </w:t>
      </w:r>
      <w:r w:rsidR="00877709">
        <w:t>staff.</w:t>
      </w:r>
      <w:r w:rsidR="00877709">
        <w:rPr>
          <w:rStyle w:val="FootnoteReference"/>
        </w:rPr>
        <w:footnoteReference w:id="129"/>
      </w:r>
      <w:r w:rsidR="00877709">
        <w:t xml:space="preserve"> </w:t>
      </w:r>
    </w:p>
    <w:p w14:paraId="4516FC51" w14:textId="48674F59" w:rsidR="00232FF8" w:rsidRDefault="00232FF8" w:rsidP="00A72598">
      <w:pPr>
        <w:pStyle w:val="BulletedList-Level1"/>
      </w:pPr>
      <w:r>
        <w:rPr>
          <w:i/>
        </w:rPr>
        <w:t xml:space="preserve">Independent Remuneration Tribunal: </w:t>
      </w:r>
      <w:r>
        <w:t>In NSW</w:t>
      </w:r>
      <w:r w:rsidR="00D1559B">
        <w:t xml:space="preserve">, the Parliamentary Remuneration Tribunal </w:t>
      </w:r>
      <w:r>
        <w:t xml:space="preserve">determines </w:t>
      </w:r>
      <w:r w:rsidR="00D1559B">
        <w:t xml:space="preserve">the number of staff that parliamentarians (other than office-holders) can employ, and the number of additional staff that special office-holders can employ. In Queensland, </w:t>
      </w:r>
      <w:r w:rsidR="00EC09A2">
        <w:t xml:space="preserve">the Independent Remuneration Tribunal is empowered to make additional staff member determinations for members of </w:t>
      </w:r>
      <w:r w:rsidR="00B470E4">
        <w:t>cross bench</w:t>
      </w:r>
      <w:r w:rsidR="000A1958">
        <w:t>.</w:t>
      </w:r>
      <w:r w:rsidR="00D1559B">
        <w:rPr>
          <w:rStyle w:val="FootnoteReference"/>
        </w:rPr>
        <w:footnoteReference w:id="130"/>
      </w:r>
      <w:r w:rsidR="000A1958">
        <w:t xml:space="preserve"> </w:t>
      </w:r>
      <w:r>
        <w:t xml:space="preserve"> </w:t>
      </w:r>
      <w:r w:rsidR="00565BEF">
        <w:t xml:space="preserve">The Speaker of the </w:t>
      </w:r>
      <w:r w:rsidR="00B04D4F">
        <w:t>Queensland</w:t>
      </w:r>
      <w:r w:rsidR="00565BEF">
        <w:t xml:space="preserve"> Parliament is responsible for ‘deciding the size and organisation of the parliamentary s</w:t>
      </w:r>
      <w:r w:rsidR="00523CB3">
        <w:t>ervice</w:t>
      </w:r>
      <w:r w:rsidR="00565BEF">
        <w:t>’</w:t>
      </w:r>
      <w:r w:rsidR="00523CB3">
        <w:t xml:space="preserve">, and </w:t>
      </w:r>
      <w:r w:rsidR="004F6AE2">
        <w:t>may</w:t>
      </w:r>
      <w:r w:rsidR="00523CB3">
        <w:t xml:space="preserve"> establish advisory committees to </w:t>
      </w:r>
      <w:r w:rsidR="004F6AE2">
        <w:t xml:space="preserve">advise </w:t>
      </w:r>
      <w:r w:rsidR="00523CB3">
        <w:t>on any issues arising under the Act.</w:t>
      </w:r>
      <w:r w:rsidR="000A1958">
        <w:rPr>
          <w:rStyle w:val="FootnoteReference"/>
        </w:rPr>
        <w:footnoteReference w:id="131"/>
      </w:r>
    </w:p>
    <w:p w14:paraId="63A9D974" w14:textId="3049F378" w:rsidR="002D2789" w:rsidRDefault="00232FF8" w:rsidP="00A72598">
      <w:pPr>
        <w:pStyle w:val="BulletedList-Level1"/>
      </w:pPr>
      <w:r>
        <w:rPr>
          <w:i/>
        </w:rPr>
        <w:t>Budget allocation:</w:t>
      </w:r>
      <w:r>
        <w:t xml:space="preserve"> </w:t>
      </w:r>
      <w:r w:rsidR="00C40F80">
        <w:t>In ACT</w:t>
      </w:r>
      <w:r w:rsidR="0076731A">
        <w:t>,</w:t>
      </w:r>
      <w:r w:rsidR="00602A27">
        <w:t xml:space="preserve"> </w:t>
      </w:r>
      <w:r w:rsidR="00C40F80">
        <w:t>staff resourcing is set by budget</w:t>
      </w:r>
      <w:r w:rsidR="00602A27">
        <w:t>, determined in accordance with a formula,</w:t>
      </w:r>
      <w:r w:rsidR="002729F3">
        <w:t xml:space="preserve"> and parliamentarians have the flexibility to engage staff within the budget limits</w:t>
      </w:r>
      <w:r w:rsidR="00C40F80">
        <w:t xml:space="preserve">. </w:t>
      </w:r>
      <w:r w:rsidR="00602A27">
        <w:t>In the UK, Canada, and NZ, members are also allocated a budget rather set numbers of staff.</w:t>
      </w:r>
    </w:p>
    <w:p w14:paraId="72C6A577" w14:textId="1CD88D92" w:rsidR="006F62BD" w:rsidRDefault="006F62BD" w:rsidP="00A72598"/>
    <w:p w14:paraId="59654947" w14:textId="77777777" w:rsidR="00112C97" w:rsidRDefault="00AE52FF" w:rsidP="00051BDA">
      <w:pPr>
        <w:pStyle w:val="Heading3"/>
      </w:pPr>
      <w:r>
        <w:t xml:space="preserve">3.4.2 </w:t>
      </w:r>
      <w:r w:rsidR="00112C97">
        <w:t>Options for improvement</w:t>
      </w:r>
    </w:p>
    <w:p w14:paraId="523D3D24" w14:textId="680495AB" w:rsidR="007301DC" w:rsidRPr="007301DC" w:rsidRDefault="007301DC" w:rsidP="000A58A5">
      <w:pPr>
        <w:rPr>
          <w:i/>
        </w:rPr>
      </w:pPr>
      <w:r>
        <w:rPr>
          <w:i/>
        </w:rPr>
        <w:t>Workload pressures</w:t>
      </w:r>
    </w:p>
    <w:p w14:paraId="3B3226ED" w14:textId="69DAD388" w:rsidR="00BF1D1E" w:rsidRDefault="007301DC" w:rsidP="000A58A5">
      <w:r>
        <w:t xml:space="preserve">We heard </w:t>
      </w:r>
      <w:r w:rsidR="00A65D8F">
        <w:t>clear</w:t>
      </w:r>
      <w:r w:rsidR="00AD1909">
        <w:t xml:space="preserve"> message</w:t>
      </w:r>
      <w:r w:rsidR="00AC1C7D">
        <w:t>s</w:t>
      </w:r>
      <w:r w:rsidR="00AD1909">
        <w:t xml:space="preserve"> </w:t>
      </w:r>
      <w:r>
        <w:t xml:space="preserve">about </w:t>
      </w:r>
      <w:r w:rsidR="00AC1C7D">
        <w:t xml:space="preserve">the </w:t>
      </w:r>
      <w:r>
        <w:t>very real impact</w:t>
      </w:r>
      <w:r w:rsidR="00581B72">
        <w:t xml:space="preserve">s </w:t>
      </w:r>
      <w:r w:rsidR="00AC1C7D">
        <w:t xml:space="preserve">that </w:t>
      </w:r>
      <w:r w:rsidR="00581B72">
        <w:t>high</w:t>
      </w:r>
      <w:r>
        <w:t xml:space="preserve"> workload and under-resourcing is having on </w:t>
      </w:r>
      <w:r w:rsidR="00F1779D">
        <w:t xml:space="preserve">the health and safety of </w:t>
      </w:r>
      <w:r>
        <w:t>parliamentarians and MoP(S) Act employees</w:t>
      </w:r>
      <w:r w:rsidR="00302817">
        <w:t>,</w:t>
      </w:r>
      <w:r w:rsidR="00BF1D1E">
        <w:t xml:space="preserve"> </w:t>
      </w:r>
      <w:r w:rsidR="00F1779D">
        <w:t xml:space="preserve">and </w:t>
      </w:r>
      <w:r w:rsidR="00302817">
        <w:t xml:space="preserve">on </w:t>
      </w:r>
      <w:r w:rsidR="00F1779D">
        <w:t xml:space="preserve">their capacity to </w:t>
      </w:r>
      <w:r w:rsidR="00BF1D1E">
        <w:t>perform their roles</w:t>
      </w:r>
      <w:r w:rsidR="00581B72">
        <w:t xml:space="preserve"> effectively</w:t>
      </w:r>
      <w:r w:rsidR="00F1779D">
        <w:t xml:space="preserve">. </w:t>
      </w:r>
    </w:p>
    <w:p w14:paraId="785382C0" w14:textId="2E4FFD18" w:rsidR="00804759" w:rsidRDefault="00230F84" w:rsidP="00804759">
      <w:r>
        <w:t xml:space="preserve">Independent and minor party parliamentarians </w:t>
      </w:r>
      <w:r w:rsidR="00F35A4E">
        <w:t>had a</w:t>
      </w:r>
      <w:r>
        <w:t xml:space="preserve"> clear</w:t>
      </w:r>
      <w:r w:rsidR="00F35A4E">
        <w:t xml:space="preserve"> view</w:t>
      </w:r>
      <w:r>
        <w:t xml:space="preserve"> that </w:t>
      </w:r>
      <w:r w:rsidR="00804759">
        <w:t xml:space="preserve">recent personal staffing allocation reductions </w:t>
      </w:r>
      <w:r>
        <w:t xml:space="preserve">have impacted </w:t>
      </w:r>
      <w:r w:rsidR="00804759">
        <w:t>their offices</w:t>
      </w:r>
      <w:r w:rsidR="00581B72">
        <w:t xml:space="preserve"> in this way</w:t>
      </w:r>
      <w:r>
        <w:t xml:space="preserve">.  </w:t>
      </w:r>
    </w:p>
    <w:p w14:paraId="3ED5039E" w14:textId="66C219AC" w:rsidR="006144DF" w:rsidRDefault="00D769E2" w:rsidP="00804759">
      <w:r>
        <w:t xml:space="preserve">More broadly </w:t>
      </w:r>
      <w:r w:rsidR="006144DF" w:rsidRPr="00E82351">
        <w:t>we heard about pressures in relation to both personal staff and electorate office staff</w:t>
      </w:r>
      <w:r w:rsidR="00C26A76">
        <w:t>.</w:t>
      </w:r>
      <w:r w:rsidR="006144DF" w:rsidRPr="00E82351">
        <w:t xml:space="preserve"> </w:t>
      </w:r>
      <w:r w:rsidR="00C26A76">
        <w:t>T</w:t>
      </w:r>
      <w:r w:rsidR="006144DF" w:rsidRPr="00E82351">
        <w:t xml:space="preserve">he most consistent message </w:t>
      </w:r>
      <w:r w:rsidR="006144DF">
        <w:t xml:space="preserve">across the span of contributors </w:t>
      </w:r>
      <w:r w:rsidR="006144DF" w:rsidRPr="00E82351">
        <w:t>was i</w:t>
      </w:r>
      <w:r w:rsidR="006144DF">
        <w:t>n relation to electorate office resourcing</w:t>
      </w:r>
      <w:r w:rsidR="006144DF" w:rsidRPr="00E82351">
        <w:t>.</w:t>
      </w:r>
    </w:p>
    <w:p w14:paraId="0BCEDF7A" w14:textId="7B4E6A33" w:rsidR="00F810DE" w:rsidRDefault="00173992" w:rsidP="000A58A5">
      <w:r>
        <w:t>E</w:t>
      </w:r>
      <w:r w:rsidR="00BF1D1E">
        <w:t>lectorate office</w:t>
      </w:r>
      <w:r>
        <w:t xml:space="preserve"> staffing </w:t>
      </w:r>
      <w:r w:rsidR="00581B72">
        <w:t>has</w:t>
      </w:r>
      <w:r>
        <w:t xml:space="preserve"> not increased </w:t>
      </w:r>
      <w:r w:rsidR="00480D6E">
        <w:t xml:space="preserve">from </w:t>
      </w:r>
      <w:r w:rsidR="00FA1246">
        <w:t xml:space="preserve">the allocated </w:t>
      </w:r>
      <w:r w:rsidR="00D769E2">
        <w:t xml:space="preserve">base </w:t>
      </w:r>
      <w:r>
        <w:t>four</w:t>
      </w:r>
      <w:r w:rsidR="00302817" w:rsidDel="00173992">
        <w:t xml:space="preserve"> </w:t>
      </w:r>
      <w:r w:rsidR="00581B72">
        <w:t xml:space="preserve">positions </w:t>
      </w:r>
      <w:r w:rsidR="00FA1246">
        <w:t>set</w:t>
      </w:r>
      <w:r w:rsidR="00302817">
        <w:t xml:space="preserve"> 15 years</w:t>
      </w:r>
      <w:r w:rsidR="00FA1246">
        <w:t xml:space="preserve"> ago.</w:t>
      </w:r>
      <w:r>
        <w:t xml:space="preserve"> </w:t>
      </w:r>
      <w:r w:rsidR="00480D6E">
        <w:t>Since then,</w:t>
      </w:r>
      <w:r w:rsidR="00FA1246">
        <w:t xml:space="preserve"> </w:t>
      </w:r>
      <w:r w:rsidR="00BF1D1E">
        <w:t xml:space="preserve">the </w:t>
      </w:r>
      <w:r w:rsidR="00692C19">
        <w:t xml:space="preserve">average </w:t>
      </w:r>
      <w:r w:rsidR="00BF1D1E">
        <w:t>c</w:t>
      </w:r>
      <w:r w:rsidR="00692C19">
        <w:t>onstituent</w:t>
      </w:r>
      <w:r w:rsidR="00BF1D1E">
        <w:t xml:space="preserve"> numbers have increased by 25 per cent (or </w:t>
      </w:r>
      <w:r w:rsidR="00581B72">
        <w:t xml:space="preserve">by </w:t>
      </w:r>
      <w:r w:rsidR="00BF1D1E">
        <w:t>23,000 people)</w:t>
      </w:r>
      <w:r w:rsidR="00692C19">
        <w:t xml:space="preserve"> per Member</w:t>
      </w:r>
      <w:r w:rsidR="00FA1246">
        <w:t>;</w:t>
      </w:r>
      <w:r>
        <w:t xml:space="preserve"> </w:t>
      </w:r>
      <w:r w:rsidR="00FA1246">
        <w:t xml:space="preserve">constituent demography has </w:t>
      </w:r>
      <w:r w:rsidR="00581B72">
        <w:t>evolv</w:t>
      </w:r>
      <w:r w:rsidR="00FA1246" w:rsidRPr="00974D6B">
        <w:t>ed</w:t>
      </w:r>
      <w:r w:rsidR="00FA1246">
        <w:t xml:space="preserve">; </w:t>
      </w:r>
      <w:r w:rsidR="00F1779D">
        <w:t>constituency work linked to g</w:t>
      </w:r>
      <w:r w:rsidR="00BF1D1E">
        <w:t>overnment services</w:t>
      </w:r>
      <w:r>
        <w:t xml:space="preserve"> </w:t>
      </w:r>
      <w:r w:rsidR="00FA1246">
        <w:t xml:space="preserve">has </w:t>
      </w:r>
      <w:r w:rsidR="00D769E2">
        <w:t>increase</w:t>
      </w:r>
      <w:r w:rsidR="00F35A4E">
        <w:t>d</w:t>
      </w:r>
      <w:r w:rsidR="00FA1246">
        <w:t xml:space="preserve">; </w:t>
      </w:r>
      <w:r w:rsidR="00230F84">
        <w:t xml:space="preserve">and </w:t>
      </w:r>
      <w:r w:rsidR="00AC1C7D">
        <w:t xml:space="preserve">a deluge of emails, </w:t>
      </w:r>
      <w:r w:rsidR="00FA1246">
        <w:t>social media engagement</w:t>
      </w:r>
      <w:r w:rsidR="00AC1C7D">
        <w:t>, and 24/7 media cycle demands</w:t>
      </w:r>
      <w:r w:rsidR="00FA1246">
        <w:t xml:space="preserve"> ha</w:t>
      </w:r>
      <w:r w:rsidR="00AC1C7D">
        <w:t>ve</w:t>
      </w:r>
      <w:r w:rsidR="00230F84">
        <w:t xml:space="preserve"> </w:t>
      </w:r>
      <w:r w:rsidR="00C50CD0">
        <w:t xml:space="preserve">led to </w:t>
      </w:r>
      <w:r w:rsidR="000E438B">
        <w:t xml:space="preserve">a reported </w:t>
      </w:r>
      <w:r w:rsidR="00C50CD0">
        <w:t>proliferation in</w:t>
      </w:r>
      <w:r w:rsidR="00230F84">
        <w:t xml:space="preserve"> office workloads. </w:t>
      </w:r>
    </w:p>
    <w:p w14:paraId="14622F13" w14:textId="27EC33E5" w:rsidR="00230F84" w:rsidRDefault="00230F84" w:rsidP="000A58A5">
      <w:r>
        <w:t xml:space="preserve">Despite the calls for increased staffing allocation – both electorate and personal – it is not clear to the </w:t>
      </w:r>
      <w:r w:rsidR="00581B72">
        <w:t>R</w:t>
      </w:r>
      <w:r>
        <w:t xml:space="preserve">eview that adding more staff to a system under stress will change the dynamic. Staffing </w:t>
      </w:r>
      <w:r w:rsidR="002F266C">
        <w:t>resources are clearly</w:t>
      </w:r>
      <w:r>
        <w:t xml:space="preserve"> an issue</w:t>
      </w:r>
      <w:r w:rsidR="00BA5D6E">
        <w:t xml:space="preserve"> that needs to be considered further</w:t>
      </w:r>
      <w:r>
        <w:t xml:space="preserve">, but there are </w:t>
      </w:r>
      <w:r w:rsidR="002F266C">
        <w:t>broader</w:t>
      </w:r>
      <w:r>
        <w:t xml:space="preserve"> issues </w:t>
      </w:r>
      <w:r w:rsidR="008D181E">
        <w:t>that may</w:t>
      </w:r>
      <w:r>
        <w:t xml:space="preserve"> not be solved with a blunt </w:t>
      </w:r>
      <w:r w:rsidR="002F266C">
        <w:t>and isolated fix</w:t>
      </w:r>
      <w:r>
        <w:t xml:space="preserve"> of </w:t>
      </w:r>
      <w:r w:rsidR="002F266C">
        <w:t xml:space="preserve">simply </w:t>
      </w:r>
      <w:r w:rsidR="00AC1C7D">
        <w:t>increasing staff numbers</w:t>
      </w:r>
      <w:r w:rsidR="008D181E">
        <w:t>.</w:t>
      </w:r>
      <w:r>
        <w:t xml:space="preserve"> </w:t>
      </w:r>
      <w:r w:rsidR="00BA5D6E">
        <w:t>It is clear that different parliamentarians</w:t>
      </w:r>
      <w:r w:rsidR="00207C75">
        <w:t xml:space="preserve"> have different challenges facing their staffing profile and due consideration needs to be given to the </w:t>
      </w:r>
      <w:r w:rsidR="00F35A4E">
        <w:t xml:space="preserve">breadth of issues, </w:t>
      </w:r>
      <w:r w:rsidR="00207C75">
        <w:t xml:space="preserve">unique </w:t>
      </w:r>
      <w:r w:rsidR="00F35A4E">
        <w:t xml:space="preserve">to </w:t>
      </w:r>
      <w:r w:rsidR="00207C75">
        <w:t>office</w:t>
      </w:r>
      <w:r w:rsidR="00F35A4E">
        <w:t>s</w:t>
      </w:r>
      <w:r w:rsidR="00207C75">
        <w:t>, which this Review is unable to do.</w:t>
      </w:r>
    </w:p>
    <w:p w14:paraId="5B347D1C" w14:textId="372B41D8" w:rsidR="00B2797F" w:rsidRDefault="00B2797F" w:rsidP="00AC1C7D">
      <w:r>
        <w:t>A contributor to the Review said:</w:t>
      </w:r>
    </w:p>
    <w:p w14:paraId="02360608" w14:textId="032CE78D" w:rsidR="00B2797F" w:rsidRPr="00B2797F" w:rsidRDefault="00B2797F" w:rsidP="00E81004">
      <w:pPr>
        <w:ind w:left="720"/>
        <w:rPr>
          <w:i/>
        </w:rPr>
      </w:pPr>
      <w:r w:rsidRPr="00B2797F">
        <w:rPr>
          <w:i/>
        </w:rPr>
        <w:t xml:space="preserve">‘Electorate </w:t>
      </w:r>
      <w:r w:rsidR="00D769E2">
        <w:rPr>
          <w:i/>
        </w:rPr>
        <w:t>o</w:t>
      </w:r>
      <w:r w:rsidRPr="00B2797F">
        <w:rPr>
          <w:i/>
        </w:rPr>
        <w:t>ffice work, particularly case work, has become more complex and increased</w:t>
      </w:r>
      <w:r>
        <w:rPr>
          <w:i/>
        </w:rPr>
        <w:t xml:space="preserve"> in volume particularly since the beginning of the COVID pandemic. </w:t>
      </w:r>
      <w:r w:rsidRPr="00B2797F">
        <w:rPr>
          <w:i/>
        </w:rPr>
        <w:t xml:space="preserve">This should be an input into staffing formulas. Can we track the nature of constituency work over time? Can there be a feedback loop to Departments and Government so that they know where to put resources? </w:t>
      </w:r>
      <w:r>
        <w:rPr>
          <w:i/>
        </w:rPr>
        <w:t xml:space="preserve">If we can get </w:t>
      </w:r>
      <w:r w:rsidRPr="00B2797F">
        <w:rPr>
          <w:i/>
        </w:rPr>
        <w:t xml:space="preserve">this </w:t>
      </w:r>
      <w:r>
        <w:rPr>
          <w:i/>
        </w:rPr>
        <w:t>right</w:t>
      </w:r>
      <w:r w:rsidR="00E42C9A">
        <w:rPr>
          <w:i/>
        </w:rPr>
        <w:t>, it</w:t>
      </w:r>
      <w:r w:rsidR="00903834">
        <w:rPr>
          <w:i/>
        </w:rPr>
        <w:t xml:space="preserve"> </w:t>
      </w:r>
      <w:r w:rsidRPr="00B2797F">
        <w:rPr>
          <w:i/>
        </w:rPr>
        <w:t>might even negate the need for additional Electorate office staff’.</w:t>
      </w:r>
    </w:p>
    <w:p w14:paraId="2E629767" w14:textId="2236B606" w:rsidR="00AC1C7D" w:rsidRDefault="00AC1C7D" w:rsidP="00AC1C7D">
      <w:r>
        <w:t xml:space="preserve">While we heard persuasive </w:t>
      </w:r>
      <w:r w:rsidR="00C26A76">
        <w:t xml:space="preserve">anecdotal </w:t>
      </w:r>
      <w:r>
        <w:t xml:space="preserve">information from a sample of </w:t>
      </w:r>
      <w:r w:rsidR="00C663B2">
        <w:t>current and former</w:t>
      </w:r>
      <w:r>
        <w:t xml:space="preserve"> parliamentarians and MoP(S) Act employees, </w:t>
      </w:r>
      <w:r w:rsidR="00112F39">
        <w:t>the</w:t>
      </w:r>
      <w:r>
        <w:t xml:space="preserve"> Review does not have the requisite data or evidence to underpin a recommendation for specific changes to workplace </w:t>
      </w:r>
      <w:r w:rsidR="00D769E2">
        <w:t>resourcing</w:t>
      </w:r>
      <w:r>
        <w:t xml:space="preserve">. </w:t>
      </w:r>
    </w:p>
    <w:p w14:paraId="0BFF9748" w14:textId="24351BAC" w:rsidR="002F266C" w:rsidRDefault="002F266C" w:rsidP="002F266C">
      <w:r>
        <w:t xml:space="preserve">Workplace pressures and </w:t>
      </w:r>
      <w:r w:rsidR="00961A1A">
        <w:t>the</w:t>
      </w:r>
      <w:r>
        <w:t xml:space="preserve"> adequacy of resources should be addressed in the same way as other modern workplaces – through workforce planning to analyse current and future workplace needs</w:t>
      </w:r>
      <w:r w:rsidR="008C5BA3">
        <w:t>,</w:t>
      </w:r>
      <w:r>
        <w:t xml:space="preserve"> and strategies to meet these using the best resources reasonably available</w:t>
      </w:r>
      <w:r w:rsidR="00C26A76">
        <w:t xml:space="preserve"> within the fiscal capacity</w:t>
      </w:r>
      <w:r>
        <w:t xml:space="preserve">. </w:t>
      </w:r>
    </w:p>
    <w:p w14:paraId="325BA364" w14:textId="77777777" w:rsidR="002F266C" w:rsidRDefault="002F266C" w:rsidP="002F266C">
      <w:r>
        <w:t xml:space="preserve">At its simplest, workforce planning is about having the right number of people with the right skills in the right roles at the right time. Part of the workforce planning process involves understanding the current state including workforce profile, </w:t>
      </w:r>
      <w:r w:rsidRPr="00B939AC">
        <w:t xml:space="preserve">identifying current and future workforce </w:t>
      </w:r>
      <w:r w:rsidRPr="00700695">
        <w:t xml:space="preserve">needs, </w:t>
      </w:r>
      <w:r>
        <w:t xml:space="preserve">reviewing environmental factors that may impact on the workforce, </w:t>
      </w:r>
      <w:r w:rsidRPr="00700695">
        <w:t>gathering data to analyse gaps, investigating strategies and opportunities to address those gaps, and implementing</w:t>
      </w:r>
      <w:r>
        <w:t xml:space="preserve"> strategies to align the workforce with future workplace needs.</w:t>
      </w:r>
    </w:p>
    <w:p w14:paraId="2680C033" w14:textId="77777777" w:rsidR="00E03C34" w:rsidRDefault="00E03C34" w:rsidP="00E03C34">
      <w:r>
        <w:rPr>
          <w:i/>
        </w:rPr>
        <w:t>Method of allocating s</w:t>
      </w:r>
      <w:r w:rsidRPr="00841A36">
        <w:rPr>
          <w:i/>
        </w:rPr>
        <w:t>taff</w:t>
      </w:r>
    </w:p>
    <w:p w14:paraId="345A3E38" w14:textId="49E2F4DE" w:rsidR="00E03C34" w:rsidRDefault="00E03C34" w:rsidP="00E03C34">
      <w:r>
        <w:t xml:space="preserve">We heard strong and consistent concerns about the method by which staffing allocation resources are currently determined under the MoP(S) Act framework.  </w:t>
      </w:r>
    </w:p>
    <w:p w14:paraId="0511B996" w14:textId="77777777" w:rsidR="00E03C34" w:rsidRDefault="00E03C34" w:rsidP="00E03C34">
      <w:r>
        <w:t xml:space="preserve">We considered a range of alternative approaches to the Prime Minister determining staffing allocation such as: </w:t>
      </w:r>
    </w:p>
    <w:p w14:paraId="1409530C" w14:textId="77777777" w:rsidR="00E03C34" w:rsidRDefault="00E03C34" w:rsidP="00E03C34">
      <w:pPr>
        <w:pStyle w:val="BulletedList-Level1"/>
      </w:pPr>
      <w:r>
        <w:t xml:space="preserve">separating out staffing allocation of ministerial employees from other employees; </w:t>
      </w:r>
    </w:p>
    <w:p w14:paraId="44C3C13F" w14:textId="77777777" w:rsidR="00E03C34" w:rsidRDefault="00E03C34" w:rsidP="00E03C34">
      <w:pPr>
        <w:pStyle w:val="BulletedList-Level1"/>
      </w:pPr>
      <w:r>
        <w:t xml:space="preserve">embedding a ratio or formula in the Act; </w:t>
      </w:r>
    </w:p>
    <w:p w14:paraId="24D973D4" w14:textId="77777777" w:rsidR="00E03C34" w:rsidRDefault="00E03C34" w:rsidP="00E03C34">
      <w:pPr>
        <w:pStyle w:val="BulletedList-Level1"/>
      </w:pPr>
      <w:r>
        <w:t>determination by an independent remuneration tribunal; and</w:t>
      </w:r>
    </w:p>
    <w:p w14:paraId="453D5765" w14:textId="77777777" w:rsidR="00E03C34" w:rsidRPr="00E94455" w:rsidRDefault="00E03C34" w:rsidP="00E03C34">
      <w:pPr>
        <w:pStyle w:val="BulletedList-Level1"/>
      </w:pPr>
      <w:r>
        <w:t xml:space="preserve">setting staffing budgets rather than allocating numbers. </w:t>
      </w:r>
    </w:p>
    <w:p w14:paraId="5D4E8D30" w14:textId="7A95A22E" w:rsidR="00E03C34" w:rsidRDefault="00E03C34" w:rsidP="00E03C34">
      <w:r w:rsidRPr="00E94455">
        <w:t>From</w:t>
      </w:r>
      <w:r>
        <w:t xml:space="preserve"> the Review’s high-level consideration of </w:t>
      </w:r>
      <w:r w:rsidRPr="00E94455">
        <w:t xml:space="preserve">the approaches in </w:t>
      </w:r>
      <w:r>
        <w:t xml:space="preserve">other </w:t>
      </w:r>
      <w:r w:rsidRPr="00E94455">
        <w:t xml:space="preserve">jurisdictions </w:t>
      </w:r>
      <w:r w:rsidR="00A916AD">
        <w:t>–</w:t>
      </w:r>
      <w:r w:rsidRPr="00E94455">
        <w:t xml:space="preserve"> each with their strengths and weaknesses </w:t>
      </w:r>
      <w:r w:rsidR="00A916AD">
        <w:t>–</w:t>
      </w:r>
      <w:r w:rsidRPr="00E94455">
        <w:t xml:space="preserve"> it is not clear that </w:t>
      </w:r>
      <w:r>
        <w:t>applying an alternative ap</w:t>
      </w:r>
      <w:r w:rsidRPr="00E94455">
        <w:t xml:space="preserve">proach would </w:t>
      </w:r>
      <w:r>
        <w:t xml:space="preserve">change the </w:t>
      </w:r>
      <w:r w:rsidRPr="00E94455">
        <w:t xml:space="preserve">outcomes </w:t>
      </w:r>
      <w:r>
        <w:t xml:space="preserve">and </w:t>
      </w:r>
      <w:r w:rsidRPr="00E94455">
        <w:t xml:space="preserve">address the </w:t>
      </w:r>
      <w:r>
        <w:t xml:space="preserve">key </w:t>
      </w:r>
      <w:r w:rsidRPr="00E94455">
        <w:t>issue</w:t>
      </w:r>
      <w:r>
        <w:t xml:space="preserve"> raised, which is for staffing allocation to be increased</w:t>
      </w:r>
      <w:r w:rsidRPr="00E94455">
        <w:t>.</w:t>
      </w:r>
      <w:r>
        <w:t xml:space="preserve"> For example: the current statutory ratio for staffing allocation in the Victorian model sets an independent staff allocation at one with no discretion to increase this number. This approach arbitrarily determines numbers of staff for non-government parties without </w:t>
      </w:r>
      <w:r w:rsidR="00E13859">
        <w:t xml:space="preserve">flexibility to have </w:t>
      </w:r>
      <w:r>
        <w:t xml:space="preserve">regard to a member’s parliamentary duties or role in the composition of the parliament. In jurisdictions where there is an independent remuneration tribunal which can determine staffing allocation, there is no guaranteed allocation of staff, and the tribunal (considering all relevant factors) may not make a finding for an increase in staff (or any staffing allocation at all). </w:t>
      </w:r>
    </w:p>
    <w:p w14:paraId="3998476E" w14:textId="1FEF6A67" w:rsidR="00C82BEE" w:rsidRDefault="00315FAC" w:rsidP="00E03C34">
      <w:r>
        <w:t xml:space="preserve">Any </w:t>
      </w:r>
      <w:r w:rsidR="00CE327F">
        <w:t xml:space="preserve">recommendation to change the </w:t>
      </w:r>
      <w:r w:rsidR="00E7574D">
        <w:t xml:space="preserve">method of </w:t>
      </w:r>
      <w:r w:rsidR="00112F39">
        <w:t>staffing allocation</w:t>
      </w:r>
      <w:r w:rsidR="00E03C34">
        <w:t>, irrespective of where that power is vested, would need to have regard to an evidence base for change.</w:t>
      </w:r>
      <w:r w:rsidR="00C82BEE">
        <w:t xml:space="preserve"> </w:t>
      </w:r>
    </w:p>
    <w:p w14:paraId="5075B142" w14:textId="11D2D9A0" w:rsidR="00AC1C7D" w:rsidRDefault="00AC1C7D" w:rsidP="00ED2C8E">
      <w:pPr>
        <w:keepNext/>
      </w:pPr>
      <w:r>
        <w:rPr>
          <w:i/>
        </w:rPr>
        <w:t>OPSC workplace review</w:t>
      </w:r>
    </w:p>
    <w:p w14:paraId="2A4E011B" w14:textId="2BB7799B" w:rsidR="002F266C" w:rsidRDefault="00690D3F" w:rsidP="002A7939">
      <w:pPr>
        <w:keepNext/>
      </w:pPr>
      <w:r w:rsidRPr="00690D3F">
        <w:t>The OPSC</w:t>
      </w:r>
      <w:r w:rsidR="00447583">
        <w:t>, once established,</w:t>
      </w:r>
      <w:r w:rsidRPr="00690D3F">
        <w:t xml:space="preserve"> should undertake a review </w:t>
      </w:r>
      <w:r w:rsidR="00AC1C7D">
        <w:t xml:space="preserve">of </w:t>
      </w:r>
      <w:r w:rsidR="008C5BA3" w:rsidRPr="008C5BA3">
        <w:t xml:space="preserve">the factors affecting workloads in all offices, including support systems and processes, and external factors such as the adequacy of government </w:t>
      </w:r>
      <w:r w:rsidR="006F62BD">
        <w:t>s</w:t>
      </w:r>
      <w:r w:rsidR="008C5BA3" w:rsidRPr="008C5BA3">
        <w:t>ervices and electorate composition, to inform an evidence-based consideration of office and staffing resources, in particular for electorate offices.</w:t>
      </w:r>
    </w:p>
    <w:p w14:paraId="389A4162" w14:textId="3C77292F" w:rsidR="002564CF" w:rsidRDefault="00EB45D9" w:rsidP="006F62BD">
      <w:r>
        <w:t xml:space="preserve">Factors the OPSC could consider </w:t>
      </w:r>
      <w:r w:rsidR="00A8343A">
        <w:t xml:space="preserve">are set out in </w:t>
      </w:r>
      <w:r w:rsidR="00A8343A" w:rsidRPr="000A2E60">
        <w:t xml:space="preserve">the </w:t>
      </w:r>
      <w:r w:rsidR="00A8343A" w:rsidRPr="00432D2D">
        <w:t>table below</w:t>
      </w:r>
      <w:r w:rsidR="000567A3" w:rsidRPr="000A2E60">
        <w:t>.</w:t>
      </w:r>
    </w:p>
    <w:tbl>
      <w:tblPr>
        <w:tblStyle w:val="GridTable5Dark-Accent1"/>
        <w:tblW w:w="0" w:type="auto"/>
        <w:tblLook w:val="04A0" w:firstRow="1" w:lastRow="0" w:firstColumn="1" w:lastColumn="0" w:noHBand="0" w:noVBand="1"/>
        <w:tblDescription w:val="Evidence-gathering by OPSC: Factors affecting staffing &#10;Electorate Composition • increased electorate populations &#10;• the impact of constituent demography on workloads&#10;Government Services • adequacy of government services – including casework load linked to government services (such as Centrelink, aged care, NDIA, immigration services, passports) and grants processes&#10;• relationships between offices and government service providers&#10;Parliamentarian functions • workload and work hours, including functions, additional responsibilities, duties, and associated workload of the parliamentarian and staff&#10;• composition of parliament and role the parliamentarian plays in the business of parliament&#10;Support systems and processes • current systems and processes (e.g.: template correspondence and forms, guidance for grants administration)&#10;• any administrative burdens on office operations &#10;Technology • current ICT resources (e.g.: laptops, email functionality, CRM databases, content management systems, integration of systems across the parliamentary network, software and program offerings, remote working functionality) &#10;Training • training needs (e.g.: handling difficult interactions with members of the public; efficient use of IT resources; Bill scrutiny training)&#10;Staffing resources • current workforce profile &#10;• level of shared support (e.g.: from party, or colleagues) and parliamentary resources (e.g.: library, PBO) &#10;• adequacy of staffing levels – particularly for electorate offices, where staffing allocation has not changed for 15 years &#10;• supplementary or alternative labour options – including casuals, part-time employees, and the appropriateness of volunteers or trainees &#10;"/>
      </w:tblPr>
      <w:tblGrid>
        <w:gridCol w:w="1980"/>
        <w:gridCol w:w="7648"/>
      </w:tblGrid>
      <w:tr w:rsidR="000567A3" w14:paraId="46E33A1B" w14:textId="77777777" w:rsidTr="00CC77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8" w:type="dxa"/>
            <w:gridSpan w:val="2"/>
          </w:tcPr>
          <w:p w14:paraId="5A248A87" w14:textId="21B38C97" w:rsidR="000567A3" w:rsidRDefault="007A777A" w:rsidP="002A7939">
            <w:pPr>
              <w:keepNext/>
              <w:keepLines/>
            </w:pPr>
            <w:r>
              <w:t xml:space="preserve">Evidence-gathering by OPSC: Factors affecting </w:t>
            </w:r>
            <w:r w:rsidR="000567A3">
              <w:t xml:space="preserve">staffing </w:t>
            </w:r>
          </w:p>
        </w:tc>
      </w:tr>
      <w:tr w:rsidR="00DF35C1" w14:paraId="0F46B8BD" w14:textId="77777777" w:rsidTr="000D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36A969" w14:textId="79D9479B" w:rsidR="00DF35C1" w:rsidRDefault="00DF35C1" w:rsidP="00875749">
            <w:r>
              <w:t>Electorate Composition</w:t>
            </w:r>
          </w:p>
        </w:tc>
        <w:tc>
          <w:tcPr>
            <w:tcW w:w="7648" w:type="dxa"/>
            <w:shd w:val="clear" w:color="auto" w:fill="F2F2F2" w:themeFill="background1" w:themeFillShade="F2"/>
          </w:tcPr>
          <w:p w14:paraId="7D0F6BB7" w14:textId="6AE344BC" w:rsidR="00DF35C1" w:rsidRDefault="00DF35C1" w:rsidP="000D47C9">
            <w:pPr>
              <w:pStyle w:val="BulletedList-Level1"/>
              <w:cnfStyle w:val="000000100000" w:firstRow="0" w:lastRow="0" w:firstColumn="0" w:lastColumn="0" w:oddVBand="0" w:evenVBand="0" w:oddHBand="1" w:evenHBand="0" w:firstRowFirstColumn="0" w:firstRowLastColumn="0" w:lastRowFirstColumn="0" w:lastRowLastColumn="0"/>
            </w:pPr>
            <w:r>
              <w:t xml:space="preserve">increased electorate populations </w:t>
            </w:r>
          </w:p>
          <w:p w14:paraId="63BAC5E4" w14:textId="7B6E0EB2" w:rsidR="00DF35C1" w:rsidRDefault="00DF35C1">
            <w:pPr>
              <w:pStyle w:val="BulletedList-Level1"/>
              <w:cnfStyle w:val="000000100000" w:firstRow="0" w:lastRow="0" w:firstColumn="0" w:lastColumn="0" w:oddVBand="0" w:evenVBand="0" w:oddHBand="1" w:evenHBand="0" w:firstRowFirstColumn="0" w:firstRowLastColumn="0" w:lastRowFirstColumn="0" w:lastRowLastColumn="0"/>
            </w:pPr>
            <w:r>
              <w:t>the impact of constituent demography on workloads</w:t>
            </w:r>
          </w:p>
        </w:tc>
      </w:tr>
      <w:tr w:rsidR="00DF35C1" w14:paraId="202E840B" w14:textId="77777777" w:rsidTr="00815C78">
        <w:tc>
          <w:tcPr>
            <w:cnfStyle w:val="001000000000" w:firstRow="0" w:lastRow="0" w:firstColumn="1" w:lastColumn="0" w:oddVBand="0" w:evenVBand="0" w:oddHBand="0" w:evenHBand="0" w:firstRowFirstColumn="0" w:firstRowLastColumn="0" w:lastRowFirstColumn="0" w:lastRowLastColumn="0"/>
            <w:tcW w:w="1980" w:type="dxa"/>
          </w:tcPr>
          <w:p w14:paraId="784050FD" w14:textId="07C0BB89" w:rsidR="00DF35C1" w:rsidRDefault="00DF35C1" w:rsidP="00ED2C8E">
            <w:pPr>
              <w:keepNext/>
              <w:keepLines/>
            </w:pPr>
            <w:r>
              <w:t>Government Services</w:t>
            </w:r>
          </w:p>
        </w:tc>
        <w:tc>
          <w:tcPr>
            <w:tcW w:w="7648" w:type="dxa"/>
            <w:shd w:val="clear" w:color="auto" w:fill="F2F2F2" w:themeFill="background1" w:themeFillShade="F2"/>
          </w:tcPr>
          <w:p w14:paraId="1F165334" w14:textId="1C46E1A4" w:rsidR="00DF35C1" w:rsidRDefault="00DF35C1" w:rsidP="00DF35C1">
            <w:pPr>
              <w:pStyle w:val="BulletedList-Level1"/>
              <w:cnfStyle w:val="000000000000" w:firstRow="0" w:lastRow="0" w:firstColumn="0" w:lastColumn="0" w:oddVBand="0" w:evenVBand="0" w:oddHBand="0" w:evenHBand="0" w:firstRowFirstColumn="0" w:firstRowLastColumn="0" w:lastRowFirstColumn="0" w:lastRowLastColumn="0"/>
            </w:pPr>
            <w:r>
              <w:t>a</w:t>
            </w:r>
            <w:r w:rsidRPr="00082B02">
              <w:t>dequacy of government services</w:t>
            </w:r>
            <w:r>
              <w:t xml:space="preserve"> – including </w:t>
            </w:r>
            <w:r w:rsidRPr="008957FE">
              <w:t xml:space="preserve">casework load linked to government services </w:t>
            </w:r>
            <w:r>
              <w:t>(such as Centrelink, aged care, NDIA, immigration services</w:t>
            </w:r>
            <w:r w:rsidR="00F8405C">
              <w:t>, passports</w:t>
            </w:r>
            <w:r>
              <w:t>) and grants processes</w:t>
            </w:r>
          </w:p>
          <w:p w14:paraId="566FF59E" w14:textId="3682BC98" w:rsidR="00DF35C1" w:rsidRDefault="00DF35C1" w:rsidP="00DF35C1">
            <w:pPr>
              <w:pStyle w:val="BulletedList-Level1"/>
              <w:keepNext/>
              <w:keepLines/>
              <w:cnfStyle w:val="000000000000" w:firstRow="0" w:lastRow="0" w:firstColumn="0" w:lastColumn="0" w:oddVBand="0" w:evenVBand="0" w:oddHBand="0" w:evenHBand="0" w:firstRowFirstColumn="0" w:firstRowLastColumn="0" w:lastRowFirstColumn="0" w:lastRowLastColumn="0"/>
            </w:pPr>
            <w:r>
              <w:t>relationships between offices and government service providers</w:t>
            </w:r>
          </w:p>
        </w:tc>
      </w:tr>
      <w:tr w:rsidR="008957FE" w14:paraId="1D9556BC" w14:textId="77777777" w:rsidTr="0081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38E837" w14:textId="30489A68" w:rsidR="008957FE" w:rsidRDefault="008957FE" w:rsidP="00ED2C8E">
            <w:pPr>
              <w:keepNext/>
              <w:keepLines/>
            </w:pPr>
            <w:r>
              <w:t>Parliamentar</w:t>
            </w:r>
            <w:r w:rsidR="000A2E60">
              <w:t>ian</w:t>
            </w:r>
            <w:r>
              <w:t xml:space="preserve"> functions</w:t>
            </w:r>
          </w:p>
        </w:tc>
        <w:tc>
          <w:tcPr>
            <w:tcW w:w="7648" w:type="dxa"/>
            <w:shd w:val="clear" w:color="auto" w:fill="F2F2F2" w:themeFill="background1" w:themeFillShade="F2"/>
          </w:tcPr>
          <w:p w14:paraId="192DF673" w14:textId="5554A608" w:rsidR="000A2E60" w:rsidRDefault="00C90BE2" w:rsidP="00ED2C8E">
            <w:pPr>
              <w:pStyle w:val="BulletedList-Level1"/>
              <w:keepNext/>
              <w:keepLines/>
              <w:cnfStyle w:val="000000100000" w:firstRow="0" w:lastRow="0" w:firstColumn="0" w:lastColumn="0" w:oddVBand="0" w:evenVBand="0" w:oddHBand="1" w:evenHBand="0" w:firstRowFirstColumn="0" w:firstRowLastColumn="0" w:lastRowFirstColumn="0" w:lastRowLastColumn="0"/>
            </w:pPr>
            <w:r>
              <w:t>w</w:t>
            </w:r>
            <w:r w:rsidR="000A2E60">
              <w:t>orkload</w:t>
            </w:r>
            <w:r w:rsidR="00480526">
              <w:t xml:space="preserve"> and work hours</w:t>
            </w:r>
            <w:r w:rsidR="000A2E60">
              <w:t xml:space="preserve">, including </w:t>
            </w:r>
            <w:r w:rsidR="008957FE">
              <w:t>functions</w:t>
            </w:r>
            <w:r w:rsidR="002F266C">
              <w:t>,</w:t>
            </w:r>
            <w:r w:rsidR="000A2E60">
              <w:t xml:space="preserve"> additional responsibilities, </w:t>
            </w:r>
            <w:r w:rsidR="008957FE">
              <w:t>duties</w:t>
            </w:r>
            <w:r w:rsidR="002F266C">
              <w:t>,</w:t>
            </w:r>
            <w:r w:rsidR="008957FE">
              <w:t xml:space="preserve"> and </w:t>
            </w:r>
            <w:r w:rsidR="000A2E60">
              <w:t xml:space="preserve">associated </w:t>
            </w:r>
            <w:r w:rsidR="008957FE">
              <w:t>workload of the parliamentarian</w:t>
            </w:r>
            <w:r w:rsidR="000A2E60">
              <w:t xml:space="preserve"> and staff</w:t>
            </w:r>
          </w:p>
          <w:p w14:paraId="2031479F" w14:textId="796F55E7" w:rsidR="008957FE" w:rsidRDefault="00C90BE2" w:rsidP="002A7939">
            <w:pPr>
              <w:pStyle w:val="BulletedList-Level1"/>
              <w:keepNext/>
              <w:keepLines/>
              <w:cnfStyle w:val="000000100000" w:firstRow="0" w:lastRow="0" w:firstColumn="0" w:lastColumn="0" w:oddVBand="0" w:evenVBand="0" w:oddHBand="1" w:evenHBand="0" w:firstRowFirstColumn="0" w:firstRowLastColumn="0" w:lastRowFirstColumn="0" w:lastRowLastColumn="0"/>
            </w:pPr>
            <w:r>
              <w:t>c</w:t>
            </w:r>
            <w:r w:rsidR="006E196E">
              <w:t>omposition of parliament and r</w:t>
            </w:r>
            <w:r w:rsidR="000A2E60">
              <w:t>ole the parliamentarian plays in the business of parliament</w:t>
            </w:r>
          </w:p>
        </w:tc>
      </w:tr>
      <w:tr w:rsidR="008957FE" w14:paraId="23990C22" w14:textId="77777777" w:rsidTr="00815C78">
        <w:tc>
          <w:tcPr>
            <w:cnfStyle w:val="001000000000" w:firstRow="0" w:lastRow="0" w:firstColumn="1" w:lastColumn="0" w:oddVBand="0" w:evenVBand="0" w:oddHBand="0" w:evenHBand="0" w:firstRowFirstColumn="0" w:firstRowLastColumn="0" w:lastRowFirstColumn="0" w:lastRowLastColumn="0"/>
            <w:tcW w:w="1980" w:type="dxa"/>
          </w:tcPr>
          <w:p w14:paraId="4503B0B0" w14:textId="77777777" w:rsidR="008957FE" w:rsidRDefault="008957FE" w:rsidP="000839C4">
            <w:r>
              <w:t>Support systems and processes</w:t>
            </w:r>
          </w:p>
        </w:tc>
        <w:tc>
          <w:tcPr>
            <w:tcW w:w="7648" w:type="dxa"/>
            <w:shd w:val="clear" w:color="auto" w:fill="F2F2F2" w:themeFill="background1" w:themeFillShade="F2"/>
          </w:tcPr>
          <w:p w14:paraId="1585ACE8" w14:textId="0E019707" w:rsidR="008957FE" w:rsidRDefault="00C90BE2" w:rsidP="00815C78">
            <w:pPr>
              <w:pStyle w:val="BulletedList-Level1"/>
              <w:cnfStyle w:val="000000000000" w:firstRow="0" w:lastRow="0" w:firstColumn="0" w:lastColumn="0" w:oddVBand="0" w:evenVBand="0" w:oddHBand="0" w:evenHBand="0" w:firstRowFirstColumn="0" w:firstRowLastColumn="0" w:lastRowFirstColumn="0" w:lastRowLastColumn="0"/>
            </w:pPr>
            <w:r>
              <w:t>c</w:t>
            </w:r>
            <w:r w:rsidR="005A74F5">
              <w:t>urrent systems and processes (e.g</w:t>
            </w:r>
            <w:r w:rsidR="00A7045A">
              <w:t>.</w:t>
            </w:r>
            <w:r w:rsidR="005A74F5">
              <w:t xml:space="preserve">: </w:t>
            </w:r>
            <w:r w:rsidR="002F266C">
              <w:t>template correspondence and forms, guidance for grants administration</w:t>
            </w:r>
            <w:r w:rsidR="005A74F5">
              <w:t>)</w:t>
            </w:r>
          </w:p>
          <w:p w14:paraId="025F785C" w14:textId="168F7B8E" w:rsidR="008957FE" w:rsidRPr="00082B02" w:rsidRDefault="00C90BE2" w:rsidP="00815C78">
            <w:pPr>
              <w:pStyle w:val="BulletedList-Level1"/>
              <w:cnfStyle w:val="000000000000" w:firstRow="0" w:lastRow="0" w:firstColumn="0" w:lastColumn="0" w:oddVBand="0" w:evenVBand="0" w:oddHBand="0" w:evenHBand="0" w:firstRowFirstColumn="0" w:firstRowLastColumn="0" w:lastRowFirstColumn="0" w:lastRowLastColumn="0"/>
            </w:pPr>
            <w:r>
              <w:t>a</w:t>
            </w:r>
            <w:r w:rsidR="002F266C">
              <w:t xml:space="preserve">ny administrative burdens on office operations </w:t>
            </w:r>
          </w:p>
        </w:tc>
      </w:tr>
      <w:tr w:rsidR="008D181E" w14:paraId="28D2478E" w14:textId="77777777" w:rsidTr="0081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A359DE" w14:textId="770D37BE" w:rsidR="008D181E" w:rsidRDefault="008D181E" w:rsidP="000839C4">
            <w:r>
              <w:t>Technology</w:t>
            </w:r>
          </w:p>
        </w:tc>
        <w:tc>
          <w:tcPr>
            <w:tcW w:w="7648" w:type="dxa"/>
            <w:shd w:val="clear" w:color="auto" w:fill="F2F2F2" w:themeFill="background1" w:themeFillShade="F2"/>
          </w:tcPr>
          <w:p w14:paraId="37BB55AB" w14:textId="01100B8D" w:rsidR="008D181E" w:rsidRDefault="00C90BE2" w:rsidP="008D181E">
            <w:pPr>
              <w:pStyle w:val="BulletedList-Level1"/>
              <w:cnfStyle w:val="000000100000" w:firstRow="0" w:lastRow="0" w:firstColumn="0" w:lastColumn="0" w:oddVBand="0" w:evenVBand="0" w:oddHBand="1" w:evenHBand="0" w:firstRowFirstColumn="0" w:firstRowLastColumn="0" w:lastRowFirstColumn="0" w:lastRowLastColumn="0"/>
            </w:pPr>
            <w:r>
              <w:t>c</w:t>
            </w:r>
            <w:r w:rsidR="008D181E">
              <w:t>urrent ICT resources (e.g</w:t>
            </w:r>
            <w:r w:rsidR="00A7045A">
              <w:t>.</w:t>
            </w:r>
            <w:r w:rsidR="008D181E">
              <w:t>: laptops</w:t>
            </w:r>
            <w:r w:rsidR="002F266C">
              <w:t xml:space="preserve">, email functionality, </w:t>
            </w:r>
            <w:r w:rsidR="00404A13">
              <w:t xml:space="preserve">CRM databases, </w:t>
            </w:r>
            <w:r w:rsidR="00216E22">
              <w:t xml:space="preserve">content management systems, </w:t>
            </w:r>
            <w:r w:rsidR="002F266C">
              <w:t>integration of systems across the parliamentary network, software and program offerings, remote working functionality</w:t>
            </w:r>
            <w:r w:rsidR="008D181E">
              <w:t xml:space="preserve">) </w:t>
            </w:r>
          </w:p>
        </w:tc>
      </w:tr>
      <w:tr w:rsidR="002564CF" w14:paraId="5702B2F4" w14:textId="77777777" w:rsidTr="00815C78">
        <w:tc>
          <w:tcPr>
            <w:cnfStyle w:val="001000000000" w:firstRow="0" w:lastRow="0" w:firstColumn="1" w:lastColumn="0" w:oddVBand="0" w:evenVBand="0" w:oddHBand="0" w:evenHBand="0" w:firstRowFirstColumn="0" w:firstRowLastColumn="0" w:lastRowFirstColumn="0" w:lastRowLastColumn="0"/>
            <w:tcW w:w="1980" w:type="dxa"/>
          </w:tcPr>
          <w:p w14:paraId="358E8FDF" w14:textId="77777777" w:rsidR="002564CF" w:rsidRDefault="008957FE" w:rsidP="000839C4">
            <w:r>
              <w:t>Training</w:t>
            </w:r>
          </w:p>
        </w:tc>
        <w:tc>
          <w:tcPr>
            <w:tcW w:w="7648" w:type="dxa"/>
            <w:shd w:val="clear" w:color="auto" w:fill="F2F2F2" w:themeFill="background1" w:themeFillShade="F2"/>
          </w:tcPr>
          <w:p w14:paraId="39323AB3" w14:textId="058AA9EA" w:rsidR="002564CF" w:rsidRPr="00082B02" w:rsidRDefault="000F5DAF" w:rsidP="0002141F">
            <w:pPr>
              <w:pStyle w:val="BulletedList-Level1"/>
              <w:cnfStyle w:val="000000000000" w:firstRow="0" w:lastRow="0" w:firstColumn="0" w:lastColumn="0" w:oddVBand="0" w:evenVBand="0" w:oddHBand="0" w:evenHBand="0" w:firstRowFirstColumn="0" w:firstRowLastColumn="0" w:lastRowFirstColumn="0" w:lastRowLastColumn="0"/>
            </w:pPr>
            <w:r>
              <w:t>t</w:t>
            </w:r>
            <w:r w:rsidR="008957FE" w:rsidRPr="00082B02">
              <w:t xml:space="preserve">raining needs </w:t>
            </w:r>
            <w:r w:rsidR="00D4328C">
              <w:t>(e.g.</w:t>
            </w:r>
            <w:r w:rsidR="00E13859">
              <w:t>:</w:t>
            </w:r>
            <w:r w:rsidR="008957FE" w:rsidRPr="00082B02">
              <w:t xml:space="preserve"> </w:t>
            </w:r>
            <w:r>
              <w:t>handling</w:t>
            </w:r>
            <w:r w:rsidR="008957FE">
              <w:t xml:space="preserve"> difficult interactions with members of the public</w:t>
            </w:r>
            <w:r w:rsidR="00375979">
              <w:t>; efficient use of IT resources; Bill scrutiny training</w:t>
            </w:r>
            <w:r>
              <w:t>)</w:t>
            </w:r>
          </w:p>
        </w:tc>
      </w:tr>
      <w:tr w:rsidR="00F8405C" w14:paraId="40308313" w14:textId="77777777" w:rsidTr="002B3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40AC5E" w14:textId="0C1B5572" w:rsidR="00F8405C" w:rsidRDefault="00F8405C" w:rsidP="002B3A94">
            <w:r>
              <w:t>Staffing resources</w:t>
            </w:r>
          </w:p>
        </w:tc>
        <w:tc>
          <w:tcPr>
            <w:tcW w:w="7648" w:type="dxa"/>
            <w:shd w:val="clear" w:color="auto" w:fill="F2F2F2" w:themeFill="background1" w:themeFillShade="F2"/>
          </w:tcPr>
          <w:p w14:paraId="4B215535" w14:textId="77777777" w:rsidR="00F8405C" w:rsidRPr="00530B84" w:rsidRDefault="00F8405C" w:rsidP="002B3A94">
            <w:pPr>
              <w:pStyle w:val="BulletedList-Level1"/>
              <w:cnfStyle w:val="000000100000" w:firstRow="0" w:lastRow="0" w:firstColumn="0" w:lastColumn="0" w:oddVBand="0" w:evenVBand="0" w:oddHBand="1" w:evenHBand="0" w:firstRowFirstColumn="0" w:firstRowLastColumn="0" w:lastRowFirstColumn="0" w:lastRowLastColumn="0"/>
            </w:pPr>
            <w:r>
              <w:t>c</w:t>
            </w:r>
            <w:r w:rsidRPr="00082B02">
              <w:t xml:space="preserve">urrent workforce profile </w:t>
            </w:r>
          </w:p>
          <w:p w14:paraId="58CEC1E5" w14:textId="77777777" w:rsidR="00F8405C" w:rsidRDefault="00F8405C" w:rsidP="002B3A94">
            <w:pPr>
              <w:pStyle w:val="BulletedList-Level1"/>
              <w:cnfStyle w:val="000000100000" w:firstRow="0" w:lastRow="0" w:firstColumn="0" w:lastColumn="0" w:oddVBand="0" w:evenVBand="0" w:oddHBand="1" w:evenHBand="0" w:firstRowFirstColumn="0" w:firstRowLastColumn="0" w:lastRowFirstColumn="0" w:lastRowLastColumn="0"/>
            </w:pPr>
            <w:r>
              <w:t xml:space="preserve">level of shared support (e.g.: from party, or colleagues) and parliamentary resources (e.g.: library, PBO) </w:t>
            </w:r>
          </w:p>
          <w:p w14:paraId="0EF160C3" w14:textId="77777777" w:rsidR="00F8405C" w:rsidRDefault="00F8405C" w:rsidP="002B3A94">
            <w:pPr>
              <w:pStyle w:val="BulletedList-Level1"/>
              <w:cnfStyle w:val="000000100000" w:firstRow="0" w:lastRow="0" w:firstColumn="0" w:lastColumn="0" w:oddVBand="0" w:evenVBand="0" w:oddHBand="1" w:evenHBand="0" w:firstRowFirstColumn="0" w:firstRowLastColumn="0" w:lastRowFirstColumn="0" w:lastRowLastColumn="0"/>
            </w:pPr>
            <w:r>
              <w:t>a</w:t>
            </w:r>
            <w:r w:rsidRPr="00082B02">
              <w:t>dequacy of staffing levels</w:t>
            </w:r>
            <w:r>
              <w:t xml:space="preserve"> – particularly for electorate offices, where staffing allocation has not changed for 15 years </w:t>
            </w:r>
          </w:p>
          <w:p w14:paraId="5D19C1E6" w14:textId="77777777" w:rsidR="00F8405C" w:rsidRDefault="00F8405C" w:rsidP="002B3A94">
            <w:pPr>
              <w:pStyle w:val="BulletedList-Level1"/>
              <w:cnfStyle w:val="000000100000" w:firstRow="0" w:lastRow="0" w:firstColumn="0" w:lastColumn="0" w:oddVBand="0" w:evenVBand="0" w:oddHBand="1" w:evenHBand="0" w:firstRowFirstColumn="0" w:firstRowLastColumn="0" w:lastRowFirstColumn="0" w:lastRowLastColumn="0"/>
            </w:pPr>
            <w:r w:rsidRPr="00082B02">
              <w:t>supplementary or alternative labour options</w:t>
            </w:r>
            <w:r>
              <w:t xml:space="preserve"> – including</w:t>
            </w:r>
            <w:r w:rsidRPr="008957FE">
              <w:t xml:space="preserve"> casuals, part-time employees</w:t>
            </w:r>
            <w:r>
              <w:t xml:space="preserve">, and the appropriateness </w:t>
            </w:r>
            <w:r w:rsidRPr="008957FE">
              <w:t>of volunteers</w:t>
            </w:r>
            <w:r>
              <w:t xml:space="preserve"> or trainees</w:t>
            </w:r>
            <w:r w:rsidRPr="008957FE">
              <w:t xml:space="preserve"> </w:t>
            </w:r>
          </w:p>
        </w:tc>
      </w:tr>
    </w:tbl>
    <w:p w14:paraId="14D3A810" w14:textId="77777777" w:rsidR="00E8469A" w:rsidRDefault="00E8469A" w:rsidP="005A74F5"/>
    <w:p w14:paraId="79BED15C" w14:textId="77911B5D" w:rsidR="005A74F5" w:rsidRDefault="005A74F5" w:rsidP="005A74F5">
      <w:r>
        <w:t xml:space="preserve">As part of the </w:t>
      </w:r>
      <w:r w:rsidR="002F266C">
        <w:t>review</w:t>
      </w:r>
      <w:r>
        <w:t xml:space="preserve">, the OPSC should consider: </w:t>
      </w:r>
    </w:p>
    <w:p w14:paraId="2872BCEC" w14:textId="6EECD17B" w:rsidR="005A74F5" w:rsidRPr="009F7540" w:rsidRDefault="00375979" w:rsidP="009F7540">
      <w:pPr>
        <w:pStyle w:val="BulletedList-Level1"/>
      </w:pPr>
      <w:r>
        <w:t>f</w:t>
      </w:r>
      <w:r w:rsidR="005A74F5" w:rsidRPr="009F7540">
        <w:t>ormula</w:t>
      </w:r>
      <w:r w:rsidR="008C5BA3">
        <w:t>s</w:t>
      </w:r>
      <w:r w:rsidR="008367C5">
        <w:t>/</w:t>
      </w:r>
      <w:r w:rsidR="005A74F5" w:rsidRPr="009F7540">
        <w:t xml:space="preserve">metrics that can be used to </w:t>
      </w:r>
      <w:r w:rsidR="002F266C">
        <w:t>calculate</w:t>
      </w:r>
      <w:r w:rsidR="005A74F5" w:rsidRPr="009F7540">
        <w:t xml:space="preserve"> electorate and personal staff resourcing</w:t>
      </w:r>
      <w:r w:rsidR="002F266C">
        <w:t xml:space="preserve"> needs</w:t>
      </w:r>
    </w:p>
    <w:p w14:paraId="5937AF2F" w14:textId="33F9A126" w:rsidR="005A74F5" w:rsidRPr="009F7540" w:rsidRDefault="00375979" w:rsidP="009F7540">
      <w:pPr>
        <w:pStyle w:val="BulletedList-Level1"/>
      </w:pPr>
      <w:r>
        <w:t>m</w:t>
      </w:r>
      <w:r w:rsidR="005A74F5" w:rsidRPr="009F7540">
        <w:t>apping – existing key systems and processes</w:t>
      </w:r>
    </w:p>
    <w:p w14:paraId="484887A6" w14:textId="0B52948E" w:rsidR="005A74F5" w:rsidRPr="009F7540" w:rsidRDefault="00375979" w:rsidP="009F7540">
      <w:pPr>
        <w:pStyle w:val="BulletedList-Level1"/>
      </w:pPr>
      <w:r>
        <w:t>g</w:t>
      </w:r>
      <w:r w:rsidR="005A74F5" w:rsidRPr="009F7540">
        <w:t>ap analysis – identifying any gaps, under-capacity, or scope for improvement</w:t>
      </w:r>
    </w:p>
    <w:p w14:paraId="3AAE9749" w14:textId="16DAD319" w:rsidR="005A74F5" w:rsidRPr="009F7540" w:rsidRDefault="00375979" w:rsidP="009F7540">
      <w:pPr>
        <w:pStyle w:val="BulletedList-Level1"/>
      </w:pPr>
      <w:r>
        <w:t>c</w:t>
      </w:r>
      <w:r w:rsidR="005A74F5" w:rsidRPr="009F7540">
        <w:t xml:space="preserve">ostings of any proposed </w:t>
      </w:r>
      <w:r w:rsidR="002F266C">
        <w:t>resourcing</w:t>
      </w:r>
      <w:r w:rsidR="005A74F5" w:rsidRPr="009F7540">
        <w:t xml:space="preserve"> changes</w:t>
      </w:r>
      <w:r w:rsidR="002F266C">
        <w:t>, particularly</w:t>
      </w:r>
      <w:r w:rsidR="005A74F5" w:rsidRPr="009F7540">
        <w:t xml:space="preserve"> in </w:t>
      </w:r>
      <w:r w:rsidR="002F266C">
        <w:t>relation</w:t>
      </w:r>
      <w:r w:rsidR="005A74F5" w:rsidRPr="009F7540">
        <w:t xml:space="preserve"> to staffing allocation</w:t>
      </w:r>
    </w:p>
    <w:p w14:paraId="12A1B9BF" w14:textId="4E71FDE6" w:rsidR="005A74F5" w:rsidRDefault="00375979" w:rsidP="009F7540">
      <w:pPr>
        <w:pStyle w:val="BulletedList-Level1"/>
      </w:pPr>
      <w:r>
        <w:t>r</w:t>
      </w:r>
      <w:r w:rsidR="005A74F5" w:rsidRPr="009F7540">
        <w:t xml:space="preserve">emuneration </w:t>
      </w:r>
      <w:r w:rsidR="00AE31BE">
        <w:t xml:space="preserve">levels </w:t>
      </w:r>
      <w:r w:rsidR="005A74F5" w:rsidRPr="009F7540">
        <w:t>and impact on attracting and retaining skilled staff</w:t>
      </w:r>
      <w:r w:rsidR="008557A5" w:rsidRPr="009F7540">
        <w:t>.</w:t>
      </w:r>
      <w:r w:rsidR="00AA6089" w:rsidRPr="00AA6089">
        <w:rPr>
          <w:rStyle w:val="FootnoteReference"/>
        </w:rPr>
        <w:t xml:space="preserve"> </w:t>
      </w:r>
      <w:r w:rsidR="00AA6089">
        <w:rPr>
          <w:rStyle w:val="FootnoteReference"/>
        </w:rPr>
        <w:footnoteReference w:id="132"/>
      </w:r>
    </w:p>
    <w:p w14:paraId="333AF0B5" w14:textId="3AC05B7F" w:rsidR="002F266C" w:rsidRDefault="002F266C" w:rsidP="002F266C">
      <w:r w:rsidRPr="00480526">
        <w:t>The review should recommend principles to be considered by the Prime Minister in determining staffing allocations.</w:t>
      </w:r>
    </w:p>
    <w:p w14:paraId="2E753138" w14:textId="46CD4BBA" w:rsidR="00AE31BE" w:rsidRDefault="00AE31BE" w:rsidP="00AE31BE">
      <w:r w:rsidRPr="00ED2C8E">
        <w:t xml:space="preserve">The OPSC may wish to </w:t>
      </w:r>
      <w:r w:rsidR="005E7CC5" w:rsidRPr="00ED2C8E">
        <w:t xml:space="preserve">consider </w:t>
      </w:r>
      <w:r w:rsidRPr="002A7939">
        <w:t>engag</w:t>
      </w:r>
      <w:r w:rsidR="005E7CC5" w:rsidRPr="002A7939">
        <w:t>ing</w:t>
      </w:r>
      <w:r w:rsidRPr="002A7939">
        <w:t xml:space="preserve"> former senior MoP(S) Act employees</w:t>
      </w:r>
      <w:r w:rsidR="00D769E2" w:rsidRPr="002A7939">
        <w:t>, representative of the parliament,</w:t>
      </w:r>
      <w:r w:rsidRPr="002A7939">
        <w:t xml:space="preserve"> to undertake this review.</w:t>
      </w:r>
      <w:r>
        <w:t xml:space="preserve"> </w:t>
      </w:r>
    </w:p>
    <w:p w14:paraId="14F79A99" w14:textId="23D80432" w:rsidR="00127ABB" w:rsidRDefault="00127ABB" w:rsidP="005A74F5">
      <w:pPr>
        <w:spacing w:after="160" w:line="259" w:lineRule="auto"/>
        <w:rPr>
          <w:i/>
        </w:rPr>
      </w:pPr>
      <w:r>
        <w:rPr>
          <w:i/>
        </w:rPr>
        <w:t>Transparen</w:t>
      </w:r>
      <w:r w:rsidR="00E7574D">
        <w:rPr>
          <w:i/>
        </w:rPr>
        <w:t>t</w:t>
      </w:r>
      <w:r>
        <w:rPr>
          <w:i/>
        </w:rPr>
        <w:t xml:space="preserve"> reporting </w:t>
      </w:r>
      <w:r w:rsidR="00E7574D">
        <w:rPr>
          <w:i/>
        </w:rPr>
        <w:t>of staffing allocation</w:t>
      </w:r>
    </w:p>
    <w:p w14:paraId="021B592A" w14:textId="0A9C0B94" w:rsidR="00315FAC" w:rsidRPr="0087615F" w:rsidRDefault="00E7574D" w:rsidP="00315FAC">
      <w:pPr>
        <w:spacing w:after="160" w:line="259" w:lineRule="auto"/>
      </w:pPr>
      <w:r>
        <w:t>In</w:t>
      </w:r>
      <w:r w:rsidR="00315FAC">
        <w:t xml:space="preserve"> the </w:t>
      </w:r>
      <w:r>
        <w:t>context</w:t>
      </w:r>
      <w:r w:rsidR="00315FAC">
        <w:t xml:space="preserve"> of </w:t>
      </w:r>
      <w:r>
        <w:t xml:space="preserve">broader structural reforms which are yet to be implemented, including the recommended OPSC workplace review, and </w:t>
      </w:r>
      <w:r w:rsidR="00315FAC">
        <w:t>in the absence of a strong alternative approach to delivering</w:t>
      </w:r>
      <w:r>
        <w:t xml:space="preserve"> effective</w:t>
      </w:r>
      <w:r w:rsidR="00315FAC">
        <w:t xml:space="preserve"> outcomes in the Commonwealth context, the Review concluded that the existing system of staffing allocation should be retained at this time</w:t>
      </w:r>
      <w:r w:rsidR="00CE4019">
        <w:t xml:space="preserve">. </w:t>
      </w:r>
      <w:r w:rsidR="00CE327F">
        <w:t>However, t</w:t>
      </w:r>
      <w:r w:rsidR="00315FAC">
        <w:t xml:space="preserve">ransparency </w:t>
      </w:r>
      <w:r w:rsidR="00CE4019">
        <w:t xml:space="preserve">of staffing allocation </w:t>
      </w:r>
      <w:r w:rsidR="00CE327F">
        <w:t>is important and the Review recommends this</w:t>
      </w:r>
      <w:r w:rsidR="00CE4019">
        <w:t xml:space="preserve"> be</w:t>
      </w:r>
      <w:r w:rsidR="00315FAC">
        <w:t xml:space="preserve"> enhanced through a legislative requirement to report annually on the number of staff allocated </w:t>
      </w:r>
      <w:r w:rsidR="00CE4019">
        <w:t>to parliamentarian</w:t>
      </w:r>
      <w:r w:rsidR="00315FAC">
        <w:t xml:space="preserve"> office</w:t>
      </w:r>
      <w:r w:rsidR="00CE4019">
        <w:t>s</w:t>
      </w:r>
      <w:r w:rsidR="00315FAC">
        <w:t>.</w:t>
      </w:r>
    </w:p>
    <w:p w14:paraId="6F7CE55D" w14:textId="6D4A175B" w:rsidR="00823D1C" w:rsidRDefault="00E7574D" w:rsidP="005A74F5">
      <w:pPr>
        <w:spacing w:after="160" w:line="259" w:lineRule="auto"/>
      </w:pPr>
      <w:r>
        <w:t>Transparent reporting</w:t>
      </w:r>
      <w:r w:rsidR="00CE4019">
        <w:t>,</w:t>
      </w:r>
      <w:r>
        <w:t xml:space="preserve"> combined with any </w:t>
      </w:r>
      <w:r w:rsidRPr="00480526">
        <w:t xml:space="preserve">principles </w:t>
      </w:r>
      <w:r>
        <w:t>the OPSC recommends the Prime Minister have regard to when making staffing allocation</w:t>
      </w:r>
      <w:r w:rsidR="00FD2BA5">
        <w:t xml:space="preserve"> decisions</w:t>
      </w:r>
      <w:r w:rsidR="00CE4019">
        <w:t xml:space="preserve">, will strengthen the existing approach. </w:t>
      </w:r>
    </w:p>
    <w:p w14:paraId="69EE4035" w14:textId="4E6EFDE3" w:rsidR="00841A36" w:rsidRPr="006E3738" w:rsidRDefault="00127ABB" w:rsidP="005A74F5">
      <w:pPr>
        <w:spacing w:after="160" w:line="259" w:lineRule="auto"/>
        <w:rPr>
          <w:i/>
        </w:rPr>
      </w:pPr>
      <w:r>
        <w:rPr>
          <w:i/>
        </w:rPr>
        <w:t>P</w:t>
      </w:r>
      <w:r w:rsidR="00841A36" w:rsidRPr="006E3738">
        <w:rPr>
          <w:i/>
        </w:rPr>
        <w:t xml:space="preserve">eriodic reporting </w:t>
      </w:r>
    </w:p>
    <w:p w14:paraId="742210DC" w14:textId="696AFB4B" w:rsidR="00841A36" w:rsidRDefault="00841A36" w:rsidP="00841A36">
      <w:r>
        <w:t xml:space="preserve">The </w:t>
      </w:r>
      <w:r w:rsidR="00AC2732">
        <w:t>R</w:t>
      </w:r>
      <w:r>
        <w:t xml:space="preserve">eview considers the OPSC could also prepare periodic </w:t>
      </w:r>
      <w:r w:rsidR="00A5586C">
        <w:t xml:space="preserve">reports, at least every three years, on the MoP(S) Act workforce and </w:t>
      </w:r>
      <w:r>
        <w:t xml:space="preserve">workplace resourcing </w:t>
      </w:r>
      <w:r w:rsidR="00A5586C">
        <w:t>including</w:t>
      </w:r>
      <w:r>
        <w:t xml:space="preserve"> opportunities to improve systems and performance. </w:t>
      </w:r>
      <w:r w:rsidR="00A5586C">
        <w:t>Matters t</w:t>
      </w:r>
      <w:r>
        <w:t>he report could consider</w:t>
      </w:r>
      <w:r w:rsidR="00A5586C">
        <w:t xml:space="preserve"> include</w:t>
      </w:r>
      <w:r>
        <w:t>:</w:t>
      </w:r>
    </w:p>
    <w:p w14:paraId="59EDBF6E" w14:textId="2E545E09" w:rsidR="00841A36" w:rsidRDefault="00375979" w:rsidP="006A5D1F">
      <w:pPr>
        <w:pStyle w:val="BulletedList-Level1"/>
      </w:pPr>
      <w:r>
        <w:t>a</w:t>
      </w:r>
      <w:r w:rsidR="00AA6089">
        <w:t>n</w:t>
      </w:r>
      <w:r w:rsidR="00841A36">
        <w:t xml:space="preserve"> environmental scan of factors impacting the workplace</w:t>
      </w:r>
    </w:p>
    <w:p w14:paraId="10D5D460" w14:textId="346E6F8E" w:rsidR="00841A36" w:rsidRDefault="00375979" w:rsidP="006A5D1F">
      <w:pPr>
        <w:pStyle w:val="BulletedList-Level1"/>
      </w:pPr>
      <w:r>
        <w:t>c</w:t>
      </w:r>
      <w:r w:rsidR="00841A36">
        <w:t xml:space="preserve">urrent workforce profile and resources available </w:t>
      </w:r>
    </w:p>
    <w:p w14:paraId="3E3D3698" w14:textId="5A6AD7D3" w:rsidR="00841A36" w:rsidRDefault="00375979" w:rsidP="006A5D1F">
      <w:pPr>
        <w:pStyle w:val="BulletedList-Level1"/>
      </w:pPr>
      <w:r>
        <w:t>o</w:t>
      </w:r>
      <w:r w:rsidR="00A5586C">
        <w:t xml:space="preserve">utcomes of </w:t>
      </w:r>
      <w:r w:rsidR="00841A36">
        <w:t xml:space="preserve">process and systems mapping </w:t>
      </w:r>
    </w:p>
    <w:p w14:paraId="4D644A4C" w14:textId="00CC72B0" w:rsidR="00841A36" w:rsidRDefault="00375979" w:rsidP="006A5D1F">
      <w:pPr>
        <w:pStyle w:val="BulletedList-Level1"/>
      </w:pPr>
      <w:r>
        <w:t>a</w:t>
      </w:r>
      <w:r w:rsidR="00841A36">
        <w:t>ny gaps, under-capacity or scope for improvement</w:t>
      </w:r>
    </w:p>
    <w:p w14:paraId="532ACDD5" w14:textId="130EC2D0" w:rsidR="00AA6089" w:rsidRPr="009F7540" w:rsidRDefault="00375979" w:rsidP="00AA6089">
      <w:pPr>
        <w:pStyle w:val="BulletedList-Level1"/>
      </w:pPr>
      <w:r>
        <w:t>f</w:t>
      </w:r>
      <w:r w:rsidR="00AA6089" w:rsidRPr="009F7540">
        <w:t>ormula</w:t>
      </w:r>
      <w:r w:rsidR="00D769E2">
        <w:t>/</w:t>
      </w:r>
      <w:r w:rsidR="00AA6089" w:rsidRPr="009F7540">
        <w:t>metri</w:t>
      </w:r>
      <w:r w:rsidR="00AA6089">
        <w:t>cs that can be used to calculate</w:t>
      </w:r>
      <w:r w:rsidR="00AA6089" w:rsidRPr="009F7540">
        <w:t xml:space="preserve"> electorate and personal staff resourcing</w:t>
      </w:r>
      <w:r w:rsidR="00AA6089">
        <w:t xml:space="preserve"> needs</w:t>
      </w:r>
    </w:p>
    <w:p w14:paraId="467A2D4F" w14:textId="1DB69DC9" w:rsidR="00841A36" w:rsidRDefault="00375979" w:rsidP="006A5D1F">
      <w:pPr>
        <w:pStyle w:val="BulletedList-Level1"/>
      </w:pPr>
      <w:r>
        <w:t>r</w:t>
      </w:r>
      <w:r w:rsidR="00AA6089" w:rsidRPr="00AA6089">
        <w:t>emuneration levels and impact on attract</w:t>
      </w:r>
      <w:r w:rsidR="00AA6089">
        <w:t>ing and retaining skilled staff</w:t>
      </w:r>
      <w:r w:rsidR="00841A36">
        <w:t xml:space="preserve">.  </w:t>
      </w:r>
    </w:p>
    <w:p w14:paraId="2E72CD5F" w14:textId="42996D86" w:rsidR="00381A31" w:rsidRDefault="00A5586C" w:rsidP="00A5586C">
      <w:r>
        <w:t>Ideally, timing of such a report would be mid-election cycle, prior to any Enterprise Agreement renegotiations, and could coincide with a PBR independent statutory review.</w:t>
      </w:r>
      <w:r>
        <w:rPr>
          <w:rStyle w:val="FootnoteReference"/>
        </w:rPr>
        <w:footnoteReference w:id="133"/>
      </w:r>
      <w:r>
        <w:t xml:space="preserve"> The report should be tabled or published on the OPSC website.</w:t>
      </w:r>
    </w:p>
    <w:p w14:paraId="5E98811C" w14:textId="0F65E7BD" w:rsidR="00C8379E" w:rsidRDefault="00C8379E" w:rsidP="00ED2C8E">
      <w:pPr>
        <w:keepNext/>
        <w:keepLines/>
      </w:pPr>
      <w:r>
        <w:rPr>
          <w:i/>
        </w:rPr>
        <w:t>Interim measures</w:t>
      </w:r>
    </w:p>
    <w:p w14:paraId="26F54C70" w14:textId="5A48FAE9" w:rsidR="00447583" w:rsidRDefault="002564CF" w:rsidP="00ED2C8E">
      <w:pPr>
        <w:keepNext/>
        <w:keepLines/>
      </w:pPr>
      <w:r>
        <w:t>The Review expects the OPSC will also carry</w:t>
      </w:r>
      <w:r w:rsidR="005B7A5B">
        <w:t xml:space="preserve"> </w:t>
      </w:r>
      <w:r>
        <w:t xml:space="preserve">on any work Finance has undertaken </w:t>
      </w:r>
      <w:r w:rsidR="00B470E4">
        <w:t>in relation to workplace resourcing</w:t>
      </w:r>
      <w:r w:rsidR="00BC0FC4">
        <w:t xml:space="preserve"> and support</w:t>
      </w:r>
      <w:r w:rsidR="00447583">
        <w:t xml:space="preserve"> in the intervening period between this report and the establishment of the OPSC</w:t>
      </w:r>
      <w:r w:rsidR="008A35AE">
        <w:t>. This includes</w:t>
      </w:r>
      <w:r w:rsidR="002F27EC">
        <w:t xml:space="preserve"> </w:t>
      </w:r>
      <w:r w:rsidR="00B470E4">
        <w:t>implement</w:t>
      </w:r>
      <w:r w:rsidR="008A35AE">
        <w:t>ing</w:t>
      </w:r>
      <w:r w:rsidR="00B470E4">
        <w:t xml:space="preserve"> relevant recommendations in the PBR/IPEA Review</w:t>
      </w:r>
      <w:r w:rsidR="008A35AE">
        <w:t>.</w:t>
      </w:r>
    </w:p>
    <w:p w14:paraId="173FD76E" w14:textId="661E3607" w:rsidR="00E42C9A" w:rsidRDefault="00E42C9A" w:rsidP="002A7939">
      <w:pPr>
        <w:keepNext/>
        <w:keepLines/>
      </w:pPr>
      <w:r>
        <w:t xml:space="preserve">The Parliamentary Library </w:t>
      </w:r>
      <w:r w:rsidR="002618A7">
        <w:t>will</w:t>
      </w:r>
      <w:r>
        <w:t xml:space="preserve"> also be a support resource available for </w:t>
      </w:r>
      <w:r w:rsidRPr="00F4763E">
        <w:t xml:space="preserve">parliamentarians </w:t>
      </w:r>
      <w:r>
        <w:t xml:space="preserve">in this period. </w:t>
      </w:r>
    </w:p>
    <w:p w14:paraId="10CD39EA" w14:textId="77777777" w:rsidR="0000677A" w:rsidRDefault="0000677A" w:rsidP="006144DF"/>
    <w:p w14:paraId="36277C94" w14:textId="10384434" w:rsidR="00A72598" w:rsidRDefault="00AD5904" w:rsidP="00051BDA">
      <w:pPr>
        <w:pStyle w:val="Heading3"/>
      </w:pPr>
      <w:r>
        <w:t xml:space="preserve">3.4.3 </w:t>
      </w:r>
      <w:r w:rsidR="00A72598" w:rsidRPr="000E69ED">
        <w:t>Conclusion</w:t>
      </w:r>
    </w:p>
    <w:p w14:paraId="23E2F8C8" w14:textId="55E3C153" w:rsidR="00D764C4" w:rsidRDefault="002A2C9A" w:rsidP="00BD4111">
      <w:r>
        <w:t xml:space="preserve">Insufficient workplace resources </w:t>
      </w:r>
      <w:r w:rsidR="00023581">
        <w:t>cause workload pressures. These pressures</w:t>
      </w:r>
      <w:r w:rsidR="005C788E">
        <w:t>,</w:t>
      </w:r>
      <w:r w:rsidR="00023581">
        <w:t xml:space="preserve"> </w:t>
      </w:r>
      <w:r w:rsidR="008D1725">
        <w:t xml:space="preserve">in turn, </w:t>
      </w:r>
      <w:r w:rsidR="00BD4111" w:rsidRPr="002A2C9A">
        <w:t xml:space="preserve">impact </w:t>
      </w:r>
      <w:r w:rsidR="00023581">
        <w:t xml:space="preserve">on </w:t>
      </w:r>
      <w:r w:rsidR="001B6E61">
        <w:t xml:space="preserve">the capacity of </w:t>
      </w:r>
      <w:r w:rsidR="00023581">
        <w:t>parliamentarian</w:t>
      </w:r>
      <w:r w:rsidR="001B6E61">
        <w:t>s</w:t>
      </w:r>
      <w:r w:rsidR="00023581">
        <w:t xml:space="preserve"> and </w:t>
      </w:r>
      <w:r w:rsidR="001B6E61">
        <w:t>their employees</w:t>
      </w:r>
      <w:r w:rsidR="00023581">
        <w:t xml:space="preserve"> to do their jobs</w:t>
      </w:r>
      <w:r w:rsidR="004969E7">
        <w:t>,</w:t>
      </w:r>
      <w:r w:rsidR="00023581">
        <w:t xml:space="preserve"> and on work health and safety.  </w:t>
      </w:r>
    </w:p>
    <w:p w14:paraId="6BDC5B91" w14:textId="385454C5" w:rsidR="007D54C7" w:rsidRDefault="00BC731C" w:rsidP="007D54C7">
      <w:r>
        <w:t xml:space="preserve">Noting the broader structural reforms underway and the OPSC </w:t>
      </w:r>
      <w:r w:rsidR="007D54C7">
        <w:t xml:space="preserve">workplace </w:t>
      </w:r>
      <w:r>
        <w:t xml:space="preserve">review </w:t>
      </w:r>
      <w:r w:rsidR="007D54C7">
        <w:t xml:space="preserve">focus on identifying data and evidence to support </w:t>
      </w:r>
      <w:r w:rsidR="007E6A88">
        <w:t xml:space="preserve">any </w:t>
      </w:r>
      <w:r w:rsidR="00CB1225">
        <w:t xml:space="preserve">recommendations for </w:t>
      </w:r>
      <w:r w:rsidR="007D54C7">
        <w:t xml:space="preserve">changes to resources, the Review has focused on enhancing transparency. The outcomes of staffing allocation determinations should be transparent by office </w:t>
      </w:r>
      <w:r w:rsidR="007D54C7" w:rsidRPr="00480526">
        <w:t>including tabled and being published in an annual report</w:t>
      </w:r>
      <w:r w:rsidR="00CE4019">
        <w:t>, and have regard to any principles the OPSC identifies in its report</w:t>
      </w:r>
      <w:r w:rsidR="007D54C7" w:rsidRPr="00480526">
        <w:t>.</w:t>
      </w:r>
      <w:r w:rsidR="007D54C7">
        <w:t xml:space="preserve"> </w:t>
      </w:r>
    </w:p>
    <w:p w14:paraId="40F68D0A" w14:textId="77777777" w:rsidR="00A72598" w:rsidRDefault="00A72598" w:rsidP="0000677A"/>
    <w:p w14:paraId="4D8D7F24" w14:textId="56A541D0" w:rsidR="00A72598" w:rsidRDefault="00A72598" w:rsidP="000136FD">
      <w:pPr>
        <w:pStyle w:val="BOXHeading2"/>
      </w:pPr>
      <w:bookmarkStart w:id="2888" w:name="_Toc115343841"/>
      <w:bookmarkStart w:id="2889" w:name="_Toc115348279"/>
      <w:bookmarkStart w:id="2890" w:name="_Toc114230870"/>
      <w:bookmarkStart w:id="2891" w:name="_Toc114232927"/>
      <w:bookmarkStart w:id="2892" w:name="_Toc114233575"/>
      <w:bookmarkStart w:id="2893" w:name="_Toc114233647"/>
      <w:bookmarkStart w:id="2894" w:name="_Toc114240602"/>
      <w:bookmarkStart w:id="2895" w:name="_Toc114240676"/>
      <w:bookmarkStart w:id="2896" w:name="_Toc114241020"/>
      <w:bookmarkStart w:id="2897" w:name="_Toc114494043"/>
      <w:bookmarkStart w:id="2898" w:name="_Toc114500294"/>
      <w:bookmarkStart w:id="2899" w:name="_Toc114500369"/>
      <w:bookmarkStart w:id="2900" w:name="_Toc114518642"/>
      <w:bookmarkStart w:id="2901" w:name="_Toc114520314"/>
      <w:bookmarkStart w:id="2902" w:name="_Toc114520723"/>
      <w:bookmarkStart w:id="2903" w:name="_Toc114565751"/>
      <w:bookmarkStart w:id="2904" w:name="_Toc114566732"/>
      <w:bookmarkStart w:id="2905" w:name="_Toc114566957"/>
      <w:bookmarkStart w:id="2906" w:name="_Toc114566881"/>
      <w:bookmarkStart w:id="2907" w:name="_Toc114585882"/>
      <w:bookmarkStart w:id="2908" w:name="_Toc114586026"/>
      <w:bookmarkStart w:id="2909" w:name="_Toc114586098"/>
      <w:bookmarkStart w:id="2910" w:name="_Toc114601238"/>
      <w:bookmarkStart w:id="2911" w:name="_Toc114657279"/>
      <w:bookmarkStart w:id="2912" w:name="_Toc114659741"/>
      <w:bookmarkStart w:id="2913" w:name="_Toc114662726"/>
      <w:bookmarkStart w:id="2914" w:name="_Toc114665110"/>
      <w:bookmarkStart w:id="2915" w:name="_Toc114672419"/>
      <w:bookmarkStart w:id="2916" w:name="_Toc114672631"/>
      <w:bookmarkStart w:id="2917" w:name="_Toc114673186"/>
      <w:bookmarkStart w:id="2918" w:name="_Toc114673772"/>
      <w:bookmarkStart w:id="2919" w:name="_Toc114674297"/>
      <w:bookmarkStart w:id="2920" w:name="_Toc114687470"/>
      <w:bookmarkStart w:id="2921" w:name="_Toc114689934"/>
      <w:bookmarkStart w:id="2922" w:name="_Toc114731797"/>
      <w:bookmarkStart w:id="2923" w:name="_Toc114733562"/>
      <w:bookmarkStart w:id="2924" w:name="_Toc114735503"/>
      <w:bookmarkStart w:id="2925" w:name="_Toc114755833"/>
      <w:bookmarkStart w:id="2926" w:name="_Toc114757138"/>
      <w:bookmarkStart w:id="2927" w:name="_Toc114757422"/>
      <w:bookmarkStart w:id="2928" w:name="_Toc114757524"/>
      <w:bookmarkStart w:id="2929" w:name="_Toc114758197"/>
      <w:bookmarkStart w:id="2930" w:name="_Toc114824367"/>
      <w:bookmarkStart w:id="2931" w:name="_Toc114829443"/>
      <w:bookmarkStart w:id="2932" w:name="_Toc114829807"/>
      <w:bookmarkStart w:id="2933" w:name="_Toc114829774"/>
      <w:bookmarkStart w:id="2934" w:name="_Toc114829951"/>
      <w:bookmarkStart w:id="2935" w:name="_Toc115099030"/>
      <w:bookmarkStart w:id="2936" w:name="_Toc115099102"/>
      <w:bookmarkStart w:id="2937" w:name="_Toc115101679"/>
      <w:bookmarkStart w:id="2938" w:name="_Toc115102524"/>
      <w:bookmarkStart w:id="2939" w:name="_Toc115105497"/>
      <w:bookmarkStart w:id="2940" w:name="_Toc115110358"/>
      <w:bookmarkStart w:id="2941" w:name="_Toc115110485"/>
      <w:bookmarkStart w:id="2942" w:name="_Toc115121603"/>
      <w:bookmarkStart w:id="2943" w:name="_Toc115121973"/>
      <w:bookmarkStart w:id="2944" w:name="_Toc115123453"/>
      <w:bookmarkStart w:id="2945" w:name="_Toc115123701"/>
      <w:bookmarkStart w:id="2946" w:name="_Toc115126833"/>
      <w:bookmarkStart w:id="2947" w:name="_Toc115185470"/>
      <w:bookmarkStart w:id="2948" w:name="_Toc115186097"/>
      <w:bookmarkStart w:id="2949" w:name="_Toc115189255"/>
      <w:bookmarkStart w:id="2950" w:name="_Toc115194228"/>
      <w:bookmarkStart w:id="2951" w:name="_Toc115194965"/>
      <w:bookmarkStart w:id="2952" w:name="_Toc115196375"/>
      <w:bookmarkStart w:id="2953" w:name="_Toc115198876"/>
      <w:bookmarkStart w:id="2954" w:name="_Toc115208891"/>
      <w:bookmarkStart w:id="2955" w:name="_Toc115209027"/>
      <w:bookmarkStart w:id="2956" w:name="_Toc115210358"/>
      <w:bookmarkStart w:id="2957" w:name="_Toc115212583"/>
      <w:bookmarkStart w:id="2958" w:name="_Toc115213223"/>
      <w:bookmarkStart w:id="2959" w:name="_Toc115216721"/>
      <w:bookmarkStart w:id="2960" w:name="_Toc115270412"/>
      <w:bookmarkStart w:id="2961" w:name="_Toc115271355"/>
      <w:bookmarkStart w:id="2962" w:name="_Toc115272272"/>
      <w:bookmarkStart w:id="2963" w:name="_Toc115273442"/>
      <w:bookmarkStart w:id="2964" w:name="_Toc115273370"/>
      <w:bookmarkStart w:id="2965" w:name="_Toc115274623"/>
      <w:bookmarkStart w:id="2966" w:name="_Toc115274849"/>
      <w:bookmarkStart w:id="2967" w:name="_Toc115275206"/>
      <w:bookmarkStart w:id="2968" w:name="_Toc115275349"/>
      <w:bookmarkStart w:id="2969" w:name="_Toc115274186"/>
      <w:bookmarkStart w:id="2970" w:name="_Toc115274487"/>
      <w:bookmarkStart w:id="2971" w:name="_Toc115274555"/>
      <w:bookmarkStart w:id="2972" w:name="_Toc115274713"/>
      <w:bookmarkStart w:id="2973" w:name="_Toc115277447"/>
      <w:bookmarkStart w:id="2974" w:name="_Toc115277651"/>
      <w:bookmarkStart w:id="2975" w:name="_Toc115278540"/>
      <w:bookmarkStart w:id="2976" w:name="_Toc115278620"/>
      <w:bookmarkStart w:id="2977" w:name="_Toc115282290"/>
      <w:bookmarkStart w:id="2978" w:name="_Toc115284743"/>
      <w:bookmarkStart w:id="2979" w:name="_Toc115286835"/>
      <w:bookmarkStart w:id="2980" w:name="_Toc115294769"/>
      <w:bookmarkStart w:id="2981" w:name="_Toc115296349"/>
      <w:bookmarkStart w:id="2982" w:name="_Toc115308535"/>
      <w:bookmarkStart w:id="2983" w:name="_Toc115311187"/>
      <w:bookmarkStart w:id="2984" w:name="_Toc115312667"/>
      <w:bookmarkStart w:id="2985" w:name="_Toc115350377"/>
      <w:bookmarkStart w:id="2986" w:name="_Toc115353465"/>
      <w:bookmarkStart w:id="2987" w:name="_Toc115359496"/>
      <w:bookmarkStart w:id="2988" w:name="_Toc115361900"/>
      <w:bookmarkStart w:id="2989" w:name="_Toc115364293"/>
      <w:bookmarkStart w:id="2990" w:name="_Toc115365387"/>
      <w:bookmarkStart w:id="2991" w:name="_Toc115365659"/>
      <w:bookmarkStart w:id="2992" w:name="_Toc115365727"/>
      <w:bookmarkStart w:id="2993" w:name="_Toc115366191"/>
      <w:bookmarkStart w:id="2994" w:name="_Toc115368564"/>
      <w:bookmarkStart w:id="2995" w:name="_Toc115370081"/>
      <w:bookmarkStart w:id="2996" w:name="_Toc115370747"/>
      <w:bookmarkStart w:id="2997" w:name="_Toc115374387"/>
      <w:bookmarkStart w:id="2998" w:name="_Toc115378726"/>
      <w:bookmarkStart w:id="2999" w:name="_Toc115380958"/>
      <w:bookmarkStart w:id="3000" w:name="_Toc115384110"/>
      <w:bookmarkStart w:id="3001" w:name="_Toc115387339"/>
      <w:bookmarkStart w:id="3002" w:name="_Toc115388805"/>
      <w:bookmarkStart w:id="3003" w:name="_Toc115431443"/>
      <w:bookmarkStart w:id="3004" w:name="_Toc115432821"/>
      <w:bookmarkStart w:id="3005" w:name="_Toc115434392"/>
      <w:bookmarkStart w:id="3006" w:name="_Toc115434491"/>
      <w:bookmarkStart w:id="3007" w:name="_Toc115434560"/>
      <w:bookmarkStart w:id="3008" w:name="_Toc115434629"/>
      <w:bookmarkStart w:id="3009" w:name="_Toc115442799"/>
      <w:bookmarkStart w:id="3010" w:name="_Toc115446335"/>
      <w:bookmarkStart w:id="3011" w:name="_Toc115448042"/>
      <w:bookmarkStart w:id="3012" w:name="_Toc115449434"/>
      <w:bookmarkStart w:id="3013" w:name="_Toc115452454"/>
      <w:bookmarkStart w:id="3014" w:name="_Toc115455271"/>
      <w:bookmarkStart w:id="3015" w:name="_Toc115455337"/>
      <w:bookmarkStart w:id="3016" w:name="_Toc115457287"/>
      <w:bookmarkStart w:id="3017" w:name="_Toc115458123"/>
      <w:bookmarkStart w:id="3018" w:name="_Toc115948151"/>
      <w:bookmarkStart w:id="3019" w:name="_Toc115948598"/>
      <w:r>
        <w:t>R</w:t>
      </w:r>
      <w:bookmarkEnd w:id="2888"/>
      <w:bookmarkEnd w:id="2889"/>
      <w:r>
        <w:t>ecommendation 3</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r w:rsidR="005439E8">
        <w:t xml:space="preserve"> – Resourcing of parliamentarian offices</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3EE540D1" w14:textId="77777777" w:rsidR="000136FD" w:rsidRPr="00DC2C98" w:rsidRDefault="000136FD" w:rsidP="00DC2C98">
      <w:pPr>
        <w:pStyle w:val="BOXText"/>
      </w:pPr>
      <w:r w:rsidRPr="00DC2C98">
        <w:t>The OPSC should undertake a review of the factors affecting workloads, particularly in electorate offices, including support systems and processes, and external factors such as the adequacy of government services and electorate composition, to inform an evidence-based consideration of office and staffing resources. The review should recommend principles to be considered by the Prime Minister in determining staffing allocations.</w:t>
      </w:r>
    </w:p>
    <w:p w14:paraId="41702B16" w14:textId="77777777" w:rsidR="00A72598" w:rsidRPr="004B2601" w:rsidRDefault="00A72598" w:rsidP="002225D9"/>
    <w:p w14:paraId="0731CBA7" w14:textId="54206EEE" w:rsidR="00817AC5" w:rsidRPr="004B2601" w:rsidRDefault="00817AC5" w:rsidP="000136FD">
      <w:pPr>
        <w:pStyle w:val="BOXHeading2"/>
      </w:pPr>
      <w:bookmarkStart w:id="3020" w:name="_Toc115343842"/>
      <w:bookmarkStart w:id="3021" w:name="_Toc115348280"/>
      <w:bookmarkStart w:id="3022" w:name="_Toc115185471"/>
      <w:bookmarkStart w:id="3023" w:name="_Toc115186098"/>
      <w:bookmarkStart w:id="3024" w:name="_Toc115189256"/>
      <w:bookmarkStart w:id="3025" w:name="_Toc115194229"/>
      <w:bookmarkStart w:id="3026" w:name="_Toc115194966"/>
      <w:bookmarkStart w:id="3027" w:name="_Toc115196376"/>
      <w:bookmarkStart w:id="3028" w:name="_Toc115198877"/>
      <w:bookmarkStart w:id="3029" w:name="_Toc115208892"/>
      <w:bookmarkStart w:id="3030" w:name="_Toc115209028"/>
      <w:bookmarkStart w:id="3031" w:name="_Toc115210359"/>
      <w:bookmarkStart w:id="3032" w:name="_Toc115212584"/>
      <w:bookmarkStart w:id="3033" w:name="_Toc115213224"/>
      <w:bookmarkStart w:id="3034" w:name="_Toc115216722"/>
      <w:bookmarkStart w:id="3035" w:name="_Toc115270413"/>
      <w:bookmarkStart w:id="3036" w:name="_Toc115271356"/>
      <w:bookmarkStart w:id="3037" w:name="_Toc115272273"/>
      <w:bookmarkStart w:id="3038" w:name="_Toc115273443"/>
      <w:bookmarkStart w:id="3039" w:name="_Toc115273371"/>
      <w:bookmarkStart w:id="3040" w:name="_Toc115274624"/>
      <w:bookmarkStart w:id="3041" w:name="_Toc115274850"/>
      <w:bookmarkStart w:id="3042" w:name="_Toc115275207"/>
      <w:bookmarkStart w:id="3043" w:name="_Toc115275350"/>
      <w:bookmarkStart w:id="3044" w:name="_Toc115274187"/>
      <w:bookmarkStart w:id="3045" w:name="_Toc115274488"/>
      <w:bookmarkStart w:id="3046" w:name="_Toc115274556"/>
      <w:bookmarkStart w:id="3047" w:name="_Toc115274714"/>
      <w:bookmarkStart w:id="3048" w:name="_Toc115277448"/>
      <w:bookmarkStart w:id="3049" w:name="_Toc115277652"/>
      <w:bookmarkStart w:id="3050" w:name="_Toc115278541"/>
      <w:bookmarkStart w:id="3051" w:name="_Toc115278621"/>
      <w:bookmarkStart w:id="3052" w:name="_Toc115282291"/>
      <w:bookmarkStart w:id="3053" w:name="_Toc115284744"/>
      <w:bookmarkStart w:id="3054" w:name="_Toc115286836"/>
      <w:bookmarkStart w:id="3055" w:name="_Toc115294770"/>
      <w:bookmarkStart w:id="3056" w:name="_Toc115296350"/>
      <w:bookmarkStart w:id="3057" w:name="_Toc115308536"/>
      <w:bookmarkStart w:id="3058" w:name="_Toc115311188"/>
      <w:bookmarkStart w:id="3059" w:name="_Toc115312668"/>
      <w:bookmarkStart w:id="3060" w:name="_Toc115350378"/>
      <w:bookmarkStart w:id="3061" w:name="_Toc115353466"/>
      <w:bookmarkStart w:id="3062" w:name="_Toc115359497"/>
      <w:bookmarkStart w:id="3063" w:name="_Toc115361901"/>
      <w:bookmarkStart w:id="3064" w:name="_Toc115364294"/>
      <w:bookmarkStart w:id="3065" w:name="_Toc115365388"/>
      <w:bookmarkStart w:id="3066" w:name="_Toc115365660"/>
      <w:bookmarkStart w:id="3067" w:name="_Toc115365728"/>
      <w:bookmarkStart w:id="3068" w:name="_Toc115366192"/>
      <w:bookmarkStart w:id="3069" w:name="_Toc115368565"/>
      <w:bookmarkStart w:id="3070" w:name="_Toc115370082"/>
      <w:bookmarkStart w:id="3071" w:name="_Toc115370748"/>
      <w:bookmarkStart w:id="3072" w:name="_Toc115374388"/>
      <w:bookmarkStart w:id="3073" w:name="_Toc115378727"/>
      <w:bookmarkStart w:id="3074" w:name="_Toc115380959"/>
      <w:bookmarkStart w:id="3075" w:name="_Toc115384111"/>
      <w:bookmarkStart w:id="3076" w:name="_Toc115387340"/>
      <w:bookmarkStart w:id="3077" w:name="_Toc115388806"/>
      <w:bookmarkStart w:id="3078" w:name="_Toc115431444"/>
      <w:bookmarkStart w:id="3079" w:name="_Toc115432822"/>
      <w:bookmarkStart w:id="3080" w:name="_Toc115434393"/>
      <w:bookmarkStart w:id="3081" w:name="_Toc115434492"/>
      <w:bookmarkStart w:id="3082" w:name="_Toc115434561"/>
      <w:bookmarkStart w:id="3083" w:name="_Toc115434630"/>
      <w:bookmarkStart w:id="3084" w:name="_Toc115442800"/>
      <w:bookmarkStart w:id="3085" w:name="_Toc115446336"/>
      <w:bookmarkStart w:id="3086" w:name="_Toc115448043"/>
      <w:bookmarkStart w:id="3087" w:name="_Toc115449435"/>
      <w:bookmarkStart w:id="3088" w:name="_Toc115452455"/>
      <w:bookmarkStart w:id="3089" w:name="_Toc115455272"/>
      <w:bookmarkStart w:id="3090" w:name="_Toc115455338"/>
      <w:bookmarkStart w:id="3091" w:name="_Toc115457288"/>
      <w:bookmarkStart w:id="3092" w:name="_Toc115458124"/>
      <w:bookmarkStart w:id="3093" w:name="_Toc115948152"/>
      <w:bookmarkStart w:id="3094" w:name="_Toc115948599"/>
      <w:r w:rsidRPr="004B2601">
        <w:t>R</w:t>
      </w:r>
      <w:bookmarkEnd w:id="3020"/>
      <w:bookmarkEnd w:id="3021"/>
      <w:r w:rsidRPr="004B2601">
        <w:t>ecommendation 4</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r w:rsidR="005439E8" w:rsidRPr="004B2601">
        <w:t xml:space="preserve"> – Transparency of staffing allocations</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7FC9B506" w14:textId="77777777" w:rsidR="000136FD" w:rsidRDefault="000136FD" w:rsidP="000136FD">
      <w:pPr>
        <w:pStyle w:val="BOXText"/>
      </w:pPr>
      <w:r w:rsidRPr="007A5285">
        <w:t xml:space="preserve">The </w:t>
      </w:r>
      <w:r>
        <w:t xml:space="preserve">MoP(S) </w:t>
      </w:r>
      <w:r w:rsidRPr="007A5285">
        <w:t xml:space="preserve">Act should be amended to require </w:t>
      </w:r>
      <w:r>
        <w:t xml:space="preserve">the allocation of staff to be transparent through annual reporting arrangements. </w:t>
      </w:r>
    </w:p>
    <w:p w14:paraId="712BFD29" w14:textId="77777777" w:rsidR="00817AC5" w:rsidRDefault="00817AC5" w:rsidP="002225D9"/>
    <w:p w14:paraId="3F9BFE36" w14:textId="19F0F397" w:rsidR="002225D9" w:rsidRDefault="009857A6" w:rsidP="00ED2C8E">
      <w:pPr>
        <w:pStyle w:val="Heading2"/>
        <w:tabs>
          <w:tab w:val="left" w:pos="6870"/>
        </w:tabs>
      </w:pPr>
      <w:bookmarkStart w:id="3095" w:name="_Toc114230871"/>
      <w:bookmarkStart w:id="3096" w:name="_Toc114232928"/>
      <w:bookmarkStart w:id="3097" w:name="_Toc114233576"/>
      <w:bookmarkStart w:id="3098" w:name="_Toc114233648"/>
      <w:bookmarkStart w:id="3099" w:name="_Toc114240603"/>
      <w:bookmarkStart w:id="3100" w:name="_Toc114240677"/>
      <w:bookmarkStart w:id="3101" w:name="_Toc114241021"/>
      <w:bookmarkStart w:id="3102" w:name="_Toc114494044"/>
      <w:bookmarkStart w:id="3103" w:name="_Toc114500295"/>
      <w:bookmarkStart w:id="3104" w:name="_Toc114500370"/>
      <w:bookmarkStart w:id="3105" w:name="_Toc114518643"/>
      <w:bookmarkStart w:id="3106" w:name="_Toc114520315"/>
      <w:bookmarkStart w:id="3107" w:name="_Toc114520724"/>
      <w:bookmarkStart w:id="3108" w:name="_Toc114565752"/>
      <w:bookmarkStart w:id="3109" w:name="_Toc114566733"/>
      <w:bookmarkStart w:id="3110" w:name="_Toc114566958"/>
      <w:bookmarkStart w:id="3111" w:name="_Toc114566882"/>
      <w:bookmarkStart w:id="3112" w:name="_Toc114585883"/>
      <w:bookmarkStart w:id="3113" w:name="_Toc114586027"/>
      <w:bookmarkStart w:id="3114" w:name="_Toc114586099"/>
      <w:bookmarkStart w:id="3115" w:name="_Toc114601239"/>
      <w:bookmarkStart w:id="3116" w:name="_Toc114657280"/>
      <w:bookmarkStart w:id="3117" w:name="_Toc114659742"/>
      <w:bookmarkStart w:id="3118" w:name="_Toc114662727"/>
      <w:bookmarkStart w:id="3119" w:name="_Toc114665111"/>
      <w:bookmarkStart w:id="3120" w:name="_Toc114672420"/>
      <w:bookmarkStart w:id="3121" w:name="_Toc114672632"/>
      <w:bookmarkStart w:id="3122" w:name="_Toc114673187"/>
      <w:bookmarkStart w:id="3123" w:name="_Toc114673773"/>
      <w:bookmarkStart w:id="3124" w:name="_Toc114674298"/>
      <w:bookmarkStart w:id="3125" w:name="_Toc114687471"/>
      <w:bookmarkStart w:id="3126" w:name="_Toc114689935"/>
      <w:bookmarkStart w:id="3127" w:name="_Toc114731798"/>
      <w:bookmarkStart w:id="3128" w:name="_Toc114733563"/>
      <w:bookmarkStart w:id="3129" w:name="_Toc114735504"/>
      <w:bookmarkStart w:id="3130" w:name="_Toc114755834"/>
      <w:bookmarkStart w:id="3131" w:name="_Toc114757139"/>
      <w:bookmarkStart w:id="3132" w:name="_Toc114757423"/>
      <w:bookmarkStart w:id="3133" w:name="_Toc114757525"/>
      <w:bookmarkStart w:id="3134" w:name="_Toc114758198"/>
      <w:bookmarkStart w:id="3135" w:name="_Toc114824368"/>
      <w:bookmarkStart w:id="3136" w:name="_Toc114829444"/>
      <w:bookmarkStart w:id="3137" w:name="_Toc114829808"/>
      <w:bookmarkStart w:id="3138" w:name="_Toc114829775"/>
      <w:bookmarkStart w:id="3139" w:name="_Toc114829952"/>
      <w:bookmarkStart w:id="3140" w:name="_Toc115099031"/>
      <w:bookmarkStart w:id="3141" w:name="_Toc115099103"/>
      <w:bookmarkStart w:id="3142" w:name="_Toc115101680"/>
      <w:bookmarkStart w:id="3143" w:name="_Toc115102525"/>
      <w:bookmarkStart w:id="3144" w:name="_Toc115105498"/>
      <w:bookmarkStart w:id="3145" w:name="_Toc115110359"/>
      <w:bookmarkStart w:id="3146" w:name="_Toc115110486"/>
      <w:bookmarkStart w:id="3147" w:name="_Toc115121604"/>
      <w:bookmarkStart w:id="3148" w:name="_Toc115121974"/>
      <w:bookmarkStart w:id="3149" w:name="_Toc115123454"/>
      <w:bookmarkStart w:id="3150" w:name="_Toc115123702"/>
      <w:bookmarkStart w:id="3151" w:name="_Toc115126834"/>
      <w:bookmarkStart w:id="3152" w:name="_Toc115185472"/>
      <w:bookmarkStart w:id="3153" w:name="_Toc115186099"/>
      <w:bookmarkStart w:id="3154" w:name="_Toc115189257"/>
      <w:bookmarkStart w:id="3155" w:name="_Toc115194230"/>
      <w:bookmarkStart w:id="3156" w:name="_Toc115194967"/>
      <w:bookmarkStart w:id="3157" w:name="_Toc115196377"/>
      <w:bookmarkStart w:id="3158" w:name="_Toc115198878"/>
      <w:bookmarkStart w:id="3159" w:name="_Toc115208893"/>
      <w:bookmarkStart w:id="3160" w:name="_Toc115209029"/>
      <w:bookmarkStart w:id="3161" w:name="_Toc115210360"/>
      <w:bookmarkStart w:id="3162" w:name="_Toc115212585"/>
      <w:bookmarkStart w:id="3163" w:name="_Toc115213225"/>
      <w:bookmarkStart w:id="3164" w:name="_Toc115216723"/>
      <w:bookmarkStart w:id="3165" w:name="_Toc115270414"/>
      <w:bookmarkStart w:id="3166" w:name="_Toc115271357"/>
      <w:bookmarkStart w:id="3167" w:name="_Toc115272274"/>
      <w:bookmarkStart w:id="3168" w:name="_Toc115273444"/>
      <w:bookmarkStart w:id="3169" w:name="_Toc115273372"/>
      <w:bookmarkStart w:id="3170" w:name="_Toc115274625"/>
      <w:bookmarkStart w:id="3171" w:name="_Toc115274851"/>
      <w:bookmarkStart w:id="3172" w:name="_Toc115275208"/>
      <w:bookmarkStart w:id="3173" w:name="_Toc115275351"/>
      <w:bookmarkStart w:id="3174" w:name="_Toc115274188"/>
      <w:bookmarkStart w:id="3175" w:name="_Toc115274489"/>
      <w:bookmarkStart w:id="3176" w:name="_Toc115274557"/>
      <w:bookmarkStart w:id="3177" w:name="_Toc115274715"/>
      <w:bookmarkStart w:id="3178" w:name="_Toc115277449"/>
      <w:bookmarkStart w:id="3179" w:name="_Toc115277653"/>
      <w:bookmarkStart w:id="3180" w:name="_Toc115278542"/>
      <w:bookmarkStart w:id="3181" w:name="_Toc115278622"/>
      <w:bookmarkStart w:id="3182" w:name="_Toc115282292"/>
      <w:bookmarkStart w:id="3183" w:name="_Toc115284745"/>
      <w:bookmarkStart w:id="3184" w:name="_Toc115286837"/>
      <w:bookmarkStart w:id="3185" w:name="_Toc115294771"/>
      <w:bookmarkStart w:id="3186" w:name="_Toc115296351"/>
      <w:bookmarkStart w:id="3187" w:name="_Toc115308537"/>
      <w:bookmarkStart w:id="3188" w:name="_Toc115311189"/>
      <w:bookmarkStart w:id="3189" w:name="_Toc115312669"/>
      <w:bookmarkStart w:id="3190" w:name="_Toc115343843"/>
      <w:bookmarkStart w:id="3191" w:name="_Toc115348281"/>
      <w:bookmarkStart w:id="3192" w:name="_Toc115350379"/>
      <w:bookmarkStart w:id="3193" w:name="_Toc115353467"/>
      <w:bookmarkStart w:id="3194" w:name="_Toc115359498"/>
      <w:bookmarkStart w:id="3195" w:name="_Toc115361902"/>
      <w:bookmarkStart w:id="3196" w:name="_Toc115364295"/>
      <w:bookmarkStart w:id="3197" w:name="_Toc115365389"/>
      <w:bookmarkStart w:id="3198" w:name="_Toc115365661"/>
      <w:bookmarkStart w:id="3199" w:name="_Toc115365729"/>
      <w:bookmarkStart w:id="3200" w:name="_Toc115366193"/>
      <w:bookmarkStart w:id="3201" w:name="_Toc115368566"/>
      <w:bookmarkStart w:id="3202" w:name="_Toc115370083"/>
      <w:bookmarkStart w:id="3203" w:name="_Toc115370749"/>
      <w:bookmarkStart w:id="3204" w:name="_Toc115374389"/>
      <w:bookmarkStart w:id="3205" w:name="_Toc115378728"/>
      <w:bookmarkStart w:id="3206" w:name="_Toc115380960"/>
      <w:bookmarkStart w:id="3207" w:name="_Toc115384112"/>
      <w:bookmarkStart w:id="3208" w:name="_Toc115387341"/>
      <w:bookmarkStart w:id="3209" w:name="_Toc115388807"/>
      <w:bookmarkStart w:id="3210" w:name="_Toc115431445"/>
      <w:bookmarkStart w:id="3211" w:name="_Toc115432823"/>
      <w:bookmarkStart w:id="3212" w:name="_Toc115434394"/>
      <w:bookmarkStart w:id="3213" w:name="_Toc115434493"/>
      <w:bookmarkStart w:id="3214" w:name="_Toc115434562"/>
      <w:bookmarkStart w:id="3215" w:name="_Toc115434631"/>
      <w:bookmarkStart w:id="3216" w:name="_Toc115442801"/>
      <w:bookmarkStart w:id="3217" w:name="_Toc115446337"/>
      <w:bookmarkStart w:id="3218" w:name="_Toc115448044"/>
      <w:bookmarkStart w:id="3219" w:name="_Toc115449436"/>
      <w:bookmarkStart w:id="3220" w:name="_Toc115452456"/>
      <w:bookmarkStart w:id="3221" w:name="_Toc115455273"/>
      <w:bookmarkStart w:id="3222" w:name="_Toc115455339"/>
      <w:bookmarkStart w:id="3223" w:name="_Toc115457289"/>
      <w:bookmarkStart w:id="3224" w:name="_Toc115458125"/>
      <w:bookmarkStart w:id="3225" w:name="_Toc115948153"/>
      <w:bookmarkStart w:id="3226" w:name="_Toc115948600"/>
      <w:r>
        <w:t>3.5</w:t>
      </w:r>
      <w:r w:rsidR="002225D9">
        <w:t xml:space="preserve"> Modernise the </w:t>
      </w:r>
      <w:r w:rsidR="00EB15B4">
        <w:t xml:space="preserve">MoP(S) </w:t>
      </w:r>
      <w:r w:rsidR="002225D9">
        <w:t>Act</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2D1E428E" w14:textId="52FB8FDA" w:rsidR="000136FD" w:rsidRDefault="004D4DFD" w:rsidP="000136FD">
      <w:r>
        <w:t xml:space="preserve">The </w:t>
      </w:r>
      <w:r w:rsidR="00A2407D">
        <w:t>R</w:t>
      </w:r>
      <w:r>
        <w:t xml:space="preserve">eview identifies opportunities to modernise </w:t>
      </w:r>
      <w:r w:rsidR="009857A6">
        <w:t>the structur</w:t>
      </w:r>
      <w:r>
        <w:t>e</w:t>
      </w:r>
      <w:r w:rsidR="00AF4C89">
        <w:t xml:space="preserve"> </w:t>
      </w:r>
      <w:r w:rsidR="009857A6">
        <w:t xml:space="preserve">and </w:t>
      </w:r>
      <w:r w:rsidR="00CF2B08">
        <w:t xml:space="preserve">content </w:t>
      </w:r>
      <w:r w:rsidR="009857A6">
        <w:t xml:space="preserve">of the </w:t>
      </w:r>
      <w:r w:rsidR="00CF2B08">
        <w:t xml:space="preserve">MoP(S) </w:t>
      </w:r>
      <w:r w:rsidR="009857A6">
        <w:t>Act</w:t>
      </w:r>
      <w:r>
        <w:t>.</w:t>
      </w:r>
      <w:r w:rsidR="009857A6">
        <w:t xml:space="preserve"> </w:t>
      </w:r>
    </w:p>
    <w:p w14:paraId="17CA8C7E" w14:textId="77777777" w:rsidR="009725F3" w:rsidRDefault="009725F3" w:rsidP="000136FD"/>
    <w:p w14:paraId="7CEC08FD" w14:textId="77777777" w:rsidR="009857A6" w:rsidRDefault="00CF2B08" w:rsidP="00971ECB">
      <w:pPr>
        <w:pStyle w:val="Heading3"/>
      </w:pPr>
      <w:r>
        <w:t xml:space="preserve">3.5.1 </w:t>
      </w:r>
      <w:r w:rsidR="009857A6">
        <w:t>Objects clause</w:t>
      </w:r>
    </w:p>
    <w:p w14:paraId="0621D616" w14:textId="7725C251" w:rsidR="009857A6" w:rsidRDefault="009857A6" w:rsidP="009857A6">
      <w:r>
        <w:t>Currently the Mo</w:t>
      </w:r>
      <w:r w:rsidRPr="00122396">
        <w:t xml:space="preserve">P(S) Act does not have an </w:t>
      </w:r>
      <w:r>
        <w:t>o</w:t>
      </w:r>
      <w:r w:rsidRPr="00122396">
        <w:t xml:space="preserve">bjects clause. </w:t>
      </w:r>
      <w:r>
        <w:t>Objects clauses have been described as ‘a modern-day variant on the use of a preamble to indicate the intended purpose of legislation’</w:t>
      </w:r>
      <w:r w:rsidR="006E1E54">
        <w:t>.</w:t>
      </w:r>
      <w:r>
        <w:rPr>
          <w:rStyle w:val="FootnoteReference"/>
        </w:rPr>
        <w:footnoteReference w:id="134"/>
      </w:r>
      <w:r>
        <w:t xml:space="preserve"> Often located at the beginning of an Act, an objects clause outlines </w:t>
      </w:r>
      <w:r w:rsidR="00556054">
        <w:t>the</w:t>
      </w:r>
      <w:r>
        <w:t xml:space="preserve"> purpose</w:t>
      </w:r>
      <w:r w:rsidR="004D17A9">
        <w:t>, aims</w:t>
      </w:r>
      <w:r>
        <w:t xml:space="preserve"> and </w:t>
      </w:r>
      <w:r w:rsidR="004D17A9">
        <w:t xml:space="preserve">principles </w:t>
      </w:r>
      <w:r>
        <w:t>underlying legislation</w:t>
      </w:r>
      <w:r w:rsidR="004D17A9">
        <w:t>,</w:t>
      </w:r>
      <w:r>
        <w:t xml:space="preserve"> which can be used as an interpretation tool to resolve uncertainty and ambiguity. </w:t>
      </w:r>
      <w:r w:rsidR="004D17A9">
        <w:t xml:space="preserve">An objects provision in the MoP(S) Act might state that the purpose of the </w:t>
      </w:r>
      <w:r w:rsidR="00EB15B4">
        <w:t xml:space="preserve">MoP(S) </w:t>
      </w:r>
      <w:r w:rsidR="004D17A9">
        <w:t>Act is to:</w:t>
      </w:r>
    </w:p>
    <w:p w14:paraId="5B1ECD5A" w14:textId="77777777" w:rsidR="009857A6" w:rsidRPr="009857A6" w:rsidRDefault="009857A6" w:rsidP="009857A6">
      <w:pPr>
        <w:pStyle w:val="BulletedList-Level1"/>
      </w:pPr>
      <w:r w:rsidRPr="009857A6">
        <w:t>set out a modern employment framework which supports a safe, respectful and accountable workplace for MoP(S) Act employees</w:t>
      </w:r>
    </w:p>
    <w:p w14:paraId="47B8DAD9" w14:textId="77777777" w:rsidR="00F83E12" w:rsidRPr="009857A6" w:rsidRDefault="00F83E12" w:rsidP="00F83E12">
      <w:pPr>
        <w:pStyle w:val="BulletedList-Level1"/>
      </w:pPr>
      <w:r w:rsidRPr="009857A6">
        <w:t>outline certain rights and obligations of MoP(S) Act employees</w:t>
      </w:r>
    </w:p>
    <w:p w14:paraId="19B098EA" w14:textId="77777777" w:rsidR="009857A6" w:rsidRPr="009857A6" w:rsidRDefault="009857A6" w:rsidP="009857A6">
      <w:pPr>
        <w:pStyle w:val="BulletedList-Level1"/>
      </w:pPr>
      <w:r w:rsidRPr="009857A6">
        <w:t xml:space="preserve">define certain powers, functions and responsibilities relating to </w:t>
      </w:r>
      <w:r w:rsidR="008445EF">
        <w:t xml:space="preserve">the </w:t>
      </w:r>
      <w:r w:rsidRPr="009857A6">
        <w:t>MoP(S) Act employ</w:t>
      </w:r>
      <w:r w:rsidR="008445EF">
        <w:t>ment</w:t>
      </w:r>
      <w:r w:rsidR="00B8408E">
        <w:t>.</w:t>
      </w:r>
    </w:p>
    <w:p w14:paraId="2CEEB0D0" w14:textId="77777777" w:rsidR="006F62BD" w:rsidRDefault="006F62BD" w:rsidP="006F62BD"/>
    <w:p w14:paraId="0ADA9FE6" w14:textId="576DDE1C" w:rsidR="009857A6" w:rsidRPr="00CF2B08" w:rsidRDefault="00CF2B08" w:rsidP="00051BDA">
      <w:pPr>
        <w:pStyle w:val="Heading3"/>
      </w:pPr>
      <w:r>
        <w:t xml:space="preserve">3.5.2 </w:t>
      </w:r>
      <w:r w:rsidR="009857A6" w:rsidRPr="00CF2B08">
        <w:t>Streamline structure and form</w:t>
      </w:r>
    </w:p>
    <w:p w14:paraId="0034E545" w14:textId="627419CE" w:rsidR="009857A6" w:rsidRDefault="009857A6" w:rsidP="009857A6">
      <w:r>
        <w:t xml:space="preserve">As outlined above, the separation of </w:t>
      </w:r>
      <w:r w:rsidR="004D17A9">
        <w:t>employees</w:t>
      </w:r>
      <w:r>
        <w:t xml:space="preserve"> between Parts III and IV has created confusion for employees, parliamentarians and Finance </w:t>
      </w:r>
      <w:r w:rsidR="004D17A9">
        <w:t>alike</w:t>
      </w:r>
      <w:r>
        <w:t xml:space="preserve"> in </w:t>
      </w:r>
      <w:r w:rsidR="004D17A9">
        <w:t>the</w:t>
      </w:r>
      <w:r>
        <w:t xml:space="preserve"> administration of the </w:t>
      </w:r>
      <w:r w:rsidR="00EB15B4">
        <w:t xml:space="preserve">MoP(S) </w:t>
      </w:r>
      <w:r>
        <w:t xml:space="preserve">Act. </w:t>
      </w:r>
    </w:p>
    <w:p w14:paraId="084C29B7" w14:textId="64CB3523" w:rsidR="009857A6" w:rsidRDefault="009857A6" w:rsidP="009857A6">
      <w:r>
        <w:t xml:space="preserve">One of the more obvious parts of the </w:t>
      </w:r>
      <w:r w:rsidR="00EB15B4">
        <w:t xml:space="preserve">MoP(S) </w:t>
      </w:r>
      <w:r>
        <w:t>Act that has not kept pace with modern employment frameworks is the superannuation provisions under Parts II, III and IV (sections 8, 15 and 22). These provisions are, for the most part, functionally inoperative.</w:t>
      </w:r>
    </w:p>
    <w:p w14:paraId="6CE8F3F2" w14:textId="478F4529" w:rsidR="009857A6" w:rsidRDefault="009857A6" w:rsidP="009857A6">
      <w:r>
        <w:t xml:space="preserve">Superannuation arrangements for MoP(S) Act employees are the same as for other Commonwealth </w:t>
      </w:r>
      <w:r w:rsidR="003E497D">
        <w:t>e</w:t>
      </w:r>
      <w:r>
        <w:t xml:space="preserve">mployees. </w:t>
      </w:r>
      <w:r w:rsidR="00E50A4A">
        <w:t>Superannuation p</w:t>
      </w:r>
      <w:r w:rsidRPr="00616F9A">
        <w:t xml:space="preserve">rovisions </w:t>
      </w:r>
      <w:r>
        <w:t xml:space="preserve">should be redrafted </w:t>
      </w:r>
      <w:r w:rsidRPr="00616F9A">
        <w:t xml:space="preserve">to </w:t>
      </w:r>
      <w:r>
        <w:t>preserve any residual application to a small number (if any) of</w:t>
      </w:r>
      <w:r w:rsidR="00707DBF">
        <w:t xml:space="preserve"> the</w:t>
      </w:r>
      <w:r>
        <w:t xml:space="preserve"> MoP(S) Act employees to whom the provisions are still relevant. Otherwise, the</w:t>
      </w:r>
      <w:r w:rsidR="00EB15B4">
        <w:t xml:space="preserve"> MoP(S)</w:t>
      </w:r>
      <w:r>
        <w:t xml:space="preserve"> Act should redraft the superannuation provisions to </w:t>
      </w:r>
      <w:r w:rsidRPr="00616F9A">
        <w:t>reflect contemporary superannuation law</w:t>
      </w:r>
      <w:r>
        <w:t xml:space="preserve">. </w:t>
      </w:r>
    </w:p>
    <w:p w14:paraId="3FE38869" w14:textId="1644CDAE" w:rsidR="009857A6" w:rsidRDefault="00725CC0" w:rsidP="006A0D1E">
      <w:r>
        <w:t>Although</w:t>
      </w:r>
      <w:r w:rsidR="009857A6">
        <w:t xml:space="preserve"> it has not been used </w:t>
      </w:r>
      <w:r w:rsidR="00BC5BE7">
        <w:t>since 2006</w:t>
      </w:r>
      <w:r w:rsidR="00F832E2">
        <w:t>,</w:t>
      </w:r>
      <w:r w:rsidR="009857A6">
        <w:rPr>
          <w:rStyle w:val="FootnoteReference"/>
        </w:rPr>
        <w:footnoteReference w:id="135"/>
      </w:r>
      <w:r w:rsidR="009857A6">
        <w:t xml:space="preserve"> there may be value in retaining provisions </w:t>
      </w:r>
      <w:r w:rsidR="00462FC3">
        <w:t xml:space="preserve">related to </w:t>
      </w:r>
      <w:r>
        <w:t xml:space="preserve">engaging </w:t>
      </w:r>
      <w:r w:rsidR="00462FC3">
        <w:t>consultants</w:t>
      </w:r>
      <w:r>
        <w:t>,</w:t>
      </w:r>
      <w:r w:rsidR="00462FC3">
        <w:t xml:space="preserve"> but reframing these </w:t>
      </w:r>
      <w:r>
        <w:t>provisions</w:t>
      </w:r>
      <w:r w:rsidR="00462FC3">
        <w:t xml:space="preserve"> to </w:t>
      </w:r>
      <w:r w:rsidR="009857A6">
        <w:t xml:space="preserve">permit </w:t>
      </w:r>
      <w:r w:rsidR="00564B3E">
        <w:t>m</w:t>
      </w:r>
      <w:r w:rsidR="009857A6">
        <w:t xml:space="preserve">inisters to procure the services of consultants independently of their portfolio departments. </w:t>
      </w:r>
      <w:r w:rsidR="00AC01A0" w:rsidRPr="00F90946">
        <w:t xml:space="preserve">Procurement of consultants, rather than </w:t>
      </w:r>
      <w:r w:rsidR="00B84BE4" w:rsidRPr="00F90946">
        <w:t>engagement of</w:t>
      </w:r>
      <w:r w:rsidR="00AC01A0" w:rsidRPr="00F90946">
        <w:t xml:space="preserve"> consultants as staff, reflects modern workplace practice.</w:t>
      </w:r>
      <w:r w:rsidR="00AC01A0">
        <w:t xml:space="preserve"> </w:t>
      </w:r>
    </w:p>
    <w:p w14:paraId="16F4F84B" w14:textId="77777777" w:rsidR="009857A6" w:rsidRDefault="009857A6" w:rsidP="00F611F0"/>
    <w:p w14:paraId="4EE6080C" w14:textId="54BD06A5" w:rsidR="009857A6" w:rsidRDefault="009857A6" w:rsidP="000136FD">
      <w:pPr>
        <w:pStyle w:val="BOXHeading2"/>
      </w:pPr>
      <w:bookmarkStart w:id="3227" w:name="_Toc114230872"/>
      <w:bookmarkStart w:id="3228" w:name="_Toc114232929"/>
      <w:bookmarkStart w:id="3229" w:name="_Toc114233577"/>
      <w:bookmarkStart w:id="3230" w:name="_Toc114233649"/>
      <w:bookmarkStart w:id="3231" w:name="_Toc114240604"/>
      <w:bookmarkStart w:id="3232" w:name="_Toc114240678"/>
      <w:bookmarkStart w:id="3233" w:name="_Toc114241022"/>
      <w:bookmarkStart w:id="3234" w:name="_Toc114494045"/>
      <w:bookmarkStart w:id="3235" w:name="_Toc114500296"/>
      <w:bookmarkStart w:id="3236" w:name="_Toc114500371"/>
      <w:bookmarkStart w:id="3237" w:name="_Toc114518644"/>
      <w:bookmarkStart w:id="3238" w:name="_Toc114520316"/>
      <w:bookmarkStart w:id="3239" w:name="_Toc114520725"/>
      <w:bookmarkStart w:id="3240" w:name="_Toc114565753"/>
      <w:bookmarkStart w:id="3241" w:name="_Toc114566734"/>
      <w:bookmarkStart w:id="3242" w:name="_Toc114566959"/>
      <w:bookmarkStart w:id="3243" w:name="_Toc114566883"/>
      <w:bookmarkStart w:id="3244" w:name="_Toc114585884"/>
      <w:bookmarkStart w:id="3245" w:name="_Toc114586028"/>
      <w:bookmarkStart w:id="3246" w:name="_Toc114586100"/>
      <w:bookmarkStart w:id="3247" w:name="_Toc114601240"/>
      <w:bookmarkStart w:id="3248" w:name="_Toc114657281"/>
      <w:bookmarkStart w:id="3249" w:name="_Toc114659743"/>
      <w:bookmarkStart w:id="3250" w:name="_Toc114662728"/>
      <w:bookmarkStart w:id="3251" w:name="_Toc114665112"/>
      <w:bookmarkStart w:id="3252" w:name="_Toc114672421"/>
      <w:bookmarkStart w:id="3253" w:name="_Toc114672633"/>
      <w:bookmarkStart w:id="3254" w:name="_Toc114673188"/>
      <w:bookmarkStart w:id="3255" w:name="_Toc114673774"/>
      <w:bookmarkStart w:id="3256" w:name="_Toc114674299"/>
      <w:bookmarkStart w:id="3257" w:name="_Toc114687472"/>
      <w:bookmarkStart w:id="3258" w:name="_Toc114689936"/>
      <w:bookmarkStart w:id="3259" w:name="_Toc114731799"/>
      <w:bookmarkStart w:id="3260" w:name="_Toc114733564"/>
      <w:bookmarkStart w:id="3261" w:name="_Toc114735505"/>
      <w:bookmarkStart w:id="3262" w:name="_Toc114755835"/>
      <w:bookmarkStart w:id="3263" w:name="_Toc114757140"/>
      <w:bookmarkStart w:id="3264" w:name="_Toc114757424"/>
      <w:bookmarkStart w:id="3265" w:name="_Toc114757526"/>
      <w:bookmarkStart w:id="3266" w:name="_Toc114758199"/>
      <w:bookmarkStart w:id="3267" w:name="_Toc114824369"/>
      <w:bookmarkStart w:id="3268" w:name="_Toc114829445"/>
      <w:bookmarkStart w:id="3269" w:name="_Toc114829809"/>
      <w:bookmarkStart w:id="3270" w:name="_Toc114829776"/>
      <w:bookmarkStart w:id="3271" w:name="_Toc114829953"/>
      <w:bookmarkStart w:id="3272" w:name="_Toc115099032"/>
      <w:bookmarkStart w:id="3273" w:name="_Toc115099104"/>
      <w:bookmarkStart w:id="3274" w:name="_Toc115101681"/>
      <w:bookmarkStart w:id="3275" w:name="_Toc115102526"/>
      <w:bookmarkStart w:id="3276" w:name="_Toc115105499"/>
      <w:bookmarkStart w:id="3277" w:name="_Toc115110360"/>
      <w:bookmarkStart w:id="3278" w:name="_Toc115110487"/>
      <w:bookmarkStart w:id="3279" w:name="_Toc115121605"/>
      <w:bookmarkStart w:id="3280" w:name="_Toc115121975"/>
      <w:bookmarkStart w:id="3281" w:name="_Toc115123455"/>
      <w:bookmarkStart w:id="3282" w:name="_Toc115123703"/>
      <w:bookmarkStart w:id="3283" w:name="_Toc115126835"/>
      <w:bookmarkStart w:id="3284" w:name="_Toc115185473"/>
      <w:bookmarkStart w:id="3285" w:name="_Toc115186100"/>
      <w:bookmarkStart w:id="3286" w:name="_Toc115189258"/>
      <w:bookmarkStart w:id="3287" w:name="_Toc115194231"/>
      <w:bookmarkStart w:id="3288" w:name="_Toc115194968"/>
      <w:bookmarkStart w:id="3289" w:name="_Toc115196378"/>
      <w:bookmarkStart w:id="3290" w:name="_Toc115198879"/>
      <w:bookmarkStart w:id="3291" w:name="_Toc115208894"/>
      <w:bookmarkStart w:id="3292" w:name="_Toc115209030"/>
      <w:bookmarkStart w:id="3293" w:name="_Toc115210361"/>
      <w:bookmarkStart w:id="3294" w:name="_Toc115212586"/>
      <w:bookmarkStart w:id="3295" w:name="_Toc115213226"/>
      <w:bookmarkStart w:id="3296" w:name="_Toc115216724"/>
      <w:bookmarkStart w:id="3297" w:name="_Toc115270415"/>
      <w:bookmarkStart w:id="3298" w:name="_Toc115271358"/>
      <w:bookmarkStart w:id="3299" w:name="_Toc115272275"/>
      <w:bookmarkStart w:id="3300" w:name="_Toc115273445"/>
      <w:bookmarkStart w:id="3301" w:name="_Toc115273373"/>
      <w:bookmarkStart w:id="3302" w:name="_Toc115274626"/>
      <w:bookmarkStart w:id="3303" w:name="_Toc115274852"/>
      <w:bookmarkStart w:id="3304" w:name="_Toc115275209"/>
      <w:bookmarkStart w:id="3305" w:name="_Toc115275352"/>
      <w:bookmarkStart w:id="3306" w:name="_Toc115274189"/>
      <w:bookmarkStart w:id="3307" w:name="_Toc115274490"/>
      <w:bookmarkStart w:id="3308" w:name="_Toc115274558"/>
      <w:bookmarkStart w:id="3309" w:name="_Toc115274716"/>
      <w:bookmarkStart w:id="3310" w:name="_Toc115277450"/>
      <w:bookmarkStart w:id="3311" w:name="_Toc115277654"/>
      <w:bookmarkStart w:id="3312" w:name="_Toc115278543"/>
      <w:bookmarkStart w:id="3313" w:name="_Toc115278623"/>
      <w:bookmarkStart w:id="3314" w:name="_Toc115282293"/>
      <w:bookmarkStart w:id="3315" w:name="_Toc115284746"/>
      <w:bookmarkStart w:id="3316" w:name="_Toc115286838"/>
      <w:bookmarkStart w:id="3317" w:name="_Toc115294772"/>
      <w:bookmarkStart w:id="3318" w:name="_Toc115296352"/>
      <w:bookmarkStart w:id="3319" w:name="_Toc115308538"/>
      <w:bookmarkStart w:id="3320" w:name="_Toc115311190"/>
      <w:bookmarkStart w:id="3321" w:name="_Toc115312670"/>
      <w:bookmarkStart w:id="3322" w:name="_Toc115343844"/>
      <w:bookmarkStart w:id="3323" w:name="_Toc115348282"/>
      <w:bookmarkStart w:id="3324" w:name="_Toc115350380"/>
      <w:bookmarkStart w:id="3325" w:name="_Toc115353468"/>
      <w:bookmarkStart w:id="3326" w:name="_Toc115359499"/>
      <w:bookmarkStart w:id="3327" w:name="_Toc115361903"/>
      <w:bookmarkStart w:id="3328" w:name="_Toc115364296"/>
      <w:bookmarkStart w:id="3329" w:name="_Toc115365390"/>
      <w:bookmarkStart w:id="3330" w:name="_Toc115365662"/>
      <w:bookmarkStart w:id="3331" w:name="_Toc115365730"/>
      <w:bookmarkStart w:id="3332" w:name="_Toc115366194"/>
      <w:bookmarkStart w:id="3333" w:name="_Toc115368567"/>
      <w:bookmarkStart w:id="3334" w:name="_Toc115370084"/>
      <w:bookmarkStart w:id="3335" w:name="_Toc115370750"/>
      <w:bookmarkStart w:id="3336" w:name="_Toc115374390"/>
      <w:bookmarkStart w:id="3337" w:name="_Toc115378729"/>
      <w:bookmarkStart w:id="3338" w:name="_Toc115380961"/>
      <w:bookmarkStart w:id="3339" w:name="_Toc115384113"/>
      <w:bookmarkStart w:id="3340" w:name="_Toc115387342"/>
      <w:bookmarkStart w:id="3341" w:name="_Toc115388808"/>
      <w:bookmarkStart w:id="3342" w:name="_Toc115431446"/>
      <w:bookmarkStart w:id="3343" w:name="_Toc115432824"/>
      <w:bookmarkStart w:id="3344" w:name="_Toc115434395"/>
      <w:bookmarkStart w:id="3345" w:name="_Toc115434494"/>
      <w:bookmarkStart w:id="3346" w:name="_Toc115434563"/>
      <w:bookmarkStart w:id="3347" w:name="_Toc115434632"/>
      <w:bookmarkStart w:id="3348" w:name="_Toc115442802"/>
      <w:bookmarkStart w:id="3349" w:name="_Toc115446338"/>
      <w:bookmarkStart w:id="3350" w:name="_Toc115448045"/>
      <w:bookmarkStart w:id="3351" w:name="_Toc115449437"/>
      <w:bookmarkStart w:id="3352" w:name="_Toc115452457"/>
      <w:bookmarkStart w:id="3353" w:name="_Toc115455274"/>
      <w:bookmarkStart w:id="3354" w:name="_Toc115455340"/>
      <w:bookmarkStart w:id="3355" w:name="_Toc115457290"/>
      <w:bookmarkStart w:id="3356" w:name="_Toc115458126"/>
      <w:bookmarkStart w:id="3357" w:name="_Toc115948154"/>
      <w:bookmarkStart w:id="3358" w:name="_Toc115948601"/>
      <w:r>
        <w:t xml:space="preserve">Recommendation </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r w:rsidR="00817AC5">
        <w:t>5</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r w:rsidR="005439E8">
        <w:t xml:space="preserve"> – Modernising the Act</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14:paraId="69CF940A" w14:textId="77777777" w:rsidR="000136FD" w:rsidRPr="00EA03C6" w:rsidRDefault="000136FD" w:rsidP="000136FD">
      <w:pPr>
        <w:pStyle w:val="BOXText"/>
      </w:pPr>
      <w:r w:rsidRPr="00EA03C6">
        <w:t>The MoP(S) Act should be modernised by including an objects clause to reflect the purposes of the Act, and amending provisions relating to superannuation and consultants to better reflect contemporary settings.</w:t>
      </w:r>
    </w:p>
    <w:p w14:paraId="5B6F421C" w14:textId="77777777" w:rsidR="00945292" w:rsidRDefault="00945292" w:rsidP="00945292"/>
    <w:p w14:paraId="2E8C70D5" w14:textId="3B9AA39A" w:rsidR="00F542AA" w:rsidRDefault="00F542AA" w:rsidP="00B82865">
      <w:pPr>
        <w:pStyle w:val="Heading2"/>
      </w:pPr>
      <w:bookmarkStart w:id="3359" w:name="_Toc114230873"/>
      <w:bookmarkStart w:id="3360" w:name="_Toc114232930"/>
      <w:bookmarkStart w:id="3361" w:name="_Toc114233578"/>
      <w:bookmarkStart w:id="3362" w:name="_Toc114233650"/>
      <w:bookmarkStart w:id="3363" w:name="_Toc114240605"/>
      <w:bookmarkStart w:id="3364" w:name="_Toc114240679"/>
      <w:bookmarkStart w:id="3365" w:name="_Toc114241023"/>
      <w:bookmarkStart w:id="3366" w:name="_Toc114494046"/>
      <w:bookmarkStart w:id="3367" w:name="_Toc114500297"/>
      <w:bookmarkStart w:id="3368" w:name="_Toc114500372"/>
      <w:bookmarkStart w:id="3369" w:name="_Toc114518645"/>
      <w:bookmarkStart w:id="3370" w:name="_Toc114520317"/>
      <w:bookmarkStart w:id="3371" w:name="_Toc114520726"/>
      <w:bookmarkStart w:id="3372" w:name="_Toc114565754"/>
      <w:bookmarkStart w:id="3373" w:name="_Toc114566735"/>
      <w:bookmarkStart w:id="3374" w:name="_Toc114566960"/>
      <w:bookmarkStart w:id="3375" w:name="_Toc114566884"/>
      <w:bookmarkStart w:id="3376" w:name="_Toc114585885"/>
      <w:bookmarkStart w:id="3377" w:name="_Toc114586029"/>
      <w:bookmarkStart w:id="3378" w:name="_Toc114586101"/>
      <w:bookmarkStart w:id="3379" w:name="_Toc114601241"/>
      <w:bookmarkStart w:id="3380" w:name="_Toc114657282"/>
      <w:bookmarkStart w:id="3381" w:name="_Toc114659744"/>
      <w:bookmarkStart w:id="3382" w:name="_Toc114662729"/>
      <w:bookmarkStart w:id="3383" w:name="_Toc114665113"/>
      <w:bookmarkStart w:id="3384" w:name="_Toc114672422"/>
      <w:bookmarkStart w:id="3385" w:name="_Toc114672634"/>
      <w:bookmarkStart w:id="3386" w:name="_Toc114673189"/>
      <w:bookmarkStart w:id="3387" w:name="_Toc114673775"/>
      <w:bookmarkStart w:id="3388" w:name="_Toc114674300"/>
      <w:bookmarkStart w:id="3389" w:name="_Toc114687473"/>
      <w:bookmarkStart w:id="3390" w:name="_Toc114689937"/>
      <w:bookmarkStart w:id="3391" w:name="_Toc114731800"/>
      <w:bookmarkStart w:id="3392" w:name="_Toc114733565"/>
      <w:bookmarkStart w:id="3393" w:name="_Toc114735506"/>
      <w:bookmarkStart w:id="3394" w:name="_Toc114755836"/>
      <w:bookmarkStart w:id="3395" w:name="_Toc114757141"/>
      <w:bookmarkStart w:id="3396" w:name="_Toc114757425"/>
      <w:bookmarkStart w:id="3397" w:name="_Toc114757527"/>
      <w:bookmarkStart w:id="3398" w:name="_Toc114758200"/>
      <w:bookmarkStart w:id="3399" w:name="_Toc114824370"/>
      <w:bookmarkStart w:id="3400" w:name="_Toc114829446"/>
      <w:bookmarkStart w:id="3401" w:name="_Toc114829810"/>
      <w:bookmarkStart w:id="3402" w:name="_Toc114829777"/>
      <w:bookmarkStart w:id="3403" w:name="_Toc114829954"/>
      <w:bookmarkStart w:id="3404" w:name="_Toc115099033"/>
      <w:bookmarkStart w:id="3405" w:name="_Toc115099105"/>
      <w:bookmarkStart w:id="3406" w:name="_Toc115101682"/>
      <w:bookmarkStart w:id="3407" w:name="_Toc115102527"/>
      <w:bookmarkStart w:id="3408" w:name="_Toc115105500"/>
      <w:bookmarkStart w:id="3409" w:name="_Toc115110361"/>
      <w:bookmarkStart w:id="3410" w:name="_Toc115110488"/>
      <w:bookmarkStart w:id="3411" w:name="_Toc115121606"/>
      <w:bookmarkStart w:id="3412" w:name="_Toc115121976"/>
      <w:bookmarkStart w:id="3413" w:name="_Toc115123456"/>
      <w:bookmarkStart w:id="3414" w:name="_Toc115123704"/>
      <w:bookmarkStart w:id="3415" w:name="_Toc115126836"/>
      <w:bookmarkStart w:id="3416" w:name="_Toc115185474"/>
      <w:bookmarkStart w:id="3417" w:name="_Toc115186101"/>
      <w:bookmarkStart w:id="3418" w:name="_Toc115189259"/>
      <w:bookmarkStart w:id="3419" w:name="_Toc115194232"/>
      <w:bookmarkStart w:id="3420" w:name="_Toc115194969"/>
      <w:bookmarkStart w:id="3421" w:name="_Toc115196379"/>
      <w:bookmarkStart w:id="3422" w:name="_Toc115198880"/>
      <w:bookmarkStart w:id="3423" w:name="_Toc115208895"/>
      <w:bookmarkStart w:id="3424" w:name="_Toc115209031"/>
      <w:bookmarkStart w:id="3425" w:name="_Toc115210362"/>
      <w:bookmarkStart w:id="3426" w:name="_Toc115212587"/>
      <w:bookmarkStart w:id="3427" w:name="_Toc115213227"/>
      <w:bookmarkStart w:id="3428" w:name="_Toc115216725"/>
      <w:bookmarkStart w:id="3429" w:name="_Toc115270416"/>
      <w:bookmarkStart w:id="3430" w:name="_Toc115271359"/>
      <w:bookmarkStart w:id="3431" w:name="_Toc115272276"/>
      <w:bookmarkStart w:id="3432" w:name="_Toc115273446"/>
      <w:bookmarkStart w:id="3433" w:name="_Toc115273374"/>
      <w:bookmarkStart w:id="3434" w:name="_Toc115274627"/>
      <w:bookmarkStart w:id="3435" w:name="_Toc115274853"/>
      <w:bookmarkStart w:id="3436" w:name="_Toc115275210"/>
      <w:bookmarkStart w:id="3437" w:name="_Toc115275353"/>
      <w:bookmarkStart w:id="3438" w:name="_Toc115274190"/>
      <w:bookmarkStart w:id="3439" w:name="_Toc115274491"/>
      <w:bookmarkStart w:id="3440" w:name="_Toc115274559"/>
      <w:bookmarkStart w:id="3441" w:name="_Toc115274717"/>
      <w:bookmarkStart w:id="3442" w:name="_Toc115277451"/>
      <w:bookmarkStart w:id="3443" w:name="_Toc115277655"/>
      <w:bookmarkStart w:id="3444" w:name="_Toc115278544"/>
      <w:bookmarkStart w:id="3445" w:name="_Toc115278624"/>
      <w:bookmarkStart w:id="3446" w:name="_Toc115282294"/>
      <w:bookmarkStart w:id="3447" w:name="_Toc115284747"/>
      <w:bookmarkStart w:id="3448" w:name="_Toc115286839"/>
      <w:bookmarkStart w:id="3449" w:name="_Toc115294773"/>
      <w:bookmarkStart w:id="3450" w:name="_Toc115296353"/>
      <w:bookmarkStart w:id="3451" w:name="_Toc115308539"/>
      <w:bookmarkStart w:id="3452" w:name="_Toc115311191"/>
      <w:bookmarkStart w:id="3453" w:name="_Toc115312671"/>
      <w:bookmarkStart w:id="3454" w:name="_Toc115343845"/>
      <w:bookmarkStart w:id="3455" w:name="_Toc115348283"/>
      <w:bookmarkStart w:id="3456" w:name="_Toc115350381"/>
      <w:bookmarkStart w:id="3457" w:name="_Toc115353469"/>
      <w:bookmarkStart w:id="3458" w:name="_Toc115359500"/>
      <w:bookmarkStart w:id="3459" w:name="_Toc115361904"/>
      <w:bookmarkStart w:id="3460" w:name="_Toc115364297"/>
      <w:bookmarkStart w:id="3461" w:name="_Toc115365391"/>
      <w:bookmarkStart w:id="3462" w:name="_Toc115365663"/>
      <w:bookmarkStart w:id="3463" w:name="_Toc115365731"/>
      <w:bookmarkStart w:id="3464" w:name="_Toc115366195"/>
      <w:bookmarkStart w:id="3465" w:name="_Toc115368568"/>
      <w:bookmarkStart w:id="3466" w:name="_Toc115370085"/>
      <w:bookmarkStart w:id="3467" w:name="_Toc115370751"/>
      <w:bookmarkStart w:id="3468" w:name="_Toc115374391"/>
      <w:bookmarkStart w:id="3469" w:name="_Toc115378730"/>
      <w:bookmarkStart w:id="3470" w:name="_Toc115380962"/>
      <w:bookmarkStart w:id="3471" w:name="_Toc115384114"/>
      <w:bookmarkStart w:id="3472" w:name="_Toc115387343"/>
      <w:bookmarkStart w:id="3473" w:name="_Toc115388809"/>
      <w:bookmarkStart w:id="3474" w:name="_Toc115431447"/>
      <w:bookmarkStart w:id="3475" w:name="_Toc115432825"/>
      <w:bookmarkStart w:id="3476" w:name="_Toc115434396"/>
      <w:bookmarkStart w:id="3477" w:name="_Toc115434495"/>
      <w:bookmarkStart w:id="3478" w:name="_Toc115434564"/>
      <w:bookmarkStart w:id="3479" w:name="_Toc115434633"/>
      <w:bookmarkStart w:id="3480" w:name="_Toc115442803"/>
      <w:bookmarkStart w:id="3481" w:name="_Toc115446339"/>
      <w:bookmarkStart w:id="3482" w:name="_Toc115448046"/>
      <w:bookmarkStart w:id="3483" w:name="_Toc115449438"/>
      <w:bookmarkStart w:id="3484" w:name="_Toc115452458"/>
      <w:bookmarkStart w:id="3485" w:name="_Toc115455275"/>
      <w:bookmarkStart w:id="3486" w:name="_Toc115455341"/>
      <w:bookmarkStart w:id="3487" w:name="_Toc115457291"/>
      <w:bookmarkStart w:id="3488" w:name="_Toc115458127"/>
      <w:bookmarkStart w:id="3489" w:name="_Toc115948155"/>
      <w:bookmarkStart w:id="3490" w:name="_Toc115948602"/>
      <w:r>
        <w:t>3.6</w:t>
      </w:r>
      <w:r w:rsidR="00CF2B08">
        <w:t xml:space="preserve"> Other legislative amendments for clarity and c</w:t>
      </w:r>
      <w:r w:rsidR="002225D9">
        <w:t>onsistency</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14:paraId="279C4A6A" w14:textId="77777777" w:rsidR="00F542AA" w:rsidRPr="004B592B" w:rsidRDefault="00B82865" w:rsidP="00051BDA">
      <w:pPr>
        <w:pStyle w:val="Heading3"/>
      </w:pPr>
      <w:r w:rsidRPr="004B592B">
        <w:t xml:space="preserve">3.6.1 </w:t>
      </w:r>
      <w:r w:rsidR="00F542AA" w:rsidRPr="004B592B">
        <w:t>Determinations</w:t>
      </w:r>
    </w:p>
    <w:p w14:paraId="3E42C0CF" w14:textId="39E8AF89" w:rsidR="000D4579" w:rsidRPr="004B592B" w:rsidRDefault="00B44F73" w:rsidP="000D4579">
      <w:r w:rsidRPr="004B592B">
        <w:t xml:space="preserve">As outlined in Section </w:t>
      </w:r>
      <w:r w:rsidRPr="00DC5CB8">
        <w:t>2.3</w:t>
      </w:r>
      <w:r w:rsidRPr="004B592B">
        <w:t>, t</w:t>
      </w:r>
      <w:r w:rsidR="0064105A" w:rsidRPr="004B592B">
        <w:t>he Prime Minister has power</w:t>
      </w:r>
      <w:r w:rsidRPr="004B592B">
        <w:t>s</w:t>
      </w:r>
      <w:r w:rsidR="0064105A" w:rsidRPr="004B592B">
        <w:t xml:space="preserve"> to determine a number of matters with regard to MoP(S) Act employee </w:t>
      </w:r>
      <w:r w:rsidR="00AE7007" w:rsidRPr="004B592B">
        <w:t>engagement and</w:t>
      </w:r>
      <w:r w:rsidR="0064105A" w:rsidRPr="004B592B">
        <w:t xml:space="preserve"> terms and conditions.</w:t>
      </w:r>
      <w:r w:rsidR="00B82865" w:rsidRPr="004B592B">
        <w:t xml:space="preserve"> The Review considers determination</w:t>
      </w:r>
      <w:r w:rsidR="00480ED1">
        <w:t xml:space="preserve"> instrument</w:t>
      </w:r>
      <w:r w:rsidR="00B82865" w:rsidRPr="004B592B">
        <w:t xml:space="preserve">s </w:t>
      </w:r>
      <w:r w:rsidR="003643A1">
        <w:t xml:space="preserve">relating to terms and conditions </w:t>
      </w:r>
      <w:r w:rsidR="00B82865" w:rsidRPr="004B592B">
        <w:t xml:space="preserve">should be </w:t>
      </w:r>
      <w:r w:rsidR="003643A1">
        <w:t xml:space="preserve">made publicly available </w:t>
      </w:r>
      <w:r w:rsidR="00B82865" w:rsidRPr="004B592B">
        <w:t>except where they contain personal information</w:t>
      </w:r>
      <w:r w:rsidR="00560C29">
        <w:rPr>
          <w:rStyle w:val="FootnoteReference"/>
        </w:rPr>
        <w:footnoteReference w:id="136"/>
      </w:r>
      <w:r w:rsidR="00B82865" w:rsidRPr="004B592B">
        <w:t xml:space="preserve">. </w:t>
      </w:r>
      <w:r w:rsidR="00EE7491">
        <w:t xml:space="preserve">While we understand that Finance </w:t>
      </w:r>
      <w:r w:rsidR="00F213A9">
        <w:t xml:space="preserve">currently </w:t>
      </w:r>
      <w:r w:rsidR="00EE7491">
        <w:t>publishes all determinations relating to terms and conditions on their website</w:t>
      </w:r>
      <w:r w:rsidR="00D93A7D">
        <w:t>,</w:t>
      </w:r>
      <w:r w:rsidR="000D4579" w:rsidRPr="004B592B">
        <w:rPr>
          <w:rStyle w:val="FootnoteReference"/>
        </w:rPr>
        <w:footnoteReference w:id="137"/>
      </w:r>
      <w:r w:rsidR="000A4C0D">
        <w:t xml:space="preserve"> </w:t>
      </w:r>
      <w:r w:rsidR="00EE7491">
        <w:t>there is no legislative requirement to do so.</w:t>
      </w:r>
      <w:r w:rsidR="00F213A9">
        <w:t xml:space="preserve"> This creates a risk that MoP(S) employees and </w:t>
      </w:r>
      <w:r w:rsidR="000C173B">
        <w:t xml:space="preserve">members of the public </w:t>
      </w:r>
      <w:r w:rsidR="00797A21">
        <w:t>may</w:t>
      </w:r>
      <w:r w:rsidR="000C173B">
        <w:t xml:space="preserve"> not necessarily be provided with a full and accurate picture</w:t>
      </w:r>
      <w:r w:rsidR="000D4579">
        <w:t xml:space="preserve"> of the </w:t>
      </w:r>
      <w:r w:rsidR="00F213A9">
        <w:t>terms and conditions</w:t>
      </w:r>
      <w:r w:rsidR="000D4579">
        <w:t xml:space="preserve"> </w:t>
      </w:r>
      <w:r w:rsidR="00187542">
        <w:t>governing</w:t>
      </w:r>
      <w:r w:rsidR="000D4579">
        <w:t xml:space="preserve"> MoP(S) Act employ</w:t>
      </w:r>
      <w:r w:rsidR="000C173B">
        <w:t>ment.</w:t>
      </w:r>
      <w:r w:rsidR="00187542">
        <w:t xml:space="preserve"> </w:t>
      </w:r>
      <w:r w:rsidR="00775971">
        <w:t>Including such a requirement in the Act would improve visibility of, and certainty in relation to, employment conditions for MoP(S) Act employees, as well as</w:t>
      </w:r>
      <w:r w:rsidR="00775971" w:rsidRPr="00775971">
        <w:t xml:space="preserve"> </w:t>
      </w:r>
      <w:r w:rsidR="00775971">
        <w:t>increasing</w:t>
      </w:r>
      <w:r w:rsidR="00775971" w:rsidRPr="004B592B">
        <w:t xml:space="preserve"> the transparency of the Prime Minister’s (or delegate</w:t>
      </w:r>
      <w:r w:rsidR="00775971">
        <w:t>’s</w:t>
      </w:r>
      <w:r w:rsidR="00775971" w:rsidRPr="004B592B">
        <w:t xml:space="preserve">) </w:t>
      </w:r>
      <w:r w:rsidR="00775971">
        <w:t>exercise of</w:t>
      </w:r>
      <w:r w:rsidR="00775971" w:rsidRPr="004B592B">
        <w:t xml:space="preserve"> powers</w:t>
      </w:r>
      <w:r w:rsidR="00775971">
        <w:t xml:space="preserve"> to set terms and conditions.</w:t>
      </w:r>
    </w:p>
    <w:p w14:paraId="31DF8A1E" w14:textId="689343F5" w:rsidR="00F542AA" w:rsidRPr="004B592B" w:rsidRDefault="000D4579" w:rsidP="00375053">
      <w:r>
        <w:t>The Review considers that a</w:t>
      </w:r>
      <w:r w:rsidR="003643A1">
        <w:t xml:space="preserve">mending the Act to provide that determinations made under sections </w:t>
      </w:r>
      <w:r w:rsidR="003660EC">
        <w:t>14 and 21 of the Act</w:t>
      </w:r>
      <w:r w:rsidR="003643A1">
        <w:t xml:space="preserve"> are notifiable instruments </w:t>
      </w:r>
      <w:r>
        <w:t xml:space="preserve">is the most straightforward way </w:t>
      </w:r>
      <w:r w:rsidR="00775971">
        <w:t xml:space="preserve">to </w:t>
      </w:r>
      <w:r w:rsidR="003643A1">
        <w:t xml:space="preserve">achieve this end. </w:t>
      </w:r>
      <w:r w:rsidRPr="000D4579">
        <w:t>Notifiable instruments are required to be published on the Federal Register of Legislation</w:t>
      </w:r>
      <w:r w:rsidR="00775971">
        <w:t>,</w:t>
      </w:r>
      <w:r w:rsidR="00775971" w:rsidRPr="003A6AD7">
        <w:rPr>
          <w:rStyle w:val="FootnoteReference"/>
        </w:rPr>
        <w:t xml:space="preserve"> </w:t>
      </w:r>
      <w:r w:rsidR="003A6AD7" w:rsidRPr="004B592B">
        <w:rPr>
          <w:rStyle w:val="FootnoteReference"/>
        </w:rPr>
        <w:footnoteReference w:id="138"/>
      </w:r>
      <w:r w:rsidR="00775971">
        <w:t xml:space="preserve"> </w:t>
      </w:r>
      <w:r w:rsidR="00EE7491">
        <w:t>and</w:t>
      </w:r>
      <w:r w:rsidR="00EC305F">
        <w:t xml:space="preserve"> were introduced as a new category of instrument in 2015 for use when ‘</w:t>
      </w:r>
      <w:r w:rsidR="00EC305F" w:rsidRPr="00EC305F">
        <w:t>public accessibility is desirable'.</w:t>
      </w:r>
      <w:r w:rsidR="00EC305F">
        <w:rPr>
          <w:rStyle w:val="FootnoteReference"/>
        </w:rPr>
        <w:footnoteReference w:id="139"/>
      </w:r>
      <w:r w:rsidR="00EC305F">
        <w:t xml:space="preserve"> </w:t>
      </w:r>
      <w:r w:rsidR="00EE7491">
        <w:t xml:space="preserve">However, notifiable instruments are otherwise </w:t>
      </w:r>
      <w:r w:rsidR="00EB0B84">
        <w:t xml:space="preserve">functionally the </w:t>
      </w:r>
      <w:r w:rsidR="00775971">
        <w:t>same as the existing instruments made under the determinations power</w:t>
      </w:r>
      <w:r w:rsidR="00EE7491">
        <w:t xml:space="preserve"> (e.g.</w:t>
      </w:r>
      <w:r w:rsidR="00230E82">
        <w:t xml:space="preserve"> disallowance and sunsetting regimes will not apply</w:t>
      </w:r>
      <w:r w:rsidR="00F91472">
        <w:t>)</w:t>
      </w:r>
      <w:r w:rsidRPr="000D4579">
        <w:t>.</w:t>
      </w:r>
      <w:r w:rsidR="00775971" w:rsidRPr="00775971">
        <w:rPr>
          <w:rStyle w:val="FootnoteReference"/>
        </w:rPr>
        <w:t xml:space="preserve"> </w:t>
      </w:r>
      <w:r w:rsidR="00775971" w:rsidRPr="004B592B">
        <w:rPr>
          <w:rStyle w:val="FootnoteReference"/>
        </w:rPr>
        <w:footnoteReference w:id="140"/>
      </w:r>
      <w:r w:rsidRPr="000D4579">
        <w:t xml:space="preserve"> </w:t>
      </w:r>
      <w:r w:rsidR="00202783">
        <w:t xml:space="preserve">The Review </w:t>
      </w:r>
      <w:r w:rsidR="00852D6A">
        <w:t xml:space="preserve">recommends </w:t>
      </w:r>
      <w:r w:rsidR="00EE7491">
        <w:t xml:space="preserve">that, consistent with modern drafting practices and the public interest in ensuring that the terms and conditions governing MoP(S) employment are transparent, determinations of terms and conditions </w:t>
      </w:r>
      <w:r w:rsidR="00F91472">
        <w:t>(</w:t>
      </w:r>
      <w:r w:rsidR="00182C07">
        <w:t>that do not contain personal information</w:t>
      </w:r>
      <w:r w:rsidR="00F91472">
        <w:t>)</w:t>
      </w:r>
      <w:r w:rsidR="00182C07">
        <w:t xml:space="preserve"> </w:t>
      </w:r>
      <w:r w:rsidR="00EE7491">
        <w:t xml:space="preserve">should be made as </w:t>
      </w:r>
      <w:r w:rsidR="00202783">
        <w:t>notifiable instruments.</w:t>
      </w:r>
    </w:p>
    <w:p w14:paraId="67C270EB" w14:textId="003C23D4" w:rsidR="00FC74A1" w:rsidRDefault="00B82865" w:rsidP="00FC74A1">
      <w:r w:rsidRPr="004B592B">
        <w:t xml:space="preserve">The Review notes some </w:t>
      </w:r>
      <w:r w:rsidR="00FC74A1" w:rsidRPr="004B592B">
        <w:t xml:space="preserve">determinations contain </w:t>
      </w:r>
      <w:r w:rsidR="005A5422" w:rsidRPr="004B592B">
        <w:t xml:space="preserve">arrangements or </w:t>
      </w:r>
      <w:r w:rsidR="00FC74A1" w:rsidRPr="004B592B">
        <w:t xml:space="preserve">terms and conditions </w:t>
      </w:r>
      <w:r w:rsidR="005A5422" w:rsidRPr="004B592B">
        <w:t>of employment</w:t>
      </w:r>
      <w:r w:rsidR="00FC74A1" w:rsidRPr="004B592B">
        <w:t xml:space="preserve"> </w:t>
      </w:r>
      <w:r w:rsidRPr="004B592B">
        <w:t xml:space="preserve">which </w:t>
      </w:r>
      <w:r w:rsidR="00A12102">
        <w:t xml:space="preserve">have been in place for some time and </w:t>
      </w:r>
      <w:r w:rsidRPr="004B592B">
        <w:t xml:space="preserve">are unlikely to need change. </w:t>
      </w:r>
      <w:r w:rsidR="00EB15B4">
        <w:t>As such</w:t>
      </w:r>
      <w:r w:rsidRPr="004B592B">
        <w:t>,</w:t>
      </w:r>
      <w:r w:rsidR="00F53EE0" w:rsidRPr="004B592B">
        <w:t xml:space="preserve"> </w:t>
      </w:r>
      <w:r w:rsidR="00A12102">
        <w:t xml:space="preserve">consideration should be given to </w:t>
      </w:r>
      <w:r w:rsidR="00FC74A1" w:rsidRPr="004B592B">
        <w:t>lift</w:t>
      </w:r>
      <w:r w:rsidR="00A12102">
        <w:t>ing discrete parts of the following determinations</w:t>
      </w:r>
      <w:r w:rsidR="00FC74A1" w:rsidRPr="004B592B">
        <w:t xml:space="preserve"> into the </w:t>
      </w:r>
      <w:r w:rsidR="00EB15B4">
        <w:t xml:space="preserve">MoP(S) </w:t>
      </w:r>
      <w:r w:rsidR="00FC74A1" w:rsidRPr="004B592B">
        <w:t xml:space="preserve">Act:  </w:t>
      </w:r>
    </w:p>
    <w:p w14:paraId="3866148D" w14:textId="77777777" w:rsidR="00852D6A" w:rsidRPr="004B592B" w:rsidRDefault="00852D6A" w:rsidP="00FC74A1"/>
    <w:tbl>
      <w:tblPr>
        <w:tblStyle w:val="TableGridLight"/>
        <w:tblW w:w="9493" w:type="dxa"/>
        <w:tblLook w:val="04A0" w:firstRow="1" w:lastRow="0" w:firstColumn="1" w:lastColumn="0" w:noHBand="0" w:noVBand="1"/>
        <w:tblDescription w:val="Determination Relevant part&#10;2013/12 - Office-holders, senators and members must not employ family members Condition of employment that the person to be employed is not a member of the office-holder’s, Senator’s or Member’s immediate family  &#10;2016/15 - Employment of electorate officers, item 2 Electorate Officers…are employed to assist the Senator or Member to carry out duties as a Member of Parliament, and not for party political purposes.’ &#10;"/>
      </w:tblPr>
      <w:tblGrid>
        <w:gridCol w:w="3009"/>
        <w:gridCol w:w="6484"/>
      </w:tblGrid>
      <w:tr w:rsidR="005A5422" w:rsidRPr="004B592B" w14:paraId="22973EBB" w14:textId="77777777" w:rsidTr="00CC771F">
        <w:trPr>
          <w:trHeight w:val="407"/>
          <w:tblHeader/>
        </w:trPr>
        <w:tc>
          <w:tcPr>
            <w:tcW w:w="3009" w:type="dxa"/>
          </w:tcPr>
          <w:p w14:paraId="2972E746" w14:textId="77777777" w:rsidR="005A5422" w:rsidRPr="004B592B" w:rsidRDefault="005A5422" w:rsidP="00FC74A1">
            <w:pPr>
              <w:rPr>
                <w:b/>
              </w:rPr>
            </w:pPr>
            <w:r w:rsidRPr="004B592B">
              <w:rPr>
                <w:b/>
              </w:rPr>
              <w:t>Determination</w:t>
            </w:r>
          </w:p>
        </w:tc>
        <w:tc>
          <w:tcPr>
            <w:tcW w:w="6484" w:type="dxa"/>
          </w:tcPr>
          <w:p w14:paraId="381F4498" w14:textId="77777777" w:rsidR="005A5422" w:rsidRPr="004B592B" w:rsidRDefault="004E0D82" w:rsidP="00FC74A1">
            <w:pPr>
              <w:rPr>
                <w:b/>
              </w:rPr>
            </w:pPr>
            <w:r w:rsidRPr="004B592B">
              <w:rPr>
                <w:b/>
              </w:rPr>
              <w:t xml:space="preserve">Relevant </w:t>
            </w:r>
            <w:r w:rsidR="00B742F5" w:rsidRPr="004B592B">
              <w:rPr>
                <w:b/>
              </w:rPr>
              <w:t>p</w:t>
            </w:r>
            <w:r w:rsidR="00317EDC" w:rsidRPr="004B592B">
              <w:rPr>
                <w:b/>
              </w:rPr>
              <w:t>art</w:t>
            </w:r>
          </w:p>
        </w:tc>
      </w:tr>
      <w:tr w:rsidR="00F53EE0" w:rsidRPr="004B592B" w14:paraId="361D4078" w14:textId="77777777" w:rsidTr="003F660B">
        <w:trPr>
          <w:trHeight w:val="988"/>
        </w:trPr>
        <w:tc>
          <w:tcPr>
            <w:tcW w:w="3009" w:type="dxa"/>
          </w:tcPr>
          <w:p w14:paraId="1F4E58AA" w14:textId="77777777" w:rsidR="00F53EE0" w:rsidRPr="004B592B" w:rsidRDefault="006B322F" w:rsidP="00FC74A1">
            <w:r w:rsidRPr="004B592B">
              <w:t>2013/12 - Office-holders, senators and members must not employ family members</w:t>
            </w:r>
          </w:p>
        </w:tc>
        <w:tc>
          <w:tcPr>
            <w:tcW w:w="6484" w:type="dxa"/>
          </w:tcPr>
          <w:p w14:paraId="1BAC253C" w14:textId="77777777" w:rsidR="00F53EE0" w:rsidRPr="004B592B" w:rsidRDefault="004E0D82" w:rsidP="00FC74A1">
            <w:r w:rsidRPr="004B592B">
              <w:t>Condition of employment that the person to be employed is not a member of the office-holder’s, Senator’s or Member’s immedia</w:t>
            </w:r>
            <w:r w:rsidR="00B82865" w:rsidRPr="004B592B">
              <w:t>te family</w:t>
            </w:r>
            <w:r w:rsidRPr="004B592B">
              <w:rPr>
                <w:rStyle w:val="FootnoteReference"/>
              </w:rPr>
              <w:footnoteReference w:id="141"/>
            </w:r>
            <w:r w:rsidRPr="004B592B">
              <w:t xml:space="preserve"> </w:t>
            </w:r>
          </w:p>
        </w:tc>
      </w:tr>
      <w:tr w:rsidR="00F53EE0" w:rsidRPr="004B592B" w14:paraId="6059D8AE" w14:textId="77777777" w:rsidTr="003F660B">
        <w:trPr>
          <w:trHeight w:val="587"/>
        </w:trPr>
        <w:tc>
          <w:tcPr>
            <w:tcW w:w="3009" w:type="dxa"/>
          </w:tcPr>
          <w:p w14:paraId="1B3F14FC" w14:textId="77777777" w:rsidR="00F53EE0" w:rsidRPr="004B592B" w:rsidRDefault="006B322F" w:rsidP="00FC74A1">
            <w:r w:rsidRPr="004B592B">
              <w:t>2016/15 - Employment of electorate officers</w:t>
            </w:r>
            <w:r w:rsidR="00B82865" w:rsidRPr="004B592B">
              <w:t>, item 2</w:t>
            </w:r>
          </w:p>
        </w:tc>
        <w:tc>
          <w:tcPr>
            <w:tcW w:w="6484" w:type="dxa"/>
          </w:tcPr>
          <w:p w14:paraId="5E14D5C5" w14:textId="14D23711" w:rsidR="00F53EE0" w:rsidRPr="004B592B" w:rsidRDefault="00317EDC" w:rsidP="004B592B">
            <w:r w:rsidRPr="004B592B">
              <w:t>Electorate Officers</w:t>
            </w:r>
            <w:r w:rsidR="007F5D06" w:rsidRPr="004B592B">
              <w:t>…</w:t>
            </w:r>
            <w:r w:rsidRPr="004B592B">
              <w:t>are employed to assist the Senator or Member to carry out duties as a Member of Parliament, and not for party political purposes.’</w:t>
            </w:r>
            <w:r w:rsidR="00B82865" w:rsidRPr="004B592B">
              <w:t xml:space="preserve"> </w:t>
            </w:r>
          </w:p>
        </w:tc>
      </w:tr>
    </w:tbl>
    <w:p w14:paraId="66471B22" w14:textId="77777777" w:rsidR="00A916AD" w:rsidRDefault="00A916AD" w:rsidP="00051BDA">
      <w:pPr>
        <w:pStyle w:val="Heading3"/>
      </w:pPr>
    </w:p>
    <w:p w14:paraId="660F6B1A" w14:textId="6E91B12E" w:rsidR="00FD533F" w:rsidRPr="005520BB" w:rsidRDefault="00A77342" w:rsidP="00051BDA">
      <w:pPr>
        <w:pStyle w:val="Heading3"/>
      </w:pPr>
      <w:r>
        <w:t xml:space="preserve">3.6.2 </w:t>
      </w:r>
      <w:r w:rsidR="00DE242A">
        <w:t>Employment and employer powers in vacant seats</w:t>
      </w:r>
    </w:p>
    <w:p w14:paraId="788CBF66" w14:textId="297411D5" w:rsidR="00FD533F" w:rsidRDefault="00EB15B4" w:rsidP="000935FE">
      <w:r>
        <w:t>The MoP(S)</w:t>
      </w:r>
      <w:r w:rsidR="000935FE">
        <w:t xml:space="preserve"> Act </w:t>
      </w:r>
      <w:r w:rsidR="007F5D06">
        <w:t xml:space="preserve">should expressly provide </w:t>
      </w:r>
      <w:r w:rsidR="000935FE">
        <w:t xml:space="preserve">for </w:t>
      </w:r>
      <w:r w:rsidR="00842A20">
        <w:t xml:space="preserve">the continuation of </w:t>
      </w:r>
      <w:r w:rsidR="000935FE">
        <w:t xml:space="preserve">employment and employer powers </w:t>
      </w:r>
      <w:r w:rsidR="00842A20">
        <w:t xml:space="preserve">in certain circumstances </w:t>
      </w:r>
      <w:r w:rsidR="00503A0A">
        <w:t xml:space="preserve">when </w:t>
      </w:r>
      <w:r w:rsidR="00DE242A">
        <w:t>a seat becomes vacant. On occasion</w:t>
      </w:r>
      <w:r w:rsidR="0059385C">
        <w:t>,</w:t>
      </w:r>
      <w:r w:rsidR="00DE242A">
        <w:t xml:space="preserve"> when a seat becomes vacant, it is not clear whether MoP(S) Act employment continues (</w:t>
      </w:r>
      <w:r w:rsidR="004F3A64">
        <w:t>particularly</w:t>
      </w:r>
      <w:r w:rsidR="00DE242A">
        <w:t xml:space="preserve"> for electorate staff) and </w:t>
      </w:r>
      <w:r w:rsidR="00B46AC7">
        <w:t xml:space="preserve">who exercises </w:t>
      </w:r>
      <w:r w:rsidR="00B46AC7" w:rsidRPr="00C73D03">
        <w:t xml:space="preserve">employer powers </w:t>
      </w:r>
      <w:r w:rsidR="004C5971" w:rsidRPr="00C73D03">
        <w:t>like</w:t>
      </w:r>
      <w:r w:rsidR="00B46AC7" w:rsidRPr="00C73D03">
        <w:t xml:space="preserve"> hiring, </w:t>
      </w:r>
      <w:r w:rsidR="004C5971" w:rsidRPr="00C73D03">
        <w:t>terminating employment</w:t>
      </w:r>
      <w:r w:rsidR="00B46AC7" w:rsidRPr="00C73D03">
        <w:t>, approving leave</w:t>
      </w:r>
      <w:r w:rsidR="00F22A77" w:rsidRPr="00C73D03">
        <w:t xml:space="preserve">, managing roles and responsibilities, </w:t>
      </w:r>
      <w:r w:rsidR="004C5971" w:rsidRPr="00C73D03">
        <w:t xml:space="preserve">and </w:t>
      </w:r>
      <w:r w:rsidR="00F22A77" w:rsidRPr="00C73D03">
        <w:t>ensuring WHS obligations are met</w:t>
      </w:r>
      <w:r w:rsidR="00B46AC7" w:rsidRPr="00C73D03">
        <w:t xml:space="preserve">. </w:t>
      </w:r>
      <w:r w:rsidR="00DE242A" w:rsidRPr="00C73D03">
        <w:t>Circumstances</w:t>
      </w:r>
      <w:r w:rsidR="00DE242A">
        <w:t xml:space="preserve"> when this may arise include death of a parliamentarian, </w:t>
      </w:r>
      <w:r w:rsidR="00F22A77">
        <w:t xml:space="preserve">and </w:t>
      </w:r>
      <w:r w:rsidR="00DE242A">
        <w:t xml:space="preserve">during an election </w:t>
      </w:r>
      <w:r w:rsidR="00F22A77">
        <w:t xml:space="preserve">period </w:t>
      </w:r>
      <w:r w:rsidR="00DE242A">
        <w:t xml:space="preserve">between </w:t>
      </w:r>
      <w:r w:rsidR="007F5D06">
        <w:t xml:space="preserve">the date of dissolution of parliament </w:t>
      </w:r>
      <w:r w:rsidR="00FD533F" w:rsidRPr="005520BB">
        <w:t xml:space="preserve">until the polls are declared. </w:t>
      </w:r>
      <w:r w:rsidR="007F5D06">
        <w:t xml:space="preserve">The amendments should reflect the arrangement set up by the </w:t>
      </w:r>
      <w:r w:rsidR="00ED5981" w:rsidRPr="00004DE3">
        <w:rPr>
          <w:i/>
        </w:rPr>
        <w:t xml:space="preserve">Parliamentary Business Resources Act 2017 </w:t>
      </w:r>
      <w:r w:rsidR="00ED5981">
        <w:t>(Cth) (</w:t>
      </w:r>
      <w:r w:rsidR="007F5D06">
        <w:t>PBR Act</w:t>
      </w:r>
      <w:r w:rsidR="00ED5981">
        <w:t>)</w:t>
      </w:r>
      <w:r w:rsidR="000A44D1">
        <w:t>.</w:t>
      </w:r>
      <w:r w:rsidR="00B46AC7">
        <w:rPr>
          <w:rStyle w:val="FootnoteReference"/>
        </w:rPr>
        <w:footnoteReference w:id="142"/>
      </w:r>
      <w:r w:rsidR="00647809">
        <w:t xml:space="preserve"> See Section </w:t>
      </w:r>
      <w:r w:rsidR="00647809" w:rsidRPr="004C5971">
        <w:t>6.5</w:t>
      </w:r>
      <w:r w:rsidR="00647809">
        <w:t xml:space="preserve"> for a discussion on </w:t>
      </w:r>
      <w:r w:rsidR="004C5971">
        <w:t xml:space="preserve">the circumstances on when </w:t>
      </w:r>
      <w:r w:rsidR="00647809">
        <w:t>automatic termination</w:t>
      </w:r>
      <w:r w:rsidR="004C5971">
        <w:t xml:space="preserve"> </w:t>
      </w:r>
      <w:r w:rsidR="00556054">
        <w:t xml:space="preserve">is </w:t>
      </w:r>
      <w:r w:rsidR="004C5971">
        <w:t>triggered</w:t>
      </w:r>
      <w:r w:rsidR="00647809">
        <w:t xml:space="preserve">. </w:t>
      </w:r>
    </w:p>
    <w:p w14:paraId="4A97AF07" w14:textId="77777777" w:rsidR="00F22A77" w:rsidRPr="005520BB" w:rsidRDefault="00F22A77" w:rsidP="000935FE"/>
    <w:p w14:paraId="38228CDD" w14:textId="77777777" w:rsidR="0096783E" w:rsidRPr="00872A95" w:rsidRDefault="0096783E" w:rsidP="00051BDA">
      <w:pPr>
        <w:pStyle w:val="Heading3"/>
      </w:pPr>
      <w:r w:rsidRPr="00872A95">
        <w:t>3.6.3 Arrangements to backfill personal employees – ‘12 week rule’</w:t>
      </w:r>
    </w:p>
    <w:p w14:paraId="5624C064" w14:textId="0B28004D" w:rsidR="0096783E" w:rsidRDefault="0096783E" w:rsidP="0096783E">
      <w:r w:rsidRPr="00872A95">
        <w:t>The Review heard greater certainty is needed around arrangements for ‘backfilling’ personal employees on leave. The practice is currently not well-defined or consistent across offices. This is in contrast to arrangements for electorate employees, where parliamentarians may use the Electorate Support Budget to cover staff absences – although this is not without issue either (see below).</w:t>
      </w:r>
      <w:r w:rsidR="00C665C2">
        <w:t xml:space="preserve"> </w:t>
      </w:r>
      <w:r w:rsidRPr="00872A95">
        <w:t xml:space="preserve">Currently, when a personal employee is on leave for 12 weeks or more, a parliamentarian </w:t>
      </w:r>
      <w:r w:rsidR="00556054">
        <w:t>is</w:t>
      </w:r>
      <w:r w:rsidR="00556054" w:rsidRPr="00872A95">
        <w:t xml:space="preserve"> </w:t>
      </w:r>
      <w:r w:rsidRPr="00872A95">
        <w:t xml:space="preserve">generally permitted to employ another person to backfill the position. This long-standing practice is known as the ’12 week rule’ and is based on guidance issued and endorsed by several governments since 1998. For periods of leave 12 weeks or less, </w:t>
      </w:r>
      <w:r w:rsidR="008C4AFD">
        <w:t>m</w:t>
      </w:r>
      <w:r w:rsidRPr="00872A95">
        <w:t>inisters have been able to rely on portfolio department staff to backfill a position. However, this arrangement is not equally available for other parliamentarians.</w:t>
      </w:r>
      <w:r w:rsidR="00C22A1E">
        <w:t xml:space="preserve"> </w:t>
      </w:r>
      <w:r w:rsidRPr="00872A95">
        <w:t xml:space="preserve">The Review recommends the Prime Minister (or delegate) confirm the current practice to backfill personal staff on leave for 12 weeks or more by determination. Responsibility for </w:t>
      </w:r>
      <w:r w:rsidR="000363DA">
        <w:t xml:space="preserve">the </w:t>
      </w:r>
      <w:r w:rsidRPr="00872A95">
        <w:t>policy and communication of the policy would sit with the OPSC.</w:t>
      </w:r>
      <w:r w:rsidR="006F62BD">
        <w:t xml:space="preserve"> </w:t>
      </w:r>
      <w:r w:rsidRPr="00872A95">
        <w:t>For periods less than 12 weeks, this Review does not consider it practical to provide formal arrangements for temporary positions</w:t>
      </w:r>
      <w:r w:rsidR="002E1E31">
        <w:t>, given the</w:t>
      </w:r>
      <w:r w:rsidRPr="00872A95">
        <w:t xml:space="preserve"> time it would take to recruit and on-board new staff. </w:t>
      </w:r>
    </w:p>
    <w:p w14:paraId="18A03103" w14:textId="77777777" w:rsidR="00A916AD" w:rsidRDefault="00A916AD" w:rsidP="0096783E"/>
    <w:p w14:paraId="5AF59F3B" w14:textId="77777777" w:rsidR="008E7921" w:rsidRPr="00872A95" w:rsidRDefault="008E7921" w:rsidP="00051BDA">
      <w:pPr>
        <w:pStyle w:val="Heading3"/>
      </w:pPr>
      <w:r w:rsidRPr="00872A95">
        <w:t>3.6.4 Travel expenses framework</w:t>
      </w:r>
    </w:p>
    <w:p w14:paraId="6DE5BEFE" w14:textId="0F6A2CAD" w:rsidR="006F62BD" w:rsidRDefault="008E7921" w:rsidP="008E7921">
      <w:r w:rsidRPr="00872A95">
        <w:t xml:space="preserve">Authority for MoP(S) Act employees to </w:t>
      </w:r>
      <w:r w:rsidR="0048486C">
        <w:t xml:space="preserve">incur or </w:t>
      </w:r>
      <w:r w:rsidRPr="00872A95">
        <w:t>claim work-related travel expenses is set out in a determination</w:t>
      </w:r>
      <w:r w:rsidR="00296DFF">
        <w:t>,</w:t>
      </w:r>
      <w:r w:rsidRPr="00872A95">
        <w:rPr>
          <w:rStyle w:val="FootnoteReference"/>
        </w:rPr>
        <w:footnoteReference w:id="143"/>
      </w:r>
      <w:r w:rsidRPr="00872A95">
        <w:t xml:space="preserve"> in the EA and associated workplace guidelines. These are administered by </w:t>
      </w:r>
      <w:r w:rsidR="0048486C">
        <w:t>IPEA</w:t>
      </w:r>
      <w:r w:rsidRPr="00872A95">
        <w:t>. Authority for work</w:t>
      </w:r>
      <w:r w:rsidR="00556054">
        <w:t>-</w:t>
      </w:r>
      <w:r w:rsidRPr="00872A95">
        <w:t>related travel expenses for parliamentarians is set out in the PBR Act framework</w:t>
      </w:r>
      <w:r w:rsidR="00535D13" w:rsidRPr="00872A95">
        <w:t>, and administered by IPEA</w:t>
      </w:r>
      <w:r w:rsidRPr="00872A95">
        <w:t xml:space="preserve">. The OPSC should work with IPEA to align expenses and terminology between the two frameworks, as well as the broader framework </w:t>
      </w:r>
      <w:r w:rsidR="00143A91" w:rsidRPr="00872A95">
        <w:t xml:space="preserve">matters such as </w:t>
      </w:r>
      <w:r w:rsidRPr="00872A95">
        <w:t>training and support.</w:t>
      </w:r>
      <w:r w:rsidRPr="00872A95">
        <w:rPr>
          <w:rStyle w:val="FootnoteReference"/>
        </w:rPr>
        <w:footnoteReference w:id="144"/>
      </w:r>
      <w:r w:rsidRPr="00872A95">
        <w:t xml:space="preserve"> </w:t>
      </w:r>
    </w:p>
    <w:p w14:paraId="7740A84F" w14:textId="77777777" w:rsidR="006F62BD" w:rsidRPr="00872A95" w:rsidRDefault="006F62BD" w:rsidP="008E7921"/>
    <w:p w14:paraId="10E24069" w14:textId="77777777" w:rsidR="00F542AA" w:rsidRPr="00607928" w:rsidRDefault="004F1B9A" w:rsidP="00051BDA">
      <w:pPr>
        <w:pStyle w:val="Heading3"/>
      </w:pPr>
      <w:r>
        <w:t>3.6.</w:t>
      </w:r>
      <w:r w:rsidR="00D14662">
        <w:t>5</w:t>
      </w:r>
      <w:r>
        <w:t xml:space="preserve"> </w:t>
      </w:r>
      <w:r w:rsidR="00F542AA" w:rsidRPr="00607928">
        <w:t xml:space="preserve">Consequential amendments </w:t>
      </w:r>
    </w:p>
    <w:p w14:paraId="52CDAAF9" w14:textId="50131AE4" w:rsidR="00F542AA" w:rsidRDefault="00F542AA" w:rsidP="00F542AA">
      <w:r w:rsidRPr="00607928">
        <w:t>Consequential amendments will ne</w:t>
      </w:r>
      <w:r w:rsidR="000632DC">
        <w:t>ed to be made to other Acts or i</w:t>
      </w:r>
      <w:r w:rsidRPr="00607928">
        <w:t>nstruments which refer to any amended parts of the MoP(S) Act (</w:t>
      </w:r>
      <w:r w:rsidR="000632DC">
        <w:t>e.g</w:t>
      </w:r>
      <w:r w:rsidR="00296268">
        <w:t>.</w:t>
      </w:r>
      <w:r w:rsidR="000632DC">
        <w:t xml:space="preserve"> d</w:t>
      </w:r>
      <w:r w:rsidR="00973F02">
        <w:t xml:space="preserve">eterminations, </w:t>
      </w:r>
      <w:r w:rsidRPr="00607928">
        <w:t>EA, contract</w:t>
      </w:r>
      <w:r w:rsidR="00985810">
        <w:t>s)</w:t>
      </w:r>
      <w:r w:rsidRPr="00607928">
        <w:t>.</w:t>
      </w:r>
    </w:p>
    <w:p w14:paraId="55B12C9A" w14:textId="77777777" w:rsidR="000136FD" w:rsidRPr="00607928" w:rsidRDefault="000136FD" w:rsidP="00F542AA"/>
    <w:p w14:paraId="218F2E7F" w14:textId="238CC16E" w:rsidR="00F542AA" w:rsidRDefault="00F542AA" w:rsidP="000136FD">
      <w:pPr>
        <w:pStyle w:val="BOXHeading2"/>
      </w:pPr>
      <w:bookmarkStart w:id="3491" w:name="_Toc115343846"/>
      <w:bookmarkStart w:id="3492" w:name="_Toc115348284"/>
      <w:bookmarkStart w:id="3493" w:name="_Toc114230874"/>
      <w:bookmarkStart w:id="3494" w:name="_Toc114232931"/>
      <w:bookmarkStart w:id="3495" w:name="_Toc114233579"/>
      <w:bookmarkStart w:id="3496" w:name="_Toc114233651"/>
      <w:bookmarkStart w:id="3497" w:name="_Toc114240606"/>
      <w:bookmarkStart w:id="3498" w:name="_Toc114240680"/>
      <w:bookmarkStart w:id="3499" w:name="_Toc114241024"/>
      <w:bookmarkStart w:id="3500" w:name="_Toc114494047"/>
      <w:bookmarkStart w:id="3501" w:name="_Toc114500298"/>
      <w:bookmarkStart w:id="3502" w:name="_Toc114500373"/>
      <w:bookmarkStart w:id="3503" w:name="_Toc114518646"/>
      <w:bookmarkStart w:id="3504" w:name="_Toc114520318"/>
      <w:bookmarkStart w:id="3505" w:name="_Toc114520727"/>
      <w:bookmarkStart w:id="3506" w:name="_Toc114565755"/>
      <w:bookmarkStart w:id="3507" w:name="_Toc114566736"/>
      <w:bookmarkStart w:id="3508" w:name="_Toc114566961"/>
      <w:bookmarkStart w:id="3509" w:name="_Toc114566885"/>
      <w:bookmarkStart w:id="3510" w:name="_Toc114585886"/>
      <w:bookmarkStart w:id="3511" w:name="_Toc114586030"/>
      <w:bookmarkStart w:id="3512" w:name="_Toc114586102"/>
      <w:bookmarkStart w:id="3513" w:name="_Toc114601242"/>
      <w:bookmarkStart w:id="3514" w:name="_Toc114657283"/>
      <w:bookmarkStart w:id="3515" w:name="_Toc114659745"/>
      <w:bookmarkStart w:id="3516" w:name="_Toc114662730"/>
      <w:bookmarkStart w:id="3517" w:name="_Toc114665114"/>
      <w:bookmarkStart w:id="3518" w:name="_Toc114672423"/>
      <w:bookmarkStart w:id="3519" w:name="_Toc114672635"/>
      <w:bookmarkStart w:id="3520" w:name="_Toc114673190"/>
      <w:bookmarkStart w:id="3521" w:name="_Toc114673776"/>
      <w:bookmarkStart w:id="3522" w:name="_Toc114674301"/>
      <w:bookmarkStart w:id="3523" w:name="_Toc114687474"/>
      <w:bookmarkStart w:id="3524" w:name="_Toc114689938"/>
      <w:bookmarkStart w:id="3525" w:name="_Toc114731801"/>
      <w:bookmarkStart w:id="3526" w:name="_Toc114733566"/>
      <w:bookmarkStart w:id="3527" w:name="_Toc114735507"/>
      <w:bookmarkStart w:id="3528" w:name="_Toc114755837"/>
      <w:bookmarkStart w:id="3529" w:name="_Toc114757142"/>
      <w:bookmarkStart w:id="3530" w:name="_Toc114757426"/>
      <w:bookmarkStart w:id="3531" w:name="_Toc114757528"/>
      <w:bookmarkStart w:id="3532" w:name="_Toc114758201"/>
      <w:bookmarkStart w:id="3533" w:name="_Toc114824371"/>
      <w:bookmarkStart w:id="3534" w:name="_Toc114829447"/>
      <w:bookmarkStart w:id="3535" w:name="_Toc114829811"/>
      <w:bookmarkStart w:id="3536" w:name="_Toc114829778"/>
      <w:bookmarkStart w:id="3537" w:name="_Toc114829955"/>
      <w:bookmarkStart w:id="3538" w:name="_Toc115099034"/>
      <w:bookmarkStart w:id="3539" w:name="_Toc115099106"/>
      <w:bookmarkStart w:id="3540" w:name="_Toc115101683"/>
      <w:bookmarkStart w:id="3541" w:name="_Toc115102528"/>
      <w:bookmarkStart w:id="3542" w:name="_Toc115105501"/>
      <w:bookmarkStart w:id="3543" w:name="_Toc115110362"/>
      <w:bookmarkStart w:id="3544" w:name="_Toc115110489"/>
      <w:bookmarkStart w:id="3545" w:name="_Toc115121607"/>
      <w:bookmarkStart w:id="3546" w:name="_Toc115121977"/>
      <w:bookmarkStart w:id="3547" w:name="_Toc115123457"/>
      <w:bookmarkStart w:id="3548" w:name="_Toc115123705"/>
      <w:bookmarkStart w:id="3549" w:name="_Toc115126837"/>
      <w:bookmarkStart w:id="3550" w:name="_Toc115185475"/>
      <w:bookmarkStart w:id="3551" w:name="_Toc115186102"/>
      <w:bookmarkStart w:id="3552" w:name="_Toc115189260"/>
      <w:bookmarkStart w:id="3553" w:name="_Toc115194233"/>
      <w:bookmarkStart w:id="3554" w:name="_Toc115194970"/>
      <w:bookmarkStart w:id="3555" w:name="_Toc115196380"/>
      <w:bookmarkStart w:id="3556" w:name="_Toc115198881"/>
      <w:bookmarkStart w:id="3557" w:name="_Toc115208896"/>
      <w:bookmarkStart w:id="3558" w:name="_Toc115209032"/>
      <w:bookmarkStart w:id="3559" w:name="_Toc115210363"/>
      <w:bookmarkStart w:id="3560" w:name="_Toc115212588"/>
      <w:bookmarkStart w:id="3561" w:name="_Toc115213228"/>
      <w:bookmarkStart w:id="3562" w:name="_Toc115216726"/>
      <w:bookmarkStart w:id="3563" w:name="_Toc115270417"/>
      <w:bookmarkStart w:id="3564" w:name="_Toc115271360"/>
      <w:bookmarkStart w:id="3565" w:name="_Toc115272277"/>
      <w:bookmarkStart w:id="3566" w:name="_Toc115273447"/>
      <w:bookmarkStart w:id="3567" w:name="_Toc115273375"/>
      <w:bookmarkStart w:id="3568" w:name="_Toc115274628"/>
      <w:bookmarkStart w:id="3569" w:name="_Toc115274854"/>
      <w:bookmarkStart w:id="3570" w:name="_Toc115275211"/>
      <w:bookmarkStart w:id="3571" w:name="_Toc115275354"/>
      <w:bookmarkStart w:id="3572" w:name="_Toc115274191"/>
      <w:bookmarkStart w:id="3573" w:name="_Toc115274492"/>
      <w:bookmarkStart w:id="3574" w:name="_Toc115274560"/>
      <w:bookmarkStart w:id="3575" w:name="_Toc115274718"/>
      <w:bookmarkStart w:id="3576" w:name="_Toc115277452"/>
      <w:bookmarkStart w:id="3577" w:name="_Toc115277656"/>
      <w:bookmarkStart w:id="3578" w:name="_Toc115278545"/>
      <w:bookmarkStart w:id="3579" w:name="_Toc115278625"/>
      <w:bookmarkStart w:id="3580" w:name="_Toc115282295"/>
      <w:bookmarkStart w:id="3581" w:name="_Toc115284748"/>
      <w:bookmarkStart w:id="3582" w:name="_Toc115286840"/>
      <w:bookmarkStart w:id="3583" w:name="_Toc115294774"/>
      <w:bookmarkStart w:id="3584" w:name="_Toc115296354"/>
      <w:bookmarkStart w:id="3585" w:name="_Toc115308540"/>
      <w:bookmarkStart w:id="3586" w:name="_Toc115311192"/>
      <w:bookmarkStart w:id="3587" w:name="_Toc115312672"/>
      <w:bookmarkStart w:id="3588" w:name="_Toc115350382"/>
      <w:bookmarkStart w:id="3589" w:name="_Toc115353470"/>
      <w:bookmarkStart w:id="3590" w:name="_Toc115359501"/>
      <w:bookmarkStart w:id="3591" w:name="_Toc115361905"/>
      <w:bookmarkStart w:id="3592" w:name="_Toc115364298"/>
      <w:bookmarkStart w:id="3593" w:name="_Toc115365392"/>
      <w:bookmarkStart w:id="3594" w:name="_Toc115365664"/>
      <w:bookmarkStart w:id="3595" w:name="_Toc115365732"/>
      <w:bookmarkStart w:id="3596" w:name="_Toc115366196"/>
      <w:bookmarkStart w:id="3597" w:name="_Toc115368569"/>
      <w:bookmarkStart w:id="3598" w:name="_Toc115370086"/>
      <w:bookmarkStart w:id="3599" w:name="_Toc115370752"/>
      <w:bookmarkStart w:id="3600" w:name="_Toc115374392"/>
      <w:bookmarkStart w:id="3601" w:name="_Toc115378731"/>
      <w:bookmarkStart w:id="3602" w:name="_Toc115380963"/>
      <w:bookmarkStart w:id="3603" w:name="_Toc115384115"/>
      <w:bookmarkStart w:id="3604" w:name="_Toc115387344"/>
      <w:bookmarkStart w:id="3605" w:name="_Toc115388810"/>
      <w:bookmarkStart w:id="3606" w:name="_Toc115431448"/>
      <w:bookmarkStart w:id="3607" w:name="_Toc115432826"/>
      <w:bookmarkStart w:id="3608" w:name="_Toc115434397"/>
      <w:bookmarkStart w:id="3609" w:name="_Toc115434496"/>
      <w:bookmarkStart w:id="3610" w:name="_Toc115434565"/>
      <w:bookmarkStart w:id="3611" w:name="_Toc115434634"/>
      <w:bookmarkStart w:id="3612" w:name="_Toc115442804"/>
      <w:bookmarkStart w:id="3613" w:name="_Toc115446340"/>
      <w:bookmarkStart w:id="3614" w:name="_Toc115448047"/>
      <w:bookmarkStart w:id="3615" w:name="_Toc115449439"/>
      <w:bookmarkStart w:id="3616" w:name="_Toc115452459"/>
      <w:bookmarkStart w:id="3617" w:name="_Toc115455276"/>
      <w:bookmarkStart w:id="3618" w:name="_Toc115455342"/>
      <w:bookmarkStart w:id="3619" w:name="_Toc115457292"/>
      <w:bookmarkStart w:id="3620" w:name="_Toc115458128"/>
      <w:bookmarkStart w:id="3621" w:name="_Toc115948156"/>
      <w:bookmarkStart w:id="3622" w:name="_Toc115948603"/>
      <w:r>
        <w:t>R</w:t>
      </w:r>
      <w:bookmarkEnd w:id="3491"/>
      <w:bookmarkEnd w:id="3492"/>
      <w:r>
        <w:t xml:space="preserve">ecommendation </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r w:rsidR="00817AC5">
        <w:t>6</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r w:rsidR="005439E8">
        <w:t xml:space="preserve"> – Increasing transparency for terms and conditions</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50B361CE" w14:textId="77777777" w:rsidR="000136FD" w:rsidRPr="00EA03C6" w:rsidRDefault="000136FD" w:rsidP="000136FD">
      <w:pPr>
        <w:pStyle w:val="BOXText"/>
      </w:pPr>
      <w:r>
        <w:t>T</w:t>
      </w:r>
      <w:r w:rsidRPr="00EA03C6">
        <w:t xml:space="preserve">ransparency of employment arrangements </w:t>
      </w:r>
      <w:r>
        <w:t>should be enhanced by including in the MoP(S) Act:</w:t>
      </w:r>
      <w:r w:rsidRPr="00EA03C6">
        <w:t xml:space="preserve"> </w:t>
      </w:r>
    </w:p>
    <w:p w14:paraId="0CBBFD8C" w14:textId="77777777" w:rsidR="000136FD" w:rsidRPr="000665BF" w:rsidRDefault="000136FD" w:rsidP="0001101F">
      <w:pPr>
        <w:pStyle w:val="BOXText"/>
        <w:numPr>
          <w:ilvl w:val="0"/>
          <w:numId w:val="33"/>
        </w:numPr>
      </w:pPr>
      <w:r>
        <w:t>a requirement that</w:t>
      </w:r>
      <w:r w:rsidRPr="00EA03C6">
        <w:t xml:space="preserve"> determinations</w:t>
      </w:r>
      <w:r>
        <w:t xml:space="preserve"> made under the MoP(S) Act</w:t>
      </w:r>
      <w:r w:rsidRPr="00EA03C6">
        <w:t xml:space="preserve"> </w:t>
      </w:r>
      <w:r>
        <w:t>about terms and conditions be</w:t>
      </w:r>
      <w:r w:rsidRPr="00EA03C6">
        <w:t xml:space="preserve"> published except in circumstances where individua</w:t>
      </w:r>
      <w:r>
        <w:t>ls may reasonably be identified</w:t>
      </w:r>
    </w:p>
    <w:p w14:paraId="22FA91F1" w14:textId="77777777" w:rsidR="000136FD" w:rsidRPr="00D60A02" w:rsidRDefault="000136FD" w:rsidP="0001101F">
      <w:pPr>
        <w:pStyle w:val="BOXText"/>
        <w:numPr>
          <w:ilvl w:val="0"/>
          <w:numId w:val="33"/>
        </w:numPr>
      </w:pPr>
      <w:r>
        <w:t>a provision</w:t>
      </w:r>
      <w:r w:rsidRPr="00EA03C6">
        <w:t xml:space="preserve"> for the continuity of employment and employer powers </w:t>
      </w:r>
      <w:r>
        <w:t xml:space="preserve">when a seat becomes vacant, including </w:t>
      </w:r>
      <w:r w:rsidRPr="00EA03C6">
        <w:t>between the date of dissolution of parliament and the date a poll is declared.</w:t>
      </w:r>
    </w:p>
    <w:p w14:paraId="032ED533" w14:textId="77777777" w:rsidR="00945292" w:rsidRDefault="00945292" w:rsidP="00945292"/>
    <w:p w14:paraId="36B5C538" w14:textId="77777777" w:rsidR="00F542AA" w:rsidRPr="006C63B4" w:rsidRDefault="00F542AA" w:rsidP="006C63B4">
      <w:pPr>
        <w:pStyle w:val="Lightshadebox"/>
        <w:rPr>
          <w:b/>
        </w:rPr>
      </w:pPr>
      <w:r w:rsidRPr="006C63B4">
        <w:rPr>
          <w:b/>
        </w:rPr>
        <w:t xml:space="preserve">Findings to inform the work of the OPSC </w:t>
      </w:r>
    </w:p>
    <w:p w14:paraId="37AD0ED7" w14:textId="0D17BF3A" w:rsidR="002225D9" w:rsidRDefault="00F542AA" w:rsidP="006F62BD">
      <w:pPr>
        <w:pStyle w:val="Lightshadebox"/>
      </w:pPr>
      <w:r>
        <w:t>The Review heard staff are often discouraged from taking leave (e</w:t>
      </w:r>
      <w:r w:rsidR="00A94A42">
        <w:t>.</w:t>
      </w:r>
      <w:r>
        <w:t>g</w:t>
      </w:r>
      <w:r w:rsidR="00A94A42">
        <w:t>.</w:t>
      </w:r>
      <w:r>
        <w:t xml:space="preserve"> </w:t>
      </w:r>
      <w:r w:rsidR="004F1B9A">
        <w:t xml:space="preserve">leads to </w:t>
      </w:r>
      <w:r>
        <w:t>short staffing</w:t>
      </w:r>
      <w:r w:rsidR="004F1B9A">
        <w:t xml:space="preserve"> or a</w:t>
      </w:r>
      <w:r w:rsidDel="004F1B9A">
        <w:t xml:space="preserve"> </w:t>
      </w:r>
      <w:r>
        <w:t xml:space="preserve">reduction in </w:t>
      </w:r>
      <w:r w:rsidR="004F1B9A">
        <w:t xml:space="preserve">the </w:t>
      </w:r>
      <w:r>
        <w:t>E</w:t>
      </w:r>
      <w:r w:rsidR="004F1B9A">
        <w:t xml:space="preserve">lectorate </w:t>
      </w:r>
      <w:r>
        <w:t>S</w:t>
      </w:r>
      <w:r w:rsidR="004F1B9A">
        <w:t xml:space="preserve">upport </w:t>
      </w:r>
      <w:r>
        <w:t>B</w:t>
      </w:r>
      <w:r w:rsidR="004F1B9A">
        <w:t>udget</w:t>
      </w:r>
      <w:r>
        <w:t xml:space="preserve">). </w:t>
      </w:r>
      <w:r w:rsidR="00BE0F24">
        <w:t xml:space="preserve">The </w:t>
      </w:r>
      <w:r>
        <w:t xml:space="preserve">OPSC should consider </w:t>
      </w:r>
      <w:r w:rsidR="00C033E8">
        <w:t xml:space="preserve">monitoring and </w:t>
      </w:r>
      <w:r>
        <w:t xml:space="preserve">reporting on leave </w:t>
      </w:r>
      <w:r w:rsidR="00C033E8">
        <w:t xml:space="preserve">applications and </w:t>
      </w:r>
      <w:r>
        <w:t>balances</w:t>
      </w:r>
      <w:r w:rsidR="004F1B9A">
        <w:t>,</w:t>
      </w:r>
      <w:r>
        <w:t xml:space="preserve"> and commun</w:t>
      </w:r>
      <w:r w:rsidR="00A24453">
        <w:t>i</w:t>
      </w:r>
      <w:r>
        <w:t>c</w:t>
      </w:r>
      <w:r w:rsidR="00C033E8">
        <w:t>ate</w:t>
      </w:r>
      <w:r>
        <w:t xml:space="preserve"> to both parliamentarians and staff about the importance of taking leave for employee wellbeing. </w:t>
      </w:r>
      <w:r w:rsidR="00F3797A">
        <w:br w:type="page"/>
      </w:r>
    </w:p>
    <w:p w14:paraId="051F2A0C" w14:textId="7F6532B4" w:rsidR="00F55DC4" w:rsidRPr="000F2E36" w:rsidRDefault="008170C5" w:rsidP="00F55DC4">
      <w:pPr>
        <w:pStyle w:val="Heading1"/>
      </w:pPr>
      <w:bookmarkStart w:id="3623" w:name="_Toc115099035"/>
      <w:bookmarkStart w:id="3624" w:name="_Toc115099107"/>
      <w:bookmarkStart w:id="3625" w:name="_Toc115101684"/>
      <w:bookmarkStart w:id="3626" w:name="_Toc115102529"/>
      <w:bookmarkStart w:id="3627" w:name="_Toc115105502"/>
      <w:bookmarkStart w:id="3628" w:name="_Toc115110363"/>
      <w:bookmarkStart w:id="3629" w:name="_Toc115110490"/>
      <w:bookmarkStart w:id="3630" w:name="_Toc115121608"/>
      <w:bookmarkStart w:id="3631" w:name="_Toc115121978"/>
      <w:bookmarkStart w:id="3632" w:name="_Toc115123458"/>
      <w:bookmarkStart w:id="3633" w:name="_Toc115123706"/>
      <w:bookmarkStart w:id="3634" w:name="_Toc115126838"/>
      <w:bookmarkStart w:id="3635" w:name="_Toc115185476"/>
      <w:bookmarkStart w:id="3636" w:name="_Toc115186103"/>
      <w:bookmarkStart w:id="3637" w:name="_Toc115189261"/>
      <w:bookmarkStart w:id="3638" w:name="_Toc115194234"/>
      <w:bookmarkStart w:id="3639" w:name="_Toc115194971"/>
      <w:bookmarkStart w:id="3640" w:name="_Toc115196381"/>
      <w:bookmarkStart w:id="3641" w:name="_Toc115198882"/>
      <w:bookmarkStart w:id="3642" w:name="_Toc115208897"/>
      <w:bookmarkStart w:id="3643" w:name="_Toc115209033"/>
      <w:bookmarkStart w:id="3644" w:name="_Toc115210364"/>
      <w:bookmarkStart w:id="3645" w:name="_Toc115212589"/>
      <w:bookmarkStart w:id="3646" w:name="_Toc115213229"/>
      <w:bookmarkStart w:id="3647" w:name="_Toc115216727"/>
      <w:bookmarkStart w:id="3648" w:name="_Toc115270418"/>
      <w:bookmarkStart w:id="3649" w:name="_Toc115271361"/>
      <w:bookmarkStart w:id="3650" w:name="_Toc115272278"/>
      <w:bookmarkStart w:id="3651" w:name="_Toc115273448"/>
      <w:bookmarkStart w:id="3652" w:name="_Toc115273376"/>
      <w:bookmarkStart w:id="3653" w:name="_Toc115274629"/>
      <w:bookmarkStart w:id="3654" w:name="_Toc115274855"/>
      <w:bookmarkStart w:id="3655" w:name="_Toc115275212"/>
      <w:bookmarkStart w:id="3656" w:name="_Toc115275355"/>
      <w:bookmarkStart w:id="3657" w:name="_Toc115274192"/>
      <w:bookmarkStart w:id="3658" w:name="_Toc115274493"/>
      <w:bookmarkStart w:id="3659" w:name="_Toc115274561"/>
      <w:bookmarkStart w:id="3660" w:name="_Toc115274719"/>
      <w:bookmarkStart w:id="3661" w:name="_Toc115277453"/>
      <w:bookmarkStart w:id="3662" w:name="_Toc115277657"/>
      <w:bookmarkStart w:id="3663" w:name="_Toc115278546"/>
      <w:bookmarkStart w:id="3664" w:name="_Toc115278626"/>
      <w:bookmarkStart w:id="3665" w:name="_Toc115282296"/>
      <w:bookmarkStart w:id="3666" w:name="_Toc115284749"/>
      <w:bookmarkStart w:id="3667" w:name="_Toc115286841"/>
      <w:bookmarkStart w:id="3668" w:name="_Toc115294775"/>
      <w:bookmarkStart w:id="3669" w:name="_Toc115296355"/>
      <w:bookmarkStart w:id="3670" w:name="_Toc115308541"/>
      <w:bookmarkStart w:id="3671" w:name="_Toc115311193"/>
      <w:bookmarkStart w:id="3672" w:name="_Toc115312673"/>
      <w:bookmarkStart w:id="3673" w:name="_Toc115343847"/>
      <w:bookmarkStart w:id="3674" w:name="_Toc115348285"/>
      <w:bookmarkStart w:id="3675" w:name="_Toc115350383"/>
      <w:bookmarkStart w:id="3676" w:name="_Toc115353471"/>
      <w:bookmarkStart w:id="3677" w:name="_Toc115359502"/>
      <w:bookmarkStart w:id="3678" w:name="_Toc115361906"/>
      <w:bookmarkStart w:id="3679" w:name="_Toc115364299"/>
      <w:bookmarkStart w:id="3680" w:name="_Toc115365393"/>
      <w:bookmarkStart w:id="3681" w:name="_Toc115365665"/>
      <w:bookmarkStart w:id="3682" w:name="_Toc115365733"/>
      <w:bookmarkStart w:id="3683" w:name="_Toc115366197"/>
      <w:bookmarkStart w:id="3684" w:name="_Toc115368570"/>
      <w:bookmarkStart w:id="3685" w:name="_Toc115370087"/>
      <w:bookmarkStart w:id="3686" w:name="_Toc115370753"/>
      <w:bookmarkStart w:id="3687" w:name="_Toc115374393"/>
      <w:bookmarkStart w:id="3688" w:name="_Toc115378732"/>
      <w:bookmarkStart w:id="3689" w:name="_Toc115380964"/>
      <w:bookmarkStart w:id="3690" w:name="_Toc115384116"/>
      <w:bookmarkStart w:id="3691" w:name="_Toc115387345"/>
      <w:bookmarkStart w:id="3692" w:name="_Toc115388811"/>
      <w:bookmarkStart w:id="3693" w:name="_Toc115431449"/>
      <w:bookmarkStart w:id="3694" w:name="_Toc115432827"/>
      <w:bookmarkStart w:id="3695" w:name="_Toc115434398"/>
      <w:bookmarkStart w:id="3696" w:name="_Toc115434497"/>
      <w:bookmarkStart w:id="3697" w:name="_Toc115434566"/>
      <w:bookmarkStart w:id="3698" w:name="_Toc115434635"/>
      <w:bookmarkStart w:id="3699" w:name="_Toc115442805"/>
      <w:bookmarkStart w:id="3700" w:name="_Toc115446341"/>
      <w:bookmarkStart w:id="3701" w:name="_Toc115448048"/>
      <w:bookmarkStart w:id="3702" w:name="_Toc115449440"/>
      <w:bookmarkStart w:id="3703" w:name="_Toc115452460"/>
      <w:bookmarkStart w:id="3704" w:name="_Toc115455277"/>
      <w:bookmarkStart w:id="3705" w:name="_Toc115455343"/>
      <w:bookmarkStart w:id="3706" w:name="_Toc115457293"/>
      <w:bookmarkStart w:id="3707" w:name="_Toc115458129"/>
      <w:bookmarkStart w:id="3708" w:name="_Toc115948157"/>
      <w:bookmarkStart w:id="3709" w:name="_Toc115948604"/>
      <w:r>
        <w:t>4</w:t>
      </w:r>
      <w:r w:rsidR="00F55DC4">
        <w:t xml:space="preserve"> </w:t>
      </w:r>
      <w:r w:rsidR="00DD6424">
        <w:t>S</w:t>
      </w:r>
      <w:r w:rsidR="00DD1AC0">
        <w:t xml:space="preserve">etting an </w:t>
      </w:r>
      <w:r w:rsidR="00751CF4">
        <w:t>o</w:t>
      </w:r>
      <w:r w:rsidR="00DD1AC0">
        <w:t xml:space="preserve">ffice up for </w:t>
      </w:r>
      <w:r w:rsidR="00F306F2">
        <w:t>success</w:t>
      </w:r>
      <w:bookmarkEnd w:id="1565"/>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14:paraId="179CBCF8" w14:textId="05CEDB68" w:rsidR="00661B77" w:rsidRDefault="008170C5" w:rsidP="00661B77">
      <w:pPr>
        <w:pStyle w:val="Heading2"/>
      </w:pPr>
      <w:bookmarkStart w:id="3710" w:name="_Toc114230878"/>
      <w:bookmarkStart w:id="3711" w:name="_Toc114232935"/>
      <w:bookmarkStart w:id="3712" w:name="_Toc114233583"/>
      <w:bookmarkStart w:id="3713" w:name="_Toc114233655"/>
      <w:bookmarkStart w:id="3714" w:name="_Toc114240610"/>
      <w:bookmarkStart w:id="3715" w:name="_Toc114240684"/>
      <w:bookmarkStart w:id="3716" w:name="_Toc114241028"/>
      <w:bookmarkStart w:id="3717" w:name="_Toc114494051"/>
      <w:bookmarkStart w:id="3718" w:name="_Toc114500302"/>
      <w:bookmarkStart w:id="3719" w:name="_Toc114500377"/>
      <w:bookmarkStart w:id="3720" w:name="_Toc114518650"/>
      <w:bookmarkStart w:id="3721" w:name="_Toc114520322"/>
      <w:bookmarkStart w:id="3722" w:name="_Toc114520731"/>
      <w:bookmarkStart w:id="3723" w:name="_Toc114565759"/>
      <w:bookmarkStart w:id="3724" w:name="_Toc114566740"/>
      <w:bookmarkStart w:id="3725" w:name="_Toc114566965"/>
      <w:bookmarkStart w:id="3726" w:name="_Toc114566889"/>
      <w:bookmarkStart w:id="3727" w:name="_Toc114585890"/>
      <w:bookmarkStart w:id="3728" w:name="_Toc114586034"/>
      <w:bookmarkStart w:id="3729" w:name="_Toc114586106"/>
      <w:bookmarkStart w:id="3730" w:name="_Toc114601246"/>
      <w:bookmarkStart w:id="3731" w:name="_Toc114657287"/>
      <w:bookmarkStart w:id="3732" w:name="_Toc114659749"/>
      <w:bookmarkStart w:id="3733" w:name="_Toc114662734"/>
      <w:bookmarkStart w:id="3734" w:name="_Toc114665118"/>
      <w:bookmarkStart w:id="3735" w:name="_Toc114672427"/>
      <w:bookmarkStart w:id="3736" w:name="_Toc114672639"/>
      <w:bookmarkStart w:id="3737" w:name="_Toc114673194"/>
      <w:bookmarkStart w:id="3738" w:name="_Toc114673780"/>
      <w:bookmarkStart w:id="3739" w:name="_Toc114674305"/>
      <w:bookmarkStart w:id="3740" w:name="_Toc114687478"/>
      <w:bookmarkStart w:id="3741" w:name="_Toc114689942"/>
      <w:bookmarkStart w:id="3742" w:name="_Toc114731805"/>
      <w:bookmarkStart w:id="3743" w:name="_Toc114733570"/>
      <w:bookmarkStart w:id="3744" w:name="_Toc114735511"/>
      <w:bookmarkStart w:id="3745" w:name="_Toc114755839"/>
      <w:bookmarkStart w:id="3746" w:name="_Toc114757144"/>
      <w:bookmarkStart w:id="3747" w:name="_Toc114757428"/>
      <w:bookmarkStart w:id="3748" w:name="_Toc114757530"/>
      <w:bookmarkStart w:id="3749" w:name="_Toc114758203"/>
      <w:bookmarkStart w:id="3750" w:name="_Toc114824373"/>
      <w:bookmarkStart w:id="3751" w:name="_Toc114829449"/>
      <w:bookmarkStart w:id="3752" w:name="_Toc114829813"/>
      <w:bookmarkStart w:id="3753" w:name="_Toc114829780"/>
      <w:bookmarkStart w:id="3754" w:name="_Toc114829957"/>
      <w:bookmarkStart w:id="3755" w:name="_Toc115099036"/>
      <w:bookmarkStart w:id="3756" w:name="_Toc115099108"/>
      <w:bookmarkStart w:id="3757" w:name="_Toc115101685"/>
      <w:bookmarkStart w:id="3758" w:name="_Toc115102530"/>
      <w:bookmarkStart w:id="3759" w:name="_Toc115105503"/>
      <w:bookmarkStart w:id="3760" w:name="_Toc115110364"/>
      <w:bookmarkStart w:id="3761" w:name="_Toc115110491"/>
      <w:bookmarkStart w:id="3762" w:name="_Toc115121609"/>
      <w:bookmarkStart w:id="3763" w:name="_Toc115121979"/>
      <w:bookmarkStart w:id="3764" w:name="_Toc115123459"/>
      <w:bookmarkStart w:id="3765" w:name="_Toc115123707"/>
      <w:bookmarkStart w:id="3766" w:name="_Toc115126839"/>
      <w:bookmarkStart w:id="3767" w:name="_Toc115185477"/>
      <w:bookmarkStart w:id="3768" w:name="_Toc115186104"/>
      <w:bookmarkStart w:id="3769" w:name="_Toc115189262"/>
      <w:bookmarkStart w:id="3770" w:name="_Toc115194235"/>
      <w:bookmarkStart w:id="3771" w:name="_Toc115194972"/>
      <w:bookmarkStart w:id="3772" w:name="_Toc115196382"/>
      <w:bookmarkStart w:id="3773" w:name="_Toc115198883"/>
      <w:bookmarkStart w:id="3774" w:name="_Toc115208898"/>
      <w:bookmarkStart w:id="3775" w:name="_Toc115209034"/>
      <w:bookmarkStart w:id="3776" w:name="_Toc115210365"/>
      <w:bookmarkStart w:id="3777" w:name="_Toc115212590"/>
      <w:bookmarkStart w:id="3778" w:name="_Toc115213230"/>
      <w:bookmarkStart w:id="3779" w:name="_Toc115216728"/>
      <w:bookmarkStart w:id="3780" w:name="_Toc115270419"/>
      <w:bookmarkStart w:id="3781" w:name="_Toc115271362"/>
      <w:bookmarkStart w:id="3782" w:name="_Toc115272279"/>
      <w:bookmarkStart w:id="3783" w:name="_Toc115273449"/>
      <w:bookmarkStart w:id="3784" w:name="_Toc115273377"/>
      <w:bookmarkStart w:id="3785" w:name="_Toc115274630"/>
      <w:bookmarkStart w:id="3786" w:name="_Toc115274856"/>
      <w:bookmarkStart w:id="3787" w:name="_Toc115275213"/>
      <w:bookmarkStart w:id="3788" w:name="_Toc115275356"/>
      <w:bookmarkStart w:id="3789" w:name="_Toc115274193"/>
      <w:bookmarkStart w:id="3790" w:name="_Toc115274494"/>
      <w:bookmarkStart w:id="3791" w:name="_Toc115274562"/>
      <w:bookmarkStart w:id="3792" w:name="_Toc115274720"/>
      <w:bookmarkStart w:id="3793" w:name="_Toc115277454"/>
      <w:bookmarkStart w:id="3794" w:name="_Toc115277658"/>
      <w:bookmarkStart w:id="3795" w:name="_Toc115278547"/>
      <w:bookmarkStart w:id="3796" w:name="_Toc115278627"/>
      <w:bookmarkStart w:id="3797" w:name="_Toc115282297"/>
      <w:bookmarkStart w:id="3798" w:name="_Toc115284750"/>
      <w:bookmarkStart w:id="3799" w:name="_Toc115286842"/>
      <w:bookmarkStart w:id="3800" w:name="_Toc115294776"/>
      <w:bookmarkStart w:id="3801" w:name="_Toc115296356"/>
      <w:bookmarkStart w:id="3802" w:name="_Toc115308542"/>
      <w:bookmarkStart w:id="3803" w:name="_Toc115311194"/>
      <w:bookmarkStart w:id="3804" w:name="_Toc115312674"/>
      <w:bookmarkStart w:id="3805" w:name="_Toc115343848"/>
      <w:bookmarkStart w:id="3806" w:name="_Toc115348286"/>
      <w:bookmarkStart w:id="3807" w:name="_Toc115350384"/>
      <w:bookmarkStart w:id="3808" w:name="_Toc115353472"/>
      <w:bookmarkStart w:id="3809" w:name="_Toc115359503"/>
      <w:bookmarkStart w:id="3810" w:name="_Toc115361907"/>
      <w:bookmarkStart w:id="3811" w:name="_Toc115364300"/>
      <w:bookmarkStart w:id="3812" w:name="_Toc115365394"/>
      <w:bookmarkStart w:id="3813" w:name="_Toc115365666"/>
      <w:bookmarkStart w:id="3814" w:name="_Toc115365734"/>
      <w:bookmarkStart w:id="3815" w:name="_Toc115366198"/>
      <w:bookmarkStart w:id="3816" w:name="_Toc115368648"/>
      <w:bookmarkStart w:id="3817" w:name="_Toc115370088"/>
      <w:bookmarkStart w:id="3818" w:name="_Toc115370754"/>
      <w:bookmarkStart w:id="3819" w:name="_Toc115374394"/>
      <w:bookmarkStart w:id="3820" w:name="_Toc115378733"/>
      <w:bookmarkStart w:id="3821" w:name="_Toc115380965"/>
      <w:bookmarkStart w:id="3822" w:name="_Toc115384117"/>
      <w:bookmarkStart w:id="3823" w:name="_Toc115387346"/>
      <w:bookmarkStart w:id="3824" w:name="_Toc115388812"/>
      <w:bookmarkStart w:id="3825" w:name="_Toc115431450"/>
      <w:bookmarkStart w:id="3826" w:name="_Toc115432828"/>
      <w:bookmarkStart w:id="3827" w:name="_Toc115434399"/>
      <w:bookmarkStart w:id="3828" w:name="_Toc115434498"/>
      <w:bookmarkStart w:id="3829" w:name="_Toc115434567"/>
      <w:bookmarkStart w:id="3830" w:name="_Toc115434636"/>
      <w:bookmarkStart w:id="3831" w:name="_Toc115442806"/>
      <w:bookmarkStart w:id="3832" w:name="_Toc115446342"/>
      <w:bookmarkStart w:id="3833" w:name="_Toc115448049"/>
      <w:bookmarkStart w:id="3834" w:name="_Toc115449441"/>
      <w:bookmarkStart w:id="3835" w:name="_Toc115452461"/>
      <w:bookmarkStart w:id="3836" w:name="_Toc115455278"/>
      <w:bookmarkStart w:id="3837" w:name="_Toc115455344"/>
      <w:bookmarkStart w:id="3838" w:name="_Toc115457294"/>
      <w:bookmarkStart w:id="3839" w:name="_Toc115458130"/>
      <w:bookmarkStart w:id="3840" w:name="_Toc115948158"/>
      <w:bookmarkStart w:id="3841" w:name="_Toc115948605"/>
      <w:r>
        <w:t>4</w:t>
      </w:r>
      <w:r w:rsidR="00661B77">
        <w:t>.1 Introduction</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730A28D1" w14:textId="22071E5D" w:rsidR="008B7916" w:rsidRDefault="008B7916" w:rsidP="00323DB4">
      <w:r>
        <w:t xml:space="preserve">Parliamentary offices should be professional, high-performing, safe and respectful workplaces. </w:t>
      </w:r>
      <w:r w:rsidR="00791644">
        <w:t xml:space="preserve">This expectation aligns with </w:t>
      </w:r>
      <w:r w:rsidR="007F5D06">
        <w:t>contributions to the Review from current</w:t>
      </w:r>
      <w:r>
        <w:t xml:space="preserve"> </w:t>
      </w:r>
      <w:r w:rsidR="00D77225">
        <w:t>and</w:t>
      </w:r>
      <w:r>
        <w:t xml:space="preserve"> former </w:t>
      </w:r>
      <w:r w:rsidR="00C663B2">
        <w:t xml:space="preserve">parliamentarians and </w:t>
      </w:r>
      <w:r w:rsidR="001F77C1">
        <w:t>M</w:t>
      </w:r>
      <w:r w:rsidR="00D170AD">
        <w:t>o</w:t>
      </w:r>
      <w:r w:rsidR="001F77C1">
        <w:t>P</w:t>
      </w:r>
      <w:r>
        <w:t xml:space="preserve">(S) Act </w:t>
      </w:r>
      <w:r w:rsidR="00F007CA">
        <w:t>employees</w:t>
      </w:r>
      <w:r w:rsidR="00791644">
        <w:t xml:space="preserve">, </w:t>
      </w:r>
      <w:r w:rsidR="00F95129">
        <w:t xml:space="preserve">the express object in the </w:t>
      </w:r>
      <w:r w:rsidR="00486E50">
        <w:t>terms of r</w:t>
      </w:r>
      <w:r w:rsidR="0053529C">
        <w:t xml:space="preserve">eference for the Review </w:t>
      </w:r>
      <w:r w:rsidR="007F5D06">
        <w:t xml:space="preserve">and </w:t>
      </w:r>
      <w:r w:rsidR="006364D5">
        <w:t>comparative</w:t>
      </w:r>
      <w:r w:rsidR="007F5D06">
        <w:t xml:space="preserve"> review</w:t>
      </w:r>
      <w:r w:rsidR="006364D5">
        <w:t xml:space="preserve"> of</w:t>
      </w:r>
      <w:r w:rsidR="007F5D06">
        <w:t xml:space="preserve"> </w:t>
      </w:r>
      <w:r w:rsidR="006364D5">
        <w:t>other</w:t>
      </w:r>
      <w:r w:rsidR="005D4F73">
        <w:t xml:space="preserve"> jur</w:t>
      </w:r>
      <w:r w:rsidR="007F5D06">
        <w:t>isdictions</w:t>
      </w:r>
      <w:r w:rsidR="006364D5">
        <w:t xml:space="preserve"> or sectors</w:t>
      </w:r>
      <w:r w:rsidR="005D4F73">
        <w:t xml:space="preserve">. </w:t>
      </w:r>
    </w:p>
    <w:p w14:paraId="67CCD901" w14:textId="77777777" w:rsidR="00211762" w:rsidRDefault="0053529C" w:rsidP="00323DB4">
      <w:r>
        <w:t>This chapter identifies</w:t>
      </w:r>
      <w:r w:rsidR="0071232E">
        <w:t xml:space="preserve"> </w:t>
      </w:r>
      <w:r w:rsidR="00FE09EB">
        <w:t>building blocks</w:t>
      </w:r>
      <w:r>
        <w:t xml:space="preserve"> </w:t>
      </w:r>
      <w:r w:rsidR="009C4636">
        <w:t>to</w:t>
      </w:r>
      <w:r>
        <w:t xml:space="preserve"> meet this</w:t>
      </w:r>
      <w:r w:rsidR="0071232E">
        <w:t xml:space="preserve"> expectation</w:t>
      </w:r>
      <w:r>
        <w:t>. These</w:t>
      </w:r>
      <w:r w:rsidR="00231AAD">
        <w:t xml:space="preserve"> </w:t>
      </w:r>
      <w:r>
        <w:t>include</w:t>
      </w:r>
      <w:r w:rsidR="0071232E">
        <w:t>:</w:t>
      </w:r>
    </w:p>
    <w:p w14:paraId="38ADD79A" w14:textId="2EC8DB83" w:rsidR="0071232E" w:rsidRDefault="0071232E" w:rsidP="0071232E">
      <w:pPr>
        <w:pStyle w:val="BulletedList-Level1"/>
      </w:pPr>
      <w:r>
        <w:t>setting up an office for success</w:t>
      </w:r>
      <w:r w:rsidR="00FB1527">
        <w:t>, including position descriptions, office structure</w:t>
      </w:r>
      <w:r w:rsidR="0081075C">
        <w:t>, performance feedback</w:t>
      </w:r>
      <w:r w:rsidR="00FB1527">
        <w:t xml:space="preserve"> and diversity</w:t>
      </w:r>
    </w:p>
    <w:p w14:paraId="0034F96E" w14:textId="77777777" w:rsidR="0071232E" w:rsidRDefault="0071232E" w:rsidP="00FB1527">
      <w:pPr>
        <w:pStyle w:val="BulletedList-Level1"/>
      </w:pPr>
      <w:r>
        <w:t xml:space="preserve">recruitment, including </w:t>
      </w:r>
      <w:r w:rsidR="0077344A">
        <w:t xml:space="preserve">the application of merit </w:t>
      </w:r>
      <w:r w:rsidR="003756B2">
        <w:t>and use of pre-engagement checks</w:t>
      </w:r>
      <w:r w:rsidR="00F9281B">
        <w:t xml:space="preserve"> and probation</w:t>
      </w:r>
    </w:p>
    <w:p w14:paraId="0B519335" w14:textId="77777777" w:rsidR="0071232E" w:rsidRDefault="0077344A" w:rsidP="0071232E">
      <w:pPr>
        <w:pStyle w:val="BulletedList-Level1"/>
      </w:pPr>
      <w:r>
        <w:t>intermittent labour, including consideration of work, health and safety responsibilities.</w:t>
      </w:r>
    </w:p>
    <w:p w14:paraId="53890C1B" w14:textId="71231E62" w:rsidR="00D170AD" w:rsidRDefault="00EE13CE" w:rsidP="00323DB4">
      <w:r>
        <w:t xml:space="preserve">The </w:t>
      </w:r>
      <w:r w:rsidR="0053529C">
        <w:t xml:space="preserve">benefits of this approach for parliamentarians include being better supported to carry out their functions. For MoP(S) Act </w:t>
      </w:r>
      <w:r w:rsidR="002D62B0">
        <w:t>employees</w:t>
      </w:r>
      <w:r w:rsidR="0053529C">
        <w:t>,</w:t>
      </w:r>
      <w:r w:rsidR="0071232E">
        <w:t xml:space="preserve"> </w:t>
      </w:r>
      <w:r>
        <w:t>a greater emphasis on expectations and professional development should set the conditions for a successful career experience</w:t>
      </w:r>
      <w:r w:rsidR="00FB1527">
        <w:t xml:space="preserve">. </w:t>
      </w:r>
      <w:r w:rsidR="00A05847">
        <w:t>T</w:t>
      </w:r>
      <w:r w:rsidR="0053529C">
        <w:t xml:space="preserve">he potential benefits to the public include greater assurance </w:t>
      </w:r>
      <w:r>
        <w:t xml:space="preserve">that </w:t>
      </w:r>
      <w:r w:rsidR="00F14A1E">
        <w:t>expenditure of Commonwealth funds on staffing</w:t>
      </w:r>
      <w:r>
        <w:t xml:space="preserve"> is appropriate</w:t>
      </w:r>
      <w:r w:rsidR="00F14A1E">
        <w:t xml:space="preserve">. </w:t>
      </w:r>
    </w:p>
    <w:p w14:paraId="4BA24456" w14:textId="77777777" w:rsidR="004F5989" w:rsidRDefault="004F5989" w:rsidP="00323DB4"/>
    <w:p w14:paraId="2B246E4F" w14:textId="5F8C43AE" w:rsidR="00F55DC4" w:rsidRPr="000F2E36" w:rsidRDefault="00D76D54" w:rsidP="00F55DC4">
      <w:pPr>
        <w:pStyle w:val="Heading2"/>
      </w:pPr>
      <w:bookmarkStart w:id="3842" w:name="_Toc104212783"/>
      <w:bookmarkStart w:id="3843" w:name="_Toc114230879"/>
      <w:bookmarkStart w:id="3844" w:name="_Toc114232936"/>
      <w:bookmarkStart w:id="3845" w:name="_Toc114233584"/>
      <w:bookmarkStart w:id="3846" w:name="_Toc114233656"/>
      <w:bookmarkStart w:id="3847" w:name="_Toc114240611"/>
      <w:bookmarkStart w:id="3848" w:name="_Toc114240685"/>
      <w:bookmarkStart w:id="3849" w:name="_Toc114241029"/>
      <w:bookmarkStart w:id="3850" w:name="_Toc114494052"/>
      <w:bookmarkStart w:id="3851" w:name="_Toc114500303"/>
      <w:bookmarkStart w:id="3852" w:name="_Toc114500378"/>
      <w:bookmarkStart w:id="3853" w:name="_Toc114518651"/>
      <w:bookmarkStart w:id="3854" w:name="_Toc114520323"/>
      <w:bookmarkStart w:id="3855" w:name="_Toc114520732"/>
      <w:bookmarkStart w:id="3856" w:name="_Toc114565760"/>
      <w:bookmarkStart w:id="3857" w:name="_Toc114566741"/>
      <w:bookmarkStart w:id="3858" w:name="_Toc114566966"/>
      <w:bookmarkStart w:id="3859" w:name="_Toc114566890"/>
      <w:bookmarkStart w:id="3860" w:name="_Toc114585891"/>
      <w:bookmarkStart w:id="3861" w:name="_Toc114586035"/>
      <w:bookmarkStart w:id="3862" w:name="_Toc114586107"/>
      <w:bookmarkStart w:id="3863" w:name="_Toc114601247"/>
      <w:bookmarkStart w:id="3864" w:name="_Toc114657288"/>
      <w:bookmarkStart w:id="3865" w:name="_Toc114659750"/>
      <w:bookmarkStart w:id="3866" w:name="_Toc114662735"/>
      <w:bookmarkStart w:id="3867" w:name="_Toc114665119"/>
      <w:bookmarkStart w:id="3868" w:name="_Toc114672428"/>
      <w:bookmarkStart w:id="3869" w:name="_Toc114672640"/>
      <w:bookmarkStart w:id="3870" w:name="_Toc114673195"/>
      <w:bookmarkStart w:id="3871" w:name="_Toc114673781"/>
      <w:bookmarkStart w:id="3872" w:name="_Toc114674306"/>
      <w:bookmarkStart w:id="3873" w:name="_Toc114687479"/>
      <w:bookmarkStart w:id="3874" w:name="_Toc114689943"/>
      <w:bookmarkStart w:id="3875" w:name="_Toc114731806"/>
      <w:bookmarkStart w:id="3876" w:name="_Toc114733571"/>
      <w:bookmarkStart w:id="3877" w:name="_Toc114735512"/>
      <w:bookmarkStart w:id="3878" w:name="_Toc114755840"/>
      <w:bookmarkStart w:id="3879" w:name="_Toc114757145"/>
      <w:bookmarkStart w:id="3880" w:name="_Toc114757429"/>
      <w:bookmarkStart w:id="3881" w:name="_Toc114757531"/>
      <w:bookmarkStart w:id="3882" w:name="_Toc114758204"/>
      <w:bookmarkStart w:id="3883" w:name="_Toc114824374"/>
      <w:bookmarkStart w:id="3884" w:name="_Toc114829450"/>
      <w:bookmarkStart w:id="3885" w:name="_Toc114829814"/>
      <w:bookmarkStart w:id="3886" w:name="_Toc114829781"/>
      <w:bookmarkStart w:id="3887" w:name="_Toc114829958"/>
      <w:bookmarkStart w:id="3888" w:name="_Toc115099037"/>
      <w:bookmarkStart w:id="3889" w:name="_Toc115099109"/>
      <w:bookmarkStart w:id="3890" w:name="_Toc115101686"/>
      <w:bookmarkStart w:id="3891" w:name="_Toc115102531"/>
      <w:bookmarkStart w:id="3892" w:name="_Toc115105504"/>
      <w:bookmarkStart w:id="3893" w:name="_Toc115110365"/>
      <w:bookmarkStart w:id="3894" w:name="_Toc115110492"/>
      <w:bookmarkStart w:id="3895" w:name="_Toc115121610"/>
      <w:bookmarkStart w:id="3896" w:name="_Toc115121980"/>
      <w:bookmarkStart w:id="3897" w:name="_Toc115123460"/>
      <w:bookmarkStart w:id="3898" w:name="_Toc115123708"/>
      <w:bookmarkStart w:id="3899" w:name="_Toc115126840"/>
      <w:bookmarkStart w:id="3900" w:name="_Toc115185478"/>
      <w:bookmarkStart w:id="3901" w:name="_Toc115186105"/>
      <w:bookmarkStart w:id="3902" w:name="_Toc115189263"/>
      <w:bookmarkStart w:id="3903" w:name="_Toc115194236"/>
      <w:bookmarkStart w:id="3904" w:name="_Toc115194973"/>
      <w:bookmarkStart w:id="3905" w:name="_Toc115196383"/>
      <w:bookmarkStart w:id="3906" w:name="_Toc115198884"/>
      <w:bookmarkStart w:id="3907" w:name="_Toc115208899"/>
      <w:bookmarkStart w:id="3908" w:name="_Toc115209035"/>
      <w:bookmarkStart w:id="3909" w:name="_Toc115210366"/>
      <w:bookmarkStart w:id="3910" w:name="_Toc115212591"/>
      <w:bookmarkStart w:id="3911" w:name="_Toc115213231"/>
      <w:bookmarkStart w:id="3912" w:name="_Toc115216729"/>
      <w:bookmarkStart w:id="3913" w:name="_Toc115270420"/>
      <w:bookmarkStart w:id="3914" w:name="_Toc115271363"/>
      <w:bookmarkStart w:id="3915" w:name="_Toc115272280"/>
      <w:bookmarkStart w:id="3916" w:name="_Toc115273450"/>
      <w:bookmarkStart w:id="3917" w:name="_Toc115273378"/>
      <w:bookmarkStart w:id="3918" w:name="_Toc115274631"/>
      <w:bookmarkStart w:id="3919" w:name="_Toc115274857"/>
      <w:bookmarkStart w:id="3920" w:name="_Toc115275214"/>
      <w:bookmarkStart w:id="3921" w:name="_Toc115275357"/>
      <w:bookmarkStart w:id="3922" w:name="_Toc115274194"/>
      <w:bookmarkStart w:id="3923" w:name="_Toc115274495"/>
      <w:bookmarkStart w:id="3924" w:name="_Toc115274563"/>
      <w:bookmarkStart w:id="3925" w:name="_Toc115274721"/>
      <w:bookmarkStart w:id="3926" w:name="_Toc115277455"/>
      <w:bookmarkStart w:id="3927" w:name="_Toc115277659"/>
      <w:bookmarkStart w:id="3928" w:name="_Toc115278548"/>
      <w:bookmarkStart w:id="3929" w:name="_Toc115278628"/>
      <w:bookmarkStart w:id="3930" w:name="_Toc115282298"/>
      <w:bookmarkStart w:id="3931" w:name="_Toc115284751"/>
      <w:bookmarkStart w:id="3932" w:name="_Toc115286843"/>
      <w:bookmarkStart w:id="3933" w:name="_Toc115294777"/>
      <w:bookmarkStart w:id="3934" w:name="_Toc115296357"/>
      <w:bookmarkStart w:id="3935" w:name="_Toc115308543"/>
      <w:bookmarkStart w:id="3936" w:name="_Toc115311195"/>
      <w:bookmarkStart w:id="3937" w:name="_Toc115312675"/>
      <w:bookmarkStart w:id="3938" w:name="_Toc115343849"/>
      <w:bookmarkStart w:id="3939" w:name="_Toc115348287"/>
      <w:bookmarkStart w:id="3940" w:name="_Toc115350385"/>
      <w:bookmarkStart w:id="3941" w:name="_Toc115353473"/>
      <w:bookmarkStart w:id="3942" w:name="_Toc115359504"/>
      <w:bookmarkStart w:id="3943" w:name="_Toc115361908"/>
      <w:bookmarkStart w:id="3944" w:name="_Toc115364301"/>
      <w:bookmarkStart w:id="3945" w:name="_Toc115365395"/>
      <w:bookmarkStart w:id="3946" w:name="_Toc115365667"/>
      <w:bookmarkStart w:id="3947" w:name="_Toc115365735"/>
      <w:bookmarkStart w:id="3948" w:name="_Toc115366199"/>
      <w:bookmarkStart w:id="3949" w:name="_Toc115368649"/>
      <w:bookmarkStart w:id="3950" w:name="_Toc115370089"/>
      <w:bookmarkStart w:id="3951" w:name="_Toc115370823"/>
      <w:bookmarkStart w:id="3952" w:name="_Toc115374395"/>
      <w:bookmarkStart w:id="3953" w:name="_Toc115376484"/>
      <w:bookmarkStart w:id="3954" w:name="_Toc115378734"/>
      <w:bookmarkStart w:id="3955" w:name="_Toc115380966"/>
      <w:bookmarkStart w:id="3956" w:name="_Toc115384118"/>
      <w:bookmarkStart w:id="3957" w:name="_Toc115387347"/>
      <w:bookmarkStart w:id="3958" w:name="_Toc115388813"/>
      <w:bookmarkStart w:id="3959" w:name="_Toc115431451"/>
      <w:bookmarkStart w:id="3960" w:name="_Toc115432829"/>
      <w:bookmarkStart w:id="3961" w:name="_Toc115434400"/>
      <w:bookmarkStart w:id="3962" w:name="_Toc115434499"/>
      <w:bookmarkStart w:id="3963" w:name="_Toc115434568"/>
      <w:bookmarkStart w:id="3964" w:name="_Toc115434637"/>
      <w:bookmarkStart w:id="3965" w:name="_Toc115442807"/>
      <w:bookmarkStart w:id="3966" w:name="_Toc115446343"/>
      <w:bookmarkStart w:id="3967" w:name="_Toc115448050"/>
      <w:bookmarkStart w:id="3968" w:name="_Toc115449442"/>
      <w:bookmarkStart w:id="3969" w:name="_Toc115452462"/>
      <w:bookmarkStart w:id="3970" w:name="_Toc115455279"/>
      <w:bookmarkStart w:id="3971" w:name="_Toc115455345"/>
      <w:bookmarkStart w:id="3972" w:name="_Toc115457295"/>
      <w:bookmarkStart w:id="3973" w:name="_Toc115458131"/>
      <w:bookmarkStart w:id="3974" w:name="_Toc115948159"/>
      <w:bookmarkStart w:id="3975" w:name="_Toc115948606"/>
      <w:r>
        <w:t>4</w:t>
      </w:r>
      <w:r w:rsidR="00F55DC4">
        <w:t xml:space="preserve">.2 </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r w:rsidR="005E0E63">
        <w:t>The parliamentary office</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2FA8A916" w14:textId="66DFF319" w:rsidR="000E43F1" w:rsidRDefault="00D76D54" w:rsidP="00051BDA">
      <w:pPr>
        <w:pStyle w:val="Heading3"/>
      </w:pPr>
      <w:r>
        <w:t>4</w:t>
      </w:r>
      <w:r w:rsidR="008170C5">
        <w:t xml:space="preserve">.2.1 </w:t>
      </w:r>
      <w:r w:rsidR="000E43F1">
        <w:t xml:space="preserve">Current </w:t>
      </w:r>
      <w:r w:rsidR="00BF1132">
        <w:t>s</w:t>
      </w:r>
      <w:r w:rsidR="008170C5">
        <w:t>ituation</w:t>
      </w:r>
    </w:p>
    <w:p w14:paraId="746B8968" w14:textId="770CB4CA" w:rsidR="009963E1" w:rsidRDefault="00F63B97" w:rsidP="008170C5">
      <w:r>
        <w:t>The s</w:t>
      </w:r>
      <w:r w:rsidR="008170C5">
        <w:t>et</w:t>
      </w:r>
      <w:r w:rsidR="00DE0D44">
        <w:t>-</w:t>
      </w:r>
      <w:r w:rsidR="008170C5">
        <w:t xml:space="preserve">up </w:t>
      </w:r>
      <w:r w:rsidR="00DE0D44">
        <w:t xml:space="preserve">and management </w:t>
      </w:r>
      <w:r w:rsidR="009D3FED">
        <w:t>of</w:t>
      </w:r>
      <w:r w:rsidR="008170C5">
        <w:t xml:space="preserve"> parliamentary</w:t>
      </w:r>
      <w:r w:rsidR="009D3FED">
        <w:t xml:space="preserve"> offices is</w:t>
      </w:r>
      <w:r w:rsidR="008170C5" w:rsidDel="009D3FED">
        <w:t xml:space="preserve"> </w:t>
      </w:r>
      <w:r w:rsidR="008170C5">
        <w:t>largely left to the discretion of parliamentarian</w:t>
      </w:r>
      <w:r>
        <w:t>s</w:t>
      </w:r>
      <w:r w:rsidR="008170C5">
        <w:t xml:space="preserve"> and their senior </w:t>
      </w:r>
      <w:r w:rsidR="00D772CA">
        <w:t>employees</w:t>
      </w:r>
      <w:r w:rsidR="008170C5">
        <w:t xml:space="preserve">. </w:t>
      </w:r>
      <w:r w:rsidR="009963E1">
        <w:t>T</w:t>
      </w:r>
      <w:r w:rsidR="00D772CA">
        <w:t xml:space="preserve">he current </w:t>
      </w:r>
      <w:r w:rsidR="00653A52">
        <w:t>arrangements</w:t>
      </w:r>
      <w:r w:rsidR="009963E1">
        <w:t xml:space="preserve"> allow parliamentarians flexibility and</w:t>
      </w:r>
      <w:r w:rsidR="00D772CA">
        <w:t xml:space="preserve"> rel</w:t>
      </w:r>
      <w:r w:rsidR="0081075C">
        <w:t>y</w:t>
      </w:r>
      <w:r w:rsidR="00D772CA">
        <w:t xml:space="preserve"> on their </w:t>
      </w:r>
      <w:r>
        <w:t xml:space="preserve">existing </w:t>
      </w:r>
      <w:r w:rsidR="00D772CA">
        <w:t xml:space="preserve">skills and knowledge to ensure their office is equipped to be effective and </w:t>
      </w:r>
      <w:r w:rsidR="009963E1">
        <w:t xml:space="preserve">to fulfil </w:t>
      </w:r>
      <w:r w:rsidR="00D772CA">
        <w:t xml:space="preserve">their obligations under workplace laws. </w:t>
      </w:r>
    </w:p>
    <w:p w14:paraId="5C834182" w14:textId="77777777" w:rsidR="00630363" w:rsidRDefault="00630363" w:rsidP="008170C5">
      <w:r>
        <w:t>MaPS provides policy and guidance to assist parliamentarian</w:t>
      </w:r>
      <w:r w:rsidR="00390358">
        <w:t>s</w:t>
      </w:r>
      <w:r>
        <w:t xml:space="preserve"> to recruit employees. The MaPS website includes recruitment resources such as determinations and other employment instruments, duty statement templates, and a step-by-step guide to recruiting staff. It includes guidance that applications for a position ‘should be assessed on their merit against the skills and qualifications outlined in the position description.’</w:t>
      </w:r>
      <w:r>
        <w:rPr>
          <w:rStyle w:val="FootnoteReference"/>
        </w:rPr>
        <w:footnoteReference w:id="145"/>
      </w:r>
      <w:r>
        <w:t xml:space="preserve"> Parliamentarians, however, are not required to follow the MaPS guidance</w:t>
      </w:r>
      <w:r w:rsidR="00653A52">
        <w:t xml:space="preserve"> and, as we heard, </w:t>
      </w:r>
      <w:r w:rsidR="004F2BFD">
        <w:t>are often not aware if its existence.</w:t>
      </w:r>
    </w:p>
    <w:p w14:paraId="3274F344" w14:textId="5B5FF1E3" w:rsidR="00D0245A" w:rsidRDefault="00630363" w:rsidP="008170C5">
      <w:r>
        <w:t xml:space="preserve">Some contributors to the Review, including parliamentarians, </w:t>
      </w:r>
      <w:r w:rsidR="004F18C0">
        <w:t xml:space="preserve">highlighted the challenge of </w:t>
      </w:r>
      <w:r>
        <w:t>find</w:t>
      </w:r>
      <w:r w:rsidR="004F18C0">
        <w:t>ing</w:t>
      </w:r>
      <w:r>
        <w:t xml:space="preserve"> themselves managing MoP(S) </w:t>
      </w:r>
      <w:r w:rsidR="00955B68">
        <w:t xml:space="preserve">Act </w:t>
      </w:r>
      <w:r>
        <w:t xml:space="preserve">employees and offices despite having no experience as a people or office manager. </w:t>
      </w:r>
      <w:r w:rsidR="00D772CA">
        <w:t xml:space="preserve">There is limited guidance or support currently available to new and returning parliamentarians on staffing composition, management and reporting structure, and whole-of-office consideration of skills and experience. </w:t>
      </w:r>
      <w:r w:rsidR="00142173" w:rsidRPr="00142173">
        <w:rPr>
          <w:i/>
        </w:rPr>
        <w:t>Set the Standard</w:t>
      </w:r>
      <w:r w:rsidR="00D772CA">
        <w:t xml:space="preserve"> indicates some resources and informal peer support initiatives presently exist but, for new parliamentarians in particular, more is needed to set up their office for success and </w:t>
      </w:r>
      <w:r w:rsidR="004A47D2">
        <w:t xml:space="preserve">to foster </w:t>
      </w:r>
      <w:r w:rsidR="00D772CA">
        <w:t>a positive office culture.</w:t>
      </w:r>
      <w:r w:rsidR="00D772CA">
        <w:rPr>
          <w:rStyle w:val="FootnoteReference"/>
        </w:rPr>
        <w:footnoteReference w:id="146"/>
      </w:r>
    </w:p>
    <w:p w14:paraId="4BA545C7" w14:textId="3D809727" w:rsidR="004F18C0" w:rsidRDefault="004F18C0" w:rsidP="008170C5">
      <w:r>
        <w:t xml:space="preserve">We heard from contributors that when parliamentary offices are set up well, fewer human resource issues arise. And when those issues do arise in offices set up well, these issues are quickly responded to and more likely to be resolved. </w:t>
      </w:r>
    </w:p>
    <w:p w14:paraId="3CA71372" w14:textId="77777777" w:rsidR="006A0D1E" w:rsidRDefault="006A0D1E" w:rsidP="008170C5"/>
    <w:p w14:paraId="1E72C779" w14:textId="404FAAE1" w:rsidR="008170C5" w:rsidRPr="00D76D54" w:rsidRDefault="00D76D54" w:rsidP="00051BDA">
      <w:pPr>
        <w:pStyle w:val="Heading3"/>
      </w:pPr>
      <w:r w:rsidRPr="00D76D54">
        <w:t xml:space="preserve">4.2.2 </w:t>
      </w:r>
      <w:r w:rsidR="008170C5" w:rsidRPr="00D76D54">
        <w:t xml:space="preserve">Options for </w:t>
      </w:r>
      <w:r w:rsidR="008C1AD7">
        <w:t>i</w:t>
      </w:r>
      <w:r w:rsidRPr="00D76D54">
        <w:t>mprovement</w:t>
      </w:r>
    </w:p>
    <w:p w14:paraId="345B412D" w14:textId="77777777" w:rsidR="00241F5D" w:rsidRPr="00241F5D" w:rsidRDefault="00241F5D" w:rsidP="008170C5">
      <w:pPr>
        <w:rPr>
          <w:i/>
        </w:rPr>
      </w:pPr>
      <w:r w:rsidRPr="00241F5D">
        <w:rPr>
          <w:i/>
        </w:rPr>
        <w:t>Office structure</w:t>
      </w:r>
    </w:p>
    <w:p w14:paraId="2BE03B7B" w14:textId="0933910F" w:rsidR="00902F04" w:rsidRDefault="004F18C0" w:rsidP="00902F04">
      <w:r>
        <w:t>We</w:t>
      </w:r>
      <w:r w:rsidR="00902F04">
        <w:t xml:space="preserve"> heard about the importance of selecting the right employees, but also a</w:t>
      </w:r>
      <w:r w:rsidR="00902F04" w:rsidDel="005B643A">
        <w:t xml:space="preserve"> need for more structured support </w:t>
      </w:r>
      <w:r w:rsidR="00902F04">
        <w:t>for parliamentarians and offices to determine what constitutes the right employee for their office. One contributor likened a parliamentary office to functioning like a small business and, as such, there needs to be capabilities in core areas like HR, managing expenses and budgets</w:t>
      </w:r>
      <w:r w:rsidR="00F056BE">
        <w:t>,</w:t>
      </w:r>
      <w:r w:rsidR="00902F04">
        <w:t xml:space="preserve"> and understanding </w:t>
      </w:r>
      <w:r w:rsidR="00F056BE">
        <w:t>WHS</w:t>
      </w:r>
      <w:r w:rsidR="00902F04">
        <w:t xml:space="preserve"> obligations.</w:t>
      </w:r>
    </w:p>
    <w:p w14:paraId="5456B93F" w14:textId="77777777" w:rsidR="008170C5" w:rsidRDefault="008170C5" w:rsidP="008170C5">
      <w:r w:rsidRPr="00615EB8">
        <w:t xml:space="preserve">The Review considers </w:t>
      </w:r>
      <w:r>
        <w:t>there are two steps necessary to finding the right people with the right skill sets for a parliamentary office. These are:</w:t>
      </w:r>
    </w:p>
    <w:p w14:paraId="1E0D7E61" w14:textId="1A50906B" w:rsidR="008170C5" w:rsidRPr="00615EB8" w:rsidRDefault="008170C5" w:rsidP="008170C5">
      <w:pPr>
        <w:pStyle w:val="BulletedList-Level1"/>
      </w:pPr>
      <w:r>
        <w:t xml:space="preserve">considering what </w:t>
      </w:r>
      <w:r w:rsidR="0081075C">
        <w:t>policy, media, administrative</w:t>
      </w:r>
      <w:r>
        <w:t xml:space="preserve"> and </w:t>
      </w:r>
      <w:r w:rsidR="00294EF5">
        <w:t>people management skills</w:t>
      </w:r>
      <w:r>
        <w:t xml:space="preserve"> are required within an office, </w:t>
      </w:r>
      <w:r w:rsidR="00836E0E">
        <w:t>with the understanding</w:t>
      </w:r>
      <w:r w:rsidDel="00836E0E">
        <w:t xml:space="preserve"> </w:t>
      </w:r>
      <w:r>
        <w:t>not all staff need to have a particular skill</w:t>
      </w:r>
      <w:r w:rsidR="00F056BE">
        <w:t>,</w:t>
      </w:r>
      <w:r>
        <w:t xml:space="preserve"> so long as enough staff have that skill for the office to function </w:t>
      </w:r>
    </w:p>
    <w:p w14:paraId="06B61693" w14:textId="489B5635" w:rsidR="00153062" w:rsidRDefault="008170C5" w:rsidP="00022CF4">
      <w:pPr>
        <w:pStyle w:val="BulletedList-Level1"/>
      </w:pPr>
      <w:r>
        <w:t xml:space="preserve">ensuring someone in the office </w:t>
      </w:r>
      <w:r w:rsidR="00B04D35">
        <w:t xml:space="preserve">is assigned </w:t>
      </w:r>
      <w:r w:rsidR="0060083B">
        <w:t>to</w:t>
      </w:r>
      <w:r w:rsidR="00B04D35">
        <w:t xml:space="preserve"> and able </w:t>
      </w:r>
      <w:r>
        <w:t xml:space="preserve">to carry out critical office functions, </w:t>
      </w:r>
      <w:r w:rsidR="00B04D35">
        <w:t xml:space="preserve">such as </w:t>
      </w:r>
      <w:r w:rsidRPr="00615EB8">
        <w:t>people</w:t>
      </w:r>
      <w:r>
        <w:t xml:space="preserve"> </w:t>
      </w:r>
      <w:r w:rsidR="00D42A68">
        <w:t xml:space="preserve">and </w:t>
      </w:r>
      <w:r w:rsidRPr="00615EB8">
        <w:t>workflow management</w:t>
      </w:r>
      <w:r>
        <w:t>.</w:t>
      </w:r>
      <w:r>
        <w:rPr>
          <w:rStyle w:val="FootnoteReference"/>
        </w:rPr>
        <w:footnoteReference w:id="147"/>
      </w:r>
      <w:r>
        <w:t xml:space="preserve">    </w:t>
      </w:r>
    </w:p>
    <w:p w14:paraId="128CB5E2" w14:textId="1FC1138B" w:rsidR="008B1DB8" w:rsidRPr="00A35E8F" w:rsidRDefault="00402AEA" w:rsidP="008170C5">
      <w:r>
        <w:t xml:space="preserve">The Review acknowledges </w:t>
      </w:r>
      <w:r w:rsidR="00D0245A">
        <w:t>s</w:t>
      </w:r>
      <w:r w:rsidR="00803376">
        <w:t xml:space="preserve">ome parliamentarians </w:t>
      </w:r>
      <w:r w:rsidR="00D0245A">
        <w:t xml:space="preserve">are </w:t>
      </w:r>
      <w:r w:rsidR="00803376">
        <w:t>well</w:t>
      </w:r>
      <w:r w:rsidR="000B36A1">
        <w:t xml:space="preserve"> </w:t>
      </w:r>
      <w:r w:rsidR="00803376">
        <w:t>placed to</w:t>
      </w:r>
      <w:r w:rsidR="00D0245A">
        <w:t xml:space="preserve"> </w:t>
      </w:r>
      <w:r w:rsidR="008C6AC6">
        <w:t xml:space="preserve">assess </w:t>
      </w:r>
      <w:r w:rsidR="00D0245A">
        <w:t xml:space="preserve">the </w:t>
      </w:r>
      <w:r w:rsidR="008C6AC6">
        <w:t>skills and experience needed</w:t>
      </w:r>
      <w:r w:rsidR="00803376">
        <w:t xml:space="preserve"> in their office</w:t>
      </w:r>
      <w:r w:rsidR="00D0245A">
        <w:t xml:space="preserve">. </w:t>
      </w:r>
      <w:r w:rsidR="00B04D35">
        <w:t xml:space="preserve">Others may benefit from OPSC organisational support. This might include information about different office structures, staffing composition, role requirements, reporting structures and tailoring the office to meet specific needs of an electorate (which could include, for example, cultural competency or </w:t>
      </w:r>
      <w:r w:rsidR="00B04D35" w:rsidRPr="004F18C0">
        <w:t>language skills</w:t>
      </w:r>
      <w:r w:rsidR="004F18C0">
        <w:t>).</w:t>
      </w:r>
      <w:r w:rsidR="00296699" w:rsidRPr="00863A9F">
        <w:rPr>
          <w:rStyle w:val="FootnoteReference"/>
        </w:rPr>
        <w:footnoteReference w:id="148"/>
      </w:r>
    </w:p>
    <w:p w14:paraId="3B2A6695" w14:textId="77777777" w:rsidR="008B1DB8" w:rsidRPr="008B1DB8" w:rsidRDefault="008B1DB8" w:rsidP="008170C5">
      <w:pPr>
        <w:rPr>
          <w:i/>
        </w:rPr>
      </w:pPr>
      <w:r>
        <w:rPr>
          <w:i/>
        </w:rPr>
        <w:t>Position descriptions</w:t>
      </w:r>
    </w:p>
    <w:p w14:paraId="594D01A3" w14:textId="1853A942" w:rsidR="00017B93" w:rsidRDefault="00902F04" w:rsidP="00902F04">
      <w:r>
        <w:t xml:space="preserve">One of the issues identified by contributors is that many MoP(S) </w:t>
      </w:r>
      <w:r w:rsidR="00955B68">
        <w:t xml:space="preserve">Act </w:t>
      </w:r>
      <w:r>
        <w:t>employees are not provided with a position description</w:t>
      </w:r>
      <w:r w:rsidDel="001C43F9">
        <w:t xml:space="preserve"> or</w:t>
      </w:r>
      <w:r>
        <w:t xml:space="preserve"> other understanding of a role prior to commencing employment. </w:t>
      </w:r>
      <w:r w:rsidR="00085456">
        <w:t xml:space="preserve">The Review considers the reported practice of not providing a role outline, like a position description, to a candidate for employment or a new starter can undermine attempts to set up an office – and the individual staff member – for success. </w:t>
      </w:r>
      <w:r w:rsidR="00017B93" w:rsidRPr="00B57320">
        <w:t>Safe Work Australia’s Model Code of Practice identifies lack of role clarity as a psychosocial hazard in the workplace. Lack of role clarity, as described by Safe Work Australia, may involve uncertainty, frequent changes, conflicting roles or ambiguous responsibilities and expectations.</w:t>
      </w:r>
      <w:r w:rsidR="00017B93" w:rsidRPr="00B57320">
        <w:rPr>
          <w:rStyle w:val="FootnoteReference"/>
        </w:rPr>
        <w:footnoteReference w:id="149"/>
      </w:r>
    </w:p>
    <w:p w14:paraId="0CE317E3" w14:textId="5C9114CD" w:rsidR="00085456" w:rsidRDefault="00085456" w:rsidP="008170C5">
      <w:r>
        <w:t>We heard position descriptions</w:t>
      </w:r>
      <w:r w:rsidR="00902F04">
        <w:t xml:space="preserve"> should be put together in the context of the office as a whole.</w:t>
      </w:r>
      <w:r>
        <w:t xml:space="preserve"> Thi</w:t>
      </w:r>
      <w:r w:rsidR="00851E49">
        <w:t xml:space="preserve">s </w:t>
      </w:r>
      <w:r>
        <w:t xml:space="preserve">provides </w:t>
      </w:r>
      <w:r w:rsidR="002E0B81">
        <w:t>an</w:t>
      </w:r>
      <w:r w:rsidR="00851E49">
        <w:t xml:space="preserve"> opportunity </w:t>
      </w:r>
      <w:r>
        <w:t>for parliamentarians (or senior staff) to</w:t>
      </w:r>
      <w:r w:rsidR="00F91409">
        <w:t xml:space="preserve"> </w:t>
      </w:r>
      <w:r w:rsidR="00851E49">
        <w:t xml:space="preserve">consider </w:t>
      </w:r>
      <w:r w:rsidR="00887C4B">
        <w:t>the</w:t>
      </w:r>
      <w:r w:rsidR="008170C5" w:rsidDel="00887C4B">
        <w:t xml:space="preserve"> </w:t>
      </w:r>
      <w:r w:rsidR="008170C5">
        <w:t>overall office composition</w:t>
      </w:r>
      <w:r>
        <w:t xml:space="preserve"> and </w:t>
      </w:r>
      <w:r w:rsidR="00851E49">
        <w:t xml:space="preserve">whether </w:t>
      </w:r>
      <w:r w:rsidR="00F91409">
        <w:t xml:space="preserve">critical </w:t>
      </w:r>
      <w:r w:rsidR="00887C4B">
        <w:t xml:space="preserve">capabilities </w:t>
      </w:r>
      <w:r w:rsidR="00F91409">
        <w:t>are covered</w:t>
      </w:r>
      <w:r w:rsidR="002E0B81">
        <w:t xml:space="preserve"> or</w:t>
      </w:r>
      <w:r w:rsidR="00851E49">
        <w:t xml:space="preserve"> should </w:t>
      </w:r>
      <w:r w:rsidR="002E0B81">
        <w:t xml:space="preserve">be incorporated into </w:t>
      </w:r>
      <w:r w:rsidR="0081075C">
        <w:t>a</w:t>
      </w:r>
      <w:r w:rsidR="002E0B81">
        <w:t xml:space="preserve"> </w:t>
      </w:r>
      <w:r>
        <w:t xml:space="preserve">new </w:t>
      </w:r>
      <w:r w:rsidR="002E0B81">
        <w:t>role</w:t>
      </w:r>
      <w:r w:rsidR="00887C4B">
        <w:t>.</w:t>
      </w:r>
      <w:r w:rsidR="008170C5">
        <w:t xml:space="preserve"> </w:t>
      </w:r>
      <w:r w:rsidR="00002224">
        <w:t>The OPSC will support parliamentarians in this process by providing template position descriptions that can be amended by a parliamentarian, their office manager or similar to meet the needs of their individual office. This way</w:t>
      </w:r>
      <w:r>
        <w:t xml:space="preserve">, parliamentarians can have flexibility in establishing specialist roles, but </w:t>
      </w:r>
      <w:r w:rsidR="00002224">
        <w:t>draw upon OPSC templates and guidance to</w:t>
      </w:r>
      <w:r w:rsidR="00A37BF1">
        <w:t xml:space="preserve"> </w:t>
      </w:r>
      <w:r>
        <w:t xml:space="preserve">ensure the office has all the key skills it needs to operate effectively. </w:t>
      </w:r>
    </w:p>
    <w:p w14:paraId="7F181EA0" w14:textId="2BFCD66B" w:rsidR="00085456" w:rsidRDefault="00085456" w:rsidP="008170C5">
      <w:r>
        <w:t xml:space="preserve">The Review considers a position description also assists the recruitment process by making it easier to </w:t>
      </w:r>
      <w:r w:rsidR="0081075C">
        <w:t>assess</w:t>
      </w:r>
      <w:r>
        <w:t xml:space="preserve"> </w:t>
      </w:r>
      <w:r w:rsidR="00390358">
        <w:t xml:space="preserve">a </w:t>
      </w:r>
      <w:r>
        <w:t>candidate</w:t>
      </w:r>
      <w:r w:rsidR="00EA1BAD">
        <w:t>’</w:t>
      </w:r>
      <w:r>
        <w:t>s</w:t>
      </w:r>
      <w:r w:rsidR="00EA1BAD">
        <w:t xml:space="preserve"> suitability for the role</w:t>
      </w:r>
      <w:r>
        <w:t xml:space="preserve">. </w:t>
      </w:r>
      <w:r w:rsidR="00EA1BAD">
        <w:t xml:space="preserve">It also </w:t>
      </w:r>
      <w:r w:rsidR="008B1DB8">
        <w:t>sets up an employee for t</w:t>
      </w:r>
      <w:r w:rsidR="00851E49">
        <w:t>he</w:t>
      </w:r>
      <w:r w:rsidR="008170C5">
        <w:t xml:space="preserve"> work environment </w:t>
      </w:r>
      <w:r w:rsidR="00851E49">
        <w:t xml:space="preserve">with clear </w:t>
      </w:r>
      <w:r w:rsidR="00887C4B">
        <w:t>expectati</w:t>
      </w:r>
      <w:r w:rsidR="00851E49">
        <w:t xml:space="preserve">ons, which </w:t>
      </w:r>
      <w:r w:rsidR="00EA1BAD">
        <w:t>are central to</w:t>
      </w:r>
      <w:r w:rsidR="008170C5">
        <w:t xml:space="preserve"> </w:t>
      </w:r>
      <w:r w:rsidR="00EA1BAD">
        <w:t xml:space="preserve">the </w:t>
      </w:r>
      <w:r w:rsidR="008170C5">
        <w:t>manag</w:t>
      </w:r>
      <w:r w:rsidR="00EA1BAD">
        <w:t>ement of</w:t>
      </w:r>
      <w:r w:rsidR="00887C4B">
        <w:t xml:space="preserve"> probation and</w:t>
      </w:r>
      <w:r w:rsidR="00EA1BAD">
        <w:t xml:space="preserve"> </w:t>
      </w:r>
      <w:r w:rsidR="00887C4B">
        <w:t>performance</w:t>
      </w:r>
      <w:r w:rsidR="008170C5">
        <w:t xml:space="preserve"> assessment</w:t>
      </w:r>
      <w:r w:rsidR="00887C4B">
        <w:t>s</w:t>
      </w:r>
      <w:r w:rsidR="00FD1EAA">
        <w:t xml:space="preserve">. </w:t>
      </w:r>
      <w:r w:rsidR="00EA1BAD">
        <w:t xml:space="preserve">  </w:t>
      </w:r>
      <w:r w:rsidR="004C235D">
        <w:t xml:space="preserve">The survey responses revealed MoP(S) </w:t>
      </w:r>
      <w:r w:rsidR="009427BE">
        <w:t>Act</w:t>
      </w:r>
      <w:r w:rsidR="00041E21">
        <w:t xml:space="preserve"> employees had</w:t>
      </w:r>
      <w:r w:rsidR="004C235D">
        <w:t xml:space="preserve"> </w:t>
      </w:r>
      <w:r>
        <w:t>a strong positive response about the potential for clear position descriptions to be effective in improving the acc</w:t>
      </w:r>
      <w:r w:rsidR="004C235D">
        <w:t xml:space="preserve">ountability of MoP(S) </w:t>
      </w:r>
      <w:r w:rsidR="00955B68">
        <w:t xml:space="preserve">Act </w:t>
      </w:r>
      <w:r w:rsidR="004C235D">
        <w:t xml:space="preserve">employees </w:t>
      </w:r>
      <w:r w:rsidR="00955B68">
        <w:t>in terms of</w:t>
      </w:r>
      <w:r w:rsidR="004C235D">
        <w:t xml:space="preserve"> conduct and performance.</w:t>
      </w:r>
      <w:r w:rsidR="00955B68">
        <w:rPr>
          <w:rStyle w:val="FootnoteReference"/>
        </w:rPr>
        <w:footnoteReference w:id="150"/>
      </w:r>
    </w:p>
    <w:p w14:paraId="5B5BE50C" w14:textId="77777777" w:rsidR="008B1DB8" w:rsidRPr="008B1DB8" w:rsidRDefault="008B1DB8" w:rsidP="008170C5">
      <w:pPr>
        <w:rPr>
          <w:i/>
        </w:rPr>
      </w:pPr>
      <w:r w:rsidRPr="008B1DB8">
        <w:rPr>
          <w:i/>
        </w:rPr>
        <w:t>Office manager or assigned responsib</w:t>
      </w:r>
      <w:r>
        <w:rPr>
          <w:i/>
        </w:rPr>
        <w:t>i</w:t>
      </w:r>
      <w:r w:rsidRPr="008B1DB8">
        <w:rPr>
          <w:i/>
        </w:rPr>
        <w:t>lities</w:t>
      </w:r>
    </w:p>
    <w:p w14:paraId="6F6EE030" w14:textId="77777777" w:rsidR="00902F04" w:rsidRDefault="003D2D1D" w:rsidP="00902F04">
      <w:r>
        <w:t>Contributors to the Re</w:t>
      </w:r>
      <w:r w:rsidR="004C235D">
        <w:t xml:space="preserve">view </w:t>
      </w:r>
      <w:r>
        <w:t xml:space="preserve">observed </w:t>
      </w:r>
      <w:r w:rsidR="00902F04">
        <w:t xml:space="preserve">the importance of human resource management responsibilities being assigned to appropriately skilled employees within an office. </w:t>
      </w:r>
    </w:p>
    <w:p w14:paraId="0B9B81AF" w14:textId="27A779A2" w:rsidR="00C93642" w:rsidRDefault="000632DC" w:rsidP="00AE2141">
      <w:r>
        <w:t>Some parliamentarians will choose to retain human resource decision</w:t>
      </w:r>
      <w:r w:rsidR="00DF730D">
        <w:t>-</w:t>
      </w:r>
      <w:r>
        <w:t>making responsibilities for their staff</w:t>
      </w:r>
      <w:r w:rsidR="00C93642">
        <w:t>, whereas others may delegate these duties</w:t>
      </w:r>
      <w:r>
        <w:t xml:space="preserve">. </w:t>
      </w:r>
      <w:r w:rsidR="00C93642">
        <w:t>The Review</w:t>
      </w:r>
      <w:r w:rsidR="00B00E51">
        <w:t xml:space="preserve"> </w:t>
      </w:r>
      <w:r w:rsidR="00AE2141">
        <w:t>observe</w:t>
      </w:r>
      <w:r w:rsidR="000B2130">
        <w:t>s th</w:t>
      </w:r>
      <w:r w:rsidR="002279E2">
        <w:t>e</w:t>
      </w:r>
      <w:r w:rsidR="008170C5">
        <w:t xml:space="preserve"> offices </w:t>
      </w:r>
      <w:r w:rsidR="000B2130">
        <w:t>considered</w:t>
      </w:r>
      <w:r w:rsidR="00AE2141">
        <w:t xml:space="preserve"> ‘</w:t>
      </w:r>
      <w:r w:rsidR="008170C5">
        <w:t>successful</w:t>
      </w:r>
      <w:r w:rsidR="00AE2141">
        <w:t xml:space="preserve">’ by </w:t>
      </w:r>
      <w:r w:rsidR="00C55CD6">
        <w:t>contributor</w:t>
      </w:r>
      <w:r w:rsidR="00AE2141">
        <w:t xml:space="preserve">s </w:t>
      </w:r>
      <w:r w:rsidR="008170C5">
        <w:t xml:space="preserve">almost </w:t>
      </w:r>
      <w:r w:rsidR="00AE2141">
        <w:t>always</w:t>
      </w:r>
      <w:r w:rsidR="008170C5">
        <w:t xml:space="preserve"> ha</w:t>
      </w:r>
      <w:r w:rsidR="00C93642">
        <w:t>d</w:t>
      </w:r>
      <w:r>
        <w:t xml:space="preserve"> an </w:t>
      </w:r>
      <w:r w:rsidR="008170C5">
        <w:t xml:space="preserve">‘office manager’ with experience </w:t>
      </w:r>
      <w:r>
        <w:t xml:space="preserve">or training in </w:t>
      </w:r>
      <w:r w:rsidR="008170C5">
        <w:t xml:space="preserve">managing people. </w:t>
      </w:r>
      <w:r w:rsidR="000D5071">
        <w:t>T</w:t>
      </w:r>
      <w:r w:rsidR="008170C5">
        <w:t>his person ensure</w:t>
      </w:r>
      <w:r w:rsidR="000D5071">
        <w:t>s</w:t>
      </w:r>
      <w:r w:rsidR="008170C5">
        <w:t xml:space="preserve"> </w:t>
      </w:r>
      <w:r w:rsidR="003D2D1D">
        <w:t>employees</w:t>
      </w:r>
      <w:r w:rsidR="008170C5">
        <w:t xml:space="preserve"> within an office </w:t>
      </w:r>
      <w:r w:rsidR="00AE2141">
        <w:t>understand</w:t>
      </w:r>
      <w:r w:rsidR="008170C5">
        <w:t xml:space="preserve"> their roles and </w:t>
      </w:r>
      <w:r w:rsidR="00AE2141">
        <w:t>have</w:t>
      </w:r>
      <w:r w:rsidR="008170C5">
        <w:t xml:space="preserve"> the skills to </w:t>
      </w:r>
      <w:r w:rsidR="00AE2141">
        <w:t>perform</w:t>
      </w:r>
      <w:r w:rsidR="008170C5">
        <w:t xml:space="preserve"> them</w:t>
      </w:r>
      <w:r w:rsidR="00AE2141">
        <w:t>, as well as having other responsibilities within the office</w:t>
      </w:r>
      <w:r w:rsidR="008170C5">
        <w:t xml:space="preserve">. </w:t>
      </w:r>
      <w:r w:rsidR="004C235D">
        <w:t xml:space="preserve">A number of contributors to the </w:t>
      </w:r>
      <w:r w:rsidR="00AC2732">
        <w:t>R</w:t>
      </w:r>
      <w:r w:rsidR="004C235D">
        <w:t>eview called for a requirement for an ‘office manager’ role</w:t>
      </w:r>
      <w:r w:rsidR="004C235D" w:rsidDel="00374C32">
        <w:t xml:space="preserve"> </w:t>
      </w:r>
      <w:r w:rsidR="004C235D">
        <w:t>to be established within all parliamentarian offices, with defined skills and responsibilities.</w:t>
      </w:r>
    </w:p>
    <w:p w14:paraId="67CACDF2" w14:textId="77777777" w:rsidR="00C93642" w:rsidRDefault="00CC6DA5" w:rsidP="00AE2141">
      <w:r>
        <w:t xml:space="preserve">The Review considers critical capabilities, like human resourcing and managing the office budget should be attributed to suitable staff in each office. This means critical office capabilities like HR and budgeting should be considered when setting up the structure of each parliamentary office and assigned to specific roles. </w:t>
      </w:r>
      <w:r w:rsidR="005266AB">
        <w:t>T</w:t>
      </w:r>
      <w:r w:rsidR="00C93642">
        <w:t>he R</w:t>
      </w:r>
      <w:r>
        <w:t>eview does not consider that a person designated as ‘</w:t>
      </w:r>
      <w:r w:rsidR="000B2130">
        <w:t xml:space="preserve">office </w:t>
      </w:r>
      <w:r>
        <w:t xml:space="preserve">manager’ </w:t>
      </w:r>
      <w:r w:rsidR="000B2130">
        <w:t>needs to</w:t>
      </w:r>
      <w:r>
        <w:t xml:space="preserve"> be mandated for each office, although this should be best practice. The</w:t>
      </w:r>
      <w:r w:rsidR="003D2D1D">
        <w:t xml:space="preserve"> OPSC </w:t>
      </w:r>
      <w:r>
        <w:t xml:space="preserve">should </w:t>
      </w:r>
      <w:r w:rsidR="003D2D1D">
        <w:t>pr</w:t>
      </w:r>
      <w:r>
        <w:t>ovide</w:t>
      </w:r>
      <w:r w:rsidR="003D2D1D">
        <w:t xml:space="preserve"> guidance on a position description for such a role</w:t>
      </w:r>
      <w:r w:rsidR="000632DC">
        <w:t>.</w:t>
      </w:r>
      <w:r w:rsidR="005266AB">
        <w:t xml:space="preserve"> </w:t>
      </w:r>
      <w:r w:rsidR="00C93642">
        <w:t xml:space="preserve">The </w:t>
      </w:r>
      <w:r w:rsidR="005266AB">
        <w:t xml:space="preserve">Review notes some </w:t>
      </w:r>
      <w:r w:rsidR="00AE2141">
        <w:t xml:space="preserve">parliamentary offices may choose to pool critical office functions among themselves or draw from party resources. </w:t>
      </w:r>
    </w:p>
    <w:p w14:paraId="3A099659" w14:textId="472FD185" w:rsidR="0014134B" w:rsidRDefault="00C93642" w:rsidP="00D43461">
      <w:r>
        <w:t xml:space="preserve">The Review heard it can be difficult for parliamentarian’s offices to find time for professional development and training. </w:t>
      </w:r>
      <w:r w:rsidR="004E26DD">
        <w:t>While acknowledging this difficulty,</w:t>
      </w:r>
      <w:r>
        <w:t xml:space="preserve"> the Review considers the success of </w:t>
      </w:r>
      <w:r w:rsidR="0014134B">
        <w:t>an</w:t>
      </w:r>
      <w:r>
        <w:t xml:space="preserve"> office </w:t>
      </w:r>
      <w:r w:rsidR="0014134B">
        <w:t>rests in large part on</w:t>
      </w:r>
      <w:r>
        <w:t xml:space="preserve"> employees</w:t>
      </w:r>
      <w:r w:rsidR="00E84A12">
        <w:t>’</w:t>
      </w:r>
      <w:r>
        <w:t xml:space="preserve"> </w:t>
      </w:r>
      <w:r w:rsidR="00E84A12">
        <w:t>ability</w:t>
      </w:r>
      <w:r w:rsidR="003E4EAF">
        <w:t xml:space="preserve"> </w:t>
      </w:r>
      <w:r w:rsidR="00E54BA7">
        <w:t xml:space="preserve">to </w:t>
      </w:r>
      <w:r>
        <w:t>access training and be supported in their role</w:t>
      </w:r>
      <w:r w:rsidR="0014134B">
        <w:t>, particularly those</w:t>
      </w:r>
      <w:r>
        <w:t xml:space="preserve"> employees with responsibilities for </w:t>
      </w:r>
      <w:r w:rsidR="00E54BA7">
        <w:t>critical office functions</w:t>
      </w:r>
      <w:r>
        <w:t xml:space="preserve">. </w:t>
      </w:r>
      <w:r w:rsidR="003E4EAF">
        <w:t xml:space="preserve">This is a high priority where staff holding these responsibilities lack experience. </w:t>
      </w:r>
    </w:p>
    <w:p w14:paraId="69617033" w14:textId="109EC41F" w:rsidR="0004586B" w:rsidRDefault="0014134B" w:rsidP="00D43461">
      <w:r>
        <w:t>T</w:t>
      </w:r>
      <w:r w:rsidR="00C93642">
        <w:t xml:space="preserve">he </w:t>
      </w:r>
      <w:r w:rsidR="00C93642" w:rsidRPr="008034D1">
        <w:t xml:space="preserve">Review considers the </w:t>
      </w:r>
      <w:r w:rsidR="00E348D9" w:rsidRPr="008034D1">
        <w:t xml:space="preserve">OPSC, where necessary, should </w:t>
      </w:r>
      <w:r>
        <w:t>have powers to require specified training</w:t>
      </w:r>
      <w:r w:rsidR="0004586B">
        <w:t>. This could, for example,</w:t>
      </w:r>
      <w:r>
        <w:t xml:space="preserve"> </w:t>
      </w:r>
      <w:r w:rsidR="00E84A12">
        <w:t>include</w:t>
      </w:r>
      <w:r w:rsidR="00E84A12" w:rsidRPr="008034D1">
        <w:t xml:space="preserve"> </w:t>
      </w:r>
      <w:r w:rsidR="00E84A12">
        <w:t>mandating</w:t>
      </w:r>
      <w:r w:rsidR="0004586B">
        <w:t xml:space="preserve"> for</w:t>
      </w:r>
      <w:r w:rsidR="00C93642" w:rsidRPr="008034D1">
        <w:t xml:space="preserve"> a MoP(S) Act employee with </w:t>
      </w:r>
      <w:r w:rsidR="0004586B">
        <w:t xml:space="preserve">delegated </w:t>
      </w:r>
      <w:r w:rsidR="00C93642" w:rsidRPr="008034D1">
        <w:t xml:space="preserve">human resource or financial authorisations to undertake training within six months of commencing </w:t>
      </w:r>
      <w:r w:rsidR="0004586B">
        <w:t>or demonstrating to OPSC their relevant knowledge or experience to undertake</w:t>
      </w:r>
      <w:r w:rsidR="00C93642" w:rsidRPr="008034D1">
        <w:t xml:space="preserve"> the role</w:t>
      </w:r>
      <w:r w:rsidR="0004586B">
        <w:t xml:space="preserve">. The Review concludes this as an appropriate balance to the power of parliamentarians to delegate critical office functions. </w:t>
      </w:r>
    </w:p>
    <w:p w14:paraId="6A4B9FAB" w14:textId="2225E4FA" w:rsidR="00E348D9" w:rsidRDefault="00E348D9" w:rsidP="00D43461">
      <w:r>
        <w:t xml:space="preserve">Recommendation </w:t>
      </w:r>
      <w:r w:rsidRPr="0004586B">
        <w:t>2</w:t>
      </w:r>
      <w:r w:rsidR="0004586B">
        <w:t xml:space="preserve"> addresses the conclusions reached here. </w:t>
      </w:r>
    </w:p>
    <w:p w14:paraId="72394C65" w14:textId="77777777" w:rsidR="000E43F1" w:rsidRPr="00241F5D" w:rsidRDefault="00241F5D" w:rsidP="00661B77">
      <w:pPr>
        <w:rPr>
          <w:i/>
        </w:rPr>
      </w:pPr>
      <w:r w:rsidRPr="00241F5D">
        <w:rPr>
          <w:i/>
        </w:rPr>
        <w:t xml:space="preserve">Diversity, Equality and Inclusion </w:t>
      </w:r>
    </w:p>
    <w:p w14:paraId="1B34A067" w14:textId="3884E56A" w:rsidR="00902F04" w:rsidRDefault="00902F04" w:rsidP="00902F04">
      <w:r>
        <w:t>The</w:t>
      </w:r>
      <w:r w:rsidR="00750E9A">
        <w:t xml:space="preserve"> Review heard </w:t>
      </w:r>
      <w:r>
        <w:t xml:space="preserve">a significant proportion of recruitment for MoP(S) Act roles occurs through word of mouth or direct approaches within existing networks. This was said to support the need to fill positions quickly, such as during the post-election period, and to reflect the desire for assurance about a candidate’s trustworthiness and their awareness of priorities based on their association with a political party. </w:t>
      </w:r>
      <w:r w:rsidR="00F056BE">
        <w:t>(For example</w:t>
      </w:r>
      <w:r>
        <w:t xml:space="preserve"> </w:t>
      </w:r>
      <w:r w:rsidR="00E84A12">
        <w:t>44</w:t>
      </w:r>
      <w:r>
        <w:t xml:space="preserve"> per cent of survey responses from current and former MoP(S) Act </w:t>
      </w:r>
      <w:r w:rsidR="002D62B0">
        <w:t>employees</w:t>
      </w:r>
      <w:r>
        <w:t xml:space="preserve"> indicated they found out about their role through a direct approach, and a further 25 per cent by word of mouth. Only 13 per cent heard of their role through advertisement.</w:t>
      </w:r>
      <w:r w:rsidR="00F056BE">
        <w:t>)</w:t>
      </w:r>
      <w:r>
        <w:t xml:space="preserve"> </w:t>
      </w:r>
    </w:p>
    <w:p w14:paraId="4CFA3D80" w14:textId="77777777" w:rsidR="00706DE4" w:rsidRDefault="00902F04" w:rsidP="00241F5D">
      <w:r>
        <w:t xml:space="preserve">The Review understands </w:t>
      </w:r>
      <w:r w:rsidR="00390358">
        <w:t>that sometimes swift recruitment decisions are needed.</w:t>
      </w:r>
      <w:r>
        <w:t xml:space="preserve"> However, focussing on networks for a recruitment can work against </w:t>
      </w:r>
      <w:r w:rsidR="00F9691E">
        <w:t xml:space="preserve">the </w:t>
      </w:r>
      <w:r>
        <w:t xml:space="preserve">diversity </w:t>
      </w:r>
      <w:r w:rsidR="00F9691E">
        <w:t xml:space="preserve">of employees </w:t>
      </w:r>
      <w:r>
        <w:t>in parliamentarian offices.</w:t>
      </w:r>
      <w:r w:rsidR="00F9691E">
        <w:t xml:space="preserve"> The business case for applying diversity, equality and inclusion recruitment principles is well-researched and documented.</w:t>
      </w:r>
      <w:r w:rsidR="00F9691E">
        <w:rPr>
          <w:rStyle w:val="FootnoteReference"/>
        </w:rPr>
        <w:footnoteReference w:id="151"/>
      </w:r>
      <w:r w:rsidR="00F9691E">
        <w:t xml:space="preserve"> </w:t>
      </w:r>
      <w:r w:rsidR="00F9691E" w:rsidRPr="00142173">
        <w:rPr>
          <w:i/>
        </w:rPr>
        <w:t>Set the Standard</w:t>
      </w:r>
      <w:r w:rsidR="00706DE4">
        <w:t xml:space="preserve"> also </w:t>
      </w:r>
      <w:r w:rsidR="00706DE4" w:rsidRPr="00331013">
        <w:t xml:space="preserve">highlights </w:t>
      </w:r>
      <w:r w:rsidR="005121A4">
        <w:t>embedding</w:t>
      </w:r>
      <w:r w:rsidR="00706DE4" w:rsidRPr="00A35E8F">
        <w:t xml:space="preserve"> diversi</w:t>
      </w:r>
      <w:r w:rsidR="00706DE4" w:rsidRPr="00331013">
        <w:t>ty, equality and inclusion principles in HR policies and practices as cent</w:t>
      </w:r>
      <w:r w:rsidR="00750E9A" w:rsidRPr="00750E9A">
        <w:t xml:space="preserve">ral to </w:t>
      </w:r>
      <w:r w:rsidR="00706DE4" w:rsidRPr="00A35E8F">
        <w:t>creating the safe, inclusive and respectful behaviour</w:t>
      </w:r>
      <w:r w:rsidR="005121A4">
        <w:t>, and</w:t>
      </w:r>
      <w:r w:rsidR="00706DE4" w:rsidRPr="00A35E8F">
        <w:t xml:space="preserve"> </w:t>
      </w:r>
      <w:r w:rsidR="00750E9A">
        <w:t>a</w:t>
      </w:r>
      <w:r w:rsidR="005121A4">
        <w:t xml:space="preserve"> MoP(S) workforce that reflects r</w:t>
      </w:r>
      <w:r w:rsidR="00F9691E" w:rsidRPr="00331013">
        <w:t>epresentative democracy.</w:t>
      </w:r>
      <w:r w:rsidR="00F9691E" w:rsidRPr="00331013">
        <w:rPr>
          <w:rStyle w:val="FootnoteReference"/>
        </w:rPr>
        <w:footnoteReference w:id="152"/>
      </w:r>
      <w:r w:rsidR="005121A4">
        <w:t xml:space="preserve"> </w:t>
      </w:r>
    </w:p>
    <w:p w14:paraId="3716262D" w14:textId="77777777" w:rsidR="00241F5D" w:rsidRDefault="000913AA" w:rsidP="00241F5D">
      <w:r>
        <w:t xml:space="preserve">The </w:t>
      </w:r>
      <w:r w:rsidR="007F30D5" w:rsidRPr="007F30D5">
        <w:t xml:space="preserve">Review considered </w:t>
      </w:r>
      <w:r w:rsidR="007F30D5">
        <w:t xml:space="preserve">how best to include </w:t>
      </w:r>
      <w:r w:rsidR="007F30D5" w:rsidRPr="007F30D5">
        <w:t>diversity, equality and inclusion practices</w:t>
      </w:r>
      <w:r w:rsidR="007F30D5">
        <w:t xml:space="preserve"> into </w:t>
      </w:r>
      <w:r>
        <w:t>an office set up.</w:t>
      </w:r>
      <w:r w:rsidR="007F30D5">
        <w:t xml:space="preserve"> </w:t>
      </w:r>
      <w:r w:rsidR="00706DE4">
        <w:t>These include</w:t>
      </w:r>
      <w:r w:rsidR="00241F5D">
        <w:t>:</w:t>
      </w:r>
    </w:p>
    <w:p w14:paraId="67C35B8B" w14:textId="77777777" w:rsidR="00241F5D" w:rsidRPr="00AF518F" w:rsidRDefault="00241F5D" w:rsidP="00241F5D">
      <w:pPr>
        <w:pStyle w:val="BulletedList-Level1"/>
      </w:pPr>
      <w:r>
        <w:t xml:space="preserve">casting a wider net beyond personal networks to get a more diverse candidate pool  </w:t>
      </w:r>
    </w:p>
    <w:p w14:paraId="4C9BE379" w14:textId="77777777" w:rsidR="00241F5D" w:rsidRDefault="00241F5D" w:rsidP="00241F5D">
      <w:pPr>
        <w:pStyle w:val="BulletedList-Level1"/>
      </w:pPr>
      <w:r>
        <w:t xml:space="preserve">reviewing recruitment practices to uncover </w:t>
      </w:r>
      <w:r w:rsidR="000913AA">
        <w:t>and address risks of</w:t>
      </w:r>
      <w:r>
        <w:t xml:space="preserve"> bias. This could include, for example, having a </w:t>
      </w:r>
      <w:r w:rsidR="000913AA">
        <w:t xml:space="preserve">person </w:t>
      </w:r>
      <w:r>
        <w:t>exte</w:t>
      </w:r>
      <w:r w:rsidR="000913AA">
        <w:t xml:space="preserve">rnal to the office </w:t>
      </w:r>
      <w:r>
        <w:t>sit</w:t>
      </w:r>
      <w:r w:rsidR="000913AA">
        <w:t xml:space="preserve"> in on an interview or consider any</w:t>
      </w:r>
      <w:r>
        <w:t xml:space="preserve"> demographic patterns</w:t>
      </w:r>
      <w:r w:rsidR="000913AA">
        <w:t xml:space="preserve"> in recent recruits</w:t>
      </w:r>
    </w:p>
    <w:p w14:paraId="13727C17" w14:textId="5D61E39B" w:rsidR="00241F5D" w:rsidRPr="00AF518F" w:rsidRDefault="00241F5D" w:rsidP="001D612C">
      <w:pPr>
        <w:pStyle w:val="BulletedList-Level1"/>
      </w:pPr>
      <w:r>
        <w:t>tapping into support at the part</w:t>
      </w:r>
      <w:r w:rsidR="000913AA">
        <w:t xml:space="preserve">y-level and/or through </w:t>
      </w:r>
      <w:r w:rsidR="002279E2">
        <w:t xml:space="preserve">the </w:t>
      </w:r>
      <w:r w:rsidR="000913AA">
        <w:t xml:space="preserve">OPSC to obtain </w:t>
      </w:r>
      <w:r>
        <w:t>p</w:t>
      </w:r>
      <w:r w:rsidR="000913AA">
        <w:t xml:space="preserve">ractical guidance on </w:t>
      </w:r>
      <w:r>
        <w:t xml:space="preserve">recruitment </w:t>
      </w:r>
      <w:r w:rsidR="0081075C">
        <w:t xml:space="preserve">practices </w:t>
      </w:r>
      <w:r>
        <w:t>s that are bias free and value diversity</w:t>
      </w:r>
      <w:r w:rsidR="001D612C" w:rsidRPr="001D612C">
        <w:t xml:space="preserve"> </w:t>
      </w:r>
      <w:r w:rsidR="0081075C">
        <w:t>to</w:t>
      </w:r>
      <w:r w:rsidR="001D612C" w:rsidRPr="001D612C">
        <w:t xml:space="preserve"> learn</w:t>
      </w:r>
      <w:r w:rsidR="001D612C">
        <w:t xml:space="preserve"> </w:t>
      </w:r>
      <w:r w:rsidR="001D612C" w:rsidRPr="001D612C">
        <w:t>how to more proactively foster diverse perspectives in the workplace.</w:t>
      </w:r>
      <w:r>
        <w:rPr>
          <w:rStyle w:val="FootnoteReference"/>
        </w:rPr>
        <w:footnoteReference w:id="153"/>
      </w:r>
    </w:p>
    <w:p w14:paraId="2A0F3DBF" w14:textId="77777777" w:rsidR="005121A4" w:rsidRDefault="00750E9A" w:rsidP="00706DE4">
      <w:pPr>
        <w:rPr>
          <w:strike/>
        </w:rPr>
      </w:pPr>
      <w:r>
        <w:t>The OPSC will be</w:t>
      </w:r>
      <w:r w:rsidR="00706DE4">
        <w:t xml:space="preserve"> positioned to provide guidance to parliamentarians and their office on these </w:t>
      </w:r>
      <w:r>
        <w:t>and rel</w:t>
      </w:r>
      <w:r w:rsidR="00657DDD">
        <w:t>a</w:t>
      </w:r>
      <w:r>
        <w:t>t</w:t>
      </w:r>
      <w:r w:rsidR="00657DDD">
        <w:t>e</w:t>
      </w:r>
      <w:r>
        <w:t xml:space="preserve">d </w:t>
      </w:r>
      <w:r w:rsidR="00706DE4">
        <w:t xml:space="preserve">matters. </w:t>
      </w:r>
    </w:p>
    <w:p w14:paraId="25C0957D" w14:textId="615A9F6F" w:rsidR="00706DE4" w:rsidRDefault="00706DE4" w:rsidP="00706DE4">
      <w:r>
        <w:t>Part of fostering a div</w:t>
      </w:r>
      <w:r w:rsidR="005121A4">
        <w:t>erse and inclusive workforce also relate</w:t>
      </w:r>
      <w:r w:rsidR="00390358">
        <w:t>s</w:t>
      </w:r>
      <w:r w:rsidR="005121A4">
        <w:t xml:space="preserve"> to </w:t>
      </w:r>
      <w:r>
        <w:t>the ability of staff to balance their work and personal life. The current EA allows</w:t>
      </w:r>
      <w:r w:rsidRPr="003B18DC">
        <w:t xml:space="preserve"> for working from home or individual flexibility arrangement</w:t>
      </w:r>
      <w:r>
        <w:t xml:space="preserve">s to be agreed </w:t>
      </w:r>
      <w:r w:rsidRPr="003B18DC">
        <w:t xml:space="preserve">between the </w:t>
      </w:r>
      <w:r w:rsidR="00514FBE">
        <w:t>m</w:t>
      </w:r>
      <w:r w:rsidRPr="003B18DC">
        <w:t>inister and an employee.</w:t>
      </w:r>
      <w:r>
        <w:rPr>
          <w:rStyle w:val="FootnoteReference"/>
        </w:rPr>
        <w:footnoteReference w:id="154"/>
      </w:r>
      <w:r w:rsidRPr="003B18DC">
        <w:t xml:space="preserve"> </w:t>
      </w:r>
      <w:r>
        <w:t xml:space="preserve">Yet both responses to this Review and </w:t>
      </w:r>
      <w:r>
        <w:rPr>
          <w:i/>
        </w:rPr>
        <w:t xml:space="preserve">Set the Standard </w:t>
      </w:r>
      <w:r w:rsidR="008F6D9A">
        <w:t xml:space="preserve">identified barriers for MoP(S) Act </w:t>
      </w:r>
      <w:r w:rsidR="002D62B0">
        <w:t>employees</w:t>
      </w:r>
      <w:r>
        <w:t xml:space="preserve"> when seeking to maintain a flexible work</w:t>
      </w:r>
      <w:r w:rsidR="004B5622">
        <w:t>-</w:t>
      </w:r>
      <w:r>
        <w:t>life balance. Contributors in interviews pointed to an overall culture of caring responsibilities being viewed as a personal issue to be solved by the individual staff member rather than one that re</w:t>
      </w:r>
      <w:r w:rsidR="00331013">
        <w:t xml:space="preserve">quires organisational support. </w:t>
      </w:r>
      <w:r>
        <w:t>The Review heard about employees with caring responsibilities:</w:t>
      </w:r>
    </w:p>
    <w:p w14:paraId="6833B2BA" w14:textId="77777777" w:rsidR="00706DE4" w:rsidRDefault="00706DE4" w:rsidP="00706DE4">
      <w:pPr>
        <w:pStyle w:val="BulletedList-Level1"/>
      </w:pPr>
      <w:r>
        <w:t>not receiving a job offer based on being a parent and perceived as unreliable and unable to undertake required hours</w:t>
      </w:r>
      <w:r w:rsidR="00331013">
        <w:t xml:space="preserve"> for this reason</w:t>
      </w:r>
    </w:p>
    <w:p w14:paraId="225C6D01" w14:textId="77777777" w:rsidR="00706DE4" w:rsidRDefault="00706DE4" w:rsidP="00706DE4">
      <w:pPr>
        <w:pStyle w:val="BulletedList-Level1"/>
      </w:pPr>
      <w:r>
        <w:t>routinely not being considered for opportunities and career progression</w:t>
      </w:r>
    </w:p>
    <w:p w14:paraId="4ECE7443" w14:textId="77777777" w:rsidR="00706DE4" w:rsidRDefault="00706DE4" w:rsidP="00706DE4">
      <w:pPr>
        <w:pStyle w:val="BulletedList-Level1"/>
      </w:pPr>
      <w:r>
        <w:t>perceiving caring responsibilities are issues to be solved at home</w:t>
      </w:r>
    </w:p>
    <w:p w14:paraId="614F1152" w14:textId="77777777" w:rsidR="00706DE4" w:rsidRDefault="00706DE4" w:rsidP="00706DE4">
      <w:pPr>
        <w:pStyle w:val="BulletedList-Level1"/>
      </w:pPr>
      <w:r>
        <w:t>being unable to access flexible work arrangements, like part-time or job share roles, and</w:t>
      </w:r>
    </w:p>
    <w:p w14:paraId="31584E9B" w14:textId="5D692F72" w:rsidR="00706DE4" w:rsidRDefault="00706DE4" w:rsidP="00A35E8F">
      <w:pPr>
        <w:pStyle w:val="BulletedList-Level1"/>
      </w:pPr>
      <w:r>
        <w:t>leaving the parliamentary workplace due to inability to balance work and home life.</w:t>
      </w:r>
    </w:p>
    <w:p w14:paraId="23CC65A7" w14:textId="77777777" w:rsidR="00706DE4" w:rsidRDefault="00706DE4" w:rsidP="00706DE4">
      <w:r>
        <w:t xml:space="preserve">In identifying measures through which to diversify MoP(S) Act </w:t>
      </w:r>
      <w:r w:rsidR="002D62B0">
        <w:t>employees</w:t>
      </w:r>
      <w:r>
        <w:t xml:space="preserve">, </w:t>
      </w:r>
      <w:r w:rsidRPr="00142173">
        <w:rPr>
          <w:i/>
        </w:rPr>
        <w:t>Set the Standard</w:t>
      </w:r>
      <w:r>
        <w:t xml:space="preserve"> highlighted the need for political parties, party leadership and office-holders to encourage greater take-up of flexible working arrangements, including remote working and job sharing.</w:t>
      </w:r>
      <w:r>
        <w:rPr>
          <w:rStyle w:val="FootnoteReference"/>
        </w:rPr>
        <w:footnoteReference w:id="155"/>
      </w:r>
      <w:r>
        <w:t xml:space="preserve"> Options raised by contributors to this Review reflect the need for more flexible work options. Suggestions include rosters for </w:t>
      </w:r>
      <w:r w:rsidR="00390358">
        <w:t>s</w:t>
      </w:r>
      <w:r>
        <w:t xml:space="preserve">itting </w:t>
      </w:r>
      <w:r w:rsidR="00390358">
        <w:t>d</w:t>
      </w:r>
      <w:r>
        <w:t xml:space="preserve">ays, support arrangements for new </w:t>
      </w:r>
      <w:r w:rsidRPr="00EC3F71">
        <w:t xml:space="preserve">parents, </w:t>
      </w:r>
      <w:r>
        <w:t xml:space="preserve">backfilling positions to cover extended leave requirements, </w:t>
      </w:r>
      <w:r w:rsidRPr="00EC3F71">
        <w:t>and remote work.</w:t>
      </w:r>
      <w:r>
        <w:t xml:space="preserve"> </w:t>
      </w:r>
    </w:p>
    <w:p w14:paraId="73648D3C" w14:textId="741D6649" w:rsidR="003D2D1D" w:rsidRDefault="00706DE4" w:rsidP="00902F04">
      <w:r>
        <w:t>The R</w:t>
      </w:r>
      <w:r w:rsidR="00750E9A">
        <w:t xml:space="preserve">eview </w:t>
      </w:r>
      <w:r>
        <w:t xml:space="preserve">considers there is value in </w:t>
      </w:r>
      <w:r w:rsidR="00750E9A">
        <w:t>acknowledging</w:t>
      </w:r>
      <w:r w:rsidR="00F404C4">
        <w:t xml:space="preserve"> the importance of a diverse and inclusive workforce and </w:t>
      </w:r>
      <w:r>
        <w:t>affirming the fostering of flexible work</w:t>
      </w:r>
      <w:r w:rsidR="00F404C4">
        <w:t>places as part of the employment principles</w:t>
      </w:r>
      <w:r w:rsidR="00657DDD">
        <w:t xml:space="preserve"> </w:t>
      </w:r>
      <w:r w:rsidR="00DB4D16">
        <w:t>to be developed as part of</w:t>
      </w:r>
      <w:r w:rsidR="00657DDD">
        <w:t xml:space="preserve"> </w:t>
      </w:r>
      <w:r w:rsidR="00F404C4">
        <w:t xml:space="preserve">Recommendation </w:t>
      </w:r>
      <w:r w:rsidR="00DB4D16">
        <w:t>9</w:t>
      </w:r>
      <w:r w:rsidR="00657DDD">
        <w:t>.</w:t>
      </w:r>
      <w:r w:rsidR="00301E13">
        <w:rPr>
          <w:rStyle w:val="FootnoteReference"/>
        </w:rPr>
        <w:footnoteReference w:id="156"/>
      </w:r>
      <w:r w:rsidR="00241F5D">
        <w:t xml:space="preserve"> </w:t>
      </w:r>
      <w:r w:rsidR="003756B2">
        <w:t>The principles should guide and inform the support and training provided by the OPSC.</w:t>
      </w:r>
    </w:p>
    <w:p w14:paraId="738B2144" w14:textId="77777777" w:rsidR="004014E2" w:rsidRDefault="004014E2" w:rsidP="004014E2">
      <w:pPr>
        <w:spacing w:after="160" w:line="259" w:lineRule="auto"/>
      </w:pPr>
      <w:r w:rsidRPr="00FD2869">
        <w:rPr>
          <w:i/>
        </w:rPr>
        <w:t>Support for skills development</w:t>
      </w:r>
    </w:p>
    <w:p w14:paraId="3866AD1E" w14:textId="77777777" w:rsidR="006F62BD" w:rsidRDefault="004014E2" w:rsidP="006F62BD">
      <w:pPr>
        <w:spacing w:after="160" w:line="259" w:lineRule="auto"/>
      </w:pPr>
      <w:r>
        <w:t>The Review</w:t>
      </w:r>
      <w:r w:rsidR="00445963">
        <w:t xml:space="preserve"> considers setting up an office for success involves </w:t>
      </w:r>
      <w:r w:rsidR="009A21F1">
        <w:t xml:space="preserve">parliamentary offices identifying </w:t>
      </w:r>
      <w:r w:rsidR="00445963">
        <w:t>professional development</w:t>
      </w:r>
      <w:r w:rsidR="009A21F1">
        <w:t xml:space="preserve"> needs of employees</w:t>
      </w:r>
      <w:r w:rsidR="00445963">
        <w:t xml:space="preserve">. This starts with </w:t>
      </w:r>
      <w:r>
        <w:t>identifying</w:t>
      </w:r>
      <w:r w:rsidR="00445963">
        <w:t xml:space="preserve"> </w:t>
      </w:r>
      <w:r>
        <w:t xml:space="preserve">any skills required </w:t>
      </w:r>
      <w:r w:rsidR="00445963">
        <w:t xml:space="preserve">for a </w:t>
      </w:r>
      <w:r>
        <w:t>role</w:t>
      </w:r>
      <w:r w:rsidR="00445963">
        <w:t>,</w:t>
      </w:r>
      <w:r>
        <w:t xml:space="preserve"> and then ensur</w:t>
      </w:r>
      <w:r w:rsidR="00445963">
        <w:t>ing</w:t>
      </w:r>
      <w:r>
        <w:t xml:space="preserve"> </w:t>
      </w:r>
      <w:r w:rsidR="009A21F1">
        <w:t>new employees either</w:t>
      </w:r>
      <w:r>
        <w:t xml:space="preserve"> have those skills </w:t>
      </w:r>
      <w:r w:rsidR="009A21F1">
        <w:t>or an</w:t>
      </w:r>
      <w:r>
        <w:t xml:space="preserve"> opportunity to develop </w:t>
      </w:r>
      <w:r w:rsidR="009A21F1">
        <w:t>them</w:t>
      </w:r>
      <w:r>
        <w:t xml:space="preserve"> through on-the-job training or formal training programs.</w:t>
      </w:r>
      <w:r w:rsidR="009A21F1">
        <w:t xml:space="preserve"> </w:t>
      </w:r>
      <w:r w:rsidR="006F62BD">
        <w:t>Professional development is ongoing and should be revisited at regular intervals.</w:t>
      </w:r>
    </w:p>
    <w:p w14:paraId="72FCA786" w14:textId="4697D6F7" w:rsidR="004014E2" w:rsidRDefault="009A21F1" w:rsidP="004014E2">
      <w:pPr>
        <w:spacing w:after="160" w:line="259" w:lineRule="auto"/>
      </w:pPr>
      <w:r>
        <w:t>The Review notes Dr Maley’s submission that</w:t>
      </w:r>
      <w:r w:rsidR="00C4168F">
        <w:t xml:space="preserve">, because of the </w:t>
      </w:r>
      <w:r>
        <w:t>relatively high turnover</w:t>
      </w:r>
      <w:r w:rsidR="00C4168F">
        <w:t>,</w:t>
      </w:r>
      <w:r>
        <w:t xml:space="preserve"> MoP(S) staff ‘…needs an ongoing program of training and induction’.</w:t>
      </w:r>
      <w:r w:rsidR="0086389A">
        <w:rPr>
          <w:rStyle w:val="FootnoteReference"/>
        </w:rPr>
        <w:footnoteReference w:id="157"/>
      </w:r>
      <w:r>
        <w:t xml:space="preserve"> The OPSC </w:t>
      </w:r>
      <w:r w:rsidR="00892E25">
        <w:t>will be best placed</w:t>
      </w:r>
      <w:r>
        <w:t xml:space="preserve"> to consider the common training needs across parliamentarians</w:t>
      </w:r>
      <w:r w:rsidR="00BF1670">
        <w:t>’</w:t>
      </w:r>
      <w:r>
        <w:t xml:space="preserve"> offices</w:t>
      </w:r>
      <w:r w:rsidR="0086389A">
        <w:t xml:space="preserve"> and lead such programs.</w:t>
      </w:r>
    </w:p>
    <w:p w14:paraId="62D89431" w14:textId="77777777" w:rsidR="00DC5CB8" w:rsidRDefault="00DC5CB8" w:rsidP="004014E2">
      <w:pPr>
        <w:spacing w:after="160" w:line="259" w:lineRule="auto"/>
      </w:pPr>
    </w:p>
    <w:p w14:paraId="79B73CB5" w14:textId="4F8BDC5B" w:rsidR="00657DDD" w:rsidRDefault="00AD5904" w:rsidP="00051BDA">
      <w:pPr>
        <w:pStyle w:val="Heading3"/>
      </w:pPr>
      <w:r>
        <w:t xml:space="preserve">4.2.3 </w:t>
      </w:r>
      <w:r w:rsidR="00657DDD">
        <w:t>Conclusion</w:t>
      </w:r>
    </w:p>
    <w:p w14:paraId="05A0D4BB" w14:textId="77777777" w:rsidR="00902F04" w:rsidRDefault="00902F04" w:rsidP="00902F04">
      <w:r>
        <w:t xml:space="preserve">A </w:t>
      </w:r>
      <w:r w:rsidRPr="00615EB8">
        <w:t xml:space="preserve">successful parliamentary office is one that can carry out its core tasks </w:t>
      </w:r>
      <w:r>
        <w:t xml:space="preserve">effectively and </w:t>
      </w:r>
      <w:r w:rsidRPr="00615EB8">
        <w:t>in a way that upholds rather than detracts from a supportive, respectful, and inclusive workplace culture</w:t>
      </w:r>
      <w:r>
        <w:t xml:space="preserve">. </w:t>
      </w:r>
    </w:p>
    <w:p w14:paraId="4FE26B83" w14:textId="597EF73A" w:rsidR="0002203F" w:rsidRDefault="00B3256F" w:rsidP="00B3256F">
      <w:r w:rsidRPr="00D4629C">
        <w:t>While the Review</w:t>
      </w:r>
      <w:r>
        <w:t xml:space="preserve"> emphasises the centrality of professionalising management practices to setting up parliamentary offices for success</w:t>
      </w:r>
      <w:r w:rsidR="000A572E">
        <w:t>.</w:t>
      </w:r>
      <w:r w:rsidR="000A572E" w:rsidRPr="000A572E">
        <w:t xml:space="preserve"> </w:t>
      </w:r>
      <w:r w:rsidR="000A572E">
        <w:t>MoP(S) Act employees should have a position description, understand their role (see Recommendat</w:t>
      </w:r>
      <w:r w:rsidR="0002203F">
        <w:t>ion 7)</w:t>
      </w:r>
      <w:r w:rsidR="000A572E">
        <w:t xml:space="preserve"> and ideally have support from an ‘office manager’ function</w:t>
      </w:r>
      <w:r w:rsidR="0002203F">
        <w:t>.</w:t>
      </w:r>
    </w:p>
    <w:p w14:paraId="5AEB5700" w14:textId="24A5FFAD" w:rsidR="00B3256F" w:rsidRDefault="0002203F" w:rsidP="00B3256F">
      <w:pPr>
        <w:rPr>
          <w:highlight w:val="yellow"/>
        </w:rPr>
      </w:pPr>
      <w:r>
        <w:t>T</w:t>
      </w:r>
      <w:r w:rsidR="00B3256F">
        <w:t>he Review also acknowledges there are limits in terms of what well</w:t>
      </w:r>
      <w:r w:rsidR="00B3256F">
        <w:noBreakHyphen/>
        <w:t>organised</w:t>
      </w:r>
      <w:r w:rsidR="00B3256F" w:rsidDel="002279E2">
        <w:t xml:space="preserve"> </w:t>
      </w:r>
      <w:r w:rsidR="00B3256F">
        <w:t>parliamentary offices can achieve</w:t>
      </w:r>
      <w:r>
        <w:t xml:space="preserve"> –</w:t>
      </w:r>
      <w:r w:rsidRPr="0002203F">
        <w:t xml:space="preserve"> structural issues can still pose challenges. </w:t>
      </w:r>
      <w:r w:rsidR="00B3256F">
        <w:t xml:space="preserve">The Review heard about the impact of issues like long and irregular work hours, misalignment of workloads and staffing numbers, inefficient work practices, inflexible work arrangements, and extensive travel on offices and MoP(S) </w:t>
      </w:r>
      <w:r w:rsidR="00955B68">
        <w:t>Act</w:t>
      </w:r>
      <w:r w:rsidR="00B3256F">
        <w:t xml:space="preserve"> employees. </w:t>
      </w:r>
      <w:r w:rsidR="00B3256F" w:rsidRPr="008B1DB8">
        <w:t xml:space="preserve">These issues are covered in </w:t>
      </w:r>
      <w:r w:rsidR="00B3256F">
        <w:t>S</w:t>
      </w:r>
      <w:r w:rsidR="00B3256F" w:rsidRPr="008B1DB8">
        <w:t>ection 3.4, which explores workplace resourcing including staff allocations</w:t>
      </w:r>
      <w:r w:rsidR="00B3256F">
        <w:t>.</w:t>
      </w:r>
    </w:p>
    <w:p w14:paraId="654C0888" w14:textId="77777777" w:rsidR="008E55B4" w:rsidRPr="00C26361" w:rsidRDefault="008E55B4" w:rsidP="00C26361">
      <w:pPr>
        <w:pStyle w:val="Lightshadebox"/>
        <w:rPr>
          <w:b/>
        </w:rPr>
      </w:pPr>
      <w:bookmarkStart w:id="3976" w:name="_Toc114240613"/>
      <w:bookmarkStart w:id="3977" w:name="_Toc114240687"/>
      <w:bookmarkStart w:id="3978" w:name="_Toc114241031"/>
      <w:bookmarkStart w:id="3979" w:name="_Toc104212782"/>
      <w:bookmarkStart w:id="3980" w:name="_Toc114230881"/>
      <w:bookmarkStart w:id="3981" w:name="_Toc114232938"/>
      <w:bookmarkStart w:id="3982" w:name="_Toc114233586"/>
      <w:bookmarkStart w:id="3983" w:name="_Toc114233658"/>
      <w:r w:rsidRPr="00C26361">
        <w:rPr>
          <w:b/>
        </w:rPr>
        <w:t>Findings to inform the work of OPSC</w:t>
      </w:r>
      <w:bookmarkEnd w:id="3976"/>
      <w:bookmarkEnd w:id="3977"/>
      <w:bookmarkEnd w:id="3978"/>
    </w:p>
    <w:p w14:paraId="07CFB633" w14:textId="42FED18B" w:rsidR="008E55B4" w:rsidRDefault="008E55B4" w:rsidP="00C26361">
      <w:pPr>
        <w:pStyle w:val="Lightshadebox"/>
      </w:pPr>
      <w:r>
        <w:t>The</w:t>
      </w:r>
      <w:r w:rsidRPr="00DC5DD8">
        <w:t xml:space="preserve"> OPSC, once established, </w:t>
      </w:r>
      <w:r w:rsidR="00793E7F">
        <w:t>will be</w:t>
      </w:r>
      <w:r w:rsidR="00793E7F" w:rsidRPr="00DC5DD8">
        <w:t xml:space="preserve"> </w:t>
      </w:r>
      <w:r w:rsidRPr="00DC5DD8">
        <w:t xml:space="preserve">positioned to further </w:t>
      </w:r>
      <w:r>
        <w:t xml:space="preserve">consider the following points where they intersect with </w:t>
      </w:r>
      <w:r w:rsidR="00C33418">
        <w:t>R</w:t>
      </w:r>
      <w:r>
        <w:t xml:space="preserve">ecommendations </w:t>
      </w:r>
      <w:r w:rsidR="00F26774">
        <w:t xml:space="preserve">12, 13 and 14 </w:t>
      </w:r>
      <w:r>
        <w:t xml:space="preserve">of </w:t>
      </w:r>
      <w:r w:rsidR="00AA3B05" w:rsidRPr="00AA3B05" w:rsidDel="00142173">
        <w:rPr>
          <w:i/>
        </w:rPr>
        <w:t>Set the Standard</w:t>
      </w:r>
      <w:r w:rsidR="00F26774">
        <w:t xml:space="preserve"> </w:t>
      </w:r>
      <w:r>
        <w:t>as well as support the recommendations of thi</w:t>
      </w:r>
      <w:r w:rsidR="00674115">
        <w:t>s</w:t>
      </w:r>
      <w:r>
        <w:t xml:space="preserve"> Review</w:t>
      </w:r>
      <w:r w:rsidR="00D15E41">
        <w:t xml:space="preserve"> to</w:t>
      </w:r>
      <w:r w:rsidRPr="00DC5DD8">
        <w:t xml:space="preserve">: </w:t>
      </w:r>
    </w:p>
    <w:p w14:paraId="49BB626E" w14:textId="72FB8E90" w:rsidR="00072F0B" w:rsidRDefault="00072F0B" w:rsidP="00C26361">
      <w:pPr>
        <w:pStyle w:val="Lightshadebox"/>
        <w:numPr>
          <w:ilvl w:val="0"/>
          <w:numId w:val="44"/>
        </w:numPr>
      </w:pPr>
      <w:r>
        <w:t>create best practice guidelines on how parliamentary offices can develop an organisational structure that includes guidance on delegating responsibility for critical office functions, such as HR and finance</w:t>
      </w:r>
    </w:p>
    <w:p w14:paraId="468D7D7F" w14:textId="77777777" w:rsidR="008E55B4" w:rsidRDefault="00CF5D3B" w:rsidP="00C26361">
      <w:pPr>
        <w:pStyle w:val="Lightshadebox"/>
        <w:numPr>
          <w:ilvl w:val="0"/>
          <w:numId w:val="44"/>
        </w:numPr>
      </w:pPr>
      <w:r>
        <w:t>promote</w:t>
      </w:r>
      <w:r w:rsidR="008E55B4">
        <w:t xml:space="preserve"> a shared understanding among parliamentary </w:t>
      </w:r>
      <w:r w:rsidR="00657DDD">
        <w:t>offices about</w:t>
      </w:r>
      <w:r w:rsidR="008E55B4">
        <w:t xml:space="preserve"> the appropriate skills and/or qualifications to be </w:t>
      </w:r>
      <w:r w:rsidR="00F26774">
        <w:t>a</w:t>
      </w:r>
      <w:r w:rsidR="00657DDD">
        <w:t>n ‘office manager’,</w:t>
      </w:r>
      <w:r w:rsidR="00F26774">
        <w:t xml:space="preserve"> </w:t>
      </w:r>
      <w:r w:rsidR="002C0D22">
        <w:t>HR</w:t>
      </w:r>
      <w:r w:rsidR="008E55B4">
        <w:t xml:space="preserve"> </w:t>
      </w:r>
      <w:r w:rsidR="00657DDD">
        <w:t xml:space="preserve">or financial </w:t>
      </w:r>
      <w:r w:rsidR="008E55B4">
        <w:t>delegate</w:t>
      </w:r>
    </w:p>
    <w:p w14:paraId="53C3A5E5" w14:textId="32B38598" w:rsidR="008E55B4" w:rsidRDefault="008E55B4" w:rsidP="00C26361">
      <w:pPr>
        <w:pStyle w:val="Lightshadebox"/>
        <w:numPr>
          <w:ilvl w:val="0"/>
          <w:numId w:val="44"/>
        </w:numPr>
      </w:pPr>
      <w:r>
        <w:t xml:space="preserve">consider targeted training for parliamentarians or </w:t>
      </w:r>
      <w:r w:rsidR="00122A67">
        <w:t>MoP</w:t>
      </w:r>
      <w:r>
        <w:t>(S)</w:t>
      </w:r>
      <w:r w:rsidR="008F6D9A">
        <w:t xml:space="preserve"> Act</w:t>
      </w:r>
      <w:r>
        <w:t xml:space="preserve"> </w:t>
      </w:r>
      <w:r w:rsidR="002D62B0">
        <w:t xml:space="preserve">employees </w:t>
      </w:r>
      <w:r>
        <w:t>carrying out employment functions to ensure awareness and compliance with applicable employment laws</w:t>
      </w:r>
      <w:r w:rsidR="00091FE0">
        <w:t>.</w:t>
      </w:r>
    </w:p>
    <w:p w14:paraId="401FA332" w14:textId="144EAA09" w:rsidR="0059489D" w:rsidRDefault="0059489D" w:rsidP="00C26361">
      <w:pPr>
        <w:pStyle w:val="Lightshadebox"/>
      </w:pPr>
      <w:r>
        <w:t>I</w:t>
      </w:r>
      <w:r w:rsidR="00674115">
        <w:t xml:space="preserve">n </w:t>
      </w:r>
      <w:r w:rsidR="00986E22">
        <w:t>line with</w:t>
      </w:r>
      <w:r w:rsidR="00301E13">
        <w:t xml:space="preserve"> </w:t>
      </w:r>
      <w:r w:rsidR="00674115">
        <w:t xml:space="preserve">Recommendation 11 of </w:t>
      </w:r>
      <w:r w:rsidR="00674115" w:rsidRPr="00E4063A">
        <w:rPr>
          <w:i/>
        </w:rPr>
        <w:t>Set the Standard</w:t>
      </w:r>
      <w:r w:rsidR="00091FE0">
        <w:t>,</w:t>
      </w:r>
      <w:r w:rsidR="00674115">
        <w:t xml:space="preserve"> </w:t>
      </w:r>
      <w:r>
        <w:t xml:space="preserve">OPSC should consider </w:t>
      </w:r>
      <w:r w:rsidR="00674115">
        <w:t xml:space="preserve">how the provision of </w:t>
      </w:r>
      <w:r w:rsidR="002C0D22">
        <w:t>HR</w:t>
      </w:r>
      <w:r w:rsidR="00674115">
        <w:t xml:space="preserve"> support and administrative functions could be informed by diversity, equality and inclusion principles. This could include </w:t>
      </w:r>
      <w:r>
        <w:t>consideration of:</w:t>
      </w:r>
    </w:p>
    <w:p w14:paraId="13C02D6B" w14:textId="147C80C8" w:rsidR="00674115" w:rsidRDefault="00674115" w:rsidP="00C26361">
      <w:pPr>
        <w:pStyle w:val="Lightshadebox"/>
        <w:numPr>
          <w:ilvl w:val="0"/>
          <w:numId w:val="45"/>
        </w:numPr>
      </w:pPr>
      <w:r>
        <w:t>providing parliamentarians with access to alternate employment pathways, like internship programs that focus on diversity groups, guidance on how to conduct affirmative action recruitment rounds, and connecting parliamentarians with Supply Nation certified recruitment services</w:t>
      </w:r>
    </w:p>
    <w:p w14:paraId="4E9B1293" w14:textId="1D6B2FD6" w:rsidR="00674115" w:rsidRDefault="00674115" w:rsidP="00C26361">
      <w:pPr>
        <w:pStyle w:val="Lightshadebox"/>
        <w:numPr>
          <w:ilvl w:val="0"/>
          <w:numId w:val="45"/>
        </w:numPr>
      </w:pPr>
      <w:r>
        <w:t xml:space="preserve">the development of </w:t>
      </w:r>
      <w:r w:rsidR="002C0D22">
        <w:t>HR</w:t>
      </w:r>
      <w:r>
        <w:t xml:space="preserve"> support material on managing flexible work </w:t>
      </w:r>
      <w:r w:rsidR="00986E22">
        <w:t xml:space="preserve">to support </w:t>
      </w:r>
      <w:r>
        <w:t>consistent application among offices</w:t>
      </w:r>
    </w:p>
    <w:p w14:paraId="2E246DCA" w14:textId="06B53FCE" w:rsidR="00674115" w:rsidRDefault="00072F0B" w:rsidP="00C26361">
      <w:pPr>
        <w:pStyle w:val="Lightshadebox"/>
        <w:numPr>
          <w:ilvl w:val="0"/>
          <w:numId w:val="45"/>
        </w:numPr>
      </w:pPr>
      <w:r>
        <w:t>inclusion of</w:t>
      </w:r>
      <w:r w:rsidR="00674115">
        <w:t xml:space="preserve"> diversity, equality and inclusion principles in its response to Recommendation 13 of </w:t>
      </w:r>
      <w:r w:rsidR="00674115" w:rsidRPr="00072F0B">
        <w:rPr>
          <w:i/>
        </w:rPr>
        <w:t>Set the Standard</w:t>
      </w:r>
      <w:r w:rsidR="00674115">
        <w:t xml:space="preserve"> including practical advice on the day-to-day operation of parliamentary</w:t>
      </w:r>
      <w:r w:rsidR="003756B2">
        <w:t xml:space="preserve"> office</w:t>
      </w:r>
      <w:r w:rsidR="00674115">
        <w:t xml:space="preserve">s, such as how to run inclusive recruitment processes, in the professional development program to be developed by OPSC for </w:t>
      </w:r>
      <w:r w:rsidR="00122A67">
        <w:t>MoP</w:t>
      </w:r>
      <w:r w:rsidR="00674115">
        <w:t xml:space="preserve">(S) Act </w:t>
      </w:r>
      <w:r w:rsidR="002D62B0">
        <w:t>employees</w:t>
      </w:r>
    </w:p>
    <w:p w14:paraId="4694B6CC" w14:textId="4CF121B9" w:rsidR="00674115" w:rsidRDefault="00674115" w:rsidP="00C26361">
      <w:pPr>
        <w:pStyle w:val="Lightshadebox"/>
        <w:numPr>
          <w:ilvl w:val="0"/>
          <w:numId w:val="45"/>
        </w:numPr>
      </w:pPr>
      <w:r>
        <w:t xml:space="preserve">membership to peak diversity and inclusion organisations to inform the delivery of Recommendation 14 of </w:t>
      </w:r>
      <w:r w:rsidRPr="006E4FAD">
        <w:t>Set the Standard</w:t>
      </w:r>
      <w:r>
        <w:t xml:space="preserve"> around</w:t>
      </w:r>
      <w:r w:rsidRPr="00674115">
        <w:t xml:space="preserve"> best</w:t>
      </w:r>
      <w:r w:rsidR="007A6693">
        <w:t xml:space="preserve"> </w:t>
      </w:r>
      <w:r w:rsidRPr="00674115">
        <w:t>practice training on respectful workplace behaviour</w:t>
      </w:r>
      <w:r w:rsidR="00986E22">
        <w:t xml:space="preserve"> and</w:t>
      </w:r>
      <w:r w:rsidRPr="00674115">
        <w:t xml:space="preserve"> inclusive leadership.</w:t>
      </w:r>
      <w:r>
        <w:t xml:space="preserve">  </w:t>
      </w:r>
    </w:p>
    <w:p w14:paraId="6CE86AB4" w14:textId="1235CB08" w:rsidR="00D76D54" w:rsidRDefault="003B1E6E" w:rsidP="00D76D54">
      <w:pPr>
        <w:pStyle w:val="Heading2"/>
      </w:pPr>
      <w:bookmarkStart w:id="3984" w:name="_Toc114240614"/>
      <w:bookmarkStart w:id="3985" w:name="_Toc114240688"/>
      <w:bookmarkStart w:id="3986" w:name="_Toc114241032"/>
      <w:bookmarkStart w:id="3987" w:name="_Toc114494054"/>
      <w:bookmarkStart w:id="3988" w:name="_Toc114500305"/>
      <w:bookmarkStart w:id="3989" w:name="_Toc114500380"/>
      <w:bookmarkStart w:id="3990" w:name="_Toc114518653"/>
      <w:bookmarkStart w:id="3991" w:name="_Toc114520325"/>
      <w:bookmarkStart w:id="3992" w:name="_Toc114520734"/>
      <w:bookmarkStart w:id="3993" w:name="_Toc114565762"/>
      <w:bookmarkStart w:id="3994" w:name="_Toc114566743"/>
      <w:bookmarkStart w:id="3995" w:name="_Toc114566968"/>
      <w:bookmarkStart w:id="3996" w:name="_Toc114566892"/>
      <w:bookmarkStart w:id="3997" w:name="_Toc114585893"/>
      <w:bookmarkStart w:id="3998" w:name="_Toc114586037"/>
      <w:bookmarkStart w:id="3999" w:name="_Toc114586109"/>
      <w:bookmarkStart w:id="4000" w:name="_Toc114601249"/>
      <w:bookmarkStart w:id="4001" w:name="_Toc114657290"/>
      <w:bookmarkStart w:id="4002" w:name="_Toc114659752"/>
      <w:bookmarkStart w:id="4003" w:name="_Toc114662737"/>
      <w:bookmarkStart w:id="4004" w:name="_Toc114665121"/>
      <w:bookmarkStart w:id="4005" w:name="_Toc114672430"/>
      <w:bookmarkStart w:id="4006" w:name="_Toc114672642"/>
      <w:bookmarkStart w:id="4007" w:name="_Toc114673197"/>
      <w:bookmarkStart w:id="4008" w:name="_Toc114673783"/>
      <w:bookmarkStart w:id="4009" w:name="_Toc114674308"/>
      <w:bookmarkStart w:id="4010" w:name="_Toc114687481"/>
      <w:bookmarkStart w:id="4011" w:name="_Toc114689945"/>
      <w:bookmarkStart w:id="4012" w:name="_Toc114731808"/>
      <w:bookmarkStart w:id="4013" w:name="_Toc114733573"/>
      <w:bookmarkStart w:id="4014" w:name="_Toc114735514"/>
      <w:bookmarkStart w:id="4015" w:name="_Toc114755842"/>
      <w:bookmarkStart w:id="4016" w:name="_Toc114757147"/>
      <w:bookmarkStart w:id="4017" w:name="_Toc114757431"/>
      <w:bookmarkStart w:id="4018" w:name="_Toc114757533"/>
      <w:bookmarkStart w:id="4019" w:name="_Toc114758206"/>
      <w:bookmarkStart w:id="4020" w:name="_Toc114824376"/>
      <w:bookmarkStart w:id="4021" w:name="_Toc114829452"/>
      <w:bookmarkStart w:id="4022" w:name="_Toc114829816"/>
      <w:bookmarkStart w:id="4023" w:name="_Toc114829783"/>
      <w:bookmarkStart w:id="4024" w:name="_Toc114829960"/>
      <w:bookmarkStart w:id="4025" w:name="_Toc115099039"/>
      <w:bookmarkStart w:id="4026" w:name="_Toc115099111"/>
      <w:bookmarkStart w:id="4027" w:name="_Toc115101688"/>
      <w:bookmarkStart w:id="4028" w:name="_Toc115102533"/>
      <w:bookmarkStart w:id="4029" w:name="_Toc115105506"/>
      <w:bookmarkStart w:id="4030" w:name="_Toc115110367"/>
      <w:bookmarkStart w:id="4031" w:name="_Toc115110494"/>
      <w:bookmarkStart w:id="4032" w:name="_Toc115121612"/>
      <w:bookmarkStart w:id="4033" w:name="_Toc115121982"/>
      <w:bookmarkStart w:id="4034" w:name="_Toc115123462"/>
      <w:bookmarkStart w:id="4035" w:name="_Toc115123710"/>
      <w:bookmarkStart w:id="4036" w:name="_Toc115126842"/>
      <w:bookmarkStart w:id="4037" w:name="_Toc115185479"/>
      <w:bookmarkStart w:id="4038" w:name="_Toc115186106"/>
      <w:bookmarkStart w:id="4039" w:name="_Toc115189264"/>
      <w:bookmarkStart w:id="4040" w:name="_Toc115194237"/>
      <w:bookmarkStart w:id="4041" w:name="_Toc115194974"/>
      <w:bookmarkStart w:id="4042" w:name="_Toc115196384"/>
      <w:bookmarkStart w:id="4043" w:name="_Toc115198885"/>
      <w:bookmarkStart w:id="4044" w:name="_Toc115208900"/>
      <w:bookmarkStart w:id="4045" w:name="_Toc115209036"/>
      <w:bookmarkStart w:id="4046" w:name="_Toc115210367"/>
      <w:bookmarkStart w:id="4047" w:name="_Toc115212592"/>
      <w:bookmarkStart w:id="4048" w:name="_Toc115213232"/>
      <w:bookmarkStart w:id="4049" w:name="_Toc115216730"/>
      <w:bookmarkStart w:id="4050" w:name="_Toc115270421"/>
      <w:bookmarkStart w:id="4051" w:name="_Toc115271364"/>
      <w:bookmarkStart w:id="4052" w:name="_Toc115272281"/>
      <w:bookmarkStart w:id="4053" w:name="_Toc115273451"/>
      <w:bookmarkStart w:id="4054" w:name="_Toc115273379"/>
      <w:bookmarkStart w:id="4055" w:name="_Toc115274632"/>
      <w:bookmarkStart w:id="4056" w:name="_Toc115274858"/>
      <w:bookmarkStart w:id="4057" w:name="_Toc115275215"/>
      <w:bookmarkStart w:id="4058" w:name="_Toc115275358"/>
      <w:bookmarkStart w:id="4059" w:name="_Toc115274195"/>
      <w:bookmarkStart w:id="4060" w:name="_Toc115274496"/>
      <w:bookmarkStart w:id="4061" w:name="_Toc115274564"/>
      <w:bookmarkStart w:id="4062" w:name="_Toc115274722"/>
      <w:bookmarkStart w:id="4063" w:name="_Toc115277456"/>
      <w:bookmarkStart w:id="4064" w:name="_Toc115277660"/>
      <w:bookmarkStart w:id="4065" w:name="_Toc115278549"/>
      <w:bookmarkStart w:id="4066" w:name="_Toc115278629"/>
      <w:bookmarkStart w:id="4067" w:name="_Toc115282299"/>
      <w:bookmarkStart w:id="4068" w:name="_Toc115284752"/>
      <w:bookmarkStart w:id="4069" w:name="_Toc115286844"/>
      <w:bookmarkStart w:id="4070" w:name="_Toc115294778"/>
      <w:bookmarkStart w:id="4071" w:name="_Toc115296358"/>
      <w:bookmarkStart w:id="4072" w:name="_Toc115308544"/>
      <w:bookmarkStart w:id="4073" w:name="_Toc115311196"/>
      <w:bookmarkStart w:id="4074" w:name="_Toc115312676"/>
      <w:bookmarkStart w:id="4075" w:name="_Toc115343850"/>
      <w:bookmarkStart w:id="4076" w:name="_Toc115348288"/>
      <w:bookmarkStart w:id="4077" w:name="_Toc115350386"/>
      <w:bookmarkStart w:id="4078" w:name="_Toc115353474"/>
      <w:bookmarkStart w:id="4079" w:name="_Toc115359505"/>
      <w:bookmarkStart w:id="4080" w:name="_Toc115361909"/>
      <w:bookmarkStart w:id="4081" w:name="_Toc115364302"/>
      <w:bookmarkStart w:id="4082" w:name="_Toc115365396"/>
      <w:bookmarkStart w:id="4083" w:name="_Toc115365668"/>
      <w:bookmarkStart w:id="4084" w:name="_Toc115365736"/>
      <w:bookmarkStart w:id="4085" w:name="_Toc115366200"/>
      <w:bookmarkStart w:id="4086" w:name="_Toc115368650"/>
      <w:bookmarkStart w:id="4087" w:name="_Toc115370090"/>
      <w:bookmarkStart w:id="4088" w:name="_Toc115370824"/>
      <w:bookmarkStart w:id="4089" w:name="_Toc115374396"/>
      <w:bookmarkStart w:id="4090" w:name="_Toc115378735"/>
      <w:bookmarkStart w:id="4091" w:name="_Toc115380967"/>
      <w:bookmarkStart w:id="4092" w:name="_Toc115384119"/>
      <w:bookmarkStart w:id="4093" w:name="_Toc115387348"/>
      <w:bookmarkStart w:id="4094" w:name="_Toc115388814"/>
      <w:bookmarkStart w:id="4095" w:name="_Toc115431452"/>
      <w:bookmarkStart w:id="4096" w:name="_Toc115432830"/>
      <w:bookmarkStart w:id="4097" w:name="_Toc115434401"/>
      <w:bookmarkStart w:id="4098" w:name="_Toc115434500"/>
      <w:bookmarkStart w:id="4099" w:name="_Toc115434569"/>
      <w:bookmarkStart w:id="4100" w:name="_Toc115434638"/>
      <w:bookmarkStart w:id="4101" w:name="_Toc115442808"/>
      <w:bookmarkStart w:id="4102" w:name="_Toc115446344"/>
      <w:bookmarkStart w:id="4103" w:name="_Toc115448051"/>
      <w:bookmarkStart w:id="4104" w:name="_Toc115449443"/>
      <w:bookmarkStart w:id="4105" w:name="_Toc115452463"/>
      <w:bookmarkStart w:id="4106" w:name="_Toc115455280"/>
      <w:bookmarkStart w:id="4107" w:name="_Toc115455346"/>
      <w:bookmarkStart w:id="4108" w:name="_Toc115457296"/>
      <w:bookmarkStart w:id="4109" w:name="_Toc115458132"/>
      <w:bookmarkStart w:id="4110" w:name="_Toc115948160"/>
      <w:bookmarkStart w:id="4111" w:name="_Toc115948607"/>
      <w:r>
        <w:t>4</w:t>
      </w:r>
      <w:r w:rsidR="00D76D54">
        <w:t xml:space="preserve">.3 </w:t>
      </w:r>
      <w:bookmarkEnd w:id="3979"/>
      <w:r w:rsidR="00D76D54">
        <w:t>Recruitment</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2B5268DD" w14:textId="77777777" w:rsidR="003B1E6E" w:rsidRDefault="007C453A" w:rsidP="003B1E6E">
      <w:r>
        <w:t xml:space="preserve">‘Merit’ </w:t>
      </w:r>
      <w:r w:rsidR="003B1E6E">
        <w:t xml:space="preserve">finds its roots in Anglo-French </w:t>
      </w:r>
      <w:r w:rsidR="003B1E6E" w:rsidRPr="004D1F74">
        <w:rPr>
          <w:i/>
        </w:rPr>
        <w:t>merite</w:t>
      </w:r>
      <w:r w:rsidR="003B1E6E">
        <w:t xml:space="preserve"> and Latin </w:t>
      </w:r>
      <w:r w:rsidR="003B1E6E" w:rsidRPr="004D1F74">
        <w:rPr>
          <w:i/>
        </w:rPr>
        <w:t>meritum</w:t>
      </w:r>
      <w:r w:rsidR="003B1E6E">
        <w:t xml:space="preserve">, meaning what is deserved, earned, </w:t>
      </w:r>
      <w:r w:rsidR="005B64E3">
        <w:t xml:space="preserve">a </w:t>
      </w:r>
      <w:r w:rsidR="003B1E6E">
        <w:t>due reward</w:t>
      </w:r>
      <w:r w:rsidR="005B64E3">
        <w:t xml:space="preserve"> or </w:t>
      </w:r>
      <w:r w:rsidR="003B1E6E">
        <w:t>justification.</w:t>
      </w:r>
      <w:r w:rsidR="003B1E6E">
        <w:rPr>
          <w:rStyle w:val="FootnoteReference"/>
        </w:rPr>
        <w:footnoteReference w:id="158"/>
      </w:r>
      <w:r>
        <w:t xml:space="preserve"> Merit</w:t>
      </w:r>
      <w:r w:rsidR="003B1E6E">
        <w:t xml:space="preserve"> recruitment is generally understood to involve a process</w:t>
      </w:r>
      <w:r w:rsidR="00F57258">
        <w:t xml:space="preserve"> of comparing candidate </w:t>
      </w:r>
      <w:r w:rsidR="003B1E6E">
        <w:t>skills, aptitude and experiences</w:t>
      </w:r>
      <w:r w:rsidR="00F57258">
        <w:t xml:space="preserve">, where </w:t>
      </w:r>
      <w:r w:rsidR="003B1E6E">
        <w:t xml:space="preserve">the most suitable </w:t>
      </w:r>
      <w:r w:rsidR="00DA259F">
        <w:t>candidate for the role receives</w:t>
      </w:r>
      <w:r w:rsidR="003B1E6E">
        <w:t xml:space="preserve"> an offer</w:t>
      </w:r>
      <w:r w:rsidR="00DA259F">
        <w:t xml:space="preserve"> of employment</w:t>
      </w:r>
      <w:r w:rsidR="003B1E6E">
        <w:t xml:space="preserve">. </w:t>
      </w:r>
      <w:r w:rsidR="00042D92">
        <w:t>A</w:t>
      </w:r>
      <w:r w:rsidR="003B1E6E">
        <w:t xml:space="preserve">n assessment </w:t>
      </w:r>
      <w:r w:rsidR="00042D92">
        <w:t xml:space="preserve">of </w:t>
      </w:r>
      <w:r w:rsidR="00D772A9">
        <w:t>a candidate</w:t>
      </w:r>
      <w:r w:rsidR="00042D92">
        <w:t xml:space="preserve"> against criteria is central to a merit process, </w:t>
      </w:r>
      <w:r w:rsidR="003B1E6E">
        <w:t>although there can</w:t>
      </w:r>
      <w:r>
        <w:t xml:space="preserve"> be various approache</w:t>
      </w:r>
      <w:r w:rsidR="00D772A9">
        <w:t>s to merit recruitment</w:t>
      </w:r>
      <w:r w:rsidR="003B1E6E" w:rsidRPr="000F59DE">
        <w:t>.</w:t>
      </w:r>
    </w:p>
    <w:p w14:paraId="138DA84D" w14:textId="77777777" w:rsidR="003B1E6E" w:rsidRDefault="003B1E6E" w:rsidP="003B1E6E">
      <w:r>
        <w:t xml:space="preserve">Merit is also contextual </w:t>
      </w:r>
      <w:r w:rsidR="00D772A9">
        <w:t xml:space="preserve">as </w:t>
      </w:r>
      <w:r>
        <w:t xml:space="preserve">it relates to a particular role, and work environment. </w:t>
      </w:r>
      <w:r w:rsidRPr="00C222C4">
        <w:t>Depending on the industry o</w:t>
      </w:r>
      <w:r>
        <w:t>r workplace, different</w:t>
      </w:r>
      <w:r w:rsidRPr="00C222C4">
        <w:t xml:space="preserve"> skills, attributes and experie</w:t>
      </w:r>
      <w:r>
        <w:t xml:space="preserve">nces matter most for </w:t>
      </w:r>
      <w:r w:rsidRPr="00C222C4">
        <w:t>a vacant role</w:t>
      </w:r>
      <w:r w:rsidDel="00E16EFB">
        <w:t>.</w:t>
      </w:r>
      <w:r>
        <w:t xml:space="preserve"> </w:t>
      </w:r>
    </w:p>
    <w:p w14:paraId="3C7E466C" w14:textId="77777777" w:rsidR="00126123" w:rsidRDefault="00126123" w:rsidP="003B1E6E"/>
    <w:p w14:paraId="53607CC4" w14:textId="7C6AEB35" w:rsidR="00D76D54" w:rsidRDefault="003B1E6E" w:rsidP="00051BDA">
      <w:pPr>
        <w:pStyle w:val="Heading3"/>
      </w:pPr>
      <w:r>
        <w:t xml:space="preserve">4.3.1 Current </w:t>
      </w:r>
      <w:r w:rsidR="00924811">
        <w:t>s</w:t>
      </w:r>
      <w:r>
        <w:t>ituation</w:t>
      </w:r>
    </w:p>
    <w:p w14:paraId="379F5BBF" w14:textId="77777777" w:rsidR="00B77ED3" w:rsidRDefault="00095A65" w:rsidP="00D76D54">
      <w:r>
        <w:t xml:space="preserve">MaPS provides </w:t>
      </w:r>
      <w:r w:rsidR="00827BFC">
        <w:t xml:space="preserve">website resources </w:t>
      </w:r>
      <w:r>
        <w:t>and policy and guidance a</w:t>
      </w:r>
      <w:r w:rsidR="000579DB">
        <w:t xml:space="preserve">bout recruitment as outlined in </w:t>
      </w:r>
      <w:r w:rsidR="000E375A">
        <w:t>S</w:t>
      </w:r>
      <w:r w:rsidR="000579DB">
        <w:t xml:space="preserve">ection </w:t>
      </w:r>
      <w:r>
        <w:t>4.2.1.</w:t>
      </w:r>
      <w:r w:rsidR="00B77ED3">
        <w:t xml:space="preserve"> </w:t>
      </w:r>
      <w:r w:rsidR="00A45048">
        <w:t xml:space="preserve"> </w:t>
      </w:r>
    </w:p>
    <w:p w14:paraId="778F817B" w14:textId="681B839E" w:rsidR="00D76D54" w:rsidRDefault="00D772A9" w:rsidP="00D76D54">
      <w:r>
        <w:t>T</w:t>
      </w:r>
      <w:r w:rsidR="00D76D54">
        <w:t xml:space="preserve">he Review </w:t>
      </w:r>
      <w:r w:rsidR="007C453A">
        <w:t>heard</w:t>
      </w:r>
      <w:r w:rsidR="00D76D54">
        <w:t xml:space="preserve"> that MaPS does not </w:t>
      </w:r>
      <w:r w:rsidR="00B77ED3">
        <w:t xml:space="preserve">proactively </w:t>
      </w:r>
      <w:r>
        <w:t>engage with</w:t>
      </w:r>
      <w:r w:rsidR="00D76D54">
        <w:t xml:space="preserve"> the recruitment process</w:t>
      </w:r>
      <w:r>
        <w:t>, beyond offering support resources on their website</w:t>
      </w:r>
      <w:r w:rsidR="00B77ED3">
        <w:t>. Rather,</w:t>
      </w:r>
      <w:r w:rsidR="00D76D54" w:rsidDel="00B04D35">
        <w:t xml:space="preserve"> </w:t>
      </w:r>
      <w:r>
        <w:t xml:space="preserve">a </w:t>
      </w:r>
      <w:r w:rsidR="00D76D54">
        <w:t>parliamentarian or their office</w:t>
      </w:r>
      <w:r w:rsidR="00B04D35">
        <w:t xml:space="preserve"> </w:t>
      </w:r>
      <w:r>
        <w:t>reach</w:t>
      </w:r>
      <w:r w:rsidR="0098641B">
        <w:t>es</w:t>
      </w:r>
      <w:r>
        <w:t xml:space="preserve"> out to MaPS for </w:t>
      </w:r>
      <w:r w:rsidR="00B04D35">
        <w:t>assistance</w:t>
      </w:r>
      <w:r w:rsidR="00D76D54">
        <w:t>. The voluntary nature of MaPS</w:t>
      </w:r>
      <w:r w:rsidR="0098641B">
        <w:t>’</w:t>
      </w:r>
      <w:r w:rsidR="00D76D54">
        <w:t xml:space="preserve"> guidance and involvement </w:t>
      </w:r>
      <w:r w:rsidR="00561209">
        <w:t>means</w:t>
      </w:r>
      <w:r w:rsidR="00D76D54">
        <w:t xml:space="preserve"> recruitment </w:t>
      </w:r>
      <w:r w:rsidR="00561209">
        <w:t>practices</w:t>
      </w:r>
      <w:r w:rsidR="00D76D54">
        <w:t xml:space="preserve"> differ between parliamentary offices. We heard some offices advertise roles, provide job descriptions and conduct interviews and reference che</w:t>
      </w:r>
      <w:r w:rsidR="00CB6417">
        <w:t xml:space="preserve">cks, whereas others relied </w:t>
      </w:r>
      <w:r w:rsidR="00D76D54">
        <w:t>heavily on word of mouth recommendations and talent identified within the pool of campaign volunteers.</w:t>
      </w:r>
    </w:p>
    <w:p w14:paraId="57673661" w14:textId="21A8CDBD" w:rsidR="00D76D54" w:rsidRDefault="00D772A9" w:rsidP="00D76D54">
      <w:r>
        <w:t>Some contributors</w:t>
      </w:r>
      <w:r w:rsidR="00D76D54">
        <w:t xml:space="preserve"> told the Review about parliamentarians hiring staff on account of their political connections, as favours to donors, or </w:t>
      </w:r>
      <w:r w:rsidR="002D2437">
        <w:t>personal connection</w:t>
      </w:r>
      <w:r w:rsidR="00561209">
        <w:t>s</w:t>
      </w:r>
      <w:r w:rsidR="00D76D54">
        <w:t xml:space="preserve">. </w:t>
      </w:r>
      <w:r w:rsidR="00CB6417">
        <w:t>The</w:t>
      </w:r>
      <w:r w:rsidR="007C453A">
        <w:t xml:space="preserve"> survey undertaken during the </w:t>
      </w:r>
      <w:r w:rsidR="00F23879">
        <w:t>Review</w:t>
      </w:r>
      <w:r w:rsidR="007C453A">
        <w:t xml:space="preserve"> suggested </w:t>
      </w:r>
      <w:r w:rsidR="00E51788">
        <w:t>that, while</w:t>
      </w:r>
      <w:r w:rsidR="007C453A">
        <w:t xml:space="preserve"> </w:t>
      </w:r>
      <w:r w:rsidR="00E51788">
        <w:t xml:space="preserve">respondents </w:t>
      </w:r>
      <w:r w:rsidR="00D76D54">
        <w:t xml:space="preserve">with employment powers </w:t>
      </w:r>
      <w:r w:rsidR="00E51788">
        <w:t xml:space="preserve">did </w:t>
      </w:r>
      <w:r w:rsidR="00D76D54">
        <w:t xml:space="preserve">recruit </w:t>
      </w:r>
      <w:r w:rsidR="00122A67">
        <w:t>MoP</w:t>
      </w:r>
      <w:r w:rsidR="00D76D54">
        <w:t xml:space="preserve">(S) </w:t>
      </w:r>
      <w:r w:rsidR="008F6D9A">
        <w:t xml:space="preserve">Act </w:t>
      </w:r>
      <w:r w:rsidR="002D62B0">
        <w:t>employees</w:t>
      </w:r>
      <w:r w:rsidR="00D76D54">
        <w:t xml:space="preserve"> using advertising </w:t>
      </w:r>
      <w:r w:rsidR="00E51788">
        <w:t xml:space="preserve">and </w:t>
      </w:r>
      <w:r w:rsidR="00D76D54">
        <w:t xml:space="preserve">via direct </w:t>
      </w:r>
      <w:r w:rsidR="00742AE8">
        <w:t>approaches</w:t>
      </w:r>
      <w:r w:rsidR="00D76D54">
        <w:t xml:space="preserve"> to their office</w:t>
      </w:r>
      <w:r w:rsidR="00E51788">
        <w:t xml:space="preserve">, they most </w:t>
      </w:r>
      <w:r w:rsidR="00F77D1A">
        <w:t>often</w:t>
      </w:r>
      <w:r w:rsidR="00E51788">
        <w:t xml:space="preserve"> recruited through</w:t>
      </w:r>
      <w:r w:rsidR="00D76D54">
        <w:t xml:space="preserve"> ‘word of mouth’ recommendations and contacting people directly about roles.</w:t>
      </w:r>
      <w:r w:rsidR="00D76D54">
        <w:rPr>
          <w:rStyle w:val="FootnoteReference"/>
        </w:rPr>
        <w:footnoteReference w:id="159"/>
      </w:r>
      <w:r w:rsidR="00D76D54">
        <w:t xml:space="preserve"> The </w:t>
      </w:r>
      <w:r w:rsidR="00CB6417">
        <w:t xml:space="preserve">survey </w:t>
      </w:r>
      <w:r w:rsidR="00D76D54">
        <w:t xml:space="preserve">responses </w:t>
      </w:r>
      <w:r w:rsidR="00E51788">
        <w:t xml:space="preserve">from MoP(S) employees </w:t>
      </w:r>
      <w:r w:rsidR="00CB6417">
        <w:t>are</w:t>
      </w:r>
      <w:r w:rsidR="00D76D54">
        <w:t xml:space="preserve"> consistent with this, indicating ‘word of mouth’ and being approached directly </w:t>
      </w:r>
      <w:r w:rsidR="00CB6417">
        <w:t>are</w:t>
      </w:r>
      <w:r w:rsidR="00D76D54">
        <w:t xml:space="preserve"> the most common ways they found out about their </w:t>
      </w:r>
      <w:r w:rsidR="00122A67">
        <w:t>MoP</w:t>
      </w:r>
      <w:r w:rsidR="00D76D54">
        <w:t>(S) position.</w:t>
      </w:r>
    </w:p>
    <w:p w14:paraId="63E998D6" w14:textId="0A8C02EB" w:rsidR="006F62BD" w:rsidRDefault="006F62BD" w:rsidP="00D76D54"/>
    <w:p w14:paraId="3858A080" w14:textId="63CBA7AE" w:rsidR="006F62BD" w:rsidRDefault="006F62BD" w:rsidP="00D76D54"/>
    <w:p w14:paraId="16ECAD1C" w14:textId="6DC8EFD7" w:rsidR="006F62BD" w:rsidRDefault="006F62BD" w:rsidP="00D76D54"/>
    <w:p w14:paraId="50A5EC49" w14:textId="77777777" w:rsidR="006F62BD" w:rsidRDefault="006F62BD" w:rsidP="00D76D54"/>
    <w:p w14:paraId="2562027C" w14:textId="77777777" w:rsidR="003077CB" w:rsidRDefault="003077CB" w:rsidP="004D5287">
      <w:pPr>
        <w:pStyle w:val="Figure"/>
      </w:pPr>
    </w:p>
    <w:p w14:paraId="12F32094" w14:textId="72BA1FE1" w:rsidR="00C76BB1" w:rsidRDefault="00A047B7" w:rsidP="00D76D54">
      <w:r>
        <w:rPr>
          <w:noProof/>
          <w:lang w:eastAsia="en-AU"/>
        </w:rPr>
        <w:drawing>
          <wp:inline distT="0" distB="0" distL="0" distR="0" wp14:anchorId="1B9260B8" wp14:editId="67EF5EF9">
            <wp:extent cx="6120130" cy="3382645"/>
            <wp:effectExtent l="0" t="0" r="0" b="0"/>
            <wp:docPr id="21" name="Picture 21" descr="This image is titled Survey results: How did you find out about your role? &#10;It sets out that 44 per cent of respondents were contacted about the role, 25 per cent word of mouth, 16 per cent I contacted the parliamentarian’s office, 13 per cent advertisement, 7 per cent through my employment in the Australian Public Service, 4 per cent other.&#10;" title="Survey results: How did you find out about you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PAct-Infographics-300922-F8-findoutaboutro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382645"/>
                    </a:xfrm>
                    <a:prstGeom prst="rect">
                      <a:avLst/>
                    </a:prstGeom>
                  </pic:spPr>
                </pic:pic>
              </a:graphicData>
            </a:graphic>
          </wp:inline>
        </w:drawing>
      </w:r>
    </w:p>
    <w:p w14:paraId="3C0624D7" w14:textId="77777777" w:rsidR="00D76D54" w:rsidRDefault="00D76D54" w:rsidP="00D76D54">
      <w:r>
        <w:t xml:space="preserve">The survey results </w:t>
      </w:r>
      <w:r w:rsidR="003077CB">
        <w:t>also</w:t>
      </w:r>
      <w:r>
        <w:t xml:space="preserve"> indicate </w:t>
      </w:r>
      <w:r w:rsidR="00122A67">
        <w:t>MoP</w:t>
      </w:r>
      <w:r>
        <w:t>(S)</w:t>
      </w:r>
      <w:r w:rsidR="002D62B0">
        <w:t xml:space="preserve"> Act</w:t>
      </w:r>
      <w:r>
        <w:t xml:space="preserve"> </w:t>
      </w:r>
      <w:r w:rsidR="002D62B0">
        <w:t>employees</w:t>
      </w:r>
      <w:r>
        <w:t xml:space="preserve"> perceive the capability of their</w:t>
      </w:r>
      <w:r w:rsidDel="00561209">
        <w:t xml:space="preserve"> </w:t>
      </w:r>
      <w:r>
        <w:t>colleagues to support</w:t>
      </w:r>
      <w:r w:rsidDel="00561209">
        <w:t xml:space="preserve"> </w:t>
      </w:r>
      <w:r>
        <w:t xml:space="preserve">parliamentarians </w:t>
      </w:r>
      <w:r w:rsidR="00561209">
        <w:t>to</w:t>
      </w:r>
      <w:r>
        <w:t xml:space="preserve"> carry out their functions could be better. </w:t>
      </w:r>
      <w:r w:rsidR="00095A65">
        <w:t>Forty</w:t>
      </w:r>
      <w:r>
        <w:t xml:space="preserve"> per cent of respondents </w:t>
      </w:r>
      <w:r w:rsidR="001D4C60">
        <w:t xml:space="preserve">agreed or strongly agreed </w:t>
      </w:r>
      <w:r>
        <w:t>their co-workers never or only sometimes have/had the necessary skills and expertise to perform their roles effectively.</w:t>
      </w:r>
      <w:r w:rsidR="007C453A">
        <w:t xml:space="preserve"> </w:t>
      </w:r>
      <w:r w:rsidR="00561209">
        <w:t xml:space="preserve">While the importance of factors like training and performance management to develop professional skills should not be overlooked, </w:t>
      </w:r>
      <w:r>
        <w:t xml:space="preserve">recruitment practices for </w:t>
      </w:r>
      <w:r w:rsidR="00122A67">
        <w:t>MoP</w:t>
      </w:r>
      <w:r>
        <w:t xml:space="preserve">(S) Act </w:t>
      </w:r>
      <w:r w:rsidR="002D62B0">
        <w:t>employees</w:t>
      </w:r>
      <w:r w:rsidDel="00561209">
        <w:t xml:space="preserve"> </w:t>
      </w:r>
      <w:r w:rsidR="00227812">
        <w:t xml:space="preserve">may not </w:t>
      </w:r>
      <w:r w:rsidR="00D70E56">
        <w:t xml:space="preserve">consistently </w:t>
      </w:r>
      <w:r>
        <w:t xml:space="preserve">support the </w:t>
      </w:r>
      <w:r w:rsidR="00227812">
        <w:t xml:space="preserve">engagement of </w:t>
      </w:r>
      <w:r>
        <w:t xml:space="preserve">suitable staff and high performance.  </w:t>
      </w:r>
    </w:p>
    <w:p w14:paraId="52C0251F" w14:textId="6E21EEA7" w:rsidR="00E749E0" w:rsidRDefault="00D76D54" w:rsidP="00D76D54">
      <w:r>
        <w:t xml:space="preserve">In addition to any impacts on the suitability of </w:t>
      </w:r>
      <w:r w:rsidR="00122A67">
        <w:t>MoP</w:t>
      </w:r>
      <w:r>
        <w:t xml:space="preserve">(S) </w:t>
      </w:r>
      <w:r w:rsidR="00955B68">
        <w:t>Act</w:t>
      </w:r>
      <w:r>
        <w:t xml:space="preserve"> employees, the Review notes the </w:t>
      </w:r>
      <w:r w:rsidR="00025146">
        <w:rPr>
          <w:i/>
        </w:rPr>
        <w:t>Set the Standard</w:t>
      </w:r>
      <w:r>
        <w:t xml:space="preserve"> finding </w:t>
      </w:r>
      <w:r w:rsidR="007C453A">
        <w:t xml:space="preserve">that </w:t>
      </w:r>
      <w:r w:rsidR="00BD4B81">
        <w:t>current</w:t>
      </w:r>
      <w:r>
        <w:t xml:space="preserve"> recruitment practices impact on perceptions of fairness and transparency among </w:t>
      </w:r>
      <w:r w:rsidR="00122A67">
        <w:t>MoP</w:t>
      </w:r>
      <w:r w:rsidR="00D3470E">
        <w:t>(</w:t>
      </w:r>
      <w:r>
        <w:t>S</w:t>
      </w:r>
      <w:r w:rsidR="00D3470E">
        <w:t>)</w:t>
      </w:r>
      <w:r w:rsidR="002D62B0">
        <w:t xml:space="preserve"> Act employees</w:t>
      </w:r>
      <w:r>
        <w:rPr>
          <w:rStyle w:val="FootnoteReference"/>
        </w:rPr>
        <w:footnoteReference w:id="160"/>
      </w:r>
      <w:r>
        <w:t xml:space="preserve">. </w:t>
      </w:r>
      <w:r w:rsidR="009B69E5">
        <w:t>Current recruitment</w:t>
      </w:r>
      <w:r>
        <w:t xml:space="preserve"> practices w</w:t>
      </w:r>
      <w:r w:rsidR="00BD4B81">
        <w:t>ere</w:t>
      </w:r>
      <w:r>
        <w:t xml:space="preserve"> also identified in </w:t>
      </w:r>
      <w:r w:rsidR="00025146" w:rsidRPr="00025146">
        <w:rPr>
          <w:i/>
        </w:rPr>
        <w:t>Set the Standard</w:t>
      </w:r>
      <w:r>
        <w:t xml:space="preserve"> as a driver and risk factor for workplace bullying, sexual harassment, and sexual assault</w:t>
      </w:r>
      <w:r>
        <w:rPr>
          <w:rStyle w:val="FootnoteReference"/>
        </w:rPr>
        <w:footnoteReference w:id="161"/>
      </w:r>
      <w:r w:rsidR="007C453A">
        <w:t>.</w:t>
      </w:r>
    </w:p>
    <w:p w14:paraId="773D7515" w14:textId="3E609CDE" w:rsidR="007C453A" w:rsidRPr="00B35C9F" w:rsidRDefault="006A6A43" w:rsidP="000C3C50">
      <w:pPr>
        <w:rPr>
          <w:i/>
        </w:rPr>
      </w:pPr>
      <w:r w:rsidRPr="000C3C50">
        <w:rPr>
          <w:i/>
        </w:rPr>
        <w:t>What we heard</w:t>
      </w:r>
    </w:p>
    <w:p w14:paraId="0BC1971A" w14:textId="77777777" w:rsidR="00D70E56" w:rsidRDefault="00D76D54" w:rsidP="00DC2A95">
      <w:pPr>
        <w:spacing w:after="160" w:line="259" w:lineRule="auto"/>
      </w:pPr>
      <w:r>
        <w:t xml:space="preserve">The </w:t>
      </w:r>
      <w:r w:rsidR="00167623">
        <w:t>Review heard</w:t>
      </w:r>
      <w:r>
        <w:t xml:space="preserve"> </w:t>
      </w:r>
      <w:r w:rsidR="00167623">
        <w:t xml:space="preserve">mixed </w:t>
      </w:r>
      <w:r>
        <w:t xml:space="preserve">support for </w:t>
      </w:r>
      <w:r w:rsidR="00167623">
        <w:t xml:space="preserve">introducing </w:t>
      </w:r>
      <w:r w:rsidR="002C3622">
        <w:t>a merit</w:t>
      </w:r>
      <w:r>
        <w:t xml:space="preserve"> recruitment model for </w:t>
      </w:r>
      <w:r w:rsidR="00122A67">
        <w:t>MoP</w:t>
      </w:r>
      <w:r>
        <w:t xml:space="preserve">(S) </w:t>
      </w:r>
      <w:r w:rsidR="002D62B0">
        <w:t>Act employees</w:t>
      </w:r>
      <w:r>
        <w:t xml:space="preserve">. </w:t>
      </w:r>
    </w:p>
    <w:p w14:paraId="230BA220" w14:textId="1D3E133D" w:rsidR="00D76D54" w:rsidRDefault="00167623" w:rsidP="00DC2A95">
      <w:pPr>
        <w:spacing w:after="160" w:line="259" w:lineRule="auto"/>
      </w:pPr>
      <w:r>
        <w:t>W</w:t>
      </w:r>
      <w:r w:rsidR="00D76D54">
        <w:t xml:space="preserve">e heard frequently from </w:t>
      </w:r>
      <w:r w:rsidR="00D772A9">
        <w:t>contributor</w:t>
      </w:r>
      <w:r w:rsidR="00D76D54">
        <w:t>s</w:t>
      </w:r>
      <w:r w:rsidR="00227812">
        <w:t xml:space="preserve"> about the need for </w:t>
      </w:r>
      <w:r>
        <w:t>greater</w:t>
      </w:r>
      <w:r w:rsidR="00227812">
        <w:t xml:space="preserve"> transparency in recruitment</w:t>
      </w:r>
      <w:r>
        <w:t xml:space="preserve"> </w:t>
      </w:r>
      <w:r w:rsidR="00892E25">
        <w:t>processes</w:t>
      </w:r>
      <w:r w:rsidR="00DC2A95">
        <w:t>.</w:t>
      </w:r>
      <w:r>
        <w:t xml:space="preserve"> </w:t>
      </w:r>
      <w:r w:rsidR="00CB6417">
        <w:t>We</w:t>
      </w:r>
      <w:r w:rsidR="00D70E56">
        <w:t xml:space="preserve"> </w:t>
      </w:r>
      <w:r w:rsidR="000579DB">
        <w:t xml:space="preserve">also </w:t>
      </w:r>
      <w:r w:rsidR="00986E22">
        <w:t xml:space="preserve">often </w:t>
      </w:r>
      <w:r w:rsidR="000579DB">
        <w:t>heard</w:t>
      </w:r>
      <w:r w:rsidR="000579DB" w:rsidDel="00986E22">
        <w:t xml:space="preserve"> </w:t>
      </w:r>
      <w:r w:rsidR="00986E22">
        <w:t xml:space="preserve">about </w:t>
      </w:r>
      <w:r>
        <w:t>the need</w:t>
      </w:r>
      <w:r w:rsidR="00D76D54">
        <w:t xml:space="preserve"> </w:t>
      </w:r>
      <w:r w:rsidR="00D70E56">
        <w:t xml:space="preserve">for MoP(S) recruitment </w:t>
      </w:r>
      <w:r w:rsidR="00D76D54">
        <w:t>to elevate the weighting given to knowledge, skills, experience and attributes</w:t>
      </w:r>
      <w:r w:rsidR="00D70E56">
        <w:t xml:space="preserve"> when considering the </w:t>
      </w:r>
      <w:r w:rsidR="00D76D54">
        <w:t>suitability of an individual for a role.</w:t>
      </w:r>
    </w:p>
    <w:p w14:paraId="7174D4BD" w14:textId="77777777" w:rsidR="00183A30" w:rsidRPr="00183A30" w:rsidRDefault="00183A30" w:rsidP="00183A30">
      <w:pPr>
        <w:spacing w:after="160" w:line="259" w:lineRule="auto"/>
      </w:pPr>
    </w:p>
    <w:p w14:paraId="3536CDF2" w14:textId="77777777" w:rsidR="0043250A" w:rsidRDefault="00D70E56" w:rsidP="00D76D54">
      <w:pPr>
        <w:spacing w:after="160" w:line="259" w:lineRule="auto"/>
      </w:pPr>
      <w:r>
        <w:t>S</w:t>
      </w:r>
      <w:r w:rsidR="00227812">
        <w:t xml:space="preserve">ome </w:t>
      </w:r>
      <w:r w:rsidR="00D772A9">
        <w:t>contributor</w:t>
      </w:r>
      <w:r w:rsidR="002C3622">
        <w:t>s</w:t>
      </w:r>
      <w:r>
        <w:t xml:space="preserve"> </w:t>
      </w:r>
      <w:r w:rsidR="002C3622">
        <w:t>expressed</w:t>
      </w:r>
      <w:r w:rsidR="00D76D54">
        <w:t xml:space="preserve"> </w:t>
      </w:r>
      <w:r w:rsidR="0043250A">
        <w:t>particular concerns about:</w:t>
      </w:r>
    </w:p>
    <w:p w14:paraId="12878513" w14:textId="77777777" w:rsidR="0043250A" w:rsidRDefault="00D76D54" w:rsidP="001F4E6F">
      <w:pPr>
        <w:pStyle w:val="BulletedList-Level1"/>
      </w:pPr>
      <w:r>
        <w:t>‘politically motivated’ appointments into critical roles and the knock-on impact on office if that person is not suitable for the role</w:t>
      </w:r>
    </w:p>
    <w:p w14:paraId="7408DA4E" w14:textId="77777777" w:rsidR="0043250A" w:rsidRDefault="00D76D54" w:rsidP="001F4E6F">
      <w:pPr>
        <w:pStyle w:val="BulletedList-Level1"/>
      </w:pPr>
      <w:r>
        <w:t>recruitment of more junior, but more politically influential staff, having greater influence over decision</w:t>
      </w:r>
      <w:r w:rsidR="00DF730D">
        <w:t>-</w:t>
      </w:r>
      <w:r>
        <w:t>making than experienced advisers</w:t>
      </w:r>
    </w:p>
    <w:p w14:paraId="12ABC937" w14:textId="77777777" w:rsidR="0043250A" w:rsidRDefault="00D76D54" w:rsidP="001F4E6F">
      <w:pPr>
        <w:pStyle w:val="BulletedList-Level1"/>
      </w:pPr>
      <w:r w:rsidRPr="005F32A4">
        <w:t xml:space="preserve">relatively inexperienced people </w:t>
      </w:r>
      <w:r>
        <w:t>being engaged</w:t>
      </w:r>
      <w:r w:rsidR="00CB6417">
        <w:t xml:space="preserve"> as MoP(S) </w:t>
      </w:r>
      <w:r w:rsidR="00390358">
        <w:t>Act</w:t>
      </w:r>
      <w:r w:rsidR="00CB6417">
        <w:t xml:space="preserve"> employees</w:t>
      </w:r>
      <w:r w:rsidR="0043250A">
        <w:t xml:space="preserve"> (t</w:t>
      </w:r>
      <w:r w:rsidR="00D70E56">
        <w:t xml:space="preserve">hese employees were perceived to be </w:t>
      </w:r>
      <w:r w:rsidRPr="005F32A4">
        <w:t>vulnerabl</w:t>
      </w:r>
      <w:r w:rsidR="00CB6417">
        <w:t>e</w:t>
      </w:r>
      <w:r w:rsidRPr="005F32A4">
        <w:t xml:space="preserve"> </w:t>
      </w:r>
      <w:r w:rsidR="00D70E56">
        <w:t>when placed in</w:t>
      </w:r>
      <w:r>
        <w:t xml:space="preserve"> high pressure environment</w:t>
      </w:r>
      <w:r w:rsidR="00CB6417">
        <w:t xml:space="preserve">s with unclear </w:t>
      </w:r>
      <w:r w:rsidRPr="005F32A4">
        <w:t>workplace expectations</w:t>
      </w:r>
      <w:r w:rsidR="00CB6417">
        <w:t xml:space="preserve"> and a</w:t>
      </w:r>
      <w:r w:rsidRPr="005F32A4">
        <w:t xml:space="preserve"> power imbalance </w:t>
      </w:r>
      <w:r w:rsidR="00CB6417">
        <w:t xml:space="preserve">with </w:t>
      </w:r>
      <w:r>
        <w:t>more experienced</w:t>
      </w:r>
      <w:r w:rsidRPr="005F32A4">
        <w:t xml:space="preserve"> staff and </w:t>
      </w:r>
      <w:r>
        <w:t>parliamentarians</w:t>
      </w:r>
      <w:r w:rsidR="0043250A">
        <w:t>)</w:t>
      </w:r>
      <w:r w:rsidR="0043250A" w:rsidRPr="009D4CFA">
        <w:rPr>
          <w:rStyle w:val="FootnoteReference"/>
          <w:sz w:val="20"/>
          <w:szCs w:val="20"/>
        </w:rPr>
        <w:footnoteReference w:id="162"/>
      </w:r>
    </w:p>
    <w:p w14:paraId="63530597" w14:textId="77777777" w:rsidR="00E173E7" w:rsidRDefault="00E173E7" w:rsidP="00D76D54">
      <w:pPr>
        <w:spacing w:after="160" w:line="259" w:lineRule="auto"/>
      </w:pPr>
      <w:r>
        <w:t xml:space="preserve">In the survey conducted by the Review, the following result </w:t>
      </w:r>
      <w:r w:rsidR="00760610">
        <w:t xml:space="preserve">was reached </w:t>
      </w:r>
      <w:r>
        <w:t>on the question of whether MoP(S)</w:t>
      </w:r>
      <w:r w:rsidR="00760610">
        <w:t xml:space="preserve"> Act employees are employed on merit:</w:t>
      </w:r>
    </w:p>
    <w:p w14:paraId="62F5B6E9" w14:textId="77777777" w:rsidR="004D5287" w:rsidRDefault="004D5287" w:rsidP="004D5287">
      <w:pPr>
        <w:pStyle w:val="Figure"/>
      </w:pPr>
    </w:p>
    <w:p w14:paraId="2CA590E4" w14:textId="696601D5" w:rsidR="00760610" w:rsidRDefault="00A047B7" w:rsidP="00D76D54">
      <w:pPr>
        <w:spacing w:after="160" w:line="259" w:lineRule="auto"/>
      </w:pPr>
      <w:r>
        <w:rPr>
          <w:noProof/>
          <w:lang w:eastAsia="en-AU"/>
        </w:rPr>
        <w:drawing>
          <wp:inline distT="0" distB="0" distL="0" distR="0" wp14:anchorId="5C536B98" wp14:editId="4364BD3A">
            <wp:extent cx="6120130" cy="1473835"/>
            <wp:effectExtent l="0" t="0" r="0" b="0"/>
            <wp:docPr id="24" name="Picture 24" descr="This image is titled Survey result: MoP(S) Act employees are employed based on merit. It sets out that 53 per cent disagreed or strongly disagreed with this statement, 16 per cent neither agreed nor disagreed, 32 per cent agreed or strongly agreed." title="Survey result: MoP(S) Act employees are employed based on m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PAct-Infographics-300922-F9-surveyrespon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1473835"/>
                    </a:xfrm>
                    <a:prstGeom prst="rect">
                      <a:avLst/>
                    </a:prstGeom>
                  </pic:spPr>
                </pic:pic>
              </a:graphicData>
            </a:graphic>
          </wp:inline>
        </w:drawing>
      </w:r>
    </w:p>
    <w:p w14:paraId="3FC6FDA7" w14:textId="3E26B6AF" w:rsidR="00D76D54" w:rsidRPr="000F73C8" w:rsidRDefault="00760610" w:rsidP="00D76D54">
      <w:pPr>
        <w:spacing w:after="160" w:line="259" w:lineRule="auto"/>
        <w:rPr>
          <w:i/>
        </w:rPr>
      </w:pPr>
      <w:r>
        <w:t>I</w:t>
      </w:r>
      <w:r w:rsidR="00112CB3">
        <w:t>n support of a merit</w:t>
      </w:r>
      <w:r w:rsidR="00D76D54">
        <w:t xml:space="preserve"> requirement, </w:t>
      </w:r>
      <w:r w:rsidR="0043250A">
        <w:t>we heard</w:t>
      </w:r>
      <w:r w:rsidR="00D76D54">
        <w:t xml:space="preserve"> recruitment should be looked at as a main channel for </w:t>
      </w:r>
      <w:r w:rsidR="00892E25">
        <w:t>improving the diversity of</w:t>
      </w:r>
      <w:r w:rsidR="00D76D54">
        <w:t xml:space="preserve"> the </w:t>
      </w:r>
      <w:r w:rsidR="00122A67">
        <w:t>MoP</w:t>
      </w:r>
      <w:r w:rsidR="00D76D54">
        <w:t xml:space="preserve">(S) Act workforce, and </w:t>
      </w:r>
      <w:r w:rsidR="00892E25">
        <w:t>making sure</w:t>
      </w:r>
      <w:r w:rsidR="00D76D54">
        <w:t xml:space="preserve"> the knowledge and experience base in </w:t>
      </w:r>
      <w:r w:rsidR="00940444">
        <w:t xml:space="preserve">Commonwealth </w:t>
      </w:r>
      <w:r w:rsidR="008034D1">
        <w:t>parliamentary</w:t>
      </w:r>
      <w:r w:rsidR="00D76D54">
        <w:t xml:space="preserve"> workplaces better reflect</w:t>
      </w:r>
      <w:r w:rsidR="00892E25">
        <w:t>s</w:t>
      </w:r>
      <w:r w:rsidR="00D76D54">
        <w:t xml:space="preserve"> the public it ultimately serves.</w:t>
      </w:r>
    </w:p>
    <w:p w14:paraId="4FFDBCD9" w14:textId="77777777" w:rsidR="00D76D54" w:rsidRDefault="0043250A" w:rsidP="00D76D54">
      <w:r>
        <w:t>Contributors to the Review also shared views</w:t>
      </w:r>
      <w:r w:rsidR="002C3622">
        <w:t xml:space="preserve"> against the use of merit</w:t>
      </w:r>
      <w:r w:rsidR="00D76D54">
        <w:t xml:space="preserve"> recruitment on the basis:</w:t>
      </w:r>
    </w:p>
    <w:p w14:paraId="54429EC2" w14:textId="77777777" w:rsidR="00D76D54" w:rsidRPr="000524F4" w:rsidRDefault="00D76D54" w:rsidP="00112CB3">
      <w:pPr>
        <w:pStyle w:val="BulletedList-Level1"/>
      </w:pPr>
      <w:r w:rsidRPr="000524F4">
        <w:t>APS</w:t>
      </w:r>
      <w:r>
        <w:t>-style</w:t>
      </w:r>
      <w:r w:rsidRPr="000524F4">
        <w:t xml:space="preserve"> </w:t>
      </w:r>
      <w:r w:rsidR="004C692F">
        <w:t>merit</w:t>
      </w:r>
      <w:r w:rsidRPr="000524F4">
        <w:t xml:space="preserve"> recruitment </w:t>
      </w:r>
      <w:r>
        <w:t>is</w:t>
      </w:r>
      <w:r w:rsidRPr="000524F4">
        <w:t xml:space="preserve"> inappropriate for </w:t>
      </w:r>
      <w:r w:rsidR="00122A67">
        <w:t>MoP</w:t>
      </w:r>
      <w:r w:rsidRPr="000524F4">
        <w:t xml:space="preserve">(S) </w:t>
      </w:r>
      <w:r w:rsidR="002D62B0">
        <w:t>Act employment</w:t>
      </w:r>
      <w:r>
        <w:t xml:space="preserve">, as these are two distinct operating environments and the </w:t>
      </w:r>
      <w:r w:rsidR="002D62B0">
        <w:t>employees</w:t>
      </w:r>
      <w:r>
        <w:t xml:space="preserve"> in each fulfil their roles within different political realities and expectations   </w:t>
      </w:r>
    </w:p>
    <w:p w14:paraId="1AD14EB9" w14:textId="2101D917" w:rsidR="00D76D54" w:rsidRPr="000F73C8" w:rsidRDefault="00A52A44" w:rsidP="00112CB3">
      <w:pPr>
        <w:pStyle w:val="BulletedList-Level1"/>
        <w:rPr>
          <w:i/>
        </w:rPr>
      </w:pPr>
      <w:r>
        <w:t>a</w:t>
      </w:r>
      <w:r w:rsidR="00D76D54">
        <w:t xml:space="preserve">ny formalisation of merit in the recruitment process for MoP(S) </w:t>
      </w:r>
      <w:r w:rsidR="002D62B0">
        <w:t>Act employees</w:t>
      </w:r>
      <w:r w:rsidR="00D76D54">
        <w:t xml:space="preserve"> needs to be balanced with the need for </w:t>
      </w:r>
      <w:r w:rsidR="002D62B0">
        <w:t>parliamentarians</w:t>
      </w:r>
      <w:r w:rsidR="00D76D54">
        <w:t xml:space="preserve"> to exercise discretion</w:t>
      </w:r>
      <w:r w:rsidR="002D62B0">
        <w:t xml:space="preserve"> </w:t>
      </w:r>
      <w:r w:rsidR="005F6EF5" w:rsidRPr="005F6EF5">
        <w:t>on who works</w:t>
      </w:r>
      <w:r w:rsidR="002D62B0" w:rsidRPr="005F6EF5">
        <w:t xml:space="preserve"> in</w:t>
      </w:r>
      <w:r w:rsidR="002D62B0">
        <w:t xml:space="preserve"> their office</w:t>
      </w:r>
    </w:p>
    <w:p w14:paraId="6AC5C54E" w14:textId="77777777" w:rsidR="00D76D54" w:rsidRPr="000F73C8" w:rsidRDefault="00A52A44" w:rsidP="00112CB3">
      <w:pPr>
        <w:pStyle w:val="BulletedList-Level1"/>
        <w:rPr>
          <w:i/>
        </w:rPr>
      </w:pPr>
      <w:r>
        <w:t>t</w:t>
      </w:r>
      <w:r w:rsidR="00D76D54">
        <w:t xml:space="preserve">oo much bureaucracy will not </w:t>
      </w:r>
      <w:r w:rsidR="00F63B97">
        <w:t>be</w:t>
      </w:r>
      <w:r w:rsidR="00D76D54">
        <w:t xml:space="preserve"> time sensitive to parliamentarians’ operating environment.   </w:t>
      </w:r>
    </w:p>
    <w:p w14:paraId="402F20B8" w14:textId="77777777" w:rsidR="00D76D54" w:rsidRDefault="00D76D54" w:rsidP="00D76D54">
      <w:pPr>
        <w:spacing w:after="160" w:line="259" w:lineRule="auto"/>
      </w:pPr>
      <w:r>
        <w:t>We heard about the importance of being able to make fast decisions, including the need</w:t>
      </w:r>
      <w:r w:rsidRPr="00792DF1">
        <w:t xml:space="preserve"> to recruit </w:t>
      </w:r>
      <w:r>
        <w:t xml:space="preserve">or terminate </w:t>
      </w:r>
      <w:r w:rsidRPr="00792DF1">
        <w:t>staff quickly</w:t>
      </w:r>
      <w:r>
        <w:t xml:space="preserve"> depending on the outcome of an election or ministerial reshuffle. In such circumstances, </w:t>
      </w:r>
      <w:r w:rsidR="000579DB">
        <w:t>ma</w:t>
      </w:r>
      <w:r w:rsidR="00A52A44">
        <w:t>n</w:t>
      </w:r>
      <w:r w:rsidR="000579DB">
        <w:t xml:space="preserve">y contributors perceived </w:t>
      </w:r>
      <w:r>
        <w:t>a</w:t>
      </w:r>
      <w:r w:rsidRPr="00792DF1">
        <w:t xml:space="preserve"> m</w:t>
      </w:r>
      <w:r>
        <w:t>erit-based recruitmen</w:t>
      </w:r>
      <w:r w:rsidR="000579DB">
        <w:t>t process</w:t>
      </w:r>
      <w:r>
        <w:t xml:space="preserve"> to be</w:t>
      </w:r>
      <w:r w:rsidR="0043250A">
        <w:t xml:space="preserve"> </w:t>
      </w:r>
      <w:r>
        <w:t>slow and not fit for purpose</w:t>
      </w:r>
      <w:r w:rsidRPr="00792DF1">
        <w:t xml:space="preserve">. </w:t>
      </w:r>
      <w:r w:rsidRPr="005F32A4">
        <w:t xml:space="preserve">As one </w:t>
      </w:r>
      <w:r w:rsidR="00D772A9">
        <w:t>contributor</w:t>
      </w:r>
      <w:r w:rsidRPr="005F32A4">
        <w:t xml:space="preserve"> </w:t>
      </w:r>
      <w:r>
        <w:t>noted</w:t>
      </w:r>
      <w:r w:rsidRPr="005F32A4">
        <w:t xml:space="preserve">: </w:t>
      </w:r>
      <w:r w:rsidR="000C2948">
        <w:t>‘</w:t>
      </w:r>
      <w:r w:rsidRPr="005F32A4">
        <w:t>someone has to be in the office to answer the phone from day one</w:t>
      </w:r>
      <w:r w:rsidR="000C2948">
        <w:t>.’</w:t>
      </w:r>
    </w:p>
    <w:p w14:paraId="6B071586" w14:textId="1BDF3CAA" w:rsidR="00D76D54" w:rsidRPr="008909E9" w:rsidRDefault="00D772A9" w:rsidP="00D76D54">
      <w:pPr>
        <w:spacing w:after="160" w:line="259" w:lineRule="auto"/>
      </w:pPr>
      <w:r>
        <w:t>Contributor</w:t>
      </w:r>
      <w:r w:rsidR="00D76D54">
        <w:t xml:space="preserve">s also spoke about the importance of trust in MoP(S) </w:t>
      </w:r>
      <w:r w:rsidR="005859C9">
        <w:t xml:space="preserve">Act </w:t>
      </w:r>
      <w:r w:rsidR="00D76D54">
        <w:t>employment, and a concern that a merit process would predominantly focus on a skills-based assessment.</w:t>
      </w:r>
      <w:r w:rsidR="00D76D54" w:rsidRPr="005F32A4">
        <w:t xml:space="preserve"> Party members who volunteered during election campaigns were observed by several </w:t>
      </w:r>
      <w:r w:rsidR="00C55CD6">
        <w:t>contributor</w:t>
      </w:r>
      <w:r w:rsidR="00D76D54" w:rsidRPr="005F32A4">
        <w:t>s as being a</w:t>
      </w:r>
      <w:r w:rsidR="00813DDD">
        <w:t>n appropriate</w:t>
      </w:r>
      <w:r w:rsidR="00D76D54" w:rsidRPr="005F32A4">
        <w:t xml:space="preserve"> recruitment stream</w:t>
      </w:r>
      <w:r w:rsidR="00D76D54">
        <w:t>, as volunteers were considered</w:t>
      </w:r>
      <w:r w:rsidR="00D76D54" w:rsidRPr="005F32A4">
        <w:t xml:space="preserve"> to have proven their loyalty</w:t>
      </w:r>
      <w:r w:rsidR="00813DDD">
        <w:t xml:space="preserve"> to a parliamentarian or party</w:t>
      </w:r>
      <w:r w:rsidR="00D76D54" w:rsidRPr="005F32A4">
        <w:t xml:space="preserve">. As one </w:t>
      </w:r>
      <w:r w:rsidR="00C55CD6">
        <w:t>contributor</w:t>
      </w:r>
      <w:r w:rsidR="00D76D54" w:rsidRPr="005F32A4">
        <w:t xml:space="preserve"> put it: </w:t>
      </w:r>
      <w:r w:rsidR="000C2948">
        <w:t>‘</w:t>
      </w:r>
      <w:r w:rsidR="00D76D54" w:rsidRPr="005F32A4">
        <w:t>Loyalty is the biggest thing you look for.</w:t>
      </w:r>
      <w:r w:rsidR="000C2948">
        <w:t>’</w:t>
      </w:r>
    </w:p>
    <w:p w14:paraId="09D197FD" w14:textId="6698F2DB" w:rsidR="00112CB3" w:rsidRPr="000F73C8" w:rsidRDefault="00D76D54" w:rsidP="00D76D54">
      <w:pPr>
        <w:spacing w:after="160" w:line="259" w:lineRule="auto"/>
        <w:rPr>
          <w:i/>
        </w:rPr>
      </w:pPr>
      <w:r>
        <w:t xml:space="preserve">The </w:t>
      </w:r>
      <w:r w:rsidR="00813DDD">
        <w:t>R</w:t>
      </w:r>
      <w:r>
        <w:t>eview considers merit recruitment may not require a rigid process, nor set of criteria for candidates that is incompatible with the day-to-day realities of parliamentary offices.</w:t>
      </w:r>
    </w:p>
    <w:p w14:paraId="48C08460" w14:textId="77777777" w:rsidR="00D76D54" w:rsidRPr="00112CB3" w:rsidRDefault="00112CB3" w:rsidP="00112CB3">
      <w:pPr>
        <w:rPr>
          <w:i/>
        </w:rPr>
      </w:pPr>
      <w:r>
        <w:rPr>
          <w:i/>
        </w:rPr>
        <w:t>M</w:t>
      </w:r>
      <w:r w:rsidR="00D76D54" w:rsidRPr="00112CB3">
        <w:rPr>
          <w:i/>
        </w:rPr>
        <w:t>erit in the MoP(S) context</w:t>
      </w:r>
    </w:p>
    <w:p w14:paraId="3AB3581C" w14:textId="7A365336" w:rsidR="00D76D54" w:rsidRDefault="00D76D54" w:rsidP="00D76D54">
      <w:r w:rsidRPr="005F32A4">
        <w:t xml:space="preserve">The concept of merit in the </w:t>
      </w:r>
      <w:r>
        <w:t>parliamentary workplace</w:t>
      </w:r>
      <w:r w:rsidRPr="005F32A4">
        <w:t xml:space="preserve"> was seen by </w:t>
      </w:r>
      <w:r>
        <w:t>many</w:t>
      </w:r>
      <w:r w:rsidRPr="005F32A4">
        <w:t xml:space="preserve"> </w:t>
      </w:r>
      <w:r w:rsidR="00C55CD6">
        <w:t>contributor</w:t>
      </w:r>
      <w:r w:rsidRPr="005F32A4">
        <w:t xml:space="preserve">s as </w:t>
      </w:r>
      <w:r>
        <w:t xml:space="preserve">involving a broad range of factors </w:t>
      </w:r>
      <w:r w:rsidR="00B73301">
        <w:t xml:space="preserve">other </w:t>
      </w:r>
      <w:r w:rsidRPr="005F32A4">
        <w:t xml:space="preserve">than </w:t>
      </w:r>
      <w:r>
        <w:t>skills, experience and attributes.</w:t>
      </w:r>
      <w:r w:rsidRPr="005F32A4" w:rsidDel="0090152D">
        <w:t xml:space="preserve"> </w:t>
      </w:r>
      <w:r>
        <w:t xml:space="preserve">The Review heard from </w:t>
      </w:r>
      <w:r w:rsidR="00C55CD6">
        <w:t>contributor</w:t>
      </w:r>
      <w:r>
        <w:t xml:space="preserve">s </w:t>
      </w:r>
      <w:r w:rsidR="0043250A">
        <w:t xml:space="preserve">that </w:t>
      </w:r>
      <w:r>
        <w:t xml:space="preserve">merit in MoP(S) Act recruitment can </w:t>
      </w:r>
      <w:r w:rsidRPr="00792DF1">
        <w:t xml:space="preserve">encompass </w:t>
      </w:r>
      <w:r>
        <w:t xml:space="preserve">a range of attributes, depending on the role and the needs of the office, </w:t>
      </w:r>
      <w:r w:rsidR="0021597C">
        <w:t>as demonstrated below</w:t>
      </w:r>
      <w:r>
        <w:t>:</w:t>
      </w:r>
    </w:p>
    <w:p w14:paraId="0D480DFB" w14:textId="43C856DC" w:rsidR="006417FE" w:rsidRDefault="006417FE" w:rsidP="004D5287">
      <w:pPr>
        <w:pStyle w:val="Figure"/>
      </w:pPr>
    </w:p>
    <w:p w14:paraId="12B0FDBC" w14:textId="09613567" w:rsidR="0099147B" w:rsidRDefault="00A047B7" w:rsidP="00BF7B02">
      <w:r>
        <w:rPr>
          <w:noProof/>
          <w:lang w:eastAsia="en-AU"/>
        </w:rPr>
        <w:drawing>
          <wp:inline distT="0" distB="0" distL="0" distR="0" wp14:anchorId="4011A209" wp14:editId="46C6F092">
            <wp:extent cx="6120130" cy="3323590"/>
            <wp:effectExtent l="0" t="0" r="0" b="0"/>
            <wp:docPr id="25" name="Picture 25" descr="This image is titled Merit in MoP(S) Act staff recruitment. It sets out seven boxes around a central point. The boxes are labelled technical skills and capabilities, previous experience, political acumen, networking capabilities, personal attributes (eg demonstrated attention to detail, cultural competence etc), demonstrated loyalty and trustworthiness, connections and influence, technical skills and capabilities." title="Merit in MoP(S) Act staff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PAct-Infographics-300922-F10-staffrecruitme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323590"/>
                    </a:xfrm>
                    <a:prstGeom prst="rect">
                      <a:avLst/>
                    </a:prstGeom>
                  </pic:spPr>
                </pic:pic>
              </a:graphicData>
            </a:graphic>
          </wp:inline>
        </w:drawing>
      </w:r>
    </w:p>
    <w:p w14:paraId="204D0790" w14:textId="22A1356B" w:rsidR="00BF7B02" w:rsidRDefault="00D76D54" w:rsidP="00BF7B02">
      <w:r>
        <w:t>These attributes do not appear incompatible with the definitions of merit observed in other jurisdictions</w:t>
      </w:r>
      <w:r w:rsidR="006364D5">
        <w:t xml:space="preserve"> and sectors</w:t>
      </w:r>
      <w:r>
        <w:t xml:space="preserve">, set out </w:t>
      </w:r>
      <w:r w:rsidR="00F5302C">
        <w:t>in the</w:t>
      </w:r>
      <w:r>
        <w:t xml:space="preserve"> table </w:t>
      </w:r>
      <w:r w:rsidR="00F5302C">
        <w:t>below in Section 4.3.3</w:t>
      </w:r>
      <w:r w:rsidR="0043250A">
        <w:t xml:space="preserve">. The Review considers </w:t>
      </w:r>
      <w:r w:rsidR="00CC02A3">
        <w:t xml:space="preserve">these </w:t>
      </w:r>
      <w:r w:rsidR="0067373D">
        <w:t xml:space="preserve">attributes </w:t>
      </w:r>
      <w:r w:rsidR="0043250A">
        <w:t>could provide a basis for developing</w:t>
      </w:r>
      <w:r>
        <w:t xml:space="preserve"> a position description or selection process to identify suitable candidates.</w:t>
      </w:r>
      <w:r w:rsidR="00BF7B02">
        <w:t xml:space="preserve"> </w:t>
      </w:r>
    </w:p>
    <w:p w14:paraId="4627EDB0" w14:textId="77777777" w:rsidR="007C453A" w:rsidRDefault="00BF7B02" w:rsidP="00D76D54">
      <w:r w:rsidRPr="001F4C8D">
        <w:rPr>
          <w:color w:val="000000" w:themeColor="text1"/>
        </w:rPr>
        <w:t xml:space="preserve">A number of </w:t>
      </w:r>
      <w:r w:rsidR="00C55CD6">
        <w:rPr>
          <w:color w:val="000000" w:themeColor="text1"/>
        </w:rPr>
        <w:t>contributor</w:t>
      </w:r>
      <w:r w:rsidRPr="001F4C8D">
        <w:rPr>
          <w:color w:val="000000" w:themeColor="text1"/>
        </w:rPr>
        <w:t xml:space="preserve">s pointed to the protective mechanism played by </w:t>
      </w:r>
      <w:r>
        <w:rPr>
          <w:color w:val="000000" w:themeColor="text1"/>
        </w:rPr>
        <w:t xml:space="preserve">party-run </w:t>
      </w:r>
      <w:r w:rsidRPr="001F4C8D">
        <w:rPr>
          <w:color w:val="000000" w:themeColor="text1"/>
        </w:rPr>
        <w:t xml:space="preserve">central staffing committees in overseeing the more senior appointments of staff. The Review defers to the OPSC to consider how best to leverage such </w:t>
      </w:r>
      <w:r w:rsidR="00E16EFB">
        <w:rPr>
          <w:color w:val="000000" w:themeColor="text1"/>
        </w:rPr>
        <w:t>mechanism</w:t>
      </w:r>
      <w:r w:rsidR="00813DDD">
        <w:rPr>
          <w:color w:val="000000" w:themeColor="text1"/>
        </w:rPr>
        <w:t>s</w:t>
      </w:r>
      <w:r w:rsidRPr="001F4C8D">
        <w:rPr>
          <w:color w:val="000000" w:themeColor="text1"/>
        </w:rPr>
        <w:t xml:space="preserve"> </w:t>
      </w:r>
      <w:r>
        <w:rPr>
          <w:color w:val="000000" w:themeColor="text1"/>
        </w:rPr>
        <w:t xml:space="preserve">when considering its response to </w:t>
      </w:r>
      <w:r>
        <w:t xml:space="preserve">Recommendation 12 of </w:t>
      </w:r>
      <w:r w:rsidR="00142173" w:rsidRPr="00142173">
        <w:rPr>
          <w:i/>
        </w:rPr>
        <w:t>Set the Standard</w:t>
      </w:r>
      <w:r>
        <w:t xml:space="preserve">, particularly as it relates to ensuring greater use of merit-based recruitment practices with a focus on improving diversity. </w:t>
      </w:r>
    </w:p>
    <w:p w14:paraId="7C84EF9C" w14:textId="77777777" w:rsidR="00DC5CB8" w:rsidRDefault="00DC5CB8" w:rsidP="00D76D54">
      <w:pPr>
        <w:rPr>
          <w:b/>
        </w:rPr>
      </w:pPr>
    </w:p>
    <w:p w14:paraId="04D652A1" w14:textId="35EBF994" w:rsidR="00D76D54" w:rsidRDefault="007C453A" w:rsidP="00051BDA">
      <w:pPr>
        <w:pStyle w:val="Heading3"/>
      </w:pPr>
      <w:r>
        <w:t>4.3.</w:t>
      </w:r>
      <w:r w:rsidR="000C3C50">
        <w:t>2</w:t>
      </w:r>
      <w:r w:rsidR="00D76D54">
        <w:t xml:space="preserve"> Options for improvement</w:t>
      </w:r>
    </w:p>
    <w:p w14:paraId="2D2CAE3A" w14:textId="77777777" w:rsidR="00D76D54" w:rsidRDefault="00D76D54" w:rsidP="00D76D54">
      <w:r>
        <w:t xml:space="preserve">The </w:t>
      </w:r>
      <w:r w:rsidR="00813DDD">
        <w:t>R</w:t>
      </w:r>
      <w:r>
        <w:t xml:space="preserve">eview identifies three main options from the discussion of </w:t>
      </w:r>
      <w:r w:rsidR="004C692F">
        <w:t>merit</w:t>
      </w:r>
      <w:r>
        <w:t xml:space="preserve"> recruitment. These are to:</w:t>
      </w:r>
    </w:p>
    <w:p w14:paraId="2624A257" w14:textId="77777777" w:rsidR="00D76D54" w:rsidRDefault="001F4E6F" w:rsidP="001F4E6F">
      <w:pPr>
        <w:pStyle w:val="BulletedList-Level1"/>
      </w:pPr>
      <w:r>
        <w:t>m</w:t>
      </w:r>
      <w:r w:rsidR="00D76D54">
        <w:t>aintain the status quo, where parliamentarians have almost complete discretion over recruitment practices and outcomes</w:t>
      </w:r>
    </w:p>
    <w:p w14:paraId="6674B114" w14:textId="77777777" w:rsidR="00D76D54" w:rsidRDefault="001F4E6F" w:rsidP="001F4E6F">
      <w:pPr>
        <w:pStyle w:val="BulletedList-Level1"/>
      </w:pPr>
      <w:r>
        <w:t>a</w:t>
      </w:r>
      <w:r w:rsidR="005A56BE">
        <w:t>dopt a merit</w:t>
      </w:r>
      <w:r w:rsidR="00D76D54">
        <w:t xml:space="preserve"> recruitment process, which mirrors public service models </w:t>
      </w:r>
    </w:p>
    <w:p w14:paraId="25BA456D" w14:textId="77777777" w:rsidR="00D76D54" w:rsidRDefault="001F4E6F" w:rsidP="001F4E6F">
      <w:pPr>
        <w:pStyle w:val="BulletedList-Level1"/>
      </w:pPr>
      <w:r>
        <w:t>a</w:t>
      </w:r>
      <w:r w:rsidR="005A56BE">
        <w:t>dopt a merit</w:t>
      </w:r>
      <w:r w:rsidR="00D76D54">
        <w:t xml:space="preserve"> recruitment process, which is tailored to the circumstances of political offices. </w:t>
      </w:r>
    </w:p>
    <w:p w14:paraId="7606356B" w14:textId="5BA4C0D3" w:rsidR="0053445B" w:rsidRDefault="00AC3D48" w:rsidP="0053445B">
      <w:r>
        <w:t>In considering these options</w:t>
      </w:r>
      <w:r w:rsidR="009E1C23">
        <w:t>,</w:t>
      </w:r>
      <w:r w:rsidR="0053445B">
        <w:t xml:space="preserve"> the Review </w:t>
      </w:r>
      <w:r>
        <w:t>examined</w:t>
      </w:r>
      <w:r w:rsidR="009E1C23">
        <w:t xml:space="preserve"> approaches to merit recruitment in other jurisdictions</w:t>
      </w:r>
      <w:r w:rsidR="006364D5">
        <w:t xml:space="preserve"> and sectors</w:t>
      </w:r>
      <w:r w:rsidR="009E1C23">
        <w:t xml:space="preserve">. </w:t>
      </w:r>
      <w:r w:rsidR="00F5302C">
        <w:t>The table below</w:t>
      </w:r>
      <w:r w:rsidR="0053445B">
        <w:t xml:space="preserve"> includes </w:t>
      </w:r>
      <w:r w:rsidR="009E1C23">
        <w:t xml:space="preserve">state and territory level public and parliamentary services as well as the higher education sector for a </w:t>
      </w:r>
      <w:r w:rsidR="0053445B">
        <w:t xml:space="preserve">cross-sector comparison. </w:t>
      </w:r>
      <w:r w:rsidR="00F5302C">
        <w:br/>
      </w:r>
    </w:p>
    <w:tbl>
      <w:tblPr>
        <w:tblStyle w:val="TableGrid"/>
        <w:tblW w:w="0" w:type="auto"/>
        <w:tblLook w:val="04A0" w:firstRow="1" w:lastRow="0" w:firstColumn="1" w:lastColumn="0" w:noHBand="0" w:noVBand="1"/>
        <w:tblDescription w:val="Examples of Merit Requirements&#10;Public Service Act 1999 (Cth)&#10;Section 10A of the PS Act  outlines a decision relating to engagement or promotion is considered to be based on merit when:&#10;- an assessment is made of the relative suitability of a candidate to perform the duties&#10;- this assessment is based on the relationship between the candidates’ work related qualities and the work related qualities genuinely required to perform the duties&#10;- this assessment is also focused on the relative capacity of the candidates to achieve outcomes related to the relevant duties&#10;- all eligible members of the community are given a reasonable opportunity to apply to perform the relevant duties&#10;- competitive selection process are used.&#10;Standards for Application of the Victorian Public Sector Employment Principles&#10;Section 64 of the Public Administration Act 2004 (Vic) directs the Victorian Public Service Commission to establish and issue standards concerning the application of the public sector employment principles.  These principles consider recruitment decisions are on merit when: &#10;- an individual candidate’s work-related qualities, abilities and potential are assessed against the genuine requirements of the employment opportunity&#10;- employees are appointed or promoted on the basis of relative ability&#10;- processes are transparent and designed to identify a field of qualified candidates&#10;- employees are appointed or promoted from a limited field of candidates only where candidates are identified based on objective criteria&#10;- employees are assigned duties or transferred to roles at an equivalent level based on an assessment of the employee against the genuine requirements of the duties or role. &#10;Australian National University &#10;The recruitment policy of the Australian National University mandates minimum standards of merit be applied to all recruitment processes to ensure ‘selection is based only on a person's ability to perform the work…[and that] the best person for the job [is chosen], resulting in a quality workforce.’ The minimum standards are listed as:&#10;- competition: obtain the best field of applicants through advertising&#10;- selection criteria: describe those specific capabilities (knowledge, skills and abilities) needed to do the job&#10;- selection committee: a group of people selected to assess candidates for a position.&#10;- comparative: assessment rate applicants individually on how well they meet the selection criteria, assessing them, on the best evidence obtainable, on how they would meet the job requirements&#10;- equity: design the process to be fair to all members of the community&#10;- integrity: select impartially and ethically&#10;- choosing the best person: recommend the appointment of the person whose capabilities (knowledge, skills and abilities) best match the job requirement&#10;- transparency: decisions can withstand scrutiny and be publicly defensible. &#10;United Kingdom Civil Service &#10;Section 10 of the Constitutional Reform and Governance Act 2010 requires people selected for appointment to the Civil Service to be ‘on merit on the basis of fair and open competition’. &#10;Section 11 requires the Civil Service Commission to produce ‘Recruitment Principles’ to define and interpret merit in appointments.  These Principles define merit as ‘the appointment of the best available person judged against the published criteria for the role. No one should be appointed to a role unless they are competent to do it and the appointment must be offered to the person who would do it best.’ &#10;"/>
      </w:tblPr>
      <w:tblGrid>
        <w:gridCol w:w="9016"/>
      </w:tblGrid>
      <w:tr w:rsidR="00160192" w14:paraId="5E8938D0" w14:textId="77777777" w:rsidTr="0022402F">
        <w:trPr>
          <w:tblHeader/>
        </w:trPr>
        <w:tc>
          <w:tcPr>
            <w:tcW w:w="9016" w:type="dxa"/>
          </w:tcPr>
          <w:p w14:paraId="62CC9BFE" w14:textId="53E91132" w:rsidR="00160192" w:rsidRPr="00051BDA" w:rsidRDefault="00160192" w:rsidP="0053445B">
            <w:pPr>
              <w:rPr>
                <w:b/>
                <w:i/>
              </w:rPr>
            </w:pPr>
            <w:r>
              <w:rPr>
                <w:b/>
              </w:rPr>
              <w:t>Examples of Merit Requirements</w:t>
            </w:r>
          </w:p>
        </w:tc>
      </w:tr>
      <w:tr w:rsidR="0053445B" w14:paraId="65251593" w14:textId="77777777" w:rsidTr="0053445B">
        <w:tc>
          <w:tcPr>
            <w:tcW w:w="9016" w:type="dxa"/>
          </w:tcPr>
          <w:p w14:paraId="7E24CFD9" w14:textId="77777777" w:rsidR="0053445B" w:rsidRPr="00EC7ECB" w:rsidRDefault="0053445B" w:rsidP="0053445B">
            <w:pPr>
              <w:rPr>
                <w:b/>
              </w:rPr>
            </w:pPr>
            <w:r w:rsidRPr="00051BDA">
              <w:rPr>
                <w:b/>
                <w:i/>
              </w:rPr>
              <w:t>Public Service Act 1999</w:t>
            </w:r>
            <w:r w:rsidRPr="00EC7ECB">
              <w:rPr>
                <w:b/>
              </w:rPr>
              <w:t xml:space="preserve"> (Cth)</w:t>
            </w:r>
          </w:p>
          <w:p w14:paraId="6546B8C8" w14:textId="77777777" w:rsidR="0053445B" w:rsidRDefault="0053445B" w:rsidP="0053445B">
            <w:r>
              <w:t xml:space="preserve">Section 10A of the </w:t>
            </w:r>
            <w:r w:rsidR="00D14441" w:rsidRPr="006C2531">
              <w:t>PS</w:t>
            </w:r>
            <w:r w:rsidRPr="00D14441">
              <w:t xml:space="preserve"> Act</w:t>
            </w:r>
            <w:r>
              <w:rPr>
                <w:rStyle w:val="FootnoteReference"/>
              </w:rPr>
              <w:footnoteReference w:id="163"/>
            </w:r>
            <w:r>
              <w:t xml:space="preserve"> outlines a decision relating to engagement or promotion is considered to be based on merit when:</w:t>
            </w:r>
          </w:p>
          <w:p w14:paraId="652BC1B9" w14:textId="77777777" w:rsidR="0053445B" w:rsidRPr="00226AEC" w:rsidRDefault="0053445B" w:rsidP="00971ECB">
            <w:pPr>
              <w:pStyle w:val="ListParagraph"/>
              <w:numPr>
                <w:ilvl w:val="0"/>
                <w:numId w:val="9"/>
              </w:numPr>
              <w:rPr>
                <w:szCs w:val="22"/>
              </w:rPr>
            </w:pPr>
            <w:r w:rsidRPr="00226AEC">
              <w:rPr>
                <w:szCs w:val="22"/>
              </w:rPr>
              <w:t>an assessment is made of the relative suitability of a candidate to perform the duties</w:t>
            </w:r>
          </w:p>
          <w:p w14:paraId="5AB3B3B7" w14:textId="77777777" w:rsidR="0053445B" w:rsidRPr="00226AEC" w:rsidRDefault="0053445B" w:rsidP="00971ECB">
            <w:pPr>
              <w:pStyle w:val="ListParagraph"/>
              <w:numPr>
                <w:ilvl w:val="0"/>
                <w:numId w:val="9"/>
              </w:numPr>
              <w:rPr>
                <w:szCs w:val="22"/>
              </w:rPr>
            </w:pPr>
            <w:r w:rsidRPr="00226AEC">
              <w:rPr>
                <w:szCs w:val="22"/>
              </w:rPr>
              <w:t>this assessment is based on the relationship between the candidates’ work</w:t>
            </w:r>
            <w:r w:rsidRPr="00226AEC">
              <w:rPr>
                <w:szCs w:val="22"/>
              </w:rPr>
              <w:noBreakHyphen/>
              <w:t>related qualities and the work</w:t>
            </w:r>
            <w:r w:rsidRPr="00226AEC">
              <w:rPr>
                <w:szCs w:val="22"/>
              </w:rPr>
              <w:noBreakHyphen/>
              <w:t>related qualities genuinely required to perform the duties</w:t>
            </w:r>
          </w:p>
          <w:p w14:paraId="3B0267B2" w14:textId="77777777" w:rsidR="0053445B" w:rsidRPr="00226AEC" w:rsidRDefault="0053445B" w:rsidP="00971ECB">
            <w:pPr>
              <w:pStyle w:val="ListParagraph"/>
              <w:numPr>
                <w:ilvl w:val="0"/>
                <w:numId w:val="9"/>
              </w:numPr>
              <w:rPr>
                <w:szCs w:val="22"/>
              </w:rPr>
            </w:pPr>
            <w:r w:rsidRPr="00226AEC">
              <w:rPr>
                <w:szCs w:val="22"/>
              </w:rPr>
              <w:t xml:space="preserve">this assessment is also </w:t>
            </w:r>
            <w:r w:rsidR="00EA592F" w:rsidRPr="00226AEC">
              <w:rPr>
                <w:szCs w:val="22"/>
              </w:rPr>
              <w:t>focus</w:t>
            </w:r>
            <w:r w:rsidRPr="00226AEC">
              <w:rPr>
                <w:szCs w:val="22"/>
              </w:rPr>
              <w:t>ed on the relative capacity of the candidates to achieve outcomes related to the relevant duties</w:t>
            </w:r>
          </w:p>
          <w:p w14:paraId="6650E6F0" w14:textId="77777777" w:rsidR="0053445B" w:rsidRPr="00226AEC" w:rsidRDefault="0053445B" w:rsidP="00971ECB">
            <w:pPr>
              <w:pStyle w:val="ListParagraph"/>
              <w:numPr>
                <w:ilvl w:val="0"/>
                <w:numId w:val="9"/>
              </w:numPr>
              <w:rPr>
                <w:szCs w:val="22"/>
              </w:rPr>
            </w:pPr>
            <w:r w:rsidRPr="00226AEC">
              <w:rPr>
                <w:szCs w:val="22"/>
              </w:rPr>
              <w:t>all eligible members of the community are given a reasonable opportunity to apply to perform the relevant duties</w:t>
            </w:r>
          </w:p>
          <w:p w14:paraId="48B865C5" w14:textId="38D6C6BC" w:rsidR="0053445B" w:rsidRDefault="0053445B" w:rsidP="00971ECB">
            <w:pPr>
              <w:pStyle w:val="ListParagraph"/>
              <w:numPr>
                <w:ilvl w:val="0"/>
                <w:numId w:val="9"/>
              </w:numPr>
              <w:rPr>
                <w:b/>
              </w:rPr>
            </w:pPr>
            <w:r w:rsidRPr="00226AEC">
              <w:rPr>
                <w:szCs w:val="22"/>
              </w:rPr>
              <w:t>competitive selection process are used</w:t>
            </w:r>
            <w:r w:rsidR="00226AEC">
              <w:rPr>
                <w:szCs w:val="22"/>
              </w:rPr>
              <w:t>.</w:t>
            </w:r>
          </w:p>
        </w:tc>
      </w:tr>
      <w:tr w:rsidR="0053445B" w14:paraId="2D63C5E2" w14:textId="77777777" w:rsidTr="0053445B">
        <w:tc>
          <w:tcPr>
            <w:tcW w:w="9016" w:type="dxa"/>
          </w:tcPr>
          <w:p w14:paraId="5AB98E87" w14:textId="77777777" w:rsidR="0053445B" w:rsidRDefault="0053445B" w:rsidP="0053445B">
            <w:pPr>
              <w:rPr>
                <w:b/>
              </w:rPr>
            </w:pPr>
            <w:r w:rsidRPr="002B0828">
              <w:rPr>
                <w:b/>
              </w:rPr>
              <w:t>Standards for Application of the Victorian Public Sector Employment Principles</w:t>
            </w:r>
          </w:p>
          <w:p w14:paraId="1B9DC0FD" w14:textId="77777777" w:rsidR="0053445B" w:rsidRPr="002B0828" w:rsidRDefault="0053445B" w:rsidP="0053445B">
            <w:pPr>
              <w:rPr>
                <w:b/>
              </w:rPr>
            </w:pPr>
            <w:r>
              <w:t xml:space="preserve">Section 64 of the </w:t>
            </w:r>
            <w:r w:rsidRPr="00051BDA">
              <w:rPr>
                <w:i/>
              </w:rPr>
              <w:t>Public Administration Act 2004</w:t>
            </w:r>
            <w:r>
              <w:t xml:space="preserve"> (Vic) directs the Victorian Public Service Commission to establish and issue standards concerning the application of the public sector employment principles.</w:t>
            </w:r>
            <w:r>
              <w:rPr>
                <w:rStyle w:val="FootnoteReference"/>
              </w:rPr>
              <w:footnoteReference w:id="164"/>
            </w:r>
            <w:r>
              <w:t xml:space="preserve"> These principles consider recruitment decisions are on merit when: </w:t>
            </w:r>
          </w:p>
          <w:p w14:paraId="0E016BA0" w14:textId="77777777" w:rsidR="0053445B" w:rsidRPr="00226AEC" w:rsidRDefault="0053445B" w:rsidP="00971ECB">
            <w:pPr>
              <w:pStyle w:val="ListParagraph"/>
              <w:numPr>
                <w:ilvl w:val="0"/>
                <w:numId w:val="9"/>
              </w:numPr>
              <w:rPr>
                <w:szCs w:val="22"/>
              </w:rPr>
            </w:pPr>
            <w:r w:rsidRPr="00226AEC">
              <w:rPr>
                <w:szCs w:val="22"/>
              </w:rPr>
              <w:t>an individual candidate’s work-related qualities, abilities and potential are assessed against the genuine requirements of the employment opportunity</w:t>
            </w:r>
          </w:p>
          <w:p w14:paraId="678A9810" w14:textId="77777777" w:rsidR="0053445B" w:rsidRPr="00226AEC" w:rsidRDefault="0053445B" w:rsidP="00971ECB">
            <w:pPr>
              <w:pStyle w:val="ListParagraph"/>
              <w:numPr>
                <w:ilvl w:val="0"/>
                <w:numId w:val="9"/>
              </w:numPr>
              <w:rPr>
                <w:szCs w:val="22"/>
              </w:rPr>
            </w:pPr>
            <w:r w:rsidRPr="00226AEC">
              <w:rPr>
                <w:szCs w:val="22"/>
              </w:rPr>
              <w:t>employees are appointed or promoted on the basis of relative ability</w:t>
            </w:r>
          </w:p>
          <w:p w14:paraId="4AF88DD4" w14:textId="77777777" w:rsidR="0053445B" w:rsidRPr="00226AEC" w:rsidRDefault="0053445B" w:rsidP="00971ECB">
            <w:pPr>
              <w:pStyle w:val="ListParagraph"/>
              <w:numPr>
                <w:ilvl w:val="0"/>
                <w:numId w:val="9"/>
              </w:numPr>
              <w:rPr>
                <w:szCs w:val="22"/>
              </w:rPr>
            </w:pPr>
            <w:r w:rsidRPr="00226AEC">
              <w:rPr>
                <w:szCs w:val="22"/>
              </w:rPr>
              <w:t>processes are transparent and designed to identify a field of qualified candidates</w:t>
            </w:r>
          </w:p>
          <w:p w14:paraId="3C65ED0F" w14:textId="77777777" w:rsidR="0053445B" w:rsidRPr="00226AEC" w:rsidRDefault="0053445B" w:rsidP="00971ECB">
            <w:pPr>
              <w:pStyle w:val="ListParagraph"/>
              <w:numPr>
                <w:ilvl w:val="0"/>
                <w:numId w:val="9"/>
              </w:numPr>
              <w:rPr>
                <w:szCs w:val="22"/>
              </w:rPr>
            </w:pPr>
            <w:r w:rsidRPr="00226AEC">
              <w:rPr>
                <w:szCs w:val="22"/>
              </w:rPr>
              <w:t>employees are appointed or promoted from a limited field of candidates only where candidates are identified based on objective criteria</w:t>
            </w:r>
          </w:p>
          <w:p w14:paraId="2D4439A2" w14:textId="7D156A23" w:rsidR="0053445B" w:rsidRDefault="0053445B" w:rsidP="00971ECB">
            <w:pPr>
              <w:pStyle w:val="ListParagraph"/>
              <w:numPr>
                <w:ilvl w:val="0"/>
                <w:numId w:val="9"/>
              </w:numPr>
              <w:rPr>
                <w:b/>
              </w:rPr>
            </w:pPr>
            <w:r w:rsidRPr="00226AEC">
              <w:rPr>
                <w:szCs w:val="22"/>
              </w:rPr>
              <w:t>employees are assigned duties or transferred to roles at an equivalent level based on an assessment of the employee against the genuine requirements of the duties or role</w:t>
            </w:r>
            <w:r w:rsidR="00226AEC">
              <w:rPr>
                <w:szCs w:val="22"/>
              </w:rPr>
              <w:t>.</w:t>
            </w:r>
            <w:r>
              <w:rPr>
                <w:rStyle w:val="FootnoteReference"/>
              </w:rPr>
              <w:footnoteReference w:id="165"/>
            </w:r>
          </w:p>
        </w:tc>
      </w:tr>
      <w:tr w:rsidR="0053445B" w14:paraId="4ADD0323" w14:textId="77777777" w:rsidTr="0053445B">
        <w:tc>
          <w:tcPr>
            <w:tcW w:w="9016" w:type="dxa"/>
          </w:tcPr>
          <w:p w14:paraId="67AB3442" w14:textId="77777777" w:rsidR="0053445B" w:rsidRDefault="0053445B" w:rsidP="0053445B">
            <w:pPr>
              <w:rPr>
                <w:b/>
              </w:rPr>
            </w:pPr>
            <w:r>
              <w:rPr>
                <w:b/>
              </w:rPr>
              <w:t xml:space="preserve">Australian National University </w:t>
            </w:r>
          </w:p>
          <w:p w14:paraId="2E00BAEB" w14:textId="77777777" w:rsidR="0053445B" w:rsidRDefault="0053445B" w:rsidP="0053445B">
            <w:pPr>
              <w:rPr>
                <w:i/>
              </w:rPr>
            </w:pPr>
            <w:r>
              <w:t>The recruitment policy of the Australian National University mandates minimum standards of merit be applied to all recruitment processes</w:t>
            </w:r>
            <w:r w:rsidRPr="00D3586B">
              <w:t xml:space="preserve"> to ensure </w:t>
            </w:r>
            <w:r w:rsidR="00020D6B">
              <w:t>‘</w:t>
            </w:r>
            <w:r w:rsidRPr="00C222C4">
              <w:t>selection is based only on a person's ability to perform the work</w:t>
            </w:r>
            <w:r>
              <w:t>…[and that]</w:t>
            </w:r>
            <w:r w:rsidRPr="00C222C4">
              <w:t xml:space="preserve"> the best person for the job</w:t>
            </w:r>
            <w:r>
              <w:t xml:space="preserve"> [is chosen]</w:t>
            </w:r>
            <w:r w:rsidRPr="00C222C4">
              <w:t>, resulting in a quality workforce.</w:t>
            </w:r>
            <w:r w:rsidR="00020D6B">
              <w:t>’</w:t>
            </w:r>
            <w:r>
              <w:t xml:space="preserve"> The minimum standards are listed as:</w:t>
            </w:r>
          </w:p>
          <w:p w14:paraId="6D0F9545" w14:textId="3A33B4D5" w:rsidR="0053445B" w:rsidRPr="00226AEC" w:rsidRDefault="00226AEC" w:rsidP="00971ECB">
            <w:pPr>
              <w:pStyle w:val="ListParagraph"/>
              <w:numPr>
                <w:ilvl w:val="0"/>
                <w:numId w:val="9"/>
              </w:numPr>
              <w:rPr>
                <w:szCs w:val="22"/>
              </w:rPr>
            </w:pPr>
            <w:r>
              <w:rPr>
                <w:szCs w:val="22"/>
              </w:rPr>
              <w:t>c</w:t>
            </w:r>
            <w:r w:rsidR="0053445B" w:rsidRPr="00226AEC">
              <w:rPr>
                <w:szCs w:val="22"/>
              </w:rPr>
              <w:t>ompetition: obtain the best field of applicants through advertising</w:t>
            </w:r>
          </w:p>
          <w:p w14:paraId="09DE7859" w14:textId="25BF713B" w:rsidR="0053445B" w:rsidRPr="00226AEC" w:rsidRDefault="00226AEC" w:rsidP="00971ECB">
            <w:pPr>
              <w:pStyle w:val="ListParagraph"/>
              <w:numPr>
                <w:ilvl w:val="0"/>
                <w:numId w:val="9"/>
              </w:numPr>
              <w:rPr>
                <w:szCs w:val="22"/>
              </w:rPr>
            </w:pPr>
            <w:r>
              <w:rPr>
                <w:szCs w:val="22"/>
              </w:rPr>
              <w:t>s</w:t>
            </w:r>
            <w:r w:rsidR="0053445B" w:rsidRPr="00226AEC">
              <w:rPr>
                <w:szCs w:val="22"/>
              </w:rPr>
              <w:t>election criteria: describe those specific capabilities (knowledge, skills and abilities) needed to do the job</w:t>
            </w:r>
          </w:p>
          <w:p w14:paraId="36BBA09C" w14:textId="2A9BD22D" w:rsidR="0053445B" w:rsidRPr="00226AEC" w:rsidRDefault="00226AEC" w:rsidP="00971ECB">
            <w:pPr>
              <w:pStyle w:val="ListParagraph"/>
              <w:numPr>
                <w:ilvl w:val="0"/>
                <w:numId w:val="9"/>
              </w:numPr>
              <w:rPr>
                <w:szCs w:val="22"/>
              </w:rPr>
            </w:pPr>
            <w:r>
              <w:rPr>
                <w:szCs w:val="22"/>
              </w:rPr>
              <w:t>s</w:t>
            </w:r>
            <w:r w:rsidR="0053445B" w:rsidRPr="00226AEC">
              <w:rPr>
                <w:szCs w:val="22"/>
              </w:rPr>
              <w:t>election committee: a group of people selected to assess candidates for a position.</w:t>
            </w:r>
          </w:p>
          <w:p w14:paraId="570D55F0" w14:textId="516044AB" w:rsidR="0053445B" w:rsidRPr="00226AEC" w:rsidRDefault="00226AEC" w:rsidP="00971ECB">
            <w:pPr>
              <w:pStyle w:val="ListParagraph"/>
              <w:numPr>
                <w:ilvl w:val="0"/>
                <w:numId w:val="9"/>
              </w:numPr>
              <w:rPr>
                <w:szCs w:val="22"/>
              </w:rPr>
            </w:pPr>
            <w:r>
              <w:rPr>
                <w:szCs w:val="22"/>
              </w:rPr>
              <w:t>c</w:t>
            </w:r>
            <w:r w:rsidR="0053445B" w:rsidRPr="00226AEC">
              <w:rPr>
                <w:szCs w:val="22"/>
              </w:rPr>
              <w:t>omparative: assessment rate applicants individually on how well they meet the selection criteria, assessing them, on the best evidence obtainable, on how they would meet the job requirements</w:t>
            </w:r>
          </w:p>
          <w:p w14:paraId="35A6CD27" w14:textId="269C8F7B" w:rsidR="0053445B" w:rsidRPr="00226AEC" w:rsidRDefault="00226AEC" w:rsidP="00971ECB">
            <w:pPr>
              <w:pStyle w:val="ListParagraph"/>
              <w:numPr>
                <w:ilvl w:val="0"/>
                <w:numId w:val="9"/>
              </w:numPr>
              <w:rPr>
                <w:szCs w:val="22"/>
              </w:rPr>
            </w:pPr>
            <w:r>
              <w:rPr>
                <w:szCs w:val="22"/>
              </w:rPr>
              <w:t>e</w:t>
            </w:r>
            <w:r w:rsidR="0053445B" w:rsidRPr="00226AEC">
              <w:rPr>
                <w:szCs w:val="22"/>
              </w:rPr>
              <w:t>quity: design the process to be fair to all members of the community</w:t>
            </w:r>
          </w:p>
          <w:p w14:paraId="5B191966" w14:textId="39CF2E5D" w:rsidR="0053445B" w:rsidRPr="00226AEC" w:rsidRDefault="00226AEC" w:rsidP="00971ECB">
            <w:pPr>
              <w:pStyle w:val="ListParagraph"/>
              <w:numPr>
                <w:ilvl w:val="0"/>
                <w:numId w:val="9"/>
              </w:numPr>
              <w:rPr>
                <w:szCs w:val="22"/>
              </w:rPr>
            </w:pPr>
            <w:r>
              <w:rPr>
                <w:szCs w:val="22"/>
              </w:rPr>
              <w:t>i</w:t>
            </w:r>
            <w:r w:rsidR="0053445B" w:rsidRPr="00226AEC">
              <w:rPr>
                <w:szCs w:val="22"/>
              </w:rPr>
              <w:t>ntegrity: select impartially and ethically</w:t>
            </w:r>
          </w:p>
          <w:p w14:paraId="6CF03BCA" w14:textId="60AB4102" w:rsidR="0053445B" w:rsidRPr="00226AEC" w:rsidRDefault="00226AEC" w:rsidP="00971ECB">
            <w:pPr>
              <w:pStyle w:val="ListParagraph"/>
              <w:numPr>
                <w:ilvl w:val="0"/>
                <w:numId w:val="9"/>
              </w:numPr>
              <w:rPr>
                <w:szCs w:val="22"/>
              </w:rPr>
            </w:pPr>
            <w:r>
              <w:rPr>
                <w:szCs w:val="22"/>
              </w:rPr>
              <w:t>c</w:t>
            </w:r>
            <w:r w:rsidR="0053445B" w:rsidRPr="00226AEC">
              <w:rPr>
                <w:szCs w:val="22"/>
              </w:rPr>
              <w:t>hoosing the best person: recommend the appointment of the person whose capabilities (knowledge, skills and abilities) best match the job requirement</w:t>
            </w:r>
          </w:p>
          <w:p w14:paraId="57329723" w14:textId="49B0E906" w:rsidR="0053445B" w:rsidRDefault="00226AEC" w:rsidP="00971ECB">
            <w:pPr>
              <w:pStyle w:val="ListParagraph"/>
              <w:numPr>
                <w:ilvl w:val="0"/>
                <w:numId w:val="9"/>
              </w:numPr>
              <w:rPr>
                <w:b/>
              </w:rPr>
            </w:pPr>
            <w:r>
              <w:rPr>
                <w:szCs w:val="22"/>
              </w:rPr>
              <w:t>t</w:t>
            </w:r>
            <w:r w:rsidR="0053445B" w:rsidRPr="00226AEC">
              <w:rPr>
                <w:szCs w:val="22"/>
              </w:rPr>
              <w:t>ransparency: decisions can withstand scrutiny and be publicly defensible</w:t>
            </w:r>
            <w:r w:rsidR="005D20B6">
              <w:rPr>
                <w:szCs w:val="22"/>
              </w:rPr>
              <w:t>.</w:t>
            </w:r>
            <w:r w:rsidR="0053445B">
              <w:rPr>
                <w:rStyle w:val="FootnoteReference"/>
              </w:rPr>
              <w:footnoteReference w:id="166"/>
            </w:r>
          </w:p>
        </w:tc>
      </w:tr>
      <w:tr w:rsidR="0053445B" w14:paraId="10244462" w14:textId="77777777" w:rsidTr="0053445B">
        <w:tc>
          <w:tcPr>
            <w:tcW w:w="9016" w:type="dxa"/>
          </w:tcPr>
          <w:p w14:paraId="1BCE455C" w14:textId="77777777" w:rsidR="0053445B" w:rsidRDefault="0053445B" w:rsidP="0053445B">
            <w:pPr>
              <w:rPr>
                <w:b/>
              </w:rPr>
            </w:pPr>
            <w:r>
              <w:rPr>
                <w:b/>
              </w:rPr>
              <w:t xml:space="preserve">United Kingdom Civil Service </w:t>
            </w:r>
          </w:p>
          <w:p w14:paraId="5347A6A0" w14:textId="77777777" w:rsidR="0053445B" w:rsidRDefault="0053445B" w:rsidP="0053445B">
            <w:r w:rsidRPr="00C222C4">
              <w:t>Section 10 of the Constitutional Reform and Governance Act 2010</w:t>
            </w:r>
            <w:r>
              <w:t xml:space="preserve"> </w:t>
            </w:r>
            <w:r w:rsidRPr="00C222C4">
              <w:t xml:space="preserve">requires people </w:t>
            </w:r>
            <w:r>
              <w:t xml:space="preserve">selected </w:t>
            </w:r>
            <w:r w:rsidRPr="00C222C4">
              <w:t xml:space="preserve">for appointment to the Civil Service to be ‘on merit on the basis of fair and open competition’. </w:t>
            </w:r>
          </w:p>
          <w:p w14:paraId="7ED0178C" w14:textId="77777777" w:rsidR="0053445B" w:rsidRDefault="0053445B" w:rsidP="000C2948">
            <w:pPr>
              <w:rPr>
                <w:b/>
              </w:rPr>
            </w:pPr>
            <w:r w:rsidRPr="00C222C4">
              <w:t>Section 11 requires the Civil Service Commission to produce ‘Recruitment Principles’</w:t>
            </w:r>
            <w:r>
              <w:t xml:space="preserve"> to</w:t>
            </w:r>
            <w:r w:rsidRPr="00C222C4">
              <w:t xml:space="preserve"> </w:t>
            </w:r>
            <w:r>
              <w:t>define</w:t>
            </w:r>
            <w:r w:rsidRPr="00C222C4">
              <w:t xml:space="preserve"> and interpret</w:t>
            </w:r>
            <w:r>
              <w:t xml:space="preserve"> merit in appointments.</w:t>
            </w:r>
            <w:r>
              <w:rPr>
                <w:rStyle w:val="FootnoteReference"/>
              </w:rPr>
              <w:footnoteReference w:id="167"/>
            </w:r>
            <w:r>
              <w:t xml:space="preserve"> These Principles define merit as </w:t>
            </w:r>
            <w:r w:rsidR="000C2948">
              <w:t>‘</w:t>
            </w:r>
            <w:r>
              <w:t>the appointment of the best available person judged against the published criteria for the role. No one should be appointed to a role unless they are competent to do it and the appointment must be offered to the person who would do it best.</w:t>
            </w:r>
            <w:r w:rsidR="000C2948">
              <w:t>’</w:t>
            </w:r>
            <w:r>
              <w:rPr>
                <w:rStyle w:val="FootnoteReference"/>
              </w:rPr>
              <w:footnoteReference w:id="168"/>
            </w:r>
          </w:p>
        </w:tc>
      </w:tr>
    </w:tbl>
    <w:p w14:paraId="5A601414" w14:textId="77777777" w:rsidR="0053445B" w:rsidRDefault="0053445B" w:rsidP="0053445B">
      <w:pPr>
        <w:rPr>
          <w:rFonts w:ascii="Times New Roman" w:hAnsi="Times New Roman" w:cs="Times New Roman"/>
          <w:szCs w:val="24"/>
        </w:rPr>
      </w:pPr>
    </w:p>
    <w:p w14:paraId="32EF311D" w14:textId="4217C74C" w:rsidR="0067373D" w:rsidRDefault="00D76D54" w:rsidP="00D76D54">
      <w:r>
        <w:t xml:space="preserve">The status quo </w:t>
      </w:r>
      <w:r w:rsidR="00E16EFB">
        <w:t xml:space="preserve">provides parliamentarians a high </w:t>
      </w:r>
      <w:r>
        <w:t xml:space="preserve">degree of discretion in how they staff their office. </w:t>
      </w:r>
      <w:r w:rsidR="00A52A44">
        <w:t>Maintaining this situation</w:t>
      </w:r>
      <w:r w:rsidR="0067373D">
        <w:t xml:space="preserve"> </w:t>
      </w:r>
      <w:r>
        <w:t>address</w:t>
      </w:r>
      <w:r w:rsidR="00A52A44">
        <w:t>es</w:t>
      </w:r>
      <w:r>
        <w:t xml:space="preserve"> the concern of some </w:t>
      </w:r>
      <w:r w:rsidR="00C55CD6">
        <w:t>contributor</w:t>
      </w:r>
      <w:r>
        <w:t xml:space="preserve">s </w:t>
      </w:r>
      <w:r w:rsidR="000011E2">
        <w:t xml:space="preserve">that </w:t>
      </w:r>
      <w:r>
        <w:t xml:space="preserve">requirements for </w:t>
      </w:r>
      <w:r w:rsidRPr="005F32A4">
        <w:t xml:space="preserve">recruitment </w:t>
      </w:r>
      <w:r>
        <w:t>processes</w:t>
      </w:r>
      <w:r w:rsidRPr="005F32A4">
        <w:t xml:space="preserve"> </w:t>
      </w:r>
      <w:r>
        <w:t xml:space="preserve">could </w:t>
      </w:r>
      <w:r w:rsidR="000011E2">
        <w:t xml:space="preserve">slow down the engagement and </w:t>
      </w:r>
      <w:r>
        <w:t>create a disproportionate administrative burden for smaller parties or independents</w:t>
      </w:r>
      <w:r w:rsidRPr="005F32A4">
        <w:t>.</w:t>
      </w:r>
      <w:r>
        <w:t xml:space="preserve"> </w:t>
      </w:r>
      <w:r w:rsidR="0067373D">
        <w:t>Unlike p</w:t>
      </w:r>
      <w:r>
        <w:t xml:space="preserve">arliamentarians in major parties, </w:t>
      </w:r>
      <w:r w:rsidR="0067373D">
        <w:t xml:space="preserve">smaller party or independent </w:t>
      </w:r>
      <w:r w:rsidR="00D470F2">
        <w:t>parliamentarians</w:t>
      </w:r>
      <w:r w:rsidR="0067373D">
        <w:t xml:space="preserve"> </w:t>
      </w:r>
      <w:r w:rsidR="00D470F2">
        <w:t>may</w:t>
      </w:r>
      <w:r w:rsidR="0067373D">
        <w:t xml:space="preserve"> not </w:t>
      </w:r>
      <w:r>
        <w:t xml:space="preserve">have access to </w:t>
      </w:r>
      <w:r w:rsidR="00D470F2">
        <w:t xml:space="preserve">party-based </w:t>
      </w:r>
      <w:r>
        <w:t>pool</w:t>
      </w:r>
      <w:r w:rsidR="00D470F2">
        <w:t>ing of</w:t>
      </w:r>
      <w:r>
        <w:t xml:space="preserve"> HR resources and support</w:t>
      </w:r>
      <w:r w:rsidR="00D470F2">
        <w:t>.</w:t>
      </w:r>
      <w:r>
        <w:t xml:space="preserve"> </w:t>
      </w:r>
    </w:p>
    <w:p w14:paraId="1D3BE3F4" w14:textId="4C9CD479" w:rsidR="00D76D54" w:rsidRDefault="00A52A44" w:rsidP="00D76D54">
      <w:r>
        <w:t xml:space="preserve">The status quo does not preclude </w:t>
      </w:r>
      <w:r w:rsidR="000011E2">
        <w:t xml:space="preserve">parliamentarians and their offices </w:t>
      </w:r>
      <w:r>
        <w:t>from using</w:t>
      </w:r>
      <w:r w:rsidR="000011E2">
        <w:t xml:space="preserve"> merit recruitment practices</w:t>
      </w:r>
      <w:r w:rsidR="007A474A">
        <w:t xml:space="preserve"> </w:t>
      </w:r>
      <w:r w:rsidR="0067373D">
        <w:t xml:space="preserve">but </w:t>
      </w:r>
      <w:r>
        <w:t>does not</w:t>
      </w:r>
      <w:r w:rsidR="007A474A">
        <w:t xml:space="preserve"> r</w:t>
      </w:r>
      <w:r>
        <w:t>equire them</w:t>
      </w:r>
      <w:r w:rsidR="007A474A">
        <w:t xml:space="preserve"> </w:t>
      </w:r>
      <w:r w:rsidR="0067373D">
        <w:t xml:space="preserve">to </w:t>
      </w:r>
      <w:r w:rsidR="007A474A">
        <w:t>do so</w:t>
      </w:r>
      <w:r w:rsidR="000011E2">
        <w:t xml:space="preserve">. </w:t>
      </w:r>
      <w:r>
        <w:t xml:space="preserve">The proposed </w:t>
      </w:r>
      <w:r w:rsidR="00D76D54">
        <w:t>OPSC could advocate for</w:t>
      </w:r>
      <w:r w:rsidR="000011E2">
        <w:t xml:space="preserve"> better practice</w:t>
      </w:r>
      <w:r w:rsidR="00D76D54">
        <w:t xml:space="preserve"> </w:t>
      </w:r>
      <w:r w:rsidR="000011E2">
        <w:t xml:space="preserve">in recruitment, including greater use of </w:t>
      </w:r>
      <w:r w:rsidR="004C692F">
        <w:t>merit</w:t>
      </w:r>
      <w:r w:rsidR="000011E2">
        <w:t xml:space="preserve"> recruitment processes, </w:t>
      </w:r>
      <w:r w:rsidR="00D76D54">
        <w:t xml:space="preserve">and support parliamentarians </w:t>
      </w:r>
      <w:r w:rsidR="000011E2">
        <w:t xml:space="preserve">and MoP(S) </w:t>
      </w:r>
      <w:r w:rsidR="00955B68">
        <w:t xml:space="preserve">Act </w:t>
      </w:r>
      <w:r w:rsidR="000011E2">
        <w:t xml:space="preserve">employees </w:t>
      </w:r>
      <w:r w:rsidR="00D76D54">
        <w:t xml:space="preserve">who wish to </w:t>
      </w:r>
      <w:r w:rsidR="000011E2">
        <w:t>develop their capabilities in this area.</w:t>
      </w:r>
      <w:r>
        <w:t xml:space="preserve"> This could lead to</w:t>
      </w:r>
      <w:r w:rsidR="0043250A">
        <w:t xml:space="preserve"> improved practices and greater consistency overall</w:t>
      </w:r>
      <w:r>
        <w:t>.</w:t>
      </w:r>
    </w:p>
    <w:p w14:paraId="1DA4C6E2" w14:textId="25458B73" w:rsidR="00D76D54" w:rsidRPr="00A801B3" w:rsidRDefault="00D76D54" w:rsidP="00D76D54">
      <w:pPr>
        <w:spacing w:after="160" w:line="259" w:lineRule="auto"/>
      </w:pPr>
      <w:r w:rsidRPr="007B4542">
        <w:t xml:space="preserve">In considering this option, we note some </w:t>
      </w:r>
      <w:r w:rsidR="00C55CD6">
        <w:t>contributor</w:t>
      </w:r>
      <w:r w:rsidRPr="007B4542">
        <w:t>s’ observation that a parliamentarian having</w:t>
      </w:r>
      <w:r w:rsidRPr="005F32A4">
        <w:t xml:space="preserve"> someone in mind for a specific role</w:t>
      </w:r>
      <w:r>
        <w:t xml:space="preserve"> </w:t>
      </w:r>
      <w:r w:rsidRPr="005F32A4">
        <w:t>does not mean the person has no</w:t>
      </w:r>
      <w:r w:rsidR="001F4E6F">
        <w:t>t been hired on</w:t>
      </w:r>
      <w:r w:rsidRPr="005F32A4">
        <w:t xml:space="preserve"> merit. Rather, the person may</w:t>
      </w:r>
      <w:r w:rsidR="0043250A">
        <w:t xml:space="preserve"> or may not</w:t>
      </w:r>
      <w:r w:rsidRPr="005F32A4">
        <w:t xml:space="preserve"> possess the desired combination of proven trustworthiness and the skills, networks, and knowledge needed </w:t>
      </w:r>
      <w:r>
        <w:t xml:space="preserve">to suitably perform that </w:t>
      </w:r>
      <w:r w:rsidRPr="005F32A4">
        <w:t xml:space="preserve">role. </w:t>
      </w:r>
      <w:r>
        <w:t>The Review concurs that being known to a parliamentarian does not equate to the person lacking merit.</w:t>
      </w:r>
    </w:p>
    <w:p w14:paraId="556E8B44" w14:textId="7C555D26" w:rsidR="00A72A1C" w:rsidRPr="00A12550" w:rsidRDefault="00A72A1C" w:rsidP="00A72A1C">
      <w:r w:rsidRPr="00A12550">
        <w:t>The Review note</w:t>
      </w:r>
      <w:r>
        <w:t>s</w:t>
      </w:r>
      <w:r w:rsidR="001F4E6F">
        <w:t xml:space="preserve"> other </w:t>
      </w:r>
      <w:r w:rsidR="006364D5">
        <w:t xml:space="preserve">state </w:t>
      </w:r>
      <w:r w:rsidR="001F4E6F">
        <w:t>jurisdictions where the parliamentarian is the employer do not impose a merit requirement in legislation.</w:t>
      </w:r>
      <w:r w:rsidRPr="00A12550">
        <w:rPr>
          <w:rStyle w:val="FootnoteReference"/>
        </w:rPr>
        <w:footnoteReference w:id="169"/>
      </w:r>
      <w:r w:rsidRPr="00A12550">
        <w:t xml:space="preserve"> </w:t>
      </w:r>
      <w:r w:rsidR="006364D5">
        <w:t>The application of m</w:t>
      </w:r>
      <w:r w:rsidRPr="00A12550">
        <w:t>erit in these jurisdictions appears to be left to the discretion of the parliamentarian.</w:t>
      </w:r>
    </w:p>
    <w:p w14:paraId="0CE18E44" w14:textId="77777777" w:rsidR="00D76D54" w:rsidRDefault="00A72A1C" w:rsidP="00D76D54">
      <w:r>
        <w:t>Another option we heard about in the Review is</w:t>
      </w:r>
      <w:r w:rsidR="00D76D54" w:rsidRPr="00A12550">
        <w:t xml:space="preserve"> to adopt a </w:t>
      </w:r>
      <w:r w:rsidR="004C692F">
        <w:t>merit</w:t>
      </w:r>
      <w:r w:rsidR="00D76D54" w:rsidRPr="00A12550">
        <w:t xml:space="preserve"> recruitment process that mirrors public service models. This approach would be beneficial in terms of ensuring greater transparency through the mandatory advertising of positions, clear job</w:t>
      </w:r>
      <w:r w:rsidR="00D76D54">
        <w:t xml:space="preserve"> description</w:t>
      </w:r>
      <w:r>
        <w:t>s</w:t>
      </w:r>
      <w:r w:rsidR="00D76D54">
        <w:t xml:space="preserve"> and criteri</w:t>
      </w:r>
      <w:r w:rsidR="007A474A">
        <w:t>a</w:t>
      </w:r>
      <w:r w:rsidR="00D76D54">
        <w:t>, and</w:t>
      </w:r>
      <w:r w:rsidR="00D76D54" w:rsidDel="007A474A">
        <w:t xml:space="preserve"> </w:t>
      </w:r>
      <w:r w:rsidR="00D76D54">
        <w:t xml:space="preserve">assessment process. It is possible that the qualification and experience level of MoP(S) Act </w:t>
      </w:r>
      <w:r w:rsidR="002D62B0">
        <w:t>employees</w:t>
      </w:r>
      <w:r w:rsidR="00D76D54">
        <w:t xml:space="preserve"> would increase under this model, and </w:t>
      </w:r>
      <w:r w:rsidR="007A474A">
        <w:t xml:space="preserve">it </w:t>
      </w:r>
      <w:r w:rsidR="00D76D54">
        <w:t xml:space="preserve">would appear more difficult to employ staff without these indicia of merit. </w:t>
      </w:r>
    </w:p>
    <w:p w14:paraId="441B8305" w14:textId="77777777" w:rsidR="00D76D54" w:rsidRDefault="00D76D54" w:rsidP="00D76D54">
      <w:r>
        <w:t xml:space="preserve">Several </w:t>
      </w:r>
      <w:r w:rsidR="00C55CD6">
        <w:t>contributor</w:t>
      </w:r>
      <w:r>
        <w:t xml:space="preserve">s expressed reservations on how much a </w:t>
      </w:r>
      <w:r w:rsidRPr="005F32A4">
        <w:t xml:space="preserve">merit-based recruitment </w:t>
      </w:r>
      <w:r>
        <w:t>framework</w:t>
      </w:r>
      <w:r w:rsidRPr="005F32A4">
        <w:t xml:space="preserve"> </w:t>
      </w:r>
      <w:r>
        <w:t>could tackle</w:t>
      </w:r>
      <w:r w:rsidRPr="005F32A4">
        <w:t xml:space="preserve"> embedded practice</w:t>
      </w:r>
      <w:r>
        <w:t>s</w:t>
      </w:r>
      <w:r w:rsidRPr="005F32A4">
        <w:t xml:space="preserve"> of patronage and non-merit based recruitment</w:t>
      </w:r>
      <w:r>
        <w:t xml:space="preserve">. Some </w:t>
      </w:r>
      <w:r w:rsidR="00F73858">
        <w:t xml:space="preserve">suggested </w:t>
      </w:r>
      <w:r>
        <w:t>formalised merit-based recruitment c</w:t>
      </w:r>
      <w:r w:rsidRPr="005F32A4">
        <w:t>ould be subverted</w:t>
      </w:r>
      <w:r>
        <w:t xml:space="preserve"> with workarounds</w:t>
      </w:r>
      <w:r w:rsidRPr="005F32A4">
        <w:t xml:space="preserve">. </w:t>
      </w:r>
      <w:r>
        <w:t xml:space="preserve">One </w:t>
      </w:r>
      <w:r w:rsidR="00C55CD6">
        <w:t>contributor</w:t>
      </w:r>
      <w:r>
        <w:t xml:space="preserve"> pointed to their own experience being denied a role, reportedly due to discriminatory practices. The </w:t>
      </w:r>
      <w:r w:rsidR="00C55CD6">
        <w:t>contributor</w:t>
      </w:r>
      <w:r>
        <w:t xml:space="preserve"> questioned whether a merit-based recruitment process would have prevented this outcome or merely provided a way to mask the</w:t>
      </w:r>
      <w:r w:rsidR="00F73858">
        <w:t xml:space="preserve"> true reason for the </w:t>
      </w:r>
      <w:r>
        <w:t xml:space="preserve">decision. </w:t>
      </w:r>
    </w:p>
    <w:p w14:paraId="6E7E391F" w14:textId="6CD246A2" w:rsidR="00CC3B8F" w:rsidRDefault="00A72A1C" w:rsidP="00D76D54">
      <w:r>
        <w:t>T</w:t>
      </w:r>
      <w:r w:rsidR="00D76D54">
        <w:t xml:space="preserve">he Review </w:t>
      </w:r>
      <w:r w:rsidR="007A474A">
        <w:t xml:space="preserve">also heard about </w:t>
      </w:r>
      <w:r w:rsidR="00D76D54">
        <w:t>operational realities</w:t>
      </w:r>
      <w:r>
        <w:t xml:space="preserve"> associated with this kind of merit recruitment</w:t>
      </w:r>
      <w:r w:rsidR="00D76D54">
        <w:t xml:space="preserve">. In particular, the Review heard from a significant number of </w:t>
      </w:r>
      <w:r w:rsidR="00C55CD6">
        <w:t>contributor</w:t>
      </w:r>
      <w:r w:rsidR="00D76D54">
        <w:t>s a</w:t>
      </w:r>
      <w:r>
        <w:t xml:space="preserve">bout </w:t>
      </w:r>
      <w:r w:rsidR="00D76D54">
        <w:t xml:space="preserve">the risk of </w:t>
      </w:r>
      <w:r>
        <w:t>introducing a</w:t>
      </w:r>
      <w:r w:rsidR="00D76D54">
        <w:t xml:space="preserve"> bureaucratic process </w:t>
      </w:r>
      <w:r>
        <w:t xml:space="preserve">that is neither </w:t>
      </w:r>
      <w:r w:rsidR="00D76D54">
        <w:t>workable no</w:t>
      </w:r>
      <w:r>
        <w:t>r</w:t>
      </w:r>
      <w:r w:rsidR="00D76D54">
        <w:t xml:space="preserve"> time sensitive to parliamentarians’ needs. </w:t>
      </w:r>
      <w:r w:rsidR="00CC3B8F">
        <w:t>A particular</w:t>
      </w:r>
      <w:r w:rsidR="00D76D54">
        <w:t xml:space="preserve"> burden was</w:t>
      </w:r>
      <w:r w:rsidR="00CC3B8F">
        <w:t xml:space="preserve"> perceived </w:t>
      </w:r>
      <w:r w:rsidR="00D76D54">
        <w:t xml:space="preserve">by smaller offices, such as those with only four staff. </w:t>
      </w:r>
      <w:r w:rsidR="00332604">
        <w:t>While supporting merit</w:t>
      </w:r>
      <w:r w:rsidR="00CF5D3B">
        <w:noBreakHyphen/>
      </w:r>
      <w:r w:rsidR="00332604">
        <w:t xml:space="preserve">based selection, the CPSU emphasised </w:t>
      </w:r>
      <w:r w:rsidR="00CF5D3B">
        <w:t>in its submission</w:t>
      </w:r>
      <w:r w:rsidR="00332604">
        <w:t>‘… not all APS and PS Act requirements may be appropriate or practical for MOPS Act employees…’</w:t>
      </w:r>
      <w:r w:rsidR="00160192">
        <w:t>.</w:t>
      </w:r>
      <w:r w:rsidR="00332604">
        <w:rPr>
          <w:rStyle w:val="FootnoteReference"/>
        </w:rPr>
        <w:footnoteReference w:id="170"/>
      </w:r>
    </w:p>
    <w:p w14:paraId="7B624016" w14:textId="0DB3F001" w:rsidR="0007349B" w:rsidRDefault="00E840C9" w:rsidP="00D76D54">
      <w:r>
        <w:t xml:space="preserve">In New Zealand, </w:t>
      </w:r>
      <w:r w:rsidR="009000C7">
        <w:t xml:space="preserve">the recruitment of staff </w:t>
      </w:r>
      <w:r w:rsidR="0007349B">
        <w:t xml:space="preserve">is </w:t>
      </w:r>
      <w:r w:rsidR="00BA569B">
        <w:t>merit-based</w:t>
      </w:r>
      <w:r w:rsidR="0007349B">
        <w:t xml:space="preserve"> and centralised. It is led by</w:t>
      </w:r>
      <w:r w:rsidR="009000C7">
        <w:t xml:space="preserve"> </w:t>
      </w:r>
      <w:r>
        <w:t xml:space="preserve">Parliamentary Services </w:t>
      </w:r>
      <w:r w:rsidR="0007349B">
        <w:t>(</w:t>
      </w:r>
      <w:r w:rsidR="009000C7">
        <w:t>for parliamentarian staff</w:t>
      </w:r>
      <w:r w:rsidR="0007349B">
        <w:t>)</w:t>
      </w:r>
      <w:r w:rsidR="009000C7">
        <w:t xml:space="preserve"> </w:t>
      </w:r>
      <w:r>
        <w:t>and the Department of Internal Affairs</w:t>
      </w:r>
      <w:r w:rsidR="009000C7">
        <w:t xml:space="preserve"> </w:t>
      </w:r>
      <w:r w:rsidR="0007349B">
        <w:t>(</w:t>
      </w:r>
      <w:r w:rsidR="009000C7">
        <w:t>for minister</w:t>
      </w:r>
      <w:r w:rsidR="0031263D">
        <w:t>ial</w:t>
      </w:r>
      <w:r w:rsidR="009000C7">
        <w:t xml:space="preserve"> staff</w:t>
      </w:r>
      <w:r w:rsidR="0007349B">
        <w:t>), in consultation with parliamentarians</w:t>
      </w:r>
      <w:r w:rsidR="009000C7">
        <w:t>.</w:t>
      </w:r>
      <w:r>
        <w:t xml:space="preserve"> </w:t>
      </w:r>
      <w:r w:rsidR="00E221C3">
        <w:t>Parliamentary Services and</w:t>
      </w:r>
      <w:r w:rsidR="0007349B">
        <w:t xml:space="preserve"> the Department</w:t>
      </w:r>
      <w:r w:rsidR="00BA569B">
        <w:t xml:space="preserve"> are the ‘employer’</w:t>
      </w:r>
      <w:r w:rsidR="00E221C3">
        <w:t xml:space="preserve"> for MoP(S) </w:t>
      </w:r>
      <w:r w:rsidR="00840623">
        <w:t xml:space="preserve">Act </w:t>
      </w:r>
      <w:r w:rsidR="00E221C3">
        <w:t>equivalent</w:t>
      </w:r>
      <w:r w:rsidR="0007349B">
        <w:t xml:space="preserve"> employees</w:t>
      </w:r>
      <w:r w:rsidR="00BA569B">
        <w:t>, whereas ministers or parliamentarians are day-to-day managers.</w:t>
      </w:r>
      <w:r w:rsidR="00FF7C34">
        <w:rPr>
          <w:rStyle w:val="FootnoteReference"/>
        </w:rPr>
        <w:footnoteReference w:id="171"/>
      </w:r>
      <w:r w:rsidR="00FF7C34">
        <w:t xml:space="preserve"> </w:t>
      </w:r>
    </w:p>
    <w:p w14:paraId="03418681" w14:textId="77777777" w:rsidR="00D76D54" w:rsidRDefault="00CC3B8F" w:rsidP="00D76D54">
      <w:r>
        <w:t xml:space="preserve">In addition, </w:t>
      </w:r>
      <w:r w:rsidR="004403E4">
        <w:t xml:space="preserve">Parliamentary Services in </w:t>
      </w:r>
      <w:r>
        <w:t>New Zealand maintains</w:t>
      </w:r>
      <w:r w:rsidR="00D76D54">
        <w:t xml:space="preserve"> a roving pool of deployable permanent </w:t>
      </w:r>
      <w:r w:rsidR="004403E4">
        <w:t xml:space="preserve">Member Support </w:t>
      </w:r>
      <w:r w:rsidR="00D76D54">
        <w:t>staff</w:t>
      </w:r>
      <w:r w:rsidR="0007349B">
        <w:t xml:space="preserve">. These staff </w:t>
      </w:r>
      <w:r w:rsidR="004403E4">
        <w:t>can be deployed</w:t>
      </w:r>
      <w:r w:rsidR="00D76D54">
        <w:t xml:space="preserve"> where a portfolio is particularly busy, after ministerial reshuffles, and to backfill permanent staff taking leave. The roving pool is engaged, either directly in a parliamentarian’s office o</w:t>
      </w:r>
      <w:r w:rsidR="0007349B">
        <w:t>r within</w:t>
      </w:r>
      <w:r w:rsidR="00D76D54">
        <w:t xml:space="preserve"> </w:t>
      </w:r>
      <w:r w:rsidR="00DA6FEB">
        <w:t>Parliamentary Services</w:t>
      </w:r>
      <w:r w:rsidR="00D76D54">
        <w:t>.</w:t>
      </w:r>
      <w:r w:rsidR="00687F58">
        <w:t xml:space="preserve"> </w:t>
      </w:r>
      <w:r w:rsidR="00CB4011">
        <w:t xml:space="preserve">In </w:t>
      </w:r>
      <w:r w:rsidR="00CB4011" w:rsidRPr="00CB4011">
        <w:t>2019, t</w:t>
      </w:r>
      <w:r w:rsidR="00687F58" w:rsidRPr="00CB4011">
        <w:t xml:space="preserve">he External </w:t>
      </w:r>
      <w:r w:rsidR="0007349B" w:rsidRPr="00CB4011">
        <w:t xml:space="preserve">Independent </w:t>
      </w:r>
      <w:r w:rsidR="00687F58" w:rsidRPr="00CB4011">
        <w:t xml:space="preserve">Review of the New Zealand Parliamentary workplace saw this core of continuing support staff, with or without party affiliation, as key to the further professionalisation of member support as it </w:t>
      </w:r>
      <w:r w:rsidR="00FC6428" w:rsidRPr="00CB4011">
        <w:t>retain</w:t>
      </w:r>
      <w:r w:rsidR="00687F58" w:rsidRPr="00CB4011">
        <w:t xml:space="preserve">s corporate knowledge and </w:t>
      </w:r>
      <w:r w:rsidR="00FC6428" w:rsidRPr="00CB4011">
        <w:t>a flexible cadre of skilled employees</w:t>
      </w:r>
      <w:r w:rsidR="00687F58" w:rsidRPr="00CB4011">
        <w:t>.</w:t>
      </w:r>
      <w:r w:rsidR="00D76D54" w:rsidRPr="00CB4011">
        <w:rPr>
          <w:rStyle w:val="FootnoteReference"/>
        </w:rPr>
        <w:footnoteReference w:id="172"/>
      </w:r>
      <w:r w:rsidR="00D76D54">
        <w:t xml:space="preserve">  </w:t>
      </w:r>
    </w:p>
    <w:p w14:paraId="03D1B5BE" w14:textId="77777777" w:rsidR="009E1C23" w:rsidRPr="000F4C43" w:rsidRDefault="00600B1E" w:rsidP="00D76D54">
      <w:r>
        <w:t xml:space="preserve">The New Zealand model mitigates the risk of poor and non-merit recruitment decisions associated with direct recruitment. We heard repeatedly in the Review how important it was for parliamentarians to choose the employees in their office. While </w:t>
      </w:r>
      <w:r w:rsidRPr="00CB4011">
        <w:t>parliamentarians do</w:t>
      </w:r>
      <w:r>
        <w:t xml:space="preserve"> choose their staff in the New Zealand model, it is only from a limited pool pr</w:t>
      </w:r>
      <w:r w:rsidR="000F4C43">
        <w:t>esented to them as a shortlist.</w:t>
      </w:r>
    </w:p>
    <w:p w14:paraId="1F35FA51" w14:textId="77777777" w:rsidR="00744DD5" w:rsidRDefault="00600B1E" w:rsidP="00D76D54">
      <w:r>
        <w:t>A</w:t>
      </w:r>
      <w:r w:rsidR="00915E39">
        <w:t xml:space="preserve"> third option is to tailor a</w:t>
      </w:r>
      <w:r w:rsidR="00D76D54">
        <w:t xml:space="preserve"> merit process to the M</w:t>
      </w:r>
      <w:r w:rsidR="00915E39">
        <w:t>oP(S) context</w:t>
      </w:r>
      <w:r w:rsidR="00D76D54">
        <w:t>. This option could introduce a requirement</w:t>
      </w:r>
      <w:r w:rsidR="001F4E6F">
        <w:t xml:space="preserve"> that</w:t>
      </w:r>
      <w:r w:rsidR="00D76D54">
        <w:t xml:space="preserve"> a candidate must be considered by the parlia</w:t>
      </w:r>
      <w:r w:rsidR="00915E39">
        <w:t xml:space="preserve">mentarian to be suitable </w:t>
      </w:r>
      <w:r w:rsidR="00D76D54">
        <w:t>taking into account their capabilities and attributes, the specified role requirements, and the process undertaken by the parliamentarian or</w:t>
      </w:r>
      <w:r w:rsidR="00A12550">
        <w:t xml:space="preserve"> their office. This option</w:t>
      </w:r>
      <w:r w:rsidR="00D76D54">
        <w:t xml:space="preserve"> require</w:t>
      </w:r>
      <w:r w:rsidR="00A12550">
        <w:t>s</w:t>
      </w:r>
      <w:r w:rsidR="00D76D54">
        <w:t xml:space="preserve"> planning prior to recruitment to identify the skills and attributes required for the role, and an articulation of these in some form of position description</w:t>
      </w:r>
      <w:r w:rsidR="00A72A1C">
        <w:t>.</w:t>
      </w:r>
      <w:r w:rsidR="00D76D54">
        <w:t xml:space="preserve"> There would be no formal requirements to advertise roles, although this may be considered by the OPSC in </w:t>
      </w:r>
      <w:r w:rsidR="00915E39">
        <w:t>any advice it provides about</w:t>
      </w:r>
      <w:r w:rsidR="00D76D54">
        <w:t xml:space="preserve"> best practice</w:t>
      </w:r>
      <w:r w:rsidR="00744DD5">
        <w:t xml:space="preserve"> in recruitment processes</w:t>
      </w:r>
      <w:r w:rsidR="00D76D54">
        <w:t xml:space="preserve">. </w:t>
      </w:r>
    </w:p>
    <w:p w14:paraId="74D0BA0C" w14:textId="4B0B003F" w:rsidR="00D76D54" w:rsidRDefault="00744DD5" w:rsidP="00D76D54">
      <w:r>
        <w:t>The accountability of</w:t>
      </w:r>
      <w:r w:rsidR="00D76D54">
        <w:t xml:space="preserve"> parliamentarian</w:t>
      </w:r>
      <w:r>
        <w:t>s</w:t>
      </w:r>
      <w:r w:rsidR="000F4C43">
        <w:t xml:space="preserve"> for recruitment decisions can be supported by a </w:t>
      </w:r>
      <w:r w:rsidR="00D76D54">
        <w:t>requirement they at</w:t>
      </w:r>
      <w:r>
        <w:t>test to the suitability of the chosen candidate for a</w:t>
      </w:r>
      <w:r w:rsidR="00D76D54">
        <w:t xml:space="preserve"> </w:t>
      </w:r>
      <w:r>
        <w:t xml:space="preserve">specified </w:t>
      </w:r>
      <w:r w:rsidR="00D76D54">
        <w:t>role</w:t>
      </w:r>
      <w:r w:rsidR="000F4C43">
        <w:t xml:space="preserve"> and outline </w:t>
      </w:r>
      <w:r w:rsidR="00D470F2">
        <w:t xml:space="preserve">any </w:t>
      </w:r>
      <w:r w:rsidR="000F4C43">
        <w:t>recruitment process undertaken</w:t>
      </w:r>
      <w:r>
        <w:t xml:space="preserve">. This </w:t>
      </w:r>
      <w:r w:rsidR="00E1757E">
        <w:t>c</w:t>
      </w:r>
      <w:r>
        <w:t>ould be provide</w:t>
      </w:r>
      <w:r w:rsidR="00E1757E">
        <w:t>d</w:t>
      </w:r>
      <w:r>
        <w:t xml:space="preserve"> in writing</w:t>
      </w:r>
      <w:r w:rsidR="00C725FA">
        <w:t xml:space="preserve"> to the OPSC for its oversight. </w:t>
      </w:r>
    </w:p>
    <w:p w14:paraId="067E5E01" w14:textId="77777777" w:rsidR="00D76D54" w:rsidRDefault="00D76D54" w:rsidP="00D76D54">
      <w:r>
        <w:t xml:space="preserve">The same risks around the impact of this option </w:t>
      </w:r>
      <w:r w:rsidR="000F4C43">
        <w:t xml:space="preserve">being subverted </w:t>
      </w:r>
      <w:r>
        <w:t xml:space="preserve">and the possibility of workarounds apply to this option. </w:t>
      </w:r>
    </w:p>
    <w:p w14:paraId="38E8FCFE" w14:textId="48151F64" w:rsidR="00D76D54" w:rsidRDefault="00D76D54" w:rsidP="00D76D54">
      <w:r w:rsidRPr="00792DF1">
        <w:t xml:space="preserve">In the context of MoP(S) Act </w:t>
      </w:r>
      <w:r w:rsidR="002D62B0">
        <w:t>employees</w:t>
      </w:r>
      <w:r w:rsidRPr="00792DF1">
        <w:t xml:space="preserve">, </w:t>
      </w:r>
      <w:r w:rsidR="00142173" w:rsidRPr="00142173">
        <w:rPr>
          <w:i/>
        </w:rPr>
        <w:t>Set the Standard</w:t>
      </w:r>
      <w:r w:rsidRPr="00792DF1">
        <w:t xml:space="preserve"> and </w:t>
      </w:r>
      <w:r>
        <w:t>this</w:t>
      </w:r>
      <w:r w:rsidRPr="00792DF1">
        <w:t xml:space="preserve"> Review both recognise the need for some flexibility on what constitutes merit</w:t>
      </w:r>
      <w:r>
        <w:t>.</w:t>
      </w:r>
      <w:r w:rsidRPr="00792DF1">
        <w:t xml:space="preserve"> </w:t>
      </w:r>
      <w:r>
        <w:t xml:space="preserve">The </w:t>
      </w:r>
      <w:r w:rsidR="00F23879">
        <w:t>Review</w:t>
      </w:r>
      <w:r>
        <w:t xml:space="preserve"> accepts the notion that it is reasonable for d</w:t>
      </w:r>
      <w:r w:rsidRPr="00792DF1">
        <w:t xml:space="preserve">ecisions on recruitment for MoP(S) Act </w:t>
      </w:r>
      <w:r w:rsidR="002D62B0">
        <w:t>employees</w:t>
      </w:r>
      <w:r w:rsidRPr="00792DF1">
        <w:t xml:space="preserve"> </w:t>
      </w:r>
      <w:r w:rsidR="00B52C90">
        <w:t xml:space="preserve">to </w:t>
      </w:r>
      <w:r w:rsidRPr="00792DF1">
        <w:t>rest not only upon the technical ability of an individual but also their</w:t>
      </w:r>
      <w:r>
        <w:t xml:space="preserve"> political capital and acumen and </w:t>
      </w:r>
      <w:r w:rsidRPr="00792DF1">
        <w:t>their track record of trustworthiness to a political party</w:t>
      </w:r>
      <w:r w:rsidR="0081075C">
        <w:t xml:space="preserve"> or independent member</w:t>
      </w:r>
      <w:r>
        <w:t>.</w:t>
      </w:r>
    </w:p>
    <w:p w14:paraId="5D3E71B1" w14:textId="77777777" w:rsidR="004140B3" w:rsidRDefault="004140B3" w:rsidP="00D76D54"/>
    <w:p w14:paraId="3F9C6FD6" w14:textId="2EA77E07" w:rsidR="00845238" w:rsidRDefault="00AD5904" w:rsidP="00051BDA">
      <w:pPr>
        <w:pStyle w:val="Heading3"/>
      </w:pPr>
      <w:r>
        <w:t xml:space="preserve">4.3.3 </w:t>
      </w:r>
      <w:r w:rsidR="00845238">
        <w:t>Conclusion</w:t>
      </w:r>
    </w:p>
    <w:p w14:paraId="6F7B4B17" w14:textId="00155F56" w:rsidR="000F4C43" w:rsidRDefault="00915E39" w:rsidP="00D76D54">
      <w:r>
        <w:t xml:space="preserve">The </w:t>
      </w:r>
      <w:r w:rsidR="00D76D54">
        <w:t xml:space="preserve">Review considers the third option presents the greatest potential benefits. It reflects the need for both merit-based recruitment and the contextual requirement for parliamentarians to exercise discretion in the weighting given to the mix of skills, </w:t>
      </w:r>
      <w:r w:rsidR="005D72B1">
        <w:t>qualities</w:t>
      </w:r>
      <w:r w:rsidR="00D76D54">
        <w:t xml:space="preserve"> and </w:t>
      </w:r>
      <w:r w:rsidR="009409CD">
        <w:t>overall capacity</w:t>
      </w:r>
      <w:r w:rsidR="005D72B1">
        <w:t xml:space="preserve"> to successfully perform the prescribed role. The Review finds that the exercise</w:t>
      </w:r>
      <w:r w:rsidR="00D76D54">
        <w:t xml:space="preserve"> of </w:t>
      </w:r>
      <w:r w:rsidR="005D72B1">
        <w:t xml:space="preserve">this discretion by the employing parliamentarian needs to be balanced with an accountability counterpoint. This counterpoint is the requirement to recruit staff against specified position descriptions and </w:t>
      </w:r>
      <w:r w:rsidR="00D76D54">
        <w:t xml:space="preserve">a process </w:t>
      </w:r>
      <w:r w:rsidR="005D72B1">
        <w:t xml:space="preserve">of </w:t>
      </w:r>
      <w:r w:rsidR="0081075C">
        <w:t xml:space="preserve">to </w:t>
      </w:r>
      <w:r w:rsidR="005D72B1">
        <w:t xml:space="preserve">assess the candidate’s </w:t>
      </w:r>
      <w:r w:rsidR="009409CD">
        <w:t>capacity to perform the prescribed role</w:t>
      </w:r>
      <w:r w:rsidR="005D72B1">
        <w:t xml:space="preserve">, as identified in Recommendation 7. </w:t>
      </w:r>
      <w:r w:rsidR="00D76D54">
        <w:t xml:space="preserve"> </w:t>
      </w:r>
    </w:p>
    <w:p w14:paraId="67FCB634" w14:textId="3F8D709A" w:rsidR="003E096C" w:rsidRDefault="00D76D54" w:rsidP="00D76D54">
      <w:r>
        <w:t xml:space="preserve">The Review considers the </w:t>
      </w:r>
      <w:r w:rsidR="003E096C">
        <w:t xml:space="preserve">preferred </w:t>
      </w:r>
      <w:r>
        <w:t xml:space="preserve">mechanism for </w:t>
      </w:r>
      <w:r w:rsidR="00DA05AC">
        <w:t xml:space="preserve">enacting </w:t>
      </w:r>
      <w:r>
        <w:t xml:space="preserve">this option </w:t>
      </w:r>
      <w:r w:rsidR="003E096C">
        <w:t xml:space="preserve">is </w:t>
      </w:r>
      <w:r>
        <w:t>the inclusion of a</w:t>
      </w:r>
      <w:r w:rsidR="00A72A1C">
        <w:t xml:space="preserve"> requirement in the </w:t>
      </w:r>
      <w:r w:rsidR="00EB15B4">
        <w:t xml:space="preserve">MoP(S) </w:t>
      </w:r>
      <w:r w:rsidR="00A72A1C">
        <w:t>Act</w:t>
      </w:r>
      <w:r w:rsidR="00754756">
        <w:t xml:space="preserve"> relating </w:t>
      </w:r>
      <w:r w:rsidR="00A72A1C" w:rsidRPr="00817AC5">
        <w:t xml:space="preserve">to </w:t>
      </w:r>
      <w:r w:rsidR="00754756">
        <w:t>the obligations</w:t>
      </w:r>
      <w:r w:rsidR="00DA05AC">
        <w:t xml:space="preserve"> of </w:t>
      </w:r>
      <w:r w:rsidR="00754756">
        <w:t>parliamentarians as employers</w:t>
      </w:r>
      <w:r w:rsidR="00A72A1C">
        <w:t>.</w:t>
      </w:r>
      <w:r w:rsidR="00DA05AC">
        <w:t xml:space="preserve"> Recommendation 10</w:t>
      </w:r>
      <w:r w:rsidR="00754756">
        <w:t xml:space="preserve"> achieves this through including</w:t>
      </w:r>
      <w:r w:rsidR="00DA05AC">
        <w:t xml:space="preserve"> the requirement</w:t>
      </w:r>
      <w:r w:rsidR="00A72A1C" w:rsidRPr="00817AC5">
        <w:t xml:space="preserve"> </w:t>
      </w:r>
      <w:r w:rsidR="00754756">
        <w:t>for parliamentarians</w:t>
      </w:r>
      <w:r w:rsidR="00DA05AC">
        <w:t xml:space="preserve"> to make recruitment decisions based on an assessment of capability. </w:t>
      </w:r>
    </w:p>
    <w:p w14:paraId="64E6C4AD" w14:textId="6403F942" w:rsidR="00ED2DD9" w:rsidRPr="00275F23" w:rsidRDefault="000F36C1" w:rsidP="00D76D54">
      <w:r>
        <w:t>The</w:t>
      </w:r>
      <w:r w:rsidR="00915E39">
        <w:t xml:space="preserve"> Review acknowledges</w:t>
      </w:r>
      <w:r w:rsidR="00D76D54">
        <w:t xml:space="preserve"> a </w:t>
      </w:r>
      <w:r w:rsidR="00DA05AC">
        <w:t>stronger articulation of recruitment process obligations</w:t>
      </w:r>
      <w:r w:rsidR="00D76D54">
        <w:t xml:space="preserve"> </w:t>
      </w:r>
      <w:r w:rsidR="00915E39">
        <w:t>will only go part-way to</w:t>
      </w:r>
      <w:r w:rsidR="00D76D54">
        <w:t xml:space="preserve"> greater transparency and accountability in the recruitment of MoP(S) Act </w:t>
      </w:r>
      <w:r w:rsidR="002D62B0">
        <w:t>employees</w:t>
      </w:r>
      <w:r w:rsidR="00D76D54">
        <w:t>.</w:t>
      </w:r>
      <w:r w:rsidR="00915E39">
        <w:t xml:space="preserve"> </w:t>
      </w:r>
      <w:r w:rsidR="00DA05AC">
        <w:t xml:space="preserve">Broader points, as outlined in the Review findings below, will inform the OPSC on embedding professional recruitment standards in the parliamentary workplace.  </w:t>
      </w:r>
    </w:p>
    <w:p w14:paraId="04140E3F" w14:textId="3B909015" w:rsidR="006F62BD" w:rsidRDefault="006F62BD">
      <w:pPr>
        <w:spacing w:after="200"/>
      </w:pPr>
      <w:r>
        <w:br w:type="page"/>
      </w:r>
    </w:p>
    <w:p w14:paraId="107341DC" w14:textId="77777777" w:rsidR="00085346" w:rsidRPr="00C26361" w:rsidRDefault="00085346" w:rsidP="00C26361">
      <w:pPr>
        <w:pStyle w:val="Lightshadebox"/>
        <w:rPr>
          <w:b/>
        </w:rPr>
      </w:pPr>
      <w:bookmarkStart w:id="4112" w:name="_Toc114240616"/>
      <w:bookmarkStart w:id="4113" w:name="_Toc114240690"/>
      <w:bookmarkStart w:id="4114" w:name="_Toc114241034"/>
      <w:r w:rsidRPr="00C26361">
        <w:rPr>
          <w:b/>
        </w:rPr>
        <w:t>Findings to inform the work of OPSC</w:t>
      </w:r>
      <w:bookmarkEnd w:id="4112"/>
      <w:bookmarkEnd w:id="4113"/>
      <w:bookmarkEnd w:id="4114"/>
    </w:p>
    <w:p w14:paraId="30B24687" w14:textId="77777777" w:rsidR="00085346" w:rsidRDefault="00085346" w:rsidP="00C26361">
      <w:pPr>
        <w:pStyle w:val="Lightshadebox"/>
      </w:pPr>
      <w:r>
        <w:t xml:space="preserve">OPSC could support the above recommendation as part of their broader work in implementing Recommendation 12 of </w:t>
      </w:r>
      <w:r w:rsidR="00142173" w:rsidRPr="00142173">
        <w:rPr>
          <w:i/>
        </w:rPr>
        <w:t>Set the Standard</w:t>
      </w:r>
      <w:r>
        <w:t xml:space="preserve"> by: </w:t>
      </w:r>
    </w:p>
    <w:p w14:paraId="58752AAD" w14:textId="57060FD3" w:rsidR="004D01D3" w:rsidRDefault="004D01D3" w:rsidP="00C26361">
      <w:pPr>
        <w:pStyle w:val="Lightshadebox"/>
        <w:numPr>
          <w:ilvl w:val="0"/>
          <w:numId w:val="46"/>
        </w:numPr>
      </w:pPr>
      <w:r w:rsidRPr="006E4FAD">
        <w:t xml:space="preserve">providing advice to parliamentarians on how to conduct recruitment processes that assess capability and help ensure any additional administrative burden </w:t>
      </w:r>
      <w:r w:rsidR="0092347A" w:rsidRPr="006E4FAD">
        <w:t xml:space="preserve">of such processes </w:t>
      </w:r>
      <w:r w:rsidRPr="006E4FAD">
        <w:t xml:space="preserve">is </w:t>
      </w:r>
      <w:r w:rsidR="00D470F2">
        <w:t>reasonable</w:t>
      </w:r>
    </w:p>
    <w:p w14:paraId="424865F6" w14:textId="42AB0A8B" w:rsidR="00085346" w:rsidRDefault="004E58A9" w:rsidP="00C26361">
      <w:pPr>
        <w:pStyle w:val="Lightshadebox"/>
        <w:numPr>
          <w:ilvl w:val="0"/>
          <w:numId w:val="46"/>
        </w:numPr>
      </w:pPr>
      <w:r>
        <w:t xml:space="preserve">establishing a process </w:t>
      </w:r>
      <w:r w:rsidR="00542450">
        <w:t xml:space="preserve">for </w:t>
      </w:r>
      <w:r w:rsidR="00085346">
        <w:t>parliamentarians to demonstrate</w:t>
      </w:r>
      <w:r w:rsidR="00085346" w:rsidDel="00542450">
        <w:t xml:space="preserve"> </w:t>
      </w:r>
      <w:r w:rsidR="00085346">
        <w:t xml:space="preserve">recruitment </w:t>
      </w:r>
      <w:r w:rsidR="00BA139A">
        <w:t>decisions are based on an assessment of capability</w:t>
      </w:r>
      <w:r>
        <w:t>, which</w:t>
      </w:r>
      <w:r w:rsidR="00085346">
        <w:t xml:space="preserve"> may include evidence such as a signed statement to affirm the principles outlined in the MoP(S) Act amendments were applied</w:t>
      </w:r>
    </w:p>
    <w:p w14:paraId="33D68086" w14:textId="78F27295" w:rsidR="00085346" w:rsidRPr="006E4FAD" w:rsidRDefault="00085346" w:rsidP="00C26361">
      <w:pPr>
        <w:pStyle w:val="Lightshadebox"/>
        <w:numPr>
          <w:ilvl w:val="0"/>
          <w:numId w:val="46"/>
        </w:numPr>
      </w:pPr>
      <w:r w:rsidRPr="006E4FAD">
        <w:t xml:space="preserve">considering how best to leverage </w:t>
      </w:r>
      <w:r w:rsidR="004E58A9" w:rsidRPr="006E4FAD">
        <w:t xml:space="preserve">political party </w:t>
      </w:r>
      <w:r w:rsidRPr="006E4FAD">
        <w:t xml:space="preserve">human resource bodies, like central staffing committees, </w:t>
      </w:r>
      <w:r>
        <w:t xml:space="preserve">to </w:t>
      </w:r>
      <w:r w:rsidR="004E4AA0">
        <w:t xml:space="preserve">help </w:t>
      </w:r>
      <w:r>
        <w:t>ensuring greater use of</w:t>
      </w:r>
      <w:r w:rsidR="004E4AA0">
        <w:t xml:space="preserve"> </w:t>
      </w:r>
      <w:r w:rsidR="00584A7A">
        <w:t>best practice</w:t>
      </w:r>
      <w:r>
        <w:t xml:space="preserve"> recruitment with a focus on improving diversity.</w:t>
      </w:r>
    </w:p>
    <w:p w14:paraId="470D6BD2" w14:textId="77777777" w:rsidR="00085346" w:rsidRDefault="00085346" w:rsidP="00D76D54"/>
    <w:p w14:paraId="68EE3AA4" w14:textId="4926A309" w:rsidR="00D76D54" w:rsidRPr="000F2E36" w:rsidRDefault="00CB056F" w:rsidP="00CB056F">
      <w:pPr>
        <w:pStyle w:val="Heading2"/>
      </w:pPr>
      <w:bookmarkStart w:id="4115" w:name="_Toc115213233"/>
      <w:bookmarkStart w:id="4116" w:name="_Toc104212784"/>
      <w:bookmarkStart w:id="4117" w:name="_Toc114230883"/>
      <w:bookmarkStart w:id="4118" w:name="_Toc114232940"/>
      <w:bookmarkStart w:id="4119" w:name="_Toc114233588"/>
      <w:bookmarkStart w:id="4120" w:name="_Toc114233660"/>
      <w:bookmarkStart w:id="4121" w:name="_Toc114240617"/>
      <w:bookmarkStart w:id="4122" w:name="_Toc114240691"/>
      <w:bookmarkStart w:id="4123" w:name="_Toc114241035"/>
      <w:bookmarkStart w:id="4124" w:name="_Toc114494056"/>
      <w:bookmarkStart w:id="4125" w:name="_Toc114500307"/>
      <w:bookmarkStart w:id="4126" w:name="_Toc114500382"/>
      <w:bookmarkStart w:id="4127" w:name="_Toc114518655"/>
      <w:bookmarkStart w:id="4128" w:name="_Toc114520327"/>
      <w:bookmarkStart w:id="4129" w:name="_Toc114520736"/>
      <w:bookmarkStart w:id="4130" w:name="_Toc114565764"/>
      <w:bookmarkStart w:id="4131" w:name="_Toc114566745"/>
      <w:bookmarkStart w:id="4132" w:name="_Toc114566970"/>
      <w:bookmarkStart w:id="4133" w:name="_Toc114566894"/>
      <w:bookmarkStart w:id="4134" w:name="_Toc114585895"/>
      <w:bookmarkStart w:id="4135" w:name="_Toc114586039"/>
      <w:bookmarkStart w:id="4136" w:name="_Toc114586111"/>
      <w:bookmarkStart w:id="4137" w:name="_Toc114601251"/>
      <w:bookmarkStart w:id="4138" w:name="_Toc114657292"/>
      <w:bookmarkStart w:id="4139" w:name="_Toc114659754"/>
      <w:bookmarkStart w:id="4140" w:name="_Toc114662739"/>
      <w:bookmarkStart w:id="4141" w:name="_Toc114665123"/>
      <w:bookmarkStart w:id="4142" w:name="_Toc114672432"/>
      <w:bookmarkStart w:id="4143" w:name="_Toc114672644"/>
      <w:bookmarkStart w:id="4144" w:name="_Toc114673199"/>
      <w:bookmarkStart w:id="4145" w:name="_Toc114673785"/>
      <w:bookmarkStart w:id="4146" w:name="_Toc114674310"/>
      <w:bookmarkStart w:id="4147" w:name="_Toc114687483"/>
      <w:bookmarkStart w:id="4148" w:name="_Toc114689947"/>
      <w:bookmarkStart w:id="4149" w:name="_Toc114731810"/>
      <w:bookmarkStart w:id="4150" w:name="_Toc114733575"/>
      <w:bookmarkStart w:id="4151" w:name="_Toc114735516"/>
      <w:bookmarkStart w:id="4152" w:name="_Toc114755844"/>
      <w:bookmarkStart w:id="4153" w:name="_Toc114757149"/>
      <w:bookmarkStart w:id="4154" w:name="_Toc114757433"/>
      <w:bookmarkStart w:id="4155" w:name="_Toc114757535"/>
      <w:bookmarkStart w:id="4156" w:name="_Toc114758208"/>
      <w:bookmarkStart w:id="4157" w:name="_Toc114824378"/>
      <w:bookmarkStart w:id="4158" w:name="_Toc114829454"/>
      <w:bookmarkStart w:id="4159" w:name="_Toc114829818"/>
      <w:bookmarkStart w:id="4160" w:name="_Toc114829962"/>
      <w:bookmarkStart w:id="4161" w:name="_Toc115099041"/>
      <w:bookmarkStart w:id="4162" w:name="_Toc115099113"/>
      <w:bookmarkStart w:id="4163" w:name="_Toc115101690"/>
      <w:bookmarkStart w:id="4164" w:name="_Toc115102535"/>
      <w:bookmarkStart w:id="4165" w:name="_Toc115105508"/>
      <w:bookmarkStart w:id="4166" w:name="_Toc115110369"/>
      <w:bookmarkStart w:id="4167" w:name="_Toc115110496"/>
      <w:bookmarkStart w:id="4168" w:name="_Toc115121614"/>
      <w:bookmarkStart w:id="4169" w:name="_Toc115121984"/>
      <w:bookmarkStart w:id="4170" w:name="_Toc115123464"/>
      <w:bookmarkStart w:id="4171" w:name="_Toc115123712"/>
      <w:bookmarkStart w:id="4172" w:name="_Toc115126844"/>
      <w:bookmarkStart w:id="4173" w:name="_Toc115185480"/>
      <w:bookmarkStart w:id="4174" w:name="_Toc115186107"/>
      <w:bookmarkStart w:id="4175" w:name="_Toc115189265"/>
      <w:bookmarkStart w:id="4176" w:name="_Toc115194238"/>
      <w:bookmarkStart w:id="4177" w:name="_Toc115194975"/>
      <w:bookmarkStart w:id="4178" w:name="_Toc115196385"/>
      <w:bookmarkStart w:id="4179" w:name="_Toc115198886"/>
      <w:bookmarkStart w:id="4180" w:name="_Toc115208901"/>
      <w:bookmarkStart w:id="4181" w:name="_Toc115209037"/>
      <w:bookmarkStart w:id="4182" w:name="_Toc115210368"/>
      <w:bookmarkStart w:id="4183" w:name="_Toc115216731"/>
      <w:bookmarkStart w:id="4184" w:name="_Toc115270422"/>
      <w:bookmarkStart w:id="4185" w:name="_Toc115271365"/>
      <w:bookmarkStart w:id="4186" w:name="_Toc115272282"/>
      <w:bookmarkStart w:id="4187" w:name="_Toc115273452"/>
      <w:bookmarkStart w:id="4188" w:name="_Toc115273380"/>
      <w:bookmarkStart w:id="4189" w:name="_Toc115274633"/>
      <w:bookmarkStart w:id="4190" w:name="_Toc115274859"/>
      <w:bookmarkStart w:id="4191" w:name="_Toc115275216"/>
      <w:bookmarkStart w:id="4192" w:name="_Toc115275359"/>
      <w:bookmarkStart w:id="4193" w:name="_Toc115274196"/>
      <w:bookmarkStart w:id="4194" w:name="_Toc115274497"/>
      <w:bookmarkStart w:id="4195" w:name="_Toc115274565"/>
      <w:bookmarkStart w:id="4196" w:name="_Toc115274723"/>
      <w:bookmarkStart w:id="4197" w:name="_Toc115277457"/>
      <w:bookmarkStart w:id="4198" w:name="_Toc115277661"/>
      <w:bookmarkStart w:id="4199" w:name="_Toc115278550"/>
      <w:bookmarkStart w:id="4200" w:name="_Toc115278630"/>
      <w:bookmarkStart w:id="4201" w:name="_Toc115282300"/>
      <w:bookmarkStart w:id="4202" w:name="_Toc115284753"/>
      <w:bookmarkStart w:id="4203" w:name="_Toc115286845"/>
      <w:bookmarkStart w:id="4204" w:name="_Toc115294779"/>
      <w:bookmarkStart w:id="4205" w:name="_Toc115296359"/>
      <w:bookmarkStart w:id="4206" w:name="_Toc115308545"/>
      <w:bookmarkStart w:id="4207" w:name="_Toc115311197"/>
      <w:bookmarkStart w:id="4208" w:name="_Toc115312677"/>
      <w:bookmarkStart w:id="4209" w:name="_Toc115343851"/>
      <w:bookmarkStart w:id="4210" w:name="_Toc115348289"/>
      <w:bookmarkStart w:id="4211" w:name="_Toc115350387"/>
      <w:bookmarkStart w:id="4212" w:name="_Toc115353475"/>
      <w:bookmarkStart w:id="4213" w:name="_Toc115359506"/>
      <w:bookmarkStart w:id="4214" w:name="_Toc115361910"/>
      <w:bookmarkStart w:id="4215" w:name="_Toc115364303"/>
      <w:bookmarkStart w:id="4216" w:name="_Toc115365397"/>
      <w:bookmarkStart w:id="4217" w:name="_Toc115365669"/>
      <w:bookmarkStart w:id="4218" w:name="_Toc115365737"/>
      <w:bookmarkStart w:id="4219" w:name="_Toc115366201"/>
      <w:bookmarkStart w:id="4220" w:name="_Toc115368651"/>
      <w:bookmarkStart w:id="4221" w:name="_Toc115370091"/>
      <w:bookmarkStart w:id="4222" w:name="_Toc115370825"/>
      <w:bookmarkStart w:id="4223" w:name="_Toc115374397"/>
      <w:bookmarkStart w:id="4224" w:name="_Toc115378736"/>
      <w:bookmarkStart w:id="4225" w:name="_Toc115380968"/>
      <w:bookmarkStart w:id="4226" w:name="_Toc115384120"/>
      <w:bookmarkStart w:id="4227" w:name="_Toc115387349"/>
      <w:bookmarkStart w:id="4228" w:name="_Toc115388815"/>
      <w:bookmarkStart w:id="4229" w:name="_Toc115431453"/>
      <w:bookmarkStart w:id="4230" w:name="_Toc115432831"/>
      <w:bookmarkStart w:id="4231" w:name="_Toc115434402"/>
      <w:bookmarkStart w:id="4232" w:name="_Toc115434501"/>
      <w:bookmarkStart w:id="4233" w:name="_Toc115434570"/>
      <w:bookmarkStart w:id="4234" w:name="_Toc115434639"/>
      <w:bookmarkStart w:id="4235" w:name="_Toc115442809"/>
      <w:bookmarkStart w:id="4236" w:name="_Toc115446345"/>
      <w:bookmarkStart w:id="4237" w:name="_Toc115448052"/>
      <w:bookmarkStart w:id="4238" w:name="_Toc115449444"/>
      <w:bookmarkStart w:id="4239" w:name="_Toc115452464"/>
      <w:bookmarkStart w:id="4240" w:name="_Toc115455281"/>
      <w:bookmarkStart w:id="4241" w:name="_Toc115455347"/>
      <w:bookmarkStart w:id="4242" w:name="_Toc115457297"/>
      <w:bookmarkStart w:id="4243" w:name="_Toc115458133"/>
      <w:bookmarkStart w:id="4244" w:name="_Toc115948161"/>
      <w:bookmarkStart w:id="4245" w:name="_Toc115948608"/>
      <w:r>
        <w:t>4</w:t>
      </w:r>
      <w:bookmarkEnd w:id="4115"/>
      <w:r>
        <w:t xml:space="preserve">.4 </w:t>
      </w:r>
      <w:r w:rsidR="004F75BC" w:rsidRPr="00863A9F">
        <w:t>Pre-engagement checks</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164CA03D" w14:textId="4EF70FAD" w:rsidR="00315504" w:rsidRDefault="00D76D54" w:rsidP="00D76D54">
      <w:r>
        <w:t xml:space="preserve">Pre-engagement checks are undertaken prior to employment as part of determining a candidate’s suitability </w:t>
      </w:r>
      <w:r w:rsidR="00D20903">
        <w:t xml:space="preserve">for </w:t>
      </w:r>
      <w:r>
        <w:t>a role. Checks can include N</w:t>
      </w:r>
      <w:r w:rsidR="00A52A44">
        <w:t>ational Police History Checks, w</w:t>
      </w:r>
      <w:r>
        <w:t>orki</w:t>
      </w:r>
      <w:r w:rsidR="00A52A44">
        <w:t>ng with vulnerable p</w:t>
      </w:r>
      <w:r>
        <w:t>eople</w:t>
      </w:r>
      <w:r w:rsidR="00A52A44">
        <w:t>/children</w:t>
      </w:r>
      <w:r>
        <w:t xml:space="preserve"> checks, and referee reports. The outcome of these checks may not always be know</w:t>
      </w:r>
      <w:r w:rsidR="00EC3F71">
        <w:t>n</w:t>
      </w:r>
      <w:r>
        <w:t xml:space="preserve"> before commencement</w:t>
      </w:r>
      <w:r w:rsidR="00D20903">
        <w:t xml:space="preserve"> of employment, but employment contracts can make continuing </w:t>
      </w:r>
      <w:r>
        <w:t>employment conditional on a satisfactory outcome</w:t>
      </w:r>
      <w:r w:rsidR="00DC4F2C">
        <w:t xml:space="preserve"> of checks</w:t>
      </w:r>
      <w:r>
        <w:t xml:space="preserve">. </w:t>
      </w:r>
    </w:p>
    <w:p w14:paraId="14AC04E7" w14:textId="77777777" w:rsidR="00C72D83" w:rsidRDefault="00BA4C11" w:rsidP="00C72D83">
      <w:r>
        <w:t>C</w:t>
      </w:r>
      <w:r w:rsidR="00315504">
        <w:t xml:space="preserve">andidates can </w:t>
      </w:r>
      <w:r>
        <w:t xml:space="preserve">also </w:t>
      </w:r>
      <w:r w:rsidR="00315504">
        <w:t xml:space="preserve">be required to </w:t>
      </w:r>
      <w:r w:rsidR="00445963">
        <w:t>make</w:t>
      </w:r>
      <w:r w:rsidR="00C72D83">
        <w:t xml:space="preserve"> a self</w:t>
      </w:r>
      <w:r w:rsidR="00C72D83">
        <w:noBreakHyphen/>
        <w:t xml:space="preserve">declaration or pre-engagement declaration as part of </w:t>
      </w:r>
      <w:r w:rsidR="00445963">
        <w:t>a</w:t>
      </w:r>
      <w:r w:rsidR="00C72D83">
        <w:t xml:space="preserve"> recruitment process. This can cover criminal history and/or present criminal investigation, previous findings of misconduct and/or the truthfulness of the information provided during the selection process. Withholding </w:t>
      </w:r>
      <w:r w:rsidR="00445963">
        <w:t xml:space="preserve">information </w:t>
      </w:r>
      <w:r w:rsidR="00C72D83">
        <w:t xml:space="preserve">or providing misleading or false information </w:t>
      </w:r>
      <w:r w:rsidR="00C72D83" w:rsidRPr="00445963">
        <w:t xml:space="preserve">in a job application may lead to prosecution under the part 7.4 of the </w:t>
      </w:r>
      <w:r w:rsidR="00C72D83" w:rsidRPr="00445963">
        <w:rPr>
          <w:i/>
        </w:rPr>
        <w:t>Criminal Code Act 1995 (Cth)</w:t>
      </w:r>
      <w:r w:rsidR="00C72D83" w:rsidRPr="00445963">
        <w:t>.</w:t>
      </w:r>
      <w:r w:rsidR="00C72D83" w:rsidRPr="00445963">
        <w:rPr>
          <w:rStyle w:val="FootnoteReference"/>
        </w:rPr>
        <w:footnoteReference w:id="173"/>
      </w:r>
      <w:r w:rsidR="00C72D83">
        <w:t xml:space="preserve"> A preferred candidate with criminal or misconduct history is not automatically precluded from employment.</w:t>
      </w:r>
    </w:p>
    <w:p w14:paraId="2644C2FF" w14:textId="77777777" w:rsidR="00C72D83" w:rsidRDefault="00C72D83" w:rsidP="00D76D54"/>
    <w:p w14:paraId="36F98981" w14:textId="3A7FD026" w:rsidR="00D76D54" w:rsidRPr="00CB056F" w:rsidRDefault="00CB056F" w:rsidP="00051BDA">
      <w:pPr>
        <w:pStyle w:val="Heading3"/>
      </w:pPr>
      <w:r w:rsidRPr="00CB056F">
        <w:t xml:space="preserve">4.4.1 </w:t>
      </w:r>
      <w:r w:rsidR="00D76D54" w:rsidRPr="00CB056F">
        <w:t xml:space="preserve">Current situation </w:t>
      </w:r>
    </w:p>
    <w:p w14:paraId="1E1CDDAD" w14:textId="0207A0E8" w:rsidR="00D76D54" w:rsidRDefault="00315504" w:rsidP="00D76D54">
      <w:r>
        <w:t>Employing p</w:t>
      </w:r>
      <w:r w:rsidR="00D76D54">
        <w:t>arliamentarians</w:t>
      </w:r>
      <w:r w:rsidR="00FC2F1A" w:rsidDel="007075ED">
        <w:t xml:space="preserve"> </w:t>
      </w:r>
      <w:r w:rsidR="00D76D54">
        <w:t xml:space="preserve">determine whether </w:t>
      </w:r>
      <w:r>
        <w:t>and which pre</w:t>
      </w:r>
      <w:r>
        <w:noBreakHyphen/>
      </w:r>
      <w:r w:rsidR="007075ED">
        <w:t>engagement</w:t>
      </w:r>
      <w:r w:rsidR="00D76D54">
        <w:t xml:space="preserve"> checks</w:t>
      </w:r>
      <w:r w:rsidR="00772E4D">
        <w:t xml:space="preserve"> are required</w:t>
      </w:r>
      <w:r>
        <w:t xml:space="preserve"> for candidates. The exception is </w:t>
      </w:r>
      <w:r w:rsidR="00772E4D">
        <w:t xml:space="preserve">MoP(S) Act employees of a </w:t>
      </w:r>
      <w:r w:rsidR="00514FBE">
        <w:t>m</w:t>
      </w:r>
      <w:r w:rsidR="00772E4D">
        <w:t>inister (ongoing and non-ongoing)</w:t>
      </w:r>
      <w:r>
        <w:t xml:space="preserve">, </w:t>
      </w:r>
      <w:r w:rsidR="001F4E6F">
        <w:t xml:space="preserve">who </w:t>
      </w:r>
      <w:r w:rsidR="00772E4D">
        <w:t>are required to</w:t>
      </w:r>
      <w:r w:rsidR="007075ED">
        <w:t xml:space="preserve"> </w:t>
      </w:r>
      <w:r w:rsidR="00772E4D">
        <w:t>obtain and maintain</w:t>
      </w:r>
      <w:r w:rsidR="00D76D54">
        <w:t xml:space="preserve"> a Negative Vetting Level 2 </w:t>
      </w:r>
      <w:r w:rsidR="00772E4D">
        <w:t xml:space="preserve">security clearance as </w:t>
      </w:r>
      <w:r w:rsidR="00D20903">
        <w:t>a condition of employment</w:t>
      </w:r>
      <w:r w:rsidR="00D76D54">
        <w:t>.</w:t>
      </w:r>
      <w:r w:rsidR="00FC2F1A">
        <w:rPr>
          <w:rStyle w:val="FootnoteReference"/>
        </w:rPr>
        <w:footnoteReference w:id="174"/>
      </w:r>
      <w:r w:rsidR="00D76D54">
        <w:t xml:space="preserve"> </w:t>
      </w:r>
      <w:r w:rsidR="00D20903">
        <w:t xml:space="preserve">It is noted </w:t>
      </w:r>
      <w:r w:rsidR="00E22BF3">
        <w:t xml:space="preserve">security clearances </w:t>
      </w:r>
      <w:r w:rsidR="00D20903">
        <w:t xml:space="preserve">are often </w:t>
      </w:r>
      <w:r w:rsidR="00E22BF3">
        <w:t xml:space="preserve">finalised </w:t>
      </w:r>
      <w:r w:rsidR="00D20903">
        <w:t>after employment has commenced.</w:t>
      </w:r>
      <w:r w:rsidR="00BA4C11">
        <w:t xml:space="preserve"> The contract provided to successful MoP(S) candidates states that an employee must undertake a National Police History Check if required by the emplo</w:t>
      </w:r>
      <w:r w:rsidR="004C692F">
        <w:t>ying</w:t>
      </w:r>
      <w:r w:rsidR="00BA4C11">
        <w:t xml:space="preserve"> parliamentarian. The relevant form notes ‘the results of this check may be used by your employer, in addition to other factors, to determine your continued suitability for employment.’</w:t>
      </w:r>
      <w:r w:rsidR="00BA4C11">
        <w:rPr>
          <w:rStyle w:val="FootnoteReference"/>
        </w:rPr>
        <w:footnoteReference w:id="175"/>
      </w:r>
      <w:r w:rsidR="00BA4C11">
        <w:t xml:space="preserve"> </w:t>
      </w:r>
    </w:p>
    <w:p w14:paraId="5470F815" w14:textId="77777777" w:rsidR="00A964A0" w:rsidRDefault="0047153F" w:rsidP="00D76D54">
      <w:r>
        <w:t>During induction training provided by Finance, MaPS encourage parliamentarians</w:t>
      </w:r>
      <w:r w:rsidDel="007075ED">
        <w:t xml:space="preserve"> </w:t>
      </w:r>
      <w:r>
        <w:t xml:space="preserve">to make use of National Police History Checks, referee reports, and probation periods. </w:t>
      </w:r>
    </w:p>
    <w:p w14:paraId="0CEA2D5A" w14:textId="79BF69A6" w:rsidR="0047153F" w:rsidRDefault="00A964A0" w:rsidP="00D76D54">
      <w:r>
        <w:t>If a</w:t>
      </w:r>
      <w:r w:rsidR="0047153F">
        <w:t xml:space="preserve"> </w:t>
      </w:r>
      <w:r w:rsidR="004C692F">
        <w:t>p</w:t>
      </w:r>
      <w:r w:rsidR="0047153F">
        <w:t>arliamentarian requests a police check, MaPS will only notify where it has returned disclosable court outcomes.</w:t>
      </w:r>
      <w:r w:rsidR="0047153F">
        <w:rPr>
          <w:rStyle w:val="FootnoteReference"/>
        </w:rPr>
        <w:footnoteReference w:id="176"/>
      </w:r>
      <w:r w:rsidR="0047153F">
        <w:t xml:space="preserve"> These outcomes are released in accordance with Federal, state and territory legislation and include both criminal and traffic matters which go to court. Convictions considered ‘spent’ under state and federal legislation is only included in a National Police Certificate in limited categories of employment.</w:t>
      </w:r>
      <w:r w:rsidR="0047153F">
        <w:rPr>
          <w:rStyle w:val="FootnoteReference"/>
        </w:rPr>
        <w:footnoteReference w:id="177"/>
      </w:r>
      <w:r w:rsidR="004860C5">
        <w:t xml:space="preserve"> </w:t>
      </w:r>
      <w:r w:rsidR="00032CEF" w:rsidRPr="00294EF5">
        <w:t>Finance reported that 1</w:t>
      </w:r>
      <w:r w:rsidR="004860C5" w:rsidRPr="00294EF5">
        <w:t xml:space="preserve">54 police checks were undertaken on </w:t>
      </w:r>
      <w:r w:rsidR="00032CEF" w:rsidRPr="00294EF5">
        <w:t xml:space="preserve">incoming </w:t>
      </w:r>
      <w:r w:rsidR="004860C5" w:rsidRPr="00294EF5">
        <w:t xml:space="preserve">MoP(S) Act </w:t>
      </w:r>
      <w:r w:rsidR="002D62B0" w:rsidRPr="00294EF5">
        <w:t xml:space="preserve">employees </w:t>
      </w:r>
      <w:r w:rsidR="004860C5" w:rsidRPr="00294EF5">
        <w:t xml:space="preserve">in the 12 months to 20 July 2022, with less than </w:t>
      </w:r>
      <w:r w:rsidR="005B6369">
        <w:t>five</w:t>
      </w:r>
      <w:r w:rsidR="004860C5" w:rsidRPr="00294EF5">
        <w:t xml:space="preserve"> of these returning adverse results</w:t>
      </w:r>
      <w:r w:rsidR="00841A1A">
        <w:t>.</w:t>
      </w:r>
      <w:r w:rsidR="00431752" w:rsidRPr="00294EF5">
        <w:rPr>
          <w:rStyle w:val="FootnoteReference"/>
        </w:rPr>
        <w:footnoteReference w:id="178"/>
      </w:r>
      <w:r w:rsidR="004860C5">
        <w:t xml:space="preserve">  </w:t>
      </w:r>
    </w:p>
    <w:p w14:paraId="0EDA8281" w14:textId="77214AD8" w:rsidR="0047153F" w:rsidRDefault="0047153F" w:rsidP="0047153F">
      <w:r>
        <w:t xml:space="preserve">MaPS guidance notes that referee checks can form part of further assessment in the recruitment process once interviews and shortlisting </w:t>
      </w:r>
      <w:r w:rsidR="00E32D0F">
        <w:t xml:space="preserve">have </w:t>
      </w:r>
      <w:r>
        <w:t>taken place.</w:t>
      </w:r>
      <w:r>
        <w:rPr>
          <w:rStyle w:val="FootnoteReference"/>
        </w:rPr>
        <w:footnoteReference w:id="179"/>
      </w:r>
      <w:r>
        <w:t xml:space="preserve"> Some contributors told us referee checks were not conducted during their time in a parliamentary office while others said these checks are done as a matter of course. The Review notes the mix of responses points to a lack of consistency in the practices across offices, which reflects our observations in other parts of this report.</w:t>
      </w:r>
    </w:p>
    <w:p w14:paraId="6FCD5A2A" w14:textId="5AA9813E" w:rsidR="0047153F" w:rsidRDefault="0047153F" w:rsidP="0047153F">
      <w:pPr>
        <w:rPr>
          <w:i/>
        </w:rPr>
      </w:pPr>
      <w:r>
        <w:t xml:space="preserve">One contributor to the </w:t>
      </w:r>
      <w:r w:rsidR="00681611">
        <w:t>Review</w:t>
      </w:r>
      <w:r>
        <w:t xml:space="preserve"> pointed to the use of social media as an additional means to vet candidates and </w:t>
      </w:r>
      <w:r w:rsidR="00681611">
        <w:t xml:space="preserve">obtain information to </w:t>
      </w:r>
      <w:r>
        <w:t xml:space="preserve">confirm </w:t>
      </w:r>
      <w:r w:rsidRPr="006C431D">
        <w:t>employment decisions. The</w:t>
      </w:r>
      <w:r w:rsidR="00681611" w:rsidRPr="006C431D">
        <w:t xml:space="preserve">se types of checks were </w:t>
      </w:r>
      <w:r w:rsidR="001D07C3" w:rsidRPr="006C431D">
        <w:t>reported to be</w:t>
      </w:r>
      <w:r w:rsidR="00681611" w:rsidRPr="006C431D">
        <w:t xml:space="preserve"> undertaken </w:t>
      </w:r>
      <w:r w:rsidR="001D07C3" w:rsidRPr="006C431D">
        <w:t xml:space="preserve">as a way of </w:t>
      </w:r>
      <w:r w:rsidR="001D07C3">
        <w:t>assessing</w:t>
      </w:r>
      <w:r w:rsidR="00681611" w:rsidRPr="006C431D">
        <w:t xml:space="preserve"> any reputational risks</w:t>
      </w:r>
      <w:r w:rsidR="00032CEF" w:rsidRPr="006C431D">
        <w:t xml:space="preserve"> and to verify information provided by the candidate on their employment history</w:t>
      </w:r>
      <w:r w:rsidR="006C431D" w:rsidRPr="007124DD">
        <w:t>.</w:t>
      </w:r>
      <w:r w:rsidRPr="006C431D" w:rsidDel="00032CEF">
        <w:t xml:space="preserve"> </w:t>
      </w:r>
      <w:r w:rsidRPr="006C431D">
        <w:t>The</w:t>
      </w:r>
      <w:r>
        <w:t xml:space="preserve"> Review </w:t>
      </w:r>
      <w:r w:rsidR="00875749">
        <w:t>notes that such checks are becoming more</w:t>
      </w:r>
      <w:r w:rsidR="00107E92">
        <w:t xml:space="preserve"> common</w:t>
      </w:r>
      <w:r w:rsidR="00875749">
        <w:t xml:space="preserve"> </w:t>
      </w:r>
      <w:r w:rsidR="00107E92">
        <w:t>in</w:t>
      </w:r>
      <w:r w:rsidR="00875749">
        <w:t xml:space="preserve"> workplaces but should be undertaken with</w:t>
      </w:r>
      <w:r w:rsidR="00107E92">
        <w:t xml:space="preserve"> some</w:t>
      </w:r>
      <w:r w:rsidR="00875749">
        <w:t xml:space="preserve"> caution </w:t>
      </w:r>
      <w:r w:rsidR="00107E92">
        <w:t xml:space="preserve">to ensure it is not the sole check undertaken and that the </w:t>
      </w:r>
      <w:r>
        <w:t xml:space="preserve">candidate </w:t>
      </w:r>
      <w:r w:rsidR="00107E92">
        <w:t>has a</w:t>
      </w:r>
      <w:r w:rsidR="00681611">
        <w:t xml:space="preserve"> right of reply </w:t>
      </w:r>
      <w:r>
        <w:t xml:space="preserve">before an employment decision is made. </w:t>
      </w:r>
      <w:r w:rsidR="006C431D" w:rsidRPr="007124DD">
        <w:t>We note</w:t>
      </w:r>
      <w:r w:rsidDel="006C431D">
        <w:t xml:space="preserve"> </w:t>
      </w:r>
      <w:r>
        <w:t xml:space="preserve">MaPS </w:t>
      </w:r>
      <w:r w:rsidR="006C431D">
        <w:t xml:space="preserve">recruitment </w:t>
      </w:r>
      <w:r>
        <w:t xml:space="preserve">guidance, calls for procedural fairness when adverse </w:t>
      </w:r>
      <w:r w:rsidR="00CB056F">
        <w:t>results are considered</w:t>
      </w:r>
      <w:r>
        <w:t>.</w:t>
      </w:r>
      <w:r>
        <w:rPr>
          <w:rStyle w:val="FootnoteReference"/>
        </w:rPr>
        <w:footnoteReference w:id="180"/>
      </w:r>
      <w:r>
        <w:t xml:space="preserve"> </w:t>
      </w:r>
    </w:p>
    <w:p w14:paraId="3408EC27" w14:textId="35EACDCA" w:rsidR="00A62F00" w:rsidRDefault="00A62F00" w:rsidP="00D76D54">
      <w:r>
        <w:t xml:space="preserve">We heard parliamentarians sometimes ask MoP(S) </w:t>
      </w:r>
      <w:r w:rsidR="00955B68">
        <w:t>Act</w:t>
      </w:r>
      <w:r>
        <w:t xml:space="preserve"> employees to obtain working with children, or working with vulnerable people checks in the relevant state or territory jurisdiction.</w:t>
      </w:r>
    </w:p>
    <w:p w14:paraId="3B841FC8" w14:textId="77777777" w:rsidR="00251C0F" w:rsidRDefault="00251C0F" w:rsidP="00D76D54"/>
    <w:p w14:paraId="56C40011" w14:textId="426AA562" w:rsidR="00D76D54" w:rsidRDefault="00EC3F71" w:rsidP="00051BDA">
      <w:pPr>
        <w:pStyle w:val="Heading3"/>
      </w:pPr>
      <w:r>
        <w:t>4.</w:t>
      </w:r>
      <w:r w:rsidR="004F19C9">
        <w:t>4</w:t>
      </w:r>
      <w:r>
        <w:t>.</w:t>
      </w:r>
      <w:r w:rsidR="00D76D54">
        <w:t>2 Options for improvement</w:t>
      </w:r>
    </w:p>
    <w:p w14:paraId="38435FCC" w14:textId="77777777" w:rsidR="00A62F00" w:rsidRDefault="0047153F" w:rsidP="0047153F">
      <w:r>
        <w:t>T</w:t>
      </w:r>
      <w:r w:rsidR="00A62F00">
        <w:t>he Review considers</w:t>
      </w:r>
      <w:r>
        <w:t xml:space="preserve"> parliamentarians should make use of self-declaration</w:t>
      </w:r>
      <w:r w:rsidR="00A62F00">
        <w:t>s</w:t>
      </w:r>
      <w:r>
        <w:t xml:space="preserve">, checks </w:t>
      </w:r>
      <w:r w:rsidR="00A62F00">
        <w:t xml:space="preserve">relevant to the role </w:t>
      </w:r>
      <w:r>
        <w:t xml:space="preserve">and probation </w:t>
      </w:r>
      <w:r w:rsidRPr="0063511B">
        <w:t>periods</w:t>
      </w:r>
      <w:r w:rsidR="00A62F00">
        <w:t xml:space="preserve">. This will help </w:t>
      </w:r>
      <w:r>
        <w:t>ensure they have relevant information about candidate suitability</w:t>
      </w:r>
      <w:r w:rsidR="00CB056F">
        <w:t xml:space="preserve">. </w:t>
      </w:r>
      <w:r w:rsidR="00A62F00">
        <w:t>The Review considers options around particular checks below</w:t>
      </w:r>
      <w:r w:rsidR="004568C0">
        <w:t>.</w:t>
      </w:r>
    </w:p>
    <w:p w14:paraId="0BBEE3DD" w14:textId="77777777" w:rsidR="00C72D83" w:rsidRPr="00251C0F" w:rsidRDefault="00C72D83" w:rsidP="0047153F">
      <w:pPr>
        <w:rPr>
          <w:i/>
        </w:rPr>
      </w:pPr>
      <w:r w:rsidRPr="00251C0F">
        <w:rPr>
          <w:i/>
        </w:rPr>
        <w:t>Self-declarations</w:t>
      </w:r>
    </w:p>
    <w:p w14:paraId="35384517" w14:textId="26390C37" w:rsidR="00C72D83" w:rsidRDefault="00FF11FB" w:rsidP="0047153F">
      <w:r>
        <w:t xml:space="preserve">To be eligible to receive an offer of employment within the South Australian public sector, </w:t>
      </w:r>
      <w:r w:rsidR="00841A1A">
        <w:t xml:space="preserve">candidates </w:t>
      </w:r>
      <w:r>
        <w:t>must complete a Pre-Employment Declaration.</w:t>
      </w:r>
      <w:r w:rsidRPr="00FF11FB">
        <w:t xml:space="preserve"> </w:t>
      </w:r>
      <w:r w:rsidR="003F3225">
        <w:t>The form notes employment consideration will only continue with the completion of a self-declaration and agreement to any criminal history or other background history screening or assessment.</w:t>
      </w:r>
      <w:r w:rsidR="003F3225">
        <w:rPr>
          <w:rStyle w:val="FootnoteReference"/>
        </w:rPr>
        <w:footnoteReference w:id="181"/>
      </w:r>
      <w:r w:rsidR="003F3225" w:rsidRPr="00FF11FB">
        <w:t xml:space="preserve"> </w:t>
      </w:r>
    </w:p>
    <w:p w14:paraId="4ABF58D9" w14:textId="1E44F626" w:rsidR="00FF11FB" w:rsidRDefault="00B2648F" w:rsidP="0047153F">
      <w:r>
        <w:t xml:space="preserve">In </w:t>
      </w:r>
      <w:r w:rsidR="00E32D0F">
        <w:t>Vic</w:t>
      </w:r>
      <w:r>
        <w:t>, candidates for public service jobs must complete a declaration and consent form in regards to any misconduct history.</w:t>
      </w:r>
      <w:r>
        <w:rPr>
          <w:rStyle w:val="FootnoteReference"/>
        </w:rPr>
        <w:footnoteReference w:id="182"/>
      </w:r>
      <w:r>
        <w:rPr>
          <w:rFonts w:ascii="Arial" w:hAnsi="Arial" w:cs="Arial"/>
          <w:color w:val="000000"/>
          <w:shd w:val="clear" w:color="auto" w:fill="FBFBFB"/>
        </w:rPr>
        <w:t xml:space="preserve"> </w:t>
      </w:r>
    </w:p>
    <w:p w14:paraId="29C06057" w14:textId="77777777" w:rsidR="00D76D54" w:rsidRPr="00235F77" w:rsidRDefault="00D76D54" w:rsidP="0047153F">
      <w:pPr>
        <w:rPr>
          <w:i/>
        </w:rPr>
      </w:pPr>
      <w:r w:rsidRPr="00235F77">
        <w:rPr>
          <w:i/>
        </w:rPr>
        <w:t>Police checks</w:t>
      </w:r>
    </w:p>
    <w:p w14:paraId="35A4F1D1" w14:textId="16A1DFF6" w:rsidR="00D76D54" w:rsidRPr="000A2789" w:rsidRDefault="000A2789" w:rsidP="00D76D54">
      <w:r>
        <w:t xml:space="preserve">The Review considered whether the nature of the workplace and duties to be undertaken by </w:t>
      </w:r>
      <w:r w:rsidR="00CB056F">
        <w:t xml:space="preserve">all </w:t>
      </w:r>
      <w:r>
        <w:t>MoP(S) Act employees mean</w:t>
      </w:r>
      <w:r w:rsidDel="004556B1">
        <w:t xml:space="preserve"> </w:t>
      </w:r>
      <w:r>
        <w:t xml:space="preserve">a National Police History Record Check should be a mandatory requirement. We examined the approach of </w:t>
      </w:r>
      <w:r w:rsidR="004360F1">
        <w:t>other</w:t>
      </w:r>
      <w:r>
        <w:t xml:space="preserve"> jurisdictions</w:t>
      </w:r>
      <w:r w:rsidR="00E30491">
        <w:t xml:space="preserve"> and found none of them include </w:t>
      </w:r>
      <w:r w:rsidR="00044890">
        <w:t xml:space="preserve">such a </w:t>
      </w:r>
      <w:r w:rsidR="00E30491">
        <w:t xml:space="preserve">requirement. </w:t>
      </w:r>
      <w:r w:rsidR="00D76D54">
        <w:t xml:space="preserve">At the state level, there are a mix of approaches </w:t>
      </w:r>
      <w:r w:rsidR="00AC729F">
        <w:t xml:space="preserve">between </w:t>
      </w:r>
      <w:r w:rsidR="00044890">
        <w:t xml:space="preserve">allowing parliamentarians or other employing authorities to </w:t>
      </w:r>
      <w:r>
        <w:t>requir</w:t>
      </w:r>
      <w:r w:rsidR="00044890">
        <w:t>e a check</w:t>
      </w:r>
      <w:r w:rsidR="00F57DD1">
        <w:t>,</w:t>
      </w:r>
      <w:r w:rsidR="004568C0">
        <w:rPr>
          <w:rStyle w:val="FootnoteReference"/>
        </w:rPr>
        <w:footnoteReference w:id="183"/>
      </w:r>
      <w:r w:rsidR="004568C0">
        <w:t xml:space="preserve"> </w:t>
      </w:r>
      <w:r w:rsidR="0025262D">
        <w:t xml:space="preserve">and/or </w:t>
      </w:r>
      <w:r w:rsidR="004568C0">
        <w:t xml:space="preserve">request </w:t>
      </w:r>
      <w:r w:rsidR="00722734">
        <w:t xml:space="preserve">or require </w:t>
      </w:r>
      <w:r w:rsidR="004568C0">
        <w:t>self-declarations</w:t>
      </w:r>
      <w:r w:rsidR="00044890">
        <w:t>,</w:t>
      </w:r>
      <w:r w:rsidR="004568C0">
        <w:rPr>
          <w:rStyle w:val="FootnoteReference"/>
        </w:rPr>
        <w:footnoteReference w:id="184"/>
      </w:r>
      <w:r w:rsidR="004568C0">
        <w:t xml:space="preserve"> </w:t>
      </w:r>
      <w:r w:rsidR="00044890">
        <w:t xml:space="preserve">or have </w:t>
      </w:r>
      <w:r>
        <w:t xml:space="preserve">discretion </w:t>
      </w:r>
      <w:r w:rsidR="00E30491">
        <w:t>to request checks</w:t>
      </w:r>
      <w:r w:rsidR="004568C0">
        <w:rPr>
          <w:rStyle w:val="FootnoteReference"/>
        </w:rPr>
        <w:footnoteReference w:id="185"/>
      </w:r>
      <w:r w:rsidR="00E30491">
        <w:t xml:space="preserve"> and </w:t>
      </w:r>
      <w:r w:rsidR="00044890">
        <w:t xml:space="preserve">there be </w:t>
      </w:r>
      <w:r w:rsidR="00E30491">
        <w:t>grounds to refuse employment on the basis of failure to consent to a check</w:t>
      </w:r>
      <w:r w:rsidR="00722734">
        <w:t>.</w:t>
      </w:r>
      <w:r w:rsidR="00044890">
        <w:rPr>
          <w:rStyle w:val="FootnoteReference"/>
        </w:rPr>
        <w:footnoteReference w:id="186"/>
      </w:r>
      <w:r w:rsidR="00722734">
        <w:t xml:space="preserve"> </w:t>
      </w:r>
      <w:r w:rsidR="00E32D0F">
        <w:t xml:space="preserve">Qld </w:t>
      </w:r>
      <w:r w:rsidR="00722734">
        <w:t>also includes provision</w:t>
      </w:r>
      <w:r w:rsidR="00446D8E">
        <w:t>s</w:t>
      </w:r>
      <w:r w:rsidR="00722734">
        <w:t xml:space="preserve"> which </w:t>
      </w:r>
      <w:r w:rsidR="00446D8E">
        <w:t xml:space="preserve">require the police commissioner or prosecuting authorities to inform </w:t>
      </w:r>
      <w:r w:rsidR="006B0182">
        <w:t>the chief executive</w:t>
      </w:r>
      <w:r w:rsidR="00446D8E">
        <w:t xml:space="preserve"> when they are aware charges are laid against a person employed under the </w:t>
      </w:r>
      <w:r w:rsidR="006B0182" w:rsidRPr="006B0182">
        <w:rPr>
          <w:i/>
        </w:rPr>
        <w:t>Ministerial and Other Office Holder Staff Act 2010 (</w:t>
      </w:r>
      <w:r w:rsidR="000F5616">
        <w:rPr>
          <w:i/>
        </w:rPr>
        <w:t>Qld</w:t>
      </w:r>
      <w:r w:rsidR="006B0182" w:rsidRPr="006B0182">
        <w:rPr>
          <w:i/>
        </w:rPr>
        <w:t>)</w:t>
      </w:r>
      <w:r w:rsidR="00446D8E">
        <w:rPr>
          <w:i/>
        </w:rPr>
        <w:t xml:space="preserve"> </w:t>
      </w:r>
      <w:r w:rsidR="00446D8E" w:rsidRPr="006B0182">
        <w:t>for a relevant offence.</w:t>
      </w:r>
      <w:r w:rsidR="00446D8E">
        <w:rPr>
          <w:rStyle w:val="FootnoteReference"/>
          <w:i/>
        </w:rPr>
        <w:footnoteReference w:id="187"/>
      </w:r>
      <w:r w:rsidR="00446D8E">
        <w:rPr>
          <w:i/>
        </w:rPr>
        <w:t xml:space="preserve"> </w:t>
      </w:r>
      <w:r w:rsidR="005D131B">
        <w:t xml:space="preserve">  </w:t>
      </w:r>
      <w:r w:rsidR="00D76D54">
        <w:t xml:space="preserve"> </w:t>
      </w:r>
    </w:p>
    <w:p w14:paraId="13DDB71F" w14:textId="5ADA6734" w:rsidR="00D76D54" w:rsidRDefault="009A386C" w:rsidP="00D76D54">
      <w:r>
        <w:t>The Australian Human Rights Commission states</w:t>
      </w:r>
      <w:r w:rsidDel="004556B1">
        <w:t xml:space="preserve"> </w:t>
      </w:r>
      <w:r>
        <w:t>‘</w:t>
      </w:r>
      <w:r w:rsidRPr="00417D9A">
        <w:t>employers should only ask about a criminal record where there is a connection between the inherent requirements of a particular job and a criminal record</w:t>
      </w:r>
      <w:r w:rsidR="001627CD">
        <w:t>.</w:t>
      </w:r>
      <w:r>
        <w:t>’</w:t>
      </w:r>
      <w:r>
        <w:rPr>
          <w:rStyle w:val="FootnoteReference"/>
        </w:rPr>
        <w:footnoteReference w:id="188"/>
      </w:r>
      <w:r>
        <w:t xml:space="preserve"> </w:t>
      </w:r>
      <w:r w:rsidR="004360F1">
        <w:t>A comparative review of other</w:t>
      </w:r>
      <w:r w:rsidR="00F57DD1">
        <w:t xml:space="preserve"> jurisdictions also provide</w:t>
      </w:r>
      <w:r w:rsidR="004360F1">
        <w:t>d</w:t>
      </w:r>
      <w:r w:rsidR="00F57DD1">
        <w:t xml:space="preserve"> guidance about </w:t>
      </w:r>
      <w:r w:rsidR="00D76D54">
        <w:t>how criminal histories can be used in the assessment of suitability for employment</w:t>
      </w:r>
      <w:r w:rsidR="00F57DD1">
        <w:t>.</w:t>
      </w:r>
      <w:r w:rsidR="00CB056F">
        <w:rPr>
          <w:rStyle w:val="FootnoteReference"/>
        </w:rPr>
        <w:footnoteReference w:id="189"/>
      </w:r>
      <w:r w:rsidR="00F57DD1">
        <w:t xml:space="preserve"> </w:t>
      </w:r>
      <w:r w:rsidR="001627CD">
        <w:t xml:space="preserve">The OPSC may wish to consider </w:t>
      </w:r>
      <w:r w:rsidR="00D76D54">
        <w:t>refer</w:t>
      </w:r>
      <w:r w:rsidR="001627CD">
        <w:t>ring to this</w:t>
      </w:r>
      <w:r w:rsidR="00D76D54">
        <w:t xml:space="preserve"> material </w:t>
      </w:r>
      <w:r w:rsidR="001627CD">
        <w:t>when formulating</w:t>
      </w:r>
      <w:r w:rsidR="00D76D54">
        <w:t xml:space="preserve"> guidance on pre-engagement checks.  </w:t>
      </w:r>
    </w:p>
    <w:p w14:paraId="3BC6CBB9" w14:textId="5D454459" w:rsidR="001627CD" w:rsidRDefault="00B31DAD" w:rsidP="00251C0F">
      <w:r>
        <w:t>The Review d</w:t>
      </w:r>
      <w:r w:rsidR="009A386C">
        <w:t>id not identify a</w:t>
      </w:r>
      <w:r>
        <w:t xml:space="preserve"> </w:t>
      </w:r>
      <w:r w:rsidR="009A386C">
        <w:t xml:space="preserve">need for a blanket requirement for </w:t>
      </w:r>
      <w:r>
        <w:t>police checks</w:t>
      </w:r>
      <w:r w:rsidR="009A386C">
        <w:t xml:space="preserve"> for all MoP(S)</w:t>
      </w:r>
      <w:r w:rsidR="002D62B0">
        <w:t xml:space="preserve"> Act</w:t>
      </w:r>
      <w:r w:rsidR="009A386C">
        <w:t xml:space="preserve"> </w:t>
      </w:r>
      <w:r w:rsidR="002D62B0">
        <w:t>employees</w:t>
      </w:r>
      <w:r>
        <w:t xml:space="preserve">. Instead, </w:t>
      </w:r>
      <w:r w:rsidR="009A386C">
        <w:t>we</w:t>
      </w:r>
      <w:r>
        <w:t xml:space="preserve"> </w:t>
      </w:r>
      <w:r w:rsidDel="00025A6E">
        <w:t>r</w:t>
      </w:r>
      <w:r>
        <w:t>ecommend</w:t>
      </w:r>
      <w:r w:rsidR="00025A6E">
        <w:t xml:space="preserve"> OPSC </w:t>
      </w:r>
      <w:r w:rsidR="004360F1">
        <w:t>undertake a comparative review</w:t>
      </w:r>
      <w:r>
        <w:t xml:space="preserve"> </w:t>
      </w:r>
      <w:r w:rsidR="00025A6E">
        <w:t>of</w:t>
      </w:r>
      <w:r>
        <w:t xml:space="preserve"> </w:t>
      </w:r>
      <w:r w:rsidR="004360F1">
        <w:t>other</w:t>
      </w:r>
      <w:r>
        <w:t xml:space="preserve"> jurisdictions </w:t>
      </w:r>
      <w:r w:rsidR="00025A6E">
        <w:t>requiring</w:t>
      </w:r>
      <w:r>
        <w:t xml:space="preserve"> self-declaration</w:t>
      </w:r>
      <w:r w:rsidR="00025A6E">
        <w:t>s</w:t>
      </w:r>
      <w:r>
        <w:t xml:space="preserve"> </w:t>
      </w:r>
      <w:r w:rsidR="00BB622B">
        <w:t>to be completed</w:t>
      </w:r>
      <w:r>
        <w:t xml:space="preserve"> as a condition of employment</w:t>
      </w:r>
      <w:r w:rsidR="009A386C">
        <w:t>. OPSC could also provide guidance about the kinds of roles where parliamentarians may wish to consider requiring a police chec</w:t>
      </w:r>
      <w:r w:rsidR="001627CD">
        <w:t>k and how the results of a police check, and any other pre-engagement check, should be considered.</w:t>
      </w:r>
    </w:p>
    <w:p w14:paraId="5482392B" w14:textId="77777777" w:rsidR="00756B7E" w:rsidRPr="00A35E8F" w:rsidRDefault="001627CD" w:rsidP="00251C0F">
      <w:pPr>
        <w:rPr>
          <w:i/>
        </w:rPr>
      </w:pPr>
      <w:r w:rsidRPr="00A35E8F">
        <w:rPr>
          <w:i/>
        </w:rPr>
        <w:t xml:space="preserve">Australian </w:t>
      </w:r>
      <w:r w:rsidRPr="00863A9F">
        <w:rPr>
          <w:i/>
        </w:rPr>
        <w:t>citizenship</w:t>
      </w:r>
    </w:p>
    <w:p w14:paraId="22D812F8" w14:textId="28973C57" w:rsidR="00772003" w:rsidRPr="001627CD" w:rsidRDefault="0081199B" w:rsidP="00D76D54">
      <w:r w:rsidRPr="001627CD">
        <w:t>Th</w:t>
      </w:r>
      <w:r w:rsidR="001627CD">
        <w:t>ere is no</w:t>
      </w:r>
      <w:r w:rsidRPr="00A35E8F">
        <w:t xml:space="preserve"> </w:t>
      </w:r>
      <w:r w:rsidR="00772003" w:rsidRPr="001627CD">
        <w:t>requirement for MoP(S) Act employees to be</w:t>
      </w:r>
      <w:r w:rsidR="00D76D54" w:rsidRPr="001627CD">
        <w:t xml:space="preserve"> Australian citizens</w:t>
      </w:r>
      <w:r w:rsidR="001F4E6F">
        <w:t>, unless they are</w:t>
      </w:r>
      <w:r w:rsidR="00216AD2">
        <w:t xml:space="preserve"> employed by a m</w:t>
      </w:r>
      <w:r w:rsidR="00772003" w:rsidRPr="001627CD">
        <w:t>in</w:t>
      </w:r>
      <w:r w:rsidR="00216AD2">
        <w:t>ister or assistant m</w:t>
      </w:r>
      <w:r w:rsidR="00772003" w:rsidRPr="001627CD">
        <w:t>inister</w:t>
      </w:r>
      <w:r w:rsidR="00072F0B">
        <w:t xml:space="preserve"> as these</w:t>
      </w:r>
      <w:r w:rsidR="00772003" w:rsidRPr="001627CD">
        <w:t xml:space="preserve"> employees must obtain and maintain a Negative Vetting 2 security clearance</w:t>
      </w:r>
      <w:r w:rsidR="001627CD">
        <w:t>,</w:t>
      </w:r>
      <w:r w:rsidR="00772003" w:rsidRPr="00A35E8F">
        <w:rPr>
          <w:rStyle w:val="FootnoteReference"/>
        </w:rPr>
        <w:footnoteReference w:id="190"/>
      </w:r>
      <w:r w:rsidR="00772003" w:rsidRPr="00A35E8F">
        <w:t xml:space="preserve"> </w:t>
      </w:r>
      <w:r w:rsidR="001627CD">
        <w:t xml:space="preserve">which in turn requires Australian citizenship unless waived by the head </w:t>
      </w:r>
      <w:r w:rsidR="00E749E0">
        <w:t>of the employing agency.</w:t>
      </w:r>
      <w:r w:rsidR="00E749E0">
        <w:rPr>
          <w:rStyle w:val="FootnoteReference"/>
        </w:rPr>
        <w:footnoteReference w:id="191"/>
      </w:r>
      <w:r w:rsidR="00D76D54" w:rsidRPr="00A35E8F">
        <w:t xml:space="preserve"> </w:t>
      </w:r>
      <w:r w:rsidR="00B47281" w:rsidRPr="00A35E8F">
        <w:t xml:space="preserve">The Review does not </w:t>
      </w:r>
      <w:r w:rsidR="00B47281">
        <w:t xml:space="preserve">make any findings warranting a change to the status quo. </w:t>
      </w:r>
    </w:p>
    <w:p w14:paraId="565C8098" w14:textId="4B64864F" w:rsidR="00D76D54" w:rsidRPr="001627CD" w:rsidRDefault="00EE7AA1" w:rsidP="00D76D54">
      <w:r>
        <w:t>A review of jurisdictions found some</w:t>
      </w:r>
      <w:r w:rsidR="00D76D54" w:rsidRPr="001627CD">
        <w:t xml:space="preserve"> require either an eligible visa or permanent residency as the minimum for engagement</w:t>
      </w:r>
      <w:r w:rsidR="001E60C8" w:rsidRPr="001627CD">
        <w:t xml:space="preserve"> for general MoP(S) </w:t>
      </w:r>
      <w:r w:rsidR="00AB63D4">
        <w:t xml:space="preserve">Act </w:t>
      </w:r>
      <w:r w:rsidR="001E60C8" w:rsidRPr="001627CD">
        <w:t>equivalent staff</w:t>
      </w:r>
      <w:r w:rsidR="00D76D54" w:rsidRPr="001627CD">
        <w:t>.</w:t>
      </w:r>
      <w:r w:rsidR="00D76D54" w:rsidRPr="00A35E8F">
        <w:rPr>
          <w:rStyle w:val="FootnoteReference"/>
        </w:rPr>
        <w:footnoteReference w:id="192"/>
      </w:r>
      <w:r w:rsidR="00D76D54" w:rsidRPr="00A35E8F">
        <w:t xml:space="preserve"> NSW and ACT also extend employment eligibility to applicants on temporary visas, with non-ongoing employment offered at a maximum to the end of the visa’s work rights validity. </w:t>
      </w:r>
      <w:r w:rsidR="001627CD">
        <w:t>The</w:t>
      </w:r>
      <w:r w:rsidR="001627CD" w:rsidRPr="00A35E8F">
        <w:t xml:space="preserve"> </w:t>
      </w:r>
      <w:r w:rsidR="007B4F25" w:rsidRPr="001627CD">
        <w:t>APS</w:t>
      </w:r>
      <w:r w:rsidR="00D76D54" w:rsidRPr="001627CD">
        <w:t xml:space="preserve"> </w:t>
      </w:r>
      <w:r w:rsidR="001D07C3" w:rsidRPr="001627CD">
        <w:t>is the outlier</w:t>
      </w:r>
      <w:r w:rsidR="00D76D54" w:rsidRPr="001627CD">
        <w:t xml:space="preserve"> </w:t>
      </w:r>
      <w:r w:rsidR="001D07C3" w:rsidRPr="00863A9F">
        <w:t>with</w:t>
      </w:r>
      <w:r w:rsidR="00D76D54" w:rsidRPr="001627CD">
        <w:t xml:space="preserve"> </w:t>
      </w:r>
      <w:r w:rsidR="001D07C3" w:rsidRPr="00A35E8F">
        <w:t xml:space="preserve">a </w:t>
      </w:r>
      <w:r w:rsidR="00D76D54" w:rsidRPr="001627CD">
        <w:t>require</w:t>
      </w:r>
      <w:r w:rsidR="001D07C3" w:rsidRPr="00A35E8F">
        <w:t>d</w:t>
      </w:r>
      <w:r w:rsidR="00D76D54" w:rsidRPr="001627CD">
        <w:t xml:space="preserve"> proof of </w:t>
      </w:r>
      <w:r w:rsidR="001D07C3" w:rsidRPr="00A35E8F">
        <w:t xml:space="preserve">Australian </w:t>
      </w:r>
      <w:r w:rsidR="00D76D54" w:rsidRPr="001627CD">
        <w:t>citizenship as a condition of engagement.</w:t>
      </w:r>
      <w:r w:rsidR="00D76D54" w:rsidRPr="001627CD">
        <w:rPr>
          <w:rStyle w:val="FootnoteReference"/>
        </w:rPr>
        <w:footnoteReference w:id="193"/>
      </w:r>
      <w:r w:rsidR="00D76D54" w:rsidRPr="001627CD">
        <w:t xml:space="preserve"> </w:t>
      </w:r>
    </w:p>
    <w:p w14:paraId="5CA4CFFD" w14:textId="77777777" w:rsidR="00D76D54" w:rsidRPr="00505FB0" w:rsidRDefault="00D76D54" w:rsidP="00D76D54">
      <w:pPr>
        <w:rPr>
          <w:i/>
        </w:rPr>
      </w:pPr>
      <w:r>
        <w:rPr>
          <w:i/>
        </w:rPr>
        <w:t>Working with Vulnerable People and Working with Children checks</w:t>
      </w:r>
    </w:p>
    <w:p w14:paraId="39CBF52D" w14:textId="77777777" w:rsidR="00D76D54" w:rsidRDefault="00756B7E" w:rsidP="00D76D54">
      <w:r>
        <w:t>Th</w:t>
      </w:r>
      <w:r w:rsidR="00D76D54">
        <w:t xml:space="preserve">ere is no national legislative approach to </w:t>
      </w:r>
      <w:r w:rsidR="00E749E0">
        <w:t>w</w:t>
      </w:r>
      <w:r w:rsidR="00D76D54">
        <w:t xml:space="preserve">orking with </w:t>
      </w:r>
      <w:r w:rsidR="00E749E0">
        <w:t>v</w:t>
      </w:r>
      <w:r w:rsidR="00D76D54">
        <w:t xml:space="preserve">ulnerable </w:t>
      </w:r>
      <w:r w:rsidR="00E749E0">
        <w:t>p</w:t>
      </w:r>
      <w:r w:rsidR="00D76D54">
        <w:t xml:space="preserve">eople or </w:t>
      </w:r>
      <w:r w:rsidR="00E749E0">
        <w:t>w</w:t>
      </w:r>
      <w:r w:rsidR="00D76D54">
        <w:t xml:space="preserve">orking with </w:t>
      </w:r>
      <w:r w:rsidR="00E749E0">
        <w:t>c</w:t>
      </w:r>
      <w:r w:rsidR="00D76D54">
        <w:t>hildren checks,</w:t>
      </w:r>
      <w:r>
        <w:t xml:space="preserve"> however, t</w:t>
      </w:r>
      <w:r w:rsidR="00D76D54">
        <w:t xml:space="preserve">he shared purpose of </w:t>
      </w:r>
      <w:r>
        <w:t xml:space="preserve">these </w:t>
      </w:r>
      <w:r w:rsidR="00D76D54">
        <w:t>check</w:t>
      </w:r>
      <w:r>
        <w:t>s</w:t>
      </w:r>
      <w:r w:rsidR="00D76D54">
        <w:t xml:space="preserve"> is to assess the risk a potential employee </w:t>
      </w:r>
      <w:r w:rsidR="00D76D54" w:rsidRPr="002640E2">
        <w:t xml:space="preserve">or volunteer could pose </w:t>
      </w:r>
      <w:r w:rsidR="00D76D54">
        <w:t xml:space="preserve">in a role </w:t>
      </w:r>
      <w:r w:rsidR="00D76D54" w:rsidRPr="002640E2">
        <w:t>to the safety and wellbeing of vulnerable people.</w:t>
      </w:r>
    </w:p>
    <w:p w14:paraId="60899823" w14:textId="16CD7D29" w:rsidR="00756B7E" w:rsidRDefault="00756B7E" w:rsidP="00D76D54">
      <w:r>
        <w:t>MoP(S)</w:t>
      </w:r>
      <w:r w:rsidR="00955B68">
        <w:t xml:space="preserve"> Act</w:t>
      </w:r>
      <w:r>
        <w:t xml:space="preserve"> employees may not perform roles that are clearly captured by these checks, </w:t>
      </w:r>
      <w:r w:rsidR="00BA4C11">
        <w:t xml:space="preserve">but </w:t>
      </w:r>
      <w:r>
        <w:t xml:space="preserve">their work can include interaction with people who are vulnerable. This is particularly true for electorate office staff. The Review heard examples of these officers fielding requests for help accessing support services, seeking </w:t>
      </w:r>
      <w:r w:rsidR="00514FBE">
        <w:t>m</w:t>
      </w:r>
      <w:r>
        <w:t>inisterial intervention in migration cases, emergency housing, and other government support services. MoP(S)</w:t>
      </w:r>
      <w:r w:rsidR="00955B68">
        <w:t xml:space="preserve"> Act</w:t>
      </w:r>
      <w:r>
        <w:t xml:space="preserve"> </w:t>
      </w:r>
      <w:r w:rsidR="001D07C3">
        <w:t>employees</w:t>
      </w:r>
      <w:r>
        <w:t xml:space="preserve"> may also accompany parliamentarians on site visits to places like schools, or residential facilities. </w:t>
      </w:r>
    </w:p>
    <w:p w14:paraId="199E59EC" w14:textId="75CE976A" w:rsidR="00EC3F71" w:rsidRDefault="001E60C8" w:rsidP="00D76D54">
      <w:r>
        <w:t xml:space="preserve">The Review concludes </w:t>
      </w:r>
      <w:r w:rsidR="00756B7E">
        <w:t>w</w:t>
      </w:r>
      <w:r>
        <w:t>orking</w:t>
      </w:r>
      <w:r w:rsidR="00D76D54" w:rsidDel="00756B7E">
        <w:t xml:space="preserve"> with </w:t>
      </w:r>
      <w:r w:rsidR="00D76D54" w:rsidRPr="00EC3F71" w:rsidDel="00756B7E">
        <w:t xml:space="preserve">vulnerable </w:t>
      </w:r>
      <w:r w:rsidR="00D76D54" w:rsidDel="00756B7E">
        <w:t>people</w:t>
      </w:r>
      <w:r w:rsidR="00756B7E">
        <w:t>/children</w:t>
      </w:r>
      <w:r>
        <w:t xml:space="preserve"> </w:t>
      </w:r>
      <w:r w:rsidR="00756B7E">
        <w:t>c</w:t>
      </w:r>
      <w:r>
        <w:t xml:space="preserve">hecks should not be mandatory </w:t>
      </w:r>
      <w:r w:rsidR="00756B7E">
        <w:t xml:space="preserve">for MoP(S) </w:t>
      </w:r>
      <w:r w:rsidR="00955B68">
        <w:t xml:space="preserve">Act </w:t>
      </w:r>
      <w:r w:rsidR="00756B7E">
        <w:t xml:space="preserve">employees. Instead, parliamentarians should </w:t>
      </w:r>
      <w:r>
        <w:t>consider whether</w:t>
      </w:r>
      <w:r w:rsidR="00756B7E">
        <w:t xml:space="preserve"> a check is required or advisable in the relevant </w:t>
      </w:r>
      <w:r w:rsidR="005D6928">
        <w:t>electorate</w:t>
      </w:r>
      <w:r w:rsidR="00756B7E">
        <w:t xml:space="preserve"> according to the particular role and duties of the employee. </w:t>
      </w:r>
    </w:p>
    <w:p w14:paraId="6AEC7917" w14:textId="77777777" w:rsidR="00251C0F" w:rsidRPr="004568C0" w:rsidRDefault="00251C0F" w:rsidP="00251C0F"/>
    <w:p w14:paraId="0CEE56B4" w14:textId="068858B1" w:rsidR="004F75BC" w:rsidRPr="00A35E8F" w:rsidRDefault="004F19C9" w:rsidP="00051BDA">
      <w:pPr>
        <w:pStyle w:val="Heading3"/>
      </w:pPr>
      <w:r>
        <w:t>4.4</w:t>
      </w:r>
      <w:r w:rsidR="00E749E0">
        <w:t xml:space="preserve">.3 </w:t>
      </w:r>
      <w:r w:rsidR="004F75BC" w:rsidRPr="00A35E8F">
        <w:t>Probation</w:t>
      </w:r>
    </w:p>
    <w:p w14:paraId="2E80E7DF" w14:textId="77777777" w:rsidR="004F75BC" w:rsidRDefault="004F75BC" w:rsidP="004F75BC">
      <w:r>
        <w:t xml:space="preserve">A probationary period for new </w:t>
      </w:r>
      <w:r w:rsidR="006A0185">
        <w:t>employees</w:t>
      </w:r>
      <w:r>
        <w:t xml:space="preserve"> encourages structured discussions between supervisors and new employees about performance and development. It provides an opportunity to normalise these discussions as part of the expected relationship between an employee and supervisor. Probationary processes can also provide for termination if it is demonstrated the </w:t>
      </w:r>
      <w:r w:rsidR="006A0185">
        <w:t>employee</w:t>
      </w:r>
      <w:r>
        <w:t xml:space="preserve"> is unable to perform the required role.</w:t>
      </w:r>
    </w:p>
    <w:p w14:paraId="224C1D7F" w14:textId="0ADACDDE" w:rsidR="004F75BC" w:rsidRDefault="004F75BC" w:rsidP="004F75BC">
      <w:r>
        <w:t>Section 8 of t</w:t>
      </w:r>
      <w:r w:rsidRPr="005A44BA">
        <w:t>he</w:t>
      </w:r>
      <w:r>
        <w:t xml:space="preserve"> EA sets out the provisions for probation for ongoing and non</w:t>
      </w:r>
      <w:r>
        <w:noBreakHyphen/>
        <w:t xml:space="preserve">ongoing MoP(S) Act </w:t>
      </w:r>
      <w:r w:rsidR="0057230A">
        <w:t>employees.</w:t>
      </w:r>
      <w:r>
        <w:t xml:space="preserve"> New ongoing </w:t>
      </w:r>
      <w:r w:rsidR="0057230A">
        <w:t>employees</w:t>
      </w:r>
      <w:r>
        <w:t xml:space="preserve"> are appointed on a period of probation of up to three months, which may be waived </w:t>
      </w:r>
      <w:r w:rsidR="0057230A">
        <w:t xml:space="preserve">altogether </w:t>
      </w:r>
      <w:r>
        <w:t>or extended by up to two months in writing by the employing parliamentarian. Non-ongoing employees may be engaged with a maximum probation period of three months at the discretion of the employing parliamentarian. These clauses are not intended to affect any ‘minimum employment period’ within the meaning of that phase set out in s</w:t>
      </w:r>
      <w:r w:rsidR="00D448BB">
        <w:t> </w:t>
      </w:r>
      <w:r>
        <w:t xml:space="preserve">383 of the </w:t>
      </w:r>
      <w:r w:rsidRPr="000F3A80">
        <w:t>FW</w:t>
      </w:r>
      <w:r w:rsidRPr="00A87F09">
        <w:t xml:space="preserve"> Act</w:t>
      </w:r>
      <w:r w:rsidRPr="00141813">
        <w:t>.</w:t>
      </w:r>
      <w:r w:rsidRPr="00141813">
        <w:rPr>
          <w:rStyle w:val="FootnoteReference"/>
        </w:rPr>
        <w:footnoteReference w:id="194"/>
      </w:r>
      <w:r w:rsidRPr="00141813">
        <w:t xml:space="preserve">  </w:t>
      </w:r>
    </w:p>
    <w:p w14:paraId="5D144F8D" w14:textId="67924445" w:rsidR="004F75BC" w:rsidRDefault="004F75BC" w:rsidP="004F75BC">
      <w:r w:rsidRPr="00284C2A">
        <w:t xml:space="preserve">Waiving probation without a good reason is a missed opportunity to focus on the early performance of a new </w:t>
      </w:r>
      <w:r w:rsidR="006A0185">
        <w:t>employee</w:t>
      </w:r>
      <w:r w:rsidRPr="00284C2A">
        <w:t>, communicate expectations, check in on progress against those expectations, and to respond to their development needs. These are all aspects of people management that ideally are undertaken in a timely, proactive and structured way. The waiving of probation</w:t>
      </w:r>
      <w:r>
        <w:t xml:space="preserve"> was</w:t>
      </w:r>
      <w:r w:rsidRPr="00284C2A">
        <w:t xml:space="preserve"> reported to the Review as common </w:t>
      </w:r>
      <w:r>
        <w:t>practice. The R</w:t>
      </w:r>
      <w:r w:rsidRPr="00284C2A">
        <w:t>eview considers parliamentarians should be encouraged to retain the probationary period and be deliber</w:t>
      </w:r>
      <w:r w:rsidR="00E54134">
        <w:t>ate in providing early feedback and</w:t>
      </w:r>
      <w:r w:rsidRPr="00284C2A">
        <w:t xml:space="preserve"> set</w:t>
      </w:r>
      <w:r w:rsidR="00E54134">
        <w:t>ting</w:t>
      </w:r>
      <w:r w:rsidRPr="00284C2A">
        <w:t xml:space="preserve"> clear expectations</w:t>
      </w:r>
      <w:r w:rsidR="00E54134">
        <w:t>.</w:t>
      </w:r>
    </w:p>
    <w:p w14:paraId="6F3CB9D3" w14:textId="798F3192" w:rsidR="004F75BC" w:rsidRDefault="004F75BC" w:rsidP="004F75BC">
      <w:r>
        <w:t xml:space="preserve">The Review heard the understanding of </w:t>
      </w:r>
      <w:r w:rsidDel="0010576C">
        <w:t>probationary periods</w:t>
      </w:r>
      <w:r>
        <w:t xml:space="preserve">, the legal requirements around them, and policies around performance discussions is limited across parliamentary offices. There is some guidance on the </w:t>
      </w:r>
      <w:r w:rsidR="001156CA">
        <w:t>MaPS</w:t>
      </w:r>
      <w:r>
        <w:t xml:space="preserve"> website around probation periods. The OPSC may wish to consider whether it would be helpful to provide further information or support to parliamentarians about probation.</w:t>
      </w:r>
    </w:p>
    <w:p w14:paraId="07B1B92F" w14:textId="77777777" w:rsidR="00251C0F" w:rsidRDefault="00251C0F" w:rsidP="004F75BC"/>
    <w:p w14:paraId="4819F858" w14:textId="273F68E1" w:rsidR="00E749E0" w:rsidRPr="00EC3F71" w:rsidRDefault="00AD5904" w:rsidP="00051BDA">
      <w:pPr>
        <w:pStyle w:val="Heading3"/>
      </w:pPr>
      <w:r>
        <w:t xml:space="preserve">4.4.4 </w:t>
      </w:r>
      <w:r w:rsidR="00E749E0" w:rsidRPr="00EC3F71">
        <w:t>Conclusion</w:t>
      </w:r>
    </w:p>
    <w:p w14:paraId="2759319F" w14:textId="77777777" w:rsidR="00E749E0" w:rsidRDefault="00E749E0" w:rsidP="00E749E0">
      <w:r>
        <w:t>The current state provides parliamentarians with a flexible, quick, and simple recruitment process. However, contributors to the Review indicated these benefits can be outweighed by a parliamentarian potenti</w:t>
      </w:r>
      <w:r w:rsidR="00845238">
        <w:t xml:space="preserve">ally employing unsuitable </w:t>
      </w:r>
      <w:r w:rsidR="006A0185">
        <w:t>employees</w:t>
      </w:r>
      <w:r w:rsidR="00845238">
        <w:t xml:space="preserve"> or not putting in place probationary processes to provide early guidance and support.</w:t>
      </w:r>
    </w:p>
    <w:p w14:paraId="23D15896" w14:textId="71956E82" w:rsidR="00E749E0" w:rsidRDefault="00E749E0" w:rsidP="00E749E0">
      <w:r>
        <w:t xml:space="preserve">Pre-engagement checks are an important source of information about a person’s suitability for MoP(S) </w:t>
      </w:r>
      <w:r w:rsidR="005859C9">
        <w:t xml:space="preserve">Act </w:t>
      </w:r>
      <w:r>
        <w:t>employment. The Review considers parliamentarians should consider which pre-engagement checks are relevant when putting together a job description for a role, and inform candidates about this. The OPSC should have oversight of pre-engagement check</w:t>
      </w:r>
      <w:r w:rsidR="005859C9">
        <w:t xml:space="preserve"> usage</w:t>
      </w:r>
      <w:r>
        <w:t xml:space="preserve"> a</w:t>
      </w:r>
      <w:r w:rsidR="005D6928">
        <w:t>s</w:t>
      </w:r>
      <w:r>
        <w:t xml:space="preserve"> part of on-boarding new </w:t>
      </w:r>
      <w:r w:rsidR="006A0185">
        <w:t>employees</w:t>
      </w:r>
      <w:r w:rsidR="005D72B1">
        <w:t>.</w:t>
      </w:r>
      <w:r w:rsidR="006A0185">
        <w:t xml:space="preserve"> </w:t>
      </w:r>
    </w:p>
    <w:p w14:paraId="31403255" w14:textId="77777777" w:rsidR="00E749E0" w:rsidRDefault="00E749E0" w:rsidP="00E749E0">
      <w:r>
        <w:t xml:space="preserve">In the usual course, the Review considers it reasonable for parliamentarians to request a self-declaration about criminal history and the information provided during the recruitment process, and to undertake referee checks for suitable candidates. Depending on the particular role, a parliamentarian may also wish to obtain a police check and consider a working with vulnerable people/children check. </w:t>
      </w:r>
    </w:p>
    <w:p w14:paraId="06D7B76E" w14:textId="77777777" w:rsidR="00E749E0" w:rsidRDefault="00E749E0" w:rsidP="00E749E0">
      <w:r>
        <w:t>We expect the OPSC will be well placed to provide guidance to parliamentarians about the checks appropriate to the specific role and duties, and how to respond to adverse information in a manner that is fair and transparent.</w:t>
      </w:r>
    </w:p>
    <w:p w14:paraId="1CA4B48E" w14:textId="77777777" w:rsidR="00D76D54" w:rsidRDefault="00D76D54" w:rsidP="00D76D54"/>
    <w:p w14:paraId="75AF6AE6" w14:textId="561729DC" w:rsidR="00D76D54" w:rsidRDefault="00D76D54" w:rsidP="000136FD">
      <w:pPr>
        <w:pStyle w:val="BOXHeading2"/>
      </w:pPr>
      <w:bookmarkStart w:id="4246" w:name="_Toc114230885"/>
      <w:bookmarkStart w:id="4247" w:name="_Toc114232942"/>
      <w:bookmarkStart w:id="4248" w:name="_Toc114233590"/>
      <w:bookmarkStart w:id="4249" w:name="_Toc114233662"/>
      <w:bookmarkStart w:id="4250" w:name="_Toc114240619"/>
      <w:bookmarkStart w:id="4251" w:name="_Toc114240693"/>
      <w:bookmarkStart w:id="4252" w:name="_Toc114241037"/>
      <w:bookmarkStart w:id="4253" w:name="_Toc114494058"/>
      <w:bookmarkStart w:id="4254" w:name="_Toc114500309"/>
      <w:bookmarkStart w:id="4255" w:name="_Toc114500384"/>
      <w:bookmarkStart w:id="4256" w:name="_Toc114518657"/>
      <w:bookmarkStart w:id="4257" w:name="_Toc114520329"/>
      <w:bookmarkStart w:id="4258" w:name="_Toc114520738"/>
      <w:bookmarkStart w:id="4259" w:name="_Toc114565766"/>
      <w:bookmarkStart w:id="4260" w:name="_Toc114566747"/>
      <w:bookmarkStart w:id="4261" w:name="_Toc114566972"/>
      <w:bookmarkStart w:id="4262" w:name="_Toc114566896"/>
      <w:bookmarkStart w:id="4263" w:name="_Toc114585897"/>
      <w:bookmarkStart w:id="4264" w:name="_Toc114586041"/>
      <w:bookmarkStart w:id="4265" w:name="_Toc114586113"/>
      <w:bookmarkStart w:id="4266" w:name="_Toc114601253"/>
      <w:bookmarkStart w:id="4267" w:name="_Toc114657294"/>
      <w:bookmarkStart w:id="4268" w:name="_Toc114659756"/>
      <w:bookmarkStart w:id="4269" w:name="_Toc114662741"/>
      <w:bookmarkStart w:id="4270" w:name="_Toc114665125"/>
      <w:bookmarkStart w:id="4271" w:name="_Toc114672434"/>
      <w:bookmarkStart w:id="4272" w:name="_Toc114672646"/>
      <w:bookmarkStart w:id="4273" w:name="_Toc114673201"/>
      <w:bookmarkStart w:id="4274" w:name="_Toc114673787"/>
      <w:bookmarkStart w:id="4275" w:name="_Toc114674312"/>
      <w:bookmarkStart w:id="4276" w:name="_Toc114687485"/>
      <w:bookmarkStart w:id="4277" w:name="_Toc114689949"/>
      <w:bookmarkStart w:id="4278" w:name="_Toc114731812"/>
      <w:bookmarkStart w:id="4279" w:name="_Toc114733577"/>
      <w:bookmarkStart w:id="4280" w:name="_Toc114735518"/>
      <w:bookmarkStart w:id="4281" w:name="_Toc114755845"/>
      <w:bookmarkStart w:id="4282" w:name="_Toc114757150"/>
      <w:bookmarkStart w:id="4283" w:name="_Toc114757434"/>
      <w:bookmarkStart w:id="4284" w:name="_Toc114757536"/>
      <w:bookmarkStart w:id="4285" w:name="_Toc114758209"/>
      <w:bookmarkStart w:id="4286" w:name="_Toc114824379"/>
      <w:bookmarkStart w:id="4287" w:name="_Toc114829455"/>
      <w:bookmarkStart w:id="4288" w:name="_Toc114829819"/>
      <w:bookmarkStart w:id="4289" w:name="_Toc114829963"/>
      <w:bookmarkStart w:id="4290" w:name="_Toc115099042"/>
      <w:bookmarkStart w:id="4291" w:name="_Toc115099114"/>
      <w:bookmarkStart w:id="4292" w:name="_Toc115101691"/>
      <w:bookmarkStart w:id="4293" w:name="_Toc115102536"/>
      <w:bookmarkStart w:id="4294" w:name="_Toc115105509"/>
      <w:bookmarkStart w:id="4295" w:name="_Toc115110370"/>
      <w:bookmarkStart w:id="4296" w:name="_Toc115110497"/>
      <w:bookmarkStart w:id="4297" w:name="_Toc115121615"/>
      <w:bookmarkStart w:id="4298" w:name="_Toc115121985"/>
      <w:bookmarkStart w:id="4299" w:name="_Toc115123465"/>
      <w:bookmarkStart w:id="4300" w:name="_Toc115123713"/>
      <w:bookmarkStart w:id="4301" w:name="_Toc115126845"/>
      <w:bookmarkStart w:id="4302" w:name="_Toc115185481"/>
      <w:bookmarkStart w:id="4303" w:name="_Toc115186108"/>
      <w:bookmarkStart w:id="4304" w:name="_Toc115189266"/>
      <w:bookmarkStart w:id="4305" w:name="_Toc115194239"/>
      <w:bookmarkStart w:id="4306" w:name="_Toc115194976"/>
      <w:bookmarkStart w:id="4307" w:name="_Toc115196386"/>
      <w:bookmarkStart w:id="4308" w:name="_Toc115198887"/>
      <w:bookmarkStart w:id="4309" w:name="_Toc115208902"/>
      <w:bookmarkStart w:id="4310" w:name="_Toc115209038"/>
      <w:bookmarkStart w:id="4311" w:name="_Toc115210369"/>
      <w:bookmarkStart w:id="4312" w:name="_Toc115212594"/>
      <w:bookmarkStart w:id="4313" w:name="_Toc115213234"/>
      <w:bookmarkStart w:id="4314" w:name="_Toc115216732"/>
      <w:bookmarkStart w:id="4315" w:name="_Toc115270423"/>
      <w:bookmarkStart w:id="4316" w:name="_Toc115271366"/>
      <w:bookmarkStart w:id="4317" w:name="_Toc115272283"/>
      <w:bookmarkStart w:id="4318" w:name="_Toc115273453"/>
      <w:bookmarkStart w:id="4319" w:name="_Toc115273381"/>
      <w:bookmarkStart w:id="4320" w:name="_Toc115274634"/>
      <w:bookmarkStart w:id="4321" w:name="_Toc115274860"/>
      <w:bookmarkStart w:id="4322" w:name="_Toc115275217"/>
      <w:bookmarkStart w:id="4323" w:name="_Toc115275360"/>
      <w:bookmarkStart w:id="4324" w:name="_Toc115274197"/>
      <w:bookmarkStart w:id="4325" w:name="_Toc115274498"/>
      <w:bookmarkStart w:id="4326" w:name="_Toc115274566"/>
      <w:bookmarkStart w:id="4327" w:name="_Toc115274724"/>
      <w:bookmarkStart w:id="4328" w:name="_Toc115277458"/>
      <w:bookmarkStart w:id="4329" w:name="_Toc115277662"/>
      <w:bookmarkStart w:id="4330" w:name="_Toc115278551"/>
      <w:bookmarkStart w:id="4331" w:name="_Toc115278631"/>
      <w:bookmarkStart w:id="4332" w:name="_Toc115282301"/>
      <w:bookmarkStart w:id="4333" w:name="_Toc115284754"/>
      <w:bookmarkStart w:id="4334" w:name="_Toc115286846"/>
      <w:bookmarkStart w:id="4335" w:name="_Toc115294780"/>
      <w:bookmarkStart w:id="4336" w:name="_Toc115296360"/>
      <w:bookmarkStart w:id="4337" w:name="_Toc115308546"/>
      <w:bookmarkStart w:id="4338" w:name="_Toc115311198"/>
      <w:bookmarkStart w:id="4339" w:name="_Toc115312678"/>
      <w:bookmarkStart w:id="4340" w:name="_Toc115343852"/>
      <w:bookmarkStart w:id="4341" w:name="_Toc115348290"/>
      <w:bookmarkStart w:id="4342" w:name="_Toc115350388"/>
      <w:bookmarkStart w:id="4343" w:name="_Toc115353476"/>
      <w:bookmarkStart w:id="4344" w:name="_Toc115359507"/>
      <w:bookmarkStart w:id="4345" w:name="_Toc115361911"/>
      <w:bookmarkStart w:id="4346" w:name="_Toc115364304"/>
      <w:bookmarkStart w:id="4347" w:name="_Toc115365398"/>
      <w:bookmarkStart w:id="4348" w:name="_Toc115365670"/>
      <w:bookmarkStart w:id="4349" w:name="_Toc115365738"/>
      <w:bookmarkStart w:id="4350" w:name="_Toc115366202"/>
      <w:bookmarkStart w:id="4351" w:name="_Toc115368652"/>
      <w:bookmarkStart w:id="4352" w:name="_Toc115370092"/>
      <w:bookmarkStart w:id="4353" w:name="_Toc115370826"/>
      <w:bookmarkStart w:id="4354" w:name="_Toc115374398"/>
      <w:bookmarkStart w:id="4355" w:name="_Toc115378737"/>
      <w:bookmarkStart w:id="4356" w:name="_Toc115380969"/>
      <w:bookmarkStart w:id="4357" w:name="_Toc115384121"/>
      <w:bookmarkStart w:id="4358" w:name="_Toc115387350"/>
      <w:bookmarkStart w:id="4359" w:name="_Toc115388816"/>
      <w:bookmarkStart w:id="4360" w:name="_Toc115431454"/>
      <w:bookmarkStart w:id="4361" w:name="_Toc115432832"/>
      <w:bookmarkStart w:id="4362" w:name="_Toc115434403"/>
      <w:bookmarkStart w:id="4363" w:name="_Toc115434502"/>
      <w:bookmarkStart w:id="4364" w:name="_Toc115434571"/>
      <w:bookmarkStart w:id="4365" w:name="_Toc115434640"/>
      <w:bookmarkStart w:id="4366" w:name="_Toc115442810"/>
      <w:bookmarkStart w:id="4367" w:name="_Toc115446346"/>
      <w:bookmarkStart w:id="4368" w:name="_Toc115448053"/>
      <w:bookmarkStart w:id="4369" w:name="_Toc115449445"/>
      <w:bookmarkStart w:id="4370" w:name="_Toc115452465"/>
      <w:bookmarkStart w:id="4371" w:name="_Toc115455282"/>
      <w:bookmarkStart w:id="4372" w:name="_Toc115455348"/>
      <w:bookmarkStart w:id="4373" w:name="_Toc115457298"/>
      <w:bookmarkStart w:id="4374" w:name="_Toc115458134"/>
      <w:bookmarkStart w:id="4375" w:name="_Toc115948162"/>
      <w:bookmarkStart w:id="4376" w:name="_Toc115948609"/>
      <w:r>
        <w:t xml:space="preserve">Recommendation </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r w:rsidR="00817AC5">
        <w:t>7</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r w:rsidR="005439E8">
        <w:t xml:space="preserve"> </w:t>
      </w:r>
      <w:r w:rsidR="00CB748B">
        <w:t>–</w:t>
      </w:r>
      <w:r w:rsidR="005439E8">
        <w:t xml:space="preserve"> Recruitment</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01213AEF" w14:textId="12A65DE2" w:rsidR="000136FD" w:rsidRDefault="000136FD" w:rsidP="000136FD">
      <w:pPr>
        <w:pStyle w:val="BOXText"/>
      </w:pPr>
      <w:r>
        <w:t xml:space="preserve">The MoP(S) Act should require parliamentarians to recruit staff against specified position descriptions and </w:t>
      </w:r>
      <w:r w:rsidRPr="00E432FF">
        <w:t>undertake an assessment of a</w:t>
      </w:r>
      <w:r>
        <w:t xml:space="preserve"> candidate’s capacity to successfully perform the prescribed role. The OPSC should develop policies and guidance to support this, including consideration of the use of self-declarations and pre-engagement checks.</w:t>
      </w:r>
    </w:p>
    <w:p w14:paraId="021A5B2A" w14:textId="77777777" w:rsidR="000C7050" w:rsidRDefault="000C7050" w:rsidP="00D76D54"/>
    <w:p w14:paraId="482816F3" w14:textId="77777777" w:rsidR="000C7050" w:rsidRPr="00C26361" w:rsidRDefault="000C7050" w:rsidP="00C26361">
      <w:pPr>
        <w:pStyle w:val="Lightshadebox"/>
        <w:rPr>
          <w:b/>
        </w:rPr>
      </w:pPr>
      <w:r w:rsidRPr="00C26361">
        <w:rPr>
          <w:b/>
        </w:rPr>
        <w:t>Findings to inform the work of OPSC</w:t>
      </w:r>
    </w:p>
    <w:p w14:paraId="45054710" w14:textId="77777777" w:rsidR="000C7050" w:rsidRDefault="000C7050" w:rsidP="00C26361">
      <w:pPr>
        <w:pStyle w:val="Lightshadebox"/>
      </w:pPr>
      <w:r w:rsidRPr="004E06B9">
        <w:t xml:space="preserve">OPSC </w:t>
      </w:r>
      <w:r>
        <w:t>could consider how best to support pre-engagement chec</w:t>
      </w:r>
      <w:r w:rsidR="00E7303B">
        <w:t>ks</w:t>
      </w:r>
      <w:r>
        <w:t xml:space="preserve"> by:</w:t>
      </w:r>
    </w:p>
    <w:p w14:paraId="76841909" w14:textId="77777777" w:rsidR="00E7303B" w:rsidRDefault="00E7303B" w:rsidP="00C26361">
      <w:pPr>
        <w:pStyle w:val="Lightshadebox"/>
        <w:numPr>
          <w:ilvl w:val="0"/>
          <w:numId w:val="47"/>
        </w:numPr>
      </w:pPr>
      <w:r>
        <w:t>providing guidance to parliamentarians about pre-engagement checks, including those appropriate to specific roles and duties</w:t>
      </w:r>
    </w:p>
    <w:p w14:paraId="44C16182" w14:textId="77777777" w:rsidR="00E7303B" w:rsidRDefault="000C7050" w:rsidP="00C26361">
      <w:pPr>
        <w:pStyle w:val="Lightshadebox"/>
        <w:numPr>
          <w:ilvl w:val="0"/>
          <w:numId w:val="47"/>
        </w:numPr>
      </w:pPr>
      <w:r>
        <w:t>developing guidance for hiring parliamentarians on how to fairly consider adverse reports from a pre-engagement check</w:t>
      </w:r>
    </w:p>
    <w:p w14:paraId="49C6A027" w14:textId="3F19A7D1" w:rsidR="000C7050" w:rsidRDefault="00E7303B" w:rsidP="00C26361">
      <w:pPr>
        <w:pStyle w:val="Lightshadebox"/>
        <w:numPr>
          <w:ilvl w:val="0"/>
          <w:numId w:val="47"/>
        </w:numPr>
      </w:pPr>
      <w:r>
        <w:t>monitoring the use of pre-engagement checks</w:t>
      </w:r>
      <w:r w:rsidR="000C7050">
        <w:t>.</w:t>
      </w:r>
    </w:p>
    <w:p w14:paraId="63FACF88" w14:textId="77777777" w:rsidR="000C7050" w:rsidRDefault="000C7050">
      <w:bookmarkStart w:id="4377" w:name="_Toc104212786"/>
    </w:p>
    <w:p w14:paraId="27F88CAB" w14:textId="31073ACA" w:rsidR="00D76D54" w:rsidRPr="000F2E36" w:rsidRDefault="00466AEA" w:rsidP="00D76D54">
      <w:pPr>
        <w:pStyle w:val="Heading2"/>
      </w:pPr>
      <w:bookmarkStart w:id="4378" w:name="_Toc114230886"/>
      <w:bookmarkStart w:id="4379" w:name="_Toc114232943"/>
      <w:bookmarkStart w:id="4380" w:name="_Toc114233591"/>
      <w:bookmarkStart w:id="4381" w:name="_Toc114233663"/>
      <w:bookmarkStart w:id="4382" w:name="_Toc114240620"/>
      <w:bookmarkStart w:id="4383" w:name="_Toc114240694"/>
      <w:bookmarkStart w:id="4384" w:name="_Toc114241038"/>
      <w:bookmarkStart w:id="4385" w:name="_Toc114494059"/>
      <w:bookmarkStart w:id="4386" w:name="_Toc114500310"/>
      <w:bookmarkStart w:id="4387" w:name="_Toc114500385"/>
      <w:bookmarkStart w:id="4388" w:name="_Toc114518658"/>
      <w:bookmarkStart w:id="4389" w:name="_Toc114520330"/>
      <w:bookmarkStart w:id="4390" w:name="_Toc114520739"/>
      <w:bookmarkStart w:id="4391" w:name="_Toc114565767"/>
      <w:bookmarkStart w:id="4392" w:name="_Toc114566748"/>
      <w:bookmarkStart w:id="4393" w:name="_Toc114566973"/>
      <w:bookmarkStart w:id="4394" w:name="_Toc114566897"/>
      <w:bookmarkStart w:id="4395" w:name="_Toc114585898"/>
      <w:bookmarkStart w:id="4396" w:name="_Toc114586042"/>
      <w:bookmarkStart w:id="4397" w:name="_Toc114586114"/>
      <w:bookmarkStart w:id="4398" w:name="_Toc114601254"/>
      <w:bookmarkStart w:id="4399" w:name="_Toc114657295"/>
      <w:bookmarkStart w:id="4400" w:name="_Toc114659757"/>
      <w:bookmarkStart w:id="4401" w:name="_Toc114662742"/>
      <w:bookmarkStart w:id="4402" w:name="_Toc114665126"/>
      <w:bookmarkStart w:id="4403" w:name="_Toc114672435"/>
      <w:bookmarkStart w:id="4404" w:name="_Toc114672647"/>
      <w:bookmarkStart w:id="4405" w:name="_Toc114673202"/>
      <w:bookmarkStart w:id="4406" w:name="_Toc114673788"/>
      <w:bookmarkStart w:id="4407" w:name="_Toc114674313"/>
      <w:bookmarkStart w:id="4408" w:name="_Toc114687486"/>
      <w:bookmarkStart w:id="4409" w:name="_Toc114689950"/>
      <w:bookmarkStart w:id="4410" w:name="_Toc114731813"/>
      <w:bookmarkStart w:id="4411" w:name="_Toc114733578"/>
      <w:bookmarkStart w:id="4412" w:name="_Toc114735519"/>
      <w:bookmarkStart w:id="4413" w:name="_Toc114755846"/>
      <w:bookmarkStart w:id="4414" w:name="_Toc114757151"/>
      <w:bookmarkStart w:id="4415" w:name="_Toc114757435"/>
      <w:bookmarkStart w:id="4416" w:name="_Toc114757537"/>
      <w:bookmarkStart w:id="4417" w:name="_Toc114758210"/>
      <w:bookmarkStart w:id="4418" w:name="_Toc114824380"/>
      <w:bookmarkStart w:id="4419" w:name="_Toc114829456"/>
      <w:bookmarkStart w:id="4420" w:name="_Toc114829820"/>
      <w:bookmarkStart w:id="4421" w:name="_Toc114829964"/>
      <w:bookmarkStart w:id="4422" w:name="_Toc115099043"/>
      <w:bookmarkStart w:id="4423" w:name="_Toc115099115"/>
      <w:bookmarkStart w:id="4424" w:name="_Toc115101692"/>
      <w:bookmarkStart w:id="4425" w:name="_Toc115102537"/>
      <w:bookmarkStart w:id="4426" w:name="_Toc115105510"/>
      <w:bookmarkStart w:id="4427" w:name="_Toc115110371"/>
      <w:bookmarkStart w:id="4428" w:name="_Toc115110498"/>
      <w:bookmarkStart w:id="4429" w:name="_Toc115121616"/>
      <w:bookmarkStart w:id="4430" w:name="_Toc115121986"/>
      <w:bookmarkStart w:id="4431" w:name="_Toc115123466"/>
      <w:bookmarkStart w:id="4432" w:name="_Toc115123714"/>
      <w:bookmarkStart w:id="4433" w:name="_Toc115126846"/>
      <w:bookmarkStart w:id="4434" w:name="_Toc115185482"/>
      <w:bookmarkStart w:id="4435" w:name="_Toc115186109"/>
      <w:bookmarkStart w:id="4436" w:name="_Toc115189267"/>
      <w:bookmarkStart w:id="4437" w:name="_Toc115194240"/>
      <w:bookmarkStart w:id="4438" w:name="_Toc115194977"/>
      <w:bookmarkStart w:id="4439" w:name="_Toc115196387"/>
      <w:bookmarkStart w:id="4440" w:name="_Toc115198888"/>
      <w:bookmarkStart w:id="4441" w:name="_Toc115208903"/>
      <w:bookmarkStart w:id="4442" w:name="_Toc115209039"/>
      <w:bookmarkStart w:id="4443" w:name="_Toc115210370"/>
      <w:bookmarkStart w:id="4444" w:name="_Toc115212595"/>
      <w:bookmarkStart w:id="4445" w:name="_Toc115213235"/>
      <w:bookmarkStart w:id="4446" w:name="_Toc115216733"/>
      <w:bookmarkStart w:id="4447" w:name="_Toc115270424"/>
      <w:bookmarkStart w:id="4448" w:name="_Toc115271367"/>
      <w:bookmarkStart w:id="4449" w:name="_Toc115272284"/>
      <w:bookmarkStart w:id="4450" w:name="_Toc115273454"/>
      <w:bookmarkStart w:id="4451" w:name="_Toc115273382"/>
      <w:bookmarkStart w:id="4452" w:name="_Toc115274635"/>
      <w:bookmarkStart w:id="4453" w:name="_Toc115274861"/>
      <w:bookmarkStart w:id="4454" w:name="_Toc115275218"/>
      <w:bookmarkStart w:id="4455" w:name="_Toc115275361"/>
      <w:bookmarkStart w:id="4456" w:name="_Toc115274198"/>
      <w:bookmarkStart w:id="4457" w:name="_Toc115274499"/>
      <w:bookmarkStart w:id="4458" w:name="_Toc115274567"/>
      <w:bookmarkStart w:id="4459" w:name="_Toc115274725"/>
      <w:bookmarkStart w:id="4460" w:name="_Toc115277459"/>
      <w:bookmarkStart w:id="4461" w:name="_Toc115277663"/>
      <w:bookmarkStart w:id="4462" w:name="_Toc115278552"/>
      <w:bookmarkStart w:id="4463" w:name="_Toc115278632"/>
      <w:bookmarkStart w:id="4464" w:name="_Toc115282302"/>
      <w:bookmarkStart w:id="4465" w:name="_Toc115284755"/>
      <w:bookmarkStart w:id="4466" w:name="_Toc115286847"/>
      <w:bookmarkStart w:id="4467" w:name="_Toc115294781"/>
      <w:bookmarkStart w:id="4468" w:name="_Toc115296361"/>
      <w:bookmarkStart w:id="4469" w:name="_Toc115308547"/>
      <w:bookmarkStart w:id="4470" w:name="_Toc115311199"/>
      <w:bookmarkStart w:id="4471" w:name="_Toc115312679"/>
      <w:bookmarkStart w:id="4472" w:name="_Toc115343853"/>
      <w:bookmarkStart w:id="4473" w:name="_Toc115348291"/>
      <w:bookmarkStart w:id="4474" w:name="_Toc115350389"/>
      <w:bookmarkStart w:id="4475" w:name="_Toc115353477"/>
      <w:bookmarkStart w:id="4476" w:name="_Toc115359508"/>
      <w:bookmarkStart w:id="4477" w:name="_Toc115361912"/>
      <w:bookmarkStart w:id="4478" w:name="_Toc115364305"/>
      <w:bookmarkStart w:id="4479" w:name="_Toc115365399"/>
      <w:bookmarkStart w:id="4480" w:name="_Toc115365671"/>
      <w:bookmarkStart w:id="4481" w:name="_Toc115365739"/>
      <w:bookmarkStart w:id="4482" w:name="_Toc115366203"/>
      <w:bookmarkStart w:id="4483" w:name="_Toc115368653"/>
      <w:bookmarkStart w:id="4484" w:name="_Toc115370093"/>
      <w:bookmarkStart w:id="4485" w:name="_Toc115370827"/>
      <w:bookmarkStart w:id="4486" w:name="_Toc115374399"/>
      <w:bookmarkStart w:id="4487" w:name="_Toc115378738"/>
      <w:bookmarkStart w:id="4488" w:name="_Toc115380970"/>
      <w:bookmarkStart w:id="4489" w:name="_Toc115384122"/>
      <w:bookmarkStart w:id="4490" w:name="_Toc115387351"/>
      <w:bookmarkStart w:id="4491" w:name="_Toc115388817"/>
      <w:bookmarkStart w:id="4492" w:name="_Toc115431455"/>
      <w:bookmarkStart w:id="4493" w:name="_Toc115432833"/>
      <w:bookmarkStart w:id="4494" w:name="_Toc115434404"/>
      <w:bookmarkStart w:id="4495" w:name="_Toc115434503"/>
      <w:bookmarkStart w:id="4496" w:name="_Toc115434572"/>
      <w:bookmarkStart w:id="4497" w:name="_Toc115434641"/>
      <w:bookmarkStart w:id="4498" w:name="_Toc115442811"/>
      <w:bookmarkStart w:id="4499" w:name="_Toc115446347"/>
      <w:bookmarkStart w:id="4500" w:name="_Toc115448054"/>
      <w:bookmarkStart w:id="4501" w:name="_Toc115449446"/>
      <w:bookmarkStart w:id="4502" w:name="_Toc115452466"/>
      <w:bookmarkStart w:id="4503" w:name="_Toc115455283"/>
      <w:bookmarkStart w:id="4504" w:name="_Toc115455349"/>
      <w:bookmarkStart w:id="4505" w:name="_Toc115457299"/>
      <w:bookmarkStart w:id="4506" w:name="_Toc115458135"/>
      <w:bookmarkStart w:id="4507" w:name="_Toc115948163"/>
      <w:bookmarkStart w:id="4508" w:name="_Toc115948610"/>
      <w:r>
        <w:t>4.</w:t>
      </w:r>
      <w:r w:rsidR="00863A9F">
        <w:t>5</w:t>
      </w:r>
      <w:r w:rsidR="00D76D54">
        <w:t xml:space="preserve"> </w:t>
      </w:r>
      <w:bookmarkEnd w:id="4377"/>
      <w:r w:rsidR="00D76D54">
        <w:t xml:space="preserve">Intermittent </w:t>
      </w:r>
      <w:r w:rsidR="00040A73">
        <w:t>l</w:t>
      </w:r>
      <w:r w:rsidR="00D76D54">
        <w:t>abour</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0539440E" w14:textId="77777777" w:rsidR="0068438E" w:rsidRPr="0068438E" w:rsidRDefault="0068438E" w:rsidP="00D76D54">
      <w:pPr>
        <w:rPr>
          <w:i/>
        </w:rPr>
      </w:pPr>
      <w:r w:rsidRPr="0068438E">
        <w:rPr>
          <w:i/>
        </w:rPr>
        <w:t>Work, health safety</w:t>
      </w:r>
    </w:p>
    <w:p w14:paraId="00F48EF4" w14:textId="22A0D575" w:rsidR="00D76D54" w:rsidRDefault="00D76D54" w:rsidP="00D76D54">
      <w:r>
        <w:t xml:space="preserve">The Review identified </w:t>
      </w:r>
      <w:r w:rsidR="00792579">
        <w:t xml:space="preserve">there are </w:t>
      </w:r>
      <w:r w:rsidR="00C134D0">
        <w:t xml:space="preserve">workers in parliamentary offices </w:t>
      </w:r>
      <w:r>
        <w:t>that are not captured by the MoP(S) Act employment framework. This group includes volunteers, work experience participants</w:t>
      </w:r>
      <w:r w:rsidR="00C134D0">
        <w:t xml:space="preserve">, </w:t>
      </w:r>
      <w:r>
        <w:t xml:space="preserve">interns </w:t>
      </w:r>
      <w:r w:rsidR="00C134D0">
        <w:t>and</w:t>
      </w:r>
      <w:r>
        <w:t xml:space="preserve"> others working in unpaid positions in parliamentary workplaces</w:t>
      </w:r>
      <w:r w:rsidR="00C134D0">
        <w:t>.</w:t>
      </w:r>
      <w:r w:rsidR="005760FC">
        <w:t xml:space="preserve"> It does not include visitors.</w:t>
      </w:r>
    </w:p>
    <w:p w14:paraId="411CCD27" w14:textId="77777777" w:rsidR="00D76D54" w:rsidRDefault="00C134D0" w:rsidP="00D76D54">
      <w:r>
        <w:t>In</w:t>
      </w:r>
      <w:r w:rsidR="00D76D54">
        <w:t xml:space="preserve"> the absence of </w:t>
      </w:r>
      <w:r>
        <w:t>an</w:t>
      </w:r>
      <w:r w:rsidR="00D76D54" w:rsidDel="00C134D0">
        <w:t xml:space="preserve"> </w:t>
      </w:r>
      <w:r w:rsidR="00D76D54">
        <w:t>employment</w:t>
      </w:r>
      <w:r>
        <w:t xml:space="preserve"> contract</w:t>
      </w:r>
      <w:r w:rsidR="00D76D54">
        <w:t xml:space="preserve">, </w:t>
      </w:r>
      <w:r w:rsidR="008713A6">
        <w:t>M</w:t>
      </w:r>
      <w:r>
        <w:t>aPS</w:t>
      </w:r>
      <w:r w:rsidR="00D76D54">
        <w:t xml:space="preserve"> </w:t>
      </w:r>
      <w:r w:rsidR="00F60FB2">
        <w:t>rely on voluntary reporting</w:t>
      </w:r>
      <w:r w:rsidR="00D76D54">
        <w:t xml:space="preserve"> </w:t>
      </w:r>
      <w:r>
        <w:t>from parliamentarian’s offices about</w:t>
      </w:r>
      <w:r w:rsidR="00D76D54">
        <w:t xml:space="preserve"> the existence </w:t>
      </w:r>
      <w:r w:rsidR="00F60FB2">
        <w:t>of</w:t>
      </w:r>
      <w:r w:rsidR="00D76D54">
        <w:t xml:space="preserve"> such individuals</w:t>
      </w:r>
      <w:r>
        <w:t>,</w:t>
      </w:r>
      <w:r w:rsidR="00D76D54">
        <w:t xml:space="preserve"> </w:t>
      </w:r>
      <w:r w:rsidR="00F60FB2">
        <w:t>despite them</w:t>
      </w:r>
      <w:r w:rsidR="00D76D54">
        <w:t xml:space="preserve"> having access to parliamentary infrastructure, like </w:t>
      </w:r>
      <w:r w:rsidR="00405FDD">
        <w:t>electorate</w:t>
      </w:r>
      <w:r w:rsidR="00D76D54">
        <w:t xml:space="preserve"> offices, Parliament House, IT systems</w:t>
      </w:r>
      <w:r>
        <w:t xml:space="preserve"> and </w:t>
      </w:r>
      <w:r w:rsidR="00D76D54">
        <w:t xml:space="preserve">security passes. </w:t>
      </w:r>
    </w:p>
    <w:p w14:paraId="65F43076" w14:textId="53E43BD2" w:rsidR="008713A6" w:rsidRDefault="00792579" w:rsidP="00034DE7">
      <w:pPr>
        <w:tabs>
          <w:tab w:val="left" w:pos="8364"/>
        </w:tabs>
      </w:pPr>
      <w:r>
        <w:t>The lack of visibility of these workers</w:t>
      </w:r>
      <w:r w:rsidR="00D76D54">
        <w:t xml:space="preserve"> is not a desirable situation from a </w:t>
      </w:r>
      <w:r w:rsidR="005B5093">
        <w:t>WHS</w:t>
      </w:r>
      <w:r w:rsidR="00D76D54">
        <w:t xml:space="preserve"> perspective</w:t>
      </w:r>
      <w:r w:rsidR="005B5093">
        <w:t xml:space="preserve">. Under the WHS policy for MoP(S) Act </w:t>
      </w:r>
      <w:r w:rsidR="0057230A">
        <w:t>employees,</w:t>
      </w:r>
      <w:r w:rsidR="005B5093">
        <w:t xml:space="preserve"> parliamentarians and managers have non-delegable accountabilities to ensure the health, safety and wellbeing of </w:t>
      </w:r>
      <w:r w:rsidR="00C134D0">
        <w:t xml:space="preserve">those </w:t>
      </w:r>
      <w:r w:rsidR="005B5093">
        <w:t>they supervise.</w:t>
      </w:r>
      <w:r w:rsidR="0033639F">
        <w:rPr>
          <w:rStyle w:val="FootnoteReference"/>
        </w:rPr>
        <w:footnoteReference w:id="195"/>
      </w:r>
    </w:p>
    <w:p w14:paraId="63F3FA2A" w14:textId="712F4FBC" w:rsidR="005B5093" w:rsidRDefault="00C134D0" w:rsidP="005B5093">
      <w:r>
        <w:t xml:space="preserve">Unless MaPS or the OPSC are aware </w:t>
      </w:r>
      <w:r w:rsidR="005B5093">
        <w:t xml:space="preserve">of </w:t>
      </w:r>
      <w:r w:rsidR="008713A6">
        <w:t xml:space="preserve">every person </w:t>
      </w:r>
      <w:r w:rsidR="005B5093">
        <w:t>who is engaged in an office, it</w:t>
      </w:r>
      <w:r>
        <w:t xml:space="preserve"> is difficult to determine if and how parliamentarians are carrying out their WHS responsibilities. Likewise, it is not possible for MaPS or </w:t>
      </w:r>
      <w:r w:rsidR="00DC31D0">
        <w:t xml:space="preserve">the </w:t>
      </w:r>
      <w:r>
        <w:t>OPSC to ensure</w:t>
      </w:r>
      <w:r w:rsidR="005B5093" w:rsidDel="00C134D0">
        <w:t xml:space="preserve"> </w:t>
      </w:r>
      <w:r w:rsidR="008713A6">
        <w:t xml:space="preserve">all </w:t>
      </w:r>
      <w:r w:rsidR="00F60FB2">
        <w:t xml:space="preserve">individuals considered </w:t>
      </w:r>
      <w:r w:rsidR="0033639F">
        <w:t xml:space="preserve">MoP(S) Act </w:t>
      </w:r>
      <w:r w:rsidR="00205E3F">
        <w:t>workers</w:t>
      </w:r>
      <w:r w:rsidR="002751A5">
        <w:t xml:space="preserve"> </w:t>
      </w:r>
      <w:r w:rsidR="00F60FB2">
        <w:t>for the purposes of the WHS policy</w:t>
      </w:r>
      <w:r w:rsidR="0033639F">
        <w:t xml:space="preserve"> are informed of and have access to WHS information</w:t>
      </w:r>
      <w:r w:rsidR="00CE66A5">
        <w:t xml:space="preserve"> and know where to get advice and support if needed</w:t>
      </w:r>
      <w:r w:rsidR="0033639F">
        <w:t>.</w:t>
      </w:r>
      <w:r w:rsidR="008713A6">
        <w:rPr>
          <w:rStyle w:val="FootnoteReference"/>
        </w:rPr>
        <w:footnoteReference w:id="196"/>
      </w:r>
      <w:r w:rsidR="0033639F">
        <w:t xml:space="preserve"> </w:t>
      </w:r>
    </w:p>
    <w:p w14:paraId="21D116F2" w14:textId="694B0DCE" w:rsidR="009A2B0C" w:rsidRDefault="00C134D0" w:rsidP="00D76D54">
      <w:pPr>
        <w:rPr>
          <w:i/>
        </w:rPr>
      </w:pPr>
      <w:r>
        <w:t xml:space="preserve">The </w:t>
      </w:r>
      <w:r w:rsidR="00F23879">
        <w:t>Review</w:t>
      </w:r>
      <w:r>
        <w:t xml:space="preserve"> considers </w:t>
      </w:r>
      <w:r w:rsidR="00A6669D">
        <w:t>the</w:t>
      </w:r>
      <w:r w:rsidR="00CE66A5">
        <w:t xml:space="preserve"> </w:t>
      </w:r>
      <w:r w:rsidR="00792579">
        <w:t>visibility and protection of non-MoP(S) Act workers can</w:t>
      </w:r>
      <w:r w:rsidR="00D76D54">
        <w:t xml:space="preserve"> be </w:t>
      </w:r>
      <w:r>
        <w:t>improved</w:t>
      </w:r>
      <w:r w:rsidR="00DC31D0">
        <w:t xml:space="preserve"> by requiring </w:t>
      </w:r>
      <w:r w:rsidR="00D76D54">
        <w:t xml:space="preserve">parliamentarians </w:t>
      </w:r>
      <w:r w:rsidR="00D76D54" w:rsidRPr="0096798A">
        <w:t xml:space="preserve">to notify </w:t>
      </w:r>
      <w:r w:rsidR="00DC31D0">
        <w:t xml:space="preserve">the </w:t>
      </w:r>
      <w:r w:rsidR="00D76D54" w:rsidRPr="0096798A">
        <w:t xml:space="preserve">OPSC of </w:t>
      </w:r>
      <w:r w:rsidR="00792579">
        <w:t>any such worker commencing</w:t>
      </w:r>
      <w:r w:rsidR="00D76D54" w:rsidRPr="0096798A">
        <w:t xml:space="preserve"> in their </w:t>
      </w:r>
      <w:r w:rsidR="00792579">
        <w:t>office. This will</w:t>
      </w:r>
      <w:r w:rsidR="00DE3379">
        <w:t xml:space="preserve"> facilitate </w:t>
      </w:r>
      <w:r w:rsidR="00792579">
        <w:t>a consistent</w:t>
      </w:r>
      <w:r w:rsidR="00DE3379">
        <w:t xml:space="preserve"> provision of WHS information by the OPSC</w:t>
      </w:r>
      <w:r w:rsidR="00D76D54">
        <w:t xml:space="preserve">. </w:t>
      </w:r>
      <w:r w:rsidR="0015521D">
        <w:t xml:space="preserve">Applicable WHS </w:t>
      </w:r>
      <w:r w:rsidR="00DC31D0">
        <w:t xml:space="preserve">policies and </w:t>
      </w:r>
      <w:r w:rsidR="00727930">
        <w:t xml:space="preserve">other relevant </w:t>
      </w:r>
      <w:r w:rsidR="00DC31D0">
        <w:t>guidance</w:t>
      </w:r>
      <w:r w:rsidR="0015521D">
        <w:t xml:space="preserve"> could </w:t>
      </w:r>
      <w:r w:rsidR="00792579">
        <w:t>also</w:t>
      </w:r>
      <w:r w:rsidR="0015521D">
        <w:t xml:space="preserve"> be provided to the parliamentarian </w:t>
      </w:r>
      <w:r w:rsidR="00727930">
        <w:t xml:space="preserve">and employee </w:t>
      </w:r>
      <w:r w:rsidR="0015521D">
        <w:t>by the OPSC.</w:t>
      </w:r>
      <w:r w:rsidR="00034DE7" w:rsidRPr="00034DE7">
        <w:t xml:space="preserve"> </w:t>
      </w:r>
      <w:r w:rsidR="00034DE7">
        <w:t>For clarity, the recommendation is not intended to capture visitors to the workplace.</w:t>
      </w:r>
    </w:p>
    <w:p w14:paraId="6D69F4CA" w14:textId="77777777" w:rsidR="0068438E" w:rsidRPr="0068438E" w:rsidRDefault="0068438E" w:rsidP="00EE1333">
      <w:pPr>
        <w:rPr>
          <w:i/>
        </w:rPr>
      </w:pPr>
      <w:r w:rsidRPr="0068438E">
        <w:rPr>
          <w:i/>
        </w:rPr>
        <w:t xml:space="preserve">Casual </w:t>
      </w:r>
      <w:r w:rsidR="002751A5">
        <w:rPr>
          <w:i/>
        </w:rPr>
        <w:t>employees</w:t>
      </w:r>
    </w:p>
    <w:p w14:paraId="14E0D00A" w14:textId="77777777" w:rsidR="00EE1333" w:rsidRDefault="00EE1333" w:rsidP="00EE1333">
      <w:r>
        <w:t xml:space="preserve">The </w:t>
      </w:r>
      <w:r w:rsidR="00F23879">
        <w:t>Review</w:t>
      </w:r>
      <w:r>
        <w:t xml:space="preserve"> heard there may be some MoP(S) Act employees on successive 28 day contracts for more than a year. Under</w:t>
      </w:r>
      <w:r w:rsidR="0068438E">
        <w:t xml:space="preserve"> </w:t>
      </w:r>
      <w:r w:rsidR="00F26096">
        <w:t>a</w:t>
      </w:r>
      <w:r w:rsidR="0068438E">
        <w:t>mendment</w:t>
      </w:r>
      <w:r w:rsidR="002A2AAB">
        <w:t xml:space="preserve">s </w:t>
      </w:r>
      <w:r w:rsidR="009A2B0C">
        <w:t xml:space="preserve">to the </w:t>
      </w:r>
      <w:r w:rsidR="007B4F25" w:rsidRPr="001D5ED6">
        <w:t>FW</w:t>
      </w:r>
      <w:r w:rsidR="009A2B0C" w:rsidRPr="001D5ED6">
        <w:t xml:space="preserve"> Act</w:t>
      </w:r>
      <w:r w:rsidR="009A2B0C">
        <w:t xml:space="preserve"> </w:t>
      </w:r>
      <w:r w:rsidR="00F26096">
        <w:t>introduced</w:t>
      </w:r>
      <w:r w:rsidR="002A2AAB">
        <w:t xml:space="preserve"> in 2022</w:t>
      </w:r>
      <w:r w:rsidR="00F26096">
        <w:t>,</w:t>
      </w:r>
      <w:r>
        <w:t xml:space="preserve"> casual </w:t>
      </w:r>
      <w:r w:rsidR="002751A5">
        <w:t>employees</w:t>
      </w:r>
      <w:r>
        <w:t xml:space="preserve"> who have been employed by an employer for 12 months and 21 days or longer have the right to be offered a conversion to permanent employment (ful</w:t>
      </w:r>
      <w:r w:rsidR="003E769A">
        <w:t>l</w:t>
      </w:r>
      <w:r w:rsidR="00DF788B">
        <w:t>-</w:t>
      </w:r>
      <w:r>
        <w:t xml:space="preserve"> time or part</w:t>
      </w:r>
      <w:r w:rsidR="00DF788B">
        <w:t>-</w:t>
      </w:r>
      <w:r>
        <w:t>time) if they satisfy certain requirements under th</w:t>
      </w:r>
      <w:r w:rsidR="009A2B0C">
        <w:t>at</w:t>
      </w:r>
      <w:r w:rsidR="00A6669D">
        <w:t xml:space="preserve"> Act.</w:t>
      </w:r>
      <w:r>
        <w:t xml:space="preserve"> The additional requirements relate to having a regular pattern of hours for at least the last 6</w:t>
      </w:r>
      <w:r w:rsidR="009A2B0C">
        <w:t> </w:t>
      </w:r>
      <w:r>
        <w:t>months, and the capacity to continue to work those regular hours.</w:t>
      </w:r>
      <w:r>
        <w:rPr>
          <w:rStyle w:val="FootnoteReference"/>
        </w:rPr>
        <w:footnoteReference w:id="197"/>
      </w:r>
      <w:r>
        <w:t xml:space="preserve"> </w:t>
      </w:r>
    </w:p>
    <w:p w14:paraId="180464AD" w14:textId="4CC53481" w:rsidR="00EE1333" w:rsidRDefault="00EE1333" w:rsidP="00AE21C6">
      <w:pPr>
        <w:rPr>
          <w:rFonts w:ascii="Times New Roman" w:eastAsia="Times New Roman" w:hAnsi="Times New Roman" w:cs="Times New Roman"/>
          <w:sz w:val="24"/>
          <w:szCs w:val="24"/>
          <w:lang w:eastAsia="en-AU"/>
        </w:rPr>
      </w:pPr>
      <w:r>
        <w:t xml:space="preserve">Employers do, however, have the right not </w:t>
      </w:r>
      <w:r w:rsidR="005D6928">
        <w:t>to</w:t>
      </w:r>
      <w:r>
        <w:t xml:space="preserve"> offer a permanency conversion if they have reasonable grounds not to do so.</w:t>
      </w:r>
      <w:r>
        <w:rPr>
          <w:rStyle w:val="FootnoteReference"/>
        </w:rPr>
        <w:footnoteReference w:id="198"/>
      </w:r>
      <w:r>
        <w:t xml:space="preserve"> The </w:t>
      </w:r>
      <w:r w:rsidR="00F23879">
        <w:t xml:space="preserve">Review </w:t>
      </w:r>
      <w:r w:rsidR="009A2B0C">
        <w:t>notes MaPS has considered the</w:t>
      </w:r>
      <w:r w:rsidR="00813371">
        <w:t xml:space="preserve"> FW Act</w:t>
      </w:r>
      <w:r w:rsidR="009A2B0C">
        <w:t xml:space="preserve"> amendments in the MoP(S) context</w:t>
      </w:r>
      <w:r w:rsidR="00AE21C6">
        <w:t xml:space="preserve"> and we anticipate the OPSC will continue to support </w:t>
      </w:r>
      <w:r w:rsidR="00813371">
        <w:t>consideration of</w:t>
      </w:r>
      <w:r w:rsidR="00AE21C6">
        <w:t xml:space="preserve"> this.</w:t>
      </w:r>
    </w:p>
    <w:p w14:paraId="7B96FA2A" w14:textId="77777777" w:rsidR="00EE1333" w:rsidRDefault="00EE1333" w:rsidP="00D76D54"/>
    <w:p w14:paraId="6A081BBC" w14:textId="639C5AA8" w:rsidR="00D76D54" w:rsidRDefault="00D76D54" w:rsidP="000136FD">
      <w:pPr>
        <w:pStyle w:val="BOXHeading2"/>
      </w:pPr>
      <w:bookmarkStart w:id="4509" w:name="_Toc115343854"/>
      <w:bookmarkStart w:id="4510" w:name="_Toc115348292"/>
      <w:bookmarkStart w:id="4511" w:name="_Toc114230887"/>
      <w:bookmarkStart w:id="4512" w:name="_Toc114232944"/>
      <w:bookmarkStart w:id="4513" w:name="_Toc114233592"/>
      <w:bookmarkStart w:id="4514" w:name="_Toc114233664"/>
      <w:bookmarkStart w:id="4515" w:name="_Toc114240621"/>
      <w:bookmarkStart w:id="4516" w:name="_Toc114240695"/>
      <w:bookmarkStart w:id="4517" w:name="_Toc114241039"/>
      <w:bookmarkStart w:id="4518" w:name="_Toc114494060"/>
      <w:bookmarkStart w:id="4519" w:name="_Toc114500311"/>
      <w:bookmarkStart w:id="4520" w:name="_Toc114500386"/>
      <w:bookmarkStart w:id="4521" w:name="_Toc114518659"/>
      <w:bookmarkStart w:id="4522" w:name="_Toc114520331"/>
      <w:bookmarkStart w:id="4523" w:name="_Toc114520740"/>
      <w:bookmarkStart w:id="4524" w:name="_Toc114565768"/>
      <w:bookmarkStart w:id="4525" w:name="_Toc114566749"/>
      <w:bookmarkStart w:id="4526" w:name="_Toc114566974"/>
      <w:bookmarkStart w:id="4527" w:name="_Toc114566898"/>
      <w:bookmarkStart w:id="4528" w:name="_Toc114585899"/>
      <w:bookmarkStart w:id="4529" w:name="_Toc114586043"/>
      <w:bookmarkStart w:id="4530" w:name="_Toc114586115"/>
      <w:bookmarkStart w:id="4531" w:name="_Toc114601255"/>
      <w:bookmarkStart w:id="4532" w:name="_Toc114657296"/>
      <w:bookmarkStart w:id="4533" w:name="_Toc114659758"/>
      <w:bookmarkStart w:id="4534" w:name="_Toc114662743"/>
      <w:bookmarkStart w:id="4535" w:name="_Toc114665127"/>
      <w:bookmarkStart w:id="4536" w:name="_Toc114672436"/>
      <w:bookmarkStart w:id="4537" w:name="_Toc114672648"/>
      <w:bookmarkStart w:id="4538" w:name="_Toc114673203"/>
      <w:bookmarkStart w:id="4539" w:name="_Toc114673789"/>
      <w:bookmarkStart w:id="4540" w:name="_Toc114674314"/>
      <w:bookmarkStart w:id="4541" w:name="_Toc114687487"/>
      <w:bookmarkStart w:id="4542" w:name="_Toc114689951"/>
      <w:bookmarkStart w:id="4543" w:name="_Toc114731814"/>
      <w:bookmarkStart w:id="4544" w:name="_Toc114733579"/>
      <w:bookmarkStart w:id="4545" w:name="_Toc114735520"/>
      <w:bookmarkStart w:id="4546" w:name="_Toc114755847"/>
      <w:bookmarkStart w:id="4547" w:name="_Toc114757152"/>
      <w:bookmarkStart w:id="4548" w:name="_Toc114757436"/>
      <w:bookmarkStart w:id="4549" w:name="_Toc114757538"/>
      <w:bookmarkStart w:id="4550" w:name="_Toc114758211"/>
      <w:bookmarkStart w:id="4551" w:name="_Toc114824381"/>
      <w:bookmarkStart w:id="4552" w:name="_Toc114829457"/>
      <w:bookmarkStart w:id="4553" w:name="_Toc114829821"/>
      <w:bookmarkStart w:id="4554" w:name="_Toc114829965"/>
      <w:bookmarkStart w:id="4555" w:name="_Toc115099044"/>
      <w:bookmarkStart w:id="4556" w:name="_Toc115099116"/>
      <w:bookmarkStart w:id="4557" w:name="_Toc115101693"/>
      <w:bookmarkStart w:id="4558" w:name="_Toc115102538"/>
      <w:bookmarkStart w:id="4559" w:name="_Toc115105511"/>
      <w:bookmarkStart w:id="4560" w:name="_Toc115110372"/>
      <w:bookmarkStart w:id="4561" w:name="_Toc115110499"/>
      <w:bookmarkStart w:id="4562" w:name="_Toc115121617"/>
      <w:bookmarkStart w:id="4563" w:name="_Toc115121987"/>
      <w:bookmarkStart w:id="4564" w:name="_Toc115123467"/>
      <w:bookmarkStart w:id="4565" w:name="_Toc115123715"/>
      <w:bookmarkStart w:id="4566" w:name="_Toc115126847"/>
      <w:bookmarkStart w:id="4567" w:name="_Toc115185483"/>
      <w:bookmarkStart w:id="4568" w:name="_Toc115186110"/>
      <w:bookmarkStart w:id="4569" w:name="_Toc115189268"/>
      <w:bookmarkStart w:id="4570" w:name="_Toc115194241"/>
      <w:bookmarkStart w:id="4571" w:name="_Toc115194978"/>
      <w:bookmarkStart w:id="4572" w:name="_Toc115196388"/>
      <w:bookmarkStart w:id="4573" w:name="_Toc115198889"/>
      <w:bookmarkStart w:id="4574" w:name="_Toc115208904"/>
      <w:bookmarkStart w:id="4575" w:name="_Toc115209040"/>
      <w:bookmarkStart w:id="4576" w:name="_Toc115210371"/>
      <w:bookmarkStart w:id="4577" w:name="_Toc115212596"/>
      <w:bookmarkStart w:id="4578" w:name="_Toc115213236"/>
      <w:bookmarkStart w:id="4579" w:name="_Toc115216734"/>
      <w:bookmarkStart w:id="4580" w:name="_Toc115270425"/>
      <w:bookmarkStart w:id="4581" w:name="_Toc115271368"/>
      <w:bookmarkStart w:id="4582" w:name="_Toc115272285"/>
      <w:bookmarkStart w:id="4583" w:name="_Toc115273455"/>
      <w:bookmarkStart w:id="4584" w:name="_Toc115273383"/>
      <w:bookmarkStart w:id="4585" w:name="_Toc115274636"/>
      <w:bookmarkStart w:id="4586" w:name="_Toc115274862"/>
      <w:bookmarkStart w:id="4587" w:name="_Toc115275219"/>
      <w:bookmarkStart w:id="4588" w:name="_Toc115275362"/>
      <w:bookmarkStart w:id="4589" w:name="_Toc115274199"/>
      <w:bookmarkStart w:id="4590" w:name="_Toc115274500"/>
      <w:bookmarkStart w:id="4591" w:name="_Toc115274568"/>
      <w:bookmarkStart w:id="4592" w:name="_Toc115274726"/>
      <w:bookmarkStart w:id="4593" w:name="_Toc115277460"/>
      <w:bookmarkStart w:id="4594" w:name="_Toc115277664"/>
      <w:bookmarkStart w:id="4595" w:name="_Toc115278553"/>
      <w:bookmarkStart w:id="4596" w:name="_Toc115278633"/>
      <w:bookmarkStart w:id="4597" w:name="_Toc115282303"/>
      <w:bookmarkStart w:id="4598" w:name="_Toc115284756"/>
      <w:bookmarkStart w:id="4599" w:name="_Toc115286848"/>
      <w:bookmarkStart w:id="4600" w:name="_Toc115294782"/>
      <w:bookmarkStart w:id="4601" w:name="_Toc115296362"/>
      <w:bookmarkStart w:id="4602" w:name="_Toc115308548"/>
      <w:bookmarkStart w:id="4603" w:name="_Toc115311200"/>
      <w:bookmarkStart w:id="4604" w:name="_Toc115312680"/>
      <w:bookmarkStart w:id="4605" w:name="_Toc115350390"/>
      <w:bookmarkStart w:id="4606" w:name="_Toc115353478"/>
      <w:bookmarkStart w:id="4607" w:name="_Toc115359509"/>
      <w:bookmarkStart w:id="4608" w:name="_Toc115361913"/>
      <w:bookmarkStart w:id="4609" w:name="_Toc115364306"/>
      <w:bookmarkStart w:id="4610" w:name="_Toc115365400"/>
      <w:bookmarkStart w:id="4611" w:name="_Toc115365672"/>
      <w:bookmarkStart w:id="4612" w:name="_Toc115365740"/>
      <w:bookmarkStart w:id="4613" w:name="_Toc115366204"/>
      <w:bookmarkStart w:id="4614" w:name="_Toc115368654"/>
      <w:bookmarkStart w:id="4615" w:name="_Toc115370094"/>
      <w:bookmarkStart w:id="4616" w:name="_Toc115370828"/>
      <w:bookmarkStart w:id="4617" w:name="_Toc115374400"/>
      <w:bookmarkStart w:id="4618" w:name="_Toc115378739"/>
      <w:bookmarkStart w:id="4619" w:name="_Toc115380971"/>
      <w:bookmarkStart w:id="4620" w:name="_Toc115384123"/>
      <w:bookmarkStart w:id="4621" w:name="_Toc115387352"/>
      <w:bookmarkStart w:id="4622" w:name="_Toc115388818"/>
      <w:bookmarkStart w:id="4623" w:name="_Toc115431456"/>
      <w:bookmarkStart w:id="4624" w:name="_Toc115432834"/>
      <w:bookmarkStart w:id="4625" w:name="_Toc115434405"/>
      <w:bookmarkStart w:id="4626" w:name="_Toc115434504"/>
      <w:bookmarkStart w:id="4627" w:name="_Toc115434573"/>
      <w:bookmarkStart w:id="4628" w:name="_Toc115434642"/>
      <w:bookmarkStart w:id="4629" w:name="_Toc115442812"/>
      <w:bookmarkStart w:id="4630" w:name="_Toc115446348"/>
      <w:bookmarkStart w:id="4631" w:name="_Toc115448055"/>
      <w:bookmarkStart w:id="4632" w:name="_Toc115449447"/>
      <w:bookmarkStart w:id="4633" w:name="_Toc115452467"/>
      <w:bookmarkStart w:id="4634" w:name="_Toc115455284"/>
      <w:bookmarkStart w:id="4635" w:name="_Toc115455350"/>
      <w:bookmarkStart w:id="4636" w:name="_Toc115457300"/>
      <w:bookmarkStart w:id="4637" w:name="_Toc115458136"/>
      <w:bookmarkStart w:id="4638" w:name="_Toc115948164"/>
      <w:bookmarkStart w:id="4639" w:name="_Toc115948611"/>
      <w:r w:rsidRPr="00315C0C">
        <w:t>R</w:t>
      </w:r>
      <w:bookmarkEnd w:id="4509"/>
      <w:bookmarkEnd w:id="4510"/>
      <w:r w:rsidRPr="00315C0C">
        <w:t xml:space="preserve">ecommendation </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r w:rsidR="00817AC5" w:rsidRPr="00315C0C">
        <w:t>8</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r w:rsidR="005439E8">
        <w:t xml:space="preserve"> – Work health and safety of non-MoP(S) workers</w:t>
      </w:r>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74AA4909" w14:textId="788B8AED" w:rsidR="00F55DC4" w:rsidRDefault="000136FD" w:rsidP="00A93414">
      <w:pPr>
        <w:pStyle w:val="BOXText"/>
      </w:pPr>
      <w:r>
        <w:t>Visibility and protection of non-MoP(S) Act workers should be increased by requiring parliamentarians to notify the OPSC</w:t>
      </w:r>
      <w:r w:rsidDel="00BD7961">
        <w:t xml:space="preserve"> </w:t>
      </w:r>
      <w:r>
        <w:t xml:space="preserve">when any person not engaged under the MoP(S) Act commences working in their office (e.g. volunteers and interns). </w:t>
      </w:r>
      <w:r w:rsidR="009C27B8">
        <w:t xml:space="preserve"> </w:t>
      </w:r>
      <w:r w:rsidR="00E8089F" w:rsidDel="00E8089F">
        <w:t xml:space="preserve"> </w:t>
      </w:r>
      <w:r w:rsidR="00F55DC4">
        <w:br w:type="page"/>
      </w:r>
    </w:p>
    <w:p w14:paraId="43C0CA3E" w14:textId="318CFA8D" w:rsidR="00F55DC4" w:rsidRPr="000F2E36" w:rsidRDefault="00382CC2" w:rsidP="00F55DC4">
      <w:pPr>
        <w:pStyle w:val="Heading1"/>
      </w:pPr>
      <w:bookmarkStart w:id="4640" w:name="_Toc115432835"/>
      <w:bookmarkStart w:id="4641" w:name="_Toc115434406"/>
      <w:bookmarkStart w:id="4642" w:name="_Toc115434505"/>
      <w:bookmarkStart w:id="4643" w:name="_Toc115434574"/>
      <w:bookmarkStart w:id="4644" w:name="_Toc115434643"/>
      <w:bookmarkStart w:id="4645" w:name="_Toc104212787"/>
      <w:bookmarkStart w:id="4646" w:name="_Toc114230888"/>
      <w:bookmarkStart w:id="4647" w:name="_Toc114232945"/>
      <w:bookmarkStart w:id="4648" w:name="_Toc114233593"/>
      <w:bookmarkStart w:id="4649" w:name="_Toc114233665"/>
      <w:bookmarkStart w:id="4650" w:name="_Toc114240622"/>
      <w:bookmarkStart w:id="4651" w:name="_Toc114240696"/>
      <w:bookmarkStart w:id="4652" w:name="_Toc114241040"/>
      <w:bookmarkStart w:id="4653" w:name="_Toc114494061"/>
      <w:bookmarkStart w:id="4654" w:name="_Toc114500312"/>
      <w:bookmarkStart w:id="4655" w:name="_Toc114500387"/>
      <w:bookmarkStart w:id="4656" w:name="_Toc114518660"/>
      <w:bookmarkStart w:id="4657" w:name="_Toc114520332"/>
      <w:bookmarkStart w:id="4658" w:name="_Toc114520741"/>
      <w:bookmarkStart w:id="4659" w:name="_Toc114565769"/>
      <w:bookmarkStart w:id="4660" w:name="_Toc114566750"/>
      <w:bookmarkStart w:id="4661" w:name="_Toc114566975"/>
      <w:bookmarkStart w:id="4662" w:name="_Toc114566899"/>
      <w:bookmarkStart w:id="4663" w:name="_Toc114585900"/>
      <w:bookmarkStart w:id="4664" w:name="_Toc114586044"/>
      <w:bookmarkStart w:id="4665" w:name="_Toc114586116"/>
      <w:bookmarkStart w:id="4666" w:name="_Toc114601256"/>
      <w:bookmarkStart w:id="4667" w:name="_Toc114657297"/>
      <w:bookmarkStart w:id="4668" w:name="_Toc114659759"/>
      <w:bookmarkStart w:id="4669" w:name="_Toc114662744"/>
      <w:bookmarkStart w:id="4670" w:name="_Toc114665128"/>
      <w:bookmarkStart w:id="4671" w:name="_Toc114672437"/>
      <w:bookmarkStart w:id="4672" w:name="_Toc114672649"/>
      <w:bookmarkStart w:id="4673" w:name="_Toc114673204"/>
      <w:bookmarkStart w:id="4674" w:name="_Toc114673790"/>
      <w:bookmarkStart w:id="4675" w:name="_Toc114674315"/>
      <w:bookmarkStart w:id="4676" w:name="_Toc114687488"/>
      <w:bookmarkStart w:id="4677" w:name="_Toc114689952"/>
      <w:bookmarkStart w:id="4678" w:name="_Toc114731815"/>
      <w:bookmarkStart w:id="4679" w:name="_Toc114733580"/>
      <w:bookmarkStart w:id="4680" w:name="_Toc114735521"/>
      <w:bookmarkStart w:id="4681" w:name="_Toc114755848"/>
      <w:bookmarkStart w:id="4682" w:name="_Toc114757153"/>
      <w:bookmarkStart w:id="4683" w:name="_Toc114757437"/>
      <w:bookmarkStart w:id="4684" w:name="_Toc114757539"/>
      <w:bookmarkStart w:id="4685" w:name="_Toc114758212"/>
      <w:bookmarkStart w:id="4686" w:name="_Toc114824382"/>
      <w:bookmarkStart w:id="4687" w:name="_Toc114829458"/>
      <w:bookmarkStart w:id="4688" w:name="_Toc114829822"/>
      <w:bookmarkStart w:id="4689" w:name="_Toc114829966"/>
      <w:bookmarkStart w:id="4690" w:name="_Toc115099045"/>
      <w:bookmarkStart w:id="4691" w:name="_Toc115099117"/>
      <w:bookmarkStart w:id="4692" w:name="_Toc115101694"/>
      <w:bookmarkStart w:id="4693" w:name="_Toc115102539"/>
      <w:bookmarkStart w:id="4694" w:name="_Toc115105512"/>
      <w:bookmarkStart w:id="4695" w:name="_Toc115110373"/>
      <w:bookmarkStart w:id="4696" w:name="_Toc115110500"/>
      <w:bookmarkStart w:id="4697" w:name="_Toc115121618"/>
      <w:bookmarkStart w:id="4698" w:name="_Toc115121988"/>
      <w:bookmarkStart w:id="4699" w:name="_Toc115123468"/>
      <w:bookmarkStart w:id="4700" w:name="_Toc115123716"/>
      <w:bookmarkStart w:id="4701" w:name="_Toc115126848"/>
      <w:bookmarkStart w:id="4702" w:name="_Toc115185484"/>
      <w:bookmarkStart w:id="4703" w:name="_Toc115186111"/>
      <w:bookmarkStart w:id="4704" w:name="_Toc115189269"/>
      <w:bookmarkStart w:id="4705" w:name="_Toc115194242"/>
      <w:bookmarkStart w:id="4706" w:name="_Toc115194979"/>
      <w:bookmarkStart w:id="4707" w:name="_Toc115196389"/>
      <w:bookmarkStart w:id="4708" w:name="_Toc115198890"/>
      <w:bookmarkStart w:id="4709" w:name="_Toc115208905"/>
      <w:bookmarkStart w:id="4710" w:name="_Toc115209041"/>
      <w:bookmarkStart w:id="4711" w:name="_Toc115210372"/>
      <w:bookmarkStart w:id="4712" w:name="_Toc115212597"/>
      <w:bookmarkStart w:id="4713" w:name="_Toc115213237"/>
      <w:bookmarkStart w:id="4714" w:name="_Toc115216735"/>
      <w:bookmarkStart w:id="4715" w:name="_Toc115270426"/>
      <w:bookmarkStart w:id="4716" w:name="_Toc115271369"/>
      <w:bookmarkStart w:id="4717" w:name="_Toc115272286"/>
      <w:bookmarkStart w:id="4718" w:name="_Toc115273456"/>
      <w:bookmarkStart w:id="4719" w:name="_Toc115273384"/>
      <w:bookmarkStart w:id="4720" w:name="_Toc115274637"/>
      <w:bookmarkStart w:id="4721" w:name="_Toc115274863"/>
      <w:bookmarkStart w:id="4722" w:name="_Toc115275220"/>
      <w:bookmarkStart w:id="4723" w:name="_Toc115275363"/>
      <w:bookmarkStart w:id="4724" w:name="_Toc115274200"/>
      <w:bookmarkStart w:id="4725" w:name="_Toc115274501"/>
      <w:bookmarkStart w:id="4726" w:name="_Toc115274569"/>
      <w:bookmarkStart w:id="4727" w:name="_Toc115274727"/>
      <w:bookmarkStart w:id="4728" w:name="_Toc115277461"/>
      <w:bookmarkStart w:id="4729" w:name="_Toc115277665"/>
      <w:bookmarkStart w:id="4730" w:name="_Toc115278554"/>
      <w:bookmarkStart w:id="4731" w:name="_Toc115278634"/>
      <w:bookmarkStart w:id="4732" w:name="_Toc115282304"/>
      <w:bookmarkStart w:id="4733" w:name="_Toc115284757"/>
      <w:bookmarkStart w:id="4734" w:name="_Toc115286849"/>
      <w:bookmarkStart w:id="4735" w:name="_Toc115294783"/>
      <w:bookmarkStart w:id="4736" w:name="_Toc115296363"/>
      <w:bookmarkStart w:id="4737" w:name="_Toc115308549"/>
      <w:bookmarkStart w:id="4738" w:name="_Toc115311201"/>
      <w:bookmarkStart w:id="4739" w:name="_Toc115312681"/>
      <w:bookmarkStart w:id="4740" w:name="_Toc115343855"/>
      <w:bookmarkStart w:id="4741" w:name="_Toc115348293"/>
      <w:bookmarkStart w:id="4742" w:name="_Toc115350391"/>
      <w:bookmarkStart w:id="4743" w:name="_Toc115353479"/>
      <w:bookmarkStart w:id="4744" w:name="_Toc115359510"/>
      <w:bookmarkStart w:id="4745" w:name="_Toc115361914"/>
      <w:bookmarkStart w:id="4746" w:name="_Toc115364307"/>
      <w:bookmarkStart w:id="4747" w:name="_Toc115365401"/>
      <w:bookmarkStart w:id="4748" w:name="_Toc115365673"/>
      <w:bookmarkStart w:id="4749" w:name="_Toc115365741"/>
      <w:bookmarkStart w:id="4750" w:name="_Toc115366205"/>
      <w:bookmarkStart w:id="4751" w:name="_Toc115368655"/>
      <w:bookmarkStart w:id="4752" w:name="_Toc115370095"/>
      <w:bookmarkStart w:id="4753" w:name="_Toc115370829"/>
      <w:bookmarkStart w:id="4754" w:name="_Toc115374401"/>
      <w:bookmarkStart w:id="4755" w:name="_Toc115378740"/>
      <w:bookmarkStart w:id="4756" w:name="_Toc115380972"/>
      <w:bookmarkStart w:id="4757" w:name="_Toc115384124"/>
      <w:bookmarkStart w:id="4758" w:name="_Toc115387353"/>
      <w:bookmarkStart w:id="4759" w:name="_Toc115388819"/>
      <w:bookmarkStart w:id="4760" w:name="_Toc115431457"/>
      <w:bookmarkStart w:id="4761" w:name="_Toc115442813"/>
      <w:bookmarkStart w:id="4762" w:name="_Toc115446349"/>
      <w:bookmarkStart w:id="4763" w:name="_Toc115448056"/>
      <w:bookmarkStart w:id="4764" w:name="_Toc115449448"/>
      <w:bookmarkStart w:id="4765" w:name="_Toc115452468"/>
      <w:bookmarkStart w:id="4766" w:name="_Toc115455285"/>
      <w:bookmarkStart w:id="4767" w:name="_Toc115455351"/>
      <w:bookmarkStart w:id="4768" w:name="_Toc115457301"/>
      <w:bookmarkStart w:id="4769" w:name="_Toc115458137"/>
      <w:bookmarkStart w:id="4770" w:name="_Toc115948165"/>
      <w:bookmarkStart w:id="4771" w:name="_Toc115948612"/>
      <w:r>
        <w:t>5</w:t>
      </w:r>
      <w:bookmarkEnd w:id="4640"/>
      <w:bookmarkEnd w:id="4641"/>
      <w:bookmarkEnd w:id="4642"/>
      <w:bookmarkEnd w:id="4643"/>
      <w:bookmarkEnd w:id="4644"/>
      <w:r w:rsidR="00F55DC4">
        <w:t xml:space="preserve"> A</w:t>
      </w:r>
      <w:r w:rsidR="00DD1AC0">
        <w:t>ccountabilit</w:t>
      </w:r>
      <w:r w:rsidR="00EB05B3">
        <w:t>i</w:t>
      </w:r>
      <w:r w:rsidR="00DD1AC0">
        <w:t>es, expectations and responsibilities</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561B7C9F" w14:textId="77777777" w:rsidR="00466AEA" w:rsidRPr="000F2E36" w:rsidRDefault="00466AEA" w:rsidP="00466AEA">
      <w:pPr>
        <w:pStyle w:val="Heading2"/>
      </w:pPr>
      <w:bookmarkStart w:id="4772" w:name="_Toc114230889"/>
      <w:bookmarkStart w:id="4773" w:name="_Toc114232946"/>
      <w:bookmarkStart w:id="4774" w:name="_Toc114233594"/>
      <w:bookmarkStart w:id="4775" w:name="_Toc114233666"/>
      <w:bookmarkStart w:id="4776" w:name="_Toc114240623"/>
      <w:bookmarkStart w:id="4777" w:name="_Toc114240697"/>
      <w:bookmarkStart w:id="4778" w:name="_Toc114241041"/>
      <w:bookmarkStart w:id="4779" w:name="_Toc114494062"/>
      <w:bookmarkStart w:id="4780" w:name="_Toc114500313"/>
      <w:bookmarkStart w:id="4781" w:name="_Toc114500388"/>
      <w:bookmarkStart w:id="4782" w:name="_Toc114518661"/>
      <w:bookmarkStart w:id="4783" w:name="_Toc114520333"/>
      <w:bookmarkStart w:id="4784" w:name="_Toc114520742"/>
      <w:bookmarkStart w:id="4785" w:name="_Toc114565770"/>
      <w:bookmarkStart w:id="4786" w:name="_Toc114566751"/>
      <w:bookmarkStart w:id="4787" w:name="_Toc114566976"/>
      <w:bookmarkStart w:id="4788" w:name="_Toc114566900"/>
      <w:bookmarkStart w:id="4789" w:name="_Toc114585901"/>
      <w:bookmarkStart w:id="4790" w:name="_Toc114586045"/>
      <w:bookmarkStart w:id="4791" w:name="_Toc114586117"/>
      <w:bookmarkStart w:id="4792" w:name="_Toc114601257"/>
      <w:bookmarkStart w:id="4793" w:name="_Toc114657298"/>
      <w:bookmarkStart w:id="4794" w:name="_Toc114659760"/>
      <w:bookmarkStart w:id="4795" w:name="_Toc114662745"/>
      <w:bookmarkStart w:id="4796" w:name="_Toc114665129"/>
      <w:bookmarkStart w:id="4797" w:name="_Toc114672438"/>
      <w:bookmarkStart w:id="4798" w:name="_Toc114672650"/>
      <w:bookmarkStart w:id="4799" w:name="_Toc114673205"/>
      <w:bookmarkStart w:id="4800" w:name="_Toc114673791"/>
      <w:bookmarkStart w:id="4801" w:name="_Toc114674316"/>
      <w:bookmarkStart w:id="4802" w:name="_Toc114687489"/>
      <w:bookmarkStart w:id="4803" w:name="_Toc114689953"/>
      <w:bookmarkStart w:id="4804" w:name="_Toc114731816"/>
      <w:bookmarkStart w:id="4805" w:name="_Toc114733581"/>
      <w:bookmarkStart w:id="4806" w:name="_Toc114735522"/>
      <w:bookmarkStart w:id="4807" w:name="_Toc114755849"/>
      <w:bookmarkStart w:id="4808" w:name="_Toc114757154"/>
      <w:bookmarkStart w:id="4809" w:name="_Toc114757438"/>
      <w:bookmarkStart w:id="4810" w:name="_Toc114757540"/>
      <w:bookmarkStart w:id="4811" w:name="_Toc114758213"/>
      <w:bookmarkStart w:id="4812" w:name="_Toc114824383"/>
      <w:bookmarkStart w:id="4813" w:name="_Toc114829459"/>
      <w:bookmarkStart w:id="4814" w:name="_Toc114829823"/>
      <w:bookmarkStart w:id="4815" w:name="_Toc114829967"/>
      <w:bookmarkStart w:id="4816" w:name="_Toc115099046"/>
      <w:bookmarkStart w:id="4817" w:name="_Toc115099118"/>
      <w:bookmarkStart w:id="4818" w:name="_Toc115101695"/>
      <w:bookmarkStart w:id="4819" w:name="_Toc115102540"/>
      <w:bookmarkStart w:id="4820" w:name="_Toc115105513"/>
      <w:bookmarkStart w:id="4821" w:name="_Toc115110374"/>
      <w:bookmarkStart w:id="4822" w:name="_Toc115110501"/>
      <w:bookmarkStart w:id="4823" w:name="_Toc115121619"/>
      <w:bookmarkStart w:id="4824" w:name="_Toc115121989"/>
      <w:bookmarkStart w:id="4825" w:name="_Toc115123469"/>
      <w:bookmarkStart w:id="4826" w:name="_Toc115123717"/>
      <w:bookmarkStart w:id="4827" w:name="_Toc115126849"/>
      <w:bookmarkStart w:id="4828" w:name="_Toc115185485"/>
      <w:bookmarkStart w:id="4829" w:name="_Toc115186112"/>
      <w:bookmarkStart w:id="4830" w:name="_Toc115189270"/>
      <w:bookmarkStart w:id="4831" w:name="_Toc115194243"/>
      <w:bookmarkStart w:id="4832" w:name="_Toc115194980"/>
      <w:bookmarkStart w:id="4833" w:name="_Toc115196390"/>
      <w:bookmarkStart w:id="4834" w:name="_Toc115198891"/>
      <w:bookmarkStart w:id="4835" w:name="_Toc115208906"/>
      <w:bookmarkStart w:id="4836" w:name="_Toc115209042"/>
      <w:bookmarkStart w:id="4837" w:name="_Toc115210373"/>
      <w:bookmarkStart w:id="4838" w:name="_Toc115212598"/>
      <w:bookmarkStart w:id="4839" w:name="_Toc115213238"/>
      <w:bookmarkStart w:id="4840" w:name="_Toc115216736"/>
      <w:bookmarkStart w:id="4841" w:name="_Toc115270427"/>
      <w:bookmarkStart w:id="4842" w:name="_Toc115271370"/>
      <w:bookmarkStart w:id="4843" w:name="_Toc115272287"/>
      <w:bookmarkStart w:id="4844" w:name="_Toc115273457"/>
      <w:bookmarkStart w:id="4845" w:name="_Toc115273385"/>
      <w:bookmarkStart w:id="4846" w:name="_Toc115274638"/>
      <w:bookmarkStart w:id="4847" w:name="_Toc115274864"/>
      <w:bookmarkStart w:id="4848" w:name="_Toc115275221"/>
      <w:bookmarkStart w:id="4849" w:name="_Toc115275364"/>
      <w:bookmarkStart w:id="4850" w:name="_Toc115274201"/>
      <w:bookmarkStart w:id="4851" w:name="_Toc115274502"/>
      <w:bookmarkStart w:id="4852" w:name="_Toc115274570"/>
      <w:bookmarkStart w:id="4853" w:name="_Toc115274728"/>
      <w:bookmarkStart w:id="4854" w:name="_Toc115277462"/>
      <w:bookmarkStart w:id="4855" w:name="_Toc115277666"/>
      <w:bookmarkStart w:id="4856" w:name="_Toc115278555"/>
      <w:bookmarkStart w:id="4857" w:name="_Toc115278635"/>
      <w:bookmarkStart w:id="4858" w:name="_Toc115282305"/>
      <w:bookmarkStart w:id="4859" w:name="_Toc115284758"/>
      <w:bookmarkStart w:id="4860" w:name="_Toc115286850"/>
      <w:bookmarkStart w:id="4861" w:name="_Toc115294784"/>
      <w:bookmarkStart w:id="4862" w:name="_Toc115296364"/>
      <w:bookmarkStart w:id="4863" w:name="_Toc115308550"/>
      <w:bookmarkStart w:id="4864" w:name="_Toc115311202"/>
      <w:bookmarkStart w:id="4865" w:name="_Toc115312682"/>
      <w:bookmarkStart w:id="4866" w:name="_Toc115343856"/>
      <w:bookmarkStart w:id="4867" w:name="_Toc115348294"/>
      <w:bookmarkStart w:id="4868" w:name="_Toc115350392"/>
      <w:bookmarkStart w:id="4869" w:name="_Toc115353480"/>
      <w:bookmarkStart w:id="4870" w:name="_Toc115359511"/>
      <w:bookmarkStart w:id="4871" w:name="_Toc115361915"/>
      <w:bookmarkStart w:id="4872" w:name="_Toc115364308"/>
      <w:bookmarkStart w:id="4873" w:name="_Toc115365402"/>
      <w:bookmarkStart w:id="4874" w:name="_Toc115365674"/>
      <w:bookmarkStart w:id="4875" w:name="_Toc115365742"/>
      <w:bookmarkStart w:id="4876" w:name="_Toc115366206"/>
      <w:bookmarkStart w:id="4877" w:name="_Toc115368656"/>
      <w:bookmarkStart w:id="4878" w:name="_Toc115370096"/>
      <w:bookmarkStart w:id="4879" w:name="_Toc115370830"/>
      <w:bookmarkStart w:id="4880" w:name="_Toc115374402"/>
      <w:bookmarkStart w:id="4881" w:name="_Toc115378741"/>
      <w:bookmarkStart w:id="4882" w:name="_Toc115380973"/>
      <w:bookmarkStart w:id="4883" w:name="_Toc115384125"/>
      <w:bookmarkStart w:id="4884" w:name="_Toc115387354"/>
      <w:bookmarkStart w:id="4885" w:name="_Toc115388820"/>
      <w:bookmarkStart w:id="4886" w:name="_Toc115431458"/>
      <w:bookmarkStart w:id="4887" w:name="_Toc115432836"/>
      <w:bookmarkStart w:id="4888" w:name="_Toc115434407"/>
      <w:bookmarkStart w:id="4889" w:name="_Toc115434506"/>
      <w:bookmarkStart w:id="4890" w:name="_Toc115434575"/>
      <w:bookmarkStart w:id="4891" w:name="_Toc115434644"/>
      <w:bookmarkStart w:id="4892" w:name="_Toc115442814"/>
      <w:bookmarkStart w:id="4893" w:name="_Toc115446350"/>
      <w:bookmarkStart w:id="4894" w:name="_Toc115448057"/>
      <w:bookmarkStart w:id="4895" w:name="_Toc115449449"/>
      <w:bookmarkStart w:id="4896" w:name="_Toc115452469"/>
      <w:bookmarkStart w:id="4897" w:name="_Toc115455286"/>
      <w:bookmarkStart w:id="4898" w:name="_Toc115455352"/>
      <w:bookmarkStart w:id="4899" w:name="_Toc115457302"/>
      <w:bookmarkStart w:id="4900" w:name="_Toc115458138"/>
      <w:bookmarkStart w:id="4901" w:name="_Toc115948166"/>
      <w:bookmarkStart w:id="4902" w:name="_Toc115948613"/>
      <w:bookmarkStart w:id="4903" w:name="_Toc104212788"/>
      <w:r>
        <w:t>5.1 Introduction</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14:paraId="7788C044" w14:textId="623EEA87" w:rsidR="00A601F9" w:rsidRDefault="009E7337" w:rsidP="00A601F9">
      <w:pPr>
        <w:rPr>
          <w:rFonts w:eastAsiaTheme="minorHAnsi"/>
        </w:rPr>
      </w:pPr>
      <w:r w:rsidRPr="00923DEA">
        <w:rPr>
          <w:rFonts w:eastAsiaTheme="minorHAnsi"/>
        </w:rPr>
        <w:t xml:space="preserve">This chapter considers the expectations, accountabilities and responsibilities of </w:t>
      </w:r>
      <w:r w:rsidR="00014107">
        <w:rPr>
          <w:rFonts w:eastAsiaTheme="minorHAnsi"/>
        </w:rPr>
        <w:t>MoP</w:t>
      </w:r>
      <w:r w:rsidRPr="00923DEA">
        <w:rPr>
          <w:rFonts w:eastAsiaTheme="minorHAnsi"/>
        </w:rPr>
        <w:t xml:space="preserve">(S) Act employees and parliamentarians </w:t>
      </w:r>
      <w:r w:rsidR="002E1E31">
        <w:rPr>
          <w:rFonts w:eastAsiaTheme="minorHAnsi"/>
        </w:rPr>
        <w:t xml:space="preserve">who employ them on </w:t>
      </w:r>
      <w:r w:rsidRPr="00923DEA">
        <w:rPr>
          <w:rFonts w:eastAsiaTheme="minorHAnsi"/>
        </w:rPr>
        <w:t xml:space="preserve">behalf of the Commonwealth. </w:t>
      </w:r>
      <w:r w:rsidR="00923DEA" w:rsidRPr="00632CD1">
        <w:rPr>
          <w:rFonts w:eastAsiaTheme="minorHAnsi"/>
        </w:rPr>
        <w:t xml:space="preserve">The </w:t>
      </w:r>
      <w:r w:rsidR="00AA3AC2" w:rsidRPr="00632CD1">
        <w:rPr>
          <w:rFonts w:eastAsiaTheme="minorHAnsi"/>
        </w:rPr>
        <w:t>R</w:t>
      </w:r>
      <w:r w:rsidR="00923DEA" w:rsidRPr="00632CD1">
        <w:rPr>
          <w:rFonts w:eastAsiaTheme="minorHAnsi"/>
        </w:rPr>
        <w:t>eview identifies legislative, parliamentary and executive mechanisms which contribute to the current framework or have potential to strengthen it.</w:t>
      </w:r>
      <w:r w:rsidR="00923DEA">
        <w:rPr>
          <w:rFonts w:eastAsiaTheme="minorHAnsi"/>
        </w:rPr>
        <w:t xml:space="preserve">  </w:t>
      </w:r>
    </w:p>
    <w:p w14:paraId="5444EF1B" w14:textId="6549A759" w:rsidR="002E65D5" w:rsidRDefault="001370BB" w:rsidP="00A601F9">
      <w:pPr>
        <w:rPr>
          <w:rFonts w:eastAsiaTheme="minorHAnsi"/>
        </w:rPr>
      </w:pPr>
      <w:r>
        <w:rPr>
          <w:rFonts w:eastAsiaTheme="minorHAnsi"/>
        </w:rPr>
        <w:t xml:space="preserve">Many contributors shared with the Review their experiences of a workplace </w:t>
      </w:r>
      <w:r w:rsidR="007F427F">
        <w:rPr>
          <w:rFonts w:eastAsiaTheme="minorHAnsi"/>
        </w:rPr>
        <w:t xml:space="preserve">lacking in standards and </w:t>
      </w:r>
      <w:r>
        <w:rPr>
          <w:rFonts w:eastAsiaTheme="minorHAnsi"/>
        </w:rPr>
        <w:t xml:space="preserve">accountability. </w:t>
      </w:r>
      <w:r w:rsidR="002E65D5" w:rsidRPr="002E65D5">
        <w:rPr>
          <w:rFonts w:eastAsiaTheme="minorHAnsi"/>
        </w:rPr>
        <w:t>We heard about behaviour</w:t>
      </w:r>
      <w:r w:rsidR="008F3756">
        <w:rPr>
          <w:rFonts w:eastAsiaTheme="minorHAnsi"/>
        </w:rPr>
        <w:t>s</w:t>
      </w:r>
      <w:r w:rsidR="002E65D5" w:rsidRPr="002E65D5" w:rsidDel="007F427F">
        <w:rPr>
          <w:rFonts w:eastAsiaTheme="minorHAnsi"/>
        </w:rPr>
        <w:t xml:space="preserve"> </w:t>
      </w:r>
      <w:r w:rsidR="002E65D5" w:rsidRPr="002E65D5">
        <w:rPr>
          <w:rFonts w:eastAsiaTheme="minorHAnsi"/>
        </w:rPr>
        <w:t xml:space="preserve">unconstrained by </w:t>
      </w:r>
      <w:r w:rsidR="007F427F">
        <w:rPr>
          <w:rFonts w:eastAsiaTheme="minorHAnsi"/>
        </w:rPr>
        <w:t xml:space="preserve">the </w:t>
      </w:r>
      <w:r w:rsidR="002E65D5" w:rsidRPr="002E65D5">
        <w:rPr>
          <w:rFonts w:eastAsiaTheme="minorHAnsi"/>
        </w:rPr>
        <w:t>norms</w:t>
      </w:r>
      <w:r w:rsidR="007F427F">
        <w:rPr>
          <w:rFonts w:eastAsiaTheme="minorHAnsi"/>
        </w:rPr>
        <w:t xml:space="preserve"> </w:t>
      </w:r>
      <w:r w:rsidR="0021312E">
        <w:rPr>
          <w:rFonts w:eastAsiaTheme="minorHAnsi"/>
        </w:rPr>
        <w:t xml:space="preserve">that apply in other </w:t>
      </w:r>
      <w:r w:rsidR="007F427F">
        <w:rPr>
          <w:rFonts w:eastAsiaTheme="minorHAnsi"/>
        </w:rPr>
        <w:t>workplaces</w:t>
      </w:r>
      <w:r w:rsidR="002E65D5" w:rsidRPr="002E65D5">
        <w:rPr>
          <w:rFonts w:eastAsiaTheme="minorHAnsi"/>
        </w:rPr>
        <w:t>.</w:t>
      </w:r>
      <w:r w:rsidR="007F427F">
        <w:rPr>
          <w:rFonts w:eastAsiaTheme="minorHAnsi"/>
        </w:rPr>
        <w:t xml:space="preserve"> One contributor observ</w:t>
      </w:r>
      <w:r w:rsidR="0021312E">
        <w:rPr>
          <w:rFonts w:eastAsiaTheme="minorHAnsi"/>
        </w:rPr>
        <w:t>ed that</w:t>
      </w:r>
      <w:r w:rsidR="007F427F">
        <w:rPr>
          <w:rFonts w:eastAsiaTheme="minorHAnsi"/>
        </w:rPr>
        <w:t>:</w:t>
      </w:r>
      <w:r w:rsidR="002E65D5" w:rsidRPr="002E65D5">
        <w:rPr>
          <w:rFonts w:eastAsiaTheme="minorHAnsi"/>
        </w:rPr>
        <w:t xml:space="preserve"> ‘The environment was robust and lawless. It was very </w:t>
      </w:r>
      <w:r w:rsidR="002E65D5" w:rsidRPr="002E65D5">
        <w:rPr>
          <w:rFonts w:eastAsiaTheme="minorHAnsi"/>
          <w:i/>
        </w:rPr>
        <w:t>Lord of the Flies.’</w:t>
      </w:r>
    </w:p>
    <w:p w14:paraId="7395C921" w14:textId="6F991500" w:rsidR="00A601F9" w:rsidRDefault="00A14431" w:rsidP="00A601F9">
      <w:pPr>
        <w:rPr>
          <w:rFonts w:eastAsiaTheme="minorHAnsi"/>
        </w:rPr>
      </w:pPr>
      <w:r w:rsidRPr="002E65D5">
        <w:rPr>
          <w:rFonts w:eastAsiaTheme="minorHAnsi"/>
        </w:rPr>
        <w:t>A code of conduct was common</w:t>
      </w:r>
      <w:r w:rsidR="002F6F83" w:rsidRPr="002E65D5">
        <w:rPr>
          <w:rFonts w:eastAsiaTheme="minorHAnsi"/>
        </w:rPr>
        <w:t>ly raised</w:t>
      </w:r>
      <w:r w:rsidRPr="002E65D5">
        <w:rPr>
          <w:rFonts w:eastAsiaTheme="minorHAnsi"/>
        </w:rPr>
        <w:t xml:space="preserve"> </w:t>
      </w:r>
      <w:r w:rsidR="007F427F">
        <w:rPr>
          <w:rFonts w:eastAsiaTheme="minorHAnsi"/>
        </w:rPr>
        <w:t xml:space="preserve">with the Review as a </w:t>
      </w:r>
      <w:r w:rsidRPr="002E65D5">
        <w:rPr>
          <w:rFonts w:eastAsiaTheme="minorHAnsi"/>
        </w:rPr>
        <w:t>solution to address the perceived absence of accountability</w:t>
      </w:r>
      <w:r w:rsidR="00B253C6">
        <w:rPr>
          <w:rFonts w:eastAsiaTheme="minorHAnsi"/>
        </w:rPr>
        <w:t xml:space="preserve"> </w:t>
      </w:r>
      <w:r w:rsidR="007F427F">
        <w:rPr>
          <w:rFonts w:eastAsiaTheme="minorHAnsi"/>
        </w:rPr>
        <w:t xml:space="preserve">of </w:t>
      </w:r>
      <w:r w:rsidR="00B253C6">
        <w:rPr>
          <w:rFonts w:eastAsiaTheme="minorHAnsi"/>
        </w:rPr>
        <w:t>parliamentarians and their employees</w:t>
      </w:r>
      <w:r w:rsidR="00692FF1" w:rsidRPr="002E65D5">
        <w:rPr>
          <w:rFonts w:eastAsiaTheme="minorHAnsi"/>
        </w:rPr>
        <w:t>.</w:t>
      </w:r>
      <w:r w:rsidR="00692FF1">
        <w:rPr>
          <w:rFonts w:eastAsiaTheme="minorHAnsi"/>
        </w:rPr>
        <w:t xml:space="preserve"> </w:t>
      </w:r>
      <w:r w:rsidR="00100F98">
        <w:rPr>
          <w:rFonts w:eastAsiaTheme="minorHAnsi"/>
        </w:rPr>
        <w:t>T</w:t>
      </w:r>
      <w:r w:rsidR="002B1FBE">
        <w:rPr>
          <w:rFonts w:eastAsiaTheme="minorHAnsi"/>
        </w:rPr>
        <w:t xml:space="preserve">he development of </w:t>
      </w:r>
      <w:r w:rsidR="00100F98">
        <w:rPr>
          <w:rFonts w:eastAsiaTheme="minorHAnsi"/>
        </w:rPr>
        <w:t>codes of conduct fall</w:t>
      </w:r>
      <w:r w:rsidR="00F839DD">
        <w:rPr>
          <w:rFonts w:eastAsiaTheme="minorHAnsi"/>
        </w:rPr>
        <w:t>s</w:t>
      </w:r>
      <w:r w:rsidR="00100F98">
        <w:rPr>
          <w:rFonts w:eastAsiaTheme="minorHAnsi"/>
        </w:rPr>
        <w:t xml:space="preserve"> outside the scope of this Review, given </w:t>
      </w:r>
      <w:r w:rsidR="00313BAC">
        <w:rPr>
          <w:rFonts w:eastAsiaTheme="minorHAnsi"/>
        </w:rPr>
        <w:t xml:space="preserve">the </w:t>
      </w:r>
      <w:r w:rsidR="00F839DD">
        <w:rPr>
          <w:rFonts w:eastAsiaTheme="minorHAnsi"/>
        </w:rPr>
        <w:t>mandate</w:t>
      </w:r>
      <w:r w:rsidR="00100F98">
        <w:rPr>
          <w:rFonts w:eastAsiaTheme="minorHAnsi"/>
        </w:rPr>
        <w:t xml:space="preserve"> of </w:t>
      </w:r>
      <w:r w:rsidR="00313BAC">
        <w:rPr>
          <w:rFonts w:eastAsiaTheme="minorHAnsi"/>
        </w:rPr>
        <w:t xml:space="preserve">the Joint Select Committee on Parliamentary Standards </w:t>
      </w:r>
      <w:r w:rsidR="00F839DD">
        <w:rPr>
          <w:rFonts w:eastAsiaTheme="minorHAnsi"/>
        </w:rPr>
        <w:t xml:space="preserve">to </w:t>
      </w:r>
      <w:r w:rsidR="00313BAC">
        <w:rPr>
          <w:rFonts w:eastAsiaTheme="minorHAnsi"/>
        </w:rPr>
        <w:t>consider</w:t>
      </w:r>
      <w:r w:rsidR="00F839DD">
        <w:rPr>
          <w:rFonts w:eastAsiaTheme="minorHAnsi"/>
        </w:rPr>
        <w:t xml:space="preserve"> the development</w:t>
      </w:r>
      <w:r w:rsidR="00313BAC">
        <w:rPr>
          <w:rFonts w:eastAsiaTheme="minorHAnsi"/>
        </w:rPr>
        <w:t xml:space="preserve"> of codes of conduct for </w:t>
      </w:r>
      <w:r w:rsidR="00F839DD">
        <w:rPr>
          <w:rFonts w:eastAsiaTheme="minorHAnsi"/>
        </w:rPr>
        <w:t xml:space="preserve">Commonwealth </w:t>
      </w:r>
      <w:r w:rsidR="00313BAC">
        <w:rPr>
          <w:rFonts w:eastAsiaTheme="minorHAnsi"/>
        </w:rPr>
        <w:t>parliamentary work</w:t>
      </w:r>
      <w:r w:rsidR="00864D78">
        <w:rPr>
          <w:rFonts w:eastAsiaTheme="minorHAnsi"/>
        </w:rPr>
        <w:t>places</w:t>
      </w:r>
      <w:r w:rsidR="00F839DD" w:rsidRPr="00F839DD">
        <w:t xml:space="preserve"> </w:t>
      </w:r>
      <w:r w:rsidR="00F839DD">
        <w:rPr>
          <w:rFonts w:eastAsiaTheme="minorHAnsi"/>
        </w:rPr>
        <w:t xml:space="preserve">in accordance with </w:t>
      </w:r>
      <w:r w:rsidR="00F839DD" w:rsidRPr="00F839DD">
        <w:rPr>
          <w:rFonts w:eastAsiaTheme="minorHAnsi"/>
        </w:rPr>
        <w:t>Recomm</w:t>
      </w:r>
      <w:r w:rsidR="00F839DD">
        <w:rPr>
          <w:rFonts w:eastAsiaTheme="minorHAnsi"/>
        </w:rPr>
        <w:t xml:space="preserve">endation 21 of </w:t>
      </w:r>
      <w:r w:rsidR="00F839DD" w:rsidRPr="00FE0801">
        <w:rPr>
          <w:rFonts w:eastAsiaTheme="minorHAnsi"/>
          <w:i/>
        </w:rPr>
        <w:t>Set the Standard</w:t>
      </w:r>
      <w:r w:rsidR="00F839DD">
        <w:rPr>
          <w:rFonts w:eastAsiaTheme="minorHAnsi"/>
        </w:rPr>
        <w:t xml:space="preserve">, </w:t>
      </w:r>
      <w:r w:rsidR="005E1871">
        <w:rPr>
          <w:rFonts w:eastAsiaTheme="minorHAnsi"/>
        </w:rPr>
        <w:t xml:space="preserve">in progress at the </w:t>
      </w:r>
      <w:r w:rsidR="00F839DD">
        <w:rPr>
          <w:rFonts w:eastAsiaTheme="minorHAnsi"/>
        </w:rPr>
        <w:t>time of writing. The Committee is</w:t>
      </w:r>
      <w:r w:rsidR="00313BAC">
        <w:rPr>
          <w:rFonts w:eastAsiaTheme="minorHAnsi"/>
        </w:rPr>
        <w:t xml:space="preserve"> due to report </w:t>
      </w:r>
      <w:r w:rsidR="00C51DD5">
        <w:rPr>
          <w:rFonts w:eastAsiaTheme="minorHAnsi"/>
        </w:rPr>
        <w:t>by 1</w:t>
      </w:r>
      <w:r w:rsidR="007F427F">
        <w:rPr>
          <w:rFonts w:eastAsiaTheme="minorHAnsi"/>
        </w:rPr>
        <w:t> </w:t>
      </w:r>
      <w:r w:rsidR="00313BAC">
        <w:rPr>
          <w:rFonts w:eastAsiaTheme="minorHAnsi"/>
        </w:rPr>
        <w:t>December 2022.</w:t>
      </w:r>
      <w:r w:rsidR="00100F98">
        <w:rPr>
          <w:rFonts w:eastAsiaTheme="minorHAnsi"/>
        </w:rPr>
        <w:t xml:space="preserve"> </w:t>
      </w:r>
    </w:p>
    <w:p w14:paraId="5451ED86" w14:textId="77777777" w:rsidR="00313BAC" w:rsidRDefault="00313BAC" w:rsidP="00A601F9">
      <w:pPr>
        <w:rPr>
          <w:rFonts w:eastAsiaTheme="minorHAnsi"/>
        </w:rPr>
      </w:pPr>
      <w:r>
        <w:rPr>
          <w:rFonts w:eastAsiaTheme="minorHAnsi"/>
        </w:rPr>
        <w:t>This chapter covers:</w:t>
      </w:r>
    </w:p>
    <w:p w14:paraId="6612154E" w14:textId="77777777" w:rsidR="00313BAC" w:rsidRDefault="009A2B0C" w:rsidP="00971ECB">
      <w:pPr>
        <w:pStyle w:val="ListParagraph"/>
        <w:numPr>
          <w:ilvl w:val="0"/>
          <w:numId w:val="15"/>
        </w:numPr>
        <w:rPr>
          <w:rFonts w:eastAsiaTheme="minorHAnsi"/>
        </w:rPr>
      </w:pPr>
      <w:r>
        <w:rPr>
          <w:rFonts w:eastAsiaTheme="minorHAnsi"/>
        </w:rPr>
        <w:t xml:space="preserve">employment </w:t>
      </w:r>
      <w:r w:rsidR="00313BAC">
        <w:rPr>
          <w:rFonts w:eastAsiaTheme="minorHAnsi"/>
        </w:rPr>
        <w:t>principles</w:t>
      </w:r>
    </w:p>
    <w:p w14:paraId="5EC83331" w14:textId="77777777" w:rsidR="00313BAC" w:rsidRPr="00AC0D22" w:rsidRDefault="00313BAC" w:rsidP="00971ECB">
      <w:pPr>
        <w:pStyle w:val="ListParagraph"/>
        <w:numPr>
          <w:ilvl w:val="0"/>
          <w:numId w:val="15"/>
        </w:numPr>
        <w:rPr>
          <w:rFonts w:eastAsiaTheme="minorHAnsi"/>
        </w:rPr>
      </w:pPr>
      <w:r>
        <w:t>a</w:t>
      </w:r>
      <w:r w:rsidRPr="006502FC">
        <w:t>ccountability</w:t>
      </w:r>
      <w:r>
        <w:t xml:space="preserve"> </w:t>
      </w:r>
      <w:r w:rsidR="00AC0D22">
        <w:t xml:space="preserve">and responsibilities </w:t>
      </w:r>
      <w:r>
        <w:t>of MoP(S) Act employees</w:t>
      </w:r>
      <w:r w:rsidR="00AC0D22">
        <w:t xml:space="preserve"> (including the </w:t>
      </w:r>
      <w:r w:rsidR="00AC0D22">
        <w:rPr>
          <w:rFonts w:eastAsiaTheme="minorHAnsi"/>
        </w:rPr>
        <w:t>a</w:t>
      </w:r>
      <w:r w:rsidR="00AC0D22" w:rsidRPr="00313BAC">
        <w:rPr>
          <w:rFonts w:eastAsiaTheme="minorHAnsi"/>
        </w:rPr>
        <w:t>ccountability of ministerial staff</w:t>
      </w:r>
      <w:r w:rsidR="00AC0D22">
        <w:t>)</w:t>
      </w:r>
    </w:p>
    <w:p w14:paraId="4160C12F" w14:textId="77777777" w:rsidR="00AC0D22" w:rsidRPr="00AC0D22" w:rsidRDefault="00AC0D22" w:rsidP="00971ECB">
      <w:pPr>
        <w:pStyle w:val="ListParagraph"/>
        <w:numPr>
          <w:ilvl w:val="0"/>
          <w:numId w:val="15"/>
        </w:numPr>
        <w:rPr>
          <w:rFonts w:eastAsiaTheme="minorHAnsi"/>
        </w:rPr>
      </w:pPr>
      <w:r>
        <w:t>expectations and obligations</w:t>
      </w:r>
    </w:p>
    <w:p w14:paraId="37DFEE82" w14:textId="77777777" w:rsidR="00313BAC" w:rsidRPr="00313BAC" w:rsidRDefault="00313BAC" w:rsidP="00971ECB">
      <w:pPr>
        <w:pStyle w:val="ListParagraph"/>
        <w:numPr>
          <w:ilvl w:val="0"/>
          <w:numId w:val="15"/>
        </w:numPr>
        <w:rPr>
          <w:rFonts w:eastAsiaTheme="minorHAnsi"/>
        </w:rPr>
      </w:pPr>
      <w:r>
        <w:rPr>
          <w:rFonts w:eastAsiaTheme="minorHAnsi"/>
        </w:rPr>
        <w:t>reporting</w:t>
      </w:r>
      <w:r w:rsidR="009A2B0C">
        <w:rPr>
          <w:rFonts w:eastAsiaTheme="minorHAnsi"/>
        </w:rPr>
        <w:t xml:space="preserve"> on the administration of the MoP(S) Act</w:t>
      </w:r>
      <w:r>
        <w:rPr>
          <w:rFonts w:eastAsiaTheme="minorHAnsi"/>
        </w:rPr>
        <w:t>.</w:t>
      </w:r>
    </w:p>
    <w:p w14:paraId="24CDC12D" w14:textId="77777777" w:rsidR="007F4396" w:rsidRPr="007F4396" w:rsidRDefault="007F4396" w:rsidP="007F4396">
      <w:pPr>
        <w:rPr>
          <w:rFonts w:eastAsiaTheme="minorHAnsi"/>
        </w:rPr>
      </w:pPr>
    </w:p>
    <w:p w14:paraId="0478ADEC" w14:textId="77777777" w:rsidR="00A601F9" w:rsidRPr="00750164" w:rsidRDefault="00A601F9" w:rsidP="00A601F9">
      <w:pPr>
        <w:pStyle w:val="Heading2"/>
      </w:pPr>
      <w:bookmarkStart w:id="4904" w:name="_Toc114731817"/>
      <w:bookmarkStart w:id="4905" w:name="_Toc114230890"/>
      <w:bookmarkStart w:id="4906" w:name="_Toc114232947"/>
      <w:bookmarkStart w:id="4907" w:name="_Toc114233595"/>
      <w:bookmarkStart w:id="4908" w:name="_Toc114233667"/>
      <w:bookmarkStart w:id="4909" w:name="_Toc114240624"/>
      <w:bookmarkStart w:id="4910" w:name="_Toc114240698"/>
      <w:bookmarkStart w:id="4911" w:name="_Toc114241042"/>
      <w:bookmarkStart w:id="4912" w:name="_Toc114494063"/>
      <w:bookmarkStart w:id="4913" w:name="_Toc114500314"/>
      <w:bookmarkStart w:id="4914" w:name="_Toc114500389"/>
      <w:bookmarkStart w:id="4915" w:name="_Toc114518662"/>
      <w:bookmarkStart w:id="4916" w:name="_Toc114520334"/>
      <w:bookmarkStart w:id="4917" w:name="_Toc114520743"/>
      <w:bookmarkStart w:id="4918" w:name="_Toc114565771"/>
      <w:bookmarkStart w:id="4919" w:name="_Toc114566752"/>
      <w:bookmarkStart w:id="4920" w:name="_Toc114566977"/>
      <w:bookmarkStart w:id="4921" w:name="_Toc114566901"/>
      <w:bookmarkStart w:id="4922" w:name="_Toc114585902"/>
      <w:bookmarkStart w:id="4923" w:name="_Toc114586046"/>
      <w:bookmarkStart w:id="4924" w:name="_Toc114586118"/>
      <w:bookmarkStart w:id="4925" w:name="_Toc114601258"/>
      <w:bookmarkStart w:id="4926" w:name="_Toc114657299"/>
      <w:bookmarkStart w:id="4927" w:name="_Toc114659761"/>
      <w:bookmarkStart w:id="4928" w:name="_Toc114662746"/>
      <w:bookmarkStart w:id="4929" w:name="_Toc114665130"/>
      <w:bookmarkStart w:id="4930" w:name="_Toc114672439"/>
      <w:bookmarkStart w:id="4931" w:name="_Toc114672651"/>
      <w:bookmarkStart w:id="4932" w:name="_Toc114673206"/>
      <w:bookmarkStart w:id="4933" w:name="_Toc114673792"/>
      <w:bookmarkStart w:id="4934" w:name="_Toc114674317"/>
      <w:bookmarkStart w:id="4935" w:name="_Toc114687490"/>
      <w:bookmarkStart w:id="4936" w:name="_Toc114689954"/>
      <w:bookmarkStart w:id="4937" w:name="_Toc114733582"/>
      <w:bookmarkStart w:id="4938" w:name="_Toc114735523"/>
      <w:bookmarkStart w:id="4939" w:name="_Toc114755850"/>
      <w:bookmarkStart w:id="4940" w:name="_Toc114757155"/>
      <w:bookmarkStart w:id="4941" w:name="_Toc114757439"/>
      <w:bookmarkStart w:id="4942" w:name="_Toc114757541"/>
      <w:bookmarkStart w:id="4943" w:name="_Toc114758214"/>
      <w:bookmarkStart w:id="4944" w:name="_Toc114824384"/>
      <w:bookmarkStart w:id="4945" w:name="_Toc114829460"/>
      <w:bookmarkStart w:id="4946" w:name="_Toc114829824"/>
      <w:bookmarkStart w:id="4947" w:name="_Toc114829968"/>
      <w:bookmarkStart w:id="4948" w:name="_Toc115099047"/>
      <w:bookmarkStart w:id="4949" w:name="_Toc115099119"/>
      <w:bookmarkStart w:id="4950" w:name="_Toc115101696"/>
      <w:bookmarkStart w:id="4951" w:name="_Toc115102541"/>
      <w:bookmarkStart w:id="4952" w:name="_Toc115105514"/>
      <w:bookmarkStart w:id="4953" w:name="_Toc115110375"/>
      <w:bookmarkStart w:id="4954" w:name="_Toc115110502"/>
      <w:bookmarkStart w:id="4955" w:name="_Toc115121620"/>
      <w:bookmarkStart w:id="4956" w:name="_Toc115121990"/>
      <w:bookmarkStart w:id="4957" w:name="_Toc115123470"/>
      <w:bookmarkStart w:id="4958" w:name="_Toc115123718"/>
      <w:bookmarkStart w:id="4959" w:name="_Toc115126850"/>
      <w:bookmarkStart w:id="4960" w:name="_Toc115185486"/>
      <w:bookmarkStart w:id="4961" w:name="_Toc115186113"/>
      <w:bookmarkStart w:id="4962" w:name="_Toc115189271"/>
      <w:bookmarkStart w:id="4963" w:name="_Toc115194244"/>
      <w:bookmarkStart w:id="4964" w:name="_Toc115194981"/>
      <w:bookmarkStart w:id="4965" w:name="_Toc115196391"/>
      <w:bookmarkStart w:id="4966" w:name="_Toc115198892"/>
      <w:bookmarkStart w:id="4967" w:name="_Toc115208907"/>
      <w:bookmarkStart w:id="4968" w:name="_Toc115209043"/>
      <w:bookmarkStart w:id="4969" w:name="_Toc115210374"/>
      <w:bookmarkStart w:id="4970" w:name="_Toc115212599"/>
      <w:bookmarkStart w:id="4971" w:name="_Toc115213239"/>
      <w:bookmarkStart w:id="4972" w:name="_Toc115216737"/>
      <w:bookmarkStart w:id="4973" w:name="_Toc115270428"/>
      <w:bookmarkStart w:id="4974" w:name="_Toc115271371"/>
      <w:bookmarkStart w:id="4975" w:name="_Toc115272288"/>
      <w:bookmarkStart w:id="4976" w:name="_Toc115273458"/>
      <w:bookmarkStart w:id="4977" w:name="_Toc115273386"/>
      <w:bookmarkStart w:id="4978" w:name="_Toc115274639"/>
      <w:bookmarkStart w:id="4979" w:name="_Toc115274865"/>
      <w:bookmarkStart w:id="4980" w:name="_Toc115275222"/>
      <w:bookmarkStart w:id="4981" w:name="_Toc115275365"/>
      <w:bookmarkStart w:id="4982" w:name="_Toc115274202"/>
      <w:bookmarkStart w:id="4983" w:name="_Toc115274503"/>
      <w:bookmarkStart w:id="4984" w:name="_Toc115274571"/>
      <w:bookmarkStart w:id="4985" w:name="_Toc115274729"/>
      <w:bookmarkStart w:id="4986" w:name="_Toc115277463"/>
      <w:bookmarkStart w:id="4987" w:name="_Toc115277667"/>
      <w:bookmarkStart w:id="4988" w:name="_Toc115278556"/>
      <w:bookmarkStart w:id="4989" w:name="_Toc115278636"/>
      <w:bookmarkStart w:id="4990" w:name="_Toc115282306"/>
      <w:bookmarkStart w:id="4991" w:name="_Toc115284759"/>
      <w:bookmarkStart w:id="4992" w:name="_Toc115286851"/>
      <w:bookmarkStart w:id="4993" w:name="_Toc115294785"/>
      <w:bookmarkStart w:id="4994" w:name="_Toc115296365"/>
      <w:bookmarkStart w:id="4995" w:name="_Toc115308551"/>
      <w:bookmarkStart w:id="4996" w:name="_Toc115311203"/>
      <w:bookmarkStart w:id="4997" w:name="_Toc115312683"/>
      <w:bookmarkStart w:id="4998" w:name="_Toc115343857"/>
      <w:bookmarkStart w:id="4999" w:name="_Toc115348295"/>
      <w:bookmarkStart w:id="5000" w:name="_Toc115350393"/>
      <w:bookmarkStart w:id="5001" w:name="_Toc115353481"/>
      <w:bookmarkStart w:id="5002" w:name="_Toc115359512"/>
      <w:bookmarkStart w:id="5003" w:name="_Toc115361916"/>
      <w:bookmarkStart w:id="5004" w:name="_Toc115364309"/>
      <w:bookmarkStart w:id="5005" w:name="_Toc115365403"/>
      <w:bookmarkStart w:id="5006" w:name="_Toc115365675"/>
      <w:bookmarkStart w:id="5007" w:name="_Toc115365743"/>
      <w:bookmarkStart w:id="5008" w:name="_Toc115366207"/>
      <w:bookmarkStart w:id="5009" w:name="_Toc115368657"/>
      <w:bookmarkStart w:id="5010" w:name="_Toc115370097"/>
      <w:bookmarkStart w:id="5011" w:name="_Toc115370831"/>
      <w:bookmarkStart w:id="5012" w:name="_Toc115374403"/>
      <w:bookmarkStart w:id="5013" w:name="_Toc115378742"/>
      <w:bookmarkStart w:id="5014" w:name="_Toc115380974"/>
      <w:bookmarkStart w:id="5015" w:name="_Toc115384126"/>
      <w:bookmarkStart w:id="5016" w:name="_Toc115387355"/>
      <w:bookmarkStart w:id="5017" w:name="_Toc115388821"/>
      <w:bookmarkStart w:id="5018" w:name="_Toc115431459"/>
      <w:bookmarkStart w:id="5019" w:name="_Toc115432837"/>
      <w:bookmarkStart w:id="5020" w:name="_Toc115434408"/>
      <w:bookmarkStart w:id="5021" w:name="_Toc115434507"/>
      <w:bookmarkStart w:id="5022" w:name="_Toc115434576"/>
      <w:bookmarkStart w:id="5023" w:name="_Toc115434645"/>
      <w:bookmarkStart w:id="5024" w:name="_Toc115442815"/>
      <w:bookmarkStart w:id="5025" w:name="_Toc115446351"/>
      <w:bookmarkStart w:id="5026" w:name="_Toc115448058"/>
      <w:bookmarkStart w:id="5027" w:name="_Toc115449450"/>
      <w:bookmarkStart w:id="5028" w:name="_Toc115452470"/>
      <w:bookmarkStart w:id="5029" w:name="_Toc115455287"/>
      <w:bookmarkStart w:id="5030" w:name="_Toc115455353"/>
      <w:bookmarkStart w:id="5031" w:name="_Toc115457303"/>
      <w:bookmarkStart w:id="5032" w:name="_Toc115458139"/>
      <w:bookmarkStart w:id="5033" w:name="_Toc115948167"/>
      <w:bookmarkStart w:id="5034" w:name="_Toc115948614"/>
      <w:bookmarkStart w:id="5035" w:name="_Toc104212797"/>
      <w:bookmarkStart w:id="5036" w:name="_Toc109643423"/>
      <w:r>
        <w:t>5</w:t>
      </w:r>
      <w:r w:rsidR="00854F23">
        <w:t>.2</w:t>
      </w:r>
      <w:r>
        <w:t xml:space="preserve"> </w:t>
      </w:r>
      <w:r w:rsidR="009A2B0C">
        <w:t>Employment p</w:t>
      </w:r>
      <w:bookmarkEnd w:id="4904"/>
      <w:r w:rsidRPr="00750164">
        <w:t>rinciples</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p>
    <w:p w14:paraId="24B4F0A8" w14:textId="77777777" w:rsidR="00A601F9" w:rsidRPr="002E65D5" w:rsidRDefault="00A4374D" w:rsidP="00A601F9">
      <w:r w:rsidRPr="002E65D5">
        <w:t>T</w:t>
      </w:r>
      <w:r w:rsidR="00A601F9" w:rsidRPr="002E65D5">
        <w:t>he MoP(S) Act</w:t>
      </w:r>
      <w:r w:rsidRPr="002E65D5">
        <w:t xml:space="preserve"> </w:t>
      </w:r>
      <w:r w:rsidR="00454B52" w:rsidRPr="002E65D5">
        <w:t xml:space="preserve">employment </w:t>
      </w:r>
      <w:r w:rsidRPr="002E65D5">
        <w:t>framework does not contain any</w:t>
      </w:r>
      <w:r w:rsidR="00A601F9" w:rsidRPr="002E65D5">
        <w:t xml:space="preserve"> articulat</w:t>
      </w:r>
      <w:r w:rsidRPr="002E65D5">
        <w:t>ion of</w:t>
      </w:r>
      <w:r w:rsidR="00A601F9" w:rsidRPr="002E65D5">
        <w:t xml:space="preserve"> the values </w:t>
      </w:r>
      <w:r w:rsidR="00852B6A" w:rsidRPr="002E65D5">
        <w:t>or</w:t>
      </w:r>
      <w:r w:rsidR="00A601F9" w:rsidRPr="002E65D5">
        <w:t xml:space="preserve"> principles that underpin </w:t>
      </w:r>
      <w:r w:rsidRPr="002E65D5">
        <w:t>it</w:t>
      </w:r>
      <w:r w:rsidR="00F07A43" w:rsidRPr="002E65D5">
        <w:t>.</w:t>
      </w:r>
    </w:p>
    <w:p w14:paraId="4C81202B" w14:textId="77777777" w:rsidR="00D958E7" w:rsidRDefault="007456A3" w:rsidP="00A601F9">
      <w:r w:rsidRPr="002E65D5">
        <w:t>Employment principles play a role in shaping workplace culture. The legislated employment principles of the APS, for example, articulate the workplace culture the APS aspires to and what APS employees and the public can expect in that workplace.</w:t>
      </w:r>
      <w:r w:rsidR="002E65D5" w:rsidRPr="002E65D5">
        <w:t xml:space="preserve"> </w:t>
      </w:r>
      <w:r w:rsidR="00D958E7">
        <w:t>Employment principles can capture how the workplace is intended to function as a whole.</w:t>
      </w:r>
    </w:p>
    <w:p w14:paraId="10BBE1DF" w14:textId="6BDF8D8D" w:rsidR="002E65D5" w:rsidRDefault="002B1FBE" w:rsidP="00A601F9">
      <w:r w:rsidRPr="002E65D5">
        <w:t xml:space="preserve">As indicated above, the Joint Select Committee on Parliamentary Standards is </w:t>
      </w:r>
      <w:r w:rsidR="000F0244">
        <w:t>inquiring into the development of</w:t>
      </w:r>
      <w:r w:rsidRPr="002E65D5">
        <w:t xml:space="preserve"> codes of conduct</w:t>
      </w:r>
      <w:r>
        <w:t>, which</w:t>
      </w:r>
      <w:r w:rsidRPr="002E65D5">
        <w:t xml:space="preserve"> typically address the expected behaviour of an individual</w:t>
      </w:r>
      <w:r w:rsidR="00C87BA6">
        <w:t xml:space="preserve"> in the workplace</w:t>
      </w:r>
      <w:r w:rsidRPr="002E65D5">
        <w:t>.</w:t>
      </w:r>
    </w:p>
    <w:p w14:paraId="12D4F019" w14:textId="77777777" w:rsidR="00C87BA6" w:rsidRDefault="00A601F9" w:rsidP="00051BDA">
      <w:pPr>
        <w:pStyle w:val="Heading3"/>
      </w:pPr>
      <w:r>
        <w:t>5.</w:t>
      </w:r>
      <w:r w:rsidR="00854F23">
        <w:t>2</w:t>
      </w:r>
      <w:r>
        <w:t xml:space="preserve">.1 </w:t>
      </w:r>
      <w:r w:rsidRPr="005E0C47">
        <w:t xml:space="preserve">Current </w:t>
      </w:r>
      <w:r>
        <w:t>s</w:t>
      </w:r>
      <w:r w:rsidRPr="004141AD">
        <w:t>ituation</w:t>
      </w:r>
    </w:p>
    <w:p w14:paraId="0E0B9885" w14:textId="3EBC1BC0" w:rsidR="005A6FD0" w:rsidRDefault="005A6FD0" w:rsidP="005A6FD0">
      <w:r>
        <w:t>Many contributors who engaged with the Review co</w:t>
      </w:r>
      <w:r w:rsidR="00A30775">
        <w:t xml:space="preserve">mmented on the absence of </w:t>
      </w:r>
      <w:r w:rsidR="007536DF">
        <w:t xml:space="preserve">statements to </w:t>
      </w:r>
      <w:r w:rsidR="00A30775">
        <w:t xml:space="preserve">guide </w:t>
      </w:r>
      <w:r w:rsidR="002C2B0D">
        <w:t xml:space="preserve">the </w:t>
      </w:r>
      <w:r w:rsidR="00A30775">
        <w:t xml:space="preserve">behaviour of MoP(S) </w:t>
      </w:r>
      <w:r w:rsidR="00DC46E3">
        <w:t>Act</w:t>
      </w:r>
      <w:r w:rsidR="00A30775">
        <w:t xml:space="preserve"> employees and reflect</w:t>
      </w:r>
      <w:r>
        <w:t xml:space="preserve"> </w:t>
      </w:r>
      <w:r w:rsidR="00A30775">
        <w:t xml:space="preserve">the overall standards of a modern, </w:t>
      </w:r>
      <w:r>
        <w:t xml:space="preserve">professional </w:t>
      </w:r>
      <w:r w:rsidR="00A30775">
        <w:t>workplace</w:t>
      </w:r>
      <w:r>
        <w:t xml:space="preserve">. </w:t>
      </w:r>
      <w:r w:rsidRPr="00907A59">
        <w:t>We heard an amended MoP(S) Act could embed cultural change to create a positive workplace environment</w:t>
      </w:r>
      <w:r w:rsidR="00A30775">
        <w:t>, and that this would increase parliamentarians’</w:t>
      </w:r>
      <w:r w:rsidRPr="00907A59">
        <w:t xml:space="preserve"> ability to </w:t>
      </w:r>
      <w:r w:rsidR="00D45965">
        <w:t>attract</w:t>
      </w:r>
      <w:r w:rsidRPr="00907A59">
        <w:t xml:space="preserve"> and retain high quality </w:t>
      </w:r>
      <w:r>
        <w:t>employees</w:t>
      </w:r>
      <w:r w:rsidRPr="00907A59">
        <w:t>.</w:t>
      </w:r>
      <w:r w:rsidRPr="00907A59">
        <w:rPr>
          <w:rStyle w:val="FootnoteReference"/>
        </w:rPr>
        <w:footnoteReference w:id="199"/>
      </w:r>
      <w:r w:rsidRPr="00907A59">
        <w:t xml:space="preserve"> A number of stakeholders explicitly told the </w:t>
      </w:r>
      <w:r>
        <w:t>R</w:t>
      </w:r>
      <w:r w:rsidRPr="00907A59">
        <w:t xml:space="preserve">eview that the MoP(S) Act should include </w:t>
      </w:r>
      <w:r w:rsidR="00A30775">
        <w:t xml:space="preserve">employment </w:t>
      </w:r>
      <w:r w:rsidRPr="00907A59">
        <w:t>principles.</w:t>
      </w:r>
      <w:r w:rsidRPr="00907A59">
        <w:rPr>
          <w:rStyle w:val="FootnoteReference"/>
        </w:rPr>
        <w:footnoteReference w:id="200"/>
      </w:r>
      <w:r w:rsidRPr="00907A59">
        <w:t xml:space="preserve"> We also heard </w:t>
      </w:r>
      <w:r>
        <w:t>that</w:t>
      </w:r>
      <w:r w:rsidRPr="00907A59">
        <w:t xml:space="preserve"> the MoP(S) Act </w:t>
      </w:r>
      <w:r>
        <w:t>should</w:t>
      </w:r>
      <w:r w:rsidRPr="00907A59">
        <w:t xml:space="preserve"> include values.</w:t>
      </w:r>
      <w:r w:rsidRPr="00907A59">
        <w:rPr>
          <w:rStyle w:val="FootnoteReference"/>
        </w:rPr>
        <w:footnoteReference w:id="201"/>
      </w:r>
      <w:r w:rsidRPr="00907A59">
        <w:t xml:space="preserve"> </w:t>
      </w:r>
    </w:p>
    <w:p w14:paraId="6DE6EAF3" w14:textId="04501F35" w:rsidR="005A6FD0" w:rsidRPr="00D72F26" w:rsidRDefault="00A30775" w:rsidP="005A6FD0">
      <w:r>
        <w:t xml:space="preserve">The Review heard </w:t>
      </w:r>
      <w:r w:rsidR="005A6FD0">
        <w:t xml:space="preserve">comparable legislative frameworks, </w:t>
      </w:r>
      <w:r w:rsidR="00F3400A">
        <w:t>like</w:t>
      </w:r>
      <w:r w:rsidR="005A6FD0">
        <w:t xml:space="preserve"> the Parliamentary Business Resources framework, have principles embedded within their framework and that this has assisted in improving clarity and accountability.</w:t>
      </w:r>
      <w:r w:rsidR="005A6FD0">
        <w:rPr>
          <w:rStyle w:val="FootnoteReference"/>
        </w:rPr>
        <w:footnoteReference w:id="202"/>
      </w:r>
      <w:r w:rsidR="005A6FD0">
        <w:t xml:space="preserve"> We also heard about other comparable legislative frameworks that have principles and values within them. We heard that these values and principles offer important guidance to employees. The Review heard that the </w:t>
      </w:r>
      <w:r w:rsidR="005A6FD0">
        <w:rPr>
          <w:i/>
        </w:rPr>
        <w:t xml:space="preserve">Public Service Act 1999 </w:t>
      </w:r>
      <w:r w:rsidR="005A6FD0">
        <w:t xml:space="preserve">and the </w:t>
      </w:r>
      <w:r w:rsidR="005A6FD0">
        <w:rPr>
          <w:i/>
        </w:rPr>
        <w:t xml:space="preserve">Parliamentary Service Act 1999 </w:t>
      </w:r>
      <w:r w:rsidR="005A6FD0">
        <w:t>offer examples of legislative framework</w:t>
      </w:r>
      <w:r w:rsidR="00F3400A">
        <w:t>s</w:t>
      </w:r>
      <w:r w:rsidR="005A6FD0">
        <w:t xml:space="preserve"> that support a modern and professional workforce.</w:t>
      </w:r>
      <w:r w:rsidR="005A6FD0">
        <w:rPr>
          <w:rStyle w:val="FootnoteReference"/>
        </w:rPr>
        <w:footnoteReference w:id="203"/>
      </w:r>
    </w:p>
    <w:p w14:paraId="4ED054CD" w14:textId="70EA9352" w:rsidR="00E932F8" w:rsidRDefault="00DA0F0A" w:rsidP="00CE4C54">
      <w:r>
        <w:t>The</w:t>
      </w:r>
      <w:r w:rsidR="00A30775">
        <w:t xml:space="preserve"> Review notes there </w:t>
      </w:r>
      <w:r>
        <w:t>are two codes of conduct currently in operation</w:t>
      </w:r>
      <w:r w:rsidR="00264C7B">
        <w:t xml:space="preserve">: </w:t>
      </w:r>
      <w:r w:rsidR="00264C7B" w:rsidRPr="00907A59">
        <w:t>the Code of Conduct for Ministers and the Ministerial Staff Code</w:t>
      </w:r>
      <w:r w:rsidR="00264C7B" w:rsidRPr="00907A59" w:rsidDel="005B4DDE">
        <w:t xml:space="preserve"> of Conduct</w:t>
      </w:r>
      <w:r>
        <w:t xml:space="preserve">. These codes only apply to </w:t>
      </w:r>
      <w:r w:rsidR="00884E7A">
        <w:t>m</w:t>
      </w:r>
      <w:r>
        <w:t xml:space="preserve">inisters and their </w:t>
      </w:r>
      <w:r w:rsidR="002751A5">
        <w:t>employees</w:t>
      </w:r>
      <w:r>
        <w:t xml:space="preserve"> (both electorate officers and personal staff)</w:t>
      </w:r>
      <w:r w:rsidR="005A6FD0">
        <w:t>. T</w:t>
      </w:r>
      <w:r>
        <w:t xml:space="preserve">here are no corresponding </w:t>
      </w:r>
      <w:r w:rsidR="00465376">
        <w:t>codes of conduct</w:t>
      </w:r>
      <w:r>
        <w:t xml:space="preserve"> that apply to other parliamentarians or their </w:t>
      </w:r>
      <w:r w:rsidR="002751A5">
        <w:t>employees</w:t>
      </w:r>
      <w:r w:rsidR="00BC6AC5">
        <w:t>.</w:t>
      </w:r>
      <w:r>
        <w:rPr>
          <w:rStyle w:val="FootnoteReference"/>
        </w:rPr>
        <w:footnoteReference w:id="204"/>
      </w:r>
      <w:r w:rsidDel="00DA0F0A">
        <w:t xml:space="preserve"> </w:t>
      </w:r>
      <w:r w:rsidR="00E932F8">
        <w:t xml:space="preserve">The </w:t>
      </w:r>
      <w:r w:rsidR="00E932F8" w:rsidRPr="00907A59">
        <w:t xml:space="preserve">main </w:t>
      </w:r>
      <w:r w:rsidR="0026117B">
        <w:t>political</w:t>
      </w:r>
      <w:r w:rsidR="00E932F8" w:rsidRPr="00907A59">
        <w:t xml:space="preserve"> parties in parliament have published national party codes of conduct.</w:t>
      </w:r>
      <w:r w:rsidR="00E932F8" w:rsidRPr="00907A59">
        <w:rPr>
          <w:rStyle w:val="FootnoteReference"/>
        </w:rPr>
        <w:footnoteReference w:id="205"/>
      </w:r>
      <w:r w:rsidR="00E932F8" w:rsidRPr="00907A59">
        <w:t xml:space="preserve"> </w:t>
      </w:r>
      <w:r w:rsidR="00830F45" w:rsidRPr="00907A59">
        <w:t>These</w:t>
      </w:r>
      <w:r w:rsidR="00E932F8" w:rsidRPr="00907A59">
        <w:t xml:space="preserve"> codes </w:t>
      </w:r>
      <w:r w:rsidR="00830F45" w:rsidRPr="00907A59">
        <w:t>are not specific to</w:t>
      </w:r>
      <w:r w:rsidR="008F3756">
        <w:t>,</w:t>
      </w:r>
      <w:r w:rsidR="00830F45" w:rsidRPr="00907A59">
        <w:t xml:space="preserve"> or tailored for</w:t>
      </w:r>
      <w:r w:rsidR="008F3756">
        <w:t>,</w:t>
      </w:r>
      <w:r w:rsidR="00830F45" w:rsidRPr="00907A59">
        <w:t xml:space="preserve"> parliamentarians or MoP(S) Act employees</w:t>
      </w:r>
      <w:r w:rsidR="00E932F8" w:rsidRPr="00907A59">
        <w:t>.</w:t>
      </w:r>
      <w:r w:rsidR="00E932F8">
        <w:t xml:space="preserve">  </w:t>
      </w:r>
    </w:p>
    <w:p w14:paraId="2952254D" w14:textId="25663C64" w:rsidR="00CE4C54" w:rsidRDefault="00CE4C54" w:rsidP="00CE4C54">
      <w:pPr>
        <w:rPr>
          <w:i/>
        </w:rPr>
      </w:pPr>
      <w:r>
        <w:t xml:space="preserve">The Code of Conduct for Ministers contains ‘Key Principles’, including that </w:t>
      </w:r>
      <w:r w:rsidR="00514FBE">
        <w:t>m</w:t>
      </w:r>
      <w:r>
        <w:t>inisters will act with due regard for integrity, fairness, accountability, responsibility and the public interest</w:t>
      </w:r>
      <w:r w:rsidR="00BC6AC5">
        <w:t>.</w:t>
      </w:r>
      <w:r>
        <w:rPr>
          <w:rStyle w:val="FootnoteReference"/>
        </w:rPr>
        <w:footnoteReference w:id="206"/>
      </w:r>
      <w:r>
        <w:t xml:space="preserve"> The Ministerial Staff Code</w:t>
      </w:r>
      <w:r w:rsidDel="005B4DDE">
        <w:t xml:space="preserve"> </w:t>
      </w:r>
      <w:r>
        <w:t xml:space="preserve">does not contain explicit reference to its principles, but does require ministerial staff to </w:t>
      </w:r>
      <w:r w:rsidRPr="002962B7">
        <w:t>‘act at all times with integrity and observe the highest standards of conduct’</w:t>
      </w:r>
      <w:r w:rsidR="00BC6AC5">
        <w:t>.</w:t>
      </w:r>
      <w:r>
        <w:rPr>
          <w:rStyle w:val="FootnoteReference"/>
        </w:rPr>
        <w:footnoteReference w:id="207"/>
      </w:r>
      <w:r w:rsidR="008841F0">
        <w:rPr>
          <w:i/>
        </w:rPr>
        <w:t xml:space="preserve"> </w:t>
      </w:r>
      <w:r w:rsidR="00D9095D" w:rsidRPr="00FE0801">
        <w:t xml:space="preserve">However, </w:t>
      </w:r>
      <w:r w:rsidR="00D9095D">
        <w:t>t</w:t>
      </w:r>
      <w:r w:rsidR="008841F0" w:rsidRPr="00907A59">
        <w:t xml:space="preserve">hese statements fall short of articulating the kind of workplace that </w:t>
      </w:r>
      <w:r w:rsidR="006A0185">
        <w:t>employees</w:t>
      </w:r>
      <w:r w:rsidR="006A0185" w:rsidRPr="00907A59">
        <w:t xml:space="preserve"> </w:t>
      </w:r>
      <w:r w:rsidR="008841F0" w:rsidRPr="00907A59">
        <w:t>of ministers can expect</w:t>
      </w:r>
      <w:r w:rsidRPr="00907A59">
        <w:t>.</w:t>
      </w:r>
    </w:p>
    <w:p w14:paraId="4F6DB2DE" w14:textId="5532476F" w:rsidR="00A601F9" w:rsidRPr="00A601F9" w:rsidRDefault="002E7408" w:rsidP="00051BDA">
      <w:pPr>
        <w:pStyle w:val="Heading4"/>
      </w:pPr>
      <w:r>
        <w:t>What others do</w:t>
      </w:r>
    </w:p>
    <w:p w14:paraId="3E73DBD2" w14:textId="10CAE5E6" w:rsidR="00CE4C54" w:rsidRDefault="00F07A43" w:rsidP="00CE4C54">
      <w:r>
        <w:t xml:space="preserve">It is common contemporary practice to </w:t>
      </w:r>
      <w:r w:rsidR="00D9095D">
        <w:t xml:space="preserve">include </w:t>
      </w:r>
      <w:r>
        <w:t>overarching principles in legislation</w:t>
      </w:r>
      <w:r w:rsidR="00D9095D">
        <w:t xml:space="preserve"> (often in the form of an objects clause – see Recommendation 5)</w:t>
      </w:r>
      <w:r w:rsidR="005A6FD0">
        <w:t>. We note</w:t>
      </w:r>
      <w:r>
        <w:t xml:space="preserve"> s</w:t>
      </w:r>
      <w:r w:rsidR="00CE4C54">
        <w:t>tate and territory legislation governing public sector employees includes principles and values</w:t>
      </w:r>
      <w:r w:rsidR="00BC6AC5">
        <w:t>,</w:t>
      </w:r>
      <w:r w:rsidR="00CE4C54">
        <w:rPr>
          <w:rStyle w:val="FootnoteReference"/>
        </w:rPr>
        <w:footnoteReference w:id="208"/>
      </w:r>
      <w:r w:rsidR="00CE4C54">
        <w:t xml:space="preserve"> although these principles and values </w:t>
      </w:r>
      <w:r w:rsidR="007536DF">
        <w:t xml:space="preserve">tend not to </w:t>
      </w:r>
      <w:r w:rsidR="00A77A5B">
        <w:t>extend</w:t>
      </w:r>
      <w:r w:rsidR="00CE4C54">
        <w:t xml:space="preserve"> </w:t>
      </w:r>
      <w:r w:rsidR="001E7C46">
        <w:t xml:space="preserve">to </w:t>
      </w:r>
      <w:r w:rsidR="00CE4C54">
        <w:t>MoP(S) Act employee</w:t>
      </w:r>
      <w:r w:rsidR="007536DF">
        <w:t xml:space="preserve"> equivalents</w:t>
      </w:r>
      <w:r w:rsidR="00CE4C54">
        <w:t>.</w:t>
      </w:r>
      <w:r w:rsidR="00CE4C54">
        <w:rPr>
          <w:rStyle w:val="FootnoteReference"/>
        </w:rPr>
        <w:footnoteReference w:id="209"/>
      </w:r>
      <w:r w:rsidR="00CE4C54">
        <w:t xml:space="preserve"> </w:t>
      </w:r>
    </w:p>
    <w:p w14:paraId="7DC4D3B6" w14:textId="5EC79151" w:rsidR="00030FF1" w:rsidRDefault="0011602A" w:rsidP="00030FF1">
      <w:r>
        <w:t>T</w:t>
      </w:r>
      <w:r w:rsidR="00030FF1" w:rsidRPr="00341C66">
        <w:t xml:space="preserve">he APS and Parliamentary Service </w:t>
      </w:r>
      <w:r w:rsidR="00772FC8">
        <w:t xml:space="preserve">set out </w:t>
      </w:r>
      <w:r w:rsidR="00030FF1" w:rsidRPr="00341C66">
        <w:t xml:space="preserve">their values, employment principles and a </w:t>
      </w:r>
      <w:r w:rsidR="007536DF">
        <w:t>c</w:t>
      </w:r>
      <w:r w:rsidR="00030FF1" w:rsidRPr="00341C66">
        <w:t xml:space="preserve">ode of </w:t>
      </w:r>
      <w:r w:rsidR="007536DF">
        <w:t>c</w:t>
      </w:r>
      <w:r w:rsidR="00030FF1" w:rsidRPr="00341C66">
        <w:t>onduct in legislation.</w:t>
      </w:r>
      <w:r w:rsidR="00030FF1" w:rsidRPr="00341C66">
        <w:rPr>
          <w:rStyle w:val="FootnoteReference"/>
        </w:rPr>
        <w:footnoteReference w:id="210"/>
      </w:r>
      <w:r w:rsidR="00030FF1" w:rsidRPr="00341C66">
        <w:t xml:space="preserve"> Each of these elements has a different purpose, although they are to some extent mutually re</w:t>
      </w:r>
      <w:r w:rsidR="00772FC8">
        <w:t>i</w:t>
      </w:r>
      <w:r w:rsidR="00030FF1" w:rsidRPr="00341C66">
        <w:t xml:space="preserve">nforcing. The employment principles articulate the desired workplace culture and what it should be like to work in the APS or Parliamentary Service. </w:t>
      </w:r>
      <w:r w:rsidR="00772FC8">
        <w:t>These</w:t>
      </w:r>
      <w:r w:rsidR="00030FF1" w:rsidRPr="00341C66">
        <w:t xml:space="preserve"> employment principles shape the organisational culture of the APS</w:t>
      </w:r>
      <w:r w:rsidR="00030FF1" w:rsidRPr="00341C66">
        <w:rPr>
          <w:rStyle w:val="FootnoteReference"/>
        </w:rPr>
        <w:footnoteReference w:id="211"/>
      </w:r>
      <w:r w:rsidR="00030FF1" w:rsidRPr="00341C66">
        <w:t xml:space="preserve"> and Parliamentary Service. </w:t>
      </w:r>
      <w:r w:rsidR="00953741">
        <w:t>The</w:t>
      </w:r>
      <w:r w:rsidR="00030FF1" w:rsidRPr="00341C66">
        <w:t xml:space="preserve"> values and codes of conduct </w:t>
      </w:r>
      <w:r w:rsidR="00772FC8">
        <w:t>guide the behaviour of individuals</w:t>
      </w:r>
      <w:r w:rsidR="006B6DBB">
        <w:t xml:space="preserve"> –</w:t>
      </w:r>
      <w:r w:rsidR="00030FF1" w:rsidRPr="00341C66">
        <w:t xml:space="preserve"> </w:t>
      </w:r>
      <w:r w:rsidR="006B6DBB">
        <w:t>the APS and Parliamentary Service V</w:t>
      </w:r>
      <w:r w:rsidR="00030FF1" w:rsidRPr="00341C66">
        <w:t xml:space="preserve">alues </w:t>
      </w:r>
      <w:r w:rsidR="006B6DBB">
        <w:t>outline</w:t>
      </w:r>
      <w:r w:rsidR="00030FF1" w:rsidRPr="00341C66">
        <w:t xml:space="preserve"> parliament’s expectations of public servants in terms of performance and standards of behaviour</w:t>
      </w:r>
      <w:r w:rsidR="006B6DBB">
        <w:t>,</w:t>
      </w:r>
      <w:r w:rsidR="00030FF1" w:rsidRPr="00341C66">
        <w:rPr>
          <w:rStyle w:val="FootnoteReference"/>
        </w:rPr>
        <w:footnoteReference w:id="212"/>
      </w:r>
      <w:r w:rsidR="00030FF1" w:rsidRPr="00341C66">
        <w:t xml:space="preserve"> </w:t>
      </w:r>
      <w:r w:rsidR="006B6DBB">
        <w:t>whereas t</w:t>
      </w:r>
      <w:r w:rsidR="00030FF1" w:rsidRPr="00341C66">
        <w:t xml:space="preserve">he </w:t>
      </w:r>
      <w:r w:rsidR="00C3298B">
        <w:t>c</w:t>
      </w:r>
      <w:r w:rsidR="00F23879">
        <w:t xml:space="preserve">ode of </w:t>
      </w:r>
      <w:r w:rsidR="00C3298B">
        <w:t>c</w:t>
      </w:r>
      <w:r w:rsidR="00F23879">
        <w:t>onduct</w:t>
      </w:r>
      <w:r w:rsidR="00030FF1" w:rsidRPr="00341C66">
        <w:t xml:space="preserve"> regulates the behaviour of employees. </w:t>
      </w:r>
    </w:p>
    <w:p w14:paraId="02FAF7D0" w14:textId="4B87E52A" w:rsidR="00CE4C54" w:rsidRDefault="00CE4C54" w:rsidP="00CE4C54">
      <w:r>
        <w:t xml:space="preserve">The </w:t>
      </w:r>
      <w:r w:rsidR="0011602A">
        <w:t xml:space="preserve">APS and Parliamentary Service </w:t>
      </w:r>
      <w:r w:rsidR="007536DF">
        <w:t xml:space="preserve">employment principles </w:t>
      </w:r>
      <w:r w:rsidR="00E667B9">
        <w:t>state that the APS/Parliamentary Service is a career-based service that</w:t>
      </w:r>
      <w:r w:rsidR="007536DF">
        <w:t>:</w:t>
      </w:r>
    </w:p>
    <w:p w14:paraId="7101A26D" w14:textId="77777777" w:rsidR="00CE4C54" w:rsidRPr="00806019" w:rsidRDefault="00CE4C54" w:rsidP="00206869">
      <w:pPr>
        <w:pStyle w:val="BulletedList-Level1"/>
      </w:pPr>
      <w:r w:rsidRPr="00806019">
        <w:t>makes fair employment decisions with a fair system of review</w:t>
      </w:r>
    </w:p>
    <w:p w14:paraId="66C134D2" w14:textId="77777777" w:rsidR="00CE4C54" w:rsidRPr="00806019" w:rsidRDefault="00CE4C54" w:rsidP="00206869">
      <w:pPr>
        <w:pStyle w:val="BulletedList-Level1"/>
      </w:pPr>
      <w:r w:rsidRPr="00806019">
        <w:t xml:space="preserve">recognises that the usual basis for engagement is as an ongoing </w:t>
      </w:r>
      <w:r w:rsidR="00FD1952">
        <w:t>(</w:t>
      </w:r>
      <w:r w:rsidRPr="00806019">
        <w:t xml:space="preserve">APS </w:t>
      </w:r>
      <w:r w:rsidR="00FD1952">
        <w:t>or Parliamentary Service)</w:t>
      </w:r>
      <w:r w:rsidRPr="00806019">
        <w:t xml:space="preserve"> employee</w:t>
      </w:r>
    </w:p>
    <w:p w14:paraId="1D144B8F" w14:textId="20374D82" w:rsidR="00CE4C54" w:rsidRPr="00806019" w:rsidRDefault="00CE4C54" w:rsidP="00206869">
      <w:pPr>
        <w:pStyle w:val="BulletedList-Level1"/>
      </w:pPr>
      <w:r w:rsidRPr="00806019">
        <w:t>makes decisions relating to engagement and promotion that are based on merit</w:t>
      </w:r>
    </w:p>
    <w:p w14:paraId="2EA37CAD" w14:textId="5BD4A312" w:rsidR="00CE4C54" w:rsidRPr="00806019" w:rsidRDefault="00CE4C54" w:rsidP="00206869">
      <w:pPr>
        <w:pStyle w:val="BulletedList-Level1"/>
      </w:pPr>
      <w:r w:rsidRPr="00806019">
        <w:t>requires effective performance from each employee</w:t>
      </w:r>
    </w:p>
    <w:p w14:paraId="50F2B683" w14:textId="77777777" w:rsidR="00CE4C54" w:rsidRPr="00806019" w:rsidRDefault="00CE4C54" w:rsidP="00206869">
      <w:pPr>
        <w:pStyle w:val="BulletedList-Level1"/>
      </w:pPr>
      <w:r w:rsidRPr="00806019">
        <w:t>provides flexible, safe and rewarding workplaces where communication, consultation, cooperation and input from employees on matters that affect their workplaces are valued</w:t>
      </w:r>
    </w:p>
    <w:p w14:paraId="0A50AC3D" w14:textId="1A14B1C1" w:rsidR="00CE4C54" w:rsidRPr="00806019" w:rsidRDefault="00CE4C54" w:rsidP="00206869">
      <w:pPr>
        <w:pStyle w:val="BulletedList-Level1"/>
      </w:pPr>
      <w:r w:rsidRPr="00806019">
        <w:t>provides workplaces that are free from discrimination, patronage and favouritism</w:t>
      </w:r>
    </w:p>
    <w:p w14:paraId="53EC622C" w14:textId="77777777" w:rsidR="00341C66" w:rsidRPr="009A6982" w:rsidRDefault="00CE4C54" w:rsidP="00206869">
      <w:pPr>
        <w:pStyle w:val="BulletedList-Level1"/>
      </w:pPr>
      <w:r w:rsidRPr="00806019">
        <w:t>recognises the diversity of the Australian community and fosters diversity in the workplace.</w:t>
      </w:r>
      <w:r>
        <w:rPr>
          <w:rStyle w:val="FootnoteReference"/>
        </w:rPr>
        <w:footnoteReference w:id="213"/>
      </w:r>
    </w:p>
    <w:p w14:paraId="233A8744" w14:textId="77777777" w:rsidR="00B47281" w:rsidRPr="009A6982" w:rsidRDefault="00B47281" w:rsidP="00B47281"/>
    <w:p w14:paraId="2E7F0CCD" w14:textId="77777777" w:rsidR="00A601F9" w:rsidRDefault="00854F23" w:rsidP="00051BDA">
      <w:pPr>
        <w:pStyle w:val="Heading3"/>
      </w:pPr>
      <w:r>
        <w:t>5</w:t>
      </w:r>
      <w:r w:rsidR="00A601F9">
        <w:t>.</w:t>
      </w:r>
      <w:r>
        <w:t>2</w:t>
      </w:r>
      <w:r w:rsidR="00A601F9">
        <w:t xml:space="preserve">.2 Options for improvement </w:t>
      </w:r>
    </w:p>
    <w:p w14:paraId="5B1ACDA4" w14:textId="77777777" w:rsidR="00A601F9" w:rsidRPr="00A601F9" w:rsidRDefault="00A601F9" w:rsidP="001F0A87">
      <w:pPr>
        <w:pStyle w:val="Heading4"/>
      </w:pPr>
      <w:r w:rsidRPr="00A601F9">
        <w:t>Inclusion of employment principles in the MoP(S) Act</w:t>
      </w:r>
    </w:p>
    <w:p w14:paraId="2E4FFD1F" w14:textId="77777777" w:rsidR="00A601F9" w:rsidRDefault="00142173" w:rsidP="00A601F9">
      <w:r w:rsidRPr="00341C66">
        <w:rPr>
          <w:i/>
        </w:rPr>
        <w:t>Set the Standard</w:t>
      </w:r>
      <w:r w:rsidR="00494534" w:rsidRPr="00341C66">
        <w:t xml:space="preserve"> envisage</w:t>
      </w:r>
      <w:r w:rsidR="00F104FF">
        <w:t>s</w:t>
      </w:r>
      <w:r w:rsidR="00494534" w:rsidRPr="00341C66">
        <w:t xml:space="preserve"> a role for the OPSC in developing employment principles, with a view to improving quality, transparency and diversity in recruitment across all political parties.</w:t>
      </w:r>
      <w:r w:rsidR="00494534" w:rsidRPr="00341C66">
        <w:rPr>
          <w:rStyle w:val="FootnoteReference"/>
        </w:rPr>
        <w:footnoteReference w:id="214"/>
      </w:r>
      <w:r w:rsidR="00494534" w:rsidRPr="00341C66">
        <w:t xml:space="preserve"> See </w:t>
      </w:r>
      <w:r w:rsidR="00141813">
        <w:t>S</w:t>
      </w:r>
      <w:r w:rsidR="00141813" w:rsidRPr="00341C66">
        <w:t xml:space="preserve">ection </w:t>
      </w:r>
      <w:r w:rsidR="00494534" w:rsidRPr="00DE117B">
        <w:t>4.3</w:t>
      </w:r>
      <w:r w:rsidR="00494534" w:rsidRPr="00341C66">
        <w:t xml:space="preserve"> and </w:t>
      </w:r>
      <w:r w:rsidR="00020D6B">
        <w:t>R</w:t>
      </w:r>
      <w:r w:rsidR="00020D6B" w:rsidRPr="00341C66">
        <w:t xml:space="preserve">ecommendation </w:t>
      </w:r>
      <w:r w:rsidR="00D475CE" w:rsidRPr="00DE117B">
        <w:t>7</w:t>
      </w:r>
      <w:r w:rsidR="00494534" w:rsidRPr="00341C66">
        <w:t xml:space="preserve"> for a discussion about recruitment.</w:t>
      </w:r>
    </w:p>
    <w:p w14:paraId="7E2FBEBF" w14:textId="03BF4A74" w:rsidR="00DE117B" w:rsidRDefault="00EE4B2A" w:rsidP="0011602A">
      <w:r w:rsidRPr="00341C66">
        <w:t>Incorporating</w:t>
      </w:r>
      <w:r w:rsidR="00A601F9" w:rsidRPr="00341C66">
        <w:t xml:space="preserve"> employment principles </w:t>
      </w:r>
      <w:r w:rsidRPr="00341C66">
        <w:t xml:space="preserve">in the MoP(S) Act will assist in modernising and professionalising the MoP(S) </w:t>
      </w:r>
      <w:r w:rsidR="00FE0DAD">
        <w:t>Act framework</w:t>
      </w:r>
      <w:r w:rsidRPr="00341C66">
        <w:t xml:space="preserve"> and will support an</w:t>
      </w:r>
      <w:r w:rsidR="002745E5" w:rsidRPr="00341C66">
        <w:t xml:space="preserve"> accountable workplace culture. </w:t>
      </w:r>
      <w:r w:rsidR="00502C2B">
        <w:t xml:space="preserve">Legislating the employment principles – as opposed to </w:t>
      </w:r>
      <w:r w:rsidR="00B12BE5">
        <w:t>recording</w:t>
      </w:r>
      <w:r w:rsidR="00502C2B">
        <w:t xml:space="preserve"> them in policy documents – provides greater certainty and clarity to parliamentarians, MoP(S) Act employees and the </w:t>
      </w:r>
      <w:r w:rsidR="00B12BE5">
        <w:t xml:space="preserve">broader </w:t>
      </w:r>
      <w:r w:rsidR="00502C2B">
        <w:t>Australian public</w:t>
      </w:r>
      <w:r w:rsidR="006F4FF7">
        <w:t xml:space="preserve"> about </w:t>
      </w:r>
      <w:r w:rsidR="00B12BE5">
        <w:t>the kind</w:t>
      </w:r>
      <w:r w:rsidR="006F4FF7">
        <w:t xml:space="preserve"> of work environment the MoP(S) Act framework </w:t>
      </w:r>
      <w:r w:rsidR="00B12BE5">
        <w:t>support</w:t>
      </w:r>
      <w:r w:rsidR="006F4FF7">
        <w:t>s</w:t>
      </w:r>
      <w:r w:rsidR="00502C2B">
        <w:t xml:space="preserve">. </w:t>
      </w:r>
    </w:p>
    <w:p w14:paraId="4DAE615B" w14:textId="2B872890" w:rsidR="0011602A" w:rsidRPr="009A6982" w:rsidRDefault="00AA3B05" w:rsidP="0011602A">
      <w:r w:rsidRPr="00341C66" w:rsidDel="00142173">
        <w:rPr>
          <w:i/>
        </w:rPr>
        <w:t>Set</w:t>
      </w:r>
      <w:r w:rsidR="00142173" w:rsidRPr="00341C66">
        <w:rPr>
          <w:i/>
        </w:rPr>
        <w:t xml:space="preserve"> the Standard</w:t>
      </w:r>
      <w:r w:rsidR="008D7E0A" w:rsidRPr="00341C66">
        <w:t xml:space="preserve"> </w:t>
      </w:r>
      <w:r w:rsidR="00C55BFB">
        <w:t xml:space="preserve">referred to </w:t>
      </w:r>
      <w:r w:rsidR="008D7E0A" w:rsidRPr="00341C66">
        <w:t>employment principles</w:t>
      </w:r>
      <w:r w:rsidR="00C55BFB">
        <w:t xml:space="preserve"> in the context of recruitment, and the Review </w:t>
      </w:r>
      <w:r w:rsidR="00B46506">
        <w:t xml:space="preserve">proposes to </w:t>
      </w:r>
      <w:r w:rsidR="00BB7F47">
        <w:t>require parliamentarians</w:t>
      </w:r>
      <w:r w:rsidR="00C55BFB">
        <w:t xml:space="preserve"> to </w:t>
      </w:r>
      <w:r w:rsidR="00BB7F47">
        <w:t xml:space="preserve">recruit staff </w:t>
      </w:r>
      <w:r w:rsidR="00DE117B">
        <w:t xml:space="preserve">by undertaking an assessment of a candidate’s capacity to successfully perform the prescribed role </w:t>
      </w:r>
      <w:r w:rsidR="00B46506">
        <w:t>(</w:t>
      </w:r>
      <w:r w:rsidR="00C55BFB">
        <w:t xml:space="preserve">discussed at </w:t>
      </w:r>
      <w:r w:rsidR="00DE117B">
        <w:t>4.3</w:t>
      </w:r>
      <w:r w:rsidR="00B46506">
        <w:t>)</w:t>
      </w:r>
      <w:r w:rsidR="00457AD9">
        <w:t xml:space="preserve"> and to fostering diversity</w:t>
      </w:r>
      <w:r w:rsidR="00B46506" w:rsidRPr="00B46506">
        <w:t xml:space="preserve"> </w:t>
      </w:r>
      <w:r w:rsidR="00B46506">
        <w:t xml:space="preserve">in the </w:t>
      </w:r>
      <w:r w:rsidR="00C55BFB">
        <w:t xml:space="preserve">employment principles. However, the proposed employment principles </w:t>
      </w:r>
      <w:r w:rsidR="00457AD9">
        <w:t>would</w:t>
      </w:r>
      <w:r w:rsidR="008D7E0A" w:rsidRPr="00341C66">
        <w:t xml:space="preserve"> </w:t>
      </w:r>
      <w:r w:rsidR="00494534" w:rsidRPr="00341C66">
        <w:t xml:space="preserve">also extend to </w:t>
      </w:r>
      <w:r w:rsidR="00457AD9">
        <w:t>other elements of organisational culture.</w:t>
      </w:r>
      <w:r w:rsidR="0040639D" w:rsidRPr="00341C66">
        <w:t xml:space="preserve"> </w:t>
      </w:r>
      <w:r w:rsidR="0011602A">
        <w:t>Consideration</w:t>
      </w:r>
      <w:r w:rsidR="00161D02">
        <w:t xml:space="preserve"> must be given</w:t>
      </w:r>
      <w:r w:rsidR="0011602A">
        <w:t xml:space="preserve"> to the unique work environment of Commonwealth parliamentary workplaces when developing </w:t>
      </w:r>
      <w:r w:rsidR="00816B35">
        <w:t>its</w:t>
      </w:r>
      <w:r w:rsidR="0011602A">
        <w:t xml:space="preserve"> employment principles.</w:t>
      </w:r>
    </w:p>
    <w:p w14:paraId="35D9CAC2" w14:textId="7C953C93" w:rsidR="00A601F9" w:rsidRDefault="0040639D" w:rsidP="00A601F9">
      <w:r>
        <w:t>Employment principles</w:t>
      </w:r>
      <w:r w:rsidR="00A601F9">
        <w:t xml:space="preserve"> are an opportunity to codify, in legislation, the spirit and intention of the recommendations of </w:t>
      </w:r>
      <w:r w:rsidR="00142173" w:rsidRPr="00142173">
        <w:rPr>
          <w:i/>
        </w:rPr>
        <w:t>Set the Standard</w:t>
      </w:r>
      <w:r w:rsidR="005F5D45">
        <w:t xml:space="preserve"> and </w:t>
      </w:r>
      <w:r w:rsidR="00C024A2">
        <w:t xml:space="preserve">act as </w:t>
      </w:r>
      <w:r w:rsidR="005F5D45">
        <w:t xml:space="preserve">a legislative </w:t>
      </w:r>
      <w:r w:rsidR="00B46506">
        <w:t>basis</w:t>
      </w:r>
      <w:r w:rsidR="00C024A2">
        <w:t xml:space="preserve"> and guidepost</w:t>
      </w:r>
      <w:r w:rsidR="00B46506">
        <w:t xml:space="preserve"> for </w:t>
      </w:r>
      <w:r w:rsidR="00A13F61">
        <w:t>policies and guidance</w:t>
      </w:r>
      <w:r w:rsidR="00B46506">
        <w:t xml:space="preserve"> produced under the MoP(S) framework (</w:t>
      </w:r>
      <w:r w:rsidR="00C024A2">
        <w:t xml:space="preserve">for </w:t>
      </w:r>
      <w:r w:rsidR="00A601F9">
        <w:t xml:space="preserve">example, </w:t>
      </w:r>
      <w:r w:rsidR="00C024A2">
        <w:t>by the OPSC</w:t>
      </w:r>
      <w:r w:rsidR="00B46506">
        <w:t>).</w:t>
      </w:r>
      <w:r w:rsidR="00C024A2">
        <w:t xml:space="preserve"> The principles could state</w:t>
      </w:r>
      <w:r w:rsidR="00242EC0">
        <w:t>, for example,</w:t>
      </w:r>
      <w:r w:rsidR="00C024A2">
        <w:t xml:space="preserve"> that the Commonwealth parliamentary workplace</w:t>
      </w:r>
      <w:r w:rsidR="00A601F9">
        <w:t>:</w:t>
      </w:r>
    </w:p>
    <w:p w14:paraId="7F444120" w14:textId="77777777" w:rsidR="00A601F9" w:rsidRDefault="00F104FF" w:rsidP="00854F23">
      <w:pPr>
        <w:pStyle w:val="BulletedList-Level1"/>
      </w:pPr>
      <w:r>
        <w:t>i</w:t>
      </w:r>
      <w:r w:rsidR="00A601F9">
        <w:t>s safe and</w:t>
      </w:r>
      <w:r w:rsidR="00A601F9" w:rsidRPr="00F52EE3">
        <w:t xml:space="preserve"> free of all forms of bullying and harassment (</w:t>
      </w:r>
      <w:r w:rsidR="00AA3B05" w:rsidRPr="00AA3B05" w:rsidDel="00142173">
        <w:rPr>
          <w:i/>
        </w:rPr>
        <w:t>Set the Standard</w:t>
      </w:r>
      <w:r w:rsidR="008E2C41" w:rsidRPr="00F52EE3">
        <w:t xml:space="preserve"> </w:t>
      </w:r>
      <w:r w:rsidR="00A601F9" w:rsidRPr="00F52EE3">
        <w:t>Recommendations 4, 12, 25, 26, and 28)</w:t>
      </w:r>
    </w:p>
    <w:p w14:paraId="788361DB" w14:textId="77777777" w:rsidR="00A601F9" w:rsidRPr="00F52EE3" w:rsidRDefault="00A601F9" w:rsidP="00854F23">
      <w:pPr>
        <w:pStyle w:val="BulletedList-Level1"/>
      </w:pPr>
      <w:r>
        <w:t>is</w:t>
      </w:r>
      <w:r w:rsidRPr="00F52EE3">
        <w:t xml:space="preserve"> free of discrimination (</w:t>
      </w:r>
      <w:r w:rsidR="00AA3B05" w:rsidRPr="00AA3B05" w:rsidDel="00142173">
        <w:rPr>
          <w:i/>
        </w:rPr>
        <w:t>Set the Standard</w:t>
      </w:r>
      <w:r w:rsidR="008E2C41" w:rsidRPr="00F52EE3">
        <w:t xml:space="preserve"> </w:t>
      </w:r>
      <w:r w:rsidRPr="00F52EE3">
        <w:t>Recommendations 9, 17 and 24</w:t>
      </w:r>
      <w:r w:rsidR="005F5D45">
        <w:t>)</w:t>
      </w:r>
    </w:p>
    <w:p w14:paraId="634E0ADD" w14:textId="77777777" w:rsidR="00A601F9" w:rsidRPr="00F52EE3" w:rsidRDefault="00A601F9" w:rsidP="00854F23">
      <w:pPr>
        <w:pStyle w:val="BulletedList-Level1"/>
      </w:pPr>
      <w:r>
        <w:t>f</w:t>
      </w:r>
      <w:r w:rsidRPr="00F52EE3">
        <w:t>osters diversity in the workplace (</w:t>
      </w:r>
      <w:r w:rsidR="00AA3B05" w:rsidRPr="00AA3B05" w:rsidDel="00142173">
        <w:rPr>
          <w:i/>
        </w:rPr>
        <w:t>Set the Standard</w:t>
      </w:r>
      <w:r w:rsidRPr="00F52EE3">
        <w:t xml:space="preserve"> Recommendation 6</w:t>
      </w:r>
      <w:r w:rsidR="005F5D45">
        <w:t>)</w:t>
      </w:r>
    </w:p>
    <w:p w14:paraId="4403A750" w14:textId="7B2BDEFF" w:rsidR="00A601F9" w:rsidRPr="00F52EE3" w:rsidRDefault="00B021BA" w:rsidP="00854F23">
      <w:pPr>
        <w:pStyle w:val="BulletedList-Level1"/>
      </w:pPr>
      <w:r>
        <w:t>makes</w:t>
      </w:r>
      <w:r w:rsidR="00A601F9" w:rsidRPr="00F52EE3">
        <w:t xml:space="preserve"> recruitment decisions </w:t>
      </w:r>
      <w:r w:rsidR="005760FC">
        <w:t>based on capability</w:t>
      </w:r>
      <w:r w:rsidR="00A601F9" w:rsidRPr="00F52EE3">
        <w:t xml:space="preserve"> (</w:t>
      </w:r>
      <w:r w:rsidR="00AA3B05" w:rsidRPr="00AA3B05" w:rsidDel="00142173">
        <w:rPr>
          <w:i/>
        </w:rPr>
        <w:t>Set the Standard</w:t>
      </w:r>
      <w:r w:rsidR="00A601F9" w:rsidRPr="00F52EE3">
        <w:t xml:space="preserve"> Recommendation 12</w:t>
      </w:r>
      <w:r w:rsidR="005F5D45">
        <w:t>)</w:t>
      </w:r>
    </w:p>
    <w:p w14:paraId="5B367889" w14:textId="77777777" w:rsidR="00A601F9" w:rsidRPr="00F52EE3" w:rsidRDefault="00A601F9" w:rsidP="00854F23">
      <w:pPr>
        <w:pStyle w:val="BulletedList-Level1"/>
      </w:pPr>
      <w:r>
        <w:t>r</w:t>
      </w:r>
      <w:r w:rsidRPr="00F52EE3">
        <w:t>equires effective performance from each employee against expectations defined by their employer (</w:t>
      </w:r>
      <w:r w:rsidR="00AA3B05" w:rsidRPr="00AA3B05" w:rsidDel="00142173">
        <w:rPr>
          <w:i/>
        </w:rPr>
        <w:t>Set the Standard</w:t>
      </w:r>
      <w:r w:rsidRPr="00F52EE3">
        <w:t xml:space="preserve"> Recommendation 12</w:t>
      </w:r>
      <w:r w:rsidR="006B3116">
        <w:t>)</w:t>
      </w:r>
    </w:p>
    <w:p w14:paraId="53BAFCC1" w14:textId="77777777" w:rsidR="00A601F9" w:rsidRPr="00F52EE3" w:rsidRDefault="006304D3" w:rsidP="00854F23">
      <w:pPr>
        <w:pStyle w:val="BulletedList-Level1"/>
      </w:pPr>
      <w:r>
        <w:t>s</w:t>
      </w:r>
      <w:r w:rsidR="00A601F9" w:rsidRPr="00F52EE3">
        <w:t xml:space="preserve">upports the professional development of </w:t>
      </w:r>
      <w:r w:rsidR="00C8687A">
        <w:t>senior MoP(S) Act employees and managerial responsibilities</w:t>
      </w:r>
      <w:r w:rsidR="00A601F9" w:rsidRPr="00F52EE3">
        <w:t xml:space="preserve"> (</w:t>
      </w:r>
      <w:r w:rsidR="00AA3B05" w:rsidRPr="00AA3B05" w:rsidDel="00142173">
        <w:rPr>
          <w:i/>
        </w:rPr>
        <w:t>Set the Standard</w:t>
      </w:r>
      <w:r w:rsidR="00A601F9" w:rsidRPr="00F52EE3">
        <w:t xml:space="preserve"> Recommendations 4 and 14</w:t>
      </w:r>
      <w:r w:rsidR="005F5D45">
        <w:t>)</w:t>
      </w:r>
    </w:p>
    <w:p w14:paraId="477F61E9" w14:textId="7E4F9BCB" w:rsidR="00A601F9" w:rsidRPr="00F52EE3" w:rsidRDefault="006304D3" w:rsidP="00854F23">
      <w:pPr>
        <w:pStyle w:val="BulletedList-Level1"/>
      </w:pPr>
      <w:r>
        <w:t>s</w:t>
      </w:r>
      <w:r w:rsidR="00A601F9" w:rsidRPr="00F52EE3">
        <w:t>upports the training, professionali</w:t>
      </w:r>
      <w:r w:rsidR="001302DE">
        <w:t>s</w:t>
      </w:r>
      <w:r w:rsidR="00A601F9" w:rsidRPr="00F52EE3">
        <w:t xml:space="preserve">ation and career development of all </w:t>
      </w:r>
      <w:r w:rsidR="002751A5">
        <w:t>employees</w:t>
      </w:r>
      <w:r w:rsidR="00A601F9" w:rsidRPr="00F52EE3">
        <w:t xml:space="preserve"> (</w:t>
      </w:r>
      <w:r w:rsidR="00AA3B05" w:rsidRPr="00AA3B05" w:rsidDel="00142173">
        <w:rPr>
          <w:i/>
        </w:rPr>
        <w:t>Set the Standard</w:t>
      </w:r>
      <w:r w:rsidR="00A601F9" w:rsidRPr="00F52EE3">
        <w:t xml:space="preserve"> Recommendations 13 and 14</w:t>
      </w:r>
      <w:r w:rsidR="005F5D45">
        <w:t>)</w:t>
      </w:r>
    </w:p>
    <w:p w14:paraId="7CDC13C3" w14:textId="56936E5E" w:rsidR="00A601F9" w:rsidRPr="00F52EE3" w:rsidRDefault="00C024A2" w:rsidP="00854F23">
      <w:pPr>
        <w:pStyle w:val="BulletedList-Level1"/>
      </w:pPr>
      <w:r>
        <w:t>consults with</w:t>
      </w:r>
      <w:r w:rsidR="00A601F9" w:rsidRPr="00F52EE3">
        <w:t xml:space="preserve"> employees </w:t>
      </w:r>
      <w:r>
        <w:t xml:space="preserve">about </w:t>
      </w:r>
      <w:r w:rsidR="00A601F9" w:rsidRPr="00F52EE3">
        <w:t>matters that affect their workplace.</w:t>
      </w:r>
    </w:p>
    <w:p w14:paraId="21EF242A" w14:textId="02D22B1F" w:rsidR="005F5D45" w:rsidRDefault="005F5D45" w:rsidP="005F5D45">
      <w:r>
        <w:t>We note that, whil</w:t>
      </w:r>
      <w:r w:rsidR="00A13F61">
        <w:t>e</w:t>
      </w:r>
      <w:r>
        <w:t xml:space="preserve"> employment principles and codes of conduct </w:t>
      </w:r>
      <w:r w:rsidR="00A13F61">
        <w:t xml:space="preserve">have different purposes and </w:t>
      </w:r>
      <w:r>
        <w:t xml:space="preserve">can exist side-by-side, they should not </w:t>
      </w:r>
      <w:r w:rsidR="003B68FA">
        <w:t>contain</w:t>
      </w:r>
      <w:r>
        <w:t xml:space="preserve"> conflicting</w:t>
      </w:r>
      <w:r w:rsidR="00D475CE">
        <w:t xml:space="preserve"> </w:t>
      </w:r>
      <w:r w:rsidR="003B68FA">
        <w:t>statements</w:t>
      </w:r>
      <w:r w:rsidR="00A324A5">
        <w:t xml:space="preserve">. </w:t>
      </w:r>
      <w:r w:rsidR="00A13F61">
        <w:t>The Review considers the</w:t>
      </w:r>
      <w:r w:rsidR="00A324A5">
        <w:t xml:space="preserve"> development of the final principles </w:t>
      </w:r>
      <w:r w:rsidR="00A13F61">
        <w:t>should take into account any c</w:t>
      </w:r>
      <w:r w:rsidR="00A324A5">
        <w:t xml:space="preserve">odes of </w:t>
      </w:r>
      <w:r w:rsidR="00A13F61">
        <w:t>c</w:t>
      </w:r>
      <w:r w:rsidR="00A324A5">
        <w:t xml:space="preserve">onduct </w:t>
      </w:r>
      <w:r w:rsidR="00A13F61">
        <w:t>that</w:t>
      </w:r>
      <w:r w:rsidR="00A324A5">
        <w:t xml:space="preserve"> are developed</w:t>
      </w:r>
      <w:r w:rsidR="00AF5FDC">
        <w:t xml:space="preserve"> by the Joint Select Committee on Parliamentary Standards</w:t>
      </w:r>
      <w:r w:rsidR="00A324A5">
        <w:t>.</w:t>
      </w:r>
    </w:p>
    <w:p w14:paraId="6E4B30B4" w14:textId="2C41F06B" w:rsidR="00A601F9" w:rsidRDefault="00A601F9" w:rsidP="00A601F9">
      <w:r>
        <w:t xml:space="preserve">Consultation </w:t>
      </w:r>
      <w:r w:rsidR="00A13F61">
        <w:t>with parliamentarians and MoP(S) Act employees</w:t>
      </w:r>
      <w:r>
        <w:t xml:space="preserve"> can help ensure that the principles are relevant, appropriate and </w:t>
      </w:r>
      <w:r w:rsidR="00242EC0">
        <w:t>meaningful</w:t>
      </w:r>
      <w:r>
        <w:t xml:space="preserve"> to those </w:t>
      </w:r>
      <w:r w:rsidR="001302DE">
        <w:t>to whom they apply</w:t>
      </w:r>
      <w:r>
        <w:t>.</w:t>
      </w:r>
      <w:r w:rsidR="003274DC">
        <w:t xml:space="preserve"> The OPSC</w:t>
      </w:r>
      <w:r w:rsidR="006F4FF7">
        <w:t>, as the future HR body for MoP(S) Act employees,</w:t>
      </w:r>
      <w:r w:rsidR="003274DC">
        <w:t xml:space="preserve"> should </w:t>
      </w:r>
      <w:r w:rsidR="006F4FF7">
        <w:t>lead</w:t>
      </w:r>
      <w:r w:rsidR="003274DC">
        <w:t xml:space="preserve"> the development and implementation of the employment principles.</w:t>
      </w:r>
    </w:p>
    <w:p w14:paraId="5598543D" w14:textId="286A5520" w:rsidR="007536DF" w:rsidRPr="00341C66" w:rsidRDefault="00A13F61" w:rsidP="007536DF">
      <w:r>
        <w:t>The Review</w:t>
      </w:r>
      <w:r w:rsidR="007536DF" w:rsidRPr="00341C66">
        <w:t xml:space="preserve"> acknowledge</w:t>
      </w:r>
      <w:r>
        <w:t>s</w:t>
      </w:r>
      <w:r w:rsidR="007536DF">
        <w:t xml:space="preserve"> </w:t>
      </w:r>
      <w:r w:rsidR="007536DF" w:rsidRPr="00341C66">
        <w:t xml:space="preserve">the APS and Parliamentary Service frameworks include </w:t>
      </w:r>
      <w:r w:rsidR="007536DF">
        <w:t>both values and principles, and</w:t>
      </w:r>
      <w:r w:rsidR="007536DF" w:rsidRPr="00341C66">
        <w:t xml:space="preserve"> there were submissions to this </w:t>
      </w:r>
      <w:r w:rsidR="007536DF">
        <w:t>R</w:t>
      </w:r>
      <w:r w:rsidR="007536DF" w:rsidRPr="00341C66">
        <w:t xml:space="preserve">eview that both should be included in the MoP(S) Act. However </w:t>
      </w:r>
      <w:r w:rsidR="007536DF">
        <w:t>the Review is not making any recommendations about values. We consider</w:t>
      </w:r>
      <w:r w:rsidR="007536DF" w:rsidRPr="00341C66">
        <w:t xml:space="preserve"> values are</w:t>
      </w:r>
      <w:r w:rsidR="007536DF">
        <w:t xml:space="preserve"> closely related to conduct</w:t>
      </w:r>
      <w:r w:rsidR="007536DF" w:rsidRPr="00341C66">
        <w:t xml:space="preserve"> – as opposed to a statement about what employees can expect </w:t>
      </w:r>
      <w:r w:rsidR="007536DF">
        <w:t xml:space="preserve">from their workplace – and </w:t>
      </w:r>
      <w:r w:rsidR="00C11BF2">
        <w:t xml:space="preserve">are therefore </w:t>
      </w:r>
      <w:r w:rsidR="007536DF" w:rsidRPr="00341C66">
        <w:t xml:space="preserve">best considered </w:t>
      </w:r>
      <w:r w:rsidR="007536DF">
        <w:t>alongside any</w:t>
      </w:r>
      <w:r w:rsidR="007536DF" w:rsidRPr="00341C66">
        <w:t xml:space="preserve"> codes of conduct </w:t>
      </w:r>
      <w:r w:rsidR="007536DF">
        <w:t xml:space="preserve">developed </w:t>
      </w:r>
      <w:r w:rsidR="007536DF" w:rsidRPr="00341C66">
        <w:t>for Commonwealth parliamentary workplaces.</w:t>
      </w:r>
    </w:p>
    <w:p w14:paraId="4FE482E6" w14:textId="77777777" w:rsidR="00854F23" w:rsidRDefault="00854F23" w:rsidP="00A601F9"/>
    <w:p w14:paraId="0C7E8A20" w14:textId="729C3708" w:rsidR="00A601F9" w:rsidRDefault="00854F23" w:rsidP="000136FD">
      <w:pPr>
        <w:pStyle w:val="BOXHeading2"/>
      </w:pPr>
      <w:bookmarkStart w:id="5037" w:name="_Toc114230891"/>
      <w:bookmarkStart w:id="5038" w:name="_Toc114232948"/>
      <w:bookmarkStart w:id="5039" w:name="_Toc114233596"/>
      <w:bookmarkStart w:id="5040" w:name="_Toc114233668"/>
      <w:bookmarkStart w:id="5041" w:name="_Toc114240625"/>
      <w:bookmarkStart w:id="5042" w:name="_Toc114240699"/>
      <w:bookmarkStart w:id="5043" w:name="_Toc114241043"/>
      <w:bookmarkStart w:id="5044" w:name="_Toc114494064"/>
      <w:bookmarkStart w:id="5045" w:name="_Toc114500315"/>
      <w:bookmarkStart w:id="5046" w:name="_Toc114500390"/>
      <w:bookmarkStart w:id="5047" w:name="_Toc114518663"/>
      <w:bookmarkStart w:id="5048" w:name="_Toc114520335"/>
      <w:bookmarkStart w:id="5049" w:name="_Toc114520744"/>
      <w:bookmarkStart w:id="5050" w:name="_Toc114565772"/>
      <w:bookmarkStart w:id="5051" w:name="_Toc114566753"/>
      <w:bookmarkStart w:id="5052" w:name="_Toc114566978"/>
      <w:bookmarkStart w:id="5053" w:name="_Toc114566902"/>
      <w:bookmarkStart w:id="5054" w:name="_Toc114585903"/>
      <w:bookmarkStart w:id="5055" w:name="_Toc114586047"/>
      <w:bookmarkStart w:id="5056" w:name="_Toc114586119"/>
      <w:bookmarkStart w:id="5057" w:name="_Toc114601259"/>
      <w:bookmarkStart w:id="5058" w:name="_Toc114657300"/>
      <w:bookmarkStart w:id="5059" w:name="_Toc114659762"/>
      <w:bookmarkStart w:id="5060" w:name="_Toc114662747"/>
      <w:bookmarkStart w:id="5061" w:name="_Toc114665131"/>
      <w:bookmarkStart w:id="5062" w:name="_Toc114672440"/>
      <w:bookmarkStart w:id="5063" w:name="_Toc114672652"/>
      <w:bookmarkStart w:id="5064" w:name="_Toc114673207"/>
      <w:bookmarkStart w:id="5065" w:name="_Toc114673793"/>
      <w:bookmarkStart w:id="5066" w:name="_Toc114674318"/>
      <w:bookmarkStart w:id="5067" w:name="_Toc114687491"/>
      <w:bookmarkStart w:id="5068" w:name="_Toc114689955"/>
      <w:bookmarkStart w:id="5069" w:name="_Toc114731818"/>
      <w:bookmarkStart w:id="5070" w:name="_Toc114733583"/>
      <w:bookmarkStart w:id="5071" w:name="_Toc114735524"/>
      <w:bookmarkStart w:id="5072" w:name="_Toc114755851"/>
      <w:bookmarkStart w:id="5073" w:name="_Toc114757156"/>
      <w:bookmarkStart w:id="5074" w:name="_Toc114757440"/>
      <w:bookmarkStart w:id="5075" w:name="_Toc114757542"/>
      <w:bookmarkStart w:id="5076" w:name="_Toc114758215"/>
      <w:bookmarkStart w:id="5077" w:name="_Toc114824385"/>
      <w:bookmarkStart w:id="5078" w:name="_Toc114829461"/>
      <w:bookmarkStart w:id="5079" w:name="_Toc114829825"/>
      <w:bookmarkStart w:id="5080" w:name="_Toc114829969"/>
      <w:bookmarkStart w:id="5081" w:name="_Toc115099048"/>
      <w:bookmarkStart w:id="5082" w:name="_Toc115099120"/>
      <w:bookmarkStart w:id="5083" w:name="_Toc115101697"/>
      <w:bookmarkStart w:id="5084" w:name="_Toc115102542"/>
      <w:bookmarkStart w:id="5085" w:name="_Toc115105515"/>
      <w:bookmarkStart w:id="5086" w:name="_Toc115110376"/>
      <w:bookmarkStart w:id="5087" w:name="_Toc115110503"/>
      <w:bookmarkStart w:id="5088" w:name="_Toc115121621"/>
      <w:bookmarkStart w:id="5089" w:name="_Toc115121991"/>
      <w:bookmarkStart w:id="5090" w:name="_Toc115123471"/>
      <w:bookmarkStart w:id="5091" w:name="_Toc115123719"/>
      <w:bookmarkStart w:id="5092" w:name="_Toc115126851"/>
      <w:bookmarkStart w:id="5093" w:name="_Toc115185487"/>
      <w:bookmarkStart w:id="5094" w:name="_Toc115186114"/>
      <w:bookmarkStart w:id="5095" w:name="_Toc115189272"/>
      <w:bookmarkStart w:id="5096" w:name="_Toc115194245"/>
      <w:bookmarkStart w:id="5097" w:name="_Toc115194982"/>
      <w:bookmarkStart w:id="5098" w:name="_Toc115196392"/>
      <w:bookmarkStart w:id="5099" w:name="_Toc115198893"/>
      <w:bookmarkStart w:id="5100" w:name="_Toc115208908"/>
      <w:bookmarkStart w:id="5101" w:name="_Toc115209044"/>
      <w:bookmarkStart w:id="5102" w:name="_Toc115210375"/>
      <w:bookmarkStart w:id="5103" w:name="_Toc115212600"/>
      <w:bookmarkStart w:id="5104" w:name="_Toc115213240"/>
      <w:bookmarkStart w:id="5105" w:name="_Toc115216738"/>
      <w:bookmarkStart w:id="5106" w:name="_Toc115270429"/>
      <w:bookmarkStart w:id="5107" w:name="_Toc115271372"/>
      <w:bookmarkStart w:id="5108" w:name="_Toc115272289"/>
      <w:bookmarkStart w:id="5109" w:name="_Toc115273459"/>
      <w:bookmarkStart w:id="5110" w:name="_Toc115273387"/>
      <w:bookmarkStart w:id="5111" w:name="_Toc115274640"/>
      <w:bookmarkStart w:id="5112" w:name="_Toc115274866"/>
      <w:bookmarkStart w:id="5113" w:name="_Toc115275223"/>
      <w:bookmarkStart w:id="5114" w:name="_Toc115275366"/>
      <w:bookmarkStart w:id="5115" w:name="_Toc115274203"/>
      <w:bookmarkStart w:id="5116" w:name="_Toc115274504"/>
      <w:bookmarkStart w:id="5117" w:name="_Toc115274572"/>
      <w:bookmarkStart w:id="5118" w:name="_Toc115274730"/>
      <w:bookmarkStart w:id="5119" w:name="_Toc115277464"/>
      <w:bookmarkStart w:id="5120" w:name="_Toc115277668"/>
      <w:bookmarkStart w:id="5121" w:name="_Toc115278557"/>
      <w:bookmarkStart w:id="5122" w:name="_Toc115278637"/>
      <w:bookmarkStart w:id="5123" w:name="_Toc115282307"/>
      <w:bookmarkStart w:id="5124" w:name="_Toc115284760"/>
      <w:bookmarkStart w:id="5125" w:name="_Toc115286852"/>
      <w:bookmarkStart w:id="5126" w:name="_Toc115294786"/>
      <w:bookmarkStart w:id="5127" w:name="_Toc115296366"/>
      <w:bookmarkStart w:id="5128" w:name="_Toc115308552"/>
      <w:bookmarkStart w:id="5129" w:name="_Toc115311204"/>
      <w:bookmarkStart w:id="5130" w:name="_Toc115312684"/>
      <w:bookmarkStart w:id="5131" w:name="_Toc115343858"/>
      <w:bookmarkStart w:id="5132" w:name="_Toc115348296"/>
      <w:bookmarkStart w:id="5133" w:name="_Toc115350394"/>
      <w:bookmarkStart w:id="5134" w:name="_Toc115353482"/>
      <w:bookmarkStart w:id="5135" w:name="_Toc115359513"/>
      <w:bookmarkStart w:id="5136" w:name="_Toc115361917"/>
      <w:bookmarkStart w:id="5137" w:name="_Toc115364310"/>
      <w:bookmarkStart w:id="5138" w:name="_Toc115365404"/>
      <w:bookmarkStart w:id="5139" w:name="_Toc115365676"/>
      <w:bookmarkStart w:id="5140" w:name="_Toc115365744"/>
      <w:bookmarkStart w:id="5141" w:name="_Toc115366208"/>
      <w:bookmarkStart w:id="5142" w:name="_Toc115368658"/>
      <w:bookmarkStart w:id="5143" w:name="_Toc115370098"/>
      <w:bookmarkStart w:id="5144" w:name="_Toc115370832"/>
      <w:bookmarkStart w:id="5145" w:name="_Toc115374404"/>
      <w:bookmarkStart w:id="5146" w:name="_Toc115378743"/>
      <w:bookmarkStart w:id="5147" w:name="_Toc115380975"/>
      <w:bookmarkStart w:id="5148" w:name="_Toc115384127"/>
      <w:bookmarkStart w:id="5149" w:name="_Toc115387356"/>
      <w:bookmarkStart w:id="5150" w:name="_Toc115388822"/>
      <w:bookmarkStart w:id="5151" w:name="_Toc115431460"/>
      <w:bookmarkStart w:id="5152" w:name="_Toc115432838"/>
      <w:bookmarkStart w:id="5153" w:name="_Toc115434409"/>
      <w:bookmarkStart w:id="5154" w:name="_Toc115434508"/>
      <w:bookmarkStart w:id="5155" w:name="_Toc115434577"/>
      <w:bookmarkStart w:id="5156" w:name="_Toc115434646"/>
      <w:bookmarkStart w:id="5157" w:name="_Toc115442816"/>
      <w:bookmarkStart w:id="5158" w:name="_Toc115446352"/>
      <w:bookmarkStart w:id="5159" w:name="_Toc115448059"/>
      <w:bookmarkStart w:id="5160" w:name="_Toc115449451"/>
      <w:bookmarkStart w:id="5161" w:name="_Toc115452471"/>
      <w:bookmarkStart w:id="5162" w:name="_Toc115455288"/>
      <w:bookmarkStart w:id="5163" w:name="_Toc115455354"/>
      <w:bookmarkStart w:id="5164" w:name="_Toc115457304"/>
      <w:bookmarkStart w:id="5165" w:name="_Toc115458140"/>
      <w:bookmarkStart w:id="5166" w:name="_Toc115948168"/>
      <w:bookmarkStart w:id="5167" w:name="_Toc115948615"/>
      <w:r>
        <w:t xml:space="preserve">Recommendation </w:t>
      </w:r>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r w:rsidR="00817AC5">
        <w:t>9</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r w:rsidR="005439E8">
        <w:t xml:space="preserve"> – Employment principles</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6D85958F" w14:textId="77777777" w:rsidR="000136FD" w:rsidRPr="00EA03C6" w:rsidRDefault="000136FD" w:rsidP="000136FD">
      <w:pPr>
        <w:pStyle w:val="BOXText"/>
      </w:pPr>
      <w:r>
        <w:t>T</w:t>
      </w:r>
      <w:r w:rsidRPr="00EA03C6">
        <w:t xml:space="preserve">he </w:t>
      </w:r>
      <w:r>
        <w:t xml:space="preserve">MoP(S) </w:t>
      </w:r>
      <w:r w:rsidRPr="00EA03C6">
        <w:t>Act should be amended to include employment principles</w:t>
      </w:r>
      <w:r>
        <w:t xml:space="preserve"> to </w:t>
      </w:r>
      <w:r w:rsidRPr="00EA03C6">
        <w:t xml:space="preserve">professionalise the </w:t>
      </w:r>
      <w:r>
        <w:t xml:space="preserve">employment framework </w:t>
      </w:r>
      <w:r w:rsidRPr="00EA03C6">
        <w:t xml:space="preserve">and provide legislative support to underpin broader implementation of the recommendations made in </w:t>
      </w:r>
      <w:r w:rsidRPr="00EA03C6">
        <w:rPr>
          <w:i/>
        </w:rPr>
        <w:t>Set the Standard</w:t>
      </w:r>
      <w:r w:rsidRPr="00EA03C6">
        <w:t xml:space="preserve"> and this Review</w:t>
      </w:r>
      <w:r>
        <w:t>.</w:t>
      </w:r>
      <w:r w:rsidRPr="00EA03C6">
        <w:t xml:space="preserve"> </w:t>
      </w:r>
    </w:p>
    <w:p w14:paraId="38C78809" w14:textId="77777777" w:rsidR="00854F23" w:rsidRDefault="00854F23" w:rsidP="00854F23"/>
    <w:p w14:paraId="59BA8920" w14:textId="77777777" w:rsidR="00A601F9" w:rsidRDefault="00854F23" w:rsidP="00EE1333">
      <w:pPr>
        <w:pStyle w:val="Heading2"/>
      </w:pPr>
      <w:bookmarkStart w:id="5168" w:name="_Toc114230892"/>
      <w:bookmarkStart w:id="5169" w:name="_Toc114232949"/>
      <w:bookmarkStart w:id="5170" w:name="_Toc114233597"/>
      <w:bookmarkStart w:id="5171" w:name="_Toc114233669"/>
      <w:bookmarkStart w:id="5172" w:name="_Toc114240626"/>
      <w:bookmarkStart w:id="5173" w:name="_Toc114240700"/>
      <w:bookmarkStart w:id="5174" w:name="_Toc114241044"/>
      <w:bookmarkStart w:id="5175" w:name="_Toc114494065"/>
      <w:bookmarkStart w:id="5176" w:name="_Toc114500316"/>
      <w:bookmarkStart w:id="5177" w:name="_Toc114500391"/>
      <w:bookmarkStart w:id="5178" w:name="_Toc114518664"/>
      <w:bookmarkStart w:id="5179" w:name="_Toc114520336"/>
      <w:bookmarkStart w:id="5180" w:name="_Toc114520745"/>
      <w:bookmarkStart w:id="5181" w:name="_Toc114565773"/>
      <w:bookmarkStart w:id="5182" w:name="_Toc114566754"/>
      <w:bookmarkStart w:id="5183" w:name="_Toc114566979"/>
      <w:bookmarkStart w:id="5184" w:name="_Toc114566903"/>
      <w:bookmarkStart w:id="5185" w:name="_Toc114585904"/>
      <w:bookmarkStart w:id="5186" w:name="_Toc114586048"/>
      <w:bookmarkStart w:id="5187" w:name="_Toc114586120"/>
      <w:bookmarkStart w:id="5188" w:name="_Toc114601260"/>
      <w:bookmarkStart w:id="5189" w:name="_Toc114657301"/>
      <w:bookmarkStart w:id="5190" w:name="_Toc114659763"/>
      <w:bookmarkStart w:id="5191" w:name="_Toc114662748"/>
      <w:bookmarkStart w:id="5192" w:name="_Toc114665132"/>
      <w:bookmarkStart w:id="5193" w:name="_Toc114672441"/>
      <w:bookmarkStart w:id="5194" w:name="_Toc114672653"/>
      <w:bookmarkStart w:id="5195" w:name="_Toc114673208"/>
      <w:bookmarkStart w:id="5196" w:name="_Toc114673794"/>
      <w:bookmarkStart w:id="5197" w:name="_Toc114674319"/>
      <w:bookmarkStart w:id="5198" w:name="_Toc114687492"/>
      <w:bookmarkStart w:id="5199" w:name="_Toc114689956"/>
      <w:bookmarkStart w:id="5200" w:name="_Toc114731819"/>
      <w:bookmarkStart w:id="5201" w:name="_Toc114733584"/>
      <w:bookmarkStart w:id="5202" w:name="_Toc114735525"/>
      <w:bookmarkStart w:id="5203" w:name="_Toc114755852"/>
      <w:bookmarkStart w:id="5204" w:name="_Toc114757157"/>
      <w:bookmarkStart w:id="5205" w:name="_Toc114757441"/>
      <w:bookmarkStart w:id="5206" w:name="_Toc114757543"/>
      <w:bookmarkStart w:id="5207" w:name="_Toc114758216"/>
      <w:bookmarkStart w:id="5208" w:name="_Toc114824386"/>
      <w:bookmarkStart w:id="5209" w:name="_Toc114829462"/>
      <w:bookmarkStart w:id="5210" w:name="_Toc114829826"/>
      <w:bookmarkStart w:id="5211" w:name="_Toc114829970"/>
      <w:bookmarkStart w:id="5212" w:name="_Toc115099049"/>
      <w:bookmarkStart w:id="5213" w:name="_Toc115099121"/>
      <w:bookmarkStart w:id="5214" w:name="_Toc115101698"/>
      <w:bookmarkStart w:id="5215" w:name="_Toc115102543"/>
      <w:bookmarkStart w:id="5216" w:name="_Toc115105516"/>
      <w:bookmarkStart w:id="5217" w:name="_Toc115110377"/>
      <w:bookmarkStart w:id="5218" w:name="_Toc115110504"/>
      <w:bookmarkStart w:id="5219" w:name="_Toc115121622"/>
      <w:bookmarkStart w:id="5220" w:name="_Toc115121992"/>
      <w:bookmarkStart w:id="5221" w:name="_Toc115123472"/>
      <w:bookmarkStart w:id="5222" w:name="_Toc115123720"/>
      <w:bookmarkStart w:id="5223" w:name="_Toc115126852"/>
      <w:bookmarkStart w:id="5224" w:name="_Toc115185488"/>
      <w:bookmarkStart w:id="5225" w:name="_Toc115186115"/>
      <w:bookmarkStart w:id="5226" w:name="_Toc115189273"/>
      <w:bookmarkStart w:id="5227" w:name="_Toc115194246"/>
      <w:bookmarkStart w:id="5228" w:name="_Toc115194983"/>
      <w:bookmarkStart w:id="5229" w:name="_Toc115196393"/>
      <w:bookmarkStart w:id="5230" w:name="_Toc115198894"/>
      <w:bookmarkStart w:id="5231" w:name="_Toc115208909"/>
      <w:bookmarkStart w:id="5232" w:name="_Toc115209045"/>
      <w:bookmarkStart w:id="5233" w:name="_Toc115210376"/>
      <w:bookmarkStart w:id="5234" w:name="_Toc115212601"/>
      <w:bookmarkStart w:id="5235" w:name="_Toc115213241"/>
      <w:bookmarkStart w:id="5236" w:name="_Toc115216739"/>
      <w:bookmarkStart w:id="5237" w:name="_Toc115270430"/>
      <w:bookmarkStart w:id="5238" w:name="_Toc115271373"/>
      <w:bookmarkStart w:id="5239" w:name="_Toc115272290"/>
      <w:bookmarkStart w:id="5240" w:name="_Toc115273460"/>
      <w:bookmarkStart w:id="5241" w:name="_Toc115273388"/>
      <w:bookmarkStart w:id="5242" w:name="_Toc115274641"/>
      <w:bookmarkStart w:id="5243" w:name="_Toc115274867"/>
      <w:bookmarkStart w:id="5244" w:name="_Toc115275224"/>
      <w:bookmarkStart w:id="5245" w:name="_Toc115275367"/>
      <w:bookmarkStart w:id="5246" w:name="_Toc115274204"/>
      <w:bookmarkStart w:id="5247" w:name="_Toc115274505"/>
      <w:bookmarkStart w:id="5248" w:name="_Toc115274573"/>
      <w:bookmarkStart w:id="5249" w:name="_Toc115274731"/>
      <w:bookmarkStart w:id="5250" w:name="_Toc115277465"/>
      <w:bookmarkStart w:id="5251" w:name="_Toc115277669"/>
      <w:bookmarkStart w:id="5252" w:name="_Toc115278558"/>
      <w:bookmarkStart w:id="5253" w:name="_Toc115278638"/>
      <w:bookmarkStart w:id="5254" w:name="_Toc115282308"/>
      <w:bookmarkStart w:id="5255" w:name="_Toc115284761"/>
      <w:bookmarkStart w:id="5256" w:name="_Toc115286853"/>
      <w:bookmarkStart w:id="5257" w:name="_Toc115294787"/>
      <w:bookmarkStart w:id="5258" w:name="_Toc115296367"/>
      <w:bookmarkStart w:id="5259" w:name="_Toc115308553"/>
      <w:bookmarkStart w:id="5260" w:name="_Toc115311205"/>
      <w:bookmarkStart w:id="5261" w:name="_Toc115312685"/>
      <w:bookmarkStart w:id="5262" w:name="_Toc115343859"/>
      <w:bookmarkStart w:id="5263" w:name="_Toc115348297"/>
      <w:bookmarkStart w:id="5264" w:name="_Toc115350395"/>
      <w:bookmarkStart w:id="5265" w:name="_Toc115353483"/>
      <w:bookmarkStart w:id="5266" w:name="_Toc115359514"/>
      <w:bookmarkStart w:id="5267" w:name="_Toc115361918"/>
      <w:bookmarkStart w:id="5268" w:name="_Toc115364311"/>
      <w:bookmarkStart w:id="5269" w:name="_Toc115365405"/>
      <w:bookmarkStart w:id="5270" w:name="_Toc115365677"/>
      <w:bookmarkStart w:id="5271" w:name="_Toc115365745"/>
      <w:bookmarkStart w:id="5272" w:name="_Toc115366209"/>
      <w:bookmarkStart w:id="5273" w:name="_Toc115368659"/>
      <w:bookmarkStart w:id="5274" w:name="_Toc115370099"/>
      <w:bookmarkStart w:id="5275" w:name="_Toc115370833"/>
      <w:bookmarkStart w:id="5276" w:name="_Toc115374405"/>
      <w:bookmarkStart w:id="5277" w:name="_Toc115378744"/>
      <w:bookmarkStart w:id="5278" w:name="_Toc115380976"/>
      <w:bookmarkStart w:id="5279" w:name="_Toc115384128"/>
      <w:bookmarkStart w:id="5280" w:name="_Toc115387357"/>
      <w:bookmarkStart w:id="5281" w:name="_Toc115388823"/>
      <w:bookmarkStart w:id="5282" w:name="_Toc115431461"/>
      <w:bookmarkStart w:id="5283" w:name="_Toc115432839"/>
      <w:bookmarkStart w:id="5284" w:name="_Toc115434410"/>
      <w:bookmarkStart w:id="5285" w:name="_Toc115434509"/>
      <w:bookmarkStart w:id="5286" w:name="_Toc115434578"/>
      <w:bookmarkStart w:id="5287" w:name="_Toc115434647"/>
      <w:bookmarkStart w:id="5288" w:name="_Toc115442817"/>
      <w:bookmarkStart w:id="5289" w:name="_Toc115446353"/>
      <w:bookmarkStart w:id="5290" w:name="_Toc115448060"/>
      <w:bookmarkStart w:id="5291" w:name="_Toc115449452"/>
      <w:bookmarkStart w:id="5292" w:name="_Toc115452472"/>
      <w:bookmarkStart w:id="5293" w:name="_Toc115455289"/>
      <w:bookmarkStart w:id="5294" w:name="_Toc115455355"/>
      <w:bookmarkStart w:id="5295" w:name="_Toc115457305"/>
      <w:bookmarkStart w:id="5296" w:name="_Toc115458141"/>
      <w:bookmarkStart w:id="5297" w:name="_Toc115948169"/>
      <w:bookmarkStart w:id="5298" w:name="_Toc115948616"/>
      <w:r>
        <w:t>5.3</w:t>
      </w:r>
      <w:r w:rsidR="001745BA">
        <w:t xml:space="preserve"> A</w:t>
      </w:r>
      <w:r w:rsidR="00A601F9" w:rsidRPr="006502FC">
        <w:t>ccountability</w:t>
      </w:r>
      <w:r w:rsidR="00A601F9">
        <w:t xml:space="preserve"> </w:t>
      </w:r>
      <w:r w:rsidR="001745BA">
        <w:t xml:space="preserve">and responsibilities </w:t>
      </w:r>
      <w:r w:rsidR="00A601F9">
        <w:t>of MoP(S) Act employees</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14:paraId="642B71E1" w14:textId="22938E6E" w:rsidR="00A601F9" w:rsidRDefault="00502C2B" w:rsidP="00A601F9">
      <w:r>
        <w:t>MoP(S) Act employees</w:t>
      </w:r>
      <w:r w:rsidR="00A601F9">
        <w:t xml:space="preserve"> play an important role in Australian democracy. </w:t>
      </w:r>
      <w:r w:rsidR="002751A5">
        <w:t>They</w:t>
      </w:r>
      <w:r w:rsidR="00A601F9">
        <w:t xml:space="preserve"> assist parliamentarians </w:t>
      </w:r>
      <w:r w:rsidR="00E76CDF">
        <w:t xml:space="preserve">in </w:t>
      </w:r>
      <w:r w:rsidR="00A601F9">
        <w:t>work</w:t>
      </w:r>
      <w:r w:rsidR="00E76CDF">
        <w:t>ing</w:t>
      </w:r>
      <w:r w:rsidR="00A601F9">
        <w:t xml:space="preserve"> with and on behalf of their constituents, work on policy issues</w:t>
      </w:r>
      <w:r w:rsidR="00A64D65">
        <w:t>,</w:t>
      </w:r>
      <w:r w:rsidR="00A601F9">
        <w:t xml:space="preserve"> and help parliamentarians manage their responsibilities to parliament. </w:t>
      </w:r>
    </w:p>
    <w:p w14:paraId="71BCBC19" w14:textId="77777777" w:rsidR="00A324A5" w:rsidRDefault="00A324A5" w:rsidP="00A601F9"/>
    <w:p w14:paraId="7088F27B" w14:textId="77777777" w:rsidR="00672323" w:rsidRDefault="00672323" w:rsidP="00672323">
      <w:pPr>
        <w:pStyle w:val="Heading3"/>
      </w:pPr>
      <w:bookmarkStart w:id="5299" w:name="_Toc114755853"/>
      <w:bookmarkStart w:id="5300" w:name="_Toc114757158"/>
      <w:bookmarkStart w:id="5301" w:name="_Toc114757442"/>
      <w:bookmarkStart w:id="5302" w:name="_Toc114757544"/>
      <w:bookmarkStart w:id="5303" w:name="_Toc114758217"/>
      <w:bookmarkStart w:id="5304" w:name="_Toc114824387"/>
      <w:bookmarkStart w:id="5305" w:name="_Toc114829463"/>
      <w:bookmarkStart w:id="5306" w:name="_Toc114829827"/>
      <w:bookmarkStart w:id="5307" w:name="_Toc114829971"/>
      <w:bookmarkStart w:id="5308" w:name="_Toc115099050"/>
      <w:bookmarkStart w:id="5309" w:name="_Toc115099122"/>
      <w:bookmarkStart w:id="5310" w:name="_Toc115101699"/>
      <w:bookmarkStart w:id="5311" w:name="_Toc115102544"/>
      <w:bookmarkStart w:id="5312" w:name="_Toc115105517"/>
      <w:bookmarkStart w:id="5313" w:name="_Toc115110378"/>
      <w:bookmarkStart w:id="5314" w:name="_Toc115110505"/>
      <w:bookmarkStart w:id="5315" w:name="_Toc115121623"/>
      <w:bookmarkStart w:id="5316" w:name="_Toc115121993"/>
      <w:bookmarkStart w:id="5317" w:name="_Toc115123473"/>
      <w:bookmarkStart w:id="5318" w:name="_Toc115123721"/>
      <w:bookmarkStart w:id="5319" w:name="_Toc115126853"/>
      <w:bookmarkStart w:id="5320" w:name="_Toc115185489"/>
      <w:bookmarkStart w:id="5321" w:name="_Toc115186116"/>
      <w:bookmarkStart w:id="5322" w:name="_Toc115189274"/>
      <w:bookmarkStart w:id="5323" w:name="_Toc115194247"/>
      <w:bookmarkStart w:id="5324" w:name="_Toc115194984"/>
      <w:bookmarkStart w:id="5325" w:name="_Toc115196394"/>
      <w:bookmarkStart w:id="5326" w:name="_Toc115198895"/>
      <w:bookmarkStart w:id="5327" w:name="_Toc115208910"/>
      <w:bookmarkStart w:id="5328" w:name="_Toc115209046"/>
      <w:bookmarkStart w:id="5329" w:name="_Toc115210377"/>
      <w:bookmarkStart w:id="5330" w:name="_Toc115212602"/>
      <w:bookmarkStart w:id="5331" w:name="_Toc115213242"/>
      <w:bookmarkStart w:id="5332" w:name="_Toc115216740"/>
      <w:bookmarkStart w:id="5333" w:name="_Toc115270431"/>
      <w:bookmarkStart w:id="5334" w:name="_Toc115271374"/>
      <w:bookmarkStart w:id="5335" w:name="_Toc115272291"/>
      <w:bookmarkStart w:id="5336" w:name="_Toc115273461"/>
      <w:bookmarkStart w:id="5337" w:name="_Toc115273389"/>
      <w:bookmarkStart w:id="5338" w:name="_Toc115274642"/>
      <w:bookmarkStart w:id="5339" w:name="_Toc115274868"/>
      <w:bookmarkStart w:id="5340" w:name="_Toc115275225"/>
      <w:bookmarkStart w:id="5341" w:name="_Toc115275368"/>
      <w:bookmarkStart w:id="5342" w:name="_Toc115274205"/>
      <w:bookmarkStart w:id="5343" w:name="_Toc115274506"/>
      <w:bookmarkStart w:id="5344" w:name="_Toc115274574"/>
      <w:bookmarkStart w:id="5345" w:name="_Toc115274732"/>
      <w:bookmarkStart w:id="5346" w:name="_Toc115277466"/>
      <w:bookmarkStart w:id="5347" w:name="_Toc115277670"/>
      <w:bookmarkStart w:id="5348" w:name="_Toc115278559"/>
      <w:bookmarkStart w:id="5349" w:name="_Toc115278639"/>
      <w:bookmarkStart w:id="5350" w:name="_Toc115282309"/>
      <w:bookmarkStart w:id="5351" w:name="_Toc115284762"/>
      <w:bookmarkStart w:id="5352" w:name="_Toc115286854"/>
      <w:bookmarkStart w:id="5353" w:name="_Toc115294788"/>
      <w:bookmarkStart w:id="5354" w:name="_Toc115296368"/>
      <w:bookmarkStart w:id="5355" w:name="_Toc115308554"/>
      <w:bookmarkStart w:id="5356" w:name="_Toc115311206"/>
      <w:bookmarkStart w:id="5357" w:name="_Toc115312686"/>
      <w:bookmarkStart w:id="5358" w:name="_Toc115343860"/>
      <w:bookmarkStart w:id="5359" w:name="_Toc115348298"/>
      <w:bookmarkStart w:id="5360" w:name="_Toc115350396"/>
      <w:bookmarkStart w:id="5361" w:name="_Toc115353484"/>
      <w:bookmarkStart w:id="5362" w:name="_Toc115359515"/>
      <w:bookmarkStart w:id="5363" w:name="_Toc115361919"/>
      <w:bookmarkStart w:id="5364" w:name="_Toc115364312"/>
      <w:bookmarkStart w:id="5365" w:name="_Toc115365406"/>
      <w:bookmarkStart w:id="5366" w:name="_Toc115365678"/>
      <w:bookmarkStart w:id="5367" w:name="_Toc115365746"/>
      <w:bookmarkStart w:id="5368" w:name="_Toc115366210"/>
      <w:bookmarkStart w:id="5369" w:name="_Toc115368660"/>
      <w:bookmarkStart w:id="5370" w:name="_Toc115370100"/>
      <w:bookmarkStart w:id="5371" w:name="_Toc115370834"/>
      <w:bookmarkStart w:id="5372" w:name="_Toc115374406"/>
      <w:bookmarkStart w:id="5373" w:name="_Toc115378745"/>
      <w:bookmarkStart w:id="5374" w:name="_Toc115380977"/>
      <w:bookmarkStart w:id="5375" w:name="_Toc115384129"/>
      <w:bookmarkStart w:id="5376" w:name="_Toc115387358"/>
      <w:bookmarkStart w:id="5377" w:name="_Toc115388824"/>
      <w:bookmarkStart w:id="5378" w:name="_Toc115431462"/>
      <w:bookmarkStart w:id="5379" w:name="_Toc115432840"/>
      <w:bookmarkStart w:id="5380" w:name="_Toc115434411"/>
      <w:bookmarkStart w:id="5381" w:name="_Toc115434510"/>
      <w:bookmarkStart w:id="5382" w:name="_Toc115434579"/>
      <w:bookmarkStart w:id="5383" w:name="_Toc115434648"/>
      <w:r>
        <w:t>5.3.1 Accountability of MoP(S) Act employees</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bookmarkEnd w:id="5035"/>
    <w:bookmarkEnd w:id="5036"/>
    <w:p w14:paraId="50CB4BFF" w14:textId="77777777" w:rsidR="00A601F9" w:rsidRPr="007010A4" w:rsidRDefault="00A601F9" w:rsidP="00051BDA">
      <w:pPr>
        <w:pStyle w:val="Heading3"/>
      </w:pPr>
      <w:r>
        <w:t>Current situation</w:t>
      </w:r>
    </w:p>
    <w:p w14:paraId="0F2DA8C9" w14:textId="52DE0409" w:rsidR="00816CDB" w:rsidRPr="00341C66" w:rsidRDefault="00142173" w:rsidP="00816CDB">
      <w:pPr>
        <w:rPr>
          <w:rFonts w:eastAsiaTheme="minorHAnsi"/>
        </w:rPr>
      </w:pPr>
      <w:r w:rsidRPr="00142173">
        <w:rPr>
          <w:i/>
        </w:rPr>
        <w:t>Set the Standard</w:t>
      </w:r>
      <w:r w:rsidR="00A601F9">
        <w:t xml:space="preserve"> highlighted a perception among MoP(S) Act employees that </w:t>
      </w:r>
      <w:r w:rsidR="00BD6725">
        <w:t xml:space="preserve">other employees – particularly senior staff members – were not </w:t>
      </w:r>
      <w:r w:rsidR="00A601F9">
        <w:t xml:space="preserve">accountable for their </w:t>
      </w:r>
      <w:r w:rsidR="00A83520">
        <w:t>actions</w:t>
      </w:r>
      <w:r w:rsidR="00A601F9">
        <w:t>.</w:t>
      </w:r>
      <w:r w:rsidR="00A601F9">
        <w:rPr>
          <w:rStyle w:val="FootnoteReference"/>
          <w:i/>
        </w:rPr>
        <w:footnoteReference w:id="215"/>
      </w:r>
      <w:r w:rsidR="00A601F9">
        <w:rPr>
          <w:i/>
        </w:rPr>
        <w:t xml:space="preserve"> </w:t>
      </w:r>
      <w:r w:rsidR="00953741">
        <w:rPr>
          <w:i/>
        </w:rPr>
        <w:t xml:space="preserve"> </w:t>
      </w:r>
      <w:r w:rsidR="00B81C6E">
        <w:rPr>
          <w:rFonts w:eastAsiaTheme="minorHAnsi"/>
        </w:rPr>
        <w:t>Concerns about accountability that the</w:t>
      </w:r>
      <w:r w:rsidR="00C87BA6">
        <w:rPr>
          <w:rFonts w:eastAsiaTheme="minorHAnsi"/>
        </w:rPr>
        <w:t xml:space="preserve"> Review heard </w:t>
      </w:r>
      <w:r w:rsidR="00816CDB" w:rsidRPr="00341C66">
        <w:rPr>
          <w:rFonts w:eastAsiaTheme="minorHAnsi"/>
        </w:rPr>
        <w:t>f</w:t>
      </w:r>
      <w:r w:rsidR="005C7AE2">
        <w:rPr>
          <w:rFonts w:eastAsiaTheme="minorHAnsi"/>
        </w:rPr>
        <w:t>e</w:t>
      </w:r>
      <w:r w:rsidR="00816CDB" w:rsidRPr="00341C66">
        <w:rPr>
          <w:rFonts w:eastAsiaTheme="minorHAnsi"/>
        </w:rPr>
        <w:t xml:space="preserve">ll into two </w:t>
      </w:r>
      <w:r w:rsidR="005C7AE2">
        <w:rPr>
          <w:rFonts w:eastAsiaTheme="minorHAnsi"/>
        </w:rPr>
        <w:t xml:space="preserve">main </w:t>
      </w:r>
      <w:r w:rsidR="00816CDB" w:rsidRPr="00341C66">
        <w:rPr>
          <w:rFonts w:eastAsiaTheme="minorHAnsi"/>
        </w:rPr>
        <w:t>categories:</w:t>
      </w:r>
    </w:p>
    <w:p w14:paraId="65B0D70C" w14:textId="45068E96" w:rsidR="00816CDB" w:rsidRPr="00341C66" w:rsidRDefault="00816CDB" w:rsidP="00816CDB">
      <w:pPr>
        <w:pStyle w:val="BulletedList-Level1"/>
        <w:rPr>
          <w:rFonts w:eastAsiaTheme="minorHAnsi"/>
        </w:rPr>
      </w:pPr>
      <w:r w:rsidRPr="00341C66">
        <w:rPr>
          <w:rFonts w:eastAsiaTheme="minorHAnsi"/>
        </w:rPr>
        <w:t xml:space="preserve">people not being held to account for their unacceptable behaviour (such as bullying, harassment or </w:t>
      </w:r>
      <w:r w:rsidR="007F4D9E" w:rsidRPr="00341C66">
        <w:rPr>
          <w:rFonts w:eastAsiaTheme="minorHAnsi"/>
        </w:rPr>
        <w:t xml:space="preserve">other </w:t>
      </w:r>
      <w:r w:rsidR="00C87BA6">
        <w:rPr>
          <w:rFonts w:eastAsiaTheme="minorHAnsi"/>
        </w:rPr>
        <w:t xml:space="preserve">unacceptable or </w:t>
      </w:r>
      <w:r w:rsidRPr="00341C66">
        <w:rPr>
          <w:rFonts w:eastAsiaTheme="minorHAnsi"/>
        </w:rPr>
        <w:t xml:space="preserve">unprofessional conduct) within </w:t>
      </w:r>
      <w:r w:rsidR="00BD1389">
        <w:rPr>
          <w:rFonts w:eastAsiaTheme="minorHAnsi"/>
        </w:rPr>
        <w:t>the</w:t>
      </w:r>
      <w:r w:rsidRPr="00341C66">
        <w:rPr>
          <w:rFonts w:eastAsiaTheme="minorHAnsi"/>
        </w:rPr>
        <w:t xml:space="preserve"> workplace </w:t>
      </w:r>
    </w:p>
    <w:p w14:paraId="50948CF6" w14:textId="6AC19F61" w:rsidR="005205F3" w:rsidRPr="00341C66" w:rsidRDefault="00816CDB" w:rsidP="00816CDB">
      <w:pPr>
        <w:pStyle w:val="BulletedList-Level1"/>
        <w:rPr>
          <w:rFonts w:eastAsiaTheme="minorHAnsi"/>
        </w:rPr>
      </w:pPr>
      <w:r w:rsidRPr="00341C66">
        <w:rPr>
          <w:rFonts w:eastAsiaTheme="minorHAnsi"/>
        </w:rPr>
        <w:t>parliamentary staff, especially ministerial advisers, acting beyond their authority without being held to account</w:t>
      </w:r>
      <w:r w:rsidR="00C87BA6">
        <w:rPr>
          <w:rFonts w:eastAsiaTheme="minorHAnsi"/>
        </w:rPr>
        <w:t>.</w:t>
      </w:r>
    </w:p>
    <w:p w14:paraId="6E19D69E" w14:textId="40FC5C35" w:rsidR="00816CDB" w:rsidRPr="00341C66" w:rsidRDefault="00510D9A" w:rsidP="00B47281">
      <w:pPr>
        <w:rPr>
          <w:rFonts w:eastAsiaTheme="minorHAnsi"/>
        </w:rPr>
      </w:pPr>
      <w:r>
        <w:rPr>
          <w:rFonts w:eastAsiaTheme="minorHAnsi"/>
        </w:rPr>
        <w:t>The Review considers b</w:t>
      </w:r>
      <w:r w:rsidR="00816CDB" w:rsidRPr="00341C66">
        <w:rPr>
          <w:rFonts w:eastAsiaTheme="minorHAnsi"/>
        </w:rPr>
        <w:t xml:space="preserve">oth behaviours </w:t>
      </w:r>
      <w:r w:rsidR="00816CDB" w:rsidRPr="004372B9">
        <w:rPr>
          <w:rFonts w:eastAsiaTheme="minorHAnsi"/>
        </w:rPr>
        <w:t>imp</w:t>
      </w:r>
      <w:r w:rsidR="00BD1389">
        <w:rPr>
          <w:rFonts w:eastAsiaTheme="minorHAnsi"/>
        </w:rPr>
        <w:t>air</w:t>
      </w:r>
      <w:r w:rsidR="00816CDB" w:rsidRPr="00341C66">
        <w:rPr>
          <w:rFonts w:eastAsiaTheme="minorHAnsi"/>
        </w:rPr>
        <w:t xml:space="preserve"> the proper functioning of </w:t>
      </w:r>
      <w:r w:rsidR="009A66AA">
        <w:rPr>
          <w:rFonts w:eastAsiaTheme="minorHAnsi"/>
        </w:rPr>
        <w:t xml:space="preserve">the </w:t>
      </w:r>
      <w:r w:rsidR="00816CDB" w:rsidRPr="00341C66">
        <w:rPr>
          <w:rFonts w:eastAsiaTheme="minorHAnsi"/>
        </w:rPr>
        <w:t xml:space="preserve">Australian </w:t>
      </w:r>
      <w:r w:rsidR="009A66AA">
        <w:rPr>
          <w:rFonts w:eastAsiaTheme="minorHAnsi"/>
        </w:rPr>
        <w:t>P</w:t>
      </w:r>
      <w:r w:rsidR="00816CDB" w:rsidRPr="004372B9">
        <w:rPr>
          <w:rFonts w:eastAsiaTheme="minorHAnsi"/>
        </w:rPr>
        <w:t>arliament</w:t>
      </w:r>
      <w:r w:rsidR="00816CDB" w:rsidRPr="00341C66">
        <w:rPr>
          <w:rFonts w:eastAsiaTheme="minorHAnsi"/>
        </w:rPr>
        <w:t xml:space="preserve">. </w:t>
      </w:r>
    </w:p>
    <w:p w14:paraId="704B4EC0" w14:textId="77777777" w:rsidR="00D4333F" w:rsidRPr="00D4333F" w:rsidRDefault="00D4333F" w:rsidP="002D66A6">
      <w:pPr>
        <w:rPr>
          <w:i/>
        </w:rPr>
      </w:pPr>
      <w:r w:rsidRPr="00D4333F">
        <w:rPr>
          <w:i/>
        </w:rPr>
        <w:t>Co</w:t>
      </w:r>
      <w:r w:rsidR="00597C93">
        <w:rPr>
          <w:i/>
        </w:rPr>
        <w:t>lleagues</w:t>
      </w:r>
    </w:p>
    <w:p w14:paraId="6F0F8AB9" w14:textId="56ED24D5" w:rsidR="00B021BA" w:rsidRDefault="00A601F9" w:rsidP="00D3525C">
      <w:r>
        <w:t xml:space="preserve">The </w:t>
      </w:r>
      <w:r w:rsidR="00AA3AC2">
        <w:t>R</w:t>
      </w:r>
      <w:r>
        <w:t xml:space="preserve">eview heard that while MoP(S) Act employees feel that they are accountable, the same standards of accountability </w:t>
      </w:r>
      <w:r w:rsidR="00C87BA6">
        <w:t xml:space="preserve">are </w:t>
      </w:r>
      <w:r>
        <w:t>not necessarily appl</w:t>
      </w:r>
      <w:r w:rsidR="00C87BA6">
        <w:t>ied</w:t>
      </w:r>
      <w:r>
        <w:t xml:space="preserve"> to</w:t>
      </w:r>
      <w:r w:rsidR="002E6E4D">
        <w:t>,</w:t>
      </w:r>
      <w:r>
        <w:t xml:space="preserve"> </w:t>
      </w:r>
      <w:r w:rsidR="00C87BA6">
        <w:t>or upheld by</w:t>
      </w:r>
      <w:r w:rsidR="002E6E4D">
        <w:t>,</w:t>
      </w:r>
      <w:r w:rsidR="00FB49E9">
        <w:t xml:space="preserve"> </w:t>
      </w:r>
      <w:r>
        <w:t>their co-workers. The survey found that 90</w:t>
      </w:r>
      <w:r w:rsidR="00651B59">
        <w:t xml:space="preserve"> per cent</w:t>
      </w:r>
      <w:r>
        <w:t xml:space="preserve"> of </w:t>
      </w:r>
      <w:r w:rsidR="00C55CD6">
        <w:t>contributor</w:t>
      </w:r>
      <w:r>
        <w:t>s thought they were either always or often accountable for their conduct at work. Conversely</w:t>
      </w:r>
      <w:r w:rsidR="00D4333F">
        <w:t xml:space="preserve">, only </w:t>
      </w:r>
      <w:r>
        <w:t>56</w:t>
      </w:r>
      <w:r w:rsidR="00030FF1">
        <w:t xml:space="preserve"> per cent</w:t>
      </w:r>
      <w:r w:rsidR="00651B59">
        <w:t xml:space="preserve"> per cent</w:t>
      </w:r>
      <w:r>
        <w:t xml:space="preserve"> of </w:t>
      </w:r>
      <w:r w:rsidR="00C55CD6">
        <w:t>contributor</w:t>
      </w:r>
      <w:r>
        <w:t>s thought their co</w:t>
      </w:r>
      <w:r w:rsidR="00597C93">
        <w:t>lleagues</w:t>
      </w:r>
      <w:r>
        <w:t xml:space="preserve"> were always or often accountable</w:t>
      </w:r>
      <w:r w:rsidR="009B65DF">
        <w:t xml:space="preserve"> </w:t>
      </w:r>
      <w:r w:rsidR="003D5BAD">
        <w:t>(</w:t>
      </w:r>
      <w:r w:rsidR="009B65DF" w:rsidRPr="003D5BAD">
        <w:t xml:space="preserve">see </w:t>
      </w:r>
      <w:r w:rsidR="003D5BAD" w:rsidRPr="003D5BAD">
        <w:t>F</w:t>
      </w:r>
      <w:r w:rsidR="009B65DF" w:rsidRPr="003D5BAD">
        <w:t xml:space="preserve">igure </w:t>
      </w:r>
      <w:r w:rsidR="003D5BAD" w:rsidRPr="003D5BAD">
        <w:t>1</w:t>
      </w:r>
      <w:r w:rsidR="001F539B">
        <w:t>1</w:t>
      </w:r>
      <w:r w:rsidR="003D5BAD">
        <w:t>)</w:t>
      </w:r>
      <w:r w:rsidRPr="003D5BAD">
        <w:t>.</w:t>
      </w:r>
    </w:p>
    <w:p w14:paraId="5578245A" w14:textId="4200A919" w:rsidR="00B021BA" w:rsidRDefault="00EB0574" w:rsidP="004D5287">
      <w:pPr>
        <w:pStyle w:val="Figure"/>
      </w:pPr>
      <w:r w:rsidRPr="00EB0574">
        <w:rPr>
          <w:highlight w:val="yellow"/>
        </w:rPr>
        <w:t xml:space="preserve"> </w:t>
      </w:r>
    </w:p>
    <w:p w14:paraId="361B74FE" w14:textId="714A6EE8" w:rsidR="00F836FA" w:rsidRDefault="009053B6" w:rsidP="002D66A6">
      <w:r>
        <w:rPr>
          <w:noProof/>
          <w:lang w:eastAsia="en-AU"/>
        </w:rPr>
        <w:drawing>
          <wp:inline distT="0" distB="0" distL="0" distR="0" wp14:anchorId="1B22367B" wp14:editId="2B8E739D">
            <wp:extent cx="6031546" cy="2730500"/>
            <wp:effectExtent l="0" t="0" r="0" b="0"/>
            <wp:docPr id="28" name="Picture 28" descr="Accountability of co-workers&#10;My co-workers are/were acountable for thier conduct at work&#10;often-always - 217&#10;sometimes-never - 98&#10;My accountability&#10;I am/was accountable for my conduct at work&#10;often-always - 342&#10;sometimes-never - 36" title="Survey results on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PAct-Infographics-300922-F11-Surveyresultssm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0968" cy="2734766"/>
                    </a:xfrm>
                    <a:prstGeom prst="rect">
                      <a:avLst/>
                    </a:prstGeom>
                  </pic:spPr>
                </pic:pic>
              </a:graphicData>
            </a:graphic>
          </wp:inline>
        </w:drawing>
      </w:r>
    </w:p>
    <w:p w14:paraId="2798F331" w14:textId="77777777" w:rsidR="0073724F" w:rsidRDefault="0073724F" w:rsidP="002D66A6"/>
    <w:p w14:paraId="1419168F" w14:textId="34BD1916" w:rsidR="002D66A6" w:rsidRDefault="00C67134" w:rsidP="002D66A6">
      <w:r>
        <w:t>Contributors</w:t>
      </w:r>
      <w:r w:rsidR="00A601F9">
        <w:t xml:space="preserve"> told the </w:t>
      </w:r>
      <w:r w:rsidR="00AA3AC2">
        <w:t>R</w:t>
      </w:r>
      <w:r w:rsidR="00A601F9">
        <w:t>eview that some MoP(S) Act employees were not held to account for bullying behaviour</w:t>
      </w:r>
      <w:r w:rsidR="002D66A6">
        <w:t>, and some reported that their</w:t>
      </w:r>
      <w:r w:rsidR="00A601F9">
        <w:t xml:space="preserve"> co</w:t>
      </w:r>
      <w:r w:rsidR="00BD1516">
        <w:t>lleagues</w:t>
      </w:r>
      <w:r w:rsidR="00A601F9">
        <w:t xml:space="preserve"> were </w:t>
      </w:r>
      <w:r w:rsidR="002D66A6">
        <w:t>not accountable for the</w:t>
      </w:r>
      <w:r w:rsidR="00A601F9">
        <w:t xml:space="preserve"> </w:t>
      </w:r>
      <w:r w:rsidR="000D755F">
        <w:t>quantity</w:t>
      </w:r>
      <w:r w:rsidR="00A601F9">
        <w:t xml:space="preserve"> or the quality of the work they did. </w:t>
      </w:r>
      <w:r w:rsidR="00502C2B">
        <w:t xml:space="preserve">For instance, a respondent to the survey told us: </w:t>
      </w:r>
      <w:r w:rsidR="00CF3304" w:rsidRPr="00DE6776">
        <w:rPr>
          <w:rFonts w:eastAsiaTheme="minorHAnsi"/>
          <w:i/>
        </w:rPr>
        <w:t>'</w:t>
      </w:r>
      <w:r w:rsidR="00FB49E9">
        <w:rPr>
          <w:rFonts w:eastAsiaTheme="minorHAnsi"/>
          <w:i/>
        </w:rPr>
        <w:t>[</w:t>
      </w:r>
      <w:r w:rsidR="00CF3304" w:rsidRPr="00DE6776">
        <w:rPr>
          <w:rFonts w:eastAsiaTheme="minorHAnsi"/>
          <w:i/>
        </w:rPr>
        <w:t>S</w:t>
      </w:r>
      <w:r w:rsidR="00FB49E9">
        <w:rPr>
          <w:rFonts w:eastAsiaTheme="minorHAnsi"/>
          <w:i/>
        </w:rPr>
        <w:t>]</w:t>
      </w:r>
      <w:r w:rsidR="00CF3304" w:rsidRPr="00DE6776">
        <w:rPr>
          <w:rFonts w:eastAsiaTheme="minorHAnsi"/>
          <w:i/>
        </w:rPr>
        <w:t xml:space="preserve">ome parliamentary </w:t>
      </w:r>
      <w:r w:rsidR="006304D3" w:rsidRPr="00DE6776">
        <w:rPr>
          <w:rFonts w:eastAsiaTheme="minorHAnsi"/>
          <w:i/>
        </w:rPr>
        <w:t>staff</w:t>
      </w:r>
      <w:r w:rsidR="00CF3304" w:rsidRPr="00DE6776">
        <w:rPr>
          <w:rFonts w:eastAsiaTheme="minorHAnsi"/>
          <w:i/>
        </w:rPr>
        <w:t xml:space="preserve"> believe they are above reproach and feel they can do anything they like.’</w:t>
      </w:r>
    </w:p>
    <w:p w14:paraId="21833AB3" w14:textId="77777777" w:rsidR="00502C2B" w:rsidRDefault="008D6E4A" w:rsidP="008D6E4A">
      <w:pPr>
        <w:rPr>
          <w:rFonts w:eastAsiaTheme="minorHAnsi"/>
        </w:rPr>
      </w:pPr>
      <w:r w:rsidRPr="00341C66">
        <w:rPr>
          <w:rFonts w:eastAsiaTheme="minorHAnsi"/>
        </w:rPr>
        <w:t>We heard about unacceptable behaviour within parliamentary offices, both by MoP(S) Act employees and parliamentarians, which caused considerable harm</w:t>
      </w:r>
      <w:r w:rsidR="00DE6776">
        <w:rPr>
          <w:rFonts w:eastAsiaTheme="minorHAnsi"/>
        </w:rPr>
        <w:t>:</w:t>
      </w:r>
      <w:r w:rsidRPr="00341C66">
        <w:rPr>
          <w:rFonts w:eastAsiaTheme="minorHAnsi"/>
        </w:rPr>
        <w:t xml:space="preserve"> </w:t>
      </w:r>
    </w:p>
    <w:p w14:paraId="426FBB32" w14:textId="77777777" w:rsidR="00775A3D" w:rsidRDefault="008D6E4A" w:rsidP="006F62BD">
      <w:pPr>
        <w:pStyle w:val="BulletedList-Level1"/>
        <w:rPr>
          <w:rFonts w:eastAsiaTheme="minorHAnsi"/>
        </w:rPr>
      </w:pPr>
      <w:r w:rsidRPr="00FB49E9">
        <w:rPr>
          <w:rFonts w:eastAsiaTheme="minorHAnsi"/>
        </w:rPr>
        <w:t>‘After a while the bullying was so bad. I had to take time off work and self-medicate to get through the day.’</w:t>
      </w:r>
      <w:r w:rsidRPr="00341C66">
        <w:rPr>
          <w:rFonts w:eastAsiaTheme="minorHAnsi"/>
        </w:rPr>
        <w:t xml:space="preserve"> </w:t>
      </w:r>
    </w:p>
    <w:p w14:paraId="536D42A8" w14:textId="77777777" w:rsidR="00775A3D" w:rsidRDefault="008D6E4A" w:rsidP="006F62BD">
      <w:pPr>
        <w:pStyle w:val="BulletedList-Level1"/>
        <w:rPr>
          <w:rFonts w:eastAsiaTheme="minorHAnsi"/>
        </w:rPr>
      </w:pPr>
      <w:r w:rsidRPr="00FB49E9">
        <w:rPr>
          <w:rFonts w:eastAsiaTheme="minorHAnsi"/>
        </w:rPr>
        <w:t>‘My experience had a profound effect on my self-esteem, confidence and trust in the system.’</w:t>
      </w:r>
    </w:p>
    <w:p w14:paraId="21A30A8A" w14:textId="77777777" w:rsidR="008D6E4A" w:rsidRPr="00775A3D" w:rsidRDefault="00983325" w:rsidP="00DE6776">
      <w:pPr>
        <w:rPr>
          <w:rFonts w:eastAsiaTheme="minorHAnsi"/>
          <w:i/>
        </w:rPr>
      </w:pPr>
      <w:r w:rsidRPr="00341C66">
        <w:rPr>
          <w:rFonts w:eastAsiaTheme="minorHAnsi"/>
          <w:i/>
        </w:rPr>
        <w:t xml:space="preserve">Set the Standard </w:t>
      </w:r>
      <w:r w:rsidRPr="00341C66">
        <w:rPr>
          <w:rFonts w:eastAsiaTheme="minorHAnsi"/>
        </w:rPr>
        <w:t>details similar experiences.</w:t>
      </w:r>
      <w:r w:rsidRPr="00341C66">
        <w:rPr>
          <w:rStyle w:val="FootnoteReference"/>
          <w:rFonts w:eastAsiaTheme="minorHAnsi"/>
        </w:rPr>
        <w:footnoteReference w:id="216"/>
      </w:r>
      <w:r w:rsidR="008D6E4A" w:rsidRPr="00341C66">
        <w:rPr>
          <w:rFonts w:eastAsiaTheme="minorHAnsi"/>
        </w:rPr>
        <w:t xml:space="preserve"> </w:t>
      </w:r>
    </w:p>
    <w:p w14:paraId="06D80C01" w14:textId="27C58814" w:rsidR="008D6E4A" w:rsidRPr="00341C66" w:rsidRDefault="008D6E4A" w:rsidP="008D6E4A">
      <w:pPr>
        <w:rPr>
          <w:rFonts w:eastAsiaTheme="minorHAnsi"/>
        </w:rPr>
      </w:pPr>
      <w:r w:rsidRPr="00341C66">
        <w:rPr>
          <w:rFonts w:eastAsiaTheme="minorHAnsi"/>
        </w:rPr>
        <w:t>We also heard that when people left MoP(S) Act employment</w:t>
      </w:r>
      <w:r w:rsidR="00953741">
        <w:rPr>
          <w:rFonts w:eastAsiaTheme="minorHAnsi"/>
        </w:rPr>
        <w:t>,</w:t>
      </w:r>
      <w:r w:rsidRPr="00341C66">
        <w:rPr>
          <w:rFonts w:eastAsiaTheme="minorHAnsi"/>
        </w:rPr>
        <w:t xml:space="preserve"> they often joined a much more professional and accountable workforce</w:t>
      </w:r>
      <w:r w:rsidR="00FB49E9" w:rsidRPr="00FB49E9">
        <w:rPr>
          <w:rFonts w:eastAsiaTheme="minorHAnsi"/>
        </w:rPr>
        <w:t>. One contributor told us</w:t>
      </w:r>
      <w:r w:rsidR="00FB49E9">
        <w:rPr>
          <w:rFonts w:eastAsiaTheme="minorHAnsi"/>
        </w:rPr>
        <w:t xml:space="preserve"> ‘t</w:t>
      </w:r>
      <w:r w:rsidRPr="00FB49E9">
        <w:rPr>
          <w:rFonts w:eastAsiaTheme="minorHAnsi"/>
        </w:rPr>
        <w:t>he culture and practice in my new workplace – in terms of professionalism – is poles apart from the electorate office</w:t>
      </w:r>
      <w:r w:rsidRPr="00DE6776">
        <w:rPr>
          <w:rFonts w:eastAsiaTheme="minorHAnsi"/>
          <w:i/>
        </w:rPr>
        <w:t>.’</w:t>
      </w:r>
      <w:r w:rsidRPr="00341C66">
        <w:rPr>
          <w:rFonts w:eastAsiaTheme="minorHAnsi"/>
        </w:rPr>
        <w:t xml:space="preserve">   </w:t>
      </w:r>
    </w:p>
    <w:p w14:paraId="29513ADC" w14:textId="77777777" w:rsidR="00D4333F" w:rsidRPr="00D4333F" w:rsidRDefault="00D4333F" w:rsidP="002D66A6">
      <w:pPr>
        <w:rPr>
          <w:i/>
        </w:rPr>
      </w:pPr>
      <w:r w:rsidRPr="00D4333F">
        <w:rPr>
          <w:i/>
        </w:rPr>
        <w:t>Leadership</w:t>
      </w:r>
    </w:p>
    <w:p w14:paraId="2C4BE21D" w14:textId="7B2AE003" w:rsidR="00A601F9" w:rsidRDefault="00A601F9" w:rsidP="00A601F9">
      <w:r>
        <w:t xml:space="preserve">Some </w:t>
      </w:r>
      <w:r w:rsidR="00207173">
        <w:t>contributors</w:t>
      </w:r>
      <w:r>
        <w:t xml:space="preserve"> told the </w:t>
      </w:r>
      <w:r w:rsidR="00AA3AC2">
        <w:t>R</w:t>
      </w:r>
      <w:r>
        <w:t xml:space="preserve">eview </w:t>
      </w:r>
      <w:r w:rsidR="00FB49E9">
        <w:t>about</w:t>
      </w:r>
      <w:r w:rsidR="000D755F">
        <w:t xml:space="preserve"> </w:t>
      </w:r>
      <w:r>
        <w:t xml:space="preserve">parliamentarians </w:t>
      </w:r>
      <w:r w:rsidR="000D755F">
        <w:t xml:space="preserve">not </w:t>
      </w:r>
      <w:r w:rsidR="00FB49E9">
        <w:t xml:space="preserve">being </w:t>
      </w:r>
      <w:r w:rsidR="000D755F">
        <w:t xml:space="preserve">held to </w:t>
      </w:r>
      <w:r>
        <w:t>account</w:t>
      </w:r>
      <w:r w:rsidR="00FB49E9">
        <w:t xml:space="preserve"> for their </w:t>
      </w:r>
      <w:r w:rsidR="000D755F">
        <w:t>poor behaviour</w:t>
      </w:r>
      <w:r w:rsidR="00FB49E9">
        <w:t>.</w:t>
      </w:r>
      <w:r>
        <w:t xml:space="preserve"> </w:t>
      </w:r>
      <w:r w:rsidR="00FB49E9">
        <w:t>We</w:t>
      </w:r>
      <w:r>
        <w:t xml:space="preserve"> heard consistently that strong leadership is the hallmark of accountable and high</w:t>
      </w:r>
      <w:r w:rsidR="00AE09C5">
        <w:noBreakHyphen/>
      </w:r>
      <w:r>
        <w:t xml:space="preserve">performing offices. </w:t>
      </w:r>
      <w:r w:rsidR="00953741">
        <w:t>Contributors</w:t>
      </w:r>
      <w:r>
        <w:t xml:space="preserve"> believe leadership by the parliamentarian or office manager is the measure that will most improve accountability</w:t>
      </w:r>
      <w:r w:rsidR="00FB49E9">
        <w:t xml:space="preserve"> of MoP(S) </w:t>
      </w:r>
      <w:r w:rsidR="00955B68">
        <w:t xml:space="preserve">Act </w:t>
      </w:r>
      <w:r w:rsidR="00FB49E9">
        <w:t>employees for their conduct and performance</w:t>
      </w:r>
      <w:r>
        <w:t>; 84</w:t>
      </w:r>
      <w:r w:rsidR="00FB49E9">
        <w:t> </w:t>
      </w:r>
      <w:r w:rsidR="00651B59">
        <w:t>per</w:t>
      </w:r>
      <w:r w:rsidR="00FB49E9">
        <w:t> </w:t>
      </w:r>
      <w:r w:rsidR="00651B59">
        <w:t>cent</w:t>
      </w:r>
      <w:r>
        <w:t xml:space="preserve"> of </w:t>
      </w:r>
      <w:r w:rsidR="00953741">
        <w:t xml:space="preserve">survey </w:t>
      </w:r>
      <w:r>
        <w:t>respondents thought this would have a positive or substantially positive impact</w:t>
      </w:r>
      <w:r w:rsidR="00B15CF2">
        <w:t xml:space="preserve"> </w:t>
      </w:r>
      <w:r w:rsidR="00B10EA8">
        <w:t>(</w:t>
      </w:r>
      <w:r w:rsidR="00B15CF2" w:rsidRPr="00714A50">
        <w:t xml:space="preserve">see </w:t>
      </w:r>
      <w:r w:rsidR="003D5BAD">
        <w:t>F</w:t>
      </w:r>
      <w:r w:rsidR="00B15CF2" w:rsidRPr="00714A50">
        <w:t xml:space="preserve">igure </w:t>
      </w:r>
      <w:r w:rsidR="00714A50" w:rsidRPr="00714A50">
        <w:t>1</w:t>
      </w:r>
      <w:r w:rsidR="001F539B">
        <w:t>2</w:t>
      </w:r>
      <w:r w:rsidR="00B10EA8">
        <w:t>)</w:t>
      </w:r>
      <w:r>
        <w:t xml:space="preserve">. This reinforces what people told the </w:t>
      </w:r>
      <w:r w:rsidR="00AA3AC2">
        <w:t>R</w:t>
      </w:r>
      <w:r>
        <w:t xml:space="preserve">eview in interviews and submissions. Many </w:t>
      </w:r>
      <w:r w:rsidR="00207173">
        <w:t>contributors</w:t>
      </w:r>
      <w:r>
        <w:t xml:space="preserve"> also told the </w:t>
      </w:r>
      <w:r w:rsidR="00AA3AC2">
        <w:t>R</w:t>
      </w:r>
      <w:r>
        <w:t>eview they worked in excellent offices, where the high</w:t>
      </w:r>
      <w:r w:rsidR="00FB49E9">
        <w:noBreakHyphen/>
      </w:r>
      <w:r>
        <w:t xml:space="preserve">performing and positive work culture was led by capable managers – both senior employees and parliamentarians. </w:t>
      </w:r>
    </w:p>
    <w:p w14:paraId="762E445B" w14:textId="36E0D77D" w:rsidR="00775A3D" w:rsidRDefault="007639C1" w:rsidP="00A601F9">
      <w:pPr>
        <w:rPr>
          <w:rFonts w:eastAsiaTheme="minorHAnsi"/>
        </w:rPr>
      </w:pPr>
      <w:r w:rsidRPr="00341C66">
        <w:rPr>
          <w:rFonts w:eastAsiaTheme="minorHAnsi"/>
        </w:rPr>
        <w:t xml:space="preserve">We heard from </w:t>
      </w:r>
      <w:r w:rsidR="00207173" w:rsidRPr="00341C66">
        <w:rPr>
          <w:rFonts w:eastAsiaTheme="minorHAnsi"/>
        </w:rPr>
        <w:t>contributors</w:t>
      </w:r>
      <w:r w:rsidRPr="00341C66">
        <w:rPr>
          <w:rFonts w:eastAsiaTheme="minorHAnsi"/>
        </w:rPr>
        <w:t xml:space="preserve"> who had an overwhelmingly positive experience working as a MoP(S) Act employee</w:t>
      </w:r>
      <w:r w:rsidR="00FB49E9">
        <w:rPr>
          <w:rFonts w:eastAsiaTheme="minorHAnsi"/>
        </w:rPr>
        <w:t xml:space="preserve">, and these tended to </w:t>
      </w:r>
      <w:r w:rsidR="001B041E">
        <w:rPr>
          <w:rFonts w:eastAsiaTheme="minorHAnsi"/>
        </w:rPr>
        <w:t>highlight</w:t>
      </w:r>
      <w:r w:rsidR="00FB49E9">
        <w:rPr>
          <w:rFonts w:eastAsiaTheme="minorHAnsi"/>
        </w:rPr>
        <w:t xml:space="preserve"> the quality of the leadership as an important factor</w:t>
      </w:r>
      <w:r w:rsidR="00953741">
        <w:rPr>
          <w:rFonts w:eastAsiaTheme="minorHAnsi"/>
        </w:rPr>
        <w:t>.</w:t>
      </w:r>
    </w:p>
    <w:p w14:paraId="68013E62" w14:textId="77777777" w:rsidR="00775A3D" w:rsidRDefault="007639C1" w:rsidP="00971ECB">
      <w:pPr>
        <w:pStyle w:val="ListParagraph"/>
        <w:numPr>
          <w:ilvl w:val="0"/>
          <w:numId w:val="25"/>
        </w:numPr>
        <w:rPr>
          <w:rFonts w:eastAsiaTheme="minorHAnsi"/>
        </w:rPr>
      </w:pPr>
      <w:r w:rsidRPr="00FB49E9">
        <w:rPr>
          <w:rFonts w:eastAsiaTheme="minorHAnsi"/>
        </w:rPr>
        <w:t xml:space="preserve">‘Working as an adviser for a </w:t>
      </w:r>
      <w:r w:rsidR="00020D6B" w:rsidRPr="00FB49E9">
        <w:rPr>
          <w:rFonts w:eastAsiaTheme="minorHAnsi"/>
        </w:rPr>
        <w:t>p</w:t>
      </w:r>
      <w:r w:rsidRPr="00FB49E9">
        <w:rPr>
          <w:rFonts w:eastAsiaTheme="minorHAnsi"/>
        </w:rPr>
        <w:t>arliamentarian was the most rewarding and enjoyable experience of my career.’</w:t>
      </w:r>
    </w:p>
    <w:p w14:paraId="12C32207" w14:textId="77777777" w:rsidR="00775A3D" w:rsidRDefault="007639C1" w:rsidP="00971ECB">
      <w:pPr>
        <w:pStyle w:val="ListParagraph"/>
        <w:numPr>
          <w:ilvl w:val="0"/>
          <w:numId w:val="25"/>
        </w:numPr>
        <w:rPr>
          <w:rFonts w:eastAsiaTheme="minorHAnsi"/>
        </w:rPr>
      </w:pPr>
      <w:r w:rsidRPr="00FB49E9">
        <w:rPr>
          <w:rFonts w:eastAsiaTheme="minorHAnsi"/>
        </w:rPr>
        <w:t>‘I had a great boss and enjoyed my work with him.’</w:t>
      </w:r>
    </w:p>
    <w:p w14:paraId="62FD13A6" w14:textId="41A052E6" w:rsidR="006C4F05" w:rsidRPr="00FB49E9" w:rsidRDefault="007639C1" w:rsidP="00971ECB">
      <w:pPr>
        <w:pStyle w:val="ListParagraph"/>
        <w:numPr>
          <w:ilvl w:val="0"/>
          <w:numId w:val="25"/>
        </w:numPr>
      </w:pPr>
      <w:r w:rsidRPr="00FB49E9">
        <w:rPr>
          <w:rFonts w:eastAsiaTheme="minorHAnsi"/>
        </w:rPr>
        <w:t>‘I</w:t>
      </w:r>
      <w:r w:rsidR="00C505A7">
        <w:rPr>
          <w:rFonts w:eastAsiaTheme="minorHAnsi"/>
        </w:rPr>
        <w:t>’ve</w:t>
      </w:r>
      <w:r w:rsidRPr="00FB49E9">
        <w:rPr>
          <w:rFonts w:eastAsiaTheme="minorHAnsi"/>
        </w:rPr>
        <w:t xml:space="preserve"> been fortunate to serve in offices with outstanding chiefs of staff and parliamentarians who hold themselves to (the) highest levels, and created safe and supportive environments for staff.’</w:t>
      </w:r>
    </w:p>
    <w:p w14:paraId="501D8318" w14:textId="77777777" w:rsidR="00A601F9" w:rsidRDefault="00A601F9" w:rsidP="00051BDA">
      <w:pPr>
        <w:pStyle w:val="Heading3"/>
      </w:pPr>
      <w:r>
        <w:t xml:space="preserve">Options for improvement </w:t>
      </w:r>
    </w:p>
    <w:p w14:paraId="22DC91EA" w14:textId="309A48D1" w:rsidR="00B15CF2" w:rsidRDefault="00A448A1" w:rsidP="00A43081">
      <w:r>
        <w:t xml:space="preserve">The survey showed strong support for a range of measures – </w:t>
      </w:r>
      <w:r w:rsidR="00956B3E">
        <w:t>in addition to</w:t>
      </w:r>
      <w:r>
        <w:t xml:space="preserve"> strong leadership –</w:t>
      </w:r>
      <w:r w:rsidR="00FE0DAD">
        <w:t xml:space="preserve"> </w:t>
      </w:r>
      <w:r w:rsidR="002D3E9C">
        <w:t>to</w:t>
      </w:r>
      <w:r>
        <w:t xml:space="preserve"> improve accountability. These include position descriptions, training and standards of behaviour. As previously noted, the </w:t>
      </w:r>
      <w:r w:rsidR="00AA3AC2">
        <w:t>R</w:t>
      </w:r>
      <w:r>
        <w:t xml:space="preserve">eview recommends that </w:t>
      </w:r>
      <w:r w:rsidR="009B65DF">
        <w:t xml:space="preserve">parliamentarians recruit staff against </w:t>
      </w:r>
      <w:r w:rsidR="00B47281">
        <w:t xml:space="preserve">a </w:t>
      </w:r>
      <w:r w:rsidR="009B65DF">
        <w:t>specified</w:t>
      </w:r>
      <w:r w:rsidR="00341C66">
        <w:t xml:space="preserve"> position description</w:t>
      </w:r>
      <w:r>
        <w:t xml:space="preserve"> (Recommendation </w:t>
      </w:r>
      <w:r w:rsidR="009B65DF">
        <w:t>7</w:t>
      </w:r>
      <w:r>
        <w:t>).</w:t>
      </w:r>
    </w:p>
    <w:p w14:paraId="14709BEB" w14:textId="77777777" w:rsidR="00714A50" w:rsidRDefault="00714A50" w:rsidP="00714A50">
      <w:pPr>
        <w:pStyle w:val="Figure"/>
      </w:pPr>
    </w:p>
    <w:p w14:paraId="77051A3A" w14:textId="4F8DA6DA" w:rsidR="00B15CF2" w:rsidRDefault="009053B6" w:rsidP="00596AC5">
      <w:r>
        <w:rPr>
          <w:noProof/>
          <w:lang w:eastAsia="en-AU"/>
        </w:rPr>
        <w:drawing>
          <wp:inline distT="0" distB="0" distL="0" distR="0" wp14:anchorId="28C71D89" wp14:editId="440B0DD3">
            <wp:extent cx="5854700" cy="6169660"/>
            <wp:effectExtent l="0" t="0" r="0" b="2540"/>
            <wp:docPr id="30" name="Picture 30" descr="Complaints process&#10;Positive impact - 252&#10;Negative impact - 52&#10;No impact - 27&#10;Don't know - 55&#10;&#10;Leadership by the office/parliamentarian&#10;Positive impact - 322&#10;Negative impact - 33&#10;No impact - 9&#10;Don't know - 21&#10;&#10;Performance management&#10;Positive impact - 265&#10;Negative impact - 54&#10;No impact - 32&#10;Don't know - 34&#10;&#10;Position duties/job descriptions&#10;Positive impact - 278&#10;Negative impact - 35&#10;No impact - 46&#10;Don't know - 23&#10;&#10;Public reporting on the MoP(S) Act employment framework&#10;Positive impact - 197&#10;Negative impact - 32&#10;No impact - 68&#10;Don't know - 88&#10;&#10;Standards for behaviour&#10;Positive impact - 294&#10;Negative impact - 40&#10;No impact - 21&#10;Don't know - 29&#10;&#10;Training&#10;Positive impact - 295&#10;Negative impact - 31&#10;No impact - 29&#10;Don't know - 29" title="Survey results on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PAct-Infographics-300922-F12-Surveyresultslr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5452" cy="6170452"/>
                    </a:xfrm>
                    <a:prstGeom prst="rect">
                      <a:avLst/>
                    </a:prstGeom>
                  </pic:spPr>
                </pic:pic>
              </a:graphicData>
            </a:graphic>
          </wp:inline>
        </w:drawing>
      </w:r>
      <w:r w:rsidR="00EB0574" w:rsidRPr="00EB0574">
        <w:rPr>
          <w:highlight w:val="yellow"/>
        </w:rPr>
        <w:t xml:space="preserve"> </w:t>
      </w:r>
    </w:p>
    <w:p w14:paraId="173B0477" w14:textId="7E743D69" w:rsidR="00A448A1" w:rsidRDefault="00A448A1" w:rsidP="00596AC5">
      <w:r>
        <w:t>Other initiatives to improve accountability</w:t>
      </w:r>
      <w:r w:rsidR="00C51E60">
        <w:t>, being progressed separately to this Review,</w:t>
      </w:r>
      <w:r>
        <w:t xml:space="preserve"> are set out below.</w:t>
      </w:r>
    </w:p>
    <w:p w14:paraId="4E270D6A" w14:textId="77777777" w:rsidR="00A601F9" w:rsidRPr="005E0C47" w:rsidRDefault="00C02B62" w:rsidP="00051BDA">
      <w:pPr>
        <w:pStyle w:val="Heading4"/>
        <w:rPr>
          <w:rStyle w:val="IntenseEmphasis"/>
          <w:i w:val="0"/>
          <w:sz w:val="32"/>
          <w:szCs w:val="28"/>
        </w:rPr>
      </w:pPr>
      <w:r>
        <w:rPr>
          <w:rStyle w:val="IntenseEmphasis"/>
          <w:i w:val="0"/>
        </w:rPr>
        <w:t xml:space="preserve">Improving accountability through the </w:t>
      </w:r>
      <w:r w:rsidR="00A601F9" w:rsidRPr="00596AC5">
        <w:rPr>
          <w:rStyle w:val="IntenseEmphasis"/>
          <w:i w:val="0"/>
        </w:rPr>
        <w:t>OPSC and IPSC</w:t>
      </w:r>
    </w:p>
    <w:p w14:paraId="4B3A8096" w14:textId="77777777" w:rsidR="00D854BC" w:rsidRDefault="00D854BC" w:rsidP="00A601F9">
      <w:r>
        <w:t>T</w:t>
      </w:r>
      <w:r w:rsidR="00A601F9">
        <w:t xml:space="preserve">he proposed OPSC and </w:t>
      </w:r>
      <w:r w:rsidR="00A448A1">
        <w:t>IPSC</w:t>
      </w:r>
      <w:r w:rsidR="00A72516">
        <w:t xml:space="preserve">, </w:t>
      </w:r>
      <w:r w:rsidR="002C0D22">
        <w:t xml:space="preserve">as </w:t>
      </w:r>
      <w:r w:rsidR="00A72516">
        <w:t>recommended by</w:t>
      </w:r>
      <w:r w:rsidR="00A448A1" w:rsidRPr="00A448A1">
        <w:t xml:space="preserve"> </w:t>
      </w:r>
      <w:r w:rsidR="00142173" w:rsidRPr="00142173">
        <w:rPr>
          <w:i/>
        </w:rPr>
        <w:t>Set the Standard</w:t>
      </w:r>
      <w:r w:rsidR="002C0D22">
        <w:rPr>
          <w:i/>
        </w:rPr>
        <w:t>,</w:t>
      </w:r>
      <w:r w:rsidR="00A448A1" w:rsidRPr="00A448A1">
        <w:t xml:space="preserve"> </w:t>
      </w:r>
      <w:r w:rsidR="00A601F9">
        <w:t xml:space="preserve">will have important and complementary roles that will increase the accountability of MoP(S) Act employees. </w:t>
      </w:r>
    </w:p>
    <w:p w14:paraId="1E63D59B" w14:textId="77777777" w:rsidR="00341C66" w:rsidRPr="00D854BC" w:rsidRDefault="00341C66" w:rsidP="00341C66">
      <w:pPr>
        <w:rPr>
          <w:i/>
        </w:rPr>
      </w:pPr>
      <w:r w:rsidRPr="00D854BC">
        <w:rPr>
          <w:i/>
        </w:rPr>
        <w:t>OPSC</w:t>
      </w:r>
    </w:p>
    <w:p w14:paraId="77067059" w14:textId="77777777" w:rsidR="00341C66" w:rsidRPr="0094456B" w:rsidRDefault="00341C66" w:rsidP="00341C66">
      <w:pPr>
        <w:rPr>
          <w:i/>
        </w:rPr>
      </w:pPr>
      <w:r>
        <w:t xml:space="preserve">The OPSC </w:t>
      </w:r>
      <w:r w:rsidR="00AE09C5">
        <w:t>is intended to</w:t>
      </w:r>
      <w:r>
        <w:t xml:space="preserve"> foster the leadership skills of managers and senior MoP(S) Act </w:t>
      </w:r>
      <w:r w:rsidR="002751A5">
        <w:t>employees</w:t>
      </w:r>
      <w:r>
        <w:t>. People management and inclusive leadership training will be provided to this cohort</w:t>
      </w:r>
      <w:r w:rsidR="00854A2C">
        <w:t>.</w:t>
      </w:r>
      <w:r w:rsidR="00854A2C">
        <w:rPr>
          <w:rStyle w:val="FootnoteReference"/>
        </w:rPr>
        <w:footnoteReference w:id="217"/>
      </w:r>
    </w:p>
    <w:p w14:paraId="2DEB8579" w14:textId="77777777" w:rsidR="001E1640" w:rsidRDefault="00341C66" w:rsidP="00341C66">
      <w:r>
        <w:t xml:space="preserve">The OPSC will also </w:t>
      </w:r>
      <w:r w:rsidRPr="00E461D1">
        <w:t xml:space="preserve">support parliamentarians and their </w:t>
      </w:r>
      <w:r w:rsidR="002751A5">
        <w:t>employees</w:t>
      </w:r>
      <w:r w:rsidRPr="00E461D1">
        <w:t xml:space="preserve"> by </w:t>
      </w:r>
      <w:r w:rsidR="00105154">
        <w:t>offer</w:t>
      </w:r>
      <w:r w:rsidRPr="00E461D1">
        <w:t xml:space="preserve">ing centralised </w:t>
      </w:r>
      <w:r w:rsidR="002C0D22">
        <w:t>HR</w:t>
      </w:r>
      <w:r w:rsidRPr="00E461D1">
        <w:t xml:space="preserve"> </w:t>
      </w:r>
      <w:r w:rsidR="004A4EF1">
        <w:t>resources</w:t>
      </w:r>
      <w:r w:rsidRPr="00E461D1">
        <w:t xml:space="preserve"> with a focus on policy development, training, advice and education. </w:t>
      </w:r>
      <w:r w:rsidR="0026117B">
        <w:t xml:space="preserve">The Review expects the OPSC will be able to </w:t>
      </w:r>
      <w:r w:rsidR="00105154">
        <w:t>provide</w:t>
      </w:r>
      <w:r w:rsidR="0026117B">
        <w:t xml:space="preserve"> targeted support to parliamentarians and senior MoP(S) Act </w:t>
      </w:r>
      <w:r w:rsidR="002751A5">
        <w:t>employees</w:t>
      </w:r>
      <w:r w:rsidR="0026117B">
        <w:t xml:space="preserve"> on managing misconduct and performance. </w:t>
      </w:r>
      <w:r w:rsidRPr="00E461D1">
        <w:t xml:space="preserve">The OPSC </w:t>
      </w:r>
      <w:r>
        <w:t>will</w:t>
      </w:r>
      <w:r w:rsidR="00AE09C5">
        <w:t xml:space="preserve"> also be able to</w:t>
      </w:r>
      <w:r w:rsidRPr="00E461D1">
        <w:t xml:space="preserve"> drive workforce improvements through standardised policies, processes and programs in relation to recruitment, induction, performance management, professional development and career pathways.</w:t>
      </w:r>
      <w:r>
        <w:t xml:space="preserve"> </w:t>
      </w:r>
    </w:p>
    <w:p w14:paraId="4D110CC1" w14:textId="191AA2FD" w:rsidR="00341C66" w:rsidRDefault="00341C66" w:rsidP="00341C66">
      <w:r>
        <w:t xml:space="preserve">These reforms were recommended by </w:t>
      </w:r>
      <w:r w:rsidRPr="00142173">
        <w:rPr>
          <w:i/>
        </w:rPr>
        <w:t>Set the Standard</w:t>
      </w:r>
      <w:r w:rsidR="00854A2C">
        <w:rPr>
          <w:rStyle w:val="FootnoteReference"/>
          <w:i/>
        </w:rPr>
        <w:footnoteReference w:id="218"/>
      </w:r>
      <w:r>
        <w:t xml:space="preserve"> </w:t>
      </w:r>
      <w:r w:rsidR="00AE09C5">
        <w:t>and are consistent with the</w:t>
      </w:r>
      <w:r>
        <w:t xml:space="preserve"> measures that MoP(S) Act employees we surveyed identified as having a positive impact on accountability</w:t>
      </w:r>
      <w:r w:rsidR="00AE09C5">
        <w:t xml:space="preserve"> (that is, position descriptions, training, leadership, complaint processes, performance management and standards of behaviour).</w:t>
      </w:r>
    </w:p>
    <w:p w14:paraId="22231CDC" w14:textId="4A985E85" w:rsidR="00341C66" w:rsidRDefault="00341C66" w:rsidP="00341C66">
      <w:r>
        <w:t>The OPSC will also be responsible for p</w:t>
      </w:r>
      <w:r w:rsidR="004353F1">
        <w:t xml:space="preserve">roviding a transparent account of </w:t>
      </w:r>
      <w:r>
        <w:t>the MoP(S) Act framework</w:t>
      </w:r>
      <w:r w:rsidR="004353F1">
        <w:t xml:space="preserve"> in its annual report,</w:t>
      </w:r>
      <w:r>
        <w:t xml:space="preserve"> </w:t>
      </w:r>
      <w:r w:rsidR="00E61EB9" w:rsidRPr="00E61EB9">
        <w:t xml:space="preserve">as set out in </w:t>
      </w:r>
      <w:r w:rsidRPr="00E61EB9">
        <w:t>Recommendation 12</w:t>
      </w:r>
      <w:r w:rsidR="00E61EB9" w:rsidRPr="00E61EB9">
        <w:t xml:space="preserve"> and</w:t>
      </w:r>
      <w:r>
        <w:t xml:space="preserve"> discussed </w:t>
      </w:r>
      <w:r w:rsidR="00E61EB9" w:rsidRPr="00E61EB9">
        <w:t xml:space="preserve">further </w:t>
      </w:r>
      <w:r>
        <w:t xml:space="preserve">at </w:t>
      </w:r>
      <w:r w:rsidR="00141813" w:rsidRPr="00E61EB9">
        <w:t xml:space="preserve">Section </w:t>
      </w:r>
      <w:r w:rsidRPr="00E61EB9">
        <w:t>5.</w:t>
      </w:r>
      <w:r w:rsidR="00E61EB9" w:rsidRPr="00E61EB9">
        <w:t>5</w:t>
      </w:r>
      <w:r>
        <w:t>.</w:t>
      </w:r>
    </w:p>
    <w:p w14:paraId="3816E81C" w14:textId="77777777" w:rsidR="00D854BC" w:rsidRPr="00D854BC" w:rsidRDefault="00D854BC" w:rsidP="00A601F9">
      <w:pPr>
        <w:rPr>
          <w:i/>
        </w:rPr>
      </w:pPr>
      <w:r w:rsidRPr="00D854BC">
        <w:rPr>
          <w:i/>
        </w:rPr>
        <w:t>IPSC</w:t>
      </w:r>
    </w:p>
    <w:p w14:paraId="61D338E3" w14:textId="23B7DB83" w:rsidR="00D854BC" w:rsidRDefault="00D854BC" w:rsidP="00A601F9">
      <w:r>
        <w:t>T</w:t>
      </w:r>
      <w:r w:rsidRPr="00F2693A">
        <w:t>he</w:t>
      </w:r>
      <w:r w:rsidR="00880A8A">
        <w:t xml:space="preserve"> Review supports the establishment of the</w:t>
      </w:r>
      <w:r w:rsidRPr="00F67475">
        <w:t xml:space="preserve"> </w:t>
      </w:r>
      <w:r>
        <w:t xml:space="preserve">IPSC </w:t>
      </w:r>
      <w:r w:rsidR="00880A8A">
        <w:t xml:space="preserve">to operate a fair, independent, confidential and transparent system to receive disclosures and handle informal and formal complaints and appeals about misconduct. The proposed IPSC is linked to </w:t>
      </w:r>
      <w:r w:rsidR="005205F3">
        <w:t xml:space="preserve">the </w:t>
      </w:r>
      <w:r w:rsidR="00880A8A">
        <w:t xml:space="preserve">development of codes of conduct. </w:t>
      </w:r>
      <w:r w:rsidR="00880A8A">
        <w:rPr>
          <w:i/>
        </w:rPr>
        <w:t xml:space="preserve">Set the Standard </w:t>
      </w:r>
      <w:r w:rsidR="00880A8A">
        <w:t>proposes that the IPSC would receive all allegations of breaches of the codes of conduct.</w:t>
      </w:r>
      <w:r w:rsidR="00880A8A">
        <w:rPr>
          <w:rStyle w:val="FootnoteReference"/>
        </w:rPr>
        <w:footnoteReference w:id="219"/>
      </w:r>
      <w:r w:rsidR="00880A8A">
        <w:t xml:space="preserve"> The content of the codes, and any recommendations the J</w:t>
      </w:r>
      <w:r w:rsidR="005205F3">
        <w:t xml:space="preserve">oint </w:t>
      </w:r>
      <w:r w:rsidR="00880A8A">
        <w:t>S</w:t>
      </w:r>
      <w:r w:rsidR="005205F3">
        <w:t xml:space="preserve">elect </w:t>
      </w:r>
      <w:r w:rsidR="00880A8A">
        <w:t>C</w:t>
      </w:r>
      <w:r w:rsidR="005205F3">
        <w:t>ommittee</w:t>
      </w:r>
      <w:r w:rsidR="00880A8A">
        <w:t xml:space="preserve"> makes as to their enforcement, will inform the Government’s consideration of the structure, functions and powers of the IPSC.</w:t>
      </w:r>
      <w:r>
        <w:t xml:space="preserve"> </w:t>
      </w:r>
    </w:p>
    <w:p w14:paraId="7F3A3793" w14:textId="77777777" w:rsidR="00A601F9" w:rsidRPr="00123E05" w:rsidRDefault="00A601F9" w:rsidP="00051BDA">
      <w:pPr>
        <w:pStyle w:val="Heading4"/>
        <w:rPr>
          <w:rStyle w:val="IntenseEmphasis"/>
          <w:rFonts w:eastAsiaTheme="minorHAnsi"/>
          <w:i w:val="0"/>
        </w:rPr>
      </w:pPr>
      <w:r w:rsidRPr="00596AC5">
        <w:rPr>
          <w:rStyle w:val="IntenseEmphasis"/>
          <w:i w:val="0"/>
        </w:rPr>
        <w:t>Improving accountability through the NACC</w:t>
      </w:r>
    </w:p>
    <w:p w14:paraId="7772FDCE" w14:textId="24FA5F03" w:rsidR="00A601F9" w:rsidRDefault="00A601F9" w:rsidP="00A601F9">
      <w:r>
        <w:t>In addition to the</w:t>
      </w:r>
      <w:r w:rsidR="00A448A1">
        <w:t xml:space="preserve"> establishment of the</w:t>
      </w:r>
      <w:r>
        <w:t xml:space="preserve"> OPSC and IPSC</w:t>
      </w:r>
      <w:r w:rsidR="00A448A1">
        <w:t>, as recomme</w:t>
      </w:r>
      <w:r w:rsidR="00C02B62">
        <w:t xml:space="preserve">nded by </w:t>
      </w:r>
      <w:r w:rsidR="00142173" w:rsidRPr="00142173">
        <w:rPr>
          <w:i/>
        </w:rPr>
        <w:t>Set the Standard</w:t>
      </w:r>
      <w:r w:rsidR="00C02B62">
        <w:t xml:space="preserve">, another proposed body to strengthen the accountability of Government is the </w:t>
      </w:r>
      <w:r>
        <w:t>National Anti-Corruption Commission (</w:t>
      </w:r>
      <w:r w:rsidRPr="00A831B7">
        <w:t>NACC</w:t>
      </w:r>
      <w:r>
        <w:t>). Where MoP(S) Act employees are alleged to have engaged in serious or systemic corruption</w:t>
      </w:r>
      <w:r w:rsidR="00C02B62">
        <w:t>,</w:t>
      </w:r>
      <w:r>
        <w:t xml:space="preserve"> the </w:t>
      </w:r>
      <w:r w:rsidR="00C51E60">
        <w:t xml:space="preserve">proposed </w:t>
      </w:r>
      <w:r>
        <w:t>NACC w</w:t>
      </w:r>
      <w:r w:rsidR="00C51E60">
        <w:t>ould</w:t>
      </w:r>
      <w:r>
        <w:t xml:space="preserve"> have an important role in </w:t>
      </w:r>
      <w:r w:rsidR="005205F3">
        <w:t>facilitating accountability</w:t>
      </w:r>
      <w:r>
        <w:t xml:space="preserve">.  </w:t>
      </w:r>
    </w:p>
    <w:p w14:paraId="117FCE56" w14:textId="77777777" w:rsidR="00A601F9" w:rsidRPr="00DD28ED" w:rsidRDefault="00A601F9" w:rsidP="00051BDA">
      <w:pPr>
        <w:pStyle w:val="Heading4"/>
        <w:rPr>
          <w:rStyle w:val="IntenseEmphasis"/>
          <w:rFonts w:eastAsiaTheme="minorHAnsi"/>
          <w:i w:val="0"/>
        </w:rPr>
      </w:pPr>
      <w:r w:rsidRPr="00596AC5">
        <w:rPr>
          <w:rStyle w:val="IntenseEmphasis"/>
          <w:i w:val="0"/>
        </w:rPr>
        <w:t>Codes of Conduct</w:t>
      </w:r>
    </w:p>
    <w:p w14:paraId="6F1B6E83" w14:textId="36FC1BC2" w:rsidR="006C4F05" w:rsidRDefault="000B015E" w:rsidP="00A601F9">
      <w:r>
        <w:t>While the</w:t>
      </w:r>
      <w:r w:rsidR="00A601F9">
        <w:t xml:space="preserve"> form, content and enforceability of codes of conduct is a matter for the Joint Select Committee</w:t>
      </w:r>
      <w:r>
        <w:t xml:space="preserve">, we note that </w:t>
      </w:r>
      <w:r w:rsidR="00142173" w:rsidRPr="00142173">
        <w:rPr>
          <w:i/>
        </w:rPr>
        <w:t>Set the Standard</w:t>
      </w:r>
      <w:r w:rsidR="00A601F9">
        <w:t xml:space="preserve"> recommended that the code for </w:t>
      </w:r>
      <w:r w:rsidR="00C51E60">
        <w:t xml:space="preserve">MoP(S) </w:t>
      </w:r>
      <w:r w:rsidR="00955B68">
        <w:t xml:space="preserve">Act </w:t>
      </w:r>
      <w:r w:rsidR="002751A5">
        <w:t>employees</w:t>
      </w:r>
      <w:r w:rsidR="00A601F9">
        <w:t xml:space="preserve"> be legislated in the MoP(S) Act</w:t>
      </w:r>
      <w:r w:rsidR="00F57019">
        <w:t>.</w:t>
      </w:r>
      <w:r w:rsidR="00F57019">
        <w:rPr>
          <w:rStyle w:val="FootnoteReference"/>
        </w:rPr>
        <w:footnoteReference w:id="220"/>
      </w:r>
      <w:r w:rsidR="00A601F9">
        <w:t xml:space="preserve"> </w:t>
      </w:r>
      <w:r>
        <w:t xml:space="preserve">The Committee Resolution states the Joint Select Committee is to consider </w:t>
      </w:r>
      <w:r w:rsidR="00FC0788">
        <w:t>‘</w:t>
      </w:r>
      <w:r w:rsidRPr="000B015E">
        <w:t>the applicability and enforcement of any proposed code in relation to other legislation</w:t>
      </w:r>
      <w:r w:rsidR="00FC0788">
        <w:t>’</w:t>
      </w:r>
      <w:r>
        <w:t>, and recommend options for the e</w:t>
      </w:r>
      <w:r w:rsidR="00B66677">
        <w:t>nforcement of the code/s</w:t>
      </w:r>
      <w:r w:rsidR="00BF2D10">
        <w:t>.</w:t>
      </w:r>
      <w:r w:rsidR="00A44D9B">
        <w:rPr>
          <w:rStyle w:val="FootnoteReference"/>
        </w:rPr>
        <w:footnoteReference w:id="221"/>
      </w:r>
      <w:r w:rsidR="00A44D9B">
        <w:t xml:space="preserve"> T</w:t>
      </w:r>
      <w:r w:rsidR="00B66677">
        <w:t>he question of whether the codes should be mandated by</w:t>
      </w:r>
      <w:r w:rsidR="00771C56">
        <w:t>, or written into</w:t>
      </w:r>
      <w:r w:rsidR="00B66677">
        <w:t xml:space="preserve"> the MoP(S) Act</w:t>
      </w:r>
      <w:r w:rsidR="005205F3">
        <w:t>,</w:t>
      </w:r>
      <w:r w:rsidR="00B66677">
        <w:t xml:space="preserve"> </w:t>
      </w:r>
      <w:r w:rsidR="00771C56">
        <w:t xml:space="preserve">will be a matter for the </w:t>
      </w:r>
      <w:r w:rsidR="00B66677">
        <w:t>Committee</w:t>
      </w:r>
      <w:r w:rsidR="00771C56">
        <w:t xml:space="preserve"> to consider</w:t>
      </w:r>
      <w:r w:rsidR="00B66677">
        <w:t>.</w:t>
      </w:r>
    </w:p>
    <w:p w14:paraId="0A6B9D6A" w14:textId="77777777" w:rsidR="00341C66" w:rsidRDefault="00341C66" w:rsidP="00A601F9"/>
    <w:p w14:paraId="5D82AEDE" w14:textId="77777777" w:rsidR="00A601F9" w:rsidRDefault="00672323" w:rsidP="00672323">
      <w:pPr>
        <w:pStyle w:val="Heading3"/>
      </w:pPr>
      <w:bookmarkStart w:id="5384" w:name="_Toc114230893"/>
      <w:bookmarkStart w:id="5385" w:name="_Toc114232950"/>
      <w:bookmarkStart w:id="5386" w:name="_Toc114233598"/>
      <w:bookmarkStart w:id="5387" w:name="_Toc114233670"/>
      <w:bookmarkStart w:id="5388" w:name="_Toc114240627"/>
      <w:bookmarkStart w:id="5389" w:name="_Toc114240701"/>
      <w:bookmarkStart w:id="5390" w:name="_Toc114241045"/>
      <w:bookmarkStart w:id="5391" w:name="_Toc114494066"/>
      <w:bookmarkStart w:id="5392" w:name="_Toc114500317"/>
      <w:bookmarkStart w:id="5393" w:name="_Toc114500392"/>
      <w:bookmarkStart w:id="5394" w:name="_Toc114518665"/>
      <w:bookmarkStart w:id="5395" w:name="_Toc114520337"/>
      <w:bookmarkStart w:id="5396" w:name="_Toc114520746"/>
      <w:bookmarkStart w:id="5397" w:name="_Toc114565774"/>
      <w:bookmarkStart w:id="5398" w:name="_Toc114566755"/>
      <w:bookmarkStart w:id="5399" w:name="_Toc114566980"/>
      <w:bookmarkStart w:id="5400" w:name="_Toc114566904"/>
      <w:bookmarkStart w:id="5401" w:name="_Toc114585905"/>
      <w:bookmarkStart w:id="5402" w:name="_Toc114586049"/>
      <w:bookmarkStart w:id="5403" w:name="_Toc114586121"/>
      <w:bookmarkStart w:id="5404" w:name="_Toc114601261"/>
      <w:bookmarkStart w:id="5405" w:name="_Toc114657302"/>
      <w:bookmarkStart w:id="5406" w:name="_Toc114659764"/>
      <w:bookmarkStart w:id="5407" w:name="_Toc114662749"/>
      <w:bookmarkStart w:id="5408" w:name="_Toc114665133"/>
      <w:bookmarkStart w:id="5409" w:name="_Toc114672442"/>
      <w:bookmarkStart w:id="5410" w:name="_Toc114672654"/>
      <w:bookmarkStart w:id="5411" w:name="_Toc114673209"/>
      <w:bookmarkStart w:id="5412" w:name="_Toc114673795"/>
      <w:bookmarkStart w:id="5413" w:name="_Toc114674320"/>
      <w:bookmarkStart w:id="5414" w:name="_Toc114687493"/>
      <w:bookmarkStart w:id="5415" w:name="_Toc114689957"/>
      <w:bookmarkStart w:id="5416" w:name="_Toc114731820"/>
      <w:bookmarkStart w:id="5417" w:name="_Toc114733585"/>
      <w:bookmarkStart w:id="5418" w:name="_Toc114735526"/>
      <w:bookmarkStart w:id="5419" w:name="_Toc114755854"/>
      <w:bookmarkStart w:id="5420" w:name="_Toc114757159"/>
      <w:bookmarkStart w:id="5421" w:name="_Toc114757443"/>
      <w:bookmarkStart w:id="5422" w:name="_Toc114757545"/>
      <w:bookmarkStart w:id="5423" w:name="_Toc114758218"/>
      <w:bookmarkStart w:id="5424" w:name="_Toc114824388"/>
      <w:bookmarkStart w:id="5425" w:name="_Toc114829464"/>
      <w:bookmarkStart w:id="5426" w:name="_Toc114829828"/>
      <w:bookmarkStart w:id="5427" w:name="_Toc114829972"/>
      <w:bookmarkStart w:id="5428" w:name="_Toc115099051"/>
      <w:bookmarkStart w:id="5429" w:name="_Toc115099123"/>
      <w:bookmarkStart w:id="5430" w:name="_Toc115101700"/>
      <w:bookmarkStart w:id="5431" w:name="_Toc115102545"/>
      <w:bookmarkStart w:id="5432" w:name="_Toc115105518"/>
      <w:bookmarkStart w:id="5433" w:name="_Toc115110379"/>
      <w:bookmarkStart w:id="5434" w:name="_Toc115110506"/>
      <w:bookmarkStart w:id="5435" w:name="_Toc115121624"/>
      <w:bookmarkStart w:id="5436" w:name="_Toc115121994"/>
      <w:bookmarkStart w:id="5437" w:name="_Toc115123474"/>
      <w:bookmarkStart w:id="5438" w:name="_Toc115123722"/>
      <w:bookmarkStart w:id="5439" w:name="_Toc115126854"/>
      <w:bookmarkStart w:id="5440" w:name="_Toc115185490"/>
      <w:bookmarkStart w:id="5441" w:name="_Toc115186117"/>
      <w:bookmarkStart w:id="5442" w:name="_Toc115189275"/>
      <w:bookmarkStart w:id="5443" w:name="_Toc115194248"/>
      <w:bookmarkStart w:id="5444" w:name="_Toc115194985"/>
      <w:bookmarkStart w:id="5445" w:name="_Toc115196395"/>
      <w:bookmarkStart w:id="5446" w:name="_Toc115198896"/>
      <w:bookmarkStart w:id="5447" w:name="_Toc115208911"/>
      <w:bookmarkStart w:id="5448" w:name="_Toc115209047"/>
      <w:bookmarkStart w:id="5449" w:name="_Toc115210378"/>
      <w:bookmarkStart w:id="5450" w:name="_Toc115212603"/>
      <w:bookmarkStart w:id="5451" w:name="_Toc115213243"/>
      <w:bookmarkStart w:id="5452" w:name="_Toc115216741"/>
      <w:bookmarkStart w:id="5453" w:name="_Toc115270432"/>
      <w:bookmarkStart w:id="5454" w:name="_Toc115271375"/>
      <w:bookmarkStart w:id="5455" w:name="_Toc115272292"/>
      <w:bookmarkStart w:id="5456" w:name="_Toc115273462"/>
      <w:bookmarkStart w:id="5457" w:name="_Toc115273390"/>
      <w:bookmarkStart w:id="5458" w:name="_Toc115274643"/>
      <w:bookmarkStart w:id="5459" w:name="_Toc115274869"/>
      <w:bookmarkStart w:id="5460" w:name="_Toc115275226"/>
      <w:bookmarkStart w:id="5461" w:name="_Toc115275369"/>
      <w:bookmarkStart w:id="5462" w:name="_Toc115274206"/>
      <w:bookmarkStart w:id="5463" w:name="_Toc115274507"/>
      <w:bookmarkStart w:id="5464" w:name="_Toc115274575"/>
      <w:bookmarkStart w:id="5465" w:name="_Toc115274733"/>
      <w:bookmarkStart w:id="5466" w:name="_Toc115277467"/>
      <w:bookmarkStart w:id="5467" w:name="_Toc115277671"/>
      <w:bookmarkStart w:id="5468" w:name="_Toc115278560"/>
      <w:bookmarkStart w:id="5469" w:name="_Toc115278640"/>
      <w:bookmarkStart w:id="5470" w:name="_Toc115282310"/>
      <w:bookmarkStart w:id="5471" w:name="_Toc115284763"/>
      <w:bookmarkStart w:id="5472" w:name="_Toc115286855"/>
      <w:bookmarkStart w:id="5473" w:name="_Toc115294789"/>
      <w:bookmarkStart w:id="5474" w:name="_Toc115296369"/>
      <w:bookmarkStart w:id="5475" w:name="_Toc115308555"/>
      <w:bookmarkStart w:id="5476" w:name="_Toc115311207"/>
      <w:bookmarkStart w:id="5477" w:name="_Toc115312687"/>
      <w:bookmarkStart w:id="5478" w:name="_Toc115343861"/>
      <w:bookmarkStart w:id="5479" w:name="_Toc115348299"/>
      <w:bookmarkStart w:id="5480" w:name="_Toc115350397"/>
      <w:bookmarkStart w:id="5481" w:name="_Toc115353485"/>
      <w:bookmarkStart w:id="5482" w:name="_Toc115359516"/>
      <w:bookmarkStart w:id="5483" w:name="_Toc115361920"/>
      <w:bookmarkStart w:id="5484" w:name="_Toc115364313"/>
      <w:bookmarkStart w:id="5485" w:name="_Toc115365407"/>
      <w:bookmarkStart w:id="5486" w:name="_Toc115365679"/>
      <w:bookmarkStart w:id="5487" w:name="_Toc115365747"/>
      <w:bookmarkStart w:id="5488" w:name="_Toc115366211"/>
      <w:bookmarkStart w:id="5489" w:name="_Toc115368661"/>
      <w:bookmarkStart w:id="5490" w:name="_Toc115370101"/>
      <w:bookmarkStart w:id="5491" w:name="_Toc115370835"/>
      <w:bookmarkStart w:id="5492" w:name="_Toc115374407"/>
      <w:bookmarkStart w:id="5493" w:name="_Toc115378746"/>
      <w:bookmarkStart w:id="5494" w:name="_Toc115380978"/>
      <w:bookmarkStart w:id="5495" w:name="_Toc115384130"/>
      <w:bookmarkStart w:id="5496" w:name="_Toc115387359"/>
      <w:bookmarkStart w:id="5497" w:name="_Toc115388825"/>
      <w:bookmarkStart w:id="5498" w:name="_Toc115431463"/>
      <w:bookmarkStart w:id="5499" w:name="_Toc115432841"/>
      <w:bookmarkStart w:id="5500" w:name="_Toc115434412"/>
      <w:bookmarkStart w:id="5501" w:name="_Toc115434511"/>
      <w:bookmarkStart w:id="5502" w:name="_Toc115434580"/>
      <w:bookmarkStart w:id="5503" w:name="_Toc115434649"/>
      <w:r>
        <w:rPr>
          <w:rStyle w:val="IntenseEmphasis"/>
          <w:b w:val="0"/>
          <w:bCs w:val="0"/>
          <w:i w:val="0"/>
          <w:iCs w:val="0"/>
        </w:rPr>
        <w:t xml:space="preserve">5.3.2 </w:t>
      </w:r>
      <w:r w:rsidR="00A601F9" w:rsidRPr="006C4F05">
        <w:rPr>
          <w:rStyle w:val="IntenseEmphasis"/>
          <w:b w:val="0"/>
          <w:i w:val="0"/>
        </w:rPr>
        <w:t xml:space="preserve">Accountability of </w:t>
      </w:r>
      <w:r w:rsidR="00A601F9">
        <w:t>ministerial staff</w:t>
      </w:r>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14:paraId="797B5FCC" w14:textId="77777777" w:rsidR="00A601F9" w:rsidRPr="003B08AF" w:rsidRDefault="009741C6" w:rsidP="00A601F9">
      <w:r>
        <w:t>M</w:t>
      </w:r>
      <w:r w:rsidR="00A601F9">
        <w:t xml:space="preserve">inisterial staff </w:t>
      </w:r>
      <w:r w:rsidR="00F423F2">
        <w:t xml:space="preserve">are distinct from other MoP(S) Act employees in that they </w:t>
      </w:r>
      <w:r w:rsidR="001140E0">
        <w:t>support</w:t>
      </w:r>
      <w:r w:rsidR="00A601F9">
        <w:t xml:space="preserve"> the executive arm of government and </w:t>
      </w:r>
      <w:r w:rsidR="001140E0">
        <w:t xml:space="preserve">may have </w:t>
      </w:r>
      <w:r w:rsidR="00F423F2">
        <w:t xml:space="preserve">considerable </w:t>
      </w:r>
      <w:r w:rsidR="00A601F9">
        <w:t xml:space="preserve">influence </w:t>
      </w:r>
      <w:r w:rsidR="001140E0">
        <w:t xml:space="preserve">on matters of national </w:t>
      </w:r>
      <w:r w:rsidR="00A601F9">
        <w:t xml:space="preserve">significance.   </w:t>
      </w:r>
    </w:p>
    <w:p w14:paraId="0D171D8F" w14:textId="3FEDD170" w:rsidR="00A601F9" w:rsidRDefault="00A601F9" w:rsidP="00A601F9">
      <w:r>
        <w:t>The fundamental principle underpin</w:t>
      </w:r>
      <w:r w:rsidR="00F423F2">
        <w:t>ning</w:t>
      </w:r>
      <w:r>
        <w:t xml:space="preserve"> the accountability of ministerial staff is that </w:t>
      </w:r>
      <w:r w:rsidR="006A0185">
        <w:t xml:space="preserve">they </w:t>
      </w:r>
      <w:r>
        <w:t>are accountable to their employing minister, who in turn is accountable to parliament.</w:t>
      </w:r>
      <w:r>
        <w:rPr>
          <w:rStyle w:val="FootnoteReference"/>
        </w:rPr>
        <w:footnoteReference w:id="222"/>
      </w:r>
      <w:r w:rsidR="007F4D9E">
        <w:t xml:space="preserve"> </w:t>
      </w:r>
      <w:r w:rsidR="002F75F6">
        <w:t>Yet a</w:t>
      </w:r>
      <w:r w:rsidR="00D12AA7">
        <w:t xml:space="preserve"> number of academics and public commentators </w:t>
      </w:r>
      <w:r w:rsidR="0092253F">
        <w:t xml:space="preserve">have argued </w:t>
      </w:r>
      <w:r w:rsidR="001B4CB9">
        <w:t>this principle is no longer</w:t>
      </w:r>
      <w:r w:rsidR="005A06E3">
        <w:t xml:space="preserve"> fit </w:t>
      </w:r>
      <w:r w:rsidR="005A06E3" w:rsidRPr="00A77A5B">
        <w:t>for purpose</w:t>
      </w:r>
      <w:r w:rsidR="001B4CB9" w:rsidRPr="00A77A5B">
        <w:t xml:space="preserve">, given the growth in the number and </w:t>
      </w:r>
      <w:r w:rsidR="006B194F" w:rsidRPr="00A77A5B">
        <w:t xml:space="preserve">perceived </w:t>
      </w:r>
      <w:r w:rsidR="001B4CB9" w:rsidRPr="00A77A5B">
        <w:t xml:space="preserve">influence of ministerial advisers since the </w:t>
      </w:r>
      <w:r w:rsidR="00D170AD" w:rsidRPr="00A77A5B">
        <w:t>MoP</w:t>
      </w:r>
      <w:r w:rsidR="00AA6B96" w:rsidRPr="00A77A5B">
        <w:t xml:space="preserve">(s) </w:t>
      </w:r>
      <w:r w:rsidR="001B4CB9" w:rsidRPr="00A77A5B">
        <w:t>Act</w:t>
      </w:r>
      <w:r w:rsidR="002F75F6" w:rsidRPr="00A77A5B">
        <w:t xml:space="preserve"> commenced</w:t>
      </w:r>
      <w:r w:rsidR="001B4CB9" w:rsidRPr="00A77A5B">
        <w:t>.</w:t>
      </w:r>
      <w:r w:rsidR="006B194F" w:rsidRPr="00A77A5B">
        <w:t xml:space="preserve"> </w:t>
      </w:r>
    </w:p>
    <w:p w14:paraId="00A4B889" w14:textId="77777777" w:rsidR="00A601F9" w:rsidRDefault="00A601F9" w:rsidP="00051BDA">
      <w:pPr>
        <w:pStyle w:val="Heading3"/>
      </w:pPr>
      <w:r w:rsidRPr="00031F1E">
        <w:t>Current s</w:t>
      </w:r>
      <w:r>
        <w:t>ituation</w:t>
      </w:r>
    </w:p>
    <w:p w14:paraId="4A48065B" w14:textId="77777777" w:rsidR="006116FC" w:rsidRDefault="00471E09" w:rsidP="00A601F9">
      <w:r>
        <w:t>T</w:t>
      </w:r>
      <w:r w:rsidR="001B4CB9">
        <w:t>he number of ministerial staff rose by 32</w:t>
      </w:r>
      <w:r w:rsidR="00651B59">
        <w:t xml:space="preserve"> per cent</w:t>
      </w:r>
      <w:r w:rsidR="001B4CB9">
        <w:t xml:space="preserve"> between 2000 and 2019</w:t>
      </w:r>
      <w:r w:rsidR="00682B01">
        <w:t>.</w:t>
      </w:r>
      <w:r>
        <w:rPr>
          <w:rStyle w:val="FootnoteReference"/>
        </w:rPr>
        <w:footnoteReference w:id="223"/>
      </w:r>
      <w:r>
        <w:t xml:space="preserve"> </w:t>
      </w:r>
    </w:p>
    <w:p w14:paraId="4828BFCE" w14:textId="33859109" w:rsidR="00703E23" w:rsidRDefault="00703E23" w:rsidP="00703E23">
      <w:r>
        <w:t xml:space="preserve">The Ministerial Staff Code </w:t>
      </w:r>
      <w:r w:rsidR="00C3298B">
        <w:t>of Conduct</w:t>
      </w:r>
      <w:r>
        <w:t xml:space="preserve"> is set by the government of the day, and currently codifies the long-standing principle that ministerial staff are accountable to their employing Minister, while Ministers are responsible to parliament.</w:t>
      </w:r>
      <w:r>
        <w:rPr>
          <w:rStyle w:val="FootnoteReference"/>
        </w:rPr>
        <w:footnoteReference w:id="224"/>
      </w:r>
      <w:r>
        <w:t xml:space="preserve"> </w:t>
      </w:r>
    </w:p>
    <w:p w14:paraId="5E53129B" w14:textId="0B1536AC" w:rsidR="00703E23" w:rsidRDefault="00703E23" w:rsidP="00703E23">
      <w:r>
        <w:t xml:space="preserve">Determination 2022/23 requires ministerial staff to comply with the Code, which in turn requires ministerial staff to ‘recognise that [they are] </w:t>
      </w:r>
      <w:r w:rsidRPr="007F27F5">
        <w:t>employed in line with Westminster principles and ar</w:t>
      </w:r>
      <w:r>
        <w:t>e accountable to their Minister’, as well as to ‘r</w:t>
      </w:r>
      <w:r w:rsidRPr="007F27F5">
        <w:t xml:space="preserve">ecognise that executive decisions are the preserve of Ministers and public servants and not ministerial </w:t>
      </w:r>
      <w:r>
        <w:t>staff acting in their own right.’</w:t>
      </w:r>
    </w:p>
    <w:p w14:paraId="63BB648B" w14:textId="7F923489" w:rsidR="00A841A2" w:rsidRPr="00682B01" w:rsidRDefault="00682B01" w:rsidP="00C06118">
      <w:r>
        <w:t xml:space="preserve">A number of interviewees </w:t>
      </w:r>
      <w:r w:rsidR="00F52904">
        <w:t>voiced</w:t>
      </w:r>
      <w:r>
        <w:t xml:space="preserve"> concerns about the </w:t>
      </w:r>
      <w:r w:rsidR="006050AB">
        <w:t xml:space="preserve">influence </w:t>
      </w:r>
      <w:r w:rsidR="001B4C1E">
        <w:t xml:space="preserve">and lack of accountability </w:t>
      </w:r>
      <w:r w:rsidR="006050AB">
        <w:t>of ministerial staff</w:t>
      </w:r>
      <w:r w:rsidR="00F52904">
        <w:t>. Notwithstanding,</w:t>
      </w:r>
      <w:r>
        <w:t xml:space="preserve"> opinion was divided on whether or not staff should be </w:t>
      </w:r>
      <w:r w:rsidR="008D57A8">
        <w:t>compelled</w:t>
      </w:r>
      <w:r>
        <w:t xml:space="preserve"> to appear before parliamentary </w:t>
      </w:r>
      <w:r w:rsidR="00112B66">
        <w:t>c</w:t>
      </w:r>
      <w:r>
        <w:t>ommittees</w:t>
      </w:r>
      <w:r w:rsidR="008F1B63">
        <w:t xml:space="preserve"> (a form of direct accountability to parliament)</w:t>
      </w:r>
      <w:r w:rsidR="00F52904">
        <w:t>, and</w:t>
      </w:r>
      <w:r>
        <w:t xml:space="preserve"> </w:t>
      </w:r>
      <w:r w:rsidR="006050AB">
        <w:t xml:space="preserve">contributors </w:t>
      </w:r>
      <w:r w:rsidRPr="00B81D52">
        <w:t>expressed the view that ministerial staff must remain primarily accountable to</w:t>
      </w:r>
      <w:r>
        <w:t xml:space="preserve"> their employing minister</w:t>
      </w:r>
      <w:r w:rsidR="001140E0">
        <w:t xml:space="preserve">. Although </w:t>
      </w:r>
      <w:r w:rsidR="00A841A2">
        <w:t xml:space="preserve">the </w:t>
      </w:r>
      <w:r w:rsidR="006050AB">
        <w:t xml:space="preserve">accountability </w:t>
      </w:r>
      <w:r>
        <w:t>of min</w:t>
      </w:r>
      <w:r w:rsidR="00A841A2">
        <w:t>isterial staff was a central issue in t</w:t>
      </w:r>
      <w:r w:rsidR="00A841A2" w:rsidRPr="00A841A2">
        <w:t>he</w:t>
      </w:r>
      <w:r w:rsidR="00A841A2">
        <w:t xml:space="preserve"> 2003 </w:t>
      </w:r>
      <w:r w:rsidR="00A841A2" w:rsidRPr="00A841A2">
        <w:t xml:space="preserve">Senate Finance and Public Administration References Committee </w:t>
      </w:r>
      <w:r w:rsidR="00F354DD">
        <w:t>i</w:t>
      </w:r>
      <w:r w:rsidR="00A841A2" w:rsidRPr="00A841A2">
        <w:t xml:space="preserve">nquiry into Members of Parliament Staff (2003 Senate Inquiry) </w:t>
      </w:r>
      <w:r w:rsidR="00A841A2">
        <w:t>and has</w:t>
      </w:r>
      <w:r>
        <w:t xml:space="preserve"> received academic atten</w:t>
      </w:r>
      <w:r w:rsidR="00A841A2">
        <w:t>tion, this issue was</w:t>
      </w:r>
      <w:r>
        <w:t xml:space="preserve"> not widely canvassed in contributions to our Review.</w:t>
      </w:r>
    </w:p>
    <w:p w14:paraId="77F10571" w14:textId="77777777" w:rsidR="00F4093E" w:rsidRDefault="00F4093E" w:rsidP="00C06118">
      <w:pPr>
        <w:rPr>
          <w:i/>
        </w:rPr>
      </w:pPr>
      <w:r w:rsidRPr="0055271A">
        <w:rPr>
          <w:i/>
        </w:rPr>
        <w:t>2003 Senate Inquiry</w:t>
      </w:r>
    </w:p>
    <w:p w14:paraId="746AB649" w14:textId="246F16CB" w:rsidR="00015358" w:rsidRPr="0055271A" w:rsidRDefault="005205F3" w:rsidP="00C06118">
      <w:pPr>
        <w:rPr>
          <w:i/>
        </w:rPr>
      </w:pPr>
      <w:r>
        <w:t xml:space="preserve">The </w:t>
      </w:r>
      <w:r w:rsidR="00063EE0" w:rsidRPr="003B7817">
        <w:t xml:space="preserve">2003 Senate </w:t>
      </w:r>
      <w:r w:rsidR="00143F91">
        <w:t>Inquiry</w:t>
      </w:r>
      <w:r w:rsidR="006050AB" w:rsidRPr="005436DF">
        <w:t xml:space="preserve"> </w:t>
      </w:r>
      <w:r w:rsidR="0062134C" w:rsidRPr="0062134C">
        <w:t xml:space="preserve">was </w:t>
      </w:r>
      <w:r w:rsidR="0062134C">
        <w:t xml:space="preserve">tasked with </w:t>
      </w:r>
      <w:r w:rsidR="00CC4FBC">
        <w:t>evaluating</w:t>
      </w:r>
      <w:r w:rsidR="0062134C" w:rsidRPr="0062134C">
        <w:t xml:space="preserve"> how ministerial </w:t>
      </w:r>
      <w:r w:rsidR="00CC4FBC">
        <w:t>staff should</w:t>
      </w:r>
      <w:r w:rsidR="0062134C" w:rsidRPr="0062134C">
        <w:t xml:space="preserve"> be rendered directly accountable to the parliament</w:t>
      </w:r>
      <w:r w:rsidR="00AE2A34">
        <w:t>,</w:t>
      </w:r>
      <w:r w:rsidR="0062134C" w:rsidRPr="0062134C">
        <w:t xml:space="preserve"> and to the </w:t>
      </w:r>
      <w:r w:rsidR="00C06118" w:rsidRPr="0062134C">
        <w:t>public</w:t>
      </w:r>
      <w:r w:rsidR="00AE2A34">
        <w:t>, in light</w:t>
      </w:r>
      <w:r w:rsidR="0062134C" w:rsidRPr="0062134C">
        <w:t xml:space="preserve"> of </w:t>
      </w:r>
      <w:r w:rsidR="00AE2A34">
        <w:t>the evolution of their role.</w:t>
      </w:r>
      <w:r w:rsidR="0062134C" w:rsidRPr="0062134C">
        <w:rPr>
          <w:vertAlign w:val="superscript"/>
        </w:rPr>
        <w:footnoteReference w:id="225"/>
      </w:r>
      <w:r w:rsidR="00072F12">
        <w:t>Among the</w:t>
      </w:r>
      <w:r w:rsidR="00C06118">
        <w:t xml:space="preserve"> Inquiry</w:t>
      </w:r>
      <w:r w:rsidR="00015358">
        <w:t>’s key</w:t>
      </w:r>
      <w:r w:rsidR="00063EE0">
        <w:t xml:space="preserve"> recommendations </w:t>
      </w:r>
      <w:r w:rsidR="00015358">
        <w:t>were:</w:t>
      </w:r>
    </w:p>
    <w:p w14:paraId="3CE000A3" w14:textId="40E5C99E" w:rsidR="00072F12" w:rsidRDefault="00F4093E" w:rsidP="00072F12">
      <w:pPr>
        <w:pStyle w:val="BulletedList-Level1"/>
      </w:pPr>
      <w:r>
        <w:t xml:space="preserve">disciplining </w:t>
      </w:r>
      <w:r w:rsidR="00072F12">
        <w:t xml:space="preserve">of </w:t>
      </w:r>
      <w:r w:rsidR="00014107">
        <w:t>MoP</w:t>
      </w:r>
      <w:r w:rsidR="001F77C1">
        <w:t>(S)</w:t>
      </w:r>
      <w:r w:rsidR="00072F12">
        <w:t xml:space="preserve"> </w:t>
      </w:r>
      <w:r w:rsidR="000C429B">
        <w:t>Act</w:t>
      </w:r>
      <w:r w:rsidR="00072F12">
        <w:t xml:space="preserve"> </w:t>
      </w:r>
      <w:r w:rsidR="00AE2A34">
        <w:t>employees</w:t>
      </w:r>
      <w:r w:rsidR="00072F12">
        <w:t xml:space="preserve"> should not be allowed to detract from ministerial responsibility for staff actions</w:t>
      </w:r>
      <w:r w:rsidR="00072F12">
        <w:rPr>
          <w:rStyle w:val="FootnoteReference"/>
        </w:rPr>
        <w:footnoteReference w:id="226"/>
      </w:r>
    </w:p>
    <w:p w14:paraId="78853944" w14:textId="77777777" w:rsidR="00427EC2" w:rsidRDefault="00063EE0" w:rsidP="00015358">
      <w:pPr>
        <w:pStyle w:val="BulletedList-Level1"/>
      </w:pPr>
      <w:r>
        <w:t>ministerial staff should appear before parliamentary committees in certain circumstances</w:t>
      </w:r>
      <w:r>
        <w:rPr>
          <w:rStyle w:val="FootnoteReference"/>
        </w:rPr>
        <w:footnoteReference w:id="227"/>
      </w:r>
    </w:p>
    <w:p w14:paraId="29F2CD8E" w14:textId="713675F1" w:rsidR="00C06118" w:rsidRDefault="00072F12" w:rsidP="0055271A">
      <w:pPr>
        <w:pStyle w:val="BulletedList-Level1"/>
      </w:pPr>
      <w:r>
        <w:t xml:space="preserve">the </w:t>
      </w:r>
      <w:r w:rsidR="00014107">
        <w:t>MoP</w:t>
      </w:r>
      <w:r w:rsidR="001F77C1">
        <w:t>(S)</w:t>
      </w:r>
      <w:r>
        <w:t xml:space="preserve"> Act </w:t>
      </w:r>
      <w:r w:rsidR="00F4093E">
        <w:t xml:space="preserve">should </w:t>
      </w:r>
      <w:r>
        <w:t xml:space="preserve">be restructured to define the different categories of </w:t>
      </w:r>
      <w:r w:rsidR="00014107">
        <w:t>MoP</w:t>
      </w:r>
      <w:r w:rsidR="001F77C1">
        <w:t>(S)</w:t>
      </w:r>
      <w:r>
        <w:t xml:space="preserve"> </w:t>
      </w:r>
      <w:r w:rsidR="00136872">
        <w:t xml:space="preserve">Act </w:t>
      </w:r>
      <w:r>
        <w:t>employment</w:t>
      </w:r>
      <w:r>
        <w:rPr>
          <w:rStyle w:val="FootnoteReference"/>
        </w:rPr>
        <w:footnoteReference w:id="228"/>
      </w:r>
      <w:r w:rsidR="006050AB">
        <w:t xml:space="preserve"> (</w:t>
      </w:r>
      <w:r w:rsidR="00926105">
        <w:t xml:space="preserve">as </w:t>
      </w:r>
      <w:r w:rsidR="006050AB">
        <w:t xml:space="preserve">discussed at Section </w:t>
      </w:r>
      <w:r w:rsidR="006050AB" w:rsidRPr="00926105">
        <w:t>3.2)</w:t>
      </w:r>
    </w:p>
    <w:p w14:paraId="62C49122" w14:textId="05AC7922" w:rsidR="00072F12" w:rsidRDefault="00F4093E">
      <w:pPr>
        <w:pStyle w:val="BulletedList-Level1"/>
      </w:pPr>
      <w:r>
        <w:t xml:space="preserve">an annual report on </w:t>
      </w:r>
      <w:r w:rsidR="00014107">
        <w:t>MoP</w:t>
      </w:r>
      <w:r w:rsidR="001F77C1">
        <w:t>(S)</w:t>
      </w:r>
      <w:r>
        <w:t xml:space="preserve"> </w:t>
      </w:r>
      <w:r w:rsidR="002D62B0">
        <w:t xml:space="preserve">Act </w:t>
      </w:r>
      <w:r>
        <w:t>staffing should be prepared (</w:t>
      </w:r>
      <w:r w:rsidR="00926105">
        <w:t xml:space="preserve">as </w:t>
      </w:r>
      <w:r>
        <w:t xml:space="preserve">discussed at </w:t>
      </w:r>
      <w:r w:rsidR="00141813">
        <w:t xml:space="preserve">Section </w:t>
      </w:r>
      <w:r w:rsidR="009C6CEB" w:rsidRPr="00926105">
        <w:t>5.</w:t>
      </w:r>
      <w:r w:rsidR="00B91246" w:rsidRPr="00926105">
        <w:t>5</w:t>
      </w:r>
      <w:r w:rsidR="009C6CEB">
        <w:t>)</w:t>
      </w:r>
    </w:p>
    <w:p w14:paraId="2A00A94F" w14:textId="49B6A170" w:rsidR="00F4093E" w:rsidRDefault="00F4093E" w:rsidP="0055271A">
      <w:pPr>
        <w:pStyle w:val="BulletedList-Level1"/>
      </w:pPr>
      <w:r>
        <w:t xml:space="preserve">a code of conduct for ministerial staff (and ultimately, also a code for non-ministerial </w:t>
      </w:r>
      <w:r w:rsidR="002751A5">
        <w:t>employees</w:t>
      </w:r>
      <w:r>
        <w:t>) should be developed and implemented</w:t>
      </w:r>
      <w:r w:rsidR="00CD3813">
        <w:t xml:space="preserve"> (</w:t>
      </w:r>
      <w:r w:rsidR="00E51683">
        <w:t xml:space="preserve">as </w:t>
      </w:r>
      <w:r w:rsidR="00CD3813">
        <w:t xml:space="preserve">discussed at Section </w:t>
      </w:r>
      <w:r w:rsidR="00CD3813" w:rsidRPr="00E51683">
        <w:t>5.</w:t>
      </w:r>
      <w:r w:rsidR="00E51683" w:rsidRPr="00E51683">
        <w:t>3.2</w:t>
      </w:r>
      <w:r w:rsidR="00CD3813">
        <w:t>)</w:t>
      </w:r>
    </w:p>
    <w:p w14:paraId="766BFB03" w14:textId="77777777" w:rsidR="00A601F9" w:rsidRDefault="00A601F9" w:rsidP="00051BDA">
      <w:pPr>
        <w:pStyle w:val="Heading3"/>
      </w:pPr>
      <w:r w:rsidRPr="00031F1E">
        <w:t>O</w:t>
      </w:r>
      <w:r>
        <w:t>ptions for improvement</w:t>
      </w:r>
    </w:p>
    <w:p w14:paraId="27898E96" w14:textId="3E6FA955" w:rsidR="00A601F9" w:rsidRPr="00F11B4F" w:rsidRDefault="00783D80" w:rsidP="001F0A87">
      <w:pPr>
        <w:pStyle w:val="Heading4"/>
      </w:pPr>
      <w:r>
        <w:t>A</w:t>
      </w:r>
      <w:r w:rsidR="00A601F9" w:rsidRPr="00F11B4F">
        <w:t>ppear</w:t>
      </w:r>
      <w:r w:rsidR="008D57A8">
        <w:t>ing</w:t>
      </w:r>
      <w:r w:rsidR="00A601F9" w:rsidRPr="00F11B4F">
        <w:t xml:space="preserve"> before committees</w:t>
      </w:r>
    </w:p>
    <w:p w14:paraId="632FEAEE" w14:textId="76BD028B" w:rsidR="00BC55FC" w:rsidRDefault="00BC55FC" w:rsidP="00A601F9">
      <w:r>
        <w:t>The Review</w:t>
      </w:r>
      <w:r w:rsidR="006050AB">
        <w:t xml:space="preserve"> notes</w:t>
      </w:r>
      <w:r>
        <w:t xml:space="preserve"> the findings of the </w:t>
      </w:r>
      <w:r w:rsidRPr="005436DF">
        <w:t xml:space="preserve">2003 Senate Inquiry </w:t>
      </w:r>
      <w:r>
        <w:t xml:space="preserve">that there are no legal barriers or other formal rules </w:t>
      </w:r>
      <w:r w:rsidR="00674F77">
        <w:t>that</w:t>
      </w:r>
      <w:r w:rsidR="008F1B63">
        <w:t xml:space="preserve"> </w:t>
      </w:r>
      <w:r>
        <w:t>prevent a ministerial adviser from appearing before a Senate committee</w:t>
      </w:r>
      <w:r w:rsidR="008F1B63">
        <w:t>.</w:t>
      </w:r>
      <w:r w:rsidR="008F1B63">
        <w:rPr>
          <w:rStyle w:val="FootnoteReference"/>
        </w:rPr>
        <w:footnoteReference w:id="229"/>
      </w:r>
      <w:r w:rsidR="00E6483D">
        <w:t xml:space="preserve"> </w:t>
      </w:r>
    </w:p>
    <w:p w14:paraId="40548F84" w14:textId="5DD21F1F" w:rsidR="00703E23" w:rsidRDefault="00DA3574" w:rsidP="00A601F9">
      <w:r>
        <w:t>The 2003 Senate Inquiry recommended that staff should appear in certain circumstances, such as when</w:t>
      </w:r>
      <w:r w:rsidR="00F752AE">
        <w:t xml:space="preserve"> a </w:t>
      </w:r>
      <w:r w:rsidR="00514FBE">
        <w:t>m</w:t>
      </w:r>
      <w:r w:rsidR="00F752AE">
        <w:t xml:space="preserve">inister refuses to appear, </w:t>
      </w:r>
      <w:r w:rsidR="00D92DA6">
        <w:t xml:space="preserve">when </w:t>
      </w:r>
      <w:r w:rsidR="00F752AE">
        <w:t xml:space="preserve">a </w:t>
      </w:r>
      <w:r w:rsidR="00514FBE">
        <w:t>m</w:t>
      </w:r>
      <w:r w:rsidR="00F752AE">
        <w:t xml:space="preserve">inister </w:t>
      </w:r>
      <w:r w:rsidR="00D92DA6">
        <w:t>r</w:t>
      </w:r>
      <w:r w:rsidR="002B5BF7">
        <w:t>enounces</w:t>
      </w:r>
      <w:r w:rsidR="00F752AE">
        <w:t xml:space="preserve"> the staff member’s action, or when information has </w:t>
      </w:r>
      <w:r w:rsidR="00674F77">
        <w:t>not originated</w:t>
      </w:r>
      <w:r w:rsidR="00F752AE">
        <w:t xml:space="preserve"> from, or not been </w:t>
      </w:r>
      <w:r w:rsidR="00674F77">
        <w:t>communicated</w:t>
      </w:r>
      <w:r w:rsidR="00F752AE">
        <w:t xml:space="preserve"> to, the </w:t>
      </w:r>
      <w:r w:rsidR="00514FBE">
        <w:t>m</w:t>
      </w:r>
      <w:r w:rsidR="00525744">
        <w:t>inister</w:t>
      </w:r>
      <w:r>
        <w:t xml:space="preserve">. Some of the Review’s interviewees </w:t>
      </w:r>
      <w:r w:rsidR="0081172A">
        <w:t xml:space="preserve">made similar suggestions. </w:t>
      </w:r>
      <w:r>
        <w:t>.</w:t>
      </w:r>
    </w:p>
    <w:p w14:paraId="071299BE" w14:textId="57D84D84" w:rsidR="00A601F9" w:rsidRDefault="00791B72" w:rsidP="00A601F9">
      <w:r>
        <w:t xml:space="preserve">The Review considers that there is no need to </w:t>
      </w:r>
      <w:r w:rsidR="00703E23">
        <w:t xml:space="preserve">recommend the MoP(S) </w:t>
      </w:r>
      <w:r w:rsidR="00136872">
        <w:t xml:space="preserve">Act </w:t>
      </w:r>
      <w:r w:rsidR="00703E23">
        <w:t>employment framework be changed</w:t>
      </w:r>
      <w:r w:rsidR="00BF6A90">
        <w:t xml:space="preserve"> because there are </w:t>
      </w:r>
      <w:r w:rsidR="00DA3574">
        <w:t>no legislative or other formal impediments to compelling ministerial staff to appear before committees</w:t>
      </w:r>
      <w:r w:rsidR="00703E23">
        <w:t xml:space="preserve">. The Review also notes appearance before committees </w:t>
      </w:r>
      <w:r w:rsidR="00DA3574">
        <w:t xml:space="preserve">was </w:t>
      </w:r>
      <w:r w:rsidR="00703E23">
        <w:t>not a strong theme arising in contributions</w:t>
      </w:r>
      <w:r w:rsidR="00C71908">
        <w:t>,</w:t>
      </w:r>
      <w:r w:rsidR="00982322">
        <w:t xml:space="preserve"> </w:t>
      </w:r>
      <w:r w:rsidR="00703E23">
        <w:t xml:space="preserve">and there is no </w:t>
      </w:r>
      <w:r w:rsidR="00DA3574">
        <w:t xml:space="preserve">consensus </w:t>
      </w:r>
      <w:r w:rsidR="00703E23">
        <w:t>about the benefits</w:t>
      </w:r>
      <w:r w:rsidR="00982322">
        <w:t xml:space="preserve"> of mandating that staff should appear</w:t>
      </w:r>
      <w:r w:rsidR="00703E23">
        <w:t xml:space="preserve"> in particular circumstances</w:t>
      </w:r>
      <w:r w:rsidR="00982322">
        <w:t>.</w:t>
      </w:r>
    </w:p>
    <w:p w14:paraId="6FA0B8E1" w14:textId="77777777" w:rsidR="00C06118" w:rsidRDefault="003F7B66" w:rsidP="00051BDA">
      <w:pPr>
        <w:pStyle w:val="Heading4"/>
        <w:rPr>
          <w:i/>
        </w:rPr>
      </w:pPr>
      <w:r>
        <w:t xml:space="preserve">Strengthening the </w:t>
      </w:r>
      <w:r w:rsidR="00F423F2">
        <w:t xml:space="preserve">Ministerial Staff </w:t>
      </w:r>
      <w:r w:rsidR="00A601F9">
        <w:t>C</w:t>
      </w:r>
      <w:r w:rsidR="00A601F9" w:rsidRPr="00F11B4F">
        <w:t>ode of Conduct</w:t>
      </w:r>
    </w:p>
    <w:p w14:paraId="03E18C0C" w14:textId="1AB1BFD5" w:rsidR="00C4576A" w:rsidDel="00C4576A" w:rsidRDefault="00C4576A" w:rsidP="00C4576A">
      <w:r>
        <w:t xml:space="preserve">Determination </w:t>
      </w:r>
      <w:r w:rsidR="003B1443">
        <w:t>2022/23</w:t>
      </w:r>
      <w:r>
        <w:t xml:space="preserve"> renders compliance with the </w:t>
      </w:r>
      <w:r w:rsidR="003B329A">
        <w:t>Ministerial Staff Code of Code</w:t>
      </w:r>
      <w:r>
        <w:t xml:space="preserve"> a condition of employment for ministerial staff. As such, any failure to comply with (for example) a reasonable direction to appear before a Committee, any inappropriate usurpation of a </w:t>
      </w:r>
      <w:r w:rsidR="00884E7A">
        <w:t>m</w:t>
      </w:r>
      <w:r>
        <w:t xml:space="preserve">inister’s powers, or any failure to hand over information to a minister would be a breach of the ministerial staff member’s terms of employment, and grounds for termination. The Determination functions as an accountability mechanism, giving the </w:t>
      </w:r>
      <w:r w:rsidR="00884E7A">
        <w:t>c</w:t>
      </w:r>
      <w:r>
        <w:t xml:space="preserve">ode </w:t>
      </w:r>
      <w:r w:rsidR="00020D6B">
        <w:t>‘’</w:t>
      </w:r>
      <w:r>
        <w:t>teeth</w:t>
      </w:r>
      <w:r w:rsidR="00020D6B">
        <w:t>’’.</w:t>
      </w:r>
    </w:p>
    <w:p w14:paraId="7EC66905" w14:textId="45207DA2" w:rsidR="00BC55FC" w:rsidRDefault="001A785D" w:rsidP="00BC55FC">
      <w:r>
        <w:t xml:space="preserve">However, </w:t>
      </w:r>
      <w:r w:rsidR="003B1443">
        <w:t xml:space="preserve">neither </w:t>
      </w:r>
      <w:r w:rsidR="0037608C" w:rsidDel="003B1443">
        <w:t>the</w:t>
      </w:r>
      <w:r w:rsidR="0037608C">
        <w:t xml:space="preserve"> </w:t>
      </w:r>
      <w:r w:rsidR="003B329A">
        <w:t>Ministerial Staff Code of Code</w:t>
      </w:r>
      <w:r w:rsidR="0037608C">
        <w:t xml:space="preserve"> </w:t>
      </w:r>
      <w:r w:rsidR="003B1443">
        <w:t>nor</w:t>
      </w:r>
      <w:r w:rsidR="0037608C">
        <w:t xml:space="preserve"> </w:t>
      </w:r>
      <w:r w:rsidR="00884E7A">
        <w:t>d</w:t>
      </w:r>
      <w:r w:rsidR="0037608C">
        <w:t>etermination</w:t>
      </w:r>
      <w:r w:rsidR="001363C6">
        <w:t xml:space="preserve"> spell out exactly what a ministerial advisor is accountable for; whether the adviser is accountable to </w:t>
      </w:r>
      <w:r w:rsidR="00884E7A">
        <w:t>p</w:t>
      </w:r>
      <w:r w:rsidR="001363C6">
        <w:t xml:space="preserve">arliament in certain circumstances; and what </w:t>
      </w:r>
      <w:r w:rsidR="00111AD4">
        <w:t xml:space="preserve">sanctions </w:t>
      </w:r>
      <w:r w:rsidR="001363C6">
        <w:t xml:space="preserve">attach to </w:t>
      </w:r>
      <w:r w:rsidR="001363C6" w:rsidRPr="00FD5372">
        <w:t xml:space="preserve">breaches of the </w:t>
      </w:r>
      <w:r w:rsidR="00884E7A">
        <w:t>c</w:t>
      </w:r>
      <w:r w:rsidR="001363C6" w:rsidRPr="00FD5372">
        <w:t>ode</w:t>
      </w:r>
      <w:r w:rsidR="00655838" w:rsidRPr="00FD5372">
        <w:t>.</w:t>
      </w:r>
      <w:r w:rsidR="00015CB4" w:rsidRPr="00FD5372">
        <w:rPr>
          <w:rStyle w:val="FootnoteReference"/>
        </w:rPr>
        <w:footnoteReference w:id="230"/>
      </w:r>
      <w:r w:rsidR="001363C6" w:rsidRPr="00FD5372">
        <w:t xml:space="preserve"> </w:t>
      </w:r>
      <w:r w:rsidR="003B1443" w:rsidRPr="00FD5372">
        <w:t>The Review also notes</w:t>
      </w:r>
      <w:r w:rsidR="001363C6" w:rsidRPr="00FD5372">
        <w:t xml:space="preserve"> both the </w:t>
      </w:r>
      <w:r w:rsidR="003B329A">
        <w:t>Ministerial Staff Code of Code</w:t>
      </w:r>
      <w:r w:rsidR="001363C6" w:rsidRPr="00FD5372">
        <w:t xml:space="preserve"> and the </w:t>
      </w:r>
      <w:r w:rsidR="00884E7A">
        <w:t>d</w:t>
      </w:r>
      <w:r w:rsidR="001363C6" w:rsidRPr="00FD5372">
        <w:t>etermination are subject to change.</w:t>
      </w:r>
      <w:r w:rsidR="00AE2A34" w:rsidRPr="00FD5372">
        <w:t xml:space="preserve"> The </w:t>
      </w:r>
      <w:r w:rsidR="00BC55FC" w:rsidRPr="00FD5372">
        <w:t xml:space="preserve">question of whether such codes should be amended or legislated (and related, whether sanctions for breach should be legislated) is </w:t>
      </w:r>
      <w:r w:rsidR="00B0536E" w:rsidRPr="00FD5372">
        <w:t>outside</w:t>
      </w:r>
      <w:r w:rsidR="00BC55FC" w:rsidRPr="00FD5372">
        <w:t xml:space="preserve"> the scope of this Review</w:t>
      </w:r>
      <w:r w:rsidR="00237081" w:rsidRPr="00FD5372">
        <w:t xml:space="preserve"> </w:t>
      </w:r>
      <w:r w:rsidR="00B0536E" w:rsidRPr="00FD5372">
        <w:t>and could</w:t>
      </w:r>
      <w:r w:rsidR="00237081" w:rsidRPr="00FD5372">
        <w:t xml:space="preserve"> be considered by </w:t>
      </w:r>
      <w:r w:rsidR="00B0536E" w:rsidRPr="00FD5372">
        <w:t>Government</w:t>
      </w:r>
      <w:r w:rsidR="00237081" w:rsidRPr="00FD5372">
        <w:t xml:space="preserve"> after the </w:t>
      </w:r>
      <w:r w:rsidR="00B0536E" w:rsidRPr="00FD5372">
        <w:t>Joint Select Committee reports</w:t>
      </w:r>
      <w:r w:rsidR="00BC55FC" w:rsidRPr="00FD5372">
        <w:t>.</w:t>
      </w:r>
      <w:r w:rsidR="00BC55FC">
        <w:t xml:space="preserve"> </w:t>
      </w:r>
    </w:p>
    <w:p w14:paraId="1CB7DBA8" w14:textId="77777777" w:rsidR="00A601F9" w:rsidRPr="006F62BD" w:rsidRDefault="00A601F9" w:rsidP="006F62BD">
      <w:pPr>
        <w:pStyle w:val="Heading4"/>
        <w:rPr>
          <w:rStyle w:val="IntenseEmphasis"/>
          <w:b w:val="0"/>
          <w:bCs w:val="0"/>
          <w:i w:val="0"/>
          <w:iCs w:val="0"/>
        </w:rPr>
      </w:pPr>
      <w:r w:rsidRPr="006F62BD">
        <w:rPr>
          <w:rStyle w:val="IntenseEmphasis"/>
          <w:b w:val="0"/>
          <w:bCs w:val="0"/>
          <w:i w:val="0"/>
          <w:iCs w:val="0"/>
        </w:rPr>
        <w:t>Restructuring the MoP(S) Act</w:t>
      </w:r>
    </w:p>
    <w:p w14:paraId="05541767" w14:textId="35D348F0" w:rsidR="00A62B9D" w:rsidRDefault="00AE2A34" w:rsidP="00A601F9">
      <w:r>
        <w:t xml:space="preserve">Creating a separate category of </w:t>
      </w:r>
      <w:r w:rsidR="00A601F9">
        <w:t>the</w:t>
      </w:r>
      <w:r w:rsidR="00EB15B4">
        <w:t xml:space="preserve"> MoP(S)</w:t>
      </w:r>
      <w:r w:rsidR="00A601F9">
        <w:t xml:space="preserve"> </w:t>
      </w:r>
      <w:r>
        <w:t>Act for ministerial staff</w:t>
      </w:r>
      <w:r w:rsidR="00A601F9">
        <w:t xml:space="preserve">, discussed </w:t>
      </w:r>
      <w:r w:rsidR="009C0D81" w:rsidRPr="009C0D81">
        <w:t>at</w:t>
      </w:r>
      <w:r w:rsidR="00A601F9">
        <w:t xml:space="preserve"> </w:t>
      </w:r>
      <w:r w:rsidR="00141813">
        <w:t>Section</w:t>
      </w:r>
      <w:r w:rsidR="002C1AA9">
        <w:t xml:space="preserve"> </w:t>
      </w:r>
      <w:r w:rsidR="002C1AA9" w:rsidRPr="004B48E3">
        <w:t>3</w:t>
      </w:r>
      <w:r w:rsidRPr="004B48E3">
        <w:t>.2</w:t>
      </w:r>
      <w:r w:rsidR="004B48E3">
        <w:t>,</w:t>
      </w:r>
      <w:r>
        <w:t xml:space="preserve"> is a first step towards clearer articulation of the responsibilities (and could pave the way for strengthened</w:t>
      </w:r>
      <w:r w:rsidR="00A601F9">
        <w:t xml:space="preserve"> accountability</w:t>
      </w:r>
      <w:r>
        <w:t>) of</w:t>
      </w:r>
      <w:r w:rsidDel="002F75F6">
        <w:t xml:space="preserve"> </w:t>
      </w:r>
      <w:r>
        <w:t>ministerial staff.</w:t>
      </w:r>
      <w:r w:rsidR="00A601F9">
        <w:t xml:space="preserve"> </w:t>
      </w:r>
      <w:r w:rsidR="009B0045">
        <w:t xml:space="preserve">We </w:t>
      </w:r>
      <w:r w:rsidR="00A601F9">
        <w:t xml:space="preserve">recommend that the personal staff of Ministers should be recognised as a separate category of  </w:t>
      </w:r>
      <w:r w:rsidR="002751A5">
        <w:t>employee</w:t>
      </w:r>
      <w:r w:rsidR="00A601F9">
        <w:t xml:space="preserve"> in the Act. </w:t>
      </w:r>
    </w:p>
    <w:p w14:paraId="41CE4116" w14:textId="747F68C1" w:rsidR="00A62B9D" w:rsidRDefault="00A601F9" w:rsidP="00A601F9">
      <w:r>
        <w:t xml:space="preserve">Distinguishing between </w:t>
      </w:r>
      <w:r w:rsidR="00514FBE">
        <w:t>m</w:t>
      </w:r>
      <w:r>
        <w:t xml:space="preserve">inisterial staff and other MoP(S) </w:t>
      </w:r>
      <w:r w:rsidR="000C429B">
        <w:t>Act</w:t>
      </w:r>
      <w:r>
        <w:t xml:space="preserve"> </w:t>
      </w:r>
      <w:r w:rsidR="002751A5">
        <w:t>employees</w:t>
      </w:r>
      <w:r>
        <w:t xml:space="preserve"> is reflective of the separation of powers doctrine, which holds that the executive (of which </w:t>
      </w:r>
      <w:r w:rsidR="00514FBE">
        <w:t>m</w:t>
      </w:r>
      <w:r>
        <w:t xml:space="preserve">inisters and their </w:t>
      </w:r>
      <w:r w:rsidR="002751A5">
        <w:t>employees</w:t>
      </w:r>
      <w:r>
        <w:t xml:space="preserve"> are a part) and the legislature (of which other parliamentarians and their </w:t>
      </w:r>
      <w:r w:rsidR="002751A5">
        <w:t>employees</w:t>
      </w:r>
      <w:r>
        <w:t xml:space="preserve"> are a</w:t>
      </w:r>
      <w:r w:rsidR="002C1AA9">
        <w:t xml:space="preserve"> </w:t>
      </w:r>
      <w:r>
        <w:t xml:space="preserve">part) should be independent of each other, so far as possible, so that each can hold the other to account. </w:t>
      </w:r>
    </w:p>
    <w:p w14:paraId="256ED87F" w14:textId="15338C1A" w:rsidR="001E610B" w:rsidRDefault="009C3443" w:rsidP="00A601F9">
      <w:r>
        <w:t>To be clear,</w:t>
      </w:r>
      <w:r w:rsidR="00A601F9">
        <w:t xml:space="preserve"> this structural change will not</w:t>
      </w:r>
      <w:r>
        <w:t>,</w:t>
      </w:r>
      <w:r w:rsidR="00A601F9">
        <w:t xml:space="preserve"> in substance</w:t>
      </w:r>
      <w:r>
        <w:t>,</w:t>
      </w:r>
      <w:r w:rsidR="00643332">
        <w:t xml:space="preserve"> affect the role and duties of m</w:t>
      </w:r>
      <w:r w:rsidR="00A601F9">
        <w:t>inisterial staff</w:t>
      </w:r>
      <w:r>
        <w:t xml:space="preserve"> under the Act itself. However</w:t>
      </w:r>
      <w:r w:rsidR="00A601F9">
        <w:t>,</w:t>
      </w:r>
      <w:r w:rsidR="00643332">
        <w:t xml:space="preserve"> categorising staff of the executive separately from staff serving the legislature </w:t>
      </w:r>
      <w:r w:rsidR="00A601F9">
        <w:t xml:space="preserve">brings the </w:t>
      </w:r>
      <w:r w:rsidR="00A62B9D">
        <w:t xml:space="preserve">MoP(S) </w:t>
      </w:r>
      <w:r w:rsidR="00A601F9">
        <w:t xml:space="preserve">Act into alignment with the Constitutional </w:t>
      </w:r>
      <w:r w:rsidR="00EE7AA1">
        <w:t>P</w:t>
      </w:r>
      <w:r w:rsidR="00A601F9">
        <w:t>rinciple, as well as the approach taken in other jurisdictions</w:t>
      </w:r>
      <w:r w:rsidR="001E610B">
        <w:t>.</w:t>
      </w:r>
      <w:r w:rsidR="00643332">
        <w:t xml:space="preserve"> </w:t>
      </w:r>
    </w:p>
    <w:p w14:paraId="547272CE" w14:textId="14ECFE6D" w:rsidR="00A601F9" w:rsidRDefault="001E610B" w:rsidP="00A601F9">
      <w:r>
        <w:t>The Review considers that this separation will also</w:t>
      </w:r>
      <w:r w:rsidR="00643332">
        <w:t xml:space="preserve"> signpost that the different categories of </w:t>
      </w:r>
      <w:r w:rsidR="00A601F9">
        <w:t xml:space="preserve">staff may be subject to different regulatory treatment (e.g., in </w:t>
      </w:r>
      <w:r w:rsidR="00202276">
        <w:t xml:space="preserve">formulating </w:t>
      </w:r>
      <w:r w:rsidR="00643332">
        <w:t xml:space="preserve">codes of conduct, </w:t>
      </w:r>
      <w:r w:rsidR="00202276">
        <w:t xml:space="preserve">in </w:t>
      </w:r>
      <w:r w:rsidR="00545406">
        <w:t>d</w:t>
      </w:r>
      <w:r w:rsidR="00A601F9">
        <w:t>eterminations made under the Act, in policy material, or by future legislators).</w:t>
      </w:r>
      <w:r>
        <w:t xml:space="preserve"> This proposed amendment to the MoP(S) Act will create a framework </w:t>
      </w:r>
      <w:r w:rsidR="00202276">
        <w:t>that can facilitate the application of additional accountability measures to ministerial staff where such measures are deemed necessary, recognising the fact that ministerial staff may need to be held to higher standards of behaviour.</w:t>
      </w:r>
    </w:p>
    <w:p w14:paraId="45AB1A35" w14:textId="77777777" w:rsidR="00672323" w:rsidRDefault="00672323" w:rsidP="008A58F5"/>
    <w:p w14:paraId="50194722" w14:textId="77777777" w:rsidR="001745BA" w:rsidRPr="006502FC" w:rsidRDefault="00672323" w:rsidP="00672323">
      <w:pPr>
        <w:pStyle w:val="Heading3"/>
      </w:pPr>
      <w:bookmarkStart w:id="5504" w:name="_Toc114230898"/>
      <w:bookmarkStart w:id="5505" w:name="_Toc114233603"/>
      <w:bookmarkStart w:id="5506" w:name="_Toc114233675"/>
      <w:bookmarkStart w:id="5507" w:name="_Toc114240632"/>
      <w:bookmarkStart w:id="5508" w:name="_Toc114240706"/>
      <w:bookmarkStart w:id="5509" w:name="_Toc114241050"/>
      <w:bookmarkStart w:id="5510" w:name="_Toc114494071"/>
      <w:bookmarkStart w:id="5511" w:name="_Toc114500322"/>
      <w:bookmarkStart w:id="5512" w:name="_Toc114500397"/>
      <w:bookmarkStart w:id="5513" w:name="_Toc114518670"/>
      <w:bookmarkStart w:id="5514" w:name="_Toc114520342"/>
      <w:bookmarkStart w:id="5515" w:name="_Toc114520751"/>
      <w:bookmarkStart w:id="5516" w:name="_Toc114565779"/>
      <w:bookmarkStart w:id="5517" w:name="_Toc114566760"/>
      <w:bookmarkStart w:id="5518" w:name="_Toc114566985"/>
      <w:bookmarkStart w:id="5519" w:name="_Toc114566909"/>
      <w:bookmarkStart w:id="5520" w:name="_Toc114585910"/>
      <w:bookmarkStart w:id="5521" w:name="_Toc114586054"/>
      <w:bookmarkStart w:id="5522" w:name="_Toc114586126"/>
      <w:bookmarkStart w:id="5523" w:name="_Toc114601266"/>
      <w:bookmarkStart w:id="5524" w:name="_Toc114657307"/>
      <w:bookmarkStart w:id="5525" w:name="_Toc114659769"/>
      <w:bookmarkStart w:id="5526" w:name="_Toc114662754"/>
      <w:bookmarkStart w:id="5527" w:name="_Toc114665137"/>
      <w:bookmarkStart w:id="5528" w:name="_Toc114672445"/>
      <w:bookmarkStart w:id="5529" w:name="_Toc114672657"/>
      <w:bookmarkStart w:id="5530" w:name="_Toc114673212"/>
      <w:bookmarkStart w:id="5531" w:name="_Toc114673798"/>
      <w:bookmarkStart w:id="5532" w:name="_Toc114674323"/>
      <w:bookmarkStart w:id="5533" w:name="_Toc114687496"/>
      <w:bookmarkStart w:id="5534" w:name="_Toc114689960"/>
      <w:bookmarkStart w:id="5535" w:name="_Toc114731823"/>
      <w:bookmarkStart w:id="5536" w:name="_Toc114733588"/>
      <w:bookmarkStart w:id="5537" w:name="_Toc114735529"/>
      <w:bookmarkStart w:id="5538" w:name="_Toc114755855"/>
      <w:bookmarkStart w:id="5539" w:name="_Toc114757160"/>
      <w:bookmarkStart w:id="5540" w:name="_Toc114757444"/>
      <w:bookmarkStart w:id="5541" w:name="_Toc114757546"/>
      <w:bookmarkStart w:id="5542" w:name="_Toc114758219"/>
      <w:bookmarkStart w:id="5543" w:name="_Toc114824389"/>
      <w:bookmarkStart w:id="5544" w:name="_Toc114829465"/>
      <w:bookmarkStart w:id="5545" w:name="_Toc114829829"/>
      <w:bookmarkStart w:id="5546" w:name="_Toc114829973"/>
      <w:bookmarkStart w:id="5547" w:name="_Toc115099052"/>
      <w:bookmarkStart w:id="5548" w:name="_Toc115099124"/>
      <w:bookmarkStart w:id="5549" w:name="_Toc115101701"/>
      <w:bookmarkStart w:id="5550" w:name="_Toc115102546"/>
      <w:bookmarkStart w:id="5551" w:name="_Toc115105519"/>
      <w:bookmarkStart w:id="5552" w:name="_Toc115110380"/>
      <w:bookmarkStart w:id="5553" w:name="_Toc115110507"/>
      <w:bookmarkStart w:id="5554" w:name="_Toc115121625"/>
      <w:bookmarkStart w:id="5555" w:name="_Toc115121995"/>
      <w:bookmarkStart w:id="5556" w:name="_Toc115123475"/>
      <w:bookmarkStart w:id="5557" w:name="_Toc115123723"/>
      <w:bookmarkStart w:id="5558" w:name="_Toc115126855"/>
      <w:bookmarkStart w:id="5559" w:name="_Toc115185491"/>
      <w:bookmarkStart w:id="5560" w:name="_Toc115186118"/>
      <w:bookmarkStart w:id="5561" w:name="_Toc115189276"/>
      <w:bookmarkStart w:id="5562" w:name="_Toc115194249"/>
      <w:bookmarkStart w:id="5563" w:name="_Toc115194986"/>
      <w:bookmarkStart w:id="5564" w:name="_Toc115196396"/>
      <w:bookmarkStart w:id="5565" w:name="_Toc115198897"/>
      <w:bookmarkStart w:id="5566" w:name="_Toc115208912"/>
      <w:bookmarkStart w:id="5567" w:name="_Toc115209048"/>
      <w:bookmarkStart w:id="5568" w:name="_Toc115210379"/>
      <w:bookmarkStart w:id="5569" w:name="_Toc115212604"/>
      <w:bookmarkStart w:id="5570" w:name="_Toc115213244"/>
      <w:bookmarkStart w:id="5571" w:name="_Toc115216742"/>
      <w:bookmarkStart w:id="5572" w:name="_Toc115270433"/>
      <w:bookmarkStart w:id="5573" w:name="_Toc115271376"/>
      <w:bookmarkStart w:id="5574" w:name="_Toc115272293"/>
      <w:bookmarkStart w:id="5575" w:name="_Toc115273463"/>
      <w:bookmarkStart w:id="5576" w:name="_Toc115273391"/>
      <w:bookmarkStart w:id="5577" w:name="_Toc115274644"/>
      <w:bookmarkStart w:id="5578" w:name="_Toc115274870"/>
      <w:bookmarkStart w:id="5579" w:name="_Toc115275227"/>
      <w:bookmarkStart w:id="5580" w:name="_Toc115275370"/>
      <w:bookmarkStart w:id="5581" w:name="_Toc115274207"/>
      <w:bookmarkStart w:id="5582" w:name="_Toc115274508"/>
      <w:bookmarkStart w:id="5583" w:name="_Toc115274576"/>
      <w:bookmarkStart w:id="5584" w:name="_Toc115274734"/>
      <w:bookmarkStart w:id="5585" w:name="_Toc115277468"/>
      <w:bookmarkStart w:id="5586" w:name="_Toc115277672"/>
      <w:bookmarkStart w:id="5587" w:name="_Toc115278561"/>
      <w:bookmarkStart w:id="5588" w:name="_Toc115278641"/>
      <w:bookmarkStart w:id="5589" w:name="_Toc115282311"/>
      <w:bookmarkStart w:id="5590" w:name="_Toc115284764"/>
      <w:bookmarkStart w:id="5591" w:name="_Toc115286856"/>
      <w:bookmarkStart w:id="5592" w:name="_Toc115294790"/>
      <w:bookmarkStart w:id="5593" w:name="_Toc115296370"/>
      <w:bookmarkStart w:id="5594" w:name="_Toc115308556"/>
      <w:bookmarkStart w:id="5595" w:name="_Toc115311208"/>
      <w:bookmarkStart w:id="5596" w:name="_Toc115312688"/>
      <w:bookmarkStart w:id="5597" w:name="_Toc115343862"/>
      <w:bookmarkStart w:id="5598" w:name="_Toc115348300"/>
      <w:bookmarkStart w:id="5599" w:name="_Toc115350398"/>
      <w:bookmarkStart w:id="5600" w:name="_Toc115353486"/>
      <w:bookmarkStart w:id="5601" w:name="_Toc115359517"/>
      <w:bookmarkStart w:id="5602" w:name="_Toc115361921"/>
      <w:bookmarkStart w:id="5603" w:name="_Toc115364314"/>
      <w:bookmarkStart w:id="5604" w:name="_Toc115365408"/>
      <w:bookmarkStart w:id="5605" w:name="_Toc115365680"/>
      <w:bookmarkStart w:id="5606" w:name="_Toc115365748"/>
      <w:bookmarkStart w:id="5607" w:name="_Toc115366212"/>
      <w:bookmarkStart w:id="5608" w:name="_Toc115368662"/>
      <w:bookmarkStart w:id="5609" w:name="_Toc115370102"/>
      <w:bookmarkStart w:id="5610" w:name="_Toc115370836"/>
      <w:bookmarkStart w:id="5611" w:name="_Toc115374408"/>
      <w:bookmarkStart w:id="5612" w:name="_Toc115378747"/>
      <w:bookmarkStart w:id="5613" w:name="_Toc115380979"/>
      <w:bookmarkStart w:id="5614" w:name="_Toc115384131"/>
      <w:bookmarkStart w:id="5615" w:name="_Toc115387360"/>
      <w:bookmarkStart w:id="5616" w:name="_Toc115388826"/>
      <w:bookmarkStart w:id="5617" w:name="_Toc115431464"/>
      <w:bookmarkStart w:id="5618" w:name="_Toc115432842"/>
      <w:bookmarkStart w:id="5619" w:name="_Toc115434413"/>
      <w:bookmarkStart w:id="5620" w:name="_Toc115434512"/>
      <w:bookmarkStart w:id="5621" w:name="_Toc115434581"/>
      <w:bookmarkStart w:id="5622" w:name="_Toc115434650"/>
      <w:r>
        <w:t>5.3.3</w:t>
      </w:r>
      <w:r w:rsidR="001745BA" w:rsidRPr="00610600">
        <w:t xml:space="preserve"> Responsibilit</w:t>
      </w:r>
      <w:r w:rsidR="001745BA">
        <w:t xml:space="preserve">ies of MoP(S) </w:t>
      </w:r>
      <w:r w:rsidR="00171579">
        <w:t xml:space="preserve">Act </w:t>
      </w:r>
      <w:r w:rsidR="001745BA">
        <w:t>employees</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14:paraId="74CAC20F" w14:textId="77777777" w:rsidR="001745BA" w:rsidRDefault="001745BA" w:rsidP="001745BA">
      <w:r w:rsidRPr="00A4356D">
        <w:t xml:space="preserve">MoP(S) Act </w:t>
      </w:r>
      <w:r w:rsidR="002751A5">
        <w:t>employees</w:t>
      </w:r>
      <w:r w:rsidRPr="00A4356D">
        <w:t xml:space="preserve"> are often employed with a</w:t>
      </w:r>
      <w:r w:rsidR="003B1443">
        <w:t xml:space="preserve">n incomplete understanding </w:t>
      </w:r>
      <w:r w:rsidRPr="00A4356D">
        <w:t xml:space="preserve">of what the role entails.  Many </w:t>
      </w:r>
      <w:r w:rsidR="009A59DE">
        <w:t>employees</w:t>
      </w:r>
      <w:r w:rsidRPr="00A4356D">
        <w:t xml:space="preserve"> reported they were aware of the power imbalance between them and their employing parliamentarian, as well as senior </w:t>
      </w:r>
      <w:r w:rsidR="002751A5">
        <w:t>employees</w:t>
      </w:r>
      <w:r w:rsidRPr="00A4356D">
        <w:t xml:space="preserve"> within a parliamentarian’s office. Many </w:t>
      </w:r>
      <w:r w:rsidR="002751A5">
        <w:t>employees</w:t>
      </w:r>
      <w:r w:rsidRPr="00A4356D">
        <w:t xml:space="preserve"> also told the </w:t>
      </w:r>
      <w:r w:rsidR="00AA3AC2">
        <w:t>R</w:t>
      </w:r>
      <w:r w:rsidRPr="00A4356D">
        <w:t xml:space="preserve">eview that there </w:t>
      </w:r>
      <w:r w:rsidR="00773F93">
        <w:t>i</w:t>
      </w:r>
      <w:r w:rsidRPr="00A4356D">
        <w:t xml:space="preserve">s not a culture of raising issues or complaints. These factors can contribute to an environment in which </w:t>
      </w:r>
      <w:r w:rsidR="002751A5">
        <w:t>employees</w:t>
      </w:r>
      <w:r w:rsidRPr="00A4356D">
        <w:t xml:space="preserve"> are </w:t>
      </w:r>
      <w:r w:rsidR="00773F93">
        <w:t>expected</w:t>
      </w:r>
      <w:r w:rsidRPr="00A4356D">
        <w:t xml:space="preserve"> to undertake activities </w:t>
      </w:r>
      <w:r w:rsidR="00773F93">
        <w:t>outside of their role.</w:t>
      </w:r>
    </w:p>
    <w:p w14:paraId="2183AA12" w14:textId="77777777" w:rsidR="001745BA" w:rsidRPr="00A4356D" w:rsidRDefault="001745BA" w:rsidP="001745BA">
      <w:r>
        <w:t>The key issues the Review identified are that:</w:t>
      </w:r>
    </w:p>
    <w:p w14:paraId="53202850" w14:textId="77777777" w:rsidR="001745BA" w:rsidRPr="00A4356D" w:rsidRDefault="006F34EC" w:rsidP="001745BA">
      <w:pPr>
        <w:pStyle w:val="BulletedList-Level1"/>
      </w:pPr>
      <w:r>
        <w:t>t</w:t>
      </w:r>
      <w:r w:rsidR="001745BA" w:rsidRPr="00A4356D">
        <w:t>he standard duties of MoP(S) Act employees are not well articulated</w:t>
      </w:r>
    </w:p>
    <w:p w14:paraId="13B7729C" w14:textId="77777777" w:rsidR="001745BA" w:rsidRPr="00A4356D" w:rsidRDefault="002751A5" w:rsidP="001745BA">
      <w:pPr>
        <w:pStyle w:val="BulletedList-Level1"/>
      </w:pPr>
      <w:r>
        <w:t>employees</w:t>
      </w:r>
      <w:r w:rsidR="001745BA" w:rsidRPr="00A4356D">
        <w:t xml:space="preserve"> are often </w:t>
      </w:r>
      <w:r w:rsidRPr="00A4356D">
        <w:t>e</w:t>
      </w:r>
      <w:r>
        <w:t>ngaged</w:t>
      </w:r>
      <w:r w:rsidRPr="00A4356D">
        <w:t xml:space="preserve"> </w:t>
      </w:r>
      <w:r w:rsidR="001745BA" w:rsidRPr="00A4356D">
        <w:t>with little understanding of what they will be require</w:t>
      </w:r>
      <w:r w:rsidR="001745BA">
        <w:t>d</w:t>
      </w:r>
      <w:r w:rsidR="001745BA" w:rsidRPr="00A4356D">
        <w:t xml:space="preserve"> to do</w:t>
      </w:r>
    </w:p>
    <w:p w14:paraId="7FB49393" w14:textId="77777777" w:rsidR="001745BA" w:rsidRPr="00A4356D" w:rsidRDefault="006F34EC" w:rsidP="001745BA">
      <w:pPr>
        <w:pStyle w:val="BulletedList-Level1"/>
      </w:pPr>
      <w:r>
        <w:t>t</w:t>
      </w:r>
      <w:r w:rsidR="001745BA" w:rsidRPr="00A4356D">
        <w:t xml:space="preserve">raining is inadequate to educate </w:t>
      </w:r>
      <w:r w:rsidR="002751A5">
        <w:t>employees</w:t>
      </w:r>
      <w:r w:rsidR="001745BA" w:rsidRPr="00A4356D">
        <w:t xml:space="preserve"> on what they will be doing</w:t>
      </w:r>
    </w:p>
    <w:p w14:paraId="6AB1F370" w14:textId="540EC868" w:rsidR="00773F93" w:rsidRDefault="006F34EC" w:rsidP="00DB3C93">
      <w:pPr>
        <w:pStyle w:val="BulletedList-Level1"/>
      </w:pPr>
      <w:r>
        <w:t>e</w:t>
      </w:r>
      <w:r w:rsidR="001745BA" w:rsidRPr="00A4356D">
        <w:t xml:space="preserve">xperiences in other jurisdictions, and some submissions to this </w:t>
      </w:r>
      <w:r w:rsidR="00AA3AC2">
        <w:t>R</w:t>
      </w:r>
      <w:r w:rsidR="001745BA" w:rsidRPr="00A4356D">
        <w:t>eview, highlight that MoP(S) Act employees are vulnerable to being directed to do activities they should not</w:t>
      </w:r>
      <w:r w:rsidR="009868AC">
        <w:t>.</w:t>
      </w:r>
    </w:p>
    <w:p w14:paraId="70005B70" w14:textId="438CD801" w:rsidR="00630D8E" w:rsidRPr="00A4356D" w:rsidRDefault="00773F93" w:rsidP="0094456B">
      <w:r>
        <w:t xml:space="preserve">The first three points are addressed in </w:t>
      </w:r>
      <w:r w:rsidR="001B7178">
        <w:t>Section</w:t>
      </w:r>
      <w:r>
        <w:t xml:space="preserve"> </w:t>
      </w:r>
      <w:r w:rsidR="00640595" w:rsidRPr="00825D07">
        <w:t>4</w:t>
      </w:r>
      <w:r>
        <w:t>.</w:t>
      </w:r>
      <w:r w:rsidR="00825D07">
        <w:t>2</w:t>
      </w:r>
      <w:r w:rsidR="00E51683">
        <w:t xml:space="preserve"> on how to set up a parliamentary office for success</w:t>
      </w:r>
      <w:r>
        <w:t>.</w:t>
      </w:r>
    </w:p>
    <w:p w14:paraId="50E13141" w14:textId="77777777" w:rsidR="001745BA" w:rsidRPr="00A4356D" w:rsidRDefault="001745BA" w:rsidP="00051BDA">
      <w:pPr>
        <w:pStyle w:val="Heading3"/>
      </w:pPr>
      <w:r>
        <w:t>Current</w:t>
      </w:r>
      <w:r w:rsidRPr="00A4356D">
        <w:t xml:space="preserve"> s</w:t>
      </w:r>
      <w:r>
        <w:t>ituation</w:t>
      </w:r>
    </w:p>
    <w:p w14:paraId="41D6ED33" w14:textId="7A8E05DB" w:rsidR="00EE791A" w:rsidRPr="00A4356D" w:rsidRDefault="00EE791A" w:rsidP="00993C07">
      <w:r w:rsidRPr="00A4356D">
        <w:t>The MoP(S) Act framework, via a determination,</w:t>
      </w:r>
      <w:r w:rsidRPr="00A4356D">
        <w:rPr>
          <w:i/>
        </w:rPr>
        <w:t xml:space="preserve"> </w:t>
      </w:r>
      <w:r w:rsidRPr="00A4356D">
        <w:t xml:space="preserve">provides that </w:t>
      </w:r>
      <w:r>
        <w:t>‘</w:t>
      </w:r>
      <w:r w:rsidRPr="00A4356D">
        <w:t>electorate officers work under the sole direction of the employing Senator or Member and are employed to assist the Senator or Member to carry out duties as a Member of Parliament, and not for party political purposes</w:t>
      </w:r>
      <w:r>
        <w:t>’.</w:t>
      </w:r>
      <w:r w:rsidRPr="00A4356D">
        <w:rPr>
          <w:vertAlign w:val="superscript"/>
        </w:rPr>
        <w:footnoteReference w:id="231"/>
      </w:r>
      <w:r w:rsidRPr="00A4356D">
        <w:t xml:space="preserve"> The </w:t>
      </w:r>
      <w:r>
        <w:t>d</w:t>
      </w:r>
      <w:r w:rsidRPr="00A4356D">
        <w:t xml:space="preserve">etermination does not provide further guidance on what constitutes ‘party political purposes’. There is no corresponding instrument that prohibits personal staff from undertaking ‘party political’ activities. </w:t>
      </w:r>
    </w:p>
    <w:p w14:paraId="6D568A2D" w14:textId="77777777" w:rsidR="001745BA" w:rsidRPr="000840CE" w:rsidRDefault="001745BA" w:rsidP="00051BDA">
      <w:pPr>
        <w:pStyle w:val="Heading4"/>
      </w:pPr>
      <w:r w:rsidRPr="000840CE">
        <w:t>What we heard</w:t>
      </w:r>
    </w:p>
    <w:p w14:paraId="114AFF13" w14:textId="080CE7C2" w:rsidR="001745BA" w:rsidRDefault="001745BA" w:rsidP="001745BA">
      <w:r w:rsidRPr="00A4356D">
        <w:t xml:space="preserve">The Review heard from some </w:t>
      </w:r>
      <w:r w:rsidR="002751A5">
        <w:t>employees</w:t>
      </w:r>
      <w:r w:rsidRPr="00A4356D">
        <w:t xml:space="preserve"> that they were required to undertake activities that were not within the scope of their role</w:t>
      </w:r>
      <w:r>
        <w:t>, and/or at odds with a publicly funded role.</w:t>
      </w:r>
      <w:r w:rsidRPr="00A4356D">
        <w:t xml:space="preserve"> </w:t>
      </w:r>
      <w:r w:rsidRPr="00B57320">
        <w:t xml:space="preserve">Some academics submitted that a </w:t>
      </w:r>
      <w:r w:rsidR="00166A42">
        <w:t>public</w:t>
      </w:r>
      <w:r w:rsidRPr="00B57320">
        <w:t>ly funded role should not be used for partisan or factional activities.</w:t>
      </w:r>
      <w:r w:rsidRPr="00B57320">
        <w:rPr>
          <w:rStyle w:val="FootnoteReference"/>
        </w:rPr>
        <w:footnoteReference w:id="232"/>
      </w:r>
      <w:r w:rsidRPr="00A4356D">
        <w:t xml:space="preserve"> This was not, however, a strong or consistent theme from </w:t>
      </w:r>
      <w:r w:rsidR="000D17FC">
        <w:t>contributors</w:t>
      </w:r>
      <w:r w:rsidRPr="00A4356D">
        <w:t xml:space="preserve"> to the </w:t>
      </w:r>
      <w:r w:rsidR="00AA3AC2">
        <w:t>R</w:t>
      </w:r>
      <w:r w:rsidRPr="00A4356D">
        <w:t>eview</w:t>
      </w:r>
      <w:r w:rsidR="003C0825">
        <w:t>, nor</w:t>
      </w:r>
      <w:r w:rsidRPr="00A4356D">
        <w:t xml:space="preserve"> was </w:t>
      </w:r>
      <w:r w:rsidR="003C0825">
        <w:t>it</w:t>
      </w:r>
      <w:r w:rsidRPr="00A4356D">
        <w:t xml:space="preserve"> a theme that emerged during targeted stakeholder consultations.</w:t>
      </w:r>
    </w:p>
    <w:p w14:paraId="05283C7F" w14:textId="451A54A6" w:rsidR="00EE791A" w:rsidRDefault="00EE791A" w:rsidP="001745BA">
      <w:r w:rsidRPr="00B57320">
        <w:t>We heard that the MoP(S) Act framework does not distinguish between supporting a parliamentarian in their official functions, and support</w:t>
      </w:r>
      <w:r w:rsidR="002102F2">
        <w:t>ing their</w:t>
      </w:r>
      <w:r w:rsidRPr="00B57320">
        <w:t xml:space="preserve"> personal, electoral, partisan or factional interests.</w:t>
      </w:r>
      <w:r w:rsidRPr="00B57320">
        <w:rPr>
          <w:rStyle w:val="FootnoteReference"/>
        </w:rPr>
        <w:footnoteReference w:id="233"/>
      </w:r>
    </w:p>
    <w:p w14:paraId="73A57746" w14:textId="3AF3BB72" w:rsidR="001745BA" w:rsidRPr="00A4356D" w:rsidRDefault="001745BA" w:rsidP="001745BA">
      <w:r>
        <w:t>We heard from a small number of stakeholders that MoP(S) Act employees should be prohibited from lobbying for a period of time after they leave MoP(S) Act employment.</w:t>
      </w:r>
      <w:r>
        <w:rPr>
          <w:rStyle w:val="FootnoteReference"/>
        </w:rPr>
        <w:footnoteReference w:id="234"/>
      </w:r>
      <w:r>
        <w:t xml:space="preserve"> </w:t>
      </w:r>
      <w:r w:rsidRPr="00B57320">
        <w:t xml:space="preserve">Currently the Ministerial Staff Code </w:t>
      </w:r>
      <w:r w:rsidR="005044CE">
        <w:t xml:space="preserve">of Conduct </w:t>
      </w:r>
      <w:r w:rsidRPr="00B57320">
        <w:t xml:space="preserve">and the Lobbying Code of </w:t>
      </w:r>
      <w:r w:rsidR="002751A5">
        <w:t>C</w:t>
      </w:r>
      <w:r w:rsidR="002751A5" w:rsidRPr="00B57320">
        <w:t xml:space="preserve">onduct </w:t>
      </w:r>
      <w:r w:rsidRPr="00B57320">
        <w:t xml:space="preserve">operate to </w:t>
      </w:r>
      <w:r w:rsidR="0013048C">
        <w:t>bar ministerial staff</w:t>
      </w:r>
      <w:r w:rsidRPr="00B57320">
        <w:t xml:space="preserve">, for </w:t>
      </w:r>
      <w:r w:rsidR="0013048C">
        <w:t xml:space="preserve">a period of </w:t>
      </w:r>
      <w:r w:rsidRPr="00B57320">
        <w:t>12 months</w:t>
      </w:r>
      <w:r w:rsidR="00264C7B" w:rsidRPr="00B57320">
        <w:t xml:space="preserve"> </w:t>
      </w:r>
      <w:r w:rsidR="0013048C">
        <w:t>after</w:t>
      </w:r>
      <w:r w:rsidR="00264C7B" w:rsidRPr="00B57320">
        <w:t xml:space="preserve"> their ministerial employment ceases</w:t>
      </w:r>
      <w:r w:rsidRPr="00B57320">
        <w:t>, from lobbying on any matter that they had official dealings with during the previous 12 months of employment as a ministerial staffer</w:t>
      </w:r>
      <w:r>
        <w:t>.</w:t>
      </w:r>
      <w:r>
        <w:rPr>
          <w:rStyle w:val="FootnoteReference"/>
        </w:rPr>
        <w:footnoteReference w:id="235"/>
      </w:r>
      <w:r>
        <w:t xml:space="preserve">            </w:t>
      </w:r>
      <w:r w:rsidRPr="00A4356D">
        <w:t xml:space="preserve">  </w:t>
      </w:r>
    </w:p>
    <w:p w14:paraId="22FA6BA2" w14:textId="7424DB7D" w:rsidR="006817B4" w:rsidRPr="00A4356D" w:rsidRDefault="006817B4" w:rsidP="006817B4">
      <w:r>
        <w:t xml:space="preserve">For further discussion about </w:t>
      </w:r>
      <w:r w:rsidR="00DE34D2">
        <w:t xml:space="preserve">the potential positive impact in clarifying </w:t>
      </w:r>
      <w:r>
        <w:t xml:space="preserve">responsibilities and position descriptions for MoP(S) Act employees, see Section </w:t>
      </w:r>
      <w:r w:rsidRPr="006817B4">
        <w:t>4.2</w:t>
      </w:r>
      <w:r>
        <w:t>.2.</w:t>
      </w:r>
    </w:p>
    <w:p w14:paraId="2DDDBFE7" w14:textId="6BFE4232" w:rsidR="001745BA" w:rsidRPr="000840CE" w:rsidRDefault="002E7408" w:rsidP="00051BDA">
      <w:pPr>
        <w:pStyle w:val="Heading4"/>
      </w:pPr>
      <w:r>
        <w:t>What others do</w:t>
      </w:r>
    </w:p>
    <w:p w14:paraId="2F17C3FB" w14:textId="7D661EF9" w:rsidR="001745BA" w:rsidRPr="00A4356D" w:rsidRDefault="001745BA" w:rsidP="001745BA">
      <w:r w:rsidRPr="00A4356D">
        <w:t xml:space="preserve">Victorian legislation </w:t>
      </w:r>
      <w:r w:rsidR="004243EE">
        <w:t>was</w:t>
      </w:r>
      <w:r>
        <w:t xml:space="preserve"> recently amended to prohibit electorate office staff</w:t>
      </w:r>
      <w:r w:rsidRPr="00A4356D">
        <w:t xml:space="preserve"> from undertaking party specific activity</w:t>
      </w:r>
      <w:r w:rsidR="00A4284E">
        <w:t>,</w:t>
      </w:r>
      <w:r w:rsidRPr="00A4356D">
        <w:rPr>
          <w:vertAlign w:val="superscript"/>
        </w:rPr>
        <w:footnoteReference w:id="236"/>
      </w:r>
      <w:r w:rsidRPr="00A4356D">
        <w:t xml:space="preserve"> </w:t>
      </w:r>
      <w:r w:rsidR="00A4284E">
        <w:t>which</w:t>
      </w:r>
      <w:r w:rsidRPr="00A4356D">
        <w:t xml:space="preserve"> is defined as any activity for the dominant purpose of directing how a person should vote at an election.</w:t>
      </w:r>
      <w:r w:rsidRPr="00A4356D">
        <w:rPr>
          <w:vertAlign w:val="superscript"/>
        </w:rPr>
        <w:footnoteReference w:id="237"/>
      </w:r>
      <w:r w:rsidRPr="00A4356D">
        <w:t xml:space="preserve"> </w:t>
      </w:r>
      <w:r w:rsidR="009868AC">
        <w:t>The Independent Broad-based Anti-corruption Commission</w:t>
      </w:r>
      <w:r w:rsidRPr="00A4356D">
        <w:t xml:space="preserve"> and the Victorian Ombudsman recommend that the definition of party specific activities be amended to include </w:t>
      </w:r>
      <w:r w:rsidR="00EF6DB4">
        <w:t>‘</w:t>
      </w:r>
      <w:r w:rsidRPr="00A4356D">
        <w:t xml:space="preserve">activities undertaken for the predominant purpose of helping the administration, organisation or management of a political party, including the recruitment and maintenance of party </w:t>
      </w:r>
      <w:r w:rsidR="00EF6DB4">
        <w:t>members’</w:t>
      </w:r>
      <w:r w:rsidRPr="00A4356D">
        <w:t>.</w:t>
      </w:r>
      <w:r w:rsidRPr="00A4356D">
        <w:rPr>
          <w:vertAlign w:val="superscript"/>
        </w:rPr>
        <w:footnoteReference w:id="238"/>
      </w:r>
    </w:p>
    <w:p w14:paraId="3DC63D77" w14:textId="32C6C46A" w:rsidR="001745BA" w:rsidRDefault="001745BA" w:rsidP="001745BA">
      <w:r w:rsidRPr="00A4356D">
        <w:t>South Australia</w:t>
      </w:r>
      <w:r w:rsidR="000073FD">
        <w:t>’s</w:t>
      </w:r>
      <w:r w:rsidRPr="00A4356D">
        <w:t xml:space="preserve"> Ministerial Code of Conduct requires </w:t>
      </w:r>
      <w:r w:rsidR="00514FBE">
        <w:t>m</w:t>
      </w:r>
      <w:r w:rsidRPr="00A4356D">
        <w:t>inisters and ministerial staff to avoid, and avoid any appearance of, using government departmental offices for private purposes or party political purposes.</w:t>
      </w:r>
      <w:r>
        <w:rPr>
          <w:rStyle w:val="FootnoteReference"/>
        </w:rPr>
        <w:footnoteReference w:id="239"/>
      </w:r>
      <w:r w:rsidRPr="00A4356D">
        <w:t xml:space="preserve"> The NSW </w:t>
      </w:r>
      <w:r w:rsidR="00273B4B">
        <w:t xml:space="preserve">Legislative Council Members’ Guide </w:t>
      </w:r>
      <w:r w:rsidR="00476654">
        <w:t xml:space="preserve">also </w:t>
      </w:r>
      <w:r w:rsidRPr="00A4356D">
        <w:t>stipulates that members</w:t>
      </w:r>
      <w:r w:rsidR="00273B4B">
        <w:t xml:space="preserve"> must not use their staff to undertake duties of </w:t>
      </w:r>
      <w:r w:rsidR="00E23E34">
        <w:t xml:space="preserve">a </w:t>
      </w:r>
      <w:r w:rsidR="00273B4B">
        <w:t>direct electioneering or political campaigning nature.</w:t>
      </w:r>
      <w:r>
        <w:rPr>
          <w:rStyle w:val="FootnoteReference"/>
        </w:rPr>
        <w:footnoteReference w:id="240"/>
      </w:r>
    </w:p>
    <w:p w14:paraId="7930CA6E" w14:textId="77777777" w:rsidR="001745BA" w:rsidRPr="00031F1E" w:rsidRDefault="001745BA" w:rsidP="00051BDA">
      <w:pPr>
        <w:pStyle w:val="Heading3"/>
      </w:pPr>
      <w:r w:rsidRPr="00031F1E">
        <w:t>Options</w:t>
      </w:r>
      <w:r>
        <w:t xml:space="preserve"> for improvement</w:t>
      </w:r>
    </w:p>
    <w:p w14:paraId="5FD2D3BF" w14:textId="51BF2D11" w:rsidR="001745BA" w:rsidRPr="00A4356D" w:rsidRDefault="001745BA" w:rsidP="001745BA">
      <w:r w:rsidRPr="00A4356D">
        <w:t xml:space="preserve">The OPSC, once established, will have an important role in shaping the </w:t>
      </w:r>
      <w:r w:rsidR="00640595">
        <w:t xml:space="preserve">expectations and </w:t>
      </w:r>
      <w:r w:rsidRPr="00A4356D">
        <w:t>responsibilities o</w:t>
      </w:r>
      <w:r>
        <w:t>f MoP(S) Act employees</w:t>
      </w:r>
      <w:r w:rsidR="00640595">
        <w:t xml:space="preserve">, including through induction and </w:t>
      </w:r>
      <w:r w:rsidRPr="00A4356D">
        <w:t xml:space="preserve">training </w:t>
      </w:r>
      <w:r w:rsidR="00640595">
        <w:t xml:space="preserve">for </w:t>
      </w:r>
      <w:r w:rsidRPr="00A4356D">
        <w:t>parliamentarians and employees</w:t>
      </w:r>
      <w:r>
        <w:rPr>
          <w:i/>
        </w:rPr>
        <w:t>.</w:t>
      </w:r>
      <w:r w:rsidR="00EF6DB4">
        <w:rPr>
          <w:rStyle w:val="FootnoteReference"/>
          <w:i/>
        </w:rPr>
        <w:footnoteReference w:id="241"/>
      </w:r>
      <w:r>
        <w:t xml:space="preserve"> </w:t>
      </w:r>
      <w:r w:rsidRPr="00A4356D">
        <w:t xml:space="preserve">MoP(S) Act </w:t>
      </w:r>
      <w:r w:rsidR="002751A5">
        <w:t>employees</w:t>
      </w:r>
      <w:r w:rsidRPr="00A4356D">
        <w:t xml:space="preserve"> will be encouraged to seek advice and guidance from the OPSC if they believe they are being </w:t>
      </w:r>
      <w:r w:rsidR="00761CD9">
        <w:t>asked</w:t>
      </w:r>
      <w:r w:rsidRPr="00A4356D">
        <w:t xml:space="preserve"> to undertake work that they should not. These reforms will help shape a workforce where </w:t>
      </w:r>
      <w:r>
        <w:t>employees,</w:t>
      </w:r>
      <w:r w:rsidRPr="00A4356D">
        <w:t xml:space="preserve"> managers </w:t>
      </w:r>
      <w:r>
        <w:t>and employers</w:t>
      </w:r>
      <w:r w:rsidRPr="00A4356D">
        <w:t xml:space="preserve"> know the boundaries of their respective roles and know where to go to for assistance.</w:t>
      </w:r>
      <w:r w:rsidR="003121D4">
        <w:t xml:space="preserve"> </w:t>
      </w:r>
    </w:p>
    <w:p w14:paraId="361234E8" w14:textId="1A3330BF" w:rsidR="001745BA" w:rsidRPr="00123E05" w:rsidRDefault="001745BA" w:rsidP="001745BA">
      <w:r w:rsidRPr="00A4356D">
        <w:t xml:space="preserve">The </w:t>
      </w:r>
      <w:r w:rsidR="00AA3AC2">
        <w:t>R</w:t>
      </w:r>
      <w:r w:rsidRPr="00A4356D">
        <w:t xml:space="preserve">eview is recommending changes to the recruitment of MoP(S) Act employees to support a framework for </w:t>
      </w:r>
      <w:r w:rsidRPr="00300004">
        <w:t xml:space="preserve">accountable </w:t>
      </w:r>
      <w:r w:rsidR="00EF6DB4">
        <w:t>recruitment</w:t>
      </w:r>
      <w:r w:rsidRPr="00A4356D">
        <w:rPr>
          <w:i/>
        </w:rPr>
        <w:t xml:space="preserve"> </w:t>
      </w:r>
      <w:r w:rsidRPr="00A4356D">
        <w:t>(</w:t>
      </w:r>
      <w:r w:rsidR="007B6C8C">
        <w:t xml:space="preserve">see </w:t>
      </w:r>
      <w:r w:rsidR="007B6C8C" w:rsidRPr="007B6C8C">
        <w:t>R</w:t>
      </w:r>
      <w:r w:rsidR="00640595" w:rsidRPr="007B6C8C">
        <w:t>ecommendation</w:t>
      </w:r>
      <w:r w:rsidR="0068209E" w:rsidRPr="007B6C8C">
        <w:t>s</w:t>
      </w:r>
      <w:r w:rsidR="00640595" w:rsidRPr="0068209E">
        <w:t xml:space="preserve"> </w:t>
      </w:r>
      <w:r w:rsidRPr="007B6C8C">
        <w:t xml:space="preserve">7 and </w:t>
      </w:r>
      <w:r w:rsidR="007B6C8C" w:rsidRPr="007B6C8C">
        <w:t>9</w:t>
      </w:r>
      <w:r w:rsidRPr="007B6C8C">
        <w:t>).</w:t>
      </w:r>
      <w:r w:rsidRPr="00A4356D">
        <w:t xml:space="preserve"> These </w:t>
      </w:r>
      <w:r w:rsidR="0068209E">
        <w:t>changes</w:t>
      </w:r>
      <w:r w:rsidRPr="00A4356D">
        <w:t xml:space="preserve"> will also help </w:t>
      </w:r>
      <w:r w:rsidR="0068209E">
        <w:t xml:space="preserve">parliamentarians and MoP(S) </w:t>
      </w:r>
      <w:r w:rsidR="000C429B">
        <w:t xml:space="preserve">Act </w:t>
      </w:r>
      <w:r w:rsidR="0068209E">
        <w:t>employees</w:t>
      </w:r>
      <w:r w:rsidRPr="00A4356D">
        <w:t xml:space="preserve"> understanding of what their role entails</w:t>
      </w:r>
      <w:r>
        <w:t xml:space="preserve"> and</w:t>
      </w:r>
      <w:r w:rsidRPr="00CA27B9">
        <w:t xml:space="preserve"> the knowledge, skills and expertise they are required to bring to the role.</w:t>
      </w:r>
      <w:r w:rsidRPr="00CA27B9" w:rsidDel="00CA27B9">
        <w:t xml:space="preserve"> </w:t>
      </w:r>
    </w:p>
    <w:p w14:paraId="73847F0C" w14:textId="77777777" w:rsidR="00DB5FA9" w:rsidRPr="00123E05" w:rsidRDefault="00DB5FA9" w:rsidP="001745BA"/>
    <w:p w14:paraId="3D0AD63D" w14:textId="77777777" w:rsidR="00A601F9" w:rsidRDefault="00672323" w:rsidP="000840CE">
      <w:pPr>
        <w:pStyle w:val="Heading2"/>
      </w:pPr>
      <w:bookmarkStart w:id="5623" w:name="_Toc104212796"/>
      <w:bookmarkStart w:id="5624" w:name="_Toc109643421"/>
      <w:bookmarkStart w:id="5625" w:name="_Toc114230900"/>
      <w:bookmarkStart w:id="5626" w:name="_Toc114233605"/>
      <w:bookmarkStart w:id="5627" w:name="_Toc114233677"/>
      <w:bookmarkStart w:id="5628" w:name="_Toc114240634"/>
      <w:bookmarkStart w:id="5629" w:name="_Toc114240708"/>
      <w:bookmarkStart w:id="5630" w:name="_Toc114241052"/>
      <w:bookmarkStart w:id="5631" w:name="_Toc114494073"/>
      <w:bookmarkStart w:id="5632" w:name="_Toc114500324"/>
      <w:bookmarkStart w:id="5633" w:name="_Toc114500399"/>
      <w:bookmarkStart w:id="5634" w:name="_Toc114518672"/>
      <w:bookmarkStart w:id="5635" w:name="_Toc114520344"/>
      <w:bookmarkStart w:id="5636" w:name="_Toc114520753"/>
      <w:bookmarkStart w:id="5637" w:name="_Toc114565781"/>
      <w:bookmarkStart w:id="5638" w:name="_Toc114566762"/>
      <w:bookmarkStart w:id="5639" w:name="_Toc114566987"/>
      <w:bookmarkStart w:id="5640" w:name="_Toc114566911"/>
      <w:bookmarkStart w:id="5641" w:name="_Toc114585912"/>
      <w:bookmarkStart w:id="5642" w:name="_Toc114586056"/>
      <w:bookmarkStart w:id="5643" w:name="_Toc114586128"/>
      <w:bookmarkStart w:id="5644" w:name="_Toc114601268"/>
      <w:bookmarkStart w:id="5645" w:name="_Toc114657309"/>
      <w:bookmarkStart w:id="5646" w:name="_Toc114659771"/>
      <w:bookmarkStart w:id="5647" w:name="_Toc114662756"/>
      <w:bookmarkStart w:id="5648" w:name="_Toc114665139"/>
      <w:bookmarkStart w:id="5649" w:name="_Toc114672447"/>
      <w:bookmarkStart w:id="5650" w:name="_Toc114672659"/>
      <w:bookmarkStart w:id="5651" w:name="_Toc114673214"/>
      <w:bookmarkStart w:id="5652" w:name="_Toc114673800"/>
      <w:bookmarkStart w:id="5653" w:name="_Toc114674325"/>
      <w:bookmarkStart w:id="5654" w:name="_Toc114687498"/>
      <w:bookmarkStart w:id="5655" w:name="_Toc114689962"/>
      <w:bookmarkStart w:id="5656" w:name="_Toc114731825"/>
      <w:bookmarkStart w:id="5657" w:name="_Toc114733590"/>
      <w:bookmarkStart w:id="5658" w:name="_Toc114735531"/>
      <w:bookmarkStart w:id="5659" w:name="_Toc114755857"/>
      <w:bookmarkStart w:id="5660" w:name="_Toc114757162"/>
      <w:bookmarkStart w:id="5661" w:name="_Toc114757446"/>
      <w:bookmarkStart w:id="5662" w:name="_Toc114757548"/>
      <w:bookmarkStart w:id="5663" w:name="_Toc114758221"/>
      <w:bookmarkStart w:id="5664" w:name="_Toc114824391"/>
      <w:bookmarkStart w:id="5665" w:name="_Toc114829467"/>
      <w:bookmarkStart w:id="5666" w:name="_Toc114829831"/>
      <w:bookmarkStart w:id="5667" w:name="_Toc114829975"/>
      <w:bookmarkStart w:id="5668" w:name="_Toc115099054"/>
      <w:bookmarkStart w:id="5669" w:name="_Toc115099126"/>
      <w:bookmarkStart w:id="5670" w:name="_Toc115101703"/>
      <w:bookmarkStart w:id="5671" w:name="_Toc115102548"/>
      <w:bookmarkStart w:id="5672" w:name="_Toc115105521"/>
      <w:bookmarkStart w:id="5673" w:name="_Toc115110382"/>
      <w:bookmarkStart w:id="5674" w:name="_Toc115110509"/>
      <w:bookmarkStart w:id="5675" w:name="_Toc115121627"/>
      <w:bookmarkStart w:id="5676" w:name="_Toc115121997"/>
      <w:bookmarkStart w:id="5677" w:name="_Toc115123477"/>
      <w:bookmarkStart w:id="5678" w:name="_Toc115123725"/>
      <w:bookmarkStart w:id="5679" w:name="_Toc115126857"/>
      <w:bookmarkStart w:id="5680" w:name="_Toc115185492"/>
      <w:bookmarkStart w:id="5681" w:name="_Toc115186119"/>
      <w:bookmarkStart w:id="5682" w:name="_Toc115189277"/>
      <w:bookmarkStart w:id="5683" w:name="_Toc115194250"/>
      <w:bookmarkStart w:id="5684" w:name="_Toc115194987"/>
      <w:bookmarkStart w:id="5685" w:name="_Toc115196397"/>
      <w:bookmarkStart w:id="5686" w:name="_Toc115198898"/>
      <w:bookmarkStart w:id="5687" w:name="_Toc115208913"/>
      <w:bookmarkStart w:id="5688" w:name="_Toc115209049"/>
      <w:bookmarkStart w:id="5689" w:name="_Toc115210380"/>
      <w:bookmarkStart w:id="5690" w:name="_Toc115212605"/>
      <w:bookmarkStart w:id="5691" w:name="_Toc115213245"/>
      <w:bookmarkStart w:id="5692" w:name="_Toc115216743"/>
      <w:bookmarkStart w:id="5693" w:name="_Toc115270434"/>
      <w:bookmarkStart w:id="5694" w:name="_Toc115271377"/>
      <w:bookmarkStart w:id="5695" w:name="_Toc115272294"/>
      <w:bookmarkStart w:id="5696" w:name="_Toc115273464"/>
      <w:bookmarkStart w:id="5697" w:name="_Toc115273392"/>
      <w:bookmarkStart w:id="5698" w:name="_Toc115274645"/>
      <w:bookmarkStart w:id="5699" w:name="_Toc115274871"/>
      <w:bookmarkStart w:id="5700" w:name="_Toc115275228"/>
      <w:bookmarkStart w:id="5701" w:name="_Toc115275371"/>
      <w:bookmarkStart w:id="5702" w:name="_Toc115274208"/>
      <w:bookmarkStart w:id="5703" w:name="_Toc115274509"/>
      <w:bookmarkStart w:id="5704" w:name="_Toc115274577"/>
      <w:bookmarkStart w:id="5705" w:name="_Toc115274735"/>
      <w:bookmarkStart w:id="5706" w:name="_Toc115277469"/>
      <w:bookmarkStart w:id="5707" w:name="_Toc115277673"/>
      <w:bookmarkStart w:id="5708" w:name="_Toc115278562"/>
      <w:bookmarkStart w:id="5709" w:name="_Toc115278642"/>
      <w:bookmarkStart w:id="5710" w:name="_Toc115282312"/>
      <w:bookmarkStart w:id="5711" w:name="_Toc115284765"/>
      <w:bookmarkStart w:id="5712" w:name="_Toc115286857"/>
      <w:bookmarkStart w:id="5713" w:name="_Toc115294791"/>
      <w:bookmarkStart w:id="5714" w:name="_Toc115296371"/>
      <w:bookmarkStart w:id="5715" w:name="_Toc115308557"/>
      <w:bookmarkStart w:id="5716" w:name="_Toc115311209"/>
      <w:bookmarkStart w:id="5717" w:name="_Toc115312689"/>
      <w:bookmarkStart w:id="5718" w:name="_Toc115343863"/>
      <w:bookmarkStart w:id="5719" w:name="_Toc115348301"/>
      <w:bookmarkStart w:id="5720" w:name="_Toc115350399"/>
      <w:bookmarkStart w:id="5721" w:name="_Toc115353487"/>
      <w:bookmarkStart w:id="5722" w:name="_Toc115359518"/>
      <w:bookmarkStart w:id="5723" w:name="_Toc115361922"/>
      <w:bookmarkStart w:id="5724" w:name="_Toc115364315"/>
      <w:bookmarkStart w:id="5725" w:name="_Toc115365409"/>
      <w:bookmarkStart w:id="5726" w:name="_Toc115365749"/>
      <w:bookmarkStart w:id="5727" w:name="_Toc115366213"/>
      <w:bookmarkStart w:id="5728" w:name="_Toc115368663"/>
      <w:bookmarkStart w:id="5729" w:name="_Toc115370103"/>
      <w:bookmarkStart w:id="5730" w:name="_Toc115370837"/>
      <w:bookmarkStart w:id="5731" w:name="_Toc115374409"/>
      <w:bookmarkStart w:id="5732" w:name="_Toc115378748"/>
      <w:bookmarkStart w:id="5733" w:name="_Toc115380980"/>
      <w:bookmarkStart w:id="5734" w:name="_Toc115384132"/>
      <w:bookmarkStart w:id="5735" w:name="_Toc115387361"/>
      <w:bookmarkStart w:id="5736" w:name="_Toc115388827"/>
      <w:bookmarkStart w:id="5737" w:name="_Toc115431465"/>
      <w:bookmarkStart w:id="5738" w:name="_Toc115432843"/>
      <w:bookmarkStart w:id="5739" w:name="_Toc115434414"/>
      <w:bookmarkStart w:id="5740" w:name="_Toc115434513"/>
      <w:bookmarkStart w:id="5741" w:name="_Toc115434582"/>
      <w:bookmarkStart w:id="5742" w:name="_Toc115434651"/>
      <w:bookmarkStart w:id="5743" w:name="_Toc115442818"/>
      <w:bookmarkStart w:id="5744" w:name="_Toc115446354"/>
      <w:bookmarkStart w:id="5745" w:name="_Toc115448061"/>
      <w:bookmarkStart w:id="5746" w:name="_Toc115449453"/>
      <w:bookmarkStart w:id="5747" w:name="_Toc115452473"/>
      <w:bookmarkStart w:id="5748" w:name="_Toc115455290"/>
      <w:bookmarkStart w:id="5749" w:name="_Toc115455356"/>
      <w:bookmarkStart w:id="5750" w:name="_Toc115457306"/>
      <w:bookmarkStart w:id="5751" w:name="_Toc115458142"/>
      <w:bookmarkStart w:id="5752" w:name="_Toc115948170"/>
      <w:bookmarkStart w:id="5753" w:name="_Toc115948617"/>
      <w:bookmarkEnd w:id="5623"/>
      <w:bookmarkEnd w:id="5624"/>
      <w:r>
        <w:t>5.4</w:t>
      </w:r>
      <w:r w:rsidR="001745BA">
        <w:t xml:space="preserve"> Expectations and obligations</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63C9A4C5" w14:textId="0A8CB9A9" w:rsidR="00672323" w:rsidRPr="00B0536E" w:rsidRDefault="00A601F9" w:rsidP="00A601F9">
      <w:pPr>
        <w:rPr>
          <w:i/>
        </w:rPr>
      </w:pPr>
      <w:r w:rsidRPr="00031F1E">
        <w:t xml:space="preserve">The </w:t>
      </w:r>
      <w:r w:rsidR="00EB4D0D">
        <w:t>R</w:t>
      </w:r>
      <w:r w:rsidRPr="00031F1E">
        <w:t xml:space="preserve">eview </w:t>
      </w:r>
      <w:r w:rsidR="00B0536E" w:rsidRPr="002F27C0">
        <w:t>heard</w:t>
      </w:r>
      <w:r w:rsidRPr="00031F1E">
        <w:t xml:space="preserve"> that </w:t>
      </w:r>
      <w:r w:rsidR="00B0536E" w:rsidRPr="002F27C0">
        <w:t>parliamentarians and their</w:t>
      </w:r>
      <w:r w:rsidRPr="00031F1E">
        <w:t xml:space="preserve"> employees </w:t>
      </w:r>
      <w:r w:rsidR="00B0536E">
        <w:t xml:space="preserve">were unclear </w:t>
      </w:r>
      <w:r w:rsidRPr="00031F1E">
        <w:t xml:space="preserve">about what was expected of them </w:t>
      </w:r>
      <w:r w:rsidR="00E32D0F">
        <w:t xml:space="preserve">in their respective roles </w:t>
      </w:r>
      <w:r>
        <w:t xml:space="preserve">as employers </w:t>
      </w:r>
      <w:r w:rsidR="00B0536E">
        <w:t>and employees</w:t>
      </w:r>
      <w:r w:rsidR="00B0536E" w:rsidRPr="002F27C0">
        <w:t>.</w:t>
      </w:r>
    </w:p>
    <w:p w14:paraId="49C305C3" w14:textId="6D544F98" w:rsidR="00A601F9" w:rsidRPr="0068209E" w:rsidRDefault="00142173" w:rsidP="00A601F9">
      <w:pPr>
        <w:rPr>
          <w:i/>
        </w:rPr>
      </w:pPr>
      <w:r w:rsidRPr="00142173">
        <w:rPr>
          <w:i/>
        </w:rPr>
        <w:t>Set the Standard</w:t>
      </w:r>
      <w:r w:rsidR="00A601F9">
        <w:t xml:space="preserve"> found, and this </w:t>
      </w:r>
      <w:r w:rsidR="00425A67">
        <w:t>R</w:t>
      </w:r>
      <w:r w:rsidR="00A601F9">
        <w:t xml:space="preserve">eview has confirmed, there is both a </w:t>
      </w:r>
      <w:r w:rsidR="00E23E34">
        <w:t>miscon</w:t>
      </w:r>
      <w:r w:rsidR="00A601F9">
        <w:t xml:space="preserve">ception </w:t>
      </w:r>
      <w:r w:rsidR="0068209E">
        <w:t>Australian workplace</w:t>
      </w:r>
      <w:r w:rsidR="00A601F9">
        <w:t xml:space="preserve"> laws do not apply to </w:t>
      </w:r>
      <w:r w:rsidR="0068209E">
        <w:t>MoP(S) Act employment</w:t>
      </w:r>
      <w:r w:rsidR="00A601F9">
        <w:t xml:space="preserve"> and a lack of awareness </w:t>
      </w:r>
      <w:r w:rsidR="0068209E">
        <w:t>about</w:t>
      </w:r>
      <w:r w:rsidR="00A601F9">
        <w:t xml:space="preserve"> the </w:t>
      </w:r>
      <w:r w:rsidR="0068209E">
        <w:t xml:space="preserve">obligations and protections they </w:t>
      </w:r>
      <w:r w:rsidR="009661AD">
        <w:t>provide</w:t>
      </w:r>
      <w:r w:rsidR="0068209E" w:rsidRPr="002F27C0">
        <w:t>.</w:t>
      </w:r>
      <w:r w:rsidR="00A601F9">
        <w:t xml:space="preserve"> </w:t>
      </w:r>
    </w:p>
    <w:p w14:paraId="5672653A" w14:textId="71549BE8" w:rsidR="00D84AD5" w:rsidRPr="0068209E" w:rsidRDefault="00A601F9" w:rsidP="00D84AD5">
      <w:r w:rsidRPr="00237081">
        <w:t xml:space="preserve">The </w:t>
      </w:r>
      <w:r w:rsidR="00425A67" w:rsidRPr="00237081">
        <w:t>R</w:t>
      </w:r>
      <w:r w:rsidRPr="00237081">
        <w:t xml:space="preserve">eview notes that the </w:t>
      </w:r>
      <w:r w:rsidRPr="00237081">
        <w:rPr>
          <w:i/>
        </w:rPr>
        <w:t xml:space="preserve">Work Health and Safety Act 2011, </w:t>
      </w:r>
      <w:r w:rsidRPr="00237081">
        <w:t xml:space="preserve">the </w:t>
      </w:r>
      <w:r w:rsidRPr="00237081">
        <w:rPr>
          <w:i/>
        </w:rPr>
        <w:t xml:space="preserve">Age Discrimination Act 2004 </w:t>
      </w:r>
      <w:r w:rsidRPr="00237081">
        <w:t xml:space="preserve">and the </w:t>
      </w:r>
      <w:r w:rsidRPr="00237081">
        <w:rPr>
          <w:i/>
        </w:rPr>
        <w:t xml:space="preserve">Disability Discrimination Act 1992 </w:t>
      </w:r>
      <w:r w:rsidRPr="00237081">
        <w:t xml:space="preserve">have been amended to clarify that these laws apply to MoP(S) Act </w:t>
      </w:r>
      <w:r w:rsidR="002751A5" w:rsidRPr="00237081">
        <w:t>employees</w:t>
      </w:r>
      <w:r w:rsidRPr="00237081">
        <w:t xml:space="preserve">. This was recommended by </w:t>
      </w:r>
      <w:r w:rsidR="00142173" w:rsidRPr="00237081">
        <w:rPr>
          <w:i/>
        </w:rPr>
        <w:t>Set the Standard</w:t>
      </w:r>
      <w:r w:rsidRPr="00237081">
        <w:t xml:space="preserve"> and follows amendments to the </w:t>
      </w:r>
      <w:r w:rsidRPr="00237081">
        <w:rPr>
          <w:i/>
        </w:rPr>
        <w:t xml:space="preserve">Sex Discrimination Act 1984 </w:t>
      </w:r>
      <w:r w:rsidR="000E3134">
        <w:t>clarifying</w:t>
      </w:r>
      <w:r w:rsidRPr="00237081">
        <w:t xml:space="preserve"> that the </w:t>
      </w:r>
      <w:r w:rsidRPr="00237081">
        <w:rPr>
          <w:i/>
        </w:rPr>
        <w:t>Sex Discrimination Act</w:t>
      </w:r>
      <w:r w:rsidRPr="00237081">
        <w:t xml:space="preserve"> extends to parliamentarians and MoP(S) Act employees.</w:t>
      </w:r>
      <w:r w:rsidRPr="00237081">
        <w:rPr>
          <w:rStyle w:val="FootnoteReference"/>
        </w:rPr>
        <w:footnoteReference w:id="242"/>
      </w:r>
      <w:r>
        <w:t xml:space="preserve">  </w:t>
      </w:r>
      <w:r w:rsidR="00D84AD5">
        <w:t>As part of this same suite of reforms, the MoP(S) Act itself was amended to clarify the application of existing legislative requirements in relation to termination procedures.</w:t>
      </w:r>
      <w:r w:rsidR="00D84AD5">
        <w:rPr>
          <w:rStyle w:val="FootnoteReference"/>
        </w:rPr>
        <w:footnoteReference w:id="243"/>
      </w:r>
    </w:p>
    <w:p w14:paraId="5994C8BE" w14:textId="7A5DCEFF" w:rsidR="00A601F9" w:rsidRPr="003C75B5" w:rsidRDefault="0068209E" w:rsidP="00A601F9">
      <w:r>
        <w:t xml:space="preserve">The Review heard about </w:t>
      </w:r>
      <w:r w:rsidR="00A601F9">
        <w:t>a lack of understanding about</w:t>
      </w:r>
      <w:r>
        <w:t>, or disregard for,</w:t>
      </w:r>
      <w:r w:rsidR="00A601F9">
        <w:t xml:space="preserve"> employer and employee expectations. </w:t>
      </w:r>
      <w:r w:rsidR="0014310F">
        <w:t xml:space="preserve">As one submission told the </w:t>
      </w:r>
      <w:r w:rsidR="00D55230">
        <w:t>R</w:t>
      </w:r>
      <w:r w:rsidR="0014310F">
        <w:t>eview</w:t>
      </w:r>
      <w:r w:rsidR="000B1D52">
        <w:t>:</w:t>
      </w:r>
      <w:r w:rsidR="0014310F">
        <w:t xml:space="preserve"> </w:t>
      </w:r>
      <w:r w:rsidR="0014310F" w:rsidRPr="000E253B">
        <w:t>‘</w:t>
      </w:r>
      <w:r w:rsidR="0014310F" w:rsidRPr="000D40E0">
        <w:rPr>
          <w:i/>
        </w:rPr>
        <w:t xml:space="preserve">A commonly said </w:t>
      </w:r>
      <w:r w:rsidR="009E71DE" w:rsidRPr="000D40E0">
        <w:rPr>
          <w:i/>
        </w:rPr>
        <w:t>phrase</w:t>
      </w:r>
      <w:r w:rsidR="0014310F" w:rsidRPr="000D40E0">
        <w:rPr>
          <w:i/>
        </w:rPr>
        <w:t xml:space="preserve"> by those who </w:t>
      </w:r>
      <w:r w:rsidR="00203E66">
        <w:rPr>
          <w:i/>
        </w:rPr>
        <w:t>work</w:t>
      </w:r>
      <w:r w:rsidR="0014310F" w:rsidRPr="000D40E0">
        <w:rPr>
          <w:i/>
        </w:rPr>
        <w:t xml:space="preserve"> in Parliament House is that </w:t>
      </w:r>
      <w:r w:rsidR="000B1D52" w:rsidRPr="000D40E0">
        <w:rPr>
          <w:i/>
        </w:rPr>
        <w:t>the fair work laws stop at Parliament Drive</w:t>
      </w:r>
      <w:r w:rsidR="000B1D52" w:rsidRPr="000E253B">
        <w:t>.’</w:t>
      </w:r>
      <w:r w:rsidR="000B1D52">
        <w:rPr>
          <w:rStyle w:val="FootnoteReference"/>
        </w:rPr>
        <w:footnoteReference w:id="244"/>
      </w:r>
      <w:r w:rsidR="00A601F9">
        <w:t xml:space="preserve"> </w:t>
      </w:r>
      <w:r w:rsidR="00C877A6">
        <w:t>This is particularly acute for respective</w:t>
      </w:r>
      <w:r w:rsidR="00A91B14">
        <w:t xml:space="preserve"> employee and employer</w:t>
      </w:r>
      <w:r w:rsidR="00C877A6">
        <w:t xml:space="preserve"> WHS obligations.</w:t>
      </w:r>
      <w:r w:rsidR="00A601F9">
        <w:t xml:space="preserve"> </w:t>
      </w:r>
      <w:r>
        <w:t>Contributor</w:t>
      </w:r>
      <w:r w:rsidR="00C877A6">
        <w:t xml:space="preserve">s told the </w:t>
      </w:r>
      <w:r w:rsidR="00425A67">
        <w:t>R</w:t>
      </w:r>
      <w:r w:rsidR="00C877A6">
        <w:t>eview that the expectations</w:t>
      </w:r>
      <w:r w:rsidR="00A601F9">
        <w:t xml:space="preserve"> should be clearly articulated to both parliamentarians and their </w:t>
      </w:r>
      <w:r w:rsidR="002751A5">
        <w:t>employees</w:t>
      </w:r>
      <w:r w:rsidR="00A601F9">
        <w:t>.</w:t>
      </w:r>
    </w:p>
    <w:p w14:paraId="3BE5FE4F" w14:textId="17AAD442" w:rsidR="00475D71" w:rsidRDefault="00A601F9" w:rsidP="00A601F9">
      <w:r>
        <w:t xml:space="preserve">The </w:t>
      </w:r>
      <w:r w:rsidR="00425A67">
        <w:t>R</w:t>
      </w:r>
      <w:r>
        <w:t xml:space="preserve">eview heard that many MoP(S) Act </w:t>
      </w:r>
      <w:r w:rsidR="00C877A6">
        <w:t>employees</w:t>
      </w:r>
      <w:r>
        <w:t xml:space="preserve"> are relatively young</w:t>
      </w:r>
      <w:r w:rsidR="0068209E">
        <w:t xml:space="preserve"> (see Section 4.</w:t>
      </w:r>
      <w:r w:rsidR="00A62B9D">
        <w:t>3.1</w:t>
      </w:r>
      <w:r w:rsidR="0068209E">
        <w:t>) and</w:t>
      </w:r>
      <w:r>
        <w:t xml:space="preserve"> </w:t>
      </w:r>
      <w:r w:rsidR="00CF3D60">
        <w:t>may not have had much prior experience in the workforce. I</w:t>
      </w:r>
      <w:r w:rsidR="0068209E">
        <w:t>t is more likely these</w:t>
      </w:r>
      <w:r>
        <w:t xml:space="preserve"> employees may not </w:t>
      </w:r>
      <w:r w:rsidR="00B26CB4">
        <w:t>have an understanding of</w:t>
      </w:r>
      <w:r>
        <w:t xml:space="preserve"> reasonable expectations in modern workplaces.</w:t>
      </w:r>
    </w:p>
    <w:p w14:paraId="0159FC03" w14:textId="75900E3B" w:rsidR="00A601F9" w:rsidRPr="00A324A5" w:rsidRDefault="002E7408" w:rsidP="007C1761">
      <w:pPr>
        <w:pStyle w:val="Heading3"/>
      </w:pPr>
      <w:r>
        <w:t>What others do</w:t>
      </w:r>
    </w:p>
    <w:p w14:paraId="7425B45C" w14:textId="4253FD8D" w:rsidR="00A601F9" w:rsidRDefault="00A601F9" w:rsidP="0055271A">
      <w:pPr>
        <w:rPr>
          <w:i/>
        </w:rPr>
      </w:pPr>
      <w:r>
        <w:rPr>
          <w:szCs w:val="22"/>
        </w:rPr>
        <w:t>Most</w:t>
      </w:r>
      <w:r w:rsidRPr="00B85D24">
        <w:rPr>
          <w:szCs w:val="22"/>
        </w:rPr>
        <w:t xml:space="preserve"> jurisdictions address what is expected of parliamentarians in their codes of conduct</w:t>
      </w:r>
      <w:r w:rsidR="00D44557">
        <w:rPr>
          <w:szCs w:val="22"/>
        </w:rPr>
        <w:t>.</w:t>
      </w:r>
      <w:r w:rsidRPr="00B85D24">
        <w:rPr>
          <w:szCs w:val="22"/>
        </w:rPr>
        <w:t xml:space="preserve"> </w:t>
      </w:r>
      <w:r w:rsidR="00D44557">
        <w:rPr>
          <w:szCs w:val="22"/>
        </w:rPr>
        <w:t>T</w:t>
      </w:r>
      <w:r w:rsidRPr="00B85D24">
        <w:rPr>
          <w:szCs w:val="22"/>
        </w:rPr>
        <w:t>hey tend to include general requirements that parliamentarians maintain a high standard of conduct or refer to relevant obligations under workplace or anti-discrimination legislation.</w:t>
      </w:r>
      <w:r w:rsidRPr="00B85D24">
        <w:rPr>
          <w:rStyle w:val="FootnoteReference"/>
          <w:i/>
        </w:rPr>
        <w:footnoteReference w:id="245"/>
      </w:r>
      <w:r w:rsidRPr="00B85D24">
        <w:rPr>
          <w:rStyle w:val="FootnoteReference"/>
          <w:i/>
        </w:rPr>
        <w:t xml:space="preserve"> </w:t>
      </w:r>
      <w:r w:rsidRPr="00B85D24">
        <w:rPr>
          <w:rStyle w:val="FootnoteReference"/>
          <w:i/>
        </w:rPr>
        <w:footnoteReference w:id="246"/>
      </w:r>
      <w:r w:rsidRPr="00B85D24">
        <w:rPr>
          <w:szCs w:val="22"/>
        </w:rPr>
        <w:t xml:space="preserve"> The codes of conduct for Queensland and Tasmania are the only codes of conduct that contain explicit requirements in relation to bullying or harassment.</w:t>
      </w:r>
      <w:r w:rsidRPr="00B85D24">
        <w:rPr>
          <w:rStyle w:val="FootnoteReference"/>
          <w:i/>
        </w:rPr>
        <w:footnoteReference w:id="247"/>
      </w:r>
      <w:r>
        <w:rPr>
          <w:szCs w:val="22"/>
        </w:rPr>
        <w:t xml:space="preserve"> </w:t>
      </w:r>
      <w:r w:rsidRPr="00B85D24">
        <w:rPr>
          <w:szCs w:val="22"/>
        </w:rPr>
        <w:t xml:space="preserve">Some jurisdictions use mechanisms other than </w:t>
      </w:r>
      <w:r>
        <w:rPr>
          <w:szCs w:val="22"/>
        </w:rPr>
        <w:t>codes of conduct</w:t>
      </w:r>
      <w:r w:rsidRPr="00B85D24">
        <w:rPr>
          <w:szCs w:val="22"/>
        </w:rPr>
        <w:t xml:space="preserve"> to </w:t>
      </w:r>
      <w:r w:rsidR="00B12EFE">
        <w:rPr>
          <w:szCs w:val="22"/>
        </w:rPr>
        <w:t>make</w:t>
      </w:r>
      <w:r w:rsidRPr="00B85D24">
        <w:rPr>
          <w:szCs w:val="22"/>
        </w:rPr>
        <w:t xml:space="preserve"> parliamentarians </w:t>
      </w:r>
      <w:r w:rsidR="00B12EFE">
        <w:rPr>
          <w:szCs w:val="22"/>
        </w:rPr>
        <w:t>aware of</w:t>
      </w:r>
      <w:r w:rsidRPr="00B85D24">
        <w:rPr>
          <w:szCs w:val="22"/>
        </w:rPr>
        <w:t xml:space="preserve"> </w:t>
      </w:r>
      <w:r w:rsidR="00B12EFE">
        <w:rPr>
          <w:szCs w:val="22"/>
        </w:rPr>
        <w:t>what is expected of them</w:t>
      </w:r>
      <w:r w:rsidRPr="00B85D24">
        <w:rPr>
          <w:szCs w:val="22"/>
        </w:rPr>
        <w:t xml:space="preserve"> as employers. For instance the NSW </w:t>
      </w:r>
      <w:r w:rsidR="00B12EFE">
        <w:rPr>
          <w:szCs w:val="22"/>
        </w:rPr>
        <w:t>L</w:t>
      </w:r>
      <w:r w:rsidRPr="00B85D24">
        <w:rPr>
          <w:szCs w:val="22"/>
        </w:rPr>
        <w:t xml:space="preserve">egislative </w:t>
      </w:r>
      <w:r w:rsidR="00B12EFE">
        <w:rPr>
          <w:szCs w:val="22"/>
        </w:rPr>
        <w:t>C</w:t>
      </w:r>
      <w:r w:rsidRPr="00B85D24">
        <w:rPr>
          <w:szCs w:val="22"/>
        </w:rPr>
        <w:t>ouncil</w:t>
      </w:r>
      <w:r w:rsidR="00B12EFE">
        <w:rPr>
          <w:szCs w:val="22"/>
        </w:rPr>
        <w:t xml:space="preserve"> M</w:t>
      </w:r>
      <w:r w:rsidRPr="00B85D24">
        <w:rPr>
          <w:szCs w:val="22"/>
        </w:rPr>
        <w:t>embers</w:t>
      </w:r>
      <w:r w:rsidR="00B12EFE">
        <w:rPr>
          <w:szCs w:val="22"/>
        </w:rPr>
        <w:t>’</w:t>
      </w:r>
      <w:r w:rsidRPr="00B85D24">
        <w:rPr>
          <w:szCs w:val="22"/>
        </w:rPr>
        <w:t xml:space="preserve"> </w:t>
      </w:r>
      <w:r w:rsidR="00B12EFE">
        <w:rPr>
          <w:szCs w:val="22"/>
        </w:rPr>
        <w:t>G</w:t>
      </w:r>
      <w:r w:rsidRPr="00B85D24">
        <w:rPr>
          <w:szCs w:val="22"/>
        </w:rPr>
        <w:t>uide states that ‘</w:t>
      </w:r>
      <w:r w:rsidRPr="00B85D24">
        <w:rPr>
          <w:i/>
          <w:szCs w:val="22"/>
        </w:rPr>
        <w:t xml:space="preserve">members as managers of a workplace, are responsible for the health and safety of their </w:t>
      </w:r>
      <w:r w:rsidR="002751A5">
        <w:rPr>
          <w:i/>
          <w:szCs w:val="22"/>
        </w:rPr>
        <w:t>employees</w:t>
      </w:r>
      <w:r w:rsidRPr="00B85D24">
        <w:rPr>
          <w:i/>
          <w:szCs w:val="22"/>
        </w:rPr>
        <w:t xml:space="preserve"> and the working environment under their control’</w:t>
      </w:r>
      <w:r>
        <w:rPr>
          <w:i/>
        </w:rPr>
        <w:t>.</w:t>
      </w:r>
      <w:r>
        <w:rPr>
          <w:rStyle w:val="FootnoteReference"/>
          <w:i/>
        </w:rPr>
        <w:footnoteReference w:id="248"/>
      </w:r>
    </w:p>
    <w:p w14:paraId="6585333E" w14:textId="77777777" w:rsidR="000840CE" w:rsidRPr="00B85D24" w:rsidRDefault="000840CE" w:rsidP="00A601F9">
      <w:pPr>
        <w:pStyle w:val="CommentText"/>
        <w:rPr>
          <w:sz w:val="22"/>
          <w:szCs w:val="22"/>
        </w:rPr>
      </w:pPr>
    </w:p>
    <w:p w14:paraId="420BC6A3" w14:textId="77777777" w:rsidR="00A601F9" w:rsidRDefault="00A601F9" w:rsidP="00051BDA">
      <w:pPr>
        <w:pStyle w:val="Heading3"/>
      </w:pPr>
      <w:r>
        <w:t>5</w:t>
      </w:r>
      <w:r w:rsidR="00672323">
        <w:t>.4</w:t>
      </w:r>
      <w:r w:rsidR="000840CE">
        <w:t>.2</w:t>
      </w:r>
      <w:r>
        <w:t xml:space="preserve"> Options for improvement</w:t>
      </w:r>
    </w:p>
    <w:p w14:paraId="58D03162" w14:textId="77777777" w:rsidR="00D25BE1" w:rsidRPr="00D25BE1" w:rsidRDefault="00D25BE1" w:rsidP="001F0A87">
      <w:pPr>
        <w:pStyle w:val="Heading4"/>
      </w:pPr>
      <w:r>
        <w:t>Amend the MoP(S) Act to clarify workplace</w:t>
      </w:r>
      <w:r w:rsidRPr="00D25BE1">
        <w:t xml:space="preserve"> expectations </w:t>
      </w:r>
    </w:p>
    <w:p w14:paraId="46035218" w14:textId="6C5DC921" w:rsidR="004F3ECA" w:rsidRDefault="00006F07" w:rsidP="00A601F9">
      <w:r>
        <w:t>While</w:t>
      </w:r>
      <w:r w:rsidR="004F3ECA">
        <w:t xml:space="preserve"> Commonwealth parliamentary workplaces are unique, they are still subject to applicable workplace laws. </w:t>
      </w:r>
      <w:r w:rsidR="007C0D5F">
        <w:t>The Review considers, c</w:t>
      </w:r>
      <w:r w:rsidR="004F3ECA">
        <w:t xml:space="preserve">onsistent with other recommendations (for instance, Recommendation 17 of </w:t>
      </w:r>
      <w:r w:rsidR="00142173" w:rsidRPr="00142173">
        <w:rPr>
          <w:i/>
        </w:rPr>
        <w:t>Set the Standard</w:t>
      </w:r>
      <w:r w:rsidR="00D55230">
        <w:t>)</w:t>
      </w:r>
      <w:r w:rsidR="00E32D0F">
        <w:t>,</w:t>
      </w:r>
      <w:r w:rsidR="004F3ECA">
        <w:t xml:space="preserve"> the MoP(S) Act should codify the expectations of both employers and employees. </w:t>
      </w:r>
    </w:p>
    <w:p w14:paraId="0871463A" w14:textId="0D9F5668" w:rsidR="00B0241F" w:rsidRDefault="00A601F9" w:rsidP="00B0241F">
      <w:r>
        <w:t xml:space="preserve">The </w:t>
      </w:r>
      <w:r w:rsidR="00D55230">
        <w:t>R</w:t>
      </w:r>
      <w:r>
        <w:t>eview notes Comcare’s submission to the Joint Select Committee on Parliamentary Standards.</w:t>
      </w:r>
      <w:r>
        <w:rPr>
          <w:rStyle w:val="FootnoteReference"/>
        </w:rPr>
        <w:footnoteReference w:id="249"/>
      </w:r>
      <w:r>
        <w:t xml:space="preserve"> Comcare’s experience has demonstrated a need for clear articulation of all duty holders and their respective duties under the WHS </w:t>
      </w:r>
      <w:r w:rsidR="002D5914">
        <w:t>A</w:t>
      </w:r>
      <w:r>
        <w:t>ct.</w:t>
      </w:r>
      <w:r>
        <w:rPr>
          <w:rStyle w:val="FootnoteReference"/>
        </w:rPr>
        <w:footnoteReference w:id="250"/>
      </w:r>
      <w:r>
        <w:t xml:space="preserve"> This echoes what we heard: employers and employees are not clear on the expectations or duties</w:t>
      </w:r>
      <w:r w:rsidR="002976AF">
        <w:t xml:space="preserve"> that apply to them</w:t>
      </w:r>
      <w:r>
        <w:t>.</w:t>
      </w:r>
      <w:r w:rsidRPr="00E3475B">
        <w:t xml:space="preserve"> </w:t>
      </w:r>
      <w:r w:rsidR="00EF72E5" w:rsidRPr="00EF72E5">
        <w:t>A</w:t>
      </w:r>
      <w:r w:rsidR="00EF72E5">
        <w:t>s mentioned, a</w:t>
      </w:r>
      <w:r w:rsidR="00EF72E5" w:rsidRPr="00EF72E5">
        <w:t xml:space="preserve">mendments to the MoP(S) Act </w:t>
      </w:r>
      <w:r w:rsidR="00EF72E5">
        <w:t xml:space="preserve">made </w:t>
      </w:r>
      <w:r w:rsidR="00EF72E5" w:rsidRPr="00EF72E5">
        <w:t>earlier this year</w:t>
      </w:r>
      <w:r w:rsidR="00EF72E5">
        <w:t xml:space="preserve"> addressed confusion identified in </w:t>
      </w:r>
      <w:r w:rsidR="00EF72E5" w:rsidRPr="008314F4">
        <w:rPr>
          <w:i/>
        </w:rPr>
        <w:t>Set the Standard</w:t>
      </w:r>
      <w:r w:rsidR="00EF72E5">
        <w:t xml:space="preserve"> regarding the applicability of protections under the FW Act to MoP(S) Act employees. Based on ongoing uncertainty identified in our Review with r</w:t>
      </w:r>
      <w:r w:rsidR="00E23E34">
        <w:t>egard</w:t>
      </w:r>
      <w:r w:rsidR="00EF72E5">
        <w:t xml:space="preserve"> to WHS and other obligations, the Review sees fit to provide further clarifications in this same vein. </w:t>
      </w:r>
      <w:r w:rsidR="00B0241F">
        <w:t xml:space="preserve">The </w:t>
      </w:r>
      <w:r w:rsidR="00F23879">
        <w:t>R</w:t>
      </w:r>
      <w:r w:rsidR="00B0241F">
        <w:t xml:space="preserve">eview </w:t>
      </w:r>
      <w:r w:rsidR="002976AF">
        <w:t xml:space="preserve">considers </w:t>
      </w:r>
      <w:r w:rsidR="00B0241F">
        <w:t xml:space="preserve">that </w:t>
      </w:r>
      <w:r w:rsidR="002976AF">
        <w:t>articulating</w:t>
      </w:r>
      <w:r w:rsidR="00B0241F">
        <w:t xml:space="preserve"> expectations and </w:t>
      </w:r>
      <w:r w:rsidR="002976AF">
        <w:t>legal obligations in the MoP(S) Act</w:t>
      </w:r>
      <w:r w:rsidR="00B0241F">
        <w:t xml:space="preserve"> will increase understanding and awareness of what is expected.</w:t>
      </w:r>
      <w:r w:rsidR="00EF72E5">
        <w:t xml:space="preserve"> </w:t>
      </w:r>
    </w:p>
    <w:p w14:paraId="7C9FDAEF" w14:textId="6CB92A77" w:rsidR="00451D8B" w:rsidRDefault="00451D8B" w:rsidP="00B0241F">
      <w:pPr>
        <w:rPr>
          <w:i/>
        </w:rPr>
      </w:pPr>
      <w:r>
        <w:rPr>
          <w:i/>
        </w:rPr>
        <w:t>Expectation</w:t>
      </w:r>
      <w:r w:rsidR="002976AF">
        <w:rPr>
          <w:i/>
        </w:rPr>
        <w:t>s</w:t>
      </w:r>
      <w:r w:rsidDel="002976AF">
        <w:rPr>
          <w:i/>
        </w:rPr>
        <w:t xml:space="preserve"> </w:t>
      </w:r>
      <w:r w:rsidR="002976AF">
        <w:rPr>
          <w:i/>
        </w:rPr>
        <w:t>that apply to</w:t>
      </w:r>
      <w:r>
        <w:rPr>
          <w:i/>
        </w:rPr>
        <w:t xml:space="preserve"> employees</w:t>
      </w:r>
    </w:p>
    <w:p w14:paraId="1B9F080D" w14:textId="77777777" w:rsidR="002D1121" w:rsidRPr="00EB4D0D" w:rsidRDefault="006A5F53" w:rsidP="00B0241F">
      <w:r w:rsidRPr="00A340D9">
        <w:t>There are a range of e</w:t>
      </w:r>
      <w:r w:rsidRPr="00EB4D0D">
        <w:t>xpectations that apply to MoP(S) Act employees</w:t>
      </w:r>
      <w:r w:rsidR="00AA0BFA" w:rsidRPr="00EB4D0D">
        <w:t>.</w:t>
      </w:r>
      <w:r w:rsidR="002D1121" w:rsidRPr="00EB4D0D">
        <w:t xml:space="preserve"> The MoP(S) Act should be amended to clarify the workplace obligations on MoP(S) Act employees. Consideration should be given to including the following obligations:</w:t>
      </w:r>
    </w:p>
    <w:p w14:paraId="3F048CB3" w14:textId="0907186C" w:rsidR="002D1121" w:rsidRPr="002D1121" w:rsidRDefault="002D1121" w:rsidP="002D1121">
      <w:pPr>
        <w:pStyle w:val="BulletedList-Level1"/>
      </w:pPr>
      <w:r w:rsidRPr="00A340D9">
        <w:t xml:space="preserve">adhering to </w:t>
      </w:r>
      <w:r w:rsidR="00A43FD3" w:rsidRPr="00EB4D0D">
        <w:t>obligations</w:t>
      </w:r>
      <w:r w:rsidRPr="00EB4D0D">
        <w:t xml:space="preserve"> under </w:t>
      </w:r>
      <w:r w:rsidR="00DD7C02" w:rsidRPr="00EB4D0D">
        <w:t>WHS</w:t>
      </w:r>
      <w:r w:rsidRPr="00EB4D0D">
        <w:t xml:space="preserve"> laws</w:t>
      </w:r>
    </w:p>
    <w:p w14:paraId="2C968ECA" w14:textId="77777777" w:rsidR="0061488F" w:rsidRDefault="002D1121" w:rsidP="002D1121">
      <w:pPr>
        <w:pStyle w:val="BulletedList-Level1"/>
      </w:pPr>
      <w:r w:rsidRPr="00A340D9">
        <w:t>acting consistently with any applicable codes of conduct</w:t>
      </w:r>
    </w:p>
    <w:p w14:paraId="26F0941B" w14:textId="77777777" w:rsidR="002D1121" w:rsidRPr="002D1121" w:rsidRDefault="0061488F" w:rsidP="002D1121">
      <w:pPr>
        <w:pStyle w:val="BulletedList-Level1"/>
      </w:pPr>
      <w:r w:rsidRPr="005E7617">
        <w:t>exercis</w:t>
      </w:r>
      <w:r>
        <w:t>ing</w:t>
      </w:r>
      <w:r w:rsidRPr="005E7617">
        <w:t xml:space="preserve"> delegations in ac</w:t>
      </w:r>
      <w:r>
        <w:t>cordance with legal obligations</w:t>
      </w:r>
      <w:r w:rsidR="00510D9A">
        <w:t>.</w:t>
      </w:r>
    </w:p>
    <w:p w14:paraId="766E968A" w14:textId="406CF4F0" w:rsidR="002D1121" w:rsidRPr="00A340D9" w:rsidRDefault="002D1121" w:rsidP="00E36A5F">
      <w:pPr>
        <w:rPr>
          <w:i/>
          <w:szCs w:val="22"/>
        </w:rPr>
      </w:pPr>
      <w:r w:rsidRPr="00A35DE5">
        <w:rPr>
          <w:i/>
        </w:rPr>
        <w:t>Expectation</w:t>
      </w:r>
      <w:r w:rsidR="002976AF">
        <w:rPr>
          <w:i/>
          <w:szCs w:val="22"/>
        </w:rPr>
        <w:t>s</w:t>
      </w:r>
      <w:r w:rsidRPr="00A340D9">
        <w:rPr>
          <w:i/>
          <w:szCs w:val="22"/>
        </w:rPr>
        <w:t xml:space="preserve"> </w:t>
      </w:r>
      <w:r w:rsidR="002976AF">
        <w:rPr>
          <w:i/>
          <w:szCs w:val="22"/>
        </w:rPr>
        <w:t>that apply to</w:t>
      </w:r>
      <w:r w:rsidRPr="00A340D9">
        <w:rPr>
          <w:i/>
          <w:szCs w:val="22"/>
        </w:rPr>
        <w:t xml:space="preserve"> employers</w:t>
      </w:r>
    </w:p>
    <w:p w14:paraId="0B9217F5" w14:textId="64CBA66A" w:rsidR="00A43FD3" w:rsidRPr="000E253B" w:rsidRDefault="002976AF" w:rsidP="002D1121">
      <w:pPr>
        <w:pStyle w:val="BodyText"/>
        <w:rPr>
          <w:sz w:val="22"/>
          <w:szCs w:val="22"/>
        </w:rPr>
      </w:pPr>
      <w:r>
        <w:rPr>
          <w:sz w:val="22"/>
          <w:szCs w:val="22"/>
        </w:rPr>
        <w:t xml:space="preserve">In their capacity </w:t>
      </w:r>
      <w:r w:rsidR="002D1121" w:rsidRPr="00AA3AC2">
        <w:rPr>
          <w:sz w:val="22"/>
          <w:szCs w:val="22"/>
        </w:rPr>
        <w:t xml:space="preserve">as employers on behalf of the Commonwealth, </w:t>
      </w:r>
      <w:r>
        <w:rPr>
          <w:sz w:val="22"/>
          <w:szCs w:val="22"/>
        </w:rPr>
        <w:t xml:space="preserve">parliamentarians owe </w:t>
      </w:r>
      <w:r w:rsidR="002D1121" w:rsidRPr="00AA3AC2">
        <w:rPr>
          <w:sz w:val="22"/>
          <w:szCs w:val="22"/>
        </w:rPr>
        <w:t xml:space="preserve">obligations to MoP(S) Act employees. </w:t>
      </w:r>
      <w:r w:rsidR="00A1157F">
        <w:rPr>
          <w:sz w:val="22"/>
          <w:szCs w:val="22"/>
        </w:rPr>
        <w:t xml:space="preserve">These </w:t>
      </w:r>
      <w:r w:rsidR="00587844">
        <w:rPr>
          <w:sz w:val="22"/>
          <w:szCs w:val="22"/>
        </w:rPr>
        <w:t xml:space="preserve">obligations </w:t>
      </w:r>
      <w:r w:rsidR="00A1157F">
        <w:rPr>
          <w:sz w:val="22"/>
          <w:szCs w:val="22"/>
        </w:rPr>
        <w:t xml:space="preserve">reflect </w:t>
      </w:r>
      <w:r w:rsidR="00587844">
        <w:rPr>
          <w:sz w:val="22"/>
          <w:szCs w:val="22"/>
        </w:rPr>
        <w:t xml:space="preserve">similar </w:t>
      </w:r>
      <w:r w:rsidR="00A1157F">
        <w:rPr>
          <w:sz w:val="22"/>
          <w:szCs w:val="22"/>
        </w:rPr>
        <w:t>employer obligations in other Australian</w:t>
      </w:r>
      <w:r w:rsidR="002D1121" w:rsidRPr="00AA3AC2">
        <w:rPr>
          <w:sz w:val="22"/>
          <w:szCs w:val="22"/>
        </w:rPr>
        <w:t xml:space="preserve"> workplaces</w:t>
      </w:r>
      <w:r w:rsidR="00DD7C02" w:rsidRPr="00CC786C">
        <w:rPr>
          <w:sz w:val="22"/>
          <w:szCs w:val="22"/>
        </w:rPr>
        <w:t xml:space="preserve">. </w:t>
      </w:r>
      <w:r w:rsidR="00DD7C02" w:rsidRPr="005E47C3">
        <w:rPr>
          <w:sz w:val="22"/>
          <w:szCs w:val="22"/>
        </w:rPr>
        <w:t>As with MoP(S) Act</w:t>
      </w:r>
      <w:r w:rsidR="002D1121" w:rsidRPr="005E47C3">
        <w:rPr>
          <w:sz w:val="22"/>
          <w:szCs w:val="22"/>
        </w:rPr>
        <w:t xml:space="preserve"> employees, parliamentarians would benefit from having their obligations clearly articulated.</w:t>
      </w:r>
    </w:p>
    <w:p w14:paraId="7EADD429" w14:textId="11F48CE9" w:rsidR="00DD7C02" w:rsidRPr="000E253B" w:rsidRDefault="00A43FD3" w:rsidP="002D1121">
      <w:pPr>
        <w:pStyle w:val="BodyText"/>
        <w:rPr>
          <w:sz w:val="22"/>
          <w:szCs w:val="22"/>
        </w:rPr>
      </w:pPr>
      <w:r w:rsidRPr="000E253B">
        <w:rPr>
          <w:sz w:val="22"/>
          <w:szCs w:val="22"/>
        </w:rPr>
        <w:t>I</w:t>
      </w:r>
      <w:r w:rsidR="00DD7C02" w:rsidRPr="000E253B">
        <w:rPr>
          <w:sz w:val="22"/>
          <w:szCs w:val="22"/>
        </w:rPr>
        <w:t xml:space="preserve">t is common practice for a parliamentarian to delegate </w:t>
      </w:r>
      <w:r w:rsidR="00E23E34">
        <w:rPr>
          <w:sz w:val="22"/>
          <w:szCs w:val="22"/>
        </w:rPr>
        <w:t>employer</w:t>
      </w:r>
      <w:r w:rsidR="00DD7C02" w:rsidRPr="000E253B">
        <w:rPr>
          <w:sz w:val="22"/>
          <w:szCs w:val="22"/>
        </w:rPr>
        <w:t xml:space="preserve"> </w:t>
      </w:r>
      <w:r w:rsidR="00E23E34">
        <w:rPr>
          <w:sz w:val="22"/>
          <w:szCs w:val="22"/>
        </w:rPr>
        <w:t xml:space="preserve">powers </w:t>
      </w:r>
      <w:r w:rsidR="00DD7C02" w:rsidRPr="000E253B">
        <w:rPr>
          <w:sz w:val="22"/>
          <w:szCs w:val="22"/>
        </w:rPr>
        <w:t>to a senior MoP(S) Act employee</w:t>
      </w:r>
      <w:r w:rsidR="00587844">
        <w:rPr>
          <w:sz w:val="22"/>
          <w:szCs w:val="22"/>
        </w:rPr>
        <w:t>,</w:t>
      </w:r>
      <w:r w:rsidRPr="000E253B">
        <w:rPr>
          <w:sz w:val="22"/>
          <w:szCs w:val="22"/>
        </w:rPr>
        <w:t xml:space="preserve"> for instance an office manager or chief of staff</w:t>
      </w:r>
      <w:r w:rsidR="00587844">
        <w:rPr>
          <w:sz w:val="22"/>
          <w:szCs w:val="22"/>
        </w:rPr>
        <w:t xml:space="preserve"> (</w:t>
      </w:r>
      <w:r w:rsidR="00521FE8" w:rsidRPr="000E253B">
        <w:rPr>
          <w:sz w:val="22"/>
          <w:szCs w:val="22"/>
        </w:rPr>
        <w:t xml:space="preserve">discussed at </w:t>
      </w:r>
      <w:r w:rsidR="00521FE8" w:rsidRPr="00587844">
        <w:rPr>
          <w:sz w:val="22"/>
          <w:szCs w:val="22"/>
        </w:rPr>
        <w:t>3.3.2</w:t>
      </w:r>
      <w:r w:rsidR="00587844" w:rsidRPr="00587844">
        <w:rPr>
          <w:sz w:val="22"/>
          <w:szCs w:val="22"/>
        </w:rPr>
        <w:t>)</w:t>
      </w:r>
      <w:r w:rsidR="00DD7C02" w:rsidRPr="00587844">
        <w:rPr>
          <w:sz w:val="22"/>
          <w:szCs w:val="22"/>
        </w:rPr>
        <w:t>.</w:t>
      </w:r>
      <w:r w:rsidRPr="000E253B">
        <w:rPr>
          <w:sz w:val="22"/>
          <w:szCs w:val="22"/>
        </w:rPr>
        <w:t xml:space="preserve"> This includes the power to recruit employees and to terminate their employment.</w:t>
      </w:r>
      <w:r w:rsidR="00DD7C02" w:rsidRPr="000E253B">
        <w:rPr>
          <w:sz w:val="22"/>
          <w:szCs w:val="22"/>
        </w:rPr>
        <w:t xml:space="preserve"> When a person other than the employing parliamentarian is exercising </w:t>
      </w:r>
      <w:r w:rsidRPr="000E253B">
        <w:rPr>
          <w:sz w:val="22"/>
          <w:szCs w:val="22"/>
        </w:rPr>
        <w:t xml:space="preserve">delegated </w:t>
      </w:r>
      <w:r w:rsidR="00DD7C02" w:rsidRPr="000E253B">
        <w:rPr>
          <w:sz w:val="22"/>
          <w:szCs w:val="22"/>
        </w:rPr>
        <w:t>powers</w:t>
      </w:r>
      <w:r w:rsidRPr="000E253B">
        <w:rPr>
          <w:sz w:val="22"/>
          <w:szCs w:val="22"/>
        </w:rPr>
        <w:t xml:space="preserve">, the expectations </w:t>
      </w:r>
      <w:r w:rsidRPr="007C7151">
        <w:rPr>
          <w:sz w:val="22"/>
          <w:szCs w:val="22"/>
        </w:rPr>
        <w:t>of</w:t>
      </w:r>
      <w:r w:rsidRPr="000E253B">
        <w:rPr>
          <w:sz w:val="22"/>
          <w:szCs w:val="22"/>
        </w:rPr>
        <w:t xml:space="preserve"> </w:t>
      </w:r>
      <w:r w:rsidR="000D17FC" w:rsidRPr="00584A7A">
        <w:rPr>
          <w:sz w:val="22"/>
          <w:szCs w:val="22"/>
        </w:rPr>
        <w:t>an employer</w:t>
      </w:r>
      <w:r w:rsidRPr="000E253B">
        <w:rPr>
          <w:sz w:val="22"/>
          <w:szCs w:val="22"/>
        </w:rPr>
        <w:t xml:space="preserve"> will apply to them. </w:t>
      </w:r>
    </w:p>
    <w:p w14:paraId="6DB13801" w14:textId="3BF74F4F" w:rsidR="002D1121" w:rsidRPr="000E253B" w:rsidRDefault="002D1121" w:rsidP="002D1121">
      <w:pPr>
        <w:pStyle w:val="BodyText"/>
        <w:rPr>
          <w:sz w:val="22"/>
          <w:szCs w:val="22"/>
        </w:rPr>
      </w:pPr>
      <w:r w:rsidRPr="000E253B">
        <w:rPr>
          <w:sz w:val="22"/>
          <w:szCs w:val="22"/>
        </w:rPr>
        <w:t xml:space="preserve">The MoP(S) Act should be amended to include a statement clarifying the expectations on </w:t>
      </w:r>
      <w:r w:rsidR="00036CDB">
        <w:rPr>
          <w:sz w:val="22"/>
          <w:szCs w:val="22"/>
        </w:rPr>
        <w:t xml:space="preserve">parliamentarians as </w:t>
      </w:r>
      <w:r w:rsidRPr="000E253B">
        <w:rPr>
          <w:sz w:val="22"/>
          <w:szCs w:val="22"/>
        </w:rPr>
        <w:t xml:space="preserve">employers. Consideration should be given to </w:t>
      </w:r>
      <w:r w:rsidR="006F472D">
        <w:rPr>
          <w:sz w:val="22"/>
          <w:szCs w:val="22"/>
        </w:rPr>
        <w:t xml:space="preserve">codifying </w:t>
      </w:r>
      <w:r w:rsidRPr="000E253B">
        <w:rPr>
          <w:sz w:val="22"/>
          <w:szCs w:val="22"/>
        </w:rPr>
        <w:t>the following obligations</w:t>
      </w:r>
      <w:r w:rsidR="00774E85">
        <w:rPr>
          <w:sz w:val="22"/>
          <w:szCs w:val="22"/>
        </w:rPr>
        <w:t xml:space="preserve"> to</w:t>
      </w:r>
      <w:r w:rsidRPr="000E253B">
        <w:rPr>
          <w:sz w:val="22"/>
          <w:szCs w:val="22"/>
        </w:rPr>
        <w:t>:</w:t>
      </w:r>
    </w:p>
    <w:p w14:paraId="42BE7C2B" w14:textId="0416F8AD" w:rsidR="00A43FD3" w:rsidRPr="00A43FD3" w:rsidRDefault="002D1121" w:rsidP="002D1121">
      <w:pPr>
        <w:pStyle w:val="BulletedList-Level1"/>
      </w:pPr>
      <w:r w:rsidRPr="000E253B">
        <w:t>provide a safe and respectful workplace</w:t>
      </w:r>
    </w:p>
    <w:p w14:paraId="20AE5690" w14:textId="5FEC2270" w:rsidR="00A43FD3" w:rsidRPr="002D1121" w:rsidRDefault="00A43FD3" w:rsidP="00A43FD3">
      <w:pPr>
        <w:pStyle w:val="BulletedList-Level1"/>
      </w:pPr>
      <w:r w:rsidRPr="00A340D9">
        <w:t>adher</w:t>
      </w:r>
      <w:r w:rsidR="006F472D">
        <w:t>e</w:t>
      </w:r>
      <w:r w:rsidRPr="00A340D9">
        <w:t xml:space="preserve"> to obligations under anti-discrimination laws</w:t>
      </w:r>
    </w:p>
    <w:p w14:paraId="5B3B9D17" w14:textId="78C21594" w:rsidR="00A43FD3" w:rsidRPr="002D1121" w:rsidRDefault="00A43FD3" w:rsidP="00A43FD3">
      <w:pPr>
        <w:pStyle w:val="BulletedList-Level1"/>
      </w:pPr>
      <w:r w:rsidRPr="00A340D9">
        <w:t>adher</w:t>
      </w:r>
      <w:r w:rsidR="006F472D">
        <w:t>e</w:t>
      </w:r>
      <w:r w:rsidRPr="00A340D9">
        <w:t xml:space="preserve"> to obligations under WHS laws</w:t>
      </w:r>
    </w:p>
    <w:p w14:paraId="19065FD6" w14:textId="3CC59622" w:rsidR="00DD7C02" w:rsidRPr="00DD7C02" w:rsidRDefault="00DD7C02" w:rsidP="002D1121">
      <w:pPr>
        <w:pStyle w:val="BulletedList-Level1"/>
      </w:pPr>
      <w:r w:rsidRPr="00A340D9">
        <w:t>provide procedu</w:t>
      </w:r>
      <w:r w:rsidRPr="00EB4D0D">
        <w:t xml:space="preserve">ral fairness in termination by meeting obligations in the MoP(S) and </w:t>
      </w:r>
      <w:r w:rsidR="007B4F25" w:rsidRPr="00EB4D0D">
        <w:t>F</w:t>
      </w:r>
      <w:r w:rsidR="007B4F25">
        <w:t>W</w:t>
      </w:r>
      <w:r w:rsidRPr="00EB4D0D">
        <w:t xml:space="preserve"> Act</w:t>
      </w:r>
      <w:r w:rsidR="008445EF">
        <w:t>s</w:t>
      </w:r>
    </w:p>
    <w:p w14:paraId="24975E79" w14:textId="2D977C1C" w:rsidR="00451D8B" w:rsidRDefault="00DD7C02" w:rsidP="002D1121">
      <w:pPr>
        <w:pStyle w:val="BulletedList-Level1"/>
      </w:pPr>
      <w:r w:rsidRPr="00A340D9">
        <w:t xml:space="preserve">make accountable recruitment decisions (see Recommendation </w:t>
      </w:r>
      <w:r w:rsidRPr="001B7178">
        <w:t>7</w:t>
      </w:r>
      <w:r w:rsidRPr="00A340D9">
        <w:t>)</w:t>
      </w:r>
      <w:r w:rsidR="00510D9A">
        <w:t>.</w:t>
      </w:r>
    </w:p>
    <w:p w14:paraId="5E10179B" w14:textId="77777777" w:rsidR="00F41E96" w:rsidRPr="000840CE" w:rsidRDefault="00F41E96" w:rsidP="00051BDA">
      <w:pPr>
        <w:pStyle w:val="Heading4"/>
      </w:pPr>
      <w:r w:rsidRPr="000840CE">
        <w:t>Recruitment processes</w:t>
      </w:r>
    </w:p>
    <w:p w14:paraId="2A66725F" w14:textId="0D01AD05" w:rsidR="00F41E96" w:rsidRDefault="00F41E96" w:rsidP="00F41E96">
      <w:r>
        <w:t xml:space="preserve">As discussed in </w:t>
      </w:r>
      <w:r w:rsidRPr="001B7178">
        <w:t>Chapter 4</w:t>
      </w:r>
      <w:r>
        <w:t xml:space="preserve">, the Review is recommending changes to the processes to recruit MoP(S) Act employees. </w:t>
      </w:r>
      <w:r w:rsidR="00AA43CB">
        <w:t>We recommend</w:t>
      </w:r>
      <w:r>
        <w:t xml:space="preserve"> the MoP(S) Act </w:t>
      </w:r>
      <w:r w:rsidR="00036CDB">
        <w:t xml:space="preserve">require </w:t>
      </w:r>
      <w:r w:rsidR="007D3DF5">
        <w:t>recruitment</w:t>
      </w:r>
      <w:r w:rsidR="00761CD9">
        <w:t xml:space="preserve"> to</w:t>
      </w:r>
      <w:r w:rsidR="00036CDB">
        <w:t xml:space="preserve"> includ</w:t>
      </w:r>
      <w:r w:rsidR="00761CD9">
        <w:t>e</w:t>
      </w:r>
      <w:r w:rsidR="00036CDB">
        <w:t xml:space="preserve"> </w:t>
      </w:r>
      <w:r w:rsidR="001B7178">
        <w:t>an assessment of a candidate’s capacity to successfully perform the prescribed role</w:t>
      </w:r>
      <w:r>
        <w:t xml:space="preserve"> (</w:t>
      </w:r>
      <w:r w:rsidR="001B7178">
        <w:t xml:space="preserve">see </w:t>
      </w:r>
      <w:r w:rsidRPr="001B7178">
        <w:t>Recommendation</w:t>
      </w:r>
      <w:r w:rsidR="00761CD9">
        <w:t> </w:t>
      </w:r>
      <w:r>
        <w:t xml:space="preserve">7). This process will contribute to a work environment where employees and employers understand the job that they </w:t>
      </w:r>
      <w:r w:rsidR="00036CDB">
        <w:t>are</w:t>
      </w:r>
      <w:r>
        <w:t xml:space="preserve"> hired to do and the skills that they </w:t>
      </w:r>
      <w:r w:rsidR="00036CDB">
        <w:t>need to have and develop</w:t>
      </w:r>
      <w:r>
        <w:t>.</w:t>
      </w:r>
    </w:p>
    <w:p w14:paraId="1457549D" w14:textId="77777777" w:rsidR="00630D8E" w:rsidRDefault="00630D8E" w:rsidP="00F41E96"/>
    <w:p w14:paraId="373E70EB" w14:textId="288B4BCB" w:rsidR="00036CDB" w:rsidRDefault="0094456B" w:rsidP="00051BDA">
      <w:pPr>
        <w:pStyle w:val="Heading3"/>
      </w:pPr>
      <w:r>
        <w:t>5</w:t>
      </w:r>
      <w:r w:rsidR="00AD5904">
        <w:t xml:space="preserve">.4.3 </w:t>
      </w:r>
      <w:r w:rsidR="00036CDB">
        <w:t>Conclusion</w:t>
      </w:r>
    </w:p>
    <w:p w14:paraId="717EA901" w14:textId="1E099FB6" w:rsidR="001B3CBE" w:rsidRDefault="00F41E96" w:rsidP="00036CDB">
      <w:r>
        <w:t xml:space="preserve">The Review acknowledges that codes of conduct for all </w:t>
      </w:r>
      <w:r w:rsidR="000D17FC">
        <w:t>Commonwealth</w:t>
      </w:r>
      <w:r>
        <w:t xml:space="preserve"> parliamentary workplaces are being </w:t>
      </w:r>
      <w:r w:rsidR="00036CDB">
        <w:t>considered</w:t>
      </w:r>
      <w:r>
        <w:t xml:space="preserve"> by the Joint Select Committee. </w:t>
      </w:r>
      <w:r w:rsidR="00006F07">
        <w:t>While</w:t>
      </w:r>
      <w:r>
        <w:t xml:space="preserve"> it is likely that some expectations will </w:t>
      </w:r>
      <w:r w:rsidR="009E1790">
        <w:t xml:space="preserve">be set out </w:t>
      </w:r>
      <w:r>
        <w:t>in the</w:t>
      </w:r>
      <w:r w:rsidR="009E1790">
        <w:t>se</w:t>
      </w:r>
      <w:r>
        <w:t xml:space="preserve"> </w:t>
      </w:r>
      <w:r w:rsidR="00A1157F">
        <w:t>codes</w:t>
      </w:r>
      <w:r>
        <w:t xml:space="preserve"> of </w:t>
      </w:r>
      <w:r w:rsidR="00A1157F">
        <w:t>c</w:t>
      </w:r>
      <w:r>
        <w:t xml:space="preserve">onduct, </w:t>
      </w:r>
      <w:r w:rsidR="009E1790">
        <w:t xml:space="preserve">what we heard from contributors about the perceived ‘lawlessness’ of the MoP(S) Act employment landscape suggests that </w:t>
      </w:r>
      <w:r>
        <w:t xml:space="preserve">there is merit in </w:t>
      </w:r>
      <w:r w:rsidR="009E1790">
        <w:t>amending the Act to clear</w:t>
      </w:r>
      <w:r w:rsidR="00663F2D">
        <w:t xml:space="preserve">ly signpost </w:t>
      </w:r>
      <w:r w:rsidR="009E1790">
        <w:t xml:space="preserve">the </w:t>
      </w:r>
      <w:r w:rsidR="00036CDB">
        <w:t xml:space="preserve">existing </w:t>
      </w:r>
      <w:r>
        <w:t>legislative obligations</w:t>
      </w:r>
      <w:r w:rsidR="009E1790">
        <w:t xml:space="preserve"> that apply to MoP(S) Act employees and parliamentarians</w:t>
      </w:r>
      <w:r>
        <w:t xml:space="preserve">. Recommendation </w:t>
      </w:r>
      <w:r w:rsidR="002A7939">
        <w:t>11 is not intended to create new obligations but reinforce existing obligations.</w:t>
      </w:r>
    </w:p>
    <w:p w14:paraId="7240CFC6" w14:textId="77777777" w:rsidR="00630D8E" w:rsidRDefault="00630D8E" w:rsidP="00036CDB"/>
    <w:p w14:paraId="23269010" w14:textId="35CEB81B" w:rsidR="008A4F40" w:rsidRPr="008A4F40" w:rsidRDefault="008A4F40" w:rsidP="00051BDA">
      <w:pPr>
        <w:pStyle w:val="Heading3"/>
      </w:pPr>
      <w:r>
        <w:t>5.4.</w:t>
      </w:r>
      <w:r w:rsidR="00AD5904">
        <w:t>4</w:t>
      </w:r>
      <w:r>
        <w:t xml:space="preserve"> </w:t>
      </w:r>
      <w:r w:rsidRPr="00375053">
        <w:t>Ad</w:t>
      </w:r>
      <w:r>
        <w:t>ditional matters to consider</w:t>
      </w:r>
    </w:p>
    <w:p w14:paraId="197183AA" w14:textId="2373C0AC" w:rsidR="00A1157F" w:rsidRDefault="001B3CBE">
      <w:r w:rsidRPr="00A340D9">
        <w:rPr>
          <w:i/>
        </w:rPr>
        <w:t>Set the Standard</w:t>
      </w:r>
      <w:r w:rsidRPr="00EB4D0D">
        <w:t>, in the context of case management</w:t>
      </w:r>
      <w:r w:rsidR="00E23E34">
        <w:t xml:space="preserve"> by the</w:t>
      </w:r>
      <w:r w:rsidRPr="00EB4D0D">
        <w:t xml:space="preserve"> IPSC, suggested all </w:t>
      </w:r>
      <w:r w:rsidRPr="00EB4D0D" w:rsidDel="00D170AD">
        <w:t>MoP</w:t>
      </w:r>
      <w:r w:rsidRPr="00EB4D0D">
        <w:t xml:space="preserve">(S) Act </w:t>
      </w:r>
      <w:r w:rsidR="002751A5">
        <w:t>employees</w:t>
      </w:r>
      <w:r w:rsidRPr="00EB4D0D">
        <w:t xml:space="preserve"> should have access to legal advice and advocacy referral services</w:t>
      </w:r>
      <w:r w:rsidR="004C380A">
        <w:t>.</w:t>
      </w:r>
      <w:r w:rsidRPr="00A340D9">
        <w:rPr>
          <w:rStyle w:val="FootnoteReference"/>
        </w:rPr>
        <w:footnoteReference w:id="251"/>
      </w:r>
      <w:r>
        <w:t xml:space="preserve"> </w:t>
      </w:r>
      <w:r w:rsidRPr="00A340D9">
        <w:t xml:space="preserve">The Review also heard views about granting legal assistance to </w:t>
      </w:r>
      <w:r w:rsidRPr="00EB4D0D" w:rsidDel="00D170AD">
        <w:t>MoP</w:t>
      </w:r>
      <w:r w:rsidRPr="00EB4D0D">
        <w:t xml:space="preserve">(S) Act employees, who are individually joined as a party to a workplace claim or whose actions in the workplace have led to a claim against the Commonwealth. </w:t>
      </w:r>
    </w:p>
    <w:p w14:paraId="32D4E008" w14:textId="13415F13" w:rsidR="001B3CBE" w:rsidRDefault="001B3CBE">
      <w:r w:rsidRPr="00EB4D0D">
        <w:t xml:space="preserve">The Review </w:t>
      </w:r>
      <w:r w:rsidR="005D0FA3">
        <w:t xml:space="preserve">could not </w:t>
      </w:r>
      <w:r w:rsidRPr="00EB4D0D">
        <w:t>consider the matter</w:t>
      </w:r>
      <w:r w:rsidR="005D0FA3">
        <w:t>,</w:t>
      </w:r>
      <w:r w:rsidRPr="00EB4D0D">
        <w:t xml:space="preserve"> as it </w:t>
      </w:r>
      <w:r w:rsidR="00036CDB">
        <w:t>arose</w:t>
      </w:r>
      <w:r w:rsidRPr="00EB4D0D">
        <w:t xml:space="preserve"> late in the </w:t>
      </w:r>
      <w:r w:rsidR="00036CDB">
        <w:t>Review</w:t>
      </w:r>
      <w:r w:rsidRPr="00EB4D0D">
        <w:t xml:space="preserve">. However, </w:t>
      </w:r>
      <w:r w:rsidR="003E16BE">
        <w:t>this</w:t>
      </w:r>
      <w:r w:rsidRPr="00EB4D0D">
        <w:t xml:space="preserve"> issue</w:t>
      </w:r>
      <w:r w:rsidR="005D0FA3">
        <w:t>,</w:t>
      </w:r>
      <w:r w:rsidRPr="00EB4D0D">
        <w:t xml:space="preserve"> including possible mechanisms such as a fra</w:t>
      </w:r>
      <w:r w:rsidRPr="00AA3AC2">
        <w:t xml:space="preserve">mework akin to Appendix E of the </w:t>
      </w:r>
      <w:r w:rsidRPr="00AA3AC2">
        <w:rPr>
          <w:i/>
        </w:rPr>
        <w:t xml:space="preserve">Legal Services Directions 2017 </w:t>
      </w:r>
      <w:r w:rsidRPr="00CC786C">
        <w:t xml:space="preserve">(which governs how legal assistance may be granted to ministerial staff in certain circumstances) or articulation in the PBR Act framework </w:t>
      </w:r>
      <w:r w:rsidR="00036CDB">
        <w:t>c</w:t>
      </w:r>
      <w:r w:rsidRPr="00CC786C">
        <w:t xml:space="preserve">ould be </w:t>
      </w:r>
      <w:r w:rsidR="00761CD9">
        <w:t xml:space="preserve">considered by the OPSC or </w:t>
      </w:r>
      <w:r w:rsidRPr="000E253B">
        <w:t xml:space="preserve">part </w:t>
      </w:r>
      <w:r w:rsidR="00CF0201">
        <w:t xml:space="preserve">of </w:t>
      </w:r>
      <w:r w:rsidRPr="000E253B">
        <w:t>any subsequent review</w:t>
      </w:r>
      <w:r w:rsidR="00EB77E8" w:rsidRPr="000E253B">
        <w:t xml:space="preserve"> (</w:t>
      </w:r>
      <w:r w:rsidR="003C4580">
        <w:t xml:space="preserve">including the review proposed in </w:t>
      </w:r>
      <w:r w:rsidR="00EB77E8" w:rsidRPr="000E253B">
        <w:t xml:space="preserve">Recommendation </w:t>
      </w:r>
      <w:r w:rsidR="00EB77E8" w:rsidRPr="00774E85">
        <w:t>1</w:t>
      </w:r>
      <w:r w:rsidR="007D3DF5" w:rsidRPr="00774E85">
        <w:t>5</w:t>
      </w:r>
      <w:r w:rsidR="00EB77E8" w:rsidRPr="00774E85">
        <w:t>)</w:t>
      </w:r>
      <w:r w:rsidRPr="00774E85">
        <w:t>.</w:t>
      </w:r>
    </w:p>
    <w:p w14:paraId="2BA3737E" w14:textId="77777777" w:rsidR="00A601F9" w:rsidRDefault="00A601F9" w:rsidP="00A601F9"/>
    <w:p w14:paraId="3892616C" w14:textId="175AF4C3" w:rsidR="00A601F9" w:rsidRDefault="00A601F9" w:rsidP="000136FD">
      <w:pPr>
        <w:pStyle w:val="BOXHeading2"/>
      </w:pPr>
      <w:bookmarkStart w:id="5754" w:name="_Toc115343864"/>
      <w:bookmarkStart w:id="5755" w:name="_Toc115348302"/>
      <w:bookmarkStart w:id="5756" w:name="_Toc114733591"/>
      <w:bookmarkStart w:id="5757" w:name="_Toc114757163"/>
      <w:bookmarkStart w:id="5758" w:name="_Toc114757549"/>
      <w:bookmarkStart w:id="5759" w:name="_Toc114758222"/>
      <w:bookmarkStart w:id="5760" w:name="_Toc114230901"/>
      <w:bookmarkStart w:id="5761" w:name="_Toc114233606"/>
      <w:bookmarkStart w:id="5762" w:name="_Toc114233678"/>
      <w:bookmarkStart w:id="5763" w:name="_Toc114240635"/>
      <w:bookmarkStart w:id="5764" w:name="_Toc114240709"/>
      <w:bookmarkStart w:id="5765" w:name="_Toc114241053"/>
      <w:bookmarkStart w:id="5766" w:name="_Toc114494074"/>
      <w:bookmarkStart w:id="5767" w:name="_Toc114500325"/>
      <w:bookmarkStart w:id="5768" w:name="_Toc114500400"/>
      <w:bookmarkStart w:id="5769" w:name="_Toc114518673"/>
      <w:bookmarkStart w:id="5770" w:name="_Toc114520345"/>
      <w:bookmarkStart w:id="5771" w:name="_Toc114520754"/>
      <w:bookmarkStart w:id="5772" w:name="_Toc114565782"/>
      <w:bookmarkStart w:id="5773" w:name="_Toc114566763"/>
      <w:bookmarkStart w:id="5774" w:name="_Toc114566988"/>
      <w:bookmarkStart w:id="5775" w:name="_Toc114566912"/>
      <w:bookmarkStart w:id="5776" w:name="_Toc114585913"/>
      <w:bookmarkStart w:id="5777" w:name="_Toc114586057"/>
      <w:bookmarkStart w:id="5778" w:name="_Toc114586129"/>
      <w:bookmarkStart w:id="5779" w:name="_Toc114601269"/>
      <w:bookmarkStart w:id="5780" w:name="_Toc114657310"/>
      <w:bookmarkStart w:id="5781" w:name="_Toc114659772"/>
      <w:bookmarkStart w:id="5782" w:name="_Toc114662757"/>
      <w:bookmarkStart w:id="5783" w:name="_Toc114665140"/>
      <w:bookmarkStart w:id="5784" w:name="_Toc114672448"/>
      <w:bookmarkStart w:id="5785" w:name="_Toc114672660"/>
      <w:bookmarkStart w:id="5786" w:name="_Toc114673215"/>
      <w:bookmarkStart w:id="5787" w:name="_Toc114673801"/>
      <w:bookmarkStart w:id="5788" w:name="_Toc114674326"/>
      <w:bookmarkStart w:id="5789" w:name="_Toc114687499"/>
      <w:bookmarkStart w:id="5790" w:name="_Toc114689963"/>
      <w:bookmarkStart w:id="5791" w:name="_Toc114731826"/>
      <w:bookmarkStart w:id="5792" w:name="_Toc114735532"/>
      <w:bookmarkStart w:id="5793" w:name="_Toc114755858"/>
      <w:bookmarkStart w:id="5794" w:name="_Toc114757447"/>
      <w:bookmarkStart w:id="5795" w:name="_Toc114824392"/>
      <w:bookmarkStart w:id="5796" w:name="_Toc114829468"/>
      <w:bookmarkStart w:id="5797" w:name="_Toc114829832"/>
      <w:bookmarkStart w:id="5798" w:name="_Toc114829976"/>
      <w:bookmarkStart w:id="5799" w:name="_Toc115099055"/>
      <w:bookmarkStart w:id="5800" w:name="_Toc115099127"/>
      <w:bookmarkStart w:id="5801" w:name="_Toc115101704"/>
      <w:bookmarkStart w:id="5802" w:name="_Toc115102549"/>
      <w:bookmarkStart w:id="5803" w:name="_Toc115105522"/>
      <w:bookmarkStart w:id="5804" w:name="_Toc115110383"/>
      <w:bookmarkStart w:id="5805" w:name="_Toc115110510"/>
      <w:bookmarkStart w:id="5806" w:name="_Toc115121628"/>
      <w:bookmarkStart w:id="5807" w:name="_Toc115121998"/>
      <w:bookmarkStart w:id="5808" w:name="_Toc115123478"/>
      <w:bookmarkStart w:id="5809" w:name="_Toc115123726"/>
      <w:bookmarkStart w:id="5810" w:name="_Toc115126858"/>
      <w:bookmarkStart w:id="5811" w:name="_Toc115185493"/>
      <w:bookmarkStart w:id="5812" w:name="_Toc115186120"/>
      <w:bookmarkStart w:id="5813" w:name="_Toc115189278"/>
      <w:bookmarkStart w:id="5814" w:name="_Toc115194251"/>
      <w:bookmarkStart w:id="5815" w:name="_Toc115194988"/>
      <w:bookmarkStart w:id="5816" w:name="_Toc115196398"/>
      <w:bookmarkStart w:id="5817" w:name="_Toc115198899"/>
      <w:bookmarkStart w:id="5818" w:name="_Toc115208914"/>
      <w:bookmarkStart w:id="5819" w:name="_Toc115209050"/>
      <w:bookmarkStart w:id="5820" w:name="_Toc115210381"/>
      <w:bookmarkStart w:id="5821" w:name="_Toc115212606"/>
      <w:bookmarkStart w:id="5822" w:name="_Toc115213246"/>
      <w:bookmarkStart w:id="5823" w:name="_Toc115216744"/>
      <w:bookmarkStart w:id="5824" w:name="_Toc115270435"/>
      <w:bookmarkStart w:id="5825" w:name="_Toc115271378"/>
      <w:bookmarkStart w:id="5826" w:name="_Toc115272295"/>
      <w:bookmarkStart w:id="5827" w:name="_Toc115273465"/>
      <w:bookmarkStart w:id="5828" w:name="_Toc115273393"/>
      <w:bookmarkStart w:id="5829" w:name="_Toc115274646"/>
      <w:bookmarkStart w:id="5830" w:name="_Toc115274872"/>
      <w:bookmarkStart w:id="5831" w:name="_Toc115275229"/>
      <w:bookmarkStart w:id="5832" w:name="_Toc115275372"/>
      <w:bookmarkStart w:id="5833" w:name="_Toc115274209"/>
      <w:bookmarkStart w:id="5834" w:name="_Toc115274510"/>
      <w:bookmarkStart w:id="5835" w:name="_Toc115274578"/>
      <w:bookmarkStart w:id="5836" w:name="_Toc115274736"/>
      <w:bookmarkStart w:id="5837" w:name="_Toc115277470"/>
      <w:bookmarkStart w:id="5838" w:name="_Toc115277674"/>
      <w:bookmarkStart w:id="5839" w:name="_Toc115278563"/>
      <w:bookmarkStart w:id="5840" w:name="_Toc115278643"/>
      <w:bookmarkStart w:id="5841" w:name="_Toc115282313"/>
      <w:bookmarkStart w:id="5842" w:name="_Toc115284766"/>
      <w:bookmarkStart w:id="5843" w:name="_Toc115286858"/>
      <w:bookmarkStart w:id="5844" w:name="_Toc115294792"/>
      <w:bookmarkStart w:id="5845" w:name="_Toc115296372"/>
      <w:bookmarkStart w:id="5846" w:name="_Toc115308558"/>
      <w:bookmarkStart w:id="5847" w:name="_Toc115311210"/>
      <w:bookmarkStart w:id="5848" w:name="_Toc115312690"/>
      <w:bookmarkStart w:id="5849" w:name="_Toc115350400"/>
      <w:bookmarkStart w:id="5850" w:name="_Toc115353488"/>
      <w:bookmarkStart w:id="5851" w:name="_Toc115359519"/>
      <w:bookmarkStart w:id="5852" w:name="_Toc115361923"/>
      <w:bookmarkStart w:id="5853" w:name="_Toc115364316"/>
      <w:bookmarkStart w:id="5854" w:name="_Toc115365410"/>
      <w:bookmarkStart w:id="5855" w:name="_Toc115365750"/>
      <w:bookmarkStart w:id="5856" w:name="_Toc115366214"/>
      <w:bookmarkStart w:id="5857" w:name="_Toc115368664"/>
      <w:bookmarkStart w:id="5858" w:name="_Toc115370104"/>
      <w:bookmarkStart w:id="5859" w:name="_Toc115370838"/>
      <w:bookmarkStart w:id="5860" w:name="_Toc115374410"/>
      <w:bookmarkStart w:id="5861" w:name="_Toc115378749"/>
      <w:bookmarkStart w:id="5862" w:name="_Toc115380981"/>
      <w:bookmarkStart w:id="5863" w:name="_Toc115384133"/>
      <w:bookmarkStart w:id="5864" w:name="_Toc115387362"/>
      <w:bookmarkStart w:id="5865" w:name="_Toc115388828"/>
      <w:bookmarkStart w:id="5866" w:name="_Toc115431466"/>
      <w:bookmarkStart w:id="5867" w:name="_Toc115432844"/>
      <w:bookmarkStart w:id="5868" w:name="_Toc115434415"/>
      <w:bookmarkStart w:id="5869" w:name="_Toc115434514"/>
      <w:bookmarkStart w:id="5870" w:name="_Toc115434583"/>
      <w:bookmarkStart w:id="5871" w:name="_Toc115434652"/>
      <w:bookmarkStart w:id="5872" w:name="_Toc115442819"/>
      <w:bookmarkStart w:id="5873" w:name="_Toc115446355"/>
      <w:bookmarkStart w:id="5874" w:name="_Toc115448062"/>
      <w:bookmarkStart w:id="5875" w:name="_Toc115449454"/>
      <w:bookmarkStart w:id="5876" w:name="_Toc115452474"/>
      <w:bookmarkStart w:id="5877" w:name="_Toc115455291"/>
      <w:bookmarkStart w:id="5878" w:name="_Toc115455357"/>
      <w:bookmarkStart w:id="5879" w:name="_Toc115457307"/>
      <w:bookmarkStart w:id="5880" w:name="_Toc115458143"/>
      <w:bookmarkStart w:id="5881" w:name="_Toc115948171"/>
      <w:bookmarkStart w:id="5882" w:name="_Toc115948618"/>
      <w:r>
        <w:t>R</w:t>
      </w:r>
      <w:bookmarkEnd w:id="5754"/>
      <w:bookmarkEnd w:id="5755"/>
      <w:r>
        <w:t xml:space="preserve">ecommendation </w:t>
      </w:r>
      <w:r w:rsidR="000840CE">
        <w:t>1</w:t>
      </w:r>
      <w:r w:rsidR="00817AC5">
        <w:t>0</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r w:rsidR="005439E8">
        <w:t xml:space="preserve"> – Parliamentarian obligations</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p>
    <w:p w14:paraId="17753755" w14:textId="77777777" w:rsidR="000136FD" w:rsidRPr="00EA03C6" w:rsidRDefault="000136FD" w:rsidP="000136FD">
      <w:pPr>
        <w:pStyle w:val="BOXText"/>
      </w:pPr>
      <w:r>
        <w:t>T</w:t>
      </w:r>
      <w:r w:rsidRPr="00EA03C6">
        <w:t xml:space="preserve">he </w:t>
      </w:r>
      <w:r>
        <w:t xml:space="preserve">MoP(S) </w:t>
      </w:r>
      <w:r w:rsidRPr="00EA03C6">
        <w:t>Act should</w:t>
      </w:r>
      <w:r>
        <w:t xml:space="preserve"> </w:t>
      </w:r>
      <w:r w:rsidRPr="00EA03C6">
        <w:t>list the requirements of a parliamentarian as employer, including</w:t>
      </w:r>
      <w:r>
        <w:t xml:space="preserve"> to</w:t>
      </w:r>
      <w:r w:rsidRPr="00EA03C6">
        <w:t xml:space="preserve">: </w:t>
      </w:r>
      <w:r>
        <w:t>provide</w:t>
      </w:r>
      <w:r w:rsidRPr="00EA03C6">
        <w:t xml:space="preserve"> a safe and respectful workplace</w:t>
      </w:r>
      <w:r>
        <w:t>; make recruitment decisions based on an assessment of capability and provide</w:t>
      </w:r>
      <w:r w:rsidRPr="00EA03C6">
        <w:t xml:space="preserve"> procedural fairness in termination.</w:t>
      </w:r>
    </w:p>
    <w:p w14:paraId="1B94C595" w14:textId="77777777" w:rsidR="00A601F9" w:rsidRDefault="00A601F9" w:rsidP="00A601F9"/>
    <w:p w14:paraId="356CA6D8" w14:textId="54BFE0DE" w:rsidR="00A601F9" w:rsidRDefault="00A601F9" w:rsidP="000136FD">
      <w:pPr>
        <w:pStyle w:val="BOXHeading2"/>
      </w:pPr>
      <w:bookmarkStart w:id="5883" w:name="_Toc112410381"/>
      <w:bookmarkStart w:id="5884" w:name="_Toc113009854"/>
      <w:bookmarkStart w:id="5885" w:name="_Toc114230902"/>
      <w:bookmarkStart w:id="5886" w:name="_Toc114233607"/>
      <w:bookmarkStart w:id="5887" w:name="_Toc114233679"/>
      <w:bookmarkStart w:id="5888" w:name="_Toc114240636"/>
      <w:bookmarkStart w:id="5889" w:name="_Toc114240710"/>
      <w:bookmarkStart w:id="5890" w:name="_Toc114241054"/>
      <w:bookmarkStart w:id="5891" w:name="_Toc114494075"/>
      <w:bookmarkStart w:id="5892" w:name="_Toc114500326"/>
      <w:bookmarkStart w:id="5893" w:name="_Toc114500401"/>
      <w:bookmarkStart w:id="5894" w:name="_Toc114518674"/>
      <w:bookmarkStart w:id="5895" w:name="_Toc114520346"/>
      <w:bookmarkStart w:id="5896" w:name="_Toc114520755"/>
      <w:bookmarkStart w:id="5897" w:name="_Toc114565783"/>
      <w:bookmarkStart w:id="5898" w:name="_Toc114566764"/>
      <w:bookmarkStart w:id="5899" w:name="_Toc114566989"/>
      <w:bookmarkStart w:id="5900" w:name="_Toc114566913"/>
      <w:bookmarkStart w:id="5901" w:name="_Toc114585914"/>
      <w:bookmarkStart w:id="5902" w:name="_Toc114586058"/>
      <w:bookmarkStart w:id="5903" w:name="_Toc114586130"/>
      <w:bookmarkStart w:id="5904" w:name="_Toc114601270"/>
      <w:bookmarkStart w:id="5905" w:name="_Toc114657311"/>
      <w:bookmarkStart w:id="5906" w:name="_Toc114659773"/>
      <w:bookmarkStart w:id="5907" w:name="_Toc114662758"/>
      <w:bookmarkStart w:id="5908" w:name="_Toc114665141"/>
      <w:bookmarkStart w:id="5909" w:name="_Toc114672449"/>
      <w:bookmarkStart w:id="5910" w:name="_Toc114672661"/>
      <w:bookmarkStart w:id="5911" w:name="_Toc114673216"/>
      <w:bookmarkStart w:id="5912" w:name="_Toc114673802"/>
      <w:bookmarkStart w:id="5913" w:name="_Toc114674327"/>
      <w:bookmarkStart w:id="5914" w:name="_Toc114687500"/>
      <w:bookmarkStart w:id="5915" w:name="_Toc114689964"/>
      <w:bookmarkStart w:id="5916" w:name="_Toc114731827"/>
      <w:bookmarkStart w:id="5917" w:name="_Toc114733592"/>
      <w:bookmarkStart w:id="5918" w:name="_Toc114757164"/>
      <w:bookmarkStart w:id="5919" w:name="_Toc114757550"/>
      <w:bookmarkStart w:id="5920" w:name="_Toc114758223"/>
      <w:bookmarkStart w:id="5921" w:name="_Toc114735533"/>
      <w:bookmarkStart w:id="5922" w:name="_Toc114755859"/>
      <w:bookmarkStart w:id="5923" w:name="_Toc114757448"/>
      <w:bookmarkStart w:id="5924" w:name="_Toc114824393"/>
      <w:bookmarkStart w:id="5925" w:name="_Toc114829469"/>
      <w:bookmarkStart w:id="5926" w:name="_Toc114829833"/>
      <w:bookmarkStart w:id="5927" w:name="_Toc114829977"/>
      <w:bookmarkStart w:id="5928" w:name="_Toc115099056"/>
      <w:bookmarkStart w:id="5929" w:name="_Toc115099128"/>
      <w:bookmarkStart w:id="5930" w:name="_Toc115101705"/>
      <w:bookmarkStart w:id="5931" w:name="_Toc115102550"/>
      <w:bookmarkStart w:id="5932" w:name="_Toc115105523"/>
      <w:bookmarkStart w:id="5933" w:name="_Toc115110384"/>
      <w:bookmarkStart w:id="5934" w:name="_Toc115110511"/>
      <w:bookmarkStart w:id="5935" w:name="_Toc115121629"/>
      <w:bookmarkStart w:id="5936" w:name="_Toc115121999"/>
      <w:bookmarkStart w:id="5937" w:name="_Toc115123479"/>
      <w:bookmarkStart w:id="5938" w:name="_Toc115123727"/>
      <w:bookmarkStart w:id="5939" w:name="_Toc115126859"/>
      <w:bookmarkStart w:id="5940" w:name="_Toc115185494"/>
      <w:bookmarkStart w:id="5941" w:name="_Toc115186121"/>
      <w:bookmarkStart w:id="5942" w:name="_Toc115189279"/>
      <w:bookmarkStart w:id="5943" w:name="_Toc115194252"/>
      <w:bookmarkStart w:id="5944" w:name="_Toc115194989"/>
      <w:bookmarkStart w:id="5945" w:name="_Toc115196399"/>
      <w:bookmarkStart w:id="5946" w:name="_Toc115198900"/>
      <w:bookmarkStart w:id="5947" w:name="_Toc115208915"/>
      <w:bookmarkStart w:id="5948" w:name="_Toc115209051"/>
      <w:bookmarkStart w:id="5949" w:name="_Toc115210382"/>
      <w:bookmarkStart w:id="5950" w:name="_Toc115212607"/>
      <w:bookmarkStart w:id="5951" w:name="_Toc115213247"/>
      <w:bookmarkStart w:id="5952" w:name="_Toc115216745"/>
      <w:bookmarkStart w:id="5953" w:name="_Toc115270436"/>
      <w:bookmarkStart w:id="5954" w:name="_Toc115271379"/>
      <w:bookmarkStart w:id="5955" w:name="_Toc115272296"/>
      <w:bookmarkStart w:id="5956" w:name="_Toc115273466"/>
      <w:bookmarkStart w:id="5957" w:name="_Toc115273394"/>
      <w:bookmarkStart w:id="5958" w:name="_Toc115274647"/>
      <w:bookmarkStart w:id="5959" w:name="_Toc115274873"/>
      <w:bookmarkStart w:id="5960" w:name="_Toc115275230"/>
      <w:bookmarkStart w:id="5961" w:name="_Toc115275373"/>
      <w:bookmarkStart w:id="5962" w:name="_Toc115274210"/>
      <w:bookmarkStart w:id="5963" w:name="_Toc115274511"/>
      <w:bookmarkStart w:id="5964" w:name="_Toc115274579"/>
      <w:bookmarkStart w:id="5965" w:name="_Toc115274737"/>
      <w:bookmarkStart w:id="5966" w:name="_Toc115277471"/>
      <w:bookmarkStart w:id="5967" w:name="_Toc115277675"/>
      <w:bookmarkStart w:id="5968" w:name="_Toc115278564"/>
      <w:bookmarkStart w:id="5969" w:name="_Toc115278644"/>
      <w:bookmarkStart w:id="5970" w:name="_Toc115282314"/>
      <w:bookmarkStart w:id="5971" w:name="_Toc115284767"/>
      <w:bookmarkStart w:id="5972" w:name="_Toc115286859"/>
      <w:bookmarkStart w:id="5973" w:name="_Toc115294793"/>
      <w:bookmarkStart w:id="5974" w:name="_Toc115296373"/>
      <w:bookmarkStart w:id="5975" w:name="_Toc115308559"/>
      <w:bookmarkStart w:id="5976" w:name="_Toc115311211"/>
      <w:bookmarkStart w:id="5977" w:name="_Toc115312691"/>
      <w:bookmarkStart w:id="5978" w:name="_Toc115343865"/>
      <w:bookmarkStart w:id="5979" w:name="_Toc115348303"/>
      <w:bookmarkStart w:id="5980" w:name="_Toc115350401"/>
      <w:bookmarkStart w:id="5981" w:name="_Toc115353489"/>
      <w:bookmarkStart w:id="5982" w:name="_Toc115359520"/>
      <w:bookmarkStart w:id="5983" w:name="_Toc115361924"/>
      <w:bookmarkStart w:id="5984" w:name="_Toc115364317"/>
      <w:bookmarkStart w:id="5985" w:name="_Toc115365411"/>
      <w:bookmarkStart w:id="5986" w:name="_Toc115365751"/>
      <w:bookmarkStart w:id="5987" w:name="_Toc115366215"/>
      <w:bookmarkStart w:id="5988" w:name="_Toc115368665"/>
      <w:bookmarkStart w:id="5989" w:name="_Toc115370105"/>
      <w:bookmarkStart w:id="5990" w:name="_Toc115370839"/>
      <w:bookmarkStart w:id="5991" w:name="_Toc115374411"/>
      <w:bookmarkStart w:id="5992" w:name="_Toc115378750"/>
      <w:bookmarkStart w:id="5993" w:name="_Toc115380982"/>
      <w:bookmarkStart w:id="5994" w:name="_Toc115384134"/>
      <w:bookmarkStart w:id="5995" w:name="_Toc115387363"/>
      <w:bookmarkStart w:id="5996" w:name="_Toc115388829"/>
      <w:bookmarkStart w:id="5997" w:name="_Toc115431467"/>
      <w:bookmarkStart w:id="5998" w:name="_Toc115432845"/>
      <w:bookmarkStart w:id="5999" w:name="_Toc115434416"/>
      <w:bookmarkStart w:id="6000" w:name="_Toc115434515"/>
      <w:bookmarkStart w:id="6001" w:name="_Toc115434584"/>
      <w:bookmarkStart w:id="6002" w:name="_Toc115434653"/>
      <w:bookmarkStart w:id="6003" w:name="_Toc115442820"/>
      <w:bookmarkStart w:id="6004" w:name="_Toc115446356"/>
      <w:bookmarkStart w:id="6005" w:name="_Toc115448063"/>
      <w:bookmarkStart w:id="6006" w:name="_Toc115449455"/>
      <w:bookmarkStart w:id="6007" w:name="_Toc115452475"/>
      <w:bookmarkStart w:id="6008" w:name="_Toc115455292"/>
      <w:bookmarkStart w:id="6009" w:name="_Toc115455358"/>
      <w:bookmarkStart w:id="6010" w:name="_Toc115457308"/>
      <w:bookmarkStart w:id="6011" w:name="_Toc115458144"/>
      <w:bookmarkStart w:id="6012" w:name="_Toc115948172"/>
      <w:bookmarkStart w:id="6013" w:name="_Toc115948619"/>
      <w:r>
        <w:t xml:space="preserve">Recommendation </w:t>
      </w:r>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r w:rsidR="000840CE">
        <w:t>1</w:t>
      </w:r>
      <w:r w:rsidR="00817AC5">
        <w:t>1</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r w:rsidR="005439E8">
        <w:t xml:space="preserve"> – Employee obligations</w:t>
      </w:r>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p>
    <w:p w14:paraId="70796E38" w14:textId="77777777" w:rsidR="000136FD" w:rsidRPr="005E7617" w:rsidRDefault="000136FD" w:rsidP="000136FD">
      <w:pPr>
        <w:pStyle w:val="BOXText"/>
      </w:pPr>
      <w:bookmarkStart w:id="6014" w:name="_Ref114222324"/>
      <w:bookmarkStart w:id="6015" w:name="_Toc114230896"/>
      <w:bookmarkStart w:id="6016" w:name="_Toc114233601"/>
      <w:bookmarkStart w:id="6017" w:name="_Toc114233673"/>
      <w:bookmarkStart w:id="6018" w:name="_Toc114240630"/>
      <w:bookmarkStart w:id="6019" w:name="_Toc114240704"/>
      <w:bookmarkStart w:id="6020" w:name="_Toc114241048"/>
      <w:bookmarkStart w:id="6021" w:name="_Toc114494069"/>
      <w:bookmarkStart w:id="6022" w:name="_Toc114500320"/>
      <w:bookmarkStart w:id="6023" w:name="_Toc114500395"/>
      <w:bookmarkStart w:id="6024" w:name="_Toc114518668"/>
      <w:bookmarkStart w:id="6025" w:name="_Toc114520340"/>
      <w:bookmarkStart w:id="6026" w:name="_Toc114520749"/>
      <w:bookmarkStart w:id="6027" w:name="_Toc114565777"/>
      <w:bookmarkStart w:id="6028" w:name="_Toc114566758"/>
      <w:bookmarkStart w:id="6029" w:name="_Toc114566983"/>
      <w:bookmarkStart w:id="6030" w:name="_Toc114566907"/>
      <w:bookmarkStart w:id="6031" w:name="_Toc114585908"/>
      <w:bookmarkStart w:id="6032" w:name="_Toc114586052"/>
      <w:bookmarkStart w:id="6033" w:name="_Toc114586124"/>
      <w:bookmarkStart w:id="6034" w:name="_Toc114601264"/>
      <w:bookmarkStart w:id="6035" w:name="_Toc114657305"/>
      <w:bookmarkStart w:id="6036" w:name="_Toc114659767"/>
      <w:bookmarkStart w:id="6037" w:name="_Toc114662752"/>
      <w:bookmarkStart w:id="6038" w:name="_Toc114665135"/>
      <w:bookmarkStart w:id="6039" w:name="_Toc114672443"/>
      <w:bookmarkStart w:id="6040" w:name="_Toc114672655"/>
      <w:bookmarkStart w:id="6041" w:name="_Toc114673210"/>
      <w:bookmarkStart w:id="6042" w:name="_Toc114673796"/>
      <w:bookmarkStart w:id="6043" w:name="_Toc114674321"/>
      <w:bookmarkStart w:id="6044" w:name="_Toc114687494"/>
      <w:bookmarkStart w:id="6045" w:name="_Toc114689958"/>
      <w:bookmarkStart w:id="6046" w:name="_Toc114731821"/>
      <w:bookmarkStart w:id="6047" w:name="_Toc114733586"/>
      <w:bookmarkStart w:id="6048" w:name="_Toc114735527"/>
      <w:bookmarkStart w:id="6049" w:name="_Toc114755860"/>
      <w:bookmarkStart w:id="6050" w:name="_Toc114757165"/>
      <w:bookmarkStart w:id="6051" w:name="_Toc114757449"/>
      <w:bookmarkStart w:id="6052" w:name="_Toc114757551"/>
      <w:bookmarkStart w:id="6053" w:name="_Toc114758224"/>
      <w:bookmarkStart w:id="6054" w:name="_Toc114824394"/>
      <w:bookmarkStart w:id="6055" w:name="_Toc114829470"/>
      <w:bookmarkStart w:id="6056" w:name="_Toc114829834"/>
      <w:bookmarkStart w:id="6057" w:name="_Toc114829978"/>
      <w:bookmarkStart w:id="6058" w:name="_Toc115099057"/>
      <w:bookmarkStart w:id="6059" w:name="_Toc115099129"/>
      <w:bookmarkStart w:id="6060" w:name="_Toc115101706"/>
      <w:bookmarkStart w:id="6061" w:name="_Toc115102551"/>
      <w:bookmarkStart w:id="6062" w:name="_Toc115105524"/>
      <w:bookmarkStart w:id="6063" w:name="_Toc115110385"/>
      <w:bookmarkStart w:id="6064" w:name="_Toc115110512"/>
      <w:bookmarkStart w:id="6065" w:name="_Toc115121630"/>
      <w:bookmarkStart w:id="6066" w:name="_Toc115122000"/>
      <w:bookmarkStart w:id="6067" w:name="_Toc115123480"/>
      <w:bookmarkStart w:id="6068" w:name="_Toc115123728"/>
      <w:bookmarkStart w:id="6069" w:name="_Toc115126860"/>
      <w:bookmarkStart w:id="6070" w:name="_Toc115185495"/>
      <w:bookmarkStart w:id="6071" w:name="_Toc115186122"/>
      <w:bookmarkStart w:id="6072" w:name="_Toc115189280"/>
      <w:bookmarkStart w:id="6073" w:name="_Toc115194253"/>
      <w:bookmarkStart w:id="6074" w:name="_Toc115194990"/>
      <w:bookmarkStart w:id="6075" w:name="_Toc115196400"/>
      <w:bookmarkStart w:id="6076" w:name="_Toc115198901"/>
      <w:bookmarkStart w:id="6077" w:name="_Toc115208916"/>
      <w:bookmarkStart w:id="6078" w:name="_Toc115209052"/>
      <w:bookmarkStart w:id="6079" w:name="_Toc115210383"/>
      <w:bookmarkStart w:id="6080" w:name="_Toc115212608"/>
      <w:bookmarkStart w:id="6081" w:name="_Toc115213248"/>
      <w:bookmarkStart w:id="6082" w:name="_Toc115216746"/>
      <w:bookmarkStart w:id="6083" w:name="_Toc115270437"/>
      <w:bookmarkStart w:id="6084" w:name="_Toc115271380"/>
      <w:bookmarkStart w:id="6085" w:name="_Toc115272297"/>
      <w:bookmarkStart w:id="6086" w:name="_Toc115273467"/>
      <w:bookmarkStart w:id="6087" w:name="_Toc115273395"/>
      <w:bookmarkStart w:id="6088" w:name="_Toc115274648"/>
      <w:bookmarkStart w:id="6089" w:name="_Toc115274874"/>
      <w:bookmarkStart w:id="6090" w:name="_Toc115275231"/>
      <w:bookmarkStart w:id="6091" w:name="_Toc115275374"/>
      <w:bookmarkStart w:id="6092" w:name="_Toc115274211"/>
      <w:bookmarkStart w:id="6093" w:name="_Toc115274512"/>
      <w:bookmarkStart w:id="6094" w:name="_Toc115274580"/>
      <w:bookmarkStart w:id="6095" w:name="_Toc115274738"/>
      <w:bookmarkStart w:id="6096" w:name="_Toc115277472"/>
      <w:bookmarkStart w:id="6097" w:name="_Toc115277676"/>
      <w:bookmarkStart w:id="6098" w:name="_Toc115278565"/>
      <w:bookmarkStart w:id="6099" w:name="_Toc115278645"/>
      <w:bookmarkEnd w:id="4903"/>
      <w:r>
        <w:t xml:space="preserve">The MoP(S) Act should list the requirements of an employee including to: contribute to a safe and respectful workplace; act in accordance with any applicable codes of conduct; and </w:t>
      </w:r>
      <w:r w:rsidRPr="005E7617">
        <w:t>exercis</w:t>
      </w:r>
      <w:r>
        <w:t>e</w:t>
      </w:r>
      <w:r w:rsidRPr="005E7617">
        <w:t xml:space="preserve"> delegations in accordance with legal obligations.</w:t>
      </w:r>
    </w:p>
    <w:p w14:paraId="234798DE" w14:textId="77777777" w:rsidR="00170328" w:rsidRDefault="00170328" w:rsidP="00170328"/>
    <w:p w14:paraId="2FAA64CD" w14:textId="52B1B239" w:rsidR="001745BA" w:rsidRDefault="00672323" w:rsidP="001745BA">
      <w:pPr>
        <w:pStyle w:val="Heading2"/>
      </w:pPr>
      <w:bookmarkStart w:id="6100" w:name="_Toc115282315"/>
      <w:bookmarkStart w:id="6101" w:name="_Toc115284768"/>
      <w:bookmarkStart w:id="6102" w:name="_Toc115286860"/>
      <w:bookmarkStart w:id="6103" w:name="_Toc115294794"/>
      <w:bookmarkStart w:id="6104" w:name="_Toc115296374"/>
      <w:bookmarkStart w:id="6105" w:name="_Toc115308560"/>
      <w:bookmarkStart w:id="6106" w:name="_Toc115311212"/>
      <w:bookmarkStart w:id="6107" w:name="_Toc115312692"/>
      <w:bookmarkStart w:id="6108" w:name="_Toc115343866"/>
      <w:bookmarkStart w:id="6109" w:name="_Toc115348304"/>
      <w:bookmarkStart w:id="6110" w:name="_Toc115350402"/>
      <w:bookmarkStart w:id="6111" w:name="_Toc115353490"/>
      <w:bookmarkStart w:id="6112" w:name="_Toc115359521"/>
      <w:bookmarkStart w:id="6113" w:name="_Toc115361925"/>
      <w:bookmarkStart w:id="6114" w:name="_Toc115364318"/>
      <w:bookmarkStart w:id="6115" w:name="_Toc115365412"/>
      <w:bookmarkStart w:id="6116" w:name="_Toc115365752"/>
      <w:bookmarkStart w:id="6117" w:name="_Toc115366216"/>
      <w:bookmarkStart w:id="6118" w:name="_Toc115368666"/>
      <w:bookmarkStart w:id="6119" w:name="_Toc115370106"/>
      <w:bookmarkStart w:id="6120" w:name="_Toc115370840"/>
      <w:bookmarkStart w:id="6121" w:name="_Toc115374412"/>
      <w:bookmarkStart w:id="6122" w:name="_Toc115378751"/>
      <w:bookmarkStart w:id="6123" w:name="_Toc115380983"/>
      <w:bookmarkStart w:id="6124" w:name="_Toc115384135"/>
      <w:bookmarkStart w:id="6125" w:name="_Toc115387364"/>
      <w:bookmarkStart w:id="6126" w:name="_Toc115388830"/>
      <w:bookmarkStart w:id="6127" w:name="_Toc115431468"/>
      <w:bookmarkStart w:id="6128" w:name="_Toc115432846"/>
      <w:bookmarkStart w:id="6129" w:name="_Toc115434417"/>
      <w:bookmarkStart w:id="6130" w:name="_Toc115434516"/>
      <w:bookmarkStart w:id="6131" w:name="_Toc115434585"/>
      <w:bookmarkStart w:id="6132" w:name="_Toc115434654"/>
      <w:bookmarkStart w:id="6133" w:name="_Toc115442821"/>
      <w:bookmarkStart w:id="6134" w:name="_Toc115446357"/>
      <w:bookmarkStart w:id="6135" w:name="_Toc115448064"/>
      <w:bookmarkStart w:id="6136" w:name="_Toc115449456"/>
      <w:bookmarkStart w:id="6137" w:name="_Toc115452476"/>
      <w:bookmarkStart w:id="6138" w:name="_Toc115455293"/>
      <w:bookmarkStart w:id="6139" w:name="_Toc115455359"/>
      <w:bookmarkStart w:id="6140" w:name="_Toc115457309"/>
      <w:bookmarkStart w:id="6141" w:name="_Toc115458145"/>
      <w:bookmarkStart w:id="6142" w:name="_Toc115948173"/>
      <w:bookmarkStart w:id="6143" w:name="_Toc115948620"/>
      <w:r>
        <w:t>5.5</w:t>
      </w:r>
      <w:r w:rsidR="001745BA" w:rsidRPr="007010A4">
        <w:t xml:space="preserve"> Reporting</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r w:rsidR="001745BA" w:rsidRPr="007010A4">
        <w:t xml:space="preserve"> </w:t>
      </w:r>
    </w:p>
    <w:p w14:paraId="36E9D527" w14:textId="6B430176" w:rsidR="001745BA" w:rsidRDefault="00672323" w:rsidP="00051BDA">
      <w:pPr>
        <w:pStyle w:val="Heading3"/>
      </w:pPr>
      <w:r>
        <w:t>5.5</w:t>
      </w:r>
      <w:r w:rsidR="001745BA">
        <w:t>.1 Current situation</w:t>
      </w:r>
    </w:p>
    <w:p w14:paraId="43A31A5A" w14:textId="1533CEB5" w:rsidR="001745BA" w:rsidRDefault="001745BA" w:rsidP="001745BA">
      <w:r>
        <w:t xml:space="preserve">The MoP(S) Act currently only requires an annual report that relates to the use of </w:t>
      </w:r>
      <w:r w:rsidR="00251307">
        <w:t>m</w:t>
      </w:r>
      <w:r>
        <w:t>inisterial consultants.</w:t>
      </w:r>
      <w:r>
        <w:rPr>
          <w:rStyle w:val="FootnoteReference"/>
        </w:rPr>
        <w:footnoteReference w:id="252"/>
      </w:r>
      <w:r>
        <w:t xml:space="preserve"> </w:t>
      </w:r>
      <w:r w:rsidR="00BC5BE7">
        <w:t>The last time a m</w:t>
      </w:r>
      <w:r>
        <w:t xml:space="preserve">inisterial consultant </w:t>
      </w:r>
      <w:r w:rsidR="00BC5BE7">
        <w:t>was</w:t>
      </w:r>
      <w:r>
        <w:t xml:space="preserve"> engaged </w:t>
      </w:r>
      <w:r w:rsidR="00BC5BE7">
        <w:t>was</w:t>
      </w:r>
      <w:r>
        <w:t xml:space="preserve"> </w:t>
      </w:r>
      <w:r w:rsidR="00156502">
        <w:t>in</w:t>
      </w:r>
      <w:r>
        <w:t xml:space="preserve"> </w:t>
      </w:r>
      <w:r w:rsidR="00BC5BE7">
        <w:t>2006</w:t>
      </w:r>
      <w:r>
        <w:t>.</w:t>
      </w:r>
      <w:r w:rsidR="00B6176E">
        <w:rPr>
          <w:rStyle w:val="FootnoteReference"/>
        </w:rPr>
        <w:footnoteReference w:id="253"/>
      </w:r>
      <w:r>
        <w:t xml:space="preserve"> The </w:t>
      </w:r>
      <w:r w:rsidR="00F23879">
        <w:t xml:space="preserve">Review </w:t>
      </w:r>
      <w:r>
        <w:t>heard that the only other current reporting relating to the MoP(S) Act is by convention in Senate Estimates and indirectly through Finance’s annual report.</w:t>
      </w:r>
      <w:r>
        <w:rPr>
          <w:rStyle w:val="FootnoteReference"/>
        </w:rPr>
        <w:footnoteReference w:id="254"/>
      </w:r>
      <w:r w:rsidRPr="00B2425E">
        <w:t xml:space="preserve"> </w:t>
      </w:r>
    </w:p>
    <w:p w14:paraId="6336B8B9" w14:textId="011475DB" w:rsidR="001745BA" w:rsidRDefault="001745BA" w:rsidP="001745BA">
      <w:r>
        <w:t>Between 2007 and 2013</w:t>
      </w:r>
      <w:r w:rsidR="009F1266">
        <w:t>,</w:t>
      </w:r>
      <w:r>
        <w:t xml:space="preserve"> the </w:t>
      </w:r>
      <w:r w:rsidR="00BC6554">
        <w:t xml:space="preserve">then </w:t>
      </w:r>
      <w:r w:rsidR="003E16BE">
        <w:t>S</w:t>
      </w:r>
      <w:r w:rsidR="009F1266">
        <w:t>MOS</w:t>
      </w:r>
      <w:r w:rsidR="00BC6554">
        <w:t xml:space="preserve"> </w:t>
      </w:r>
      <w:r>
        <w:t xml:space="preserve">prepared </w:t>
      </w:r>
      <w:r w:rsidR="00B6176E">
        <w:t xml:space="preserve">an </w:t>
      </w:r>
      <w:r>
        <w:t xml:space="preserve">annual report which provided detailed information about the MoP(S) </w:t>
      </w:r>
      <w:r w:rsidR="000C429B">
        <w:t xml:space="preserve">Act </w:t>
      </w:r>
      <w:r>
        <w:t>employee framework</w:t>
      </w:r>
      <w:r w:rsidR="004A71F2">
        <w:t>,</w:t>
      </w:r>
      <w:r>
        <w:t xml:space="preserve"> including:</w:t>
      </w:r>
    </w:p>
    <w:p w14:paraId="45597CBB" w14:textId="77777777" w:rsidR="001745BA" w:rsidRDefault="001745BA" w:rsidP="001745BA">
      <w:pPr>
        <w:pStyle w:val="BulletedList-Level1"/>
      </w:pPr>
      <w:r>
        <w:t xml:space="preserve">the total number of </w:t>
      </w:r>
      <w:r w:rsidR="00D170AD">
        <w:t>MoP</w:t>
      </w:r>
      <w:r>
        <w:t xml:space="preserve">(s) </w:t>
      </w:r>
      <w:r w:rsidR="00514FA1">
        <w:t>A</w:t>
      </w:r>
      <w:r>
        <w:t xml:space="preserve">ct employees </w:t>
      </w:r>
    </w:p>
    <w:p w14:paraId="1512DE83" w14:textId="45085BA4" w:rsidR="001745BA" w:rsidRDefault="001745BA" w:rsidP="001745BA">
      <w:pPr>
        <w:pStyle w:val="BulletedList-Level1"/>
      </w:pPr>
      <w:r>
        <w:t>data on emerging trends from the previous year (for instance, a comparison o</w:t>
      </w:r>
      <w:r w:rsidR="00EA3CE6">
        <w:t>f</w:t>
      </w:r>
      <w:r>
        <w:t xml:space="preserve"> full-time, part-time, ongoing, non-ongoing and casual numbers of employment)</w:t>
      </w:r>
    </w:p>
    <w:p w14:paraId="0FEF137F" w14:textId="77777777" w:rsidR="001745BA" w:rsidRDefault="001745BA" w:rsidP="001745BA">
      <w:pPr>
        <w:pStyle w:val="BulletedList-Level1"/>
      </w:pPr>
      <w:r>
        <w:t>classification levels</w:t>
      </w:r>
    </w:p>
    <w:p w14:paraId="61CBA2B0" w14:textId="77777777" w:rsidR="001745BA" w:rsidRDefault="001745BA" w:rsidP="001745BA">
      <w:pPr>
        <w:pStyle w:val="BulletedList-Level1"/>
      </w:pPr>
      <w:r>
        <w:t>gender breakdown</w:t>
      </w:r>
    </w:p>
    <w:p w14:paraId="5C2D1294" w14:textId="77777777" w:rsidR="001745BA" w:rsidRDefault="001745BA" w:rsidP="001745BA">
      <w:pPr>
        <w:pStyle w:val="BulletedList-Level1"/>
      </w:pPr>
      <w:r>
        <w:t xml:space="preserve">the number of notifiable incidents under the </w:t>
      </w:r>
      <w:r w:rsidR="008445EF">
        <w:t>WHS Act</w:t>
      </w:r>
    </w:p>
    <w:p w14:paraId="482E8D09" w14:textId="77777777" w:rsidR="001745BA" w:rsidRDefault="001745BA" w:rsidP="001745BA">
      <w:pPr>
        <w:pStyle w:val="BulletedList-Level1"/>
      </w:pPr>
      <w:r>
        <w:t>the number of unfair dismissal claims</w:t>
      </w:r>
      <w:r w:rsidR="00510D9A">
        <w:t>.</w:t>
      </w:r>
    </w:p>
    <w:p w14:paraId="3CE560DF" w14:textId="68117B0C" w:rsidR="004F6BB7" w:rsidRDefault="004F6BB7" w:rsidP="004F6BB7">
      <w:r w:rsidRPr="00142173">
        <w:rPr>
          <w:i/>
        </w:rPr>
        <w:t>Set the Standard</w:t>
      </w:r>
      <w:r>
        <w:t xml:space="preserve"> recommended the OPSC table an annual report to </w:t>
      </w:r>
      <w:r w:rsidR="006146A9">
        <w:t>p</w:t>
      </w:r>
      <w:r>
        <w:t>arliament</w:t>
      </w:r>
      <w:r>
        <w:rPr>
          <w:rStyle w:val="FootnoteReference"/>
        </w:rPr>
        <w:footnoteReference w:id="255"/>
      </w:r>
      <w:r>
        <w:t xml:space="preserve"> which should include</w:t>
      </w:r>
      <w:r w:rsidR="00510D9A">
        <w:t xml:space="preserve"> the following information on MoP(S) Act employees</w:t>
      </w:r>
      <w:r>
        <w:t>:</w:t>
      </w:r>
    </w:p>
    <w:p w14:paraId="46C2133E" w14:textId="77777777" w:rsidR="004F6BB7" w:rsidRDefault="00510D9A" w:rsidP="004F6BB7">
      <w:pPr>
        <w:pStyle w:val="BulletedList-Level1"/>
      </w:pPr>
      <w:r>
        <w:t>d</w:t>
      </w:r>
      <w:r w:rsidR="004F6BB7">
        <w:t>iversity characteristics</w:t>
      </w:r>
    </w:p>
    <w:p w14:paraId="1E690F43" w14:textId="77777777" w:rsidR="004F6BB7" w:rsidRDefault="00510D9A" w:rsidP="004F6BB7">
      <w:pPr>
        <w:pStyle w:val="BulletedList-Level1"/>
      </w:pPr>
      <w:r>
        <w:t>a</w:t>
      </w:r>
      <w:r w:rsidR="004F6BB7">
        <w:t>nalysis by party affiliation (where applicable)</w:t>
      </w:r>
    </w:p>
    <w:p w14:paraId="3F7B39BB" w14:textId="77777777" w:rsidR="004F6BB7" w:rsidRDefault="00510D9A" w:rsidP="004F6BB7">
      <w:pPr>
        <w:pStyle w:val="BulletedList-Level1"/>
      </w:pPr>
      <w:r>
        <w:t>r</w:t>
      </w:r>
      <w:r w:rsidR="004F6BB7">
        <w:t>ole</w:t>
      </w:r>
    </w:p>
    <w:p w14:paraId="7562A434" w14:textId="77777777" w:rsidR="004F6BB7" w:rsidRDefault="00510D9A" w:rsidP="004F6BB7">
      <w:pPr>
        <w:pStyle w:val="BulletedList-Level1"/>
      </w:pPr>
      <w:r>
        <w:t>classification</w:t>
      </w:r>
    </w:p>
    <w:p w14:paraId="644266F5" w14:textId="77777777" w:rsidR="004F6BB7" w:rsidRDefault="00510D9A" w:rsidP="004F6BB7">
      <w:pPr>
        <w:pStyle w:val="BulletedList-Level1"/>
      </w:pPr>
      <w:r>
        <w:t xml:space="preserve">pay </w:t>
      </w:r>
      <w:r w:rsidR="004F6BB7">
        <w:t>scale</w:t>
      </w:r>
      <w:r>
        <w:t>.</w:t>
      </w:r>
    </w:p>
    <w:p w14:paraId="6274BFCF" w14:textId="5343639A" w:rsidR="004F6BB7" w:rsidRDefault="004F6BB7" w:rsidP="004F6BB7">
      <w:r w:rsidRPr="00142173">
        <w:rPr>
          <w:i/>
        </w:rPr>
        <w:t>Set the Standard</w:t>
      </w:r>
      <w:r>
        <w:t xml:space="preserve"> also provided that the OPSC should report on </w:t>
      </w:r>
      <w:r w:rsidR="002751A5">
        <w:t>employee</w:t>
      </w:r>
      <w:r>
        <w:t xml:space="preserve"> turnover, compliance data and other indices tracking culture change and safety improvement in </w:t>
      </w:r>
      <w:r w:rsidR="00744662">
        <w:t>CPWs</w:t>
      </w:r>
      <w:r>
        <w:t>.</w:t>
      </w:r>
      <w:r>
        <w:rPr>
          <w:rStyle w:val="FootnoteReference"/>
        </w:rPr>
        <w:footnoteReference w:id="256"/>
      </w:r>
      <w:r>
        <w:t xml:space="preserve"> </w:t>
      </w:r>
    </w:p>
    <w:p w14:paraId="33EF5D3D" w14:textId="77777777" w:rsidR="001745BA" w:rsidRPr="00565E26" w:rsidRDefault="001745BA" w:rsidP="00051BDA">
      <w:pPr>
        <w:pStyle w:val="Heading4"/>
      </w:pPr>
      <w:r w:rsidRPr="00565E26">
        <w:t>What we heard</w:t>
      </w:r>
    </w:p>
    <w:p w14:paraId="00D8BC5D" w14:textId="77777777" w:rsidR="001745BA" w:rsidRDefault="001745BA" w:rsidP="001745BA">
      <w:r>
        <w:t>The</w:t>
      </w:r>
      <w:r w:rsidDel="00F23879">
        <w:t xml:space="preserve"> </w:t>
      </w:r>
      <w:r w:rsidR="00F23879">
        <w:t>Review</w:t>
      </w:r>
      <w:r>
        <w:t xml:space="preserve"> heard from some stakeholders that robust reporting is an important accountability measure. Victorian Women L</w:t>
      </w:r>
      <w:r w:rsidR="00F373DB">
        <w:t>awyers</w:t>
      </w:r>
      <w:r>
        <w:t>, for example, expressed support for</w:t>
      </w:r>
      <w:r w:rsidR="00E62BF2">
        <w:t>:</w:t>
      </w:r>
      <w:r>
        <w:t xml:space="preserve"> </w:t>
      </w:r>
      <w:r w:rsidR="002D0079">
        <w:t>‘</w:t>
      </w:r>
      <w:r>
        <w:t xml:space="preserve">appropriate public reporting of the administration of the </w:t>
      </w:r>
      <w:r w:rsidR="00014107">
        <w:t>MoP</w:t>
      </w:r>
      <w:r>
        <w:t xml:space="preserve">(S) Act as an essential means of enforcing responsibility and accountability for </w:t>
      </w:r>
      <w:r w:rsidR="00014107">
        <w:t>MoP</w:t>
      </w:r>
      <w:r>
        <w:t xml:space="preserve">(S) Act employees. This provides a source of transparency and open </w:t>
      </w:r>
      <w:r w:rsidRPr="00E62BF2">
        <w:t>government</w:t>
      </w:r>
      <w:r w:rsidR="00E62BF2" w:rsidRPr="00E62BF2">
        <w:t>.</w:t>
      </w:r>
      <w:r w:rsidR="002D0079" w:rsidRPr="00E62BF2">
        <w:t>’</w:t>
      </w:r>
      <w:r>
        <w:rPr>
          <w:rStyle w:val="FootnoteReference"/>
        </w:rPr>
        <w:footnoteReference w:id="257"/>
      </w:r>
      <w:r>
        <w:t xml:space="preserve"> </w:t>
      </w:r>
    </w:p>
    <w:p w14:paraId="15BEEF0A" w14:textId="4ABA3597" w:rsidR="000D40E0" w:rsidRDefault="001745BA" w:rsidP="001745BA">
      <w:r>
        <w:t xml:space="preserve">Some </w:t>
      </w:r>
      <w:r w:rsidR="002D0079">
        <w:t>contributors</w:t>
      </w:r>
      <w:r w:rsidDel="004F6BB7">
        <w:t xml:space="preserve"> </w:t>
      </w:r>
      <w:r w:rsidR="004F6BB7">
        <w:t>told us</w:t>
      </w:r>
      <w:r>
        <w:t xml:space="preserve"> the current reporting regime is inadequate. </w:t>
      </w:r>
      <w:r w:rsidR="00D70441">
        <w:t>We heard</w:t>
      </w:r>
      <w:r>
        <w:t xml:space="preserve"> increased public reporting from an independent body (such as the OPSC) </w:t>
      </w:r>
      <w:r w:rsidR="00D70441">
        <w:t>i</w:t>
      </w:r>
      <w:r>
        <w:t>s an important reform and that detailed information about the MoP(S) Act framework ought to be made available to the public. For instance,</w:t>
      </w:r>
      <w:r w:rsidDel="002D0079">
        <w:t xml:space="preserve"> </w:t>
      </w:r>
      <w:r w:rsidR="002D0079">
        <w:t xml:space="preserve">contributors </w:t>
      </w:r>
      <w:r>
        <w:t xml:space="preserve">told the </w:t>
      </w:r>
      <w:r w:rsidR="00F23879">
        <w:t xml:space="preserve">Review </w:t>
      </w:r>
      <w:r>
        <w:t xml:space="preserve">that data on the number of employees, </w:t>
      </w:r>
      <w:r w:rsidR="002751A5">
        <w:t>employee</w:t>
      </w:r>
      <w:r>
        <w:t xml:space="preserve"> turnover, induction and training completions and disciplinary action should be public</w:t>
      </w:r>
      <w:r w:rsidR="00432632">
        <w:t>l</w:t>
      </w:r>
      <w:r>
        <w:t>y reported.</w:t>
      </w:r>
      <w:r>
        <w:rPr>
          <w:rStyle w:val="FootnoteReference"/>
        </w:rPr>
        <w:footnoteReference w:id="258"/>
      </w:r>
      <w:r>
        <w:t xml:space="preserve"> There were </w:t>
      </w:r>
      <w:r w:rsidR="00761CD9">
        <w:t xml:space="preserve">one or two </w:t>
      </w:r>
      <w:r>
        <w:t xml:space="preserve">calls to make the names of </w:t>
      </w:r>
      <w:r w:rsidR="00B6176E">
        <w:t>senior</w:t>
      </w:r>
      <w:r w:rsidR="009D5360">
        <w:t xml:space="preserve"> </w:t>
      </w:r>
      <w:r>
        <w:t>MoP(S) Act employees publi</w:t>
      </w:r>
      <w:r w:rsidR="00432632">
        <w:t>c</w:t>
      </w:r>
      <w:r>
        <w:t>ly available,</w:t>
      </w:r>
      <w:r>
        <w:rPr>
          <w:rStyle w:val="FootnoteReference"/>
        </w:rPr>
        <w:footnoteReference w:id="259"/>
      </w:r>
      <w:r>
        <w:t xml:space="preserve"> though transparency as to who </w:t>
      </w:r>
      <w:r w:rsidR="00D70441">
        <w:t>i</w:t>
      </w:r>
      <w:r>
        <w:t xml:space="preserve">s employed was seen as less significant than data about the employment framework. </w:t>
      </w:r>
    </w:p>
    <w:p w14:paraId="3DE18B69" w14:textId="64211177" w:rsidR="001E1CBB" w:rsidRDefault="001745BA" w:rsidP="001E1CBB">
      <w:r>
        <w:t>Some</w:t>
      </w:r>
      <w:r w:rsidDel="002D0079">
        <w:t xml:space="preserve"> </w:t>
      </w:r>
      <w:r w:rsidR="002D0079">
        <w:t xml:space="preserve">contributors </w:t>
      </w:r>
      <w:r>
        <w:t>told us that public reporting would support behavioural change within the MoP(S) framework</w:t>
      </w:r>
      <w:r w:rsidR="00F431C2">
        <w:t>.</w:t>
      </w:r>
      <w:r>
        <w:t xml:space="preserve"> </w:t>
      </w:r>
      <w:r w:rsidR="002D0079">
        <w:t xml:space="preserve">Contributors </w:t>
      </w:r>
      <w:r>
        <w:t>told the</w:t>
      </w:r>
      <w:r w:rsidDel="00F23879">
        <w:t xml:space="preserve"> </w:t>
      </w:r>
      <w:r w:rsidR="00F23879">
        <w:t>Review</w:t>
      </w:r>
      <w:r>
        <w:t xml:space="preserve"> that, as parliamentarians are ultimately accountable to the public via elections, issues of misconduct or poor management within a parliamentarian’s office should be reported to the public.</w:t>
      </w:r>
      <w:r w:rsidR="00D83614">
        <w:t xml:space="preserve"> </w:t>
      </w:r>
      <w:r>
        <w:t xml:space="preserve">A majority (51 per cent) </w:t>
      </w:r>
      <w:r w:rsidR="00D83614">
        <w:t>of survey respondents</w:t>
      </w:r>
      <w:r>
        <w:t xml:space="preserve"> thought reporting would have a positive impact. </w:t>
      </w:r>
      <w:r w:rsidR="00C25748">
        <w:t>A minority (8 per cent) thought reporting would have a negative impact.</w:t>
      </w:r>
      <w:r>
        <w:t xml:space="preserve"> </w:t>
      </w:r>
      <w:r w:rsidR="00B10EA8" w:rsidRPr="00B10EA8">
        <w:t>(</w:t>
      </w:r>
      <w:r w:rsidR="009B65DF" w:rsidRPr="00B10EA8">
        <w:t xml:space="preserve">see </w:t>
      </w:r>
      <w:r w:rsidR="00B10EA8" w:rsidRPr="00B10EA8">
        <w:t>F</w:t>
      </w:r>
      <w:r w:rsidR="009B65DF" w:rsidRPr="00B10EA8">
        <w:t xml:space="preserve">igure </w:t>
      </w:r>
      <w:r w:rsidR="00B10EA8" w:rsidRPr="00B10EA8">
        <w:t>1</w:t>
      </w:r>
      <w:r w:rsidR="001F539B">
        <w:t>2, Section 5.3.1</w:t>
      </w:r>
      <w:r w:rsidR="00B10EA8" w:rsidRPr="00B10EA8">
        <w:t>).</w:t>
      </w:r>
      <w:r>
        <w:t xml:space="preserve"> </w:t>
      </w:r>
      <w:r w:rsidR="001E1CBB">
        <w:t xml:space="preserve">We heard that </w:t>
      </w:r>
      <w:r w:rsidR="00C96A46">
        <w:t>any</w:t>
      </w:r>
      <w:r w:rsidR="001E1CBB">
        <w:t xml:space="preserve"> </w:t>
      </w:r>
      <w:r w:rsidR="00C96A46">
        <w:t xml:space="preserve">public </w:t>
      </w:r>
      <w:r w:rsidR="001E1CBB">
        <w:t xml:space="preserve">reporting </w:t>
      </w:r>
      <w:r w:rsidR="00C96A46">
        <w:t>about</w:t>
      </w:r>
      <w:r w:rsidR="001E1CBB">
        <w:t xml:space="preserve"> reports to the IPSC need to be de-identified.</w:t>
      </w:r>
      <w:r w:rsidR="001E1CBB">
        <w:rPr>
          <w:rStyle w:val="FootnoteReference"/>
        </w:rPr>
        <w:footnoteReference w:id="260"/>
      </w:r>
    </w:p>
    <w:p w14:paraId="034AC37F" w14:textId="1F0768C5" w:rsidR="00F41E96" w:rsidRDefault="001745BA" w:rsidP="00F41E96">
      <w:r>
        <w:t xml:space="preserve">The </w:t>
      </w:r>
      <w:r w:rsidR="001E1CBB">
        <w:t>Review</w:t>
      </w:r>
      <w:r>
        <w:t xml:space="preserve"> consistently heard about the long hours required of MoP(S) Act employees, and that consideration should be given to reporting on hours of work and uptake of flexible work arrangements.</w:t>
      </w:r>
      <w:r>
        <w:rPr>
          <w:rStyle w:val="FootnoteReference"/>
        </w:rPr>
        <w:footnoteReference w:id="261"/>
      </w:r>
      <w:r>
        <w:t xml:space="preserve"> </w:t>
      </w:r>
      <w:r w:rsidR="00F41E96">
        <w:t xml:space="preserve">Existing reporting arrangements </w:t>
      </w:r>
      <w:r w:rsidR="005C7AE2">
        <w:t>for</w:t>
      </w:r>
      <w:r w:rsidR="00F41E96">
        <w:t xml:space="preserve"> ministerial consultants were not a focus of </w:t>
      </w:r>
      <w:r w:rsidR="005C7AE2">
        <w:t xml:space="preserve">Review </w:t>
      </w:r>
      <w:r w:rsidR="00F41E96">
        <w:t xml:space="preserve">contributions. </w:t>
      </w:r>
    </w:p>
    <w:p w14:paraId="663A905D" w14:textId="0C6B81F2" w:rsidR="001745BA" w:rsidRPr="00565E26" w:rsidRDefault="002E7408" w:rsidP="00051BDA">
      <w:pPr>
        <w:pStyle w:val="Heading4"/>
      </w:pPr>
      <w:r>
        <w:t>What others do</w:t>
      </w:r>
    </w:p>
    <w:p w14:paraId="6FC12696" w14:textId="60D88192" w:rsidR="001745BA" w:rsidRDefault="001745BA" w:rsidP="001745BA">
      <w:r>
        <w:t>Many other Australian state and territory jurisdictions do not have a single entity or department that manages the employment of MoP(S) Act employees (or their equivalent).</w:t>
      </w:r>
      <w:r>
        <w:rPr>
          <w:rStyle w:val="FootnoteReference"/>
        </w:rPr>
        <w:footnoteReference w:id="262"/>
      </w:r>
      <w:r w:rsidR="00C25748">
        <w:t xml:space="preserve"> </w:t>
      </w:r>
      <w:r>
        <w:t xml:space="preserve">This has contributed to a patchwork reporting regime; </w:t>
      </w:r>
      <w:r w:rsidRPr="002C3A0C">
        <w:t xml:space="preserve">the </w:t>
      </w:r>
      <w:r w:rsidR="00F23879" w:rsidRPr="002C3A0C">
        <w:t xml:space="preserve">Review </w:t>
      </w:r>
      <w:r w:rsidRPr="002C3A0C">
        <w:t>is not aware of a single comprehensive annual report, similar to that provided by previous Commonwealth Special Ministers of State, that addresses MoP(S) Act employees in other jurisdictions.</w:t>
      </w:r>
      <w:r w:rsidR="005D6363">
        <w:t xml:space="preserve"> </w:t>
      </w:r>
      <w:r w:rsidR="002C3A0C">
        <w:t xml:space="preserve">However, Queensland’s parliamentary employment framework </w:t>
      </w:r>
      <w:r w:rsidR="007D2FDD">
        <w:t xml:space="preserve">serves as </w:t>
      </w:r>
      <w:r w:rsidR="002C3A0C">
        <w:t>precedent for mandating annual reporting on MoP(S) Act equivalent legislation. In Queensland,</w:t>
      </w:r>
      <w:r w:rsidR="001218EC" w:rsidRPr="001218EC">
        <w:t xml:space="preserve"> </w:t>
      </w:r>
      <w:r w:rsidR="001218EC">
        <w:t>t</w:t>
      </w:r>
      <w:r w:rsidR="001218EC" w:rsidRPr="001218EC">
        <w:t xml:space="preserve">he Director-General of the Department of the Premier and Cabinet </w:t>
      </w:r>
      <w:r w:rsidR="001218EC">
        <w:t xml:space="preserve">must </w:t>
      </w:r>
      <w:r w:rsidR="001218EC" w:rsidRPr="001218EC">
        <w:t xml:space="preserve">prepare </w:t>
      </w:r>
      <w:r w:rsidR="001218EC">
        <w:t xml:space="preserve">an annual report on </w:t>
      </w:r>
      <w:r w:rsidR="001218EC" w:rsidRPr="001218EC">
        <w:t>the operation of</w:t>
      </w:r>
      <w:r w:rsidR="001974B0">
        <w:t xml:space="preserve"> the</w:t>
      </w:r>
      <w:r w:rsidR="001218EC" w:rsidRPr="001218EC">
        <w:t xml:space="preserve"> </w:t>
      </w:r>
      <w:r w:rsidR="001218EC">
        <w:t>Act governing ministerial and other office-holder staff,</w:t>
      </w:r>
      <w:r w:rsidR="00266E4C">
        <w:rPr>
          <w:rStyle w:val="FootnoteReference"/>
        </w:rPr>
        <w:footnoteReference w:id="263"/>
      </w:r>
      <w:r w:rsidR="001218EC">
        <w:t xml:space="preserve"> and the </w:t>
      </w:r>
      <w:r w:rsidR="002C3A0C">
        <w:t>Speaker prepare</w:t>
      </w:r>
      <w:r w:rsidR="001218EC">
        <w:t>s</w:t>
      </w:r>
      <w:r w:rsidR="002C3A0C">
        <w:t xml:space="preserve"> an annual report on the operation of the Act</w:t>
      </w:r>
      <w:r w:rsidR="001218EC">
        <w:t xml:space="preserve"> governing the staff of other parliamentarians.</w:t>
      </w:r>
      <w:r w:rsidR="001218EC">
        <w:rPr>
          <w:rStyle w:val="FootnoteReference"/>
        </w:rPr>
        <w:footnoteReference w:id="264"/>
      </w:r>
    </w:p>
    <w:p w14:paraId="5FF2416D" w14:textId="7EE35CCD" w:rsidR="001745BA" w:rsidRDefault="001745BA" w:rsidP="001745BA">
      <w:r>
        <w:t>The</w:t>
      </w:r>
      <w:r w:rsidDel="00F23879">
        <w:t xml:space="preserve"> </w:t>
      </w:r>
      <w:r w:rsidR="00F23879">
        <w:t>Review</w:t>
      </w:r>
      <w:r>
        <w:t xml:space="preserve"> notes that some jurisdictions publish the names (and pay scales) of ministerial </w:t>
      </w:r>
      <w:r w:rsidR="002751A5">
        <w:t>employees</w:t>
      </w:r>
      <w:r>
        <w:t>.</w:t>
      </w:r>
      <w:r>
        <w:rPr>
          <w:rStyle w:val="FootnoteReference"/>
        </w:rPr>
        <w:footnoteReference w:id="265"/>
      </w:r>
      <w:r>
        <w:t xml:space="preserve"> </w:t>
      </w:r>
      <w:r w:rsidR="009D5360" w:rsidRPr="00A07C3E">
        <w:t>The APS has a directory with the names and contact details for all members of its Senior Executive Service (</w:t>
      </w:r>
      <w:r w:rsidR="00DE2416">
        <w:t>SES</w:t>
      </w:r>
      <w:r w:rsidR="009D5360" w:rsidRPr="00A07C3E">
        <w:t>).</w:t>
      </w:r>
      <w:r w:rsidR="009D5360" w:rsidRPr="00A07C3E">
        <w:rPr>
          <w:rStyle w:val="FootnoteReference"/>
        </w:rPr>
        <w:footnoteReference w:id="266"/>
      </w:r>
      <w:r w:rsidR="009D5360" w:rsidRPr="00A07C3E">
        <w:t xml:space="preserve"> </w:t>
      </w:r>
      <w:r w:rsidR="00B27204" w:rsidRPr="00CF0D57">
        <w:t xml:space="preserve">While the </w:t>
      </w:r>
      <w:r w:rsidR="009D5360" w:rsidRPr="00CF0D57">
        <w:t xml:space="preserve">directory </w:t>
      </w:r>
      <w:r w:rsidR="00B27204" w:rsidRPr="00CF0D57">
        <w:t xml:space="preserve">contains the names of all SES </w:t>
      </w:r>
      <w:r w:rsidR="002751A5">
        <w:t>employees,</w:t>
      </w:r>
      <w:r w:rsidR="002751A5" w:rsidRPr="00CF0D57">
        <w:t xml:space="preserve"> </w:t>
      </w:r>
      <w:r w:rsidR="00B27204" w:rsidRPr="00CF0D57">
        <w:t xml:space="preserve">it </w:t>
      </w:r>
      <w:r w:rsidR="009D5360" w:rsidRPr="00CF0D57">
        <w:t>does not function as a list of all SES</w:t>
      </w:r>
      <w:r w:rsidR="00B27204" w:rsidRPr="004F6BB7">
        <w:t xml:space="preserve"> in the APS</w:t>
      </w:r>
      <w:r w:rsidR="002751A5">
        <w:t xml:space="preserve"> but rather as</w:t>
      </w:r>
      <w:r w:rsidR="009D5360" w:rsidRPr="004F6BB7">
        <w:t xml:space="preserve"> a way to</w:t>
      </w:r>
      <w:r w:rsidR="00B27204" w:rsidRPr="004F6BB7">
        <w:t xml:space="preserve"> </w:t>
      </w:r>
      <w:r w:rsidR="009C4B6A">
        <w:t>obtain</w:t>
      </w:r>
      <w:r w:rsidR="00B27204" w:rsidRPr="004F6BB7">
        <w:t xml:space="preserve"> the contact details of a specific person.</w:t>
      </w:r>
      <w:r w:rsidR="009D5360">
        <w:t xml:space="preserve"> </w:t>
      </w:r>
    </w:p>
    <w:p w14:paraId="6BC4D307" w14:textId="6AD1A4C3" w:rsidR="00785168" w:rsidRDefault="00785168" w:rsidP="00785168">
      <w:r>
        <w:t xml:space="preserve">The </w:t>
      </w:r>
      <w:r>
        <w:rPr>
          <w:i/>
        </w:rPr>
        <w:t xml:space="preserve">Public Governance, Performance and Accountability Act 2013 </w:t>
      </w:r>
      <w:r w:rsidR="00446F75" w:rsidRPr="008314F4">
        <w:t>(PGPA Act)</w:t>
      </w:r>
      <w:r w:rsidR="00446F75">
        <w:rPr>
          <w:i/>
        </w:rPr>
        <w:t xml:space="preserve"> </w:t>
      </w:r>
      <w:r>
        <w:t xml:space="preserve">establishes a system of governance and accountability for public resources. The framework is an instructive illustration of the </w:t>
      </w:r>
      <w:r w:rsidR="009C4B6A">
        <w:t>kinds</w:t>
      </w:r>
      <w:r>
        <w:t xml:space="preserve"> of things that need to be publicly reported to support an adequate accounting of public resources. For instance, the </w:t>
      </w:r>
      <w:r w:rsidR="00745B76">
        <w:t>Rule made under</w:t>
      </w:r>
      <w:r>
        <w:t xml:space="preserve"> the PGPA </w:t>
      </w:r>
      <w:r w:rsidR="00745B76">
        <w:t xml:space="preserve">Act </w:t>
      </w:r>
      <w:r>
        <w:t>requires</w:t>
      </w:r>
      <w:r w:rsidR="00A914BB">
        <w:t xml:space="preserve"> the following information to be included in the annual reports of Commonwealth entities</w:t>
      </w:r>
      <w:r>
        <w:t>:</w:t>
      </w:r>
    </w:p>
    <w:p w14:paraId="78E0AAFA" w14:textId="77777777" w:rsidR="00785168" w:rsidRDefault="00785168" w:rsidP="00785168">
      <w:pPr>
        <w:pStyle w:val="BulletedList-Level1"/>
      </w:pPr>
      <w:r>
        <w:t>information about remuneration for key management personnel</w:t>
      </w:r>
      <w:r>
        <w:rPr>
          <w:rStyle w:val="FootnoteReference"/>
        </w:rPr>
        <w:footnoteReference w:id="267"/>
      </w:r>
    </w:p>
    <w:p w14:paraId="5E0C2757" w14:textId="77777777" w:rsidR="00785168" w:rsidRDefault="00455082" w:rsidP="00785168">
      <w:pPr>
        <w:pStyle w:val="BulletedList-Level1"/>
      </w:pPr>
      <w:r>
        <w:t>s</w:t>
      </w:r>
      <w:r w:rsidR="00785168">
        <w:t>tatistics on the number of employees, their classification, whether they are full or part</w:t>
      </w:r>
      <w:r w:rsidR="00DF788B">
        <w:t>-</w:t>
      </w:r>
      <w:r w:rsidR="00785168">
        <w:t>time, gender, location and employees who identify as Indigenous.</w:t>
      </w:r>
      <w:r w:rsidR="00785168">
        <w:rPr>
          <w:rStyle w:val="FootnoteReference"/>
        </w:rPr>
        <w:footnoteReference w:id="268"/>
      </w:r>
    </w:p>
    <w:p w14:paraId="134E0B73" w14:textId="3A6CE014" w:rsidR="00785168" w:rsidRDefault="00785168" w:rsidP="00785168">
      <w:r>
        <w:t xml:space="preserve">In formulating its annual report, the OPSC should have regard to the requirements within the PGPA Act as it </w:t>
      </w:r>
      <w:r w:rsidR="002919BB">
        <w:t>points to the standards of</w:t>
      </w:r>
      <w:r>
        <w:t xml:space="preserve"> </w:t>
      </w:r>
      <w:r w:rsidR="002919BB">
        <w:t>transparency and accountability expected</w:t>
      </w:r>
      <w:r>
        <w:t xml:space="preserve"> of public institutions.</w:t>
      </w:r>
    </w:p>
    <w:p w14:paraId="341A0243" w14:textId="7DDD2565" w:rsidR="00785168" w:rsidRDefault="00785168" w:rsidP="00785168">
      <w:r>
        <w:t xml:space="preserve">It is increasingly common practice in the corporate sector to provide publicly available reports on a number of measures. For </w:t>
      </w:r>
      <w:r w:rsidR="00455082">
        <w:t>example</w:t>
      </w:r>
      <w:r>
        <w:t>, the KPMG transparency report ‘Our Impact 2021</w:t>
      </w:r>
      <w:r w:rsidR="00455082">
        <w:t>’</w:t>
      </w:r>
      <w:r>
        <w:t xml:space="preserve"> includes information on:</w:t>
      </w:r>
    </w:p>
    <w:p w14:paraId="64D582C1" w14:textId="77777777" w:rsidR="00785168" w:rsidRDefault="00785168" w:rsidP="00785168">
      <w:pPr>
        <w:pStyle w:val="BulletedList-Level1"/>
      </w:pPr>
      <w:r>
        <w:t xml:space="preserve">the number of new hires </w:t>
      </w:r>
    </w:p>
    <w:p w14:paraId="6E060BB7" w14:textId="77777777" w:rsidR="00785168" w:rsidRDefault="00785168" w:rsidP="00785168">
      <w:pPr>
        <w:pStyle w:val="BulletedList-Level1"/>
      </w:pPr>
      <w:r>
        <w:t xml:space="preserve">the age, classification and whether </w:t>
      </w:r>
      <w:r w:rsidR="002751A5">
        <w:t>employees</w:t>
      </w:r>
      <w:r>
        <w:t xml:space="preserve"> are full-time, part-time or casual</w:t>
      </w:r>
    </w:p>
    <w:p w14:paraId="78FC5101" w14:textId="77777777" w:rsidR="00785168" w:rsidRDefault="00785168" w:rsidP="00785168">
      <w:pPr>
        <w:pStyle w:val="BulletedList-Level1"/>
      </w:pPr>
      <w:r>
        <w:t xml:space="preserve">workforce diversity (including gender, culturally diverse senior </w:t>
      </w:r>
      <w:r w:rsidR="002751A5">
        <w:t>employees</w:t>
      </w:r>
      <w:r>
        <w:t xml:space="preserve">, Indigenous </w:t>
      </w:r>
      <w:r w:rsidR="002751A5">
        <w:t>employees</w:t>
      </w:r>
      <w:r>
        <w:t>)</w:t>
      </w:r>
    </w:p>
    <w:p w14:paraId="02BC985D" w14:textId="77777777" w:rsidR="00785168" w:rsidRDefault="00785168" w:rsidP="00785168">
      <w:pPr>
        <w:pStyle w:val="BulletedList-Level1"/>
      </w:pPr>
      <w:r>
        <w:t>the number of substantiated workplace complaints</w:t>
      </w:r>
    </w:p>
    <w:p w14:paraId="182DEB26" w14:textId="77777777" w:rsidR="00785168" w:rsidRDefault="00785168" w:rsidP="00785168">
      <w:pPr>
        <w:pStyle w:val="BulletedList-Level1"/>
      </w:pPr>
      <w:r>
        <w:t>WHS – physical incidents</w:t>
      </w:r>
      <w:r w:rsidR="00510D9A">
        <w:t>.</w:t>
      </w:r>
      <w:r>
        <w:rPr>
          <w:rStyle w:val="FootnoteReference"/>
        </w:rPr>
        <w:footnoteReference w:id="269"/>
      </w:r>
    </w:p>
    <w:p w14:paraId="34A2CF99" w14:textId="44C9E1A6" w:rsidR="001745BA" w:rsidRPr="00107320" w:rsidRDefault="001745BA" w:rsidP="001745BA">
      <w:r w:rsidRPr="00A07C3E">
        <w:t>The Workplace Gender Equality Agency (WGEA) is an Australian Go</w:t>
      </w:r>
      <w:r w:rsidRPr="00CF0D57">
        <w:t xml:space="preserve">vernment statutory agency </w:t>
      </w:r>
      <w:r w:rsidRPr="004F6BB7">
        <w:t>charged with promoting and improving gender equality in Australian workplaces.</w:t>
      </w:r>
      <w:r w:rsidRPr="00A07C3E">
        <w:t xml:space="preserve"> Th</w:t>
      </w:r>
      <w:r w:rsidR="00572C6E">
        <w:t>e Act governing WGEA</w:t>
      </w:r>
      <w:r w:rsidRPr="00A07C3E">
        <w:t xml:space="preserve"> requires non-public sector employers with 100 or more empl</w:t>
      </w:r>
      <w:r w:rsidRPr="00CF0D57">
        <w:t xml:space="preserve">oyees to report </w:t>
      </w:r>
      <w:r w:rsidR="001E1640">
        <w:t>annually</w:t>
      </w:r>
      <w:r w:rsidRPr="00CF0D57">
        <w:t xml:space="preserve"> to WGEA on six gender quality indicators.</w:t>
      </w:r>
      <w:r w:rsidRPr="00A07C3E">
        <w:rPr>
          <w:rStyle w:val="FootnoteReference"/>
        </w:rPr>
        <w:footnoteReference w:id="270"/>
      </w:r>
      <w:r w:rsidRPr="00A07C3E">
        <w:t xml:space="preserve"> The </w:t>
      </w:r>
      <w:r w:rsidR="000C1242">
        <w:t>Commonwealth Government committed to require public sector reporting to WGEA by 2022-23.</w:t>
      </w:r>
      <w:r w:rsidR="000C1242">
        <w:rPr>
          <w:rStyle w:val="FootnoteReference"/>
        </w:rPr>
        <w:footnoteReference w:id="271"/>
      </w:r>
      <w:r w:rsidR="000C1242">
        <w:t xml:space="preserve"> </w:t>
      </w:r>
      <w:r w:rsidRPr="00A07C3E">
        <w:t>The resulting gender equality dataset is considered world-leading.</w:t>
      </w:r>
      <w:r w:rsidRPr="00A07C3E">
        <w:rPr>
          <w:rStyle w:val="FootnoteReference"/>
        </w:rPr>
        <w:footnoteReference w:id="272"/>
      </w:r>
      <w:r w:rsidRPr="00A07C3E">
        <w:t xml:space="preserve"> WGEA publishes a list of organisations that have been assessed as not complying with the </w:t>
      </w:r>
      <w:r w:rsidR="00020D6B">
        <w:t>A</w:t>
      </w:r>
      <w:r w:rsidR="00020D6B" w:rsidRPr="00A07C3E">
        <w:t>ct</w:t>
      </w:r>
      <w:r w:rsidRPr="00A07C3E">
        <w:t>.</w:t>
      </w:r>
      <w:r w:rsidRPr="00A07C3E">
        <w:rPr>
          <w:rStyle w:val="FootnoteReference"/>
        </w:rPr>
        <w:footnoteReference w:id="273"/>
      </w:r>
    </w:p>
    <w:p w14:paraId="6502F34D" w14:textId="77777777" w:rsidR="007D3DF5" w:rsidRPr="00107320" w:rsidRDefault="007D3DF5" w:rsidP="001745BA"/>
    <w:p w14:paraId="3D3CBF31" w14:textId="22DB4917" w:rsidR="001745BA" w:rsidRDefault="00672323" w:rsidP="00051BDA">
      <w:pPr>
        <w:pStyle w:val="Heading3"/>
      </w:pPr>
      <w:r>
        <w:t>5.5</w:t>
      </w:r>
      <w:r w:rsidR="001745BA">
        <w:t>.2 Options for improvement</w:t>
      </w:r>
    </w:p>
    <w:p w14:paraId="5E7F9C0E" w14:textId="77777777" w:rsidR="001745BA" w:rsidRPr="00565E26" w:rsidRDefault="001745BA" w:rsidP="001F0A87">
      <w:pPr>
        <w:pStyle w:val="Heading4"/>
      </w:pPr>
      <w:r w:rsidRPr="00A07C3E">
        <w:t>Annual</w:t>
      </w:r>
      <w:r w:rsidRPr="00565E26">
        <w:t xml:space="preserve"> reports</w:t>
      </w:r>
    </w:p>
    <w:p w14:paraId="6092BC72" w14:textId="042A29C8" w:rsidR="001745BA" w:rsidRDefault="001745BA" w:rsidP="001745BA">
      <w:r w:rsidRPr="00A07C3E">
        <w:t xml:space="preserve">The </w:t>
      </w:r>
      <w:r w:rsidR="001E1CBB">
        <w:t>R</w:t>
      </w:r>
      <w:r w:rsidRPr="001E1CBB">
        <w:t>eview</w:t>
      </w:r>
      <w:r w:rsidRPr="00A07C3E">
        <w:t xml:space="preserve"> </w:t>
      </w:r>
      <w:r w:rsidR="003E16BE">
        <w:t>considers</w:t>
      </w:r>
      <w:r w:rsidRPr="00A07C3E">
        <w:t xml:space="preserve"> it important to </w:t>
      </w:r>
      <w:r w:rsidR="00EB2E7D">
        <w:t>outline</w:t>
      </w:r>
      <w:r w:rsidRPr="00A07C3E">
        <w:t xml:space="preserve"> the minimum details </w:t>
      </w:r>
      <w:r w:rsidR="002A7939">
        <w:t>to</w:t>
      </w:r>
      <w:r w:rsidRPr="00A07C3E">
        <w:t xml:space="preserve"> be reported </w:t>
      </w:r>
      <w:r w:rsidR="001E1640">
        <w:t>on</w:t>
      </w:r>
      <w:r w:rsidRPr="00A07C3E">
        <w:t xml:space="preserve"> by the OPSC, </w:t>
      </w:r>
      <w:r w:rsidR="00802E4A">
        <w:t>while</w:t>
      </w:r>
      <w:r w:rsidRPr="00A07C3E">
        <w:t xml:space="preserve"> </w:t>
      </w:r>
      <w:r w:rsidR="00873B98">
        <w:t xml:space="preserve">also </w:t>
      </w:r>
      <w:r w:rsidRPr="00A07C3E">
        <w:t xml:space="preserve">giving the OPSC the flexibility to report on </w:t>
      </w:r>
      <w:r w:rsidR="001E1640">
        <w:t xml:space="preserve">further </w:t>
      </w:r>
      <w:r w:rsidRPr="00A07C3E">
        <w:t xml:space="preserve">issues of significance that might arise in the future. </w:t>
      </w:r>
    </w:p>
    <w:p w14:paraId="785448D0" w14:textId="516221E1" w:rsidR="001745BA" w:rsidRDefault="00E44A5C" w:rsidP="001745BA">
      <w:r>
        <w:t>P</w:t>
      </w:r>
      <w:r w:rsidR="001745BA">
        <w:t xml:space="preserve">revious annual reports </w:t>
      </w:r>
      <w:r w:rsidR="00BA46A2">
        <w:t xml:space="preserve">on the operation of the MoP(S) Act </w:t>
      </w:r>
      <w:r w:rsidR="003E16BE">
        <w:t>provide</w:t>
      </w:r>
      <w:r w:rsidR="001745BA">
        <w:t xml:space="preserve"> an important public record</w:t>
      </w:r>
      <w:r w:rsidR="003E16BE">
        <w:t xml:space="preserve"> and contribute to</w:t>
      </w:r>
      <w:r w:rsidR="001745BA">
        <w:t xml:space="preserve"> a transparent and accountable employment framework. As previous </w:t>
      </w:r>
      <w:r w:rsidR="00BA46A2">
        <w:t>r</w:t>
      </w:r>
      <w:r w:rsidR="001745BA">
        <w:t xml:space="preserve">eports </w:t>
      </w:r>
      <w:r w:rsidR="003E16BE">
        <w:t>note,</w:t>
      </w:r>
      <w:r w:rsidR="001745BA">
        <w:t xml:space="preserve"> their utility increases over time, as they provide an ongoing record of staffing data.</w:t>
      </w:r>
      <w:r w:rsidR="001745BA">
        <w:rPr>
          <w:rStyle w:val="FootnoteReference"/>
        </w:rPr>
        <w:footnoteReference w:id="274"/>
      </w:r>
      <w:r w:rsidR="001745BA">
        <w:t xml:space="preserve"> </w:t>
      </w:r>
    </w:p>
    <w:p w14:paraId="547A46E0" w14:textId="60918105" w:rsidR="001E73D0" w:rsidRDefault="001E73D0" w:rsidP="001E73D0">
      <w:r>
        <w:t xml:space="preserve">In the absence of a legislative requirement, the production of an annual report on the MoP(S) Act framework is a matter for the government of the day. The Review believes </w:t>
      </w:r>
      <w:r w:rsidR="001E1640">
        <w:t>a legislated</w:t>
      </w:r>
      <w:r>
        <w:t xml:space="preserve"> reporting regime of the MoP(S) Act </w:t>
      </w:r>
      <w:r w:rsidR="001E1640">
        <w:t>is</w:t>
      </w:r>
      <w:r>
        <w:t xml:space="preserve"> need</w:t>
      </w:r>
      <w:r w:rsidR="001E1640">
        <w:t>ed</w:t>
      </w:r>
      <w:r>
        <w:t xml:space="preserve"> that requires an annual report to be tabled </w:t>
      </w:r>
      <w:r w:rsidR="00EB2E7D">
        <w:t>in</w:t>
      </w:r>
      <w:r>
        <w:t xml:space="preserve"> </w:t>
      </w:r>
      <w:r w:rsidR="006146A9">
        <w:t>p</w:t>
      </w:r>
      <w:r>
        <w:t>arliament.</w:t>
      </w:r>
    </w:p>
    <w:p w14:paraId="71FDEE31" w14:textId="216EF111" w:rsidR="001745BA" w:rsidRDefault="001745BA" w:rsidP="001745BA">
      <w:r>
        <w:t xml:space="preserve">The </w:t>
      </w:r>
      <w:r w:rsidR="001E1CBB">
        <w:t>R</w:t>
      </w:r>
      <w:r>
        <w:t xml:space="preserve">eview </w:t>
      </w:r>
      <w:r w:rsidR="00061456">
        <w:t>considers</w:t>
      </w:r>
      <w:r>
        <w:t xml:space="preserve">, in addition to the annual reporting requirements articulated in </w:t>
      </w:r>
      <w:r w:rsidRPr="00AA3B05" w:rsidDel="00142173">
        <w:rPr>
          <w:i/>
        </w:rPr>
        <w:t>Set the Standard</w:t>
      </w:r>
      <w:r>
        <w:t xml:space="preserve">, consideration should be given to reporting on a range of other matters. </w:t>
      </w:r>
      <w:r w:rsidR="001E1640">
        <w:t>Pr</w:t>
      </w:r>
      <w:r>
        <w:t>evious annual reports on the MoP(S) Act framework offer an instructive guide to the sorts of things that might be reported</w:t>
      </w:r>
      <w:r w:rsidR="00CC79B8">
        <w:t xml:space="preserve"> on</w:t>
      </w:r>
      <w:r>
        <w:t>.</w:t>
      </w:r>
    </w:p>
    <w:p w14:paraId="35A7C071" w14:textId="08C1AE49" w:rsidR="001745BA" w:rsidRDefault="001745BA" w:rsidP="001745BA">
      <w:r>
        <w:t>In preparing a complete and accurate annual report, the OPSC may require additional information from other Commonwealth agencies,</w:t>
      </w:r>
      <w:r w:rsidR="001E1640">
        <w:t xml:space="preserve"> such as</w:t>
      </w:r>
      <w:r>
        <w:t xml:space="preserve"> </w:t>
      </w:r>
      <w:r w:rsidR="001E1640">
        <w:t>p</w:t>
      </w:r>
      <w:r>
        <w:t xml:space="preserve">arliamentary </w:t>
      </w:r>
      <w:r w:rsidR="001E1640">
        <w:t>d</w:t>
      </w:r>
      <w:r>
        <w:t>epartments. Consideration should be given to a mechanism t</w:t>
      </w:r>
      <w:r w:rsidR="001E1640">
        <w:t>o</w:t>
      </w:r>
      <w:r>
        <w:t xml:space="preserve"> facilitate the exchange of information to the OPSC</w:t>
      </w:r>
      <w:r w:rsidR="00040D9F">
        <w:t xml:space="preserve"> </w:t>
      </w:r>
      <w:r>
        <w:t>for the purposes of preparing a report.</w:t>
      </w:r>
      <w:r w:rsidR="00CC363C">
        <w:t xml:space="preserve"> </w:t>
      </w:r>
    </w:p>
    <w:p w14:paraId="7F8E8597" w14:textId="34973A17" w:rsidR="001745BA" w:rsidRDefault="001745BA" w:rsidP="001745BA">
      <w:r>
        <w:t>In light of emerging trends within the</w:t>
      </w:r>
      <w:r w:rsidR="006B0ACD">
        <w:t xml:space="preserve"> workforce, the recommendations </w:t>
      </w:r>
      <w:r>
        <w:t xml:space="preserve">of </w:t>
      </w:r>
      <w:r w:rsidRPr="00142173">
        <w:rPr>
          <w:i/>
        </w:rPr>
        <w:t>Set the Standard</w:t>
      </w:r>
      <w:r>
        <w:t xml:space="preserve"> and the reporting previously provided under the MoP(S) Act, the </w:t>
      </w:r>
      <w:r w:rsidR="00F23879">
        <w:t>Review</w:t>
      </w:r>
      <w:r w:rsidR="00084612">
        <w:t xml:space="preserve"> considers the OPSC could address the following matters in an annual report on the operation of the Act</w:t>
      </w:r>
      <w:r>
        <w:t>:</w:t>
      </w:r>
    </w:p>
    <w:p w14:paraId="19A7EA31" w14:textId="490F92D4" w:rsidR="001745BA" w:rsidRDefault="001745BA" w:rsidP="001745BA">
      <w:pPr>
        <w:pStyle w:val="BulletedList-Level1"/>
      </w:pPr>
      <w:r w:rsidRPr="00124922">
        <w:rPr>
          <w:i/>
        </w:rPr>
        <w:t>Staffing numbers and costs</w:t>
      </w:r>
      <w:r>
        <w:rPr>
          <w:b/>
        </w:rPr>
        <w:t>:</w:t>
      </w:r>
      <w:r>
        <w:t xml:space="preserve"> previous annual reports reported the total number of MoP(S) Act employees </w:t>
      </w:r>
      <w:r w:rsidR="00C362F0">
        <w:t xml:space="preserve">by office </w:t>
      </w:r>
      <w:r>
        <w:t>as well as the costs associated with employing them. The</w:t>
      </w:r>
      <w:r w:rsidDel="00F23879">
        <w:t xml:space="preserve"> </w:t>
      </w:r>
      <w:r w:rsidR="00F23879">
        <w:t>Review</w:t>
      </w:r>
      <w:r>
        <w:t xml:space="preserve"> notes that IPEA provide quarterly reports that include each parliamentarian’s ‘employee costs’. Employee costs are domestic and international travel expenses where the travel can be attributed to an employee.</w:t>
      </w:r>
      <w:r w:rsidR="00EB2E7D" w:rsidRPr="0043204D">
        <w:t xml:space="preserve"> </w:t>
      </w:r>
      <w:r w:rsidR="00640807" w:rsidRPr="00E36A5F">
        <w:t>This is</w:t>
      </w:r>
      <w:r w:rsidR="00640807" w:rsidRPr="00137297">
        <w:t xml:space="preserve"> consistent with Recommendation 4 which would require the allocation of staff to be transparent through annual reporting.</w:t>
      </w:r>
      <w:r w:rsidR="00640807">
        <w:t xml:space="preserve"> </w:t>
      </w:r>
    </w:p>
    <w:p w14:paraId="59D028D9" w14:textId="3577C235" w:rsidR="001745BA" w:rsidRPr="002F66FE" w:rsidRDefault="002751A5" w:rsidP="001745BA">
      <w:pPr>
        <w:pStyle w:val="BulletedList-Level1"/>
        <w:rPr>
          <w:b/>
        </w:rPr>
      </w:pPr>
      <w:r w:rsidRPr="00124922">
        <w:rPr>
          <w:i/>
        </w:rPr>
        <w:t>Employee</w:t>
      </w:r>
      <w:r w:rsidR="001745BA" w:rsidRPr="00124922">
        <w:rPr>
          <w:i/>
        </w:rPr>
        <w:t xml:space="preserve"> turnover:</w:t>
      </w:r>
      <w:r w:rsidR="001745BA">
        <w:rPr>
          <w:b/>
        </w:rPr>
        <w:t xml:space="preserve"> </w:t>
      </w:r>
      <w:r w:rsidR="001745BA" w:rsidRPr="00561029">
        <w:t xml:space="preserve">as recommended by </w:t>
      </w:r>
      <w:r w:rsidR="001745BA" w:rsidRPr="00142173">
        <w:rPr>
          <w:i/>
        </w:rPr>
        <w:t>Set the Standard</w:t>
      </w:r>
      <w:r w:rsidR="001745BA">
        <w:rPr>
          <w:rStyle w:val="FootnoteReference"/>
        </w:rPr>
        <w:footnoteReference w:id="275"/>
      </w:r>
      <w:r w:rsidR="001745BA" w:rsidRPr="00561029">
        <w:t xml:space="preserve"> and by submissions to the Review</w:t>
      </w:r>
      <w:r w:rsidR="00D57A6C">
        <w:t>,</w:t>
      </w:r>
      <w:r w:rsidR="001745BA">
        <w:rPr>
          <w:rStyle w:val="FootnoteReference"/>
        </w:rPr>
        <w:footnoteReference w:id="276"/>
      </w:r>
      <w:r w:rsidR="001745BA">
        <w:rPr>
          <w:b/>
        </w:rPr>
        <w:t xml:space="preserve"> </w:t>
      </w:r>
      <w:r w:rsidR="00D57A6C">
        <w:t>c</w:t>
      </w:r>
      <w:r w:rsidR="001745BA">
        <w:t xml:space="preserve">onsideration should be given to including data on the regularity with which people leave MoP(S) Act employment as well as </w:t>
      </w:r>
      <w:r w:rsidR="001E1640">
        <w:t xml:space="preserve">any </w:t>
      </w:r>
      <w:r w:rsidR="001745BA">
        <w:t>rends. For instance</w:t>
      </w:r>
      <w:r w:rsidR="007A5366">
        <w:t>,</w:t>
      </w:r>
      <w:r w:rsidR="001745BA">
        <w:t xml:space="preserve"> whether </w:t>
      </w:r>
      <w:r>
        <w:t xml:space="preserve">employee </w:t>
      </w:r>
      <w:r w:rsidR="001745BA">
        <w:t>turnover is higher for particular MoP(S) Act cohorts</w:t>
      </w:r>
      <w:r w:rsidR="001E1640">
        <w:t>, like</w:t>
      </w:r>
      <w:r w:rsidR="001745BA">
        <w:t xml:space="preserve"> any difference between electorate officers and personal staff.</w:t>
      </w:r>
    </w:p>
    <w:p w14:paraId="21BBFEE0" w14:textId="1571A060" w:rsidR="001745BA" w:rsidRDefault="001745BA" w:rsidP="001745BA">
      <w:pPr>
        <w:pStyle w:val="BulletedList-Level1"/>
      </w:pPr>
      <w:r w:rsidRPr="00124922">
        <w:rPr>
          <w:i/>
        </w:rPr>
        <w:t>Terminations</w:t>
      </w:r>
      <w:r>
        <w:rPr>
          <w:b/>
        </w:rPr>
        <w:t>:</w:t>
      </w:r>
      <w:r w:rsidRPr="00873B28">
        <w:rPr>
          <w:b/>
        </w:rPr>
        <w:t xml:space="preserve"> </w:t>
      </w:r>
      <w:r w:rsidR="00D57A6C">
        <w:t>a</w:t>
      </w:r>
      <w:r>
        <w:t xml:space="preserve">ccurate and publicly available data on terminations could inform the OPSC on necessary training or policy related to termination of employment. </w:t>
      </w:r>
    </w:p>
    <w:p w14:paraId="442D9C62" w14:textId="43224064" w:rsidR="001745BA" w:rsidRPr="00C838A6" w:rsidRDefault="001745BA" w:rsidP="001745BA">
      <w:pPr>
        <w:pStyle w:val="BulletedList-Level1"/>
      </w:pPr>
      <w:r w:rsidRPr="00634D76">
        <w:rPr>
          <w:i/>
        </w:rPr>
        <w:t>Number of employment law matters:</w:t>
      </w:r>
      <w:r>
        <w:t xml:space="preserve"> </w:t>
      </w:r>
      <w:r w:rsidR="00A13BB6">
        <w:t>such as</w:t>
      </w:r>
      <w:r>
        <w:t xml:space="preserve"> unfair dismissal,</w:t>
      </w:r>
      <w:r w:rsidDel="003B55A8">
        <w:t xml:space="preserve"> </w:t>
      </w:r>
      <w:r w:rsidR="00FD5372">
        <w:t>anti</w:t>
      </w:r>
      <w:r w:rsidR="00FD5372">
        <w:noBreakHyphen/>
        <w:t xml:space="preserve">discrimination, </w:t>
      </w:r>
      <w:r w:rsidR="002A41BB">
        <w:t xml:space="preserve">and </w:t>
      </w:r>
      <w:r>
        <w:t>workplace health and safety incidents.</w:t>
      </w:r>
      <w:r w:rsidRPr="00915DD7">
        <w:t xml:space="preserve"> </w:t>
      </w:r>
      <w:r w:rsidR="004C692F">
        <w:t>P</w:t>
      </w:r>
      <w:r>
        <w:t xml:space="preserve">revious </w:t>
      </w:r>
      <w:r w:rsidR="004708FA">
        <w:t xml:space="preserve">annual reports on the </w:t>
      </w:r>
      <w:r>
        <w:t xml:space="preserve">MoP(S) </w:t>
      </w:r>
      <w:r w:rsidR="004708FA">
        <w:t>Act</w:t>
      </w:r>
      <w:r>
        <w:t xml:space="preserve"> provided the number of WHS incidents that were notified to Comcare.</w:t>
      </w:r>
      <w:r>
        <w:rPr>
          <w:rStyle w:val="FootnoteReference"/>
        </w:rPr>
        <w:footnoteReference w:id="277"/>
      </w:r>
    </w:p>
    <w:p w14:paraId="24D5409B" w14:textId="77777777" w:rsidR="001745BA" w:rsidRDefault="001745BA" w:rsidP="001745BA">
      <w:pPr>
        <w:pStyle w:val="BulletedList-Level1"/>
      </w:pPr>
      <w:r w:rsidRPr="00634D76">
        <w:rPr>
          <w:i/>
        </w:rPr>
        <w:t>Total expenditure</w:t>
      </w:r>
      <w:r>
        <w:t xml:space="preserve"> associated with the termination of employment and unfair dismissal claims. Previous MoP(S) </w:t>
      </w:r>
      <w:r w:rsidR="00865CCB">
        <w:t>a</w:t>
      </w:r>
      <w:r>
        <w:t>nnual reports provided this data.</w:t>
      </w:r>
      <w:r>
        <w:rPr>
          <w:rStyle w:val="FootnoteReference"/>
        </w:rPr>
        <w:footnoteReference w:id="278"/>
      </w:r>
    </w:p>
    <w:p w14:paraId="241C4E75" w14:textId="77777777" w:rsidR="001745BA" w:rsidRPr="00C362F0" w:rsidRDefault="001745BA" w:rsidP="001745BA">
      <w:pPr>
        <w:pStyle w:val="BulletedList-Level1"/>
      </w:pPr>
      <w:r w:rsidRPr="00634D76">
        <w:rPr>
          <w:i/>
        </w:rPr>
        <w:t>Gender pay gap/gender segregation</w:t>
      </w:r>
      <w:r>
        <w:rPr>
          <w:b/>
        </w:rPr>
        <w:t xml:space="preserve">: </w:t>
      </w:r>
      <w:r>
        <w:t xml:space="preserve">for example, the APSC remuneration report provides data </w:t>
      </w:r>
      <w:r w:rsidRPr="00C362F0">
        <w:t>and trends that relate to the gender pay gap of APS employees.</w:t>
      </w:r>
      <w:r w:rsidRPr="00C362F0">
        <w:rPr>
          <w:rStyle w:val="FootnoteReference"/>
        </w:rPr>
        <w:footnoteReference w:id="279"/>
      </w:r>
      <w:r w:rsidRPr="00C362F0">
        <w:t xml:space="preserve"> </w:t>
      </w:r>
    </w:p>
    <w:p w14:paraId="6CFA914E" w14:textId="087A8E5D" w:rsidR="001745BA" w:rsidRPr="00C362F0" w:rsidRDefault="001745BA" w:rsidP="001745BA">
      <w:pPr>
        <w:pStyle w:val="BulletedList-Level1"/>
      </w:pPr>
      <w:r w:rsidRPr="00C362F0">
        <w:rPr>
          <w:i/>
        </w:rPr>
        <w:t>All determinations made under the Act</w:t>
      </w:r>
      <w:r w:rsidRPr="00C362F0">
        <w:t>:</w:t>
      </w:r>
      <w:r w:rsidRPr="00C362F0">
        <w:rPr>
          <w:b/>
        </w:rPr>
        <w:t xml:space="preserve"> </w:t>
      </w:r>
      <w:r w:rsidRPr="00C362F0">
        <w:t xml:space="preserve">as discussed in </w:t>
      </w:r>
      <w:r w:rsidR="00141813" w:rsidRPr="00C362F0">
        <w:t xml:space="preserve">Section </w:t>
      </w:r>
      <w:r w:rsidR="00F56D7E" w:rsidRPr="00C362F0">
        <w:t>3.6.1</w:t>
      </w:r>
      <w:r w:rsidRPr="00C362F0">
        <w:t xml:space="preserve">, determinations made under the MoP(S) Act are </w:t>
      </w:r>
      <w:r w:rsidR="002A7939" w:rsidRPr="00C362F0">
        <w:t xml:space="preserve">currently </w:t>
      </w:r>
      <w:r w:rsidRPr="00C362F0">
        <w:t xml:space="preserve">not required to be tabled in parliament or be published. Previous MoP(S) Annual Reports published a list, including a summary, of all determinations made that year. </w:t>
      </w:r>
      <w:r w:rsidR="005C7AE2" w:rsidRPr="00C362F0">
        <w:t>For</w:t>
      </w:r>
      <w:r w:rsidRPr="00C362F0">
        <w:t xml:space="preserve"> transparency, consideration should be given to returning to similar publication</w:t>
      </w:r>
      <w:r w:rsidR="00EB2E7D" w:rsidRPr="00C362F0">
        <w:t xml:space="preserve"> noting determinations containing personal or identifying information would be exempt</w:t>
      </w:r>
      <w:r w:rsidRPr="00C362F0">
        <w:t>.</w:t>
      </w:r>
    </w:p>
    <w:p w14:paraId="63A53D04" w14:textId="74E7B6A4" w:rsidR="001745BA" w:rsidRPr="00FD5372" w:rsidRDefault="001745BA" w:rsidP="001745BA">
      <w:pPr>
        <w:pStyle w:val="BulletedList-Level1"/>
      </w:pPr>
      <w:r w:rsidRPr="00C362F0">
        <w:rPr>
          <w:i/>
        </w:rPr>
        <w:t>Misconduct and unacceptable behaviour</w:t>
      </w:r>
      <w:r w:rsidRPr="00C362F0">
        <w:t xml:space="preserve">: </w:t>
      </w:r>
      <w:r w:rsidR="00FD5372" w:rsidRPr="00C362F0">
        <w:t xml:space="preserve">de-identified data on </w:t>
      </w:r>
      <w:r w:rsidRPr="00C362F0">
        <w:t>complaints, incidents, nature, outc</w:t>
      </w:r>
      <w:r w:rsidR="00FD5372" w:rsidRPr="00C362F0">
        <w:t>omes</w:t>
      </w:r>
      <w:r w:rsidRPr="00C362F0">
        <w:t xml:space="preserve">. The APS reports on both the number of investigations and breaches related to the </w:t>
      </w:r>
      <w:r w:rsidR="006A0185" w:rsidRPr="00C362F0">
        <w:t xml:space="preserve">APS </w:t>
      </w:r>
      <w:r w:rsidRPr="00C362F0">
        <w:t>Code of Conduct.</w:t>
      </w:r>
      <w:r w:rsidRPr="00C362F0">
        <w:rPr>
          <w:rStyle w:val="FootnoteReference"/>
        </w:rPr>
        <w:footnoteReference w:id="280"/>
      </w:r>
      <w:r w:rsidR="003167AC" w:rsidRPr="00C362F0">
        <w:t xml:space="preserve"> Incidents could include reports of bullying, discrimination</w:t>
      </w:r>
      <w:r w:rsidR="003167AC" w:rsidRPr="00FD5372">
        <w:t xml:space="preserve">, sexual harassment and sexual assault. </w:t>
      </w:r>
    </w:p>
    <w:p w14:paraId="5522C102" w14:textId="534A3054" w:rsidR="001745BA" w:rsidRPr="00FD5372" w:rsidRDefault="001745BA" w:rsidP="001745BA">
      <w:pPr>
        <w:pStyle w:val="BulletedList-Level1"/>
      </w:pPr>
      <w:r w:rsidRPr="00634D76">
        <w:rPr>
          <w:i/>
        </w:rPr>
        <w:t>Training and inductions</w:t>
      </w:r>
      <w:r>
        <w:rPr>
          <w:b/>
        </w:rPr>
        <w:t xml:space="preserve">: </w:t>
      </w:r>
      <w:r w:rsidRPr="00C633C0">
        <w:t>t</w:t>
      </w:r>
      <w:r>
        <w:t xml:space="preserve">he OPSC should consider publishing information about the number and type of training sessions they have provided, and level of attendance. Similar reporting </w:t>
      </w:r>
      <w:r w:rsidR="006C139A">
        <w:t>on</w:t>
      </w:r>
      <w:r w:rsidRPr="00FD5372">
        <w:t xml:space="preserve"> the number of </w:t>
      </w:r>
      <w:r w:rsidR="002751A5" w:rsidRPr="00FD5372">
        <w:t>employees</w:t>
      </w:r>
      <w:r w:rsidRPr="00FD5372">
        <w:t xml:space="preserve"> that completed formal inductions should be considered.</w:t>
      </w:r>
    </w:p>
    <w:p w14:paraId="6120512F" w14:textId="55D318E3" w:rsidR="00CC363C" w:rsidRDefault="00C96A46" w:rsidP="006737AF">
      <w:pPr>
        <w:pStyle w:val="BulletedList-Level1"/>
      </w:pPr>
      <w:r w:rsidRPr="00FD5372">
        <w:rPr>
          <w:i/>
        </w:rPr>
        <w:t>Results of staff</w:t>
      </w:r>
      <w:r w:rsidR="002F7151" w:rsidRPr="00FD5372">
        <w:rPr>
          <w:i/>
        </w:rPr>
        <w:t xml:space="preserve"> </w:t>
      </w:r>
      <w:r w:rsidRPr="00FD5372">
        <w:rPr>
          <w:i/>
        </w:rPr>
        <w:t>surveys</w:t>
      </w:r>
      <w:r w:rsidRPr="00FD5372">
        <w:rPr>
          <w:b/>
        </w:rPr>
        <w:t>:</w:t>
      </w:r>
      <w:r w:rsidRPr="00FD5372">
        <w:t xml:space="preserve"> </w:t>
      </w:r>
      <w:r w:rsidRPr="00FD5372">
        <w:rPr>
          <w:i/>
        </w:rPr>
        <w:t xml:space="preserve">Set the Standard </w:t>
      </w:r>
      <w:r w:rsidRPr="00FD5372">
        <w:t xml:space="preserve">envisaged that the OPSC may conduct </w:t>
      </w:r>
      <w:r w:rsidR="00CC363C" w:rsidRPr="00FD5372">
        <w:t>staff</w:t>
      </w:r>
      <w:r w:rsidR="002F7151" w:rsidRPr="00FD5372">
        <w:t xml:space="preserve"> </w:t>
      </w:r>
      <w:r w:rsidR="00CC363C" w:rsidRPr="00FD5372">
        <w:t>surveys.</w:t>
      </w:r>
      <w:r w:rsidR="00CC363C" w:rsidRPr="00FD5372">
        <w:rPr>
          <w:rStyle w:val="FootnoteReference"/>
        </w:rPr>
        <w:footnoteReference w:id="281"/>
      </w:r>
      <w:r w:rsidR="00CC363C" w:rsidRPr="00FD5372">
        <w:t xml:space="preserve"> It may be appropriate to publicly report the results.</w:t>
      </w:r>
    </w:p>
    <w:p w14:paraId="2FD7646C" w14:textId="2DCCA8EF" w:rsidR="00607166" w:rsidRDefault="00724705" w:rsidP="008E6752">
      <w:r>
        <w:t xml:space="preserve">Like all agencies, the ability of the OPSC to report on data metrics (such as those canvassed above) will necessarily be guided by the systems that collect and aggregate HR data. </w:t>
      </w:r>
      <w:r w:rsidR="00C362F0">
        <w:t>Improvements</w:t>
      </w:r>
      <w:r w:rsidR="00940C10">
        <w:t xml:space="preserve"> to HR systems </w:t>
      </w:r>
      <w:r w:rsidR="00C362F0">
        <w:t xml:space="preserve">should </w:t>
      </w:r>
      <w:r w:rsidR="00761CD9">
        <w:t xml:space="preserve">be progressed to </w:t>
      </w:r>
      <w:r>
        <w:t>facilitate increasingly sophisticated reporting</w:t>
      </w:r>
      <w:r w:rsidR="00940C10">
        <w:t xml:space="preserve"> on the MoP(S) Act framework.</w:t>
      </w:r>
    </w:p>
    <w:p w14:paraId="75344FBC" w14:textId="7F079A79" w:rsidR="008E6752" w:rsidRDefault="008E6752" w:rsidP="008E6752">
      <w:r w:rsidRPr="00A340D9">
        <w:t>As discussed in</w:t>
      </w:r>
      <w:r w:rsidRPr="00A340D9" w:rsidDel="00141813">
        <w:t xml:space="preserve"> </w:t>
      </w:r>
      <w:r w:rsidR="00141813">
        <w:t>S</w:t>
      </w:r>
      <w:r w:rsidR="00141813" w:rsidRPr="00A340D9">
        <w:t>ection</w:t>
      </w:r>
      <w:r w:rsidRPr="00A340D9">
        <w:t xml:space="preserve"> </w:t>
      </w:r>
      <w:r w:rsidR="00F56D7E" w:rsidRPr="00F56D7E">
        <w:t>3.5</w:t>
      </w:r>
      <w:r>
        <w:t xml:space="preserve"> the </w:t>
      </w:r>
      <w:r w:rsidR="00EB4D0D">
        <w:t>R</w:t>
      </w:r>
      <w:r w:rsidRPr="00EB4D0D">
        <w:t xml:space="preserve">eview recommends that the provisions related to </w:t>
      </w:r>
      <w:r w:rsidR="006737AF">
        <w:t>m</w:t>
      </w:r>
      <w:r w:rsidRPr="00EB4D0D">
        <w:t>inisterial consultants should be reframe</w:t>
      </w:r>
      <w:r w:rsidR="00956203" w:rsidRPr="00EB4D0D">
        <w:t xml:space="preserve">d as a procurement (Recommendation </w:t>
      </w:r>
      <w:r w:rsidR="00F56D7E">
        <w:t>5</w:t>
      </w:r>
      <w:r w:rsidR="006C485C">
        <w:t>).</w:t>
      </w:r>
      <w:r w:rsidRPr="00EB4D0D">
        <w:t xml:space="preserve"> Regardless of how the</w:t>
      </w:r>
      <w:r w:rsidR="006C139A">
        <w:t>se provisions</w:t>
      </w:r>
      <w:r w:rsidRPr="00EB4D0D">
        <w:t xml:space="preserve"> are framed and </w:t>
      </w:r>
      <w:r w:rsidR="006C139A">
        <w:t>where</w:t>
      </w:r>
      <w:r w:rsidRPr="00EB4D0D">
        <w:t xml:space="preserve"> they </w:t>
      </w:r>
      <w:r w:rsidR="006737AF">
        <w:t xml:space="preserve">are </w:t>
      </w:r>
      <w:r w:rsidRPr="00EB4D0D">
        <w:t>located, the requirement to annually report on the use of ministerial consultants should remain</w:t>
      </w:r>
      <w:r w:rsidR="006C139A">
        <w:t xml:space="preserve"> in place</w:t>
      </w:r>
      <w:r w:rsidRPr="00EB4D0D">
        <w:t>.</w:t>
      </w:r>
    </w:p>
    <w:p w14:paraId="18E5F901" w14:textId="77777777" w:rsidR="001C39C6" w:rsidRDefault="00213BA0" w:rsidP="00687AEB">
      <w:r>
        <w:t xml:space="preserve">The Review expects that the OPSC will have reporting functions and powers appropriate for a </w:t>
      </w:r>
      <w:r w:rsidRPr="00687AEB">
        <w:t>body</w:t>
      </w:r>
      <w:r>
        <w:t xml:space="preserve"> </w:t>
      </w:r>
      <w:r w:rsidR="006F521D">
        <w:t xml:space="preserve">responsible for </w:t>
      </w:r>
      <w:r w:rsidRPr="00687AEB">
        <w:t>monitor</w:t>
      </w:r>
      <w:r w:rsidR="006F521D">
        <w:t>ing</w:t>
      </w:r>
      <w:r w:rsidRPr="00687AEB">
        <w:t xml:space="preserve"> and report</w:t>
      </w:r>
      <w:r w:rsidR="006F521D">
        <w:t>ing</w:t>
      </w:r>
      <w:r w:rsidRPr="00687AEB">
        <w:t xml:space="preserve"> on </w:t>
      </w:r>
      <w:r w:rsidR="006F521D">
        <w:t xml:space="preserve">workplace </w:t>
      </w:r>
      <w:r w:rsidRPr="00687AEB">
        <w:t>standards and driv</w:t>
      </w:r>
      <w:r w:rsidR="006F521D">
        <w:t>ing</w:t>
      </w:r>
      <w:r w:rsidRPr="00687AEB">
        <w:t xml:space="preserve"> cultural change within CPWs</w:t>
      </w:r>
      <w:r>
        <w:t xml:space="preserve">. </w:t>
      </w:r>
      <w:r w:rsidRPr="00687AEB">
        <w:t>The reporting function is critical to enabling it to, among other things</w:t>
      </w:r>
      <w:r w:rsidR="004E5414">
        <w:t>:</w:t>
      </w:r>
      <w:r w:rsidRPr="00687AEB">
        <w:t xml:space="preserve"> identify emerging trends or systemic cultural issues within CPWs</w:t>
      </w:r>
      <w:r w:rsidR="004E5414">
        <w:t>;</w:t>
      </w:r>
      <w:r w:rsidRPr="00687AEB">
        <w:t xml:space="preserve"> measure </w:t>
      </w:r>
      <w:r w:rsidR="004E5414">
        <w:t xml:space="preserve">the success of </w:t>
      </w:r>
      <w:r w:rsidRPr="00687AEB">
        <w:t>cultural change initiatives</w:t>
      </w:r>
      <w:r w:rsidR="004E5414">
        <w:t>;</w:t>
      </w:r>
      <w:r w:rsidRPr="00687AEB">
        <w:t xml:space="preserve"> and provide transparency </w:t>
      </w:r>
      <w:r w:rsidR="004E5414">
        <w:t>in</w:t>
      </w:r>
      <w:r w:rsidRPr="00687AEB">
        <w:t xml:space="preserve"> the exercise of the OPSC</w:t>
      </w:r>
      <w:r w:rsidR="004E5414">
        <w:t>’</w:t>
      </w:r>
      <w:r w:rsidRPr="00687AEB">
        <w:t>s functions</w:t>
      </w:r>
      <w:r>
        <w:t xml:space="preserve">. </w:t>
      </w:r>
    </w:p>
    <w:p w14:paraId="72E3CA97" w14:textId="1F7993CC" w:rsidR="00213BA0" w:rsidRPr="00687AEB" w:rsidRDefault="00213BA0" w:rsidP="00687AEB">
      <w:r>
        <w:t>The Review anticipates that OPSC reporting may include matters relating to its functions or any other significant HR m</w:t>
      </w:r>
      <w:r w:rsidR="007B088B">
        <w:t>etrics</w:t>
      </w:r>
      <w:r>
        <w:t xml:space="preserve">. A </w:t>
      </w:r>
      <w:r w:rsidRPr="00687AEB">
        <w:t xml:space="preserve">broad reporting function is consistent with the proposed functions for the OPSC in </w:t>
      </w:r>
      <w:r w:rsidRPr="00290AF3">
        <w:rPr>
          <w:i/>
        </w:rPr>
        <w:t>Set the Standard</w:t>
      </w:r>
      <w:r w:rsidRPr="00687AEB">
        <w:t xml:space="preserve"> and is similar to that provided for in a number of other bodies, such as </w:t>
      </w:r>
      <w:r>
        <w:t>IPEA</w:t>
      </w:r>
      <w:r w:rsidR="00687AEB">
        <w:rPr>
          <w:rStyle w:val="FootnoteReference"/>
        </w:rPr>
        <w:footnoteReference w:id="282"/>
      </w:r>
      <w:r>
        <w:t xml:space="preserve"> and the Commonwealth Ombudsman.</w:t>
      </w:r>
      <w:r w:rsidR="00687AEB">
        <w:rPr>
          <w:rStyle w:val="FootnoteReference"/>
        </w:rPr>
        <w:footnoteReference w:id="283"/>
      </w:r>
      <w:r>
        <w:t xml:space="preserve"> </w:t>
      </w:r>
      <w:r w:rsidRPr="00687AEB">
        <w:t xml:space="preserve">These reports will offer the OPSC the opportunity to engage proactively with emerging issues and better support CPW participants to address identified issues. </w:t>
      </w:r>
    </w:p>
    <w:p w14:paraId="27E00741" w14:textId="10552BF0" w:rsidR="00213BA0" w:rsidRDefault="001066EC" w:rsidP="00940C10">
      <w:r w:rsidRPr="008314F4">
        <w:t xml:space="preserve">Critical to </w:t>
      </w:r>
      <w:r w:rsidR="00213BA0" w:rsidRPr="00940C10">
        <w:t xml:space="preserve">the OPSC’s reporting function is the discretion to </w:t>
      </w:r>
      <w:r w:rsidR="00213BA0" w:rsidRPr="00E6364E">
        <w:t>publicly report as it sees fit</w:t>
      </w:r>
      <w:r w:rsidR="00213BA0">
        <w:t xml:space="preserve">. </w:t>
      </w:r>
      <w:r w:rsidR="00213BA0" w:rsidRPr="00940C10">
        <w:t xml:space="preserve">This is an important accountability and transparency measure, with some stakeholders suggesting that public reporting on certain matters can act as a deterrent to poor practices. As one person told </w:t>
      </w:r>
      <w:r w:rsidR="00687AEB" w:rsidRPr="00687AEB">
        <w:t>the Review</w:t>
      </w:r>
      <w:r w:rsidR="00607166">
        <w:t>:</w:t>
      </w:r>
      <w:r w:rsidR="00687AEB" w:rsidRPr="00687AEB">
        <w:t xml:space="preserve"> </w:t>
      </w:r>
      <w:r w:rsidR="00687AEB" w:rsidRPr="00940C10">
        <w:rPr>
          <w:i/>
        </w:rPr>
        <w:t>‘</w:t>
      </w:r>
      <w:r w:rsidR="00213BA0" w:rsidRPr="00940C10">
        <w:rPr>
          <w:i/>
        </w:rPr>
        <w:t>sunlight is the best disinfectant</w:t>
      </w:r>
      <w:r w:rsidR="00687AEB" w:rsidRPr="00940C10">
        <w:rPr>
          <w:i/>
        </w:rPr>
        <w:t>’</w:t>
      </w:r>
      <w:r w:rsidR="00213BA0" w:rsidRPr="00940C10">
        <w:t>. The Revi</w:t>
      </w:r>
      <w:r w:rsidR="00FD5372">
        <w:t>ew agrees</w:t>
      </w:r>
      <w:r w:rsidR="00213BA0" w:rsidRPr="00940C10">
        <w:t xml:space="preserve"> transparency can </w:t>
      </w:r>
      <w:r>
        <w:t xml:space="preserve">be a </w:t>
      </w:r>
      <w:r w:rsidR="00213BA0" w:rsidRPr="00940C10">
        <w:t>catalyst for</w:t>
      </w:r>
      <w:r w:rsidR="00FD5372">
        <w:t xml:space="preserve"> behavioural change</w:t>
      </w:r>
      <w:r>
        <w:t xml:space="preserve">. </w:t>
      </w:r>
      <w:r w:rsidR="00C72B56">
        <w:t xml:space="preserve">The </w:t>
      </w:r>
      <w:r w:rsidR="00213BA0" w:rsidRPr="00940C10">
        <w:t xml:space="preserve">OPSC should be equipped with the means to </w:t>
      </w:r>
      <w:r>
        <w:t xml:space="preserve">report on, and therefore </w:t>
      </w:r>
      <w:r w:rsidR="00213BA0" w:rsidRPr="00940C10">
        <w:t>influence</w:t>
      </w:r>
      <w:r>
        <w:t>,</w:t>
      </w:r>
      <w:r w:rsidR="00213BA0" w:rsidRPr="00940C10">
        <w:t xml:space="preserve"> behaviour in this manner.  </w:t>
      </w:r>
    </w:p>
    <w:p w14:paraId="588320F4" w14:textId="0ACCEB67" w:rsidR="001745BA" w:rsidRPr="0001585F" w:rsidRDefault="00213BA0" w:rsidP="001745BA">
      <w:pPr>
        <w:rPr>
          <w:highlight w:val="yellow"/>
        </w:rPr>
      </w:pPr>
      <w:r>
        <w:t xml:space="preserve">The Review also notes that the OPSC will need to give due regard to the privacy implications inherent in publishing a report about HR </w:t>
      </w:r>
      <w:r w:rsidRPr="007D3DF5">
        <w:t>m</w:t>
      </w:r>
      <w:r w:rsidR="00EB2E7D">
        <w:t>etrics</w:t>
      </w:r>
      <w:r w:rsidR="007B088B">
        <w:t xml:space="preserve"> in the MoP(S) framework</w:t>
      </w:r>
      <w:r>
        <w:t>.</w:t>
      </w:r>
    </w:p>
    <w:p w14:paraId="39941066" w14:textId="77777777" w:rsidR="001745BA" w:rsidRDefault="001745BA" w:rsidP="001745BA"/>
    <w:p w14:paraId="0045F825" w14:textId="60B7CBE3" w:rsidR="001745BA" w:rsidRDefault="001745BA" w:rsidP="000136FD">
      <w:pPr>
        <w:pStyle w:val="BOXHeading2"/>
      </w:pPr>
      <w:bookmarkStart w:id="6144" w:name="_Toc114733587"/>
      <w:bookmarkStart w:id="6145" w:name="_Toc114757166"/>
      <w:bookmarkStart w:id="6146" w:name="_Toc114757552"/>
      <w:bookmarkStart w:id="6147" w:name="_Toc114758225"/>
      <w:bookmarkStart w:id="6148" w:name="_Toc114230897"/>
      <w:bookmarkStart w:id="6149" w:name="_Toc114233602"/>
      <w:bookmarkStart w:id="6150" w:name="_Toc114233674"/>
      <w:bookmarkStart w:id="6151" w:name="_Toc114240631"/>
      <w:bookmarkStart w:id="6152" w:name="_Toc114240705"/>
      <w:bookmarkStart w:id="6153" w:name="_Toc114241049"/>
      <w:bookmarkStart w:id="6154" w:name="_Toc114494070"/>
      <w:bookmarkStart w:id="6155" w:name="_Toc114500321"/>
      <w:bookmarkStart w:id="6156" w:name="_Toc114500396"/>
      <w:bookmarkStart w:id="6157" w:name="_Toc114518669"/>
      <w:bookmarkStart w:id="6158" w:name="_Toc114520341"/>
      <w:bookmarkStart w:id="6159" w:name="_Toc114520750"/>
      <w:bookmarkStart w:id="6160" w:name="_Toc114565778"/>
      <w:bookmarkStart w:id="6161" w:name="_Toc114566759"/>
      <w:bookmarkStart w:id="6162" w:name="_Toc114566984"/>
      <w:bookmarkStart w:id="6163" w:name="_Toc114566908"/>
      <w:bookmarkStart w:id="6164" w:name="_Toc114585909"/>
      <w:bookmarkStart w:id="6165" w:name="_Toc114586053"/>
      <w:bookmarkStart w:id="6166" w:name="_Toc114586125"/>
      <w:bookmarkStart w:id="6167" w:name="_Toc114601265"/>
      <w:bookmarkStart w:id="6168" w:name="_Toc114657306"/>
      <w:bookmarkStart w:id="6169" w:name="_Toc114659768"/>
      <w:bookmarkStart w:id="6170" w:name="_Toc114662753"/>
      <w:bookmarkStart w:id="6171" w:name="_Toc114665136"/>
      <w:bookmarkStart w:id="6172" w:name="_Toc114672444"/>
      <w:bookmarkStart w:id="6173" w:name="_Toc114672656"/>
      <w:bookmarkStart w:id="6174" w:name="_Toc114673211"/>
      <w:bookmarkStart w:id="6175" w:name="_Toc114673797"/>
      <w:bookmarkStart w:id="6176" w:name="_Toc114674322"/>
      <w:bookmarkStart w:id="6177" w:name="_Toc114687495"/>
      <w:bookmarkStart w:id="6178" w:name="_Toc114689959"/>
      <w:bookmarkStart w:id="6179" w:name="_Toc114731822"/>
      <w:bookmarkStart w:id="6180" w:name="_Toc114735528"/>
      <w:bookmarkStart w:id="6181" w:name="_Toc114755861"/>
      <w:bookmarkStart w:id="6182" w:name="_Toc114757450"/>
      <w:bookmarkStart w:id="6183" w:name="_Toc114824395"/>
      <w:bookmarkStart w:id="6184" w:name="_Toc114829471"/>
      <w:bookmarkStart w:id="6185" w:name="_Toc114829835"/>
      <w:bookmarkStart w:id="6186" w:name="_Toc114829979"/>
      <w:bookmarkStart w:id="6187" w:name="_Toc115099058"/>
      <w:bookmarkStart w:id="6188" w:name="_Toc115099130"/>
      <w:bookmarkStart w:id="6189" w:name="_Toc115101707"/>
      <w:bookmarkStart w:id="6190" w:name="_Toc115102552"/>
      <w:bookmarkStart w:id="6191" w:name="_Toc115105525"/>
      <w:bookmarkStart w:id="6192" w:name="_Toc115110386"/>
      <w:bookmarkStart w:id="6193" w:name="_Toc115110513"/>
      <w:bookmarkStart w:id="6194" w:name="_Toc115121631"/>
      <w:bookmarkStart w:id="6195" w:name="_Toc115122001"/>
      <w:bookmarkStart w:id="6196" w:name="_Toc115123481"/>
      <w:bookmarkStart w:id="6197" w:name="_Toc115123729"/>
      <w:bookmarkStart w:id="6198" w:name="_Toc115126861"/>
      <w:bookmarkStart w:id="6199" w:name="_Toc115185496"/>
      <w:bookmarkStart w:id="6200" w:name="_Toc115186123"/>
      <w:bookmarkStart w:id="6201" w:name="_Toc115189281"/>
      <w:bookmarkStart w:id="6202" w:name="_Toc115194254"/>
      <w:bookmarkStart w:id="6203" w:name="_Toc115194991"/>
      <w:bookmarkStart w:id="6204" w:name="_Toc115196401"/>
      <w:bookmarkStart w:id="6205" w:name="_Toc115198902"/>
      <w:bookmarkStart w:id="6206" w:name="_Toc115208917"/>
      <w:bookmarkStart w:id="6207" w:name="_Toc115209053"/>
      <w:bookmarkStart w:id="6208" w:name="_Toc115210384"/>
      <w:bookmarkStart w:id="6209" w:name="_Toc115212609"/>
      <w:bookmarkStart w:id="6210" w:name="_Toc115213249"/>
      <w:bookmarkStart w:id="6211" w:name="_Toc115216747"/>
      <w:bookmarkStart w:id="6212" w:name="_Toc115270438"/>
      <w:bookmarkStart w:id="6213" w:name="_Toc115271381"/>
      <w:bookmarkStart w:id="6214" w:name="_Toc115272298"/>
      <w:bookmarkStart w:id="6215" w:name="_Toc115273468"/>
      <w:bookmarkStart w:id="6216" w:name="_Toc115273396"/>
      <w:bookmarkStart w:id="6217" w:name="_Toc115274649"/>
      <w:bookmarkStart w:id="6218" w:name="_Toc115274875"/>
      <w:bookmarkStart w:id="6219" w:name="_Toc115275232"/>
      <w:bookmarkStart w:id="6220" w:name="_Toc115275375"/>
      <w:bookmarkStart w:id="6221" w:name="_Toc115274212"/>
      <w:bookmarkStart w:id="6222" w:name="_Toc115274513"/>
      <w:bookmarkStart w:id="6223" w:name="_Toc115274581"/>
      <w:bookmarkStart w:id="6224" w:name="_Toc115274739"/>
      <w:bookmarkStart w:id="6225" w:name="_Toc115277473"/>
      <w:bookmarkStart w:id="6226" w:name="_Toc115277677"/>
      <w:bookmarkStart w:id="6227" w:name="_Toc115278566"/>
      <w:bookmarkStart w:id="6228" w:name="_Toc115278646"/>
      <w:bookmarkStart w:id="6229" w:name="_Toc115282316"/>
      <w:bookmarkStart w:id="6230" w:name="_Toc115284769"/>
      <w:bookmarkStart w:id="6231" w:name="_Toc115286861"/>
      <w:bookmarkStart w:id="6232" w:name="_Toc115294795"/>
      <w:bookmarkStart w:id="6233" w:name="_Toc115296375"/>
      <w:bookmarkStart w:id="6234" w:name="_Toc115308561"/>
      <w:bookmarkStart w:id="6235" w:name="_Toc115311213"/>
      <w:bookmarkStart w:id="6236" w:name="_Toc115312693"/>
      <w:bookmarkStart w:id="6237" w:name="_Toc115343867"/>
      <w:bookmarkStart w:id="6238" w:name="_Toc115348305"/>
      <w:bookmarkStart w:id="6239" w:name="_Toc115350403"/>
      <w:bookmarkStart w:id="6240" w:name="_Toc115353491"/>
      <w:bookmarkStart w:id="6241" w:name="_Toc115359522"/>
      <w:bookmarkStart w:id="6242" w:name="_Toc115361926"/>
      <w:bookmarkStart w:id="6243" w:name="_Toc115364319"/>
      <w:bookmarkStart w:id="6244" w:name="_Toc115365413"/>
      <w:bookmarkStart w:id="6245" w:name="_Toc115365753"/>
      <w:bookmarkStart w:id="6246" w:name="_Toc115366217"/>
      <w:bookmarkStart w:id="6247" w:name="_Toc115368667"/>
      <w:bookmarkStart w:id="6248" w:name="_Toc115370107"/>
      <w:bookmarkStart w:id="6249" w:name="_Toc115370841"/>
      <w:bookmarkStart w:id="6250" w:name="_Toc115374413"/>
      <w:bookmarkStart w:id="6251" w:name="_Toc115378752"/>
      <w:bookmarkStart w:id="6252" w:name="_Toc115380984"/>
      <w:bookmarkStart w:id="6253" w:name="_Toc115384136"/>
      <w:bookmarkStart w:id="6254" w:name="_Toc115387365"/>
      <w:bookmarkStart w:id="6255" w:name="_Toc115388831"/>
      <w:bookmarkStart w:id="6256" w:name="_Toc115431469"/>
      <w:bookmarkStart w:id="6257" w:name="_Toc115432847"/>
      <w:bookmarkStart w:id="6258" w:name="_Toc115434418"/>
      <w:bookmarkStart w:id="6259" w:name="_Toc115434517"/>
      <w:bookmarkStart w:id="6260" w:name="_Toc115434586"/>
      <w:bookmarkStart w:id="6261" w:name="_Toc115434655"/>
      <w:bookmarkStart w:id="6262" w:name="_Toc115442822"/>
      <w:bookmarkStart w:id="6263" w:name="_Toc115446358"/>
      <w:bookmarkStart w:id="6264" w:name="_Toc115448065"/>
      <w:bookmarkStart w:id="6265" w:name="_Toc115449457"/>
      <w:bookmarkStart w:id="6266" w:name="_Toc115452477"/>
      <w:bookmarkStart w:id="6267" w:name="_Toc115455294"/>
      <w:bookmarkStart w:id="6268" w:name="_Toc115455360"/>
      <w:bookmarkStart w:id="6269" w:name="_Toc115457310"/>
      <w:bookmarkStart w:id="6270" w:name="_Toc115458146"/>
      <w:bookmarkStart w:id="6271" w:name="_Toc115948174"/>
      <w:bookmarkStart w:id="6272" w:name="_Toc115948621"/>
      <w:r>
        <w:t>Recommendation 1</w:t>
      </w:r>
      <w:r w:rsidR="00817AC5">
        <w:t>2</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r w:rsidR="005439E8">
        <w:t xml:space="preserve"> – Annual reporting</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174D43D0" w14:textId="77777777" w:rsidR="00F55DC4" w:rsidRDefault="000136FD" w:rsidP="00817AC5">
      <w:pPr>
        <w:pStyle w:val="BOXText"/>
      </w:pPr>
      <w:r>
        <w:t xml:space="preserve">The OPSC should collect the information identified in Recommendations 7 and 19 of </w:t>
      </w:r>
      <w:r w:rsidRPr="00630775">
        <w:rPr>
          <w:i/>
        </w:rPr>
        <w:t>Set the Standard</w:t>
      </w:r>
      <w:r>
        <w:t xml:space="preserve"> and any additional data required to provide a transparent account of the MoP(S) Act employment framework in its annual report to Parliament.</w:t>
      </w:r>
      <w:r w:rsidR="00F55DC4">
        <w:br w:type="page"/>
      </w:r>
    </w:p>
    <w:p w14:paraId="0A2F4807" w14:textId="3C4C383E" w:rsidR="00F55DC4" w:rsidRPr="000F2E36" w:rsidRDefault="00117317" w:rsidP="00F55DC4">
      <w:pPr>
        <w:pStyle w:val="Heading1"/>
      </w:pPr>
      <w:bookmarkStart w:id="6273" w:name="_Toc115432848"/>
      <w:bookmarkStart w:id="6274" w:name="_Toc115434419"/>
      <w:bookmarkStart w:id="6275" w:name="_Toc115434518"/>
      <w:bookmarkStart w:id="6276" w:name="_Toc115434587"/>
      <w:bookmarkStart w:id="6277" w:name="_Toc115434656"/>
      <w:bookmarkStart w:id="6278" w:name="_Toc115446359"/>
      <w:bookmarkStart w:id="6279" w:name="_Toc115448066"/>
      <w:bookmarkStart w:id="6280" w:name="_Toc115449458"/>
      <w:bookmarkStart w:id="6281" w:name="_Toc115452478"/>
      <w:bookmarkStart w:id="6282" w:name="_Toc115455295"/>
      <w:bookmarkStart w:id="6283" w:name="_Toc115455361"/>
      <w:bookmarkStart w:id="6284" w:name="_Toc115457311"/>
      <w:bookmarkStart w:id="6285" w:name="_Toc115458147"/>
      <w:bookmarkStart w:id="6286" w:name="_Toc115948175"/>
      <w:bookmarkStart w:id="6287" w:name="_Toc115948622"/>
      <w:bookmarkStart w:id="6288" w:name="_Toc104212793"/>
      <w:bookmarkStart w:id="6289" w:name="_Ref114225648"/>
      <w:bookmarkStart w:id="6290" w:name="_Ref114225683"/>
      <w:bookmarkStart w:id="6291" w:name="_Ref114225689"/>
      <w:bookmarkStart w:id="6292" w:name="_Toc114230903"/>
      <w:bookmarkStart w:id="6293" w:name="_Toc114233608"/>
      <w:bookmarkStart w:id="6294" w:name="_Toc114233680"/>
      <w:bookmarkStart w:id="6295" w:name="_Toc114240637"/>
      <w:bookmarkStart w:id="6296" w:name="_Toc114240711"/>
      <w:bookmarkStart w:id="6297" w:name="_Toc114241055"/>
      <w:bookmarkStart w:id="6298" w:name="_Toc114494076"/>
      <w:bookmarkStart w:id="6299" w:name="_Toc114500327"/>
      <w:bookmarkStart w:id="6300" w:name="_Toc114500402"/>
      <w:bookmarkStart w:id="6301" w:name="_Toc114518675"/>
      <w:bookmarkStart w:id="6302" w:name="_Toc114520347"/>
      <w:bookmarkStart w:id="6303" w:name="_Toc114520756"/>
      <w:bookmarkStart w:id="6304" w:name="_Toc114565784"/>
      <w:bookmarkStart w:id="6305" w:name="_Toc114566765"/>
      <w:bookmarkStart w:id="6306" w:name="_Toc114566990"/>
      <w:bookmarkStart w:id="6307" w:name="_Toc114566914"/>
      <w:bookmarkStart w:id="6308" w:name="_Toc114585915"/>
      <w:bookmarkStart w:id="6309" w:name="_Toc114586059"/>
      <w:bookmarkStart w:id="6310" w:name="_Toc114586131"/>
      <w:bookmarkStart w:id="6311" w:name="_Toc114601271"/>
      <w:bookmarkStart w:id="6312" w:name="_Toc114657312"/>
      <w:bookmarkStart w:id="6313" w:name="_Toc114659774"/>
      <w:bookmarkStart w:id="6314" w:name="_Toc114662759"/>
      <w:bookmarkStart w:id="6315" w:name="_Toc114665142"/>
      <w:bookmarkStart w:id="6316" w:name="_Toc114672450"/>
      <w:bookmarkStart w:id="6317" w:name="_Toc114672662"/>
      <w:bookmarkStart w:id="6318" w:name="_Toc114673217"/>
      <w:bookmarkStart w:id="6319" w:name="_Toc114673803"/>
      <w:bookmarkStart w:id="6320" w:name="_Toc114674328"/>
      <w:bookmarkStart w:id="6321" w:name="_Toc114687501"/>
      <w:bookmarkStart w:id="6322" w:name="_Toc114689965"/>
      <w:bookmarkStart w:id="6323" w:name="_Toc114731828"/>
      <w:bookmarkStart w:id="6324" w:name="_Toc114733593"/>
      <w:bookmarkStart w:id="6325" w:name="_Toc114735534"/>
      <w:bookmarkStart w:id="6326" w:name="_Toc114755862"/>
      <w:bookmarkStart w:id="6327" w:name="_Toc114757167"/>
      <w:bookmarkStart w:id="6328" w:name="_Toc114757451"/>
      <w:bookmarkStart w:id="6329" w:name="_Toc114757553"/>
      <w:bookmarkStart w:id="6330" w:name="_Toc114758226"/>
      <w:bookmarkStart w:id="6331" w:name="_Toc114824396"/>
      <w:bookmarkStart w:id="6332" w:name="_Toc114829472"/>
      <w:bookmarkStart w:id="6333" w:name="_Toc114829836"/>
      <w:bookmarkStart w:id="6334" w:name="_Toc114829980"/>
      <w:bookmarkStart w:id="6335" w:name="_Toc115099059"/>
      <w:bookmarkStart w:id="6336" w:name="_Toc115099131"/>
      <w:bookmarkStart w:id="6337" w:name="_Toc115101708"/>
      <w:bookmarkStart w:id="6338" w:name="_Toc115102553"/>
      <w:bookmarkStart w:id="6339" w:name="_Toc115105526"/>
      <w:bookmarkStart w:id="6340" w:name="_Toc115110387"/>
      <w:bookmarkStart w:id="6341" w:name="_Toc115110514"/>
      <w:bookmarkStart w:id="6342" w:name="_Toc115121632"/>
      <w:bookmarkStart w:id="6343" w:name="_Toc115122002"/>
      <w:bookmarkStart w:id="6344" w:name="_Toc115123482"/>
      <w:bookmarkStart w:id="6345" w:name="_Toc115123730"/>
      <w:bookmarkStart w:id="6346" w:name="_Toc115126862"/>
      <w:bookmarkStart w:id="6347" w:name="_Toc115185497"/>
      <w:bookmarkStart w:id="6348" w:name="_Toc115186124"/>
      <w:bookmarkStart w:id="6349" w:name="_Toc115189282"/>
      <w:bookmarkStart w:id="6350" w:name="_Toc115194255"/>
      <w:bookmarkStart w:id="6351" w:name="_Toc115194992"/>
      <w:bookmarkStart w:id="6352" w:name="_Toc115196402"/>
      <w:bookmarkStart w:id="6353" w:name="_Toc115198903"/>
      <w:bookmarkStart w:id="6354" w:name="_Toc115208918"/>
      <w:bookmarkStart w:id="6355" w:name="_Toc115209054"/>
      <w:bookmarkStart w:id="6356" w:name="_Toc115210385"/>
      <w:bookmarkStart w:id="6357" w:name="_Toc115212610"/>
      <w:bookmarkStart w:id="6358" w:name="_Toc115213250"/>
      <w:bookmarkStart w:id="6359" w:name="_Toc115216748"/>
      <w:bookmarkStart w:id="6360" w:name="_Toc115270439"/>
      <w:bookmarkStart w:id="6361" w:name="_Toc115271382"/>
      <w:bookmarkStart w:id="6362" w:name="_Toc115272299"/>
      <w:bookmarkStart w:id="6363" w:name="_Toc115273469"/>
      <w:bookmarkStart w:id="6364" w:name="_Toc115273397"/>
      <w:bookmarkStart w:id="6365" w:name="_Toc115274650"/>
      <w:bookmarkStart w:id="6366" w:name="_Toc115274876"/>
      <w:bookmarkStart w:id="6367" w:name="_Toc115275233"/>
      <w:bookmarkStart w:id="6368" w:name="_Toc115275376"/>
      <w:bookmarkStart w:id="6369" w:name="_Toc115274213"/>
      <w:bookmarkStart w:id="6370" w:name="_Toc115274514"/>
      <w:bookmarkStart w:id="6371" w:name="_Toc115274582"/>
      <w:bookmarkStart w:id="6372" w:name="_Toc115274740"/>
      <w:bookmarkStart w:id="6373" w:name="_Toc115277474"/>
      <w:bookmarkStart w:id="6374" w:name="_Toc115277678"/>
      <w:bookmarkStart w:id="6375" w:name="_Toc115278567"/>
      <w:bookmarkStart w:id="6376" w:name="_Toc115278647"/>
      <w:bookmarkStart w:id="6377" w:name="_Toc115282317"/>
      <w:bookmarkStart w:id="6378" w:name="_Toc115284770"/>
      <w:bookmarkStart w:id="6379" w:name="_Toc115286862"/>
      <w:bookmarkStart w:id="6380" w:name="_Toc115294796"/>
      <w:bookmarkStart w:id="6381" w:name="_Toc115296376"/>
      <w:bookmarkStart w:id="6382" w:name="_Toc115308562"/>
      <w:bookmarkStart w:id="6383" w:name="_Toc115311214"/>
      <w:bookmarkStart w:id="6384" w:name="_Toc115312694"/>
      <w:bookmarkStart w:id="6385" w:name="_Toc115343868"/>
      <w:bookmarkStart w:id="6386" w:name="_Toc115348306"/>
      <w:bookmarkStart w:id="6387" w:name="_Toc115350404"/>
      <w:bookmarkStart w:id="6388" w:name="_Toc115353492"/>
      <w:bookmarkStart w:id="6389" w:name="_Toc115359523"/>
      <w:bookmarkStart w:id="6390" w:name="_Toc115361927"/>
      <w:bookmarkStart w:id="6391" w:name="_Toc115364320"/>
      <w:bookmarkStart w:id="6392" w:name="_Toc115365414"/>
      <w:bookmarkStart w:id="6393" w:name="_Toc115365754"/>
      <w:bookmarkStart w:id="6394" w:name="_Toc115366218"/>
      <w:bookmarkStart w:id="6395" w:name="_Toc115368668"/>
      <w:bookmarkStart w:id="6396" w:name="_Toc115370108"/>
      <w:bookmarkStart w:id="6397" w:name="_Toc115370842"/>
      <w:bookmarkStart w:id="6398" w:name="_Toc115374414"/>
      <w:bookmarkStart w:id="6399" w:name="_Toc115378753"/>
      <w:bookmarkStart w:id="6400" w:name="_Toc115380985"/>
      <w:bookmarkStart w:id="6401" w:name="_Toc115384137"/>
      <w:bookmarkStart w:id="6402" w:name="_Toc115387366"/>
      <w:bookmarkStart w:id="6403" w:name="_Toc115388832"/>
      <w:bookmarkStart w:id="6404" w:name="_Toc115431470"/>
      <w:bookmarkStart w:id="6405" w:name="_Toc115442823"/>
      <w:r>
        <w:t>6</w:t>
      </w:r>
      <w:bookmarkEnd w:id="6273"/>
      <w:bookmarkEnd w:id="6274"/>
      <w:bookmarkEnd w:id="6275"/>
      <w:bookmarkEnd w:id="6276"/>
      <w:bookmarkEnd w:id="6277"/>
      <w:r w:rsidR="00F55DC4">
        <w:t xml:space="preserve"> E</w:t>
      </w:r>
      <w:r w:rsidR="00025BA6">
        <w:t>mployment separation</w:t>
      </w:r>
      <w:bookmarkEnd w:id="6278"/>
      <w:bookmarkEnd w:id="6279"/>
      <w:bookmarkEnd w:id="6280"/>
      <w:bookmarkEnd w:id="6281"/>
      <w:bookmarkEnd w:id="6282"/>
      <w:bookmarkEnd w:id="6283"/>
      <w:bookmarkEnd w:id="6284"/>
      <w:bookmarkEnd w:id="6285"/>
      <w:bookmarkEnd w:id="6286"/>
      <w:bookmarkEnd w:id="6287"/>
      <w:r w:rsidR="00025BA6">
        <w:t xml:space="preserve"> </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14:paraId="52EADEA2" w14:textId="5D189A6A" w:rsidR="00117317" w:rsidRPr="0002097D" w:rsidRDefault="00117317" w:rsidP="00117317">
      <w:pPr>
        <w:pStyle w:val="Heading2"/>
      </w:pPr>
      <w:bookmarkStart w:id="6406" w:name="_Toc114230904"/>
      <w:bookmarkStart w:id="6407" w:name="_Toc114233609"/>
      <w:bookmarkStart w:id="6408" w:name="_Toc114233681"/>
      <w:bookmarkStart w:id="6409" w:name="_Toc114240638"/>
      <w:bookmarkStart w:id="6410" w:name="_Toc114240712"/>
      <w:bookmarkStart w:id="6411" w:name="_Toc114241056"/>
      <w:bookmarkStart w:id="6412" w:name="_Toc114494077"/>
      <w:bookmarkStart w:id="6413" w:name="_Toc114500328"/>
      <w:bookmarkStart w:id="6414" w:name="_Toc114500403"/>
      <w:bookmarkStart w:id="6415" w:name="_Toc114518676"/>
      <w:bookmarkStart w:id="6416" w:name="_Toc114520348"/>
      <w:bookmarkStart w:id="6417" w:name="_Toc114520757"/>
      <w:bookmarkStart w:id="6418" w:name="_Toc114565785"/>
      <w:bookmarkStart w:id="6419" w:name="_Toc114566766"/>
      <w:bookmarkStart w:id="6420" w:name="_Toc114566991"/>
      <w:bookmarkStart w:id="6421" w:name="_Toc114566915"/>
      <w:bookmarkStart w:id="6422" w:name="_Toc114585916"/>
      <w:bookmarkStart w:id="6423" w:name="_Toc114586060"/>
      <w:bookmarkStart w:id="6424" w:name="_Toc114586132"/>
      <w:bookmarkStart w:id="6425" w:name="_Toc114601272"/>
      <w:bookmarkStart w:id="6426" w:name="_Toc114657313"/>
      <w:bookmarkStart w:id="6427" w:name="_Toc114659775"/>
      <w:bookmarkStart w:id="6428" w:name="_Toc114662760"/>
      <w:bookmarkStart w:id="6429" w:name="_Toc114665143"/>
      <w:bookmarkStart w:id="6430" w:name="_Toc114672451"/>
      <w:bookmarkStart w:id="6431" w:name="_Toc114672663"/>
      <w:bookmarkStart w:id="6432" w:name="_Toc114673218"/>
      <w:bookmarkStart w:id="6433" w:name="_Toc114673804"/>
      <w:bookmarkStart w:id="6434" w:name="_Toc114674329"/>
      <w:bookmarkStart w:id="6435" w:name="_Toc114687502"/>
      <w:bookmarkStart w:id="6436" w:name="_Toc114689966"/>
      <w:bookmarkStart w:id="6437" w:name="_Toc114731829"/>
      <w:bookmarkStart w:id="6438" w:name="_Toc114733594"/>
      <w:bookmarkStart w:id="6439" w:name="_Toc114735535"/>
      <w:bookmarkStart w:id="6440" w:name="_Toc114755863"/>
      <w:bookmarkStart w:id="6441" w:name="_Toc114757168"/>
      <w:bookmarkStart w:id="6442" w:name="_Toc114757452"/>
      <w:bookmarkStart w:id="6443" w:name="_Toc114757554"/>
      <w:bookmarkStart w:id="6444" w:name="_Toc114758227"/>
      <w:bookmarkStart w:id="6445" w:name="_Toc114824397"/>
      <w:bookmarkStart w:id="6446" w:name="_Toc114829473"/>
      <w:bookmarkStart w:id="6447" w:name="_Toc114829837"/>
      <w:bookmarkStart w:id="6448" w:name="_Toc114829981"/>
      <w:bookmarkStart w:id="6449" w:name="_Toc115099060"/>
      <w:bookmarkStart w:id="6450" w:name="_Toc115099132"/>
      <w:bookmarkStart w:id="6451" w:name="_Toc115101709"/>
      <w:bookmarkStart w:id="6452" w:name="_Toc115102554"/>
      <w:bookmarkStart w:id="6453" w:name="_Toc115105527"/>
      <w:bookmarkStart w:id="6454" w:name="_Toc115110388"/>
      <w:bookmarkStart w:id="6455" w:name="_Toc115110515"/>
      <w:bookmarkStart w:id="6456" w:name="_Toc115121633"/>
      <w:bookmarkStart w:id="6457" w:name="_Toc115122003"/>
      <w:bookmarkStart w:id="6458" w:name="_Toc115123483"/>
      <w:bookmarkStart w:id="6459" w:name="_Toc115123731"/>
      <w:bookmarkStart w:id="6460" w:name="_Toc115126863"/>
      <w:bookmarkStart w:id="6461" w:name="_Toc115185498"/>
      <w:bookmarkStart w:id="6462" w:name="_Toc115186125"/>
      <w:bookmarkStart w:id="6463" w:name="_Toc115189283"/>
      <w:bookmarkStart w:id="6464" w:name="_Toc115194256"/>
      <w:bookmarkStart w:id="6465" w:name="_Toc115194993"/>
      <w:bookmarkStart w:id="6466" w:name="_Toc115196403"/>
      <w:bookmarkStart w:id="6467" w:name="_Toc115198904"/>
      <w:bookmarkStart w:id="6468" w:name="_Toc115208919"/>
      <w:bookmarkStart w:id="6469" w:name="_Toc115209055"/>
      <w:bookmarkStart w:id="6470" w:name="_Toc115210386"/>
      <w:bookmarkStart w:id="6471" w:name="_Toc115212611"/>
      <w:bookmarkStart w:id="6472" w:name="_Toc115213251"/>
      <w:bookmarkStart w:id="6473" w:name="_Toc115216749"/>
      <w:bookmarkStart w:id="6474" w:name="_Toc115270440"/>
      <w:bookmarkStart w:id="6475" w:name="_Toc115271383"/>
      <w:bookmarkStart w:id="6476" w:name="_Toc115272300"/>
      <w:bookmarkStart w:id="6477" w:name="_Toc115273470"/>
      <w:bookmarkStart w:id="6478" w:name="_Toc115273398"/>
      <w:bookmarkStart w:id="6479" w:name="_Toc115274651"/>
      <w:bookmarkStart w:id="6480" w:name="_Toc115274877"/>
      <w:bookmarkStart w:id="6481" w:name="_Toc115275234"/>
      <w:bookmarkStart w:id="6482" w:name="_Toc115275377"/>
      <w:bookmarkStart w:id="6483" w:name="_Toc115274214"/>
      <w:bookmarkStart w:id="6484" w:name="_Toc115274515"/>
      <w:bookmarkStart w:id="6485" w:name="_Toc115274583"/>
      <w:bookmarkStart w:id="6486" w:name="_Toc115274741"/>
      <w:bookmarkStart w:id="6487" w:name="_Toc115277475"/>
      <w:bookmarkStart w:id="6488" w:name="_Toc115277679"/>
      <w:bookmarkStart w:id="6489" w:name="_Toc115278568"/>
      <w:bookmarkStart w:id="6490" w:name="_Toc115278648"/>
      <w:bookmarkStart w:id="6491" w:name="_Toc115282318"/>
      <w:bookmarkStart w:id="6492" w:name="_Toc115284771"/>
      <w:bookmarkStart w:id="6493" w:name="_Toc115286863"/>
      <w:bookmarkStart w:id="6494" w:name="_Toc115294797"/>
      <w:bookmarkStart w:id="6495" w:name="_Toc115296377"/>
      <w:bookmarkStart w:id="6496" w:name="_Toc115308563"/>
      <w:bookmarkStart w:id="6497" w:name="_Toc115311215"/>
      <w:bookmarkStart w:id="6498" w:name="_Toc115312695"/>
      <w:bookmarkStart w:id="6499" w:name="_Toc115343869"/>
      <w:bookmarkStart w:id="6500" w:name="_Toc115348307"/>
      <w:bookmarkStart w:id="6501" w:name="_Toc115350405"/>
      <w:bookmarkStart w:id="6502" w:name="_Toc115353493"/>
      <w:bookmarkStart w:id="6503" w:name="_Toc115359524"/>
      <w:bookmarkStart w:id="6504" w:name="_Toc115361928"/>
      <w:bookmarkStart w:id="6505" w:name="_Toc115364321"/>
      <w:bookmarkStart w:id="6506" w:name="_Toc115365415"/>
      <w:bookmarkStart w:id="6507" w:name="_Toc115365755"/>
      <w:bookmarkStart w:id="6508" w:name="_Toc115366219"/>
      <w:bookmarkStart w:id="6509" w:name="_Toc115368669"/>
      <w:bookmarkStart w:id="6510" w:name="_Toc115370109"/>
      <w:bookmarkStart w:id="6511" w:name="_Toc115370843"/>
      <w:bookmarkStart w:id="6512" w:name="_Toc115374415"/>
      <w:bookmarkStart w:id="6513" w:name="_Toc115378754"/>
      <w:bookmarkStart w:id="6514" w:name="_Toc115380986"/>
      <w:bookmarkStart w:id="6515" w:name="_Toc115384138"/>
      <w:bookmarkStart w:id="6516" w:name="_Toc115387367"/>
      <w:bookmarkStart w:id="6517" w:name="_Toc115388833"/>
      <w:bookmarkStart w:id="6518" w:name="_Toc115431471"/>
      <w:bookmarkStart w:id="6519" w:name="_Toc115432849"/>
      <w:bookmarkStart w:id="6520" w:name="_Toc115434420"/>
      <w:bookmarkStart w:id="6521" w:name="_Toc115434519"/>
      <w:bookmarkStart w:id="6522" w:name="_Toc115434588"/>
      <w:bookmarkStart w:id="6523" w:name="_Toc115434657"/>
      <w:bookmarkStart w:id="6524" w:name="_Toc115442824"/>
      <w:bookmarkStart w:id="6525" w:name="_Toc115446360"/>
      <w:bookmarkStart w:id="6526" w:name="_Toc115448067"/>
      <w:bookmarkStart w:id="6527" w:name="_Toc115449459"/>
      <w:bookmarkStart w:id="6528" w:name="_Toc115452479"/>
      <w:bookmarkStart w:id="6529" w:name="_Toc115455296"/>
      <w:bookmarkStart w:id="6530" w:name="_Toc115455362"/>
      <w:bookmarkStart w:id="6531" w:name="_Toc115457312"/>
      <w:bookmarkStart w:id="6532" w:name="_Toc115458148"/>
      <w:bookmarkStart w:id="6533" w:name="_Toc115948176"/>
      <w:bookmarkStart w:id="6534" w:name="_Toc115948623"/>
      <w:r>
        <w:t>6</w:t>
      </w:r>
      <w:r w:rsidRPr="00FA64B1">
        <w:t>.</w:t>
      </w:r>
      <w:r w:rsidRPr="001F20C8">
        <w:t>1 Introduction</w:t>
      </w:r>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176BD1B0" w14:textId="5E531524" w:rsidR="00117317" w:rsidRDefault="00117317" w:rsidP="00117317">
      <w:r>
        <w:t xml:space="preserve">This chapter covers </w:t>
      </w:r>
      <w:r w:rsidR="00E75D72">
        <w:t xml:space="preserve">ceasing </w:t>
      </w:r>
      <w:r>
        <w:t xml:space="preserve">employment under the MoP(S) Act. The main </w:t>
      </w:r>
      <w:r w:rsidR="00F838C7">
        <w:t xml:space="preserve">subjects </w:t>
      </w:r>
      <w:r>
        <w:t xml:space="preserve">considered by the </w:t>
      </w:r>
      <w:r w:rsidR="00BF63E2">
        <w:t>R</w:t>
      </w:r>
      <w:r>
        <w:t xml:space="preserve">eview </w:t>
      </w:r>
      <w:r w:rsidR="00DC3675">
        <w:t>are</w:t>
      </w:r>
      <w:r>
        <w:t>:</w:t>
      </w:r>
    </w:p>
    <w:p w14:paraId="1E581B04" w14:textId="77777777" w:rsidR="00117317" w:rsidRDefault="00D24715" w:rsidP="00117317">
      <w:pPr>
        <w:pStyle w:val="BulletedList-Level1"/>
      </w:pPr>
      <w:r>
        <w:t>t</w:t>
      </w:r>
      <w:r w:rsidR="00117317">
        <w:t xml:space="preserve">he ability of a parliamentarian to terminate </w:t>
      </w:r>
      <w:r>
        <w:t>the employment of</w:t>
      </w:r>
      <w:r w:rsidR="00117317">
        <w:t xml:space="preserve"> MoP(S) </w:t>
      </w:r>
      <w:r w:rsidR="00BF63E2">
        <w:t xml:space="preserve">Act </w:t>
      </w:r>
      <w:r w:rsidR="002751A5">
        <w:t>employees</w:t>
      </w:r>
    </w:p>
    <w:p w14:paraId="35112645" w14:textId="77777777" w:rsidR="00117317" w:rsidRDefault="00D24715" w:rsidP="00117317">
      <w:pPr>
        <w:pStyle w:val="BulletedList-Level1"/>
      </w:pPr>
      <w:r>
        <w:t>t</w:t>
      </w:r>
      <w:r w:rsidR="00117317">
        <w:t>ermination process and procedural fairness (including deferral of termination provisions)</w:t>
      </w:r>
    </w:p>
    <w:p w14:paraId="71F31B14" w14:textId="210DE882" w:rsidR="00891B03" w:rsidRDefault="00891B03" w:rsidP="00117317">
      <w:pPr>
        <w:pStyle w:val="BulletedList-Level1"/>
      </w:pPr>
      <w:r>
        <w:t>the introduction of suspensions</w:t>
      </w:r>
    </w:p>
    <w:p w14:paraId="6DF5F949" w14:textId="77777777" w:rsidR="00117317" w:rsidRDefault="00D24715" w:rsidP="00117317">
      <w:pPr>
        <w:pStyle w:val="BulletedList-Level1"/>
      </w:pPr>
      <w:r>
        <w:t>a</w:t>
      </w:r>
      <w:r w:rsidR="00117317">
        <w:t>utomatic termination</w:t>
      </w:r>
    </w:p>
    <w:p w14:paraId="106945A8" w14:textId="77777777" w:rsidR="00117317" w:rsidRDefault="00D24715" w:rsidP="00117317">
      <w:pPr>
        <w:pStyle w:val="BulletedList-Level1"/>
      </w:pPr>
      <w:r>
        <w:t>p</w:t>
      </w:r>
      <w:r w:rsidR="00117317" w:rsidRPr="002B2E8D">
        <w:t>ost</w:t>
      </w:r>
      <w:r w:rsidR="00117317">
        <w:t>-employment support.</w:t>
      </w:r>
    </w:p>
    <w:p w14:paraId="31A1F34E" w14:textId="59F4FD6E" w:rsidR="00117317" w:rsidRDefault="00A86264" w:rsidP="00117317">
      <w:r>
        <w:t>The</w:t>
      </w:r>
      <w:r w:rsidDel="00F23879">
        <w:t xml:space="preserve"> </w:t>
      </w:r>
      <w:r w:rsidR="00F23879">
        <w:t>Review</w:t>
      </w:r>
      <w:r>
        <w:t xml:space="preserve"> found that while termination powers are </w:t>
      </w:r>
      <w:r w:rsidR="00900906">
        <w:t xml:space="preserve">broadly </w:t>
      </w:r>
      <w:r>
        <w:t>appropriate</w:t>
      </w:r>
      <w:r w:rsidR="00F838C7">
        <w:t xml:space="preserve"> for the MoP(S) </w:t>
      </w:r>
      <w:r w:rsidR="00BF63E2">
        <w:t xml:space="preserve">Act </w:t>
      </w:r>
      <w:r w:rsidR="00F838C7">
        <w:t xml:space="preserve">context, </w:t>
      </w:r>
      <w:r w:rsidR="00E36290">
        <w:t xml:space="preserve">there are </w:t>
      </w:r>
      <w:r w:rsidR="00F838C7">
        <w:t xml:space="preserve">issues </w:t>
      </w:r>
      <w:r w:rsidR="00E36290">
        <w:t>with</w:t>
      </w:r>
      <w:r w:rsidR="00F838C7">
        <w:t xml:space="preserve"> the processes and practical experience of termination by parliamentarians. There are particular issues </w:t>
      </w:r>
      <w:r w:rsidR="00014E06">
        <w:t>in relation to</w:t>
      </w:r>
      <w:r w:rsidR="00F838C7">
        <w:t xml:space="preserve"> the perceptions of parliamentarians’ powers of termination, and </w:t>
      </w:r>
      <w:r w:rsidR="00014E06">
        <w:t>the provision of</w:t>
      </w:r>
      <w:r w:rsidR="00F838C7">
        <w:t xml:space="preserve"> appropriate procedural fairness prior to and during termination. Additionally, automatic termination provisions are </w:t>
      </w:r>
      <w:r w:rsidR="00891B03">
        <w:t>not well</w:t>
      </w:r>
      <w:r w:rsidR="00F838C7">
        <w:t xml:space="preserve"> understood and require revision.</w:t>
      </w:r>
    </w:p>
    <w:p w14:paraId="2CFFD6CC" w14:textId="77777777" w:rsidR="00081438" w:rsidRDefault="00081438" w:rsidP="00117317"/>
    <w:p w14:paraId="6DE01351" w14:textId="7CB5AC91" w:rsidR="00117317" w:rsidRDefault="00117317" w:rsidP="00117317">
      <w:pPr>
        <w:pStyle w:val="Heading2"/>
      </w:pPr>
      <w:bookmarkStart w:id="6535" w:name="_Toc114230905"/>
      <w:bookmarkStart w:id="6536" w:name="_Toc114233610"/>
      <w:bookmarkStart w:id="6537" w:name="_Toc114233682"/>
      <w:bookmarkStart w:id="6538" w:name="_Toc114240639"/>
      <w:bookmarkStart w:id="6539" w:name="_Toc114240713"/>
      <w:bookmarkStart w:id="6540" w:name="_Toc114241057"/>
      <w:bookmarkStart w:id="6541" w:name="_Toc114494078"/>
      <w:bookmarkStart w:id="6542" w:name="_Toc114500329"/>
      <w:bookmarkStart w:id="6543" w:name="_Toc114500404"/>
      <w:bookmarkStart w:id="6544" w:name="_Toc114518677"/>
      <w:bookmarkStart w:id="6545" w:name="_Toc114520349"/>
      <w:bookmarkStart w:id="6546" w:name="_Toc114520758"/>
      <w:bookmarkStart w:id="6547" w:name="_Toc114565786"/>
      <w:bookmarkStart w:id="6548" w:name="_Toc114566767"/>
      <w:bookmarkStart w:id="6549" w:name="_Toc114566992"/>
      <w:bookmarkStart w:id="6550" w:name="_Toc114566916"/>
      <w:bookmarkStart w:id="6551" w:name="_Toc114585917"/>
      <w:bookmarkStart w:id="6552" w:name="_Toc114586061"/>
      <w:bookmarkStart w:id="6553" w:name="_Toc114586133"/>
      <w:bookmarkStart w:id="6554" w:name="_Toc114601273"/>
      <w:bookmarkStart w:id="6555" w:name="_Toc114657314"/>
      <w:bookmarkStart w:id="6556" w:name="_Toc114659776"/>
      <w:bookmarkStart w:id="6557" w:name="_Toc114662761"/>
      <w:bookmarkStart w:id="6558" w:name="_Toc114665144"/>
      <w:bookmarkStart w:id="6559" w:name="_Toc114672452"/>
      <w:bookmarkStart w:id="6560" w:name="_Toc114672664"/>
      <w:bookmarkStart w:id="6561" w:name="_Toc114673219"/>
      <w:bookmarkStart w:id="6562" w:name="_Toc114673805"/>
      <w:bookmarkStart w:id="6563" w:name="_Toc114674330"/>
      <w:bookmarkStart w:id="6564" w:name="_Toc114687503"/>
      <w:bookmarkStart w:id="6565" w:name="_Toc114689967"/>
      <w:bookmarkStart w:id="6566" w:name="_Toc114731830"/>
      <w:bookmarkStart w:id="6567" w:name="_Toc114733595"/>
      <w:bookmarkStart w:id="6568" w:name="_Toc114735536"/>
      <w:bookmarkStart w:id="6569" w:name="_Toc114755864"/>
      <w:bookmarkStart w:id="6570" w:name="_Toc114757169"/>
      <w:bookmarkStart w:id="6571" w:name="_Toc114757453"/>
      <w:bookmarkStart w:id="6572" w:name="_Toc114757555"/>
      <w:bookmarkStart w:id="6573" w:name="_Toc114758228"/>
      <w:bookmarkStart w:id="6574" w:name="_Toc114824398"/>
      <w:bookmarkStart w:id="6575" w:name="_Toc114829474"/>
      <w:bookmarkStart w:id="6576" w:name="_Toc114829838"/>
      <w:bookmarkStart w:id="6577" w:name="_Toc114829982"/>
      <w:bookmarkStart w:id="6578" w:name="_Toc115099061"/>
      <w:bookmarkStart w:id="6579" w:name="_Toc115099133"/>
      <w:bookmarkStart w:id="6580" w:name="_Toc115101710"/>
      <w:bookmarkStart w:id="6581" w:name="_Toc115102555"/>
      <w:bookmarkStart w:id="6582" w:name="_Toc115105528"/>
      <w:bookmarkStart w:id="6583" w:name="_Toc115110389"/>
      <w:bookmarkStart w:id="6584" w:name="_Toc115110516"/>
      <w:bookmarkStart w:id="6585" w:name="_Toc115121634"/>
      <w:bookmarkStart w:id="6586" w:name="_Toc115122004"/>
      <w:bookmarkStart w:id="6587" w:name="_Toc115123484"/>
      <w:bookmarkStart w:id="6588" w:name="_Toc115123732"/>
      <w:bookmarkStart w:id="6589" w:name="_Toc115126864"/>
      <w:bookmarkStart w:id="6590" w:name="_Toc115185499"/>
      <w:bookmarkStart w:id="6591" w:name="_Toc115186126"/>
      <w:bookmarkStart w:id="6592" w:name="_Toc115189284"/>
      <w:bookmarkStart w:id="6593" w:name="_Toc115194257"/>
      <w:bookmarkStart w:id="6594" w:name="_Toc115194994"/>
      <w:bookmarkStart w:id="6595" w:name="_Toc115196404"/>
      <w:bookmarkStart w:id="6596" w:name="_Toc115198905"/>
      <w:bookmarkStart w:id="6597" w:name="_Toc115208920"/>
      <w:bookmarkStart w:id="6598" w:name="_Toc115209056"/>
      <w:bookmarkStart w:id="6599" w:name="_Toc115210387"/>
      <w:bookmarkStart w:id="6600" w:name="_Toc115212612"/>
      <w:bookmarkStart w:id="6601" w:name="_Toc115213252"/>
      <w:bookmarkStart w:id="6602" w:name="_Toc115216750"/>
      <w:bookmarkStart w:id="6603" w:name="_Toc115270441"/>
      <w:bookmarkStart w:id="6604" w:name="_Toc115271384"/>
      <w:bookmarkStart w:id="6605" w:name="_Toc115272301"/>
      <w:bookmarkStart w:id="6606" w:name="_Toc115273471"/>
      <w:bookmarkStart w:id="6607" w:name="_Toc115273399"/>
      <w:bookmarkStart w:id="6608" w:name="_Toc115274652"/>
      <w:bookmarkStart w:id="6609" w:name="_Toc115274878"/>
      <w:bookmarkStart w:id="6610" w:name="_Toc115275235"/>
      <w:bookmarkStart w:id="6611" w:name="_Toc115275378"/>
      <w:bookmarkStart w:id="6612" w:name="_Toc115274215"/>
      <w:bookmarkStart w:id="6613" w:name="_Toc115274516"/>
      <w:bookmarkStart w:id="6614" w:name="_Toc115274584"/>
      <w:bookmarkStart w:id="6615" w:name="_Toc115274742"/>
      <w:bookmarkStart w:id="6616" w:name="_Toc115277476"/>
      <w:bookmarkStart w:id="6617" w:name="_Toc115277680"/>
      <w:bookmarkStart w:id="6618" w:name="_Toc115278569"/>
      <w:bookmarkStart w:id="6619" w:name="_Toc115278649"/>
      <w:bookmarkStart w:id="6620" w:name="_Toc115282319"/>
      <w:bookmarkStart w:id="6621" w:name="_Toc115284772"/>
      <w:bookmarkStart w:id="6622" w:name="_Toc115286864"/>
      <w:bookmarkStart w:id="6623" w:name="_Toc115294798"/>
      <w:bookmarkStart w:id="6624" w:name="_Toc115296378"/>
      <w:bookmarkStart w:id="6625" w:name="_Toc115308564"/>
      <w:bookmarkStart w:id="6626" w:name="_Toc115311216"/>
      <w:bookmarkStart w:id="6627" w:name="_Toc115312696"/>
      <w:bookmarkStart w:id="6628" w:name="_Toc115343870"/>
      <w:bookmarkStart w:id="6629" w:name="_Toc115348308"/>
      <w:bookmarkStart w:id="6630" w:name="_Toc115350406"/>
      <w:bookmarkStart w:id="6631" w:name="_Toc115353494"/>
      <w:bookmarkStart w:id="6632" w:name="_Toc115359525"/>
      <w:bookmarkStart w:id="6633" w:name="_Toc115361929"/>
      <w:bookmarkStart w:id="6634" w:name="_Toc115364322"/>
      <w:bookmarkStart w:id="6635" w:name="_Toc115365416"/>
      <w:bookmarkStart w:id="6636" w:name="_Toc115365756"/>
      <w:bookmarkStart w:id="6637" w:name="_Toc115366220"/>
      <w:bookmarkStart w:id="6638" w:name="_Toc115368670"/>
      <w:bookmarkStart w:id="6639" w:name="_Toc115370110"/>
      <w:bookmarkStart w:id="6640" w:name="_Toc115370844"/>
      <w:bookmarkStart w:id="6641" w:name="_Toc115374416"/>
      <w:bookmarkStart w:id="6642" w:name="_Toc115378755"/>
      <w:bookmarkStart w:id="6643" w:name="_Toc115380987"/>
      <w:bookmarkStart w:id="6644" w:name="_Toc115384139"/>
      <w:bookmarkStart w:id="6645" w:name="_Toc115387368"/>
      <w:bookmarkStart w:id="6646" w:name="_Toc115388834"/>
      <w:bookmarkStart w:id="6647" w:name="_Toc115431472"/>
      <w:bookmarkStart w:id="6648" w:name="_Toc115432850"/>
      <w:bookmarkStart w:id="6649" w:name="_Toc115434421"/>
      <w:bookmarkStart w:id="6650" w:name="_Toc115434520"/>
      <w:bookmarkStart w:id="6651" w:name="_Toc115434589"/>
      <w:bookmarkStart w:id="6652" w:name="_Toc115434658"/>
      <w:bookmarkStart w:id="6653" w:name="_Toc115442825"/>
      <w:bookmarkStart w:id="6654" w:name="_Toc115446361"/>
      <w:bookmarkStart w:id="6655" w:name="_Toc115448068"/>
      <w:bookmarkStart w:id="6656" w:name="_Toc115449460"/>
      <w:bookmarkStart w:id="6657" w:name="_Toc115452480"/>
      <w:bookmarkStart w:id="6658" w:name="_Toc115455297"/>
      <w:bookmarkStart w:id="6659" w:name="_Toc115455363"/>
      <w:bookmarkStart w:id="6660" w:name="_Toc115457313"/>
      <w:bookmarkStart w:id="6661" w:name="_Toc115458149"/>
      <w:bookmarkStart w:id="6662" w:name="_Toc115948177"/>
      <w:bookmarkStart w:id="6663" w:name="_Toc115948624"/>
      <w:r>
        <w:t xml:space="preserve">6.2 The MoP(S) </w:t>
      </w:r>
      <w:r w:rsidR="005C482A">
        <w:t xml:space="preserve">Act </w:t>
      </w:r>
      <w:r>
        <w:t>context</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14:paraId="48520801" w14:textId="47158008" w:rsidR="00117317" w:rsidRDefault="00A86264" w:rsidP="00117317">
      <w:r>
        <w:t xml:space="preserve">The employment </w:t>
      </w:r>
      <w:r w:rsidR="00C1766D">
        <w:t>environment</w:t>
      </w:r>
      <w:r>
        <w:t xml:space="preserve"> </w:t>
      </w:r>
      <w:r w:rsidR="0065164C">
        <w:t>of</w:t>
      </w:r>
      <w:r>
        <w:t xml:space="preserve"> MoP(S) </w:t>
      </w:r>
      <w:r w:rsidR="005C482A">
        <w:t>Act</w:t>
      </w:r>
      <w:r>
        <w:t xml:space="preserve"> </w:t>
      </w:r>
      <w:r w:rsidR="002751A5">
        <w:t>employees</w:t>
      </w:r>
      <w:r>
        <w:t xml:space="preserve"> is </w:t>
      </w:r>
      <w:r w:rsidR="00117317">
        <w:t>inherent</w:t>
      </w:r>
      <w:r>
        <w:t>ly un</w:t>
      </w:r>
      <w:r w:rsidR="00DC2D87">
        <w:t>certain</w:t>
      </w:r>
      <w:r>
        <w:t xml:space="preserve"> due to the nature of the Australian electoral system</w:t>
      </w:r>
      <w:r w:rsidR="00117317">
        <w:t xml:space="preserve">. </w:t>
      </w:r>
      <w:r w:rsidR="00117317" w:rsidRPr="002E2ED7">
        <w:t xml:space="preserve">In addition to the usual factors of performance, conduct and restructures, </w:t>
      </w:r>
      <w:r w:rsidR="00FE3F7D">
        <w:t>a</w:t>
      </w:r>
      <w:r w:rsidR="00117317" w:rsidRPr="002E2ED7">
        <w:t xml:space="preserve"> </w:t>
      </w:r>
      <w:r w:rsidR="002751A5">
        <w:t>MoP(S) Act employee</w:t>
      </w:r>
      <w:r w:rsidR="00FE3F7D">
        <w:t>’s tenure in the</w:t>
      </w:r>
      <w:r w:rsidR="002E2398">
        <w:t>ir</w:t>
      </w:r>
      <w:r w:rsidR="00FE3F7D">
        <w:t xml:space="preserve"> job</w:t>
      </w:r>
      <w:r w:rsidR="00117317" w:rsidRPr="002E2ED7">
        <w:t xml:space="preserve"> is linked to their employing parliamentarian’s </w:t>
      </w:r>
      <w:r w:rsidR="00C66FFB" w:rsidRPr="002E2ED7">
        <w:t>ability to maintain a seat in parliament</w:t>
      </w:r>
      <w:r w:rsidR="00C66FFB">
        <w:t xml:space="preserve"> and/or </w:t>
      </w:r>
      <w:r w:rsidR="002751A5">
        <w:t xml:space="preserve">ministerial or shadow ministerial </w:t>
      </w:r>
      <w:r w:rsidR="00117317" w:rsidRPr="002E2ED7">
        <w:t>position</w:t>
      </w:r>
      <w:r w:rsidR="00C66FFB">
        <w:t>.</w:t>
      </w:r>
      <w:r w:rsidR="00117317" w:rsidRPr="002E2ED7" w:rsidDel="00C66FFB">
        <w:t xml:space="preserve"> </w:t>
      </w:r>
      <w:r w:rsidR="00117317">
        <w:t xml:space="preserve">Survey results conducted by the Review suggest most MoP(S) </w:t>
      </w:r>
      <w:r w:rsidR="005C482A">
        <w:t xml:space="preserve">Act </w:t>
      </w:r>
      <w:r w:rsidR="002751A5">
        <w:t>employees</w:t>
      </w:r>
      <w:r w:rsidR="00117317">
        <w:t xml:space="preserve"> accept this as </w:t>
      </w:r>
      <w:r w:rsidR="00684F87">
        <w:t>a</w:t>
      </w:r>
      <w:r w:rsidR="00117317">
        <w:t xml:space="preserve"> consequence of working in the parliamentary environment</w:t>
      </w:r>
      <w:r w:rsidR="00B54B67">
        <w:t>.</w:t>
      </w:r>
      <w:r w:rsidR="00A1006B">
        <w:t xml:space="preserve"> 86 per cent of respondents thought, in principle, it </w:t>
      </w:r>
      <w:r w:rsidR="00B64033">
        <w:t>is</w:t>
      </w:r>
      <w:r w:rsidR="00A1006B">
        <w:t xml:space="preserve"> reasonable that MoP</w:t>
      </w:r>
      <w:r w:rsidR="00A7045A">
        <w:t>(</w:t>
      </w:r>
      <w:r w:rsidR="00A1006B">
        <w:t>S</w:t>
      </w:r>
      <w:r w:rsidR="00A7045A">
        <w:t>)</w:t>
      </w:r>
      <w:r w:rsidR="00A1006B">
        <w:t xml:space="preserve"> Act employment terminates when the employing parliamentarian is no longer a senator or member</w:t>
      </w:r>
      <w:r w:rsidR="00117317">
        <w:t>.</w:t>
      </w:r>
    </w:p>
    <w:p w14:paraId="0E09F8B1" w14:textId="0BAFB293" w:rsidR="00117317" w:rsidRDefault="00117317" w:rsidP="00117317">
      <w:r>
        <w:t>In the 2021-22 financial year, a total of 1</w:t>
      </w:r>
      <w:r w:rsidR="0014603D">
        <w:t>,</w:t>
      </w:r>
      <w:r>
        <w:t>907 cessations of employment were reported to Finance</w:t>
      </w:r>
      <w:r w:rsidR="00C66FFB">
        <w:t>.</w:t>
      </w:r>
      <w:r>
        <w:rPr>
          <w:rStyle w:val="FootnoteReference"/>
        </w:rPr>
        <w:footnoteReference w:id="284"/>
      </w:r>
      <w:r>
        <w:t xml:space="preserve"> While </w:t>
      </w:r>
      <w:r w:rsidR="00F838C7">
        <w:t>the</w:t>
      </w:r>
      <w:r>
        <w:t xml:space="preserve"> numbers of MoP(S) </w:t>
      </w:r>
      <w:r w:rsidR="000C429B">
        <w:t xml:space="preserve">Act </w:t>
      </w:r>
      <w:r>
        <w:t>employees varies at any one time, we note there were 2,222 MoP(S) Act employees as at 1 June 2021</w:t>
      </w:r>
      <w:r>
        <w:rPr>
          <w:rStyle w:val="FootnoteReference"/>
        </w:rPr>
        <w:footnoteReference w:id="285"/>
      </w:r>
      <w:r>
        <w:t xml:space="preserve"> and </w:t>
      </w:r>
      <w:r w:rsidRPr="00843CBB">
        <w:t>around 1</w:t>
      </w:r>
      <w:r w:rsidR="0014603D">
        <w:t>,</w:t>
      </w:r>
      <w:r w:rsidRPr="00843CBB">
        <w:t>7</w:t>
      </w:r>
      <w:r w:rsidR="0080387B">
        <w:t>53</w:t>
      </w:r>
      <w:r>
        <w:t xml:space="preserve"> as at 1</w:t>
      </w:r>
      <w:r w:rsidR="007D4774">
        <w:t> </w:t>
      </w:r>
      <w:r w:rsidR="0080387B">
        <w:t>August</w:t>
      </w:r>
      <w:r>
        <w:t xml:space="preserve"> 2022</w:t>
      </w:r>
      <w:r w:rsidR="00FB35B1">
        <w:t>.</w:t>
      </w:r>
      <w:r w:rsidR="0080387B">
        <w:rPr>
          <w:rStyle w:val="FootnoteReference"/>
        </w:rPr>
        <w:footnoteReference w:id="286"/>
      </w:r>
      <w:r w:rsidR="00844010">
        <w:t xml:space="preserve"> </w:t>
      </w:r>
      <w:r w:rsidR="00C66FFB">
        <w:t>T</w:t>
      </w:r>
      <w:r w:rsidR="00844010">
        <w:t xml:space="preserve">he number of people </w:t>
      </w:r>
      <w:r w:rsidR="00990513">
        <w:t>employed over the course of the 2021-22 financial year</w:t>
      </w:r>
      <w:r w:rsidR="00C66FFB">
        <w:t xml:space="preserve"> i</w:t>
      </w:r>
      <w:r w:rsidR="003B7433">
        <w:t>s</w:t>
      </w:r>
      <w:r w:rsidR="00C66FFB">
        <w:t xml:space="preserve"> unclear</w:t>
      </w:r>
      <w:r>
        <w:t>.</w:t>
      </w:r>
    </w:p>
    <w:p w14:paraId="2F96481D" w14:textId="77777777" w:rsidR="00117317" w:rsidRDefault="00DA0A24" w:rsidP="00117317">
      <w:r>
        <w:t>Of these</w:t>
      </w:r>
      <w:r w:rsidR="00117317">
        <w:t xml:space="preserve"> cessation</w:t>
      </w:r>
      <w:r>
        <w:t>s</w:t>
      </w:r>
      <w:r w:rsidR="00117317">
        <w:t>:</w:t>
      </w:r>
    </w:p>
    <w:p w14:paraId="335941A6" w14:textId="77777777" w:rsidR="00117317" w:rsidRPr="00117317" w:rsidRDefault="00117317" w:rsidP="00117317">
      <w:pPr>
        <w:pStyle w:val="BulletedList-Level1"/>
      </w:pPr>
      <w:r w:rsidRPr="00117317">
        <w:t xml:space="preserve">390 </w:t>
      </w:r>
      <w:r w:rsidR="00DA0A24">
        <w:t xml:space="preserve">were </w:t>
      </w:r>
      <w:r w:rsidRPr="00117317">
        <w:t>resignations (i.e. termination by the employee’s initiative)</w:t>
      </w:r>
    </w:p>
    <w:p w14:paraId="0238513A" w14:textId="77777777" w:rsidR="00117317" w:rsidRPr="00117317" w:rsidRDefault="00117317" w:rsidP="00117317">
      <w:pPr>
        <w:pStyle w:val="BulletedList-Level1"/>
      </w:pPr>
      <w:r w:rsidRPr="00117317">
        <w:t>747</w:t>
      </w:r>
      <w:r w:rsidR="00DA0A24">
        <w:t xml:space="preserve"> were</w:t>
      </w:r>
      <w:r w:rsidRPr="00117317">
        <w:t xml:space="preserve"> automatic terminations, including as a result of the death of the </w:t>
      </w:r>
      <w:r w:rsidRPr="00364612">
        <w:t>employee</w:t>
      </w:r>
      <w:r w:rsidRPr="00117317">
        <w:t xml:space="preserve"> </w:t>
      </w:r>
      <w:r w:rsidR="00364612">
        <w:t>or the employer</w:t>
      </w:r>
      <w:r w:rsidRPr="00117317">
        <w:t xml:space="preserve"> (discussed below)</w:t>
      </w:r>
      <w:r w:rsidRPr="0055271A">
        <w:rPr>
          <w:rStyle w:val="FootnoteReference"/>
        </w:rPr>
        <w:footnoteReference w:id="287"/>
      </w:r>
    </w:p>
    <w:p w14:paraId="4590E254" w14:textId="77777777" w:rsidR="00117317" w:rsidRPr="00117317" w:rsidRDefault="00117317" w:rsidP="00117317">
      <w:pPr>
        <w:pStyle w:val="BulletedList-Level1"/>
      </w:pPr>
      <w:r w:rsidRPr="00117317">
        <w:t xml:space="preserve">352 </w:t>
      </w:r>
      <w:r w:rsidR="00DA0A24">
        <w:t>were</w:t>
      </w:r>
      <w:r w:rsidRPr="00117317">
        <w:t xml:space="preserve"> completions of a non-ongoing contract</w:t>
      </w:r>
    </w:p>
    <w:p w14:paraId="62479C90" w14:textId="77777777" w:rsidR="00117317" w:rsidRPr="00117317" w:rsidRDefault="00117317" w:rsidP="00117317">
      <w:pPr>
        <w:pStyle w:val="BulletedList-Level1"/>
      </w:pPr>
      <w:r w:rsidRPr="00117317">
        <w:t xml:space="preserve">57 </w:t>
      </w:r>
      <w:r w:rsidR="00DA0A24">
        <w:t>were</w:t>
      </w:r>
      <w:r w:rsidRPr="00117317">
        <w:t xml:space="preserve"> terminations by the parliamentarian due to an office restructure</w:t>
      </w:r>
    </w:p>
    <w:p w14:paraId="704E2E4E" w14:textId="77777777" w:rsidR="00117317" w:rsidRPr="00117317" w:rsidRDefault="00117317" w:rsidP="00117317">
      <w:pPr>
        <w:pStyle w:val="BulletedList-Level1"/>
      </w:pPr>
      <w:r w:rsidRPr="00117317">
        <w:t xml:space="preserve">11 </w:t>
      </w:r>
      <w:r w:rsidR="00DA0A24">
        <w:t>were</w:t>
      </w:r>
      <w:r w:rsidRPr="00117317">
        <w:t xml:space="preserve"> terminations by the parliamentarian on the basis of misconduct or performance issues</w:t>
      </w:r>
    </w:p>
    <w:p w14:paraId="0253590E" w14:textId="77777777" w:rsidR="00117317" w:rsidRPr="00117317" w:rsidRDefault="00117317" w:rsidP="00117317">
      <w:pPr>
        <w:pStyle w:val="BulletedList-Level1"/>
      </w:pPr>
      <w:r w:rsidRPr="00117317">
        <w:t>96</w:t>
      </w:r>
      <w:r w:rsidR="00DA0A24">
        <w:t xml:space="preserve"> were</w:t>
      </w:r>
      <w:r w:rsidRPr="00117317">
        <w:t xml:space="preserve"> employees who returned to the APS</w:t>
      </w:r>
    </w:p>
    <w:p w14:paraId="528C2528" w14:textId="77777777" w:rsidR="00117317" w:rsidRPr="00117317" w:rsidRDefault="00117317" w:rsidP="00117317">
      <w:pPr>
        <w:pStyle w:val="BulletedList-Level1"/>
      </w:pPr>
      <w:r w:rsidRPr="00117317">
        <w:t xml:space="preserve">148 </w:t>
      </w:r>
      <w:r w:rsidR="00DA0A24">
        <w:t>could not</w:t>
      </w:r>
      <w:r w:rsidRPr="00117317">
        <w:t xml:space="preserve"> be categorised</w:t>
      </w:r>
      <w:r w:rsidR="00081438">
        <w:t xml:space="preserve"> in time for completion of this </w:t>
      </w:r>
      <w:r w:rsidR="00337385">
        <w:t>R</w:t>
      </w:r>
      <w:r w:rsidR="00081438">
        <w:t>eview</w:t>
      </w:r>
      <w:r w:rsidRPr="00117317">
        <w:t>.</w:t>
      </w:r>
    </w:p>
    <w:p w14:paraId="657A5CC7" w14:textId="10B7A600" w:rsidR="00117317" w:rsidRDefault="00142173" w:rsidP="00117317">
      <w:r w:rsidRPr="00142173">
        <w:rPr>
          <w:i/>
        </w:rPr>
        <w:t>Set the Standard</w:t>
      </w:r>
      <w:r w:rsidR="00117317">
        <w:t xml:space="preserve"> made three recommendations </w:t>
      </w:r>
      <w:r w:rsidR="00117317" w:rsidRPr="001D5A21">
        <w:t xml:space="preserve">in relation to </w:t>
      </w:r>
      <w:r w:rsidR="00117317">
        <w:t xml:space="preserve">the termination of MoP(S) Act </w:t>
      </w:r>
      <w:r w:rsidR="002751A5">
        <w:t>employees</w:t>
      </w:r>
      <w:r w:rsidR="003A5368">
        <w:t>,</w:t>
      </w:r>
      <w:r w:rsidR="00117317">
        <w:rPr>
          <w:rStyle w:val="FootnoteReference"/>
        </w:rPr>
        <w:footnoteReference w:id="288"/>
      </w:r>
      <w:r w:rsidR="00117317">
        <w:t xml:space="preserve"> two of which propose the OPSC provide forms of support (guidance materials, advice on </w:t>
      </w:r>
      <w:r w:rsidR="00117317" w:rsidRPr="001D5A21">
        <w:t>processes</w:t>
      </w:r>
      <w:r w:rsidR="00117317">
        <w:t xml:space="preserve"> and rectification)</w:t>
      </w:r>
      <w:r w:rsidR="00117317" w:rsidRPr="001D5A21">
        <w:t xml:space="preserve"> in relation to termination of employment</w:t>
      </w:r>
      <w:r w:rsidR="003A5368">
        <w:t>.</w:t>
      </w:r>
      <w:r w:rsidR="00117317">
        <w:rPr>
          <w:rStyle w:val="FootnoteReference"/>
        </w:rPr>
        <w:footnoteReference w:id="289"/>
      </w:r>
      <w:r w:rsidR="00117317">
        <w:t xml:space="preserve"> The third recommendation led to the </w:t>
      </w:r>
      <w:r w:rsidR="00117317" w:rsidRPr="00117317">
        <w:t>PWR Act</w:t>
      </w:r>
      <w:r w:rsidR="00891B03">
        <w:t>’s enactment</w:t>
      </w:r>
      <w:r w:rsidR="00117317" w:rsidRPr="006028F3">
        <w:t xml:space="preserve"> in February 2022</w:t>
      </w:r>
      <w:r w:rsidR="00117317">
        <w:t xml:space="preserve">, </w:t>
      </w:r>
      <w:r w:rsidR="003619B1">
        <w:t xml:space="preserve">which </w:t>
      </w:r>
      <w:r w:rsidR="00117317">
        <w:t xml:space="preserve">introduced a requirement for termination notices to specify the grounds for termination and made it clear </w:t>
      </w:r>
      <w:r w:rsidR="00FA3F48">
        <w:t xml:space="preserve">that </w:t>
      </w:r>
      <w:r w:rsidR="00117317">
        <w:t>parliamentarians and their offices are bound by anti</w:t>
      </w:r>
      <w:r w:rsidR="007D4774">
        <w:noBreakHyphen/>
      </w:r>
      <w:r w:rsidR="00117317">
        <w:t>discrimination Acts</w:t>
      </w:r>
      <w:r w:rsidR="003A5368">
        <w:t>,</w:t>
      </w:r>
      <w:r w:rsidR="00117317">
        <w:rPr>
          <w:rStyle w:val="FootnoteReference"/>
        </w:rPr>
        <w:footnoteReference w:id="290"/>
      </w:r>
      <w:r w:rsidR="00117317">
        <w:t xml:space="preserve"> the </w:t>
      </w:r>
      <w:r w:rsidR="00FA3F48">
        <w:t>FW Act</w:t>
      </w:r>
      <w:r w:rsidR="00117317">
        <w:t xml:space="preserve"> and the </w:t>
      </w:r>
      <w:r w:rsidR="00FA3F48">
        <w:t>WHS Act</w:t>
      </w:r>
      <w:r w:rsidR="00117317">
        <w:t>.</w:t>
      </w:r>
      <w:r w:rsidR="00117317">
        <w:rPr>
          <w:rStyle w:val="FootnoteReference"/>
        </w:rPr>
        <w:footnoteReference w:id="291"/>
      </w:r>
    </w:p>
    <w:p w14:paraId="224628B1" w14:textId="77777777" w:rsidR="00117317" w:rsidRDefault="00117317" w:rsidP="00117317">
      <w:r w:rsidRPr="006028F3">
        <w:t>This Review was tasked by the terms of reference to examine ‘Procedural fairness for the terms, conditions, and termination of employees’ subject to the M</w:t>
      </w:r>
      <w:r>
        <w:t>oP(S)</w:t>
      </w:r>
      <w:r w:rsidRPr="006028F3">
        <w:t xml:space="preserve"> Act.</w:t>
      </w:r>
    </w:p>
    <w:p w14:paraId="7893E570" w14:textId="77777777" w:rsidR="00117317" w:rsidRDefault="00117317" w:rsidP="00117317"/>
    <w:p w14:paraId="5CD60367" w14:textId="77777777" w:rsidR="00117317" w:rsidRDefault="00117317" w:rsidP="00117317">
      <w:pPr>
        <w:pStyle w:val="Heading2"/>
      </w:pPr>
      <w:bookmarkStart w:id="6664" w:name="_Toc114230906"/>
      <w:bookmarkStart w:id="6665" w:name="_Toc114233611"/>
      <w:bookmarkStart w:id="6666" w:name="_Toc114233683"/>
      <w:bookmarkStart w:id="6667" w:name="_Toc114240640"/>
      <w:bookmarkStart w:id="6668" w:name="_Toc114240714"/>
      <w:bookmarkStart w:id="6669" w:name="_Toc114241058"/>
      <w:bookmarkStart w:id="6670" w:name="_Toc114494079"/>
      <w:bookmarkStart w:id="6671" w:name="_Toc114500330"/>
      <w:bookmarkStart w:id="6672" w:name="_Toc114500405"/>
      <w:bookmarkStart w:id="6673" w:name="_Toc114518678"/>
      <w:bookmarkStart w:id="6674" w:name="_Toc114520350"/>
      <w:bookmarkStart w:id="6675" w:name="_Toc114520759"/>
      <w:bookmarkStart w:id="6676" w:name="_Toc114565787"/>
      <w:bookmarkStart w:id="6677" w:name="_Toc114566768"/>
      <w:bookmarkStart w:id="6678" w:name="_Toc114566993"/>
      <w:bookmarkStart w:id="6679" w:name="_Toc114566917"/>
      <w:bookmarkStart w:id="6680" w:name="_Toc114585918"/>
      <w:bookmarkStart w:id="6681" w:name="_Toc114586062"/>
      <w:bookmarkStart w:id="6682" w:name="_Toc114586134"/>
      <w:bookmarkStart w:id="6683" w:name="_Toc114601274"/>
      <w:bookmarkStart w:id="6684" w:name="_Toc114657315"/>
      <w:bookmarkStart w:id="6685" w:name="_Toc114659777"/>
      <w:bookmarkStart w:id="6686" w:name="_Toc114662762"/>
      <w:bookmarkStart w:id="6687" w:name="_Toc114665145"/>
      <w:bookmarkStart w:id="6688" w:name="_Toc114672453"/>
      <w:bookmarkStart w:id="6689" w:name="_Toc114672665"/>
      <w:bookmarkStart w:id="6690" w:name="_Toc114673220"/>
      <w:bookmarkStart w:id="6691" w:name="_Toc114673806"/>
      <w:bookmarkStart w:id="6692" w:name="_Toc114674331"/>
      <w:bookmarkStart w:id="6693" w:name="_Toc114687504"/>
      <w:bookmarkStart w:id="6694" w:name="_Toc114689968"/>
      <w:bookmarkStart w:id="6695" w:name="_Toc114731831"/>
      <w:bookmarkStart w:id="6696" w:name="_Toc114733596"/>
      <w:bookmarkStart w:id="6697" w:name="_Toc114735537"/>
      <w:bookmarkStart w:id="6698" w:name="_Toc114755865"/>
      <w:bookmarkStart w:id="6699" w:name="_Toc114757170"/>
      <w:bookmarkStart w:id="6700" w:name="_Toc114757454"/>
      <w:bookmarkStart w:id="6701" w:name="_Toc114757556"/>
      <w:bookmarkStart w:id="6702" w:name="_Toc114758229"/>
      <w:bookmarkStart w:id="6703" w:name="_Toc114824399"/>
      <w:bookmarkStart w:id="6704" w:name="_Toc114829475"/>
      <w:bookmarkStart w:id="6705" w:name="_Toc114829839"/>
      <w:bookmarkStart w:id="6706" w:name="_Toc114829983"/>
      <w:bookmarkStart w:id="6707" w:name="_Toc115099062"/>
      <w:bookmarkStart w:id="6708" w:name="_Toc115099134"/>
      <w:bookmarkStart w:id="6709" w:name="_Toc115101711"/>
      <w:bookmarkStart w:id="6710" w:name="_Toc115102556"/>
      <w:bookmarkStart w:id="6711" w:name="_Toc115105529"/>
      <w:bookmarkStart w:id="6712" w:name="_Toc115110390"/>
      <w:bookmarkStart w:id="6713" w:name="_Toc115110517"/>
      <w:bookmarkStart w:id="6714" w:name="_Toc115121635"/>
      <w:bookmarkStart w:id="6715" w:name="_Toc115122005"/>
      <w:bookmarkStart w:id="6716" w:name="_Toc115123485"/>
      <w:bookmarkStart w:id="6717" w:name="_Toc115123733"/>
      <w:bookmarkStart w:id="6718" w:name="_Toc115126865"/>
      <w:bookmarkStart w:id="6719" w:name="_Toc115185500"/>
      <w:bookmarkStart w:id="6720" w:name="_Toc115186127"/>
      <w:bookmarkStart w:id="6721" w:name="_Toc115189285"/>
      <w:bookmarkStart w:id="6722" w:name="_Toc115194258"/>
      <w:bookmarkStart w:id="6723" w:name="_Toc115194995"/>
      <w:bookmarkStart w:id="6724" w:name="_Toc115196405"/>
      <w:bookmarkStart w:id="6725" w:name="_Toc115198906"/>
      <w:bookmarkStart w:id="6726" w:name="_Toc115208921"/>
      <w:bookmarkStart w:id="6727" w:name="_Toc115209057"/>
      <w:bookmarkStart w:id="6728" w:name="_Toc115210388"/>
      <w:bookmarkStart w:id="6729" w:name="_Toc115212613"/>
      <w:bookmarkStart w:id="6730" w:name="_Toc115213253"/>
      <w:bookmarkStart w:id="6731" w:name="_Toc115216751"/>
      <w:bookmarkStart w:id="6732" w:name="_Toc115270442"/>
      <w:bookmarkStart w:id="6733" w:name="_Toc115271385"/>
      <w:bookmarkStart w:id="6734" w:name="_Toc115272302"/>
      <w:bookmarkStart w:id="6735" w:name="_Toc115273472"/>
      <w:bookmarkStart w:id="6736" w:name="_Toc115273400"/>
      <w:bookmarkStart w:id="6737" w:name="_Toc115274653"/>
      <w:bookmarkStart w:id="6738" w:name="_Toc115274879"/>
      <w:bookmarkStart w:id="6739" w:name="_Toc115275236"/>
      <w:bookmarkStart w:id="6740" w:name="_Toc115275379"/>
      <w:bookmarkStart w:id="6741" w:name="_Toc115274216"/>
      <w:bookmarkStart w:id="6742" w:name="_Toc115274517"/>
      <w:bookmarkStart w:id="6743" w:name="_Toc115274585"/>
      <w:bookmarkStart w:id="6744" w:name="_Toc115274743"/>
      <w:bookmarkStart w:id="6745" w:name="_Toc115277477"/>
      <w:bookmarkStart w:id="6746" w:name="_Toc115277681"/>
      <w:bookmarkStart w:id="6747" w:name="_Toc115278570"/>
      <w:bookmarkStart w:id="6748" w:name="_Toc115278650"/>
      <w:bookmarkStart w:id="6749" w:name="_Toc115282320"/>
      <w:bookmarkStart w:id="6750" w:name="_Toc115284773"/>
      <w:bookmarkStart w:id="6751" w:name="_Toc115286865"/>
      <w:bookmarkStart w:id="6752" w:name="_Toc115294799"/>
      <w:bookmarkStart w:id="6753" w:name="_Toc115296379"/>
      <w:bookmarkStart w:id="6754" w:name="_Toc115308565"/>
      <w:bookmarkStart w:id="6755" w:name="_Toc115311217"/>
      <w:bookmarkStart w:id="6756" w:name="_Toc115312697"/>
      <w:bookmarkStart w:id="6757" w:name="_Toc115343871"/>
      <w:bookmarkStart w:id="6758" w:name="_Toc115348309"/>
      <w:bookmarkStart w:id="6759" w:name="_Toc115350407"/>
      <w:bookmarkStart w:id="6760" w:name="_Toc115353495"/>
      <w:bookmarkStart w:id="6761" w:name="_Toc115359526"/>
      <w:bookmarkStart w:id="6762" w:name="_Toc115361930"/>
      <w:bookmarkStart w:id="6763" w:name="_Toc115364323"/>
      <w:bookmarkStart w:id="6764" w:name="_Toc115365417"/>
      <w:bookmarkStart w:id="6765" w:name="_Toc115365757"/>
      <w:bookmarkStart w:id="6766" w:name="_Toc115366221"/>
      <w:bookmarkStart w:id="6767" w:name="_Toc115368671"/>
      <w:bookmarkStart w:id="6768" w:name="_Toc115370111"/>
      <w:bookmarkStart w:id="6769" w:name="_Toc115370845"/>
      <w:bookmarkStart w:id="6770" w:name="_Toc115374417"/>
      <w:bookmarkStart w:id="6771" w:name="_Toc115378756"/>
      <w:bookmarkStart w:id="6772" w:name="_Toc115380988"/>
      <w:bookmarkStart w:id="6773" w:name="_Toc115384140"/>
      <w:bookmarkStart w:id="6774" w:name="_Toc115387369"/>
      <w:bookmarkStart w:id="6775" w:name="_Toc115388835"/>
      <w:bookmarkStart w:id="6776" w:name="_Toc115431473"/>
      <w:bookmarkStart w:id="6777" w:name="_Toc115432851"/>
      <w:bookmarkStart w:id="6778" w:name="_Toc115434422"/>
      <w:bookmarkStart w:id="6779" w:name="_Toc115434521"/>
      <w:bookmarkStart w:id="6780" w:name="_Toc115434590"/>
      <w:bookmarkStart w:id="6781" w:name="_Toc115434659"/>
      <w:bookmarkStart w:id="6782" w:name="_Toc115442826"/>
      <w:bookmarkStart w:id="6783" w:name="_Toc115446362"/>
      <w:bookmarkStart w:id="6784" w:name="_Toc115448069"/>
      <w:bookmarkStart w:id="6785" w:name="_Toc115449461"/>
      <w:bookmarkStart w:id="6786" w:name="_Toc115452481"/>
      <w:bookmarkStart w:id="6787" w:name="_Toc115455298"/>
      <w:bookmarkStart w:id="6788" w:name="_Toc115455364"/>
      <w:bookmarkStart w:id="6789" w:name="_Toc115457314"/>
      <w:bookmarkStart w:id="6790" w:name="_Toc115458150"/>
      <w:bookmarkStart w:id="6791" w:name="_Toc115948178"/>
      <w:bookmarkStart w:id="6792" w:name="_Toc115948625"/>
      <w:bookmarkStart w:id="6793" w:name="_Toc104212795"/>
      <w:r>
        <w:t>6.3 Termination of employment by parliamentarians</w:t>
      </w:r>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r w:rsidDel="00E67E88">
        <w:t xml:space="preserve"> </w:t>
      </w:r>
    </w:p>
    <w:p w14:paraId="194D813A" w14:textId="77777777" w:rsidR="00117317" w:rsidRDefault="00117317" w:rsidP="00117317">
      <w:r>
        <w:t xml:space="preserve">Key themes raised in the </w:t>
      </w:r>
      <w:r w:rsidR="00F23879">
        <w:t xml:space="preserve">Review </w:t>
      </w:r>
      <w:r>
        <w:t xml:space="preserve">include whether and in what circumstances parliamentarians should be able to terminate the employment of MoP(S) Act </w:t>
      </w:r>
      <w:r w:rsidR="002751A5">
        <w:t>employees</w:t>
      </w:r>
      <w:r>
        <w:t>.</w:t>
      </w:r>
    </w:p>
    <w:p w14:paraId="4D635CBF" w14:textId="5924E144" w:rsidR="00117317" w:rsidRDefault="00117317" w:rsidP="00117317">
      <w:r w:rsidRPr="006028F3">
        <w:t xml:space="preserve">The main issue raised by </w:t>
      </w:r>
      <w:r w:rsidR="00B64033">
        <w:t>contributors</w:t>
      </w:r>
      <w:r w:rsidRPr="006028F3">
        <w:t xml:space="preserve"> </w:t>
      </w:r>
      <w:r w:rsidR="00DA0C3F">
        <w:t xml:space="preserve">about </w:t>
      </w:r>
      <w:r w:rsidRPr="006028F3">
        <w:t xml:space="preserve">termination </w:t>
      </w:r>
      <w:r w:rsidR="00DA0C3F">
        <w:t>i</w:t>
      </w:r>
      <w:r w:rsidRPr="006028F3">
        <w:t xml:space="preserve">s that the parliamentarian’s power to terminate employees </w:t>
      </w:r>
      <w:r w:rsidR="00DA0C3F">
        <w:t>i</w:t>
      </w:r>
      <w:r w:rsidRPr="006028F3">
        <w:t xml:space="preserve">s perceived to be </w:t>
      </w:r>
      <w:r w:rsidR="00891B03">
        <w:t>too easy</w:t>
      </w:r>
      <w:r w:rsidRPr="006028F3">
        <w:t xml:space="preserve"> and </w:t>
      </w:r>
      <w:r w:rsidR="00891B03">
        <w:t>lacking procedural fairness</w:t>
      </w:r>
      <w:r w:rsidR="00DA0C3F">
        <w:t>.</w:t>
      </w:r>
      <w:r w:rsidRPr="006028F3">
        <w:t xml:space="preserve"> This, t</w:t>
      </w:r>
      <w:r>
        <w:t>he Review was told, led to employees</w:t>
      </w:r>
      <w:r w:rsidRPr="006028F3">
        <w:t xml:space="preserve"> being concerned they could be terminated </w:t>
      </w:r>
      <w:r w:rsidR="00BD13A6">
        <w:t xml:space="preserve">capriciously, </w:t>
      </w:r>
      <w:r w:rsidRPr="006028F3">
        <w:t>for any reason and without notice</w:t>
      </w:r>
      <w:r>
        <w:t>. For some</w:t>
      </w:r>
      <w:r w:rsidR="00D83614">
        <w:t>,</w:t>
      </w:r>
      <w:r>
        <w:t xml:space="preserve"> this </w:t>
      </w:r>
      <w:r w:rsidRPr="006028F3">
        <w:t xml:space="preserve">increased work-related </w:t>
      </w:r>
      <w:r>
        <w:t xml:space="preserve">stress, feelings of unease </w:t>
      </w:r>
      <w:r w:rsidRPr="006028F3">
        <w:t>and</w:t>
      </w:r>
      <w:r>
        <w:t xml:space="preserve"> a reluctance to complain about working conditions.</w:t>
      </w:r>
    </w:p>
    <w:p w14:paraId="77E9DA95" w14:textId="18FD7921" w:rsidR="00117317" w:rsidRDefault="00117317" w:rsidP="00117317">
      <w:pPr>
        <w:pStyle w:val="NumberedList-Level1"/>
        <w:ind w:left="0" w:firstLine="0"/>
      </w:pPr>
      <w:r>
        <w:t xml:space="preserve">Many </w:t>
      </w:r>
      <w:r w:rsidR="002E2398">
        <w:t>R</w:t>
      </w:r>
      <w:r>
        <w:t xml:space="preserve">eview </w:t>
      </w:r>
      <w:r w:rsidR="00DA0C3F">
        <w:t>contributors</w:t>
      </w:r>
      <w:r>
        <w:t xml:space="preserve">, including some who expressed the concerns above, also told us parliamentarians should retain the power to </w:t>
      </w:r>
      <w:r w:rsidR="00B26515">
        <w:t>select and terminate</w:t>
      </w:r>
      <w:r>
        <w:t xml:space="preserve"> </w:t>
      </w:r>
      <w:r w:rsidR="002751A5">
        <w:t>employees</w:t>
      </w:r>
      <w:r>
        <w:t>. In particular, they considered parliamentarians needed powers to act quickly to remove an employee from their workplace in certain situations, such as where employees are alleged to have been involved in serious misconduct.</w:t>
      </w:r>
    </w:p>
    <w:p w14:paraId="27EC9CF1" w14:textId="77777777" w:rsidR="00117317" w:rsidRDefault="00117317" w:rsidP="00117317"/>
    <w:p w14:paraId="3B4D88F1" w14:textId="77777777" w:rsidR="00117317" w:rsidRPr="00E92D41" w:rsidRDefault="00117317" w:rsidP="00051BDA">
      <w:pPr>
        <w:pStyle w:val="Heading3"/>
      </w:pPr>
      <w:r>
        <w:t>6</w:t>
      </w:r>
      <w:r w:rsidRPr="00E92D41">
        <w:t>.3.1 Current situation</w:t>
      </w:r>
    </w:p>
    <w:p w14:paraId="288B52A7" w14:textId="45F92798" w:rsidR="00117317" w:rsidRDefault="00117317" w:rsidP="0073222E">
      <w:r w:rsidRPr="0073222E">
        <w:t xml:space="preserve">As set out </w:t>
      </w:r>
      <w:r w:rsidR="00DA3D80" w:rsidRPr="0073222E">
        <w:t xml:space="preserve">in Chapter </w:t>
      </w:r>
      <w:r w:rsidR="00832E58" w:rsidRPr="0073222E">
        <w:t>3</w:t>
      </w:r>
      <w:r w:rsidR="00DA3D80" w:rsidRPr="0073222E">
        <w:t>,</w:t>
      </w:r>
      <w:r w:rsidRPr="0073222E">
        <w:t xml:space="preserve"> parliamentarians currently have </w:t>
      </w:r>
      <w:r w:rsidR="008F4801">
        <w:t xml:space="preserve">the </w:t>
      </w:r>
      <w:r w:rsidRPr="0073222E">
        <w:t xml:space="preserve">power to terminate </w:t>
      </w:r>
      <w:r w:rsidR="00C03CCB" w:rsidRPr="0073222E">
        <w:t xml:space="preserve">the employment of </w:t>
      </w:r>
      <w:r w:rsidR="00B26515" w:rsidRPr="0073222E">
        <w:t>MoP(S) </w:t>
      </w:r>
      <w:r w:rsidR="00D44500" w:rsidRPr="0073222E">
        <w:t xml:space="preserve">Act </w:t>
      </w:r>
      <w:r w:rsidR="00C03CCB" w:rsidRPr="0073222E">
        <w:t>employees</w:t>
      </w:r>
      <w:r w:rsidRPr="0073222E">
        <w:t xml:space="preserve"> they employ on behalf of the Commonwealth. The relevant provisions are:</w:t>
      </w:r>
    </w:p>
    <w:p w14:paraId="03EEA6FD" w14:textId="16F84C2E" w:rsidR="00117317" w:rsidRPr="00117317" w:rsidRDefault="00D44500" w:rsidP="00117317">
      <w:pPr>
        <w:pStyle w:val="BulletedList-Level1"/>
      </w:pPr>
      <w:r>
        <w:t>s</w:t>
      </w:r>
      <w:r w:rsidR="00141813" w:rsidRPr="00117317">
        <w:t>ection</w:t>
      </w:r>
      <w:r w:rsidR="00117317" w:rsidRPr="00117317">
        <w:t xml:space="preserve"> 16, which provides for the termination of </w:t>
      </w:r>
      <w:r>
        <w:t>employment</w:t>
      </w:r>
      <w:r w:rsidR="00117317" w:rsidRPr="00117317">
        <w:t xml:space="preserve"> </w:t>
      </w:r>
      <w:r w:rsidR="00C03CCB">
        <w:t xml:space="preserve">of MoP(S) Act employees </w:t>
      </w:r>
      <w:r w:rsidR="00B26515">
        <w:t>by office</w:t>
      </w:r>
      <w:r w:rsidR="00B26515">
        <w:noBreakHyphen/>
      </w:r>
      <w:r w:rsidR="002751A5">
        <w:t>holders</w:t>
      </w:r>
      <w:r w:rsidR="00117317" w:rsidRPr="00117317">
        <w:t xml:space="preserve"> under Part III </w:t>
      </w:r>
    </w:p>
    <w:p w14:paraId="7588F4F9" w14:textId="77777777" w:rsidR="00117317" w:rsidRPr="00117317" w:rsidRDefault="00117317" w:rsidP="00117317">
      <w:pPr>
        <w:pStyle w:val="BulletedList-Level1"/>
      </w:pPr>
      <w:r w:rsidRPr="00117317">
        <w:t xml:space="preserve">section 23, which provides for the termination of </w:t>
      </w:r>
      <w:r w:rsidR="00D44500">
        <w:t>employment</w:t>
      </w:r>
      <w:r w:rsidRPr="00117317">
        <w:t xml:space="preserve"> </w:t>
      </w:r>
      <w:r w:rsidR="00C03CCB">
        <w:t xml:space="preserve">of MoP(S) Act employees </w:t>
      </w:r>
      <w:r w:rsidRPr="00117317">
        <w:t>by se</w:t>
      </w:r>
      <w:r w:rsidR="00D44500">
        <w:t>nators or members under Part IV.</w:t>
      </w:r>
    </w:p>
    <w:p w14:paraId="222AF616" w14:textId="72886B29" w:rsidR="00117317" w:rsidRDefault="00117317" w:rsidP="00117317">
      <w:r>
        <w:t xml:space="preserve">No </w:t>
      </w:r>
      <w:r w:rsidRPr="00FA1608">
        <w:t>other Common</w:t>
      </w:r>
      <w:r>
        <w:t>wealth entities or offices (for example,</w:t>
      </w:r>
      <w:r w:rsidRPr="00FA1608">
        <w:t xml:space="preserve"> Finance or the Presiding Offic</w:t>
      </w:r>
      <w:r>
        <w:t xml:space="preserve">ers) can terminate the employment of MoP(S) </w:t>
      </w:r>
      <w:r w:rsidR="000C429B">
        <w:t xml:space="preserve">Act </w:t>
      </w:r>
      <w:r w:rsidR="002751A5">
        <w:t>employees</w:t>
      </w:r>
      <w:r w:rsidRPr="00FA1608">
        <w:t xml:space="preserve">. </w:t>
      </w:r>
      <w:r>
        <w:t xml:space="preserve">Parliamentarians, however, may </w:t>
      </w:r>
      <w:r w:rsidR="00DA3D80">
        <w:t>authorise</w:t>
      </w:r>
      <w:r>
        <w:t xml:space="preserve"> </w:t>
      </w:r>
      <w:r w:rsidR="00B433E2">
        <w:t xml:space="preserve">another person, such as their </w:t>
      </w:r>
      <w:r w:rsidR="00DE2416">
        <w:t xml:space="preserve">chief </w:t>
      </w:r>
      <w:r w:rsidR="00F23879">
        <w:t xml:space="preserve">of </w:t>
      </w:r>
      <w:r w:rsidR="00DE2416">
        <w:t>staff</w:t>
      </w:r>
      <w:r w:rsidR="00B433E2">
        <w:t xml:space="preserve"> or office manager, to exercise</w:t>
      </w:r>
      <w:r>
        <w:t xml:space="preserve"> their power</w:t>
      </w:r>
      <w:r w:rsidRPr="00FA1608">
        <w:t xml:space="preserve"> </w:t>
      </w:r>
      <w:r w:rsidR="00AD5996">
        <w:t>to terminate employment.</w:t>
      </w:r>
    </w:p>
    <w:p w14:paraId="652F66C2" w14:textId="09CFE3AC" w:rsidR="00117317" w:rsidRPr="00117317" w:rsidRDefault="00117317" w:rsidP="00051BDA">
      <w:pPr>
        <w:pStyle w:val="Heading4"/>
      </w:pPr>
      <w:r w:rsidRPr="00117317">
        <w:t xml:space="preserve">Grounds for </w:t>
      </w:r>
      <w:r w:rsidR="00832E58">
        <w:t>t</w:t>
      </w:r>
      <w:r w:rsidRPr="00117317">
        <w:t>ermination</w:t>
      </w:r>
    </w:p>
    <w:p w14:paraId="6686063A" w14:textId="1D2FCC1E" w:rsidR="00117317" w:rsidRDefault="00117317" w:rsidP="00117317">
      <w:r>
        <w:t xml:space="preserve">Amendments to the MoP(S) Act made by the </w:t>
      </w:r>
      <w:r w:rsidRPr="00DC13DA">
        <w:t>PWR Act</w:t>
      </w:r>
      <w:r>
        <w:t xml:space="preserve"> require the parliamentarian to specify the ground/s for termination in any written termination notice provided to an employee.</w:t>
      </w:r>
      <w:r>
        <w:rPr>
          <w:rStyle w:val="FootnoteReference"/>
        </w:rPr>
        <w:footnoteReference w:id="292"/>
      </w:r>
      <w:r>
        <w:t xml:space="preserve"> However, neither the MoP(S) Act nor any other Act or instrument sets out a list of grounds or reasons for which parliamentarians may terminate MoP(S) </w:t>
      </w:r>
      <w:r w:rsidR="00136872">
        <w:t>Act</w:t>
      </w:r>
      <w:r>
        <w:t xml:space="preserve"> employment. There are a number of valid grounds for termination, including</w:t>
      </w:r>
      <w:r w:rsidR="00844D2F">
        <w:t>:</w:t>
      </w:r>
      <w:r>
        <w:t xml:space="preserve"> </w:t>
      </w:r>
    </w:p>
    <w:p w14:paraId="3EA9D289" w14:textId="77777777" w:rsidR="00117317" w:rsidRDefault="00DE02CA" w:rsidP="00117317">
      <w:pPr>
        <w:pStyle w:val="BulletedList-Level1"/>
      </w:pPr>
      <w:r>
        <w:t>p</w:t>
      </w:r>
      <w:r w:rsidR="00117317">
        <w:t>erformance-related issues</w:t>
      </w:r>
    </w:p>
    <w:p w14:paraId="13FEA817" w14:textId="77777777" w:rsidR="00117317" w:rsidRDefault="00DE02CA" w:rsidP="00117317">
      <w:pPr>
        <w:pStyle w:val="BulletedList-Level1"/>
      </w:pPr>
      <w:r>
        <w:t>m</w:t>
      </w:r>
      <w:r w:rsidR="00117317">
        <w:t>isconduct</w:t>
      </w:r>
    </w:p>
    <w:p w14:paraId="2B83376C" w14:textId="77777777" w:rsidR="00117317" w:rsidRDefault="00DE02CA" w:rsidP="00117317">
      <w:pPr>
        <w:pStyle w:val="BulletedList-Level1"/>
      </w:pPr>
      <w:r>
        <w:t>d</w:t>
      </w:r>
      <w:r w:rsidR="00117317">
        <w:t>angerous behaviour</w:t>
      </w:r>
    </w:p>
    <w:p w14:paraId="63F2057F" w14:textId="77777777" w:rsidR="00117317" w:rsidRDefault="00DE02CA" w:rsidP="00117317">
      <w:pPr>
        <w:pStyle w:val="BulletedList-Level1"/>
      </w:pPr>
      <w:r>
        <w:t>r</w:t>
      </w:r>
      <w:r w:rsidR="00117317">
        <w:t>efusing to follow lawful directions</w:t>
      </w:r>
    </w:p>
    <w:p w14:paraId="56C9BC1E" w14:textId="77777777" w:rsidR="00117317" w:rsidRDefault="00DE02CA" w:rsidP="00117317">
      <w:pPr>
        <w:pStyle w:val="BulletedList-Level1"/>
      </w:pPr>
      <w:r>
        <w:t>n</w:t>
      </w:r>
      <w:r w:rsidR="00117317">
        <w:t>o further requirement for the position (i.e. redundancy or retrenchment).</w:t>
      </w:r>
      <w:r w:rsidR="00117317">
        <w:rPr>
          <w:rStyle w:val="FootnoteReference"/>
        </w:rPr>
        <w:footnoteReference w:id="293"/>
      </w:r>
    </w:p>
    <w:p w14:paraId="62B63580" w14:textId="38F6F576" w:rsidR="00117317" w:rsidRDefault="004B50D0" w:rsidP="00117317">
      <w:r>
        <w:t xml:space="preserve">Summary dismissal is also available as a form of termination for MoP(S) Act employees, as provided for by the </w:t>
      </w:r>
      <w:r w:rsidR="00832E58">
        <w:t xml:space="preserve">FW Act </w:t>
      </w:r>
      <w:r>
        <w:t xml:space="preserve">and common law. </w:t>
      </w:r>
      <w:r w:rsidR="0066107F">
        <w:t>S</w:t>
      </w:r>
      <w:r w:rsidR="00117317">
        <w:t xml:space="preserve">ummary dismissal (that is, termination without either notice or payment in lieu of notice) </w:t>
      </w:r>
      <w:r w:rsidR="008D2906">
        <w:t>generally</w:t>
      </w:r>
      <w:r w:rsidR="00117317">
        <w:t xml:space="preserve"> involve</w:t>
      </w:r>
      <w:r w:rsidR="008D2906">
        <w:t>s</w:t>
      </w:r>
      <w:r w:rsidR="00117317">
        <w:t xml:space="preserve"> serious misconduct by the employee </w:t>
      </w:r>
      <w:r w:rsidR="0080387B">
        <w:t>to satisfy the requirements for summary</w:t>
      </w:r>
      <w:r w:rsidR="00117317">
        <w:t xml:space="preserve"> dismissal.</w:t>
      </w:r>
      <w:r w:rsidR="00117317">
        <w:rPr>
          <w:rStyle w:val="FootnoteReference"/>
        </w:rPr>
        <w:footnoteReference w:id="294"/>
      </w:r>
      <w:r w:rsidR="00117317">
        <w:t xml:space="preserve"> ‘Serious misconduct’ is given its ordinary meaning in the </w:t>
      </w:r>
      <w:r w:rsidR="006A7199">
        <w:t>regulations made under the</w:t>
      </w:r>
      <w:r w:rsidR="00117317">
        <w:t xml:space="preserve"> </w:t>
      </w:r>
      <w:r w:rsidR="006A7199">
        <w:t>FW Act</w:t>
      </w:r>
      <w:r w:rsidR="00D14441">
        <w:t xml:space="preserve"> (FW Regulations)</w:t>
      </w:r>
      <w:r w:rsidR="00117317">
        <w:t>, but expressly includes behaviour such as:</w:t>
      </w:r>
    </w:p>
    <w:p w14:paraId="032F6A9C" w14:textId="77777777" w:rsidR="00117317" w:rsidRDefault="00117317" w:rsidP="00971ECB">
      <w:pPr>
        <w:pStyle w:val="ListParagraph"/>
        <w:numPr>
          <w:ilvl w:val="0"/>
          <w:numId w:val="16"/>
        </w:numPr>
      </w:pPr>
      <w:r>
        <w:t>wilful or deliberate behaviour by an employee that is inconsistent with the continuation of the contract of employment</w:t>
      </w:r>
    </w:p>
    <w:p w14:paraId="4D19A6DB" w14:textId="77777777" w:rsidR="00117317" w:rsidRDefault="00E04CDC" w:rsidP="00971ECB">
      <w:pPr>
        <w:pStyle w:val="ListParagraph"/>
        <w:numPr>
          <w:ilvl w:val="0"/>
          <w:numId w:val="16"/>
        </w:numPr>
      </w:pPr>
      <w:r>
        <w:t>c</w:t>
      </w:r>
      <w:r w:rsidR="00117317">
        <w:t>onduct that causes serious and imminent risk to either the health or safety of a person or the reputation, viability or profitability of the employer and/or the employer’s business.</w:t>
      </w:r>
      <w:r w:rsidR="00117317">
        <w:rPr>
          <w:rStyle w:val="FootnoteReference"/>
        </w:rPr>
        <w:footnoteReference w:id="295"/>
      </w:r>
    </w:p>
    <w:p w14:paraId="6C2304A3" w14:textId="77777777" w:rsidR="00117317" w:rsidRDefault="00117317" w:rsidP="00117317">
      <w:r>
        <w:t xml:space="preserve">The </w:t>
      </w:r>
      <w:r w:rsidR="00D14441">
        <w:t>FW</w:t>
      </w:r>
      <w:r>
        <w:t xml:space="preserve"> Regulations also identify situations </w:t>
      </w:r>
      <w:r w:rsidR="00E04CDC">
        <w:t>in</w:t>
      </w:r>
      <w:r>
        <w:t xml:space="preserve"> the course of employment which constitute serious misconduct, including: theft, fraud, assault, sexual harassment, intoxication, or refusing to carry out a lawful and reasonable direction consistent with the employee’s contract of employment.</w:t>
      </w:r>
      <w:r>
        <w:rPr>
          <w:rStyle w:val="FootnoteReference"/>
        </w:rPr>
        <w:footnoteReference w:id="296"/>
      </w:r>
    </w:p>
    <w:p w14:paraId="1675D355" w14:textId="360B0C01" w:rsidR="00117317" w:rsidRDefault="005F09E6" w:rsidP="00117317">
      <w:r>
        <w:t>T</w:t>
      </w:r>
      <w:r w:rsidR="00117317">
        <w:t xml:space="preserve">he </w:t>
      </w:r>
      <w:r w:rsidR="00982005">
        <w:t>EA</w:t>
      </w:r>
      <w:r w:rsidR="00117317">
        <w:t xml:space="preserve"> </w:t>
      </w:r>
      <w:r w:rsidR="00292B31">
        <w:t>states</w:t>
      </w:r>
      <w:r w:rsidR="00117317">
        <w:t xml:space="preserve"> that employees guilty of ‘serious misconduct’ as defined by the FW Regulations may be terminated without notice and may not be eligible for severance benefits.</w:t>
      </w:r>
      <w:r w:rsidR="00F60A94">
        <w:t>’</w:t>
      </w:r>
      <w:r w:rsidR="00117317">
        <w:rPr>
          <w:rStyle w:val="FootnoteReference"/>
        </w:rPr>
        <w:footnoteReference w:id="297"/>
      </w:r>
    </w:p>
    <w:p w14:paraId="41392FEE" w14:textId="77777777" w:rsidR="00117317" w:rsidRPr="00DC13DA" w:rsidRDefault="00117317" w:rsidP="00051BDA">
      <w:pPr>
        <w:pStyle w:val="Heading4"/>
      </w:pPr>
      <w:r w:rsidRPr="00DC13DA">
        <w:t xml:space="preserve">Protections </w:t>
      </w:r>
    </w:p>
    <w:p w14:paraId="49F0A550" w14:textId="7CAF1BE6" w:rsidR="00D83CD8" w:rsidRDefault="00671D2A" w:rsidP="00117317">
      <w:r>
        <w:t xml:space="preserve">As employees of the Commonwealth, </w:t>
      </w:r>
      <w:r w:rsidR="00117317">
        <w:t xml:space="preserve">MoP(S) Act employees </w:t>
      </w:r>
      <w:r w:rsidR="00D83CD8">
        <w:t xml:space="preserve">are protected as </w:t>
      </w:r>
      <w:r w:rsidR="009752F8">
        <w:t>‘</w:t>
      </w:r>
      <w:r w:rsidR="00D83CD8">
        <w:t xml:space="preserve">national system </w:t>
      </w:r>
      <w:r w:rsidR="00D83CD8" w:rsidRPr="009752F8">
        <w:t>employees</w:t>
      </w:r>
      <w:r w:rsidR="009752F8">
        <w:t>’</w:t>
      </w:r>
      <w:r w:rsidR="00D83CD8">
        <w:t xml:space="preserve"> by the general protections contained in Part 3-1 of the FW Act. </w:t>
      </w:r>
      <w:r w:rsidR="0080387B">
        <w:t xml:space="preserve">Part 3-1 </w:t>
      </w:r>
      <w:r w:rsidR="00832E58">
        <w:t>set</w:t>
      </w:r>
      <w:r w:rsidR="0080387B">
        <w:t>s</w:t>
      </w:r>
      <w:r w:rsidR="009574A3">
        <w:t xml:space="preserve"> out</w:t>
      </w:r>
      <w:r w:rsidR="00D83CD8">
        <w:t xml:space="preserve"> the protections </w:t>
      </w:r>
      <w:r w:rsidR="009574A3">
        <w:t>relating to</w:t>
      </w:r>
      <w:r w:rsidR="00D83CD8">
        <w:t xml:space="preserve"> workplace rights</w:t>
      </w:r>
      <w:r w:rsidR="009574A3">
        <w:t>, engaging industrial activities,</w:t>
      </w:r>
      <w:r w:rsidR="00D83CD8">
        <w:t xml:space="preserve"> and </w:t>
      </w:r>
      <w:r w:rsidR="009574A3">
        <w:t xml:space="preserve">other </w:t>
      </w:r>
      <w:r w:rsidR="00D83CD8">
        <w:t>protection</w:t>
      </w:r>
      <w:r w:rsidR="009574A3">
        <w:t xml:space="preserve">s, including </w:t>
      </w:r>
      <w:r w:rsidR="000E6E3F">
        <w:t>from</w:t>
      </w:r>
      <w:r w:rsidR="00D83CD8">
        <w:t xml:space="preserve"> unlawful discrimination.</w:t>
      </w:r>
      <w:r w:rsidR="00117317">
        <w:rPr>
          <w:rStyle w:val="FootnoteReference"/>
        </w:rPr>
        <w:footnoteReference w:id="298"/>
      </w:r>
      <w:r w:rsidR="00117317">
        <w:t xml:space="preserve"> </w:t>
      </w:r>
      <w:r w:rsidR="009574A3">
        <w:t>Most relevant to the Review, these provision</w:t>
      </w:r>
      <w:r w:rsidR="0080387B">
        <w:t>s</w:t>
      </w:r>
      <w:r w:rsidR="00D83CD8">
        <w:t xml:space="preserve"> prohibit employers from taking adverse action against </w:t>
      </w:r>
      <w:r w:rsidR="009574A3">
        <w:t>an</w:t>
      </w:r>
      <w:r w:rsidR="00D83CD8">
        <w:t xml:space="preserve"> employee because:</w:t>
      </w:r>
    </w:p>
    <w:p w14:paraId="3002BE76" w14:textId="2B2339DB" w:rsidR="00D83CD8" w:rsidRDefault="00D83CD8" w:rsidP="00D83CD8">
      <w:pPr>
        <w:pStyle w:val="BulletedList-Level1"/>
      </w:pPr>
      <w:r>
        <w:t>the employee has or has not exercised (or proposes to exercise, or not exercise) a workplace right, such as making a complaint or inquiry about their employment</w:t>
      </w:r>
      <w:r>
        <w:rPr>
          <w:rStyle w:val="FootnoteReference"/>
        </w:rPr>
        <w:footnoteReference w:id="299"/>
      </w:r>
      <w:r>
        <w:t xml:space="preserve"> and/or</w:t>
      </w:r>
    </w:p>
    <w:p w14:paraId="74518AE2" w14:textId="77777777" w:rsidR="00D83CD8" w:rsidRDefault="00D83CD8" w:rsidP="00D83CD8">
      <w:pPr>
        <w:pStyle w:val="BulletedList-Level1"/>
      </w:pPr>
      <w:r>
        <w:t>of the employee’s race, colour, sex, sexual orientation, age</w:t>
      </w:r>
      <w:r w:rsidR="00510D9A">
        <w:t>,</w:t>
      </w:r>
      <w:r>
        <w:t xml:space="preserve"> physical or mental </w:t>
      </w:r>
      <w:r w:rsidR="00510D9A">
        <w:t>disabilities</w:t>
      </w:r>
      <w:r>
        <w:t>, marital status, family or carer’s responsibilities, pregnancy, religion, political opinion, or national or social origin.</w:t>
      </w:r>
      <w:r>
        <w:rPr>
          <w:rStyle w:val="FootnoteReference"/>
        </w:rPr>
        <w:footnoteReference w:id="300"/>
      </w:r>
    </w:p>
    <w:p w14:paraId="7749EE05" w14:textId="76292726" w:rsidR="00117317" w:rsidRDefault="00D83CD8" w:rsidP="00117317">
      <w:r>
        <w:t xml:space="preserve">Part 3-2 </w:t>
      </w:r>
      <w:r w:rsidR="004442EB">
        <w:t>of the FW Act</w:t>
      </w:r>
      <w:r>
        <w:t xml:space="preserve"> covers unfair dismissal and the Fair Work Commission’s jurisdiction over such matters. </w:t>
      </w:r>
      <w:r w:rsidR="00117317">
        <w:t>Unfair dismissal is where an employee is dismissed from their position in a manner which is harsh, unjust, or unreasonable.</w:t>
      </w:r>
      <w:r w:rsidR="00117317">
        <w:rPr>
          <w:rStyle w:val="FootnoteReference"/>
        </w:rPr>
        <w:footnoteReference w:id="301"/>
      </w:r>
      <w:r w:rsidR="00117317">
        <w:t xml:space="preserve"> Unfair dismissal does not cover employees who are dismissed due to genuine redundancy.</w:t>
      </w:r>
      <w:r w:rsidR="00117317">
        <w:rPr>
          <w:rStyle w:val="FootnoteReference"/>
        </w:rPr>
        <w:footnoteReference w:id="302"/>
      </w:r>
      <w:r w:rsidR="00117317">
        <w:t xml:space="preserve"> </w:t>
      </w:r>
      <w:r>
        <w:t>The framework also does not cover unpaid workplace participants, such as interns or volunteers.</w:t>
      </w:r>
      <w:r>
        <w:rPr>
          <w:rStyle w:val="FootnoteReference"/>
        </w:rPr>
        <w:footnoteReference w:id="303"/>
      </w:r>
      <w:r w:rsidR="00117317">
        <w:t xml:space="preserve"> The concept of dismissal includes situations where an employee is forced to resign due to the ‘conduct, or a course of conduct, engaged in by his or her employer’.</w:t>
      </w:r>
      <w:r w:rsidR="00117317">
        <w:rPr>
          <w:rStyle w:val="FootnoteReference"/>
        </w:rPr>
        <w:footnoteReference w:id="304"/>
      </w:r>
    </w:p>
    <w:p w14:paraId="6A3D21A3" w14:textId="090097E7" w:rsidR="00117317" w:rsidRDefault="00DC2D4B" w:rsidP="00117317">
      <w:r>
        <w:t>MoP(S) Act employees can seek redress for unfair dismissal as set out in Part 3-2 if they ha</w:t>
      </w:r>
      <w:r w:rsidR="00B65899">
        <w:t>ve</w:t>
      </w:r>
      <w:r>
        <w:t xml:space="preserve"> worked for at least six months as a MoP(S) Act employee, or if a casual employee, they worked on a regular and systematic basis before dismissal and have a good reason to believe this would continue.</w:t>
      </w:r>
      <w:r>
        <w:rPr>
          <w:rStyle w:val="FootnoteReference"/>
        </w:rPr>
        <w:footnoteReference w:id="305"/>
      </w:r>
      <w:r>
        <w:t xml:space="preserve"> </w:t>
      </w:r>
      <w:r w:rsidR="00117317">
        <w:t>When considering unfair dismissal cases, the Fair Work Commission takes a range of factors into account, including (but not limited to):</w:t>
      </w:r>
    </w:p>
    <w:p w14:paraId="464052BD" w14:textId="77777777" w:rsidR="00117317" w:rsidRDefault="007D2C43" w:rsidP="00117317">
      <w:pPr>
        <w:pStyle w:val="BulletedList-Level1"/>
      </w:pPr>
      <w:r>
        <w:t>w</w:t>
      </w:r>
      <w:r w:rsidR="00117317">
        <w:t>hether there was a valid reason for the termination regarding the employee’s capacity or conduct (including any potential threats to the safety and welfare of others in the workplace)</w:t>
      </w:r>
    </w:p>
    <w:p w14:paraId="2CB30569" w14:textId="77777777" w:rsidR="00117317" w:rsidRDefault="007D2C43" w:rsidP="00117317">
      <w:pPr>
        <w:pStyle w:val="BulletedList-Level1"/>
      </w:pPr>
      <w:r>
        <w:t>w</w:t>
      </w:r>
      <w:r w:rsidR="00117317">
        <w:t>hether the employee was told the reason for the termination</w:t>
      </w:r>
    </w:p>
    <w:p w14:paraId="6AE3646F" w14:textId="77777777" w:rsidR="00117317" w:rsidRDefault="00117317" w:rsidP="00117317">
      <w:pPr>
        <w:pStyle w:val="BulletedList-Level1"/>
      </w:pPr>
      <w:r>
        <w:t>whether the employee was given the opportunity to respond to the reason for termination, or their capacity or conduct</w:t>
      </w:r>
    </w:p>
    <w:p w14:paraId="3090E79E" w14:textId="77777777" w:rsidR="00117317" w:rsidRDefault="007D2C43" w:rsidP="00117317">
      <w:pPr>
        <w:pStyle w:val="BulletedList-Level1"/>
      </w:pPr>
      <w:r>
        <w:t>w</w:t>
      </w:r>
      <w:r w:rsidR="00117317">
        <w:t>hether the employee was unreasonably refused the ability to have a support person present at any discussions relating to dismissal</w:t>
      </w:r>
    </w:p>
    <w:p w14:paraId="42126473" w14:textId="77777777" w:rsidR="00117317" w:rsidRDefault="007D2C43" w:rsidP="00117317">
      <w:pPr>
        <w:pStyle w:val="BulletedList-Level1"/>
      </w:pPr>
      <w:r>
        <w:t>w</w:t>
      </w:r>
      <w:r w:rsidR="00117317">
        <w:t>hether a person dismissed due to performance issues had been warned prior to dismissa</w:t>
      </w:r>
      <w:r w:rsidR="008445EF">
        <w:t>l</w:t>
      </w:r>
    </w:p>
    <w:p w14:paraId="56A477A0" w14:textId="77777777" w:rsidR="00117317" w:rsidRDefault="007D2C43" w:rsidP="00117317">
      <w:pPr>
        <w:pStyle w:val="BulletedList-Level1"/>
      </w:pPr>
      <w:r>
        <w:t>w</w:t>
      </w:r>
      <w:r w:rsidR="00117317">
        <w:t>hether the notice was provided in ‘explicit, plain and clear terms’.</w:t>
      </w:r>
      <w:r w:rsidR="00117317">
        <w:rPr>
          <w:rStyle w:val="FootnoteReference"/>
        </w:rPr>
        <w:footnoteReference w:id="306"/>
      </w:r>
    </w:p>
    <w:p w14:paraId="26BDAC8F" w14:textId="5731E658" w:rsidR="008A5136" w:rsidRDefault="008A5136" w:rsidP="00117317">
      <w:pPr>
        <w:rPr>
          <w:b/>
        </w:rPr>
      </w:pPr>
      <w:r>
        <w:t xml:space="preserve">MoP(S) </w:t>
      </w:r>
      <w:r w:rsidR="000C429B">
        <w:t>Act</w:t>
      </w:r>
      <w:r>
        <w:t xml:space="preserve"> employees may also make a complaint to the Australian Human Rights Commission about discrimination or sexual harassment in employment under Commonwealth anti-discrimination laws, including where discrimination is considered to lead to termination of employment. If the matter is not resolve</w:t>
      </w:r>
      <w:r w:rsidR="009574A3">
        <w:t>d</w:t>
      </w:r>
      <w:r>
        <w:t xml:space="preserve"> through the Commission’s processes, the person making the complaint can take the matter to the Federal Court of Australia.</w:t>
      </w:r>
    </w:p>
    <w:p w14:paraId="7E8E2BE2" w14:textId="77777777" w:rsidR="00117317" w:rsidRPr="00DC13DA" w:rsidRDefault="00117317" w:rsidP="00051BDA">
      <w:pPr>
        <w:pStyle w:val="Heading4"/>
      </w:pPr>
      <w:r w:rsidRPr="00DC13DA">
        <w:t>Entitlements</w:t>
      </w:r>
    </w:p>
    <w:p w14:paraId="2F36797C" w14:textId="5F49E9A9" w:rsidR="00117317" w:rsidRDefault="00117317" w:rsidP="00117317">
      <w:r>
        <w:t xml:space="preserve">The </w:t>
      </w:r>
      <w:r w:rsidR="00E1036D">
        <w:t>EA</w:t>
      </w:r>
      <w:r>
        <w:t xml:space="preserve"> contains details about aspects of the termination process</w:t>
      </w:r>
      <w:r w:rsidR="009237B6">
        <w:t xml:space="preserve"> for MoP(S) </w:t>
      </w:r>
      <w:r w:rsidR="000C429B">
        <w:t>Act</w:t>
      </w:r>
      <w:r w:rsidR="009237B6">
        <w:t xml:space="preserve"> employees</w:t>
      </w:r>
      <w:r>
        <w:t>. These include notice of termination requirements (including payment in lieu of notice) and severance benefits. Notice of termination and payment in lieu of notice requirements generally reflect</w:t>
      </w:r>
      <w:r w:rsidR="0080387B">
        <w:t xml:space="preserve"> of</w:t>
      </w:r>
      <w:r>
        <w:t xml:space="preserve"> the minimum standards for notice currently contained in the FW</w:t>
      </w:r>
      <w:r w:rsidR="00826CBF">
        <w:t> </w:t>
      </w:r>
      <w:r>
        <w:t>A</w:t>
      </w:r>
      <w:r w:rsidR="00826CBF">
        <w:t>ct</w:t>
      </w:r>
      <w:r>
        <w:t>.</w:t>
      </w:r>
      <w:r>
        <w:rPr>
          <w:rStyle w:val="FootnoteReference"/>
        </w:rPr>
        <w:footnoteReference w:id="307"/>
      </w:r>
    </w:p>
    <w:p w14:paraId="57DF519A" w14:textId="77777777" w:rsidR="00117317" w:rsidRPr="00DC13DA" w:rsidRDefault="00117317" w:rsidP="00051BDA">
      <w:pPr>
        <w:pStyle w:val="Heading4"/>
      </w:pPr>
      <w:r w:rsidRPr="00DC13DA">
        <w:t xml:space="preserve">What we heard </w:t>
      </w:r>
    </w:p>
    <w:p w14:paraId="2D4A6CB2" w14:textId="77777777" w:rsidR="00117317" w:rsidRPr="00DC13DA" w:rsidRDefault="00117317" w:rsidP="0055271A">
      <w:pPr>
        <w:rPr>
          <w:i/>
        </w:rPr>
      </w:pPr>
      <w:r w:rsidRPr="00342C5B">
        <w:rPr>
          <w:i/>
        </w:rPr>
        <w:t xml:space="preserve">Parliamentarians’ discretion to terminate </w:t>
      </w:r>
      <w:r w:rsidR="002751A5">
        <w:rPr>
          <w:i/>
        </w:rPr>
        <w:t>employees</w:t>
      </w:r>
    </w:p>
    <w:p w14:paraId="1B38A3C9" w14:textId="36C9F221" w:rsidR="00117317" w:rsidRDefault="00856212" w:rsidP="00117317">
      <w:r w:rsidRPr="00E54C5A">
        <w:t xml:space="preserve">The </w:t>
      </w:r>
      <w:r w:rsidR="00117317" w:rsidRPr="00E54C5A">
        <w:t xml:space="preserve">Review </w:t>
      </w:r>
      <w:r w:rsidRPr="00E54C5A">
        <w:t xml:space="preserve">heard there is a widespread perception by those in </w:t>
      </w:r>
      <w:r w:rsidR="00117317" w:rsidRPr="00E54C5A">
        <w:t xml:space="preserve">the </w:t>
      </w:r>
      <w:r w:rsidRPr="00E54C5A">
        <w:t xml:space="preserve">MoP(S) framework that parliamentarians can terminate </w:t>
      </w:r>
      <w:r w:rsidR="002751A5">
        <w:t xml:space="preserve">the employment of MoP(S) </w:t>
      </w:r>
      <w:r w:rsidR="000C429B">
        <w:t xml:space="preserve">Act </w:t>
      </w:r>
      <w:r w:rsidR="002751A5">
        <w:t>employees</w:t>
      </w:r>
      <w:r w:rsidRPr="00E54C5A">
        <w:t xml:space="preserve"> ‘at will</w:t>
      </w:r>
      <w:r w:rsidR="00F3547C">
        <w:t>’</w:t>
      </w:r>
      <w:r w:rsidRPr="00E54C5A">
        <w:t xml:space="preserve"> and that protections under the FW Act or anti-discrimination legislation do not apply’.</w:t>
      </w:r>
      <w:r w:rsidRPr="00E54C5A">
        <w:rPr>
          <w:rStyle w:val="FootnoteReference"/>
        </w:rPr>
        <w:footnoteReference w:id="308"/>
      </w:r>
      <w:r>
        <w:t xml:space="preserve"> </w:t>
      </w:r>
      <w:r w:rsidR="00B64033">
        <w:t>Contributors told us</w:t>
      </w:r>
      <w:r w:rsidR="00117317">
        <w:t xml:space="preserve"> it is </w:t>
      </w:r>
      <w:r w:rsidR="0080387B">
        <w:t>‘</w:t>
      </w:r>
      <w:r w:rsidR="00117317">
        <w:t>too easy</w:t>
      </w:r>
      <w:r w:rsidR="0080387B">
        <w:t>’</w:t>
      </w:r>
      <w:r w:rsidR="00117317">
        <w:t xml:space="preserve"> for parliamentarian</w:t>
      </w:r>
      <w:r w:rsidR="006A15D5">
        <w:t>s</w:t>
      </w:r>
      <w:r w:rsidR="00117317">
        <w:t xml:space="preserve"> to terminate MoP(S) Act employment in practice, and that this power is ‘held over the heads’ of MoP(S)</w:t>
      </w:r>
      <w:r w:rsidR="00012210">
        <w:t> </w:t>
      </w:r>
      <w:r w:rsidR="00117317">
        <w:t xml:space="preserve">Act employees. Some </w:t>
      </w:r>
      <w:r w:rsidR="008A5136">
        <w:t>contributors</w:t>
      </w:r>
      <w:r w:rsidR="00117317">
        <w:t xml:space="preserve"> reported:</w:t>
      </w:r>
    </w:p>
    <w:p w14:paraId="66F0158F" w14:textId="60BA86BD" w:rsidR="00117317" w:rsidRDefault="008445EF" w:rsidP="00971ECB">
      <w:pPr>
        <w:pStyle w:val="ListParagraph"/>
        <w:numPr>
          <w:ilvl w:val="0"/>
          <w:numId w:val="17"/>
        </w:numPr>
      </w:pPr>
      <w:r>
        <w:t xml:space="preserve">allegations of </w:t>
      </w:r>
      <w:r w:rsidR="00117317" w:rsidDel="00A57387">
        <w:t>p</w:t>
      </w:r>
      <w:r w:rsidR="00117317">
        <w:t xml:space="preserve">arliamentarians or senior employees habitually </w:t>
      </w:r>
      <w:r w:rsidR="00A57387">
        <w:t>threaten</w:t>
      </w:r>
      <w:r>
        <w:t>ing</w:t>
      </w:r>
      <w:r w:rsidR="00A57387">
        <w:t xml:space="preserve"> </w:t>
      </w:r>
      <w:r w:rsidR="00117317">
        <w:t xml:space="preserve">to terminate </w:t>
      </w:r>
      <w:r w:rsidR="002751A5">
        <w:t>employment</w:t>
      </w:r>
      <w:r>
        <w:t xml:space="preserve"> of junior employees </w:t>
      </w:r>
      <w:r w:rsidR="00117317">
        <w:t xml:space="preserve">for minor </w:t>
      </w:r>
      <w:r>
        <w:t xml:space="preserve">behavioural </w:t>
      </w:r>
      <w:r w:rsidR="00117317">
        <w:t>transgressions or</w:t>
      </w:r>
      <w:r w:rsidR="00A57387">
        <w:t xml:space="preserve"> </w:t>
      </w:r>
      <w:r w:rsidR="00117317">
        <w:t>performance issues</w:t>
      </w:r>
    </w:p>
    <w:p w14:paraId="2377E9FD" w14:textId="77777777" w:rsidR="00117317" w:rsidRDefault="00D74AA2" w:rsidP="00971ECB">
      <w:pPr>
        <w:pStyle w:val="ListParagraph"/>
        <w:numPr>
          <w:ilvl w:val="0"/>
          <w:numId w:val="17"/>
        </w:numPr>
      </w:pPr>
      <w:r>
        <w:t xml:space="preserve">allegations </w:t>
      </w:r>
      <w:r w:rsidR="00A57387">
        <w:t xml:space="preserve">of </w:t>
      </w:r>
      <w:r w:rsidR="00117317">
        <w:t xml:space="preserve">parliamentarians </w:t>
      </w:r>
      <w:r w:rsidR="002751A5">
        <w:t>terminating employment</w:t>
      </w:r>
      <w:r w:rsidR="00117317">
        <w:t xml:space="preserve"> for minor issue</w:t>
      </w:r>
      <w:r w:rsidR="00A57387">
        <w:t>s</w:t>
      </w:r>
      <w:r w:rsidR="00117317">
        <w:t xml:space="preserve">, </w:t>
      </w:r>
      <w:r w:rsidR="00A57387">
        <w:t xml:space="preserve">such as </w:t>
      </w:r>
      <w:r w:rsidR="00117317">
        <w:t>disagreeing with the parliamentarian, raising an issue, or refusing to comply with unreasonable demands</w:t>
      </w:r>
    </w:p>
    <w:p w14:paraId="4A585CFC" w14:textId="66185276" w:rsidR="00117317" w:rsidRDefault="008445EF" w:rsidP="00971ECB">
      <w:pPr>
        <w:pStyle w:val="ListParagraph"/>
        <w:numPr>
          <w:ilvl w:val="0"/>
          <w:numId w:val="17"/>
        </w:numPr>
      </w:pPr>
      <w:r>
        <w:t xml:space="preserve">allegations of parliamentarian terminating employment </w:t>
      </w:r>
      <w:r w:rsidR="00117317">
        <w:t xml:space="preserve">in ‘heat of the moment’ </w:t>
      </w:r>
      <w:r w:rsidR="008A5136">
        <w:t>circumstances</w:t>
      </w:r>
      <w:r w:rsidR="00117317">
        <w:t xml:space="preserve">. </w:t>
      </w:r>
    </w:p>
    <w:p w14:paraId="3AF413BA" w14:textId="1A47A844" w:rsidR="00117317" w:rsidRDefault="00117317" w:rsidP="00117317">
      <w:r>
        <w:t>Similar reports about parliamentary workplaces have been made to reviews of parliamentary workplaces at the Commonwealth and state levels</w:t>
      </w:r>
      <w:r w:rsidR="0081027A">
        <w:t xml:space="preserve">, </w:t>
      </w:r>
      <w:r w:rsidR="00667382">
        <w:t xml:space="preserve">and in </w:t>
      </w:r>
      <w:r w:rsidR="005A1508">
        <w:t>other</w:t>
      </w:r>
      <w:r w:rsidR="00667382">
        <w:t xml:space="preserve"> Westminster countries</w:t>
      </w:r>
      <w:r>
        <w:t>.</w:t>
      </w:r>
      <w:r>
        <w:rPr>
          <w:rStyle w:val="FootnoteReference"/>
        </w:rPr>
        <w:footnoteReference w:id="309"/>
      </w:r>
      <w:r>
        <w:t xml:space="preserve"> </w:t>
      </w:r>
      <w:r w:rsidR="00142173" w:rsidRPr="00142173">
        <w:rPr>
          <w:i/>
        </w:rPr>
        <w:t>Set the Standard</w:t>
      </w:r>
      <w:r>
        <w:t xml:space="preserve"> in particular noted a perception among MoP(S) </w:t>
      </w:r>
      <w:r w:rsidR="000C429B">
        <w:t>Act</w:t>
      </w:r>
      <w:r>
        <w:t xml:space="preserve"> </w:t>
      </w:r>
      <w:r w:rsidR="002751A5">
        <w:t>employees</w:t>
      </w:r>
      <w:r>
        <w:t xml:space="preserve"> that parliamentarians could terminate employees ‘on a whim’.</w:t>
      </w:r>
      <w:r>
        <w:rPr>
          <w:rStyle w:val="FootnoteReference"/>
        </w:rPr>
        <w:footnoteReference w:id="310"/>
      </w:r>
    </w:p>
    <w:p w14:paraId="40A59ACA" w14:textId="0C6F2A09" w:rsidR="00856212" w:rsidRDefault="00856212" w:rsidP="00117317">
      <w:r w:rsidRPr="00E54C5A">
        <w:t xml:space="preserve">Some Review </w:t>
      </w:r>
      <w:r w:rsidR="00C55CD6">
        <w:t>contributor</w:t>
      </w:r>
      <w:r w:rsidRPr="00E54C5A">
        <w:t>s put the view</w:t>
      </w:r>
      <w:r w:rsidR="001D1AAF">
        <w:t xml:space="preserve"> that</w:t>
      </w:r>
      <w:r w:rsidR="00667382">
        <w:t xml:space="preserve"> </w:t>
      </w:r>
      <w:r w:rsidRPr="00E54C5A">
        <w:t xml:space="preserve">the current framework does not provide enough support for MoP(S) </w:t>
      </w:r>
      <w:r w:rsidR="000C429B">
        <w:t xml:space="preserve">Act </w:t>
      </w:r>
      <w:r w:rsidR="002751A5">
        <w:t>employees</w:t>
      </w:r>
      <w:r w:rsidRPr="00E54C5A">
        <w:t xml:space="preserve"> in relation to </w:t>
      </w:r>
      <w:r w:rsidR="002751A5">
        <w:t xml:space="preserve">employment </w:t>
      </w:r>
      <w:r w:rsidRPr="00E54C5A">
        <w:t xml:space="preserve">termination. </w:t>
      </w:r>
      <w:r w:rsidR="00AD2A79">
        <w:t xml:space="preserve">Approximately 37 per cent of respondents to the Review’s survey who identified as former or current staff disagreed or strongly disagreed that termination processes for MoP(S) Act employees are fair. Former and current MoP(S) Act employees also expressed the perception in the survey that their employment could easily be terminated, with 66 per cent expressing either agreement or strong agreement with this view. </w:t>
      </w:r>
      <w:r w:rsidRPr="00E54C5A">
        <w:t xml:space="preserve">The Community and Public Sector Union </w:t>
      </w:r>
      <w:r w:rsidR="00012210">
        <w:t xml:space="preserve">(CPSU) </w:t>
      </w:r>
      <w:r w:rsidRPr="00E54C5A">
        <w:t xml:space="preserve">stated that 74 per cent of </w:t>
      </w:r>
      <w:r w:rsidR="00033E30" w:rsidRPr="00C66EE3">
        <w:t>respondents to a</w:t>
      </w:r>
      <w:r w:rsidRPr="00C66EE3">
        <w:t xml:space="preserve"> survey </w:t>
      </w:r>
      <w:r w:rsidR="00033E30" w:rsidRPr="00C66EE3">
        <w:t>the CPSU undertook</w:t>
      </w:r>
      <w:r w:rsidRPr="00E54C5A">
        <w:t xml:space="preserve"> indicated that they felt that the MoP(S) Act ‘does not have sufficient protections for </w:t>
      </w:r>
      <w:r w:rsidR="002751A5">
        <w:t>employees</w:t>
      </w:r>
      <w:r w:rsidRPr="00E54C5A">
        <w:t xml:space="preserve"> against dismissal’.</w:t>
      </w:r>
      <w:r w:rsidRPr="00E54C5A">
        <w:rPr>
          <w:rStyle w:val="FootnoteReference"/>
        </w:rPr>
        <w:footnoteReference w:id="311"/>
      </w:r>
      <w:r w:rsidRPr="00E54C5A">
        <w:t xml:space="preserve"> It is unclear, however, whether this survey was conducted prior to the amendments of the MoP(S) Act in February 2022</w:t>
      </w:r>
      <w:r w:rsidR="007E6539" w:rsidRPr="00E54C5A">
        <w:t>, or what factors prompted this result</w:t>
      </w:r>
      <w:r w:rsidRPr="00E54C5A">
        <w:t>.</w:t>
      </w:r>
    </w:p>
    <w:p w14:paraId="2C301784" w14:textId="70D21832" w:rsidR="00117317" w:rsidRDefault="00117317" w:rsidP="00117317">
      <w:r>
        <w:t>The perceived threat of termination was linked by a number of participants with increased levels of stress, anxiety and fear amon</w:t>
      </w:r>
      <w:r w:rsidR="00C553D3">
        <w:t>g</w:t>
      </w:r>
      <w:r>
        <w:t xml:space="preserve"> </w:t>
      </w:r>
      <w:r w:rsidR="002751A5">
        <w:t>employees</w:t>
      </w:r>
      <w:r>
        <w:t>. This was argued to lead to poor office culture, burnout, bullying, or other harmful behaviours.</w:t>
      </w:r>
      <w:r w:rsidRPr="006F06DF">
        <w:rPr>
          <w:rStyle w:val="FootnoteReference"/>
        </w:rPr>
        <w:t xml:space="preserve"> </w:t>
      </w:r>
      <w:r w:rsidR="006F06DF">
        <w:rPr>
          <w:rStyle w:val="FootnoteReference"/>
        </w:rPr>
        <w:footnoteReference w:id="312"/>
      </w:r>
      <w:r>
        <w:t xml:space="preserve"> </w:t>
      </w:r>
      <w:r w:rsidR="00142173" w:rsidRPr="00142173">
        <w:rPr>
          <w:i/>
        </w:rPr>
        <w:t>Set the Standard</w:t>
      </w:r>
      <w:r>
        <w:t xml:space="preserve"> </w:t>
      </w:r>
      <w:r w:rsidR="0080387B">
        <w:t>identified</w:t>
      </w:r>
      <w:r>
        <w:t xml:space="preserve"> that the termination powers had a chilling effect on employees’ </w:t>
      </w:r>
      <w:r w:rsidR="005130C2">
        <w:t xml:space="preserve">willingness </w:t>
      </w:r>
      <w:r>
        <w:t>to make complaints.</w:t>
      </w:r>
      <w:r>
        <w:rPr>
          <w:rStyle w:val="FootnoteReference"/>
        </w:rPr>
        <w:footnoteReference w:id="313"/>
      </w:r>
      <w:r>
        <w:t xml:space="preserve"> It was explained to us by some </w:t>
      </w:r>
      <w:r w:rsidR="00667382">
        <w:t xml:space="preserve">contributors </w:t>
      </w:r>
      <w:r w:rsidR="00DA3D80">
        <w:t xml:space="preserve">that </w:t>
      </w:r>
      <w:r>
        <w:t xml:space="preserve">making a complaint would </w:t>
      </w:r>
      <w:r w:rsidR="00A26B36">
        <w:t>thwart</w:t>
      </w:r>
      <w:r>
        <w:t xml:space="preserve"> their own ambitions, particularly if they were considering pursuing a political career of their own.</w:t>
      </w:r>
    </w:p>
    <w:p w14:paraId="4C02FE84" w14:textId="77777777" w:rsidR="00117317" w:rsidRDefault="00117317" w:rsidP="00117317">
      <w:r>
        <w:t>We also heard of instances where employees had been encouraged or asked to resign by a parliamentarian or their office, sometimes so that another person could take their place. We heard resigning in this situation could preserve the employee’s reputation and perceived loyalty to the parliamentarian, which might limit any damage to their career.</w:t>
      </w:r>
    </w:p>
    <w:p w14:paraId="29EAE672" w14:textId="77777777" w:rsidR="00117317" w:rsidRDefault="00117317" w:rsidP="00117317">
      <w:r>
        <w:t xml:space="preserve">Finally, some participants told us about situations where MoP(S) </w:t>
      </w:r>
      <w:r w:rsidR="00023DE8">
        <w:t xml:space="preserve">Act </w:t>
      </w:r>
      <w:r>
        <w:t xml:space="preserve">employees should have been disciplined or had their employment terminated, but the </w:t>
      </w:r>
      <w:r w:rsidR="00023DE8">
        <w:t xml:space="preserve">employing </w:t>
      </w:r>
      <w:r>
        <w:t xml:space="preserve">parliamentarian </w:t>
      </w:r>
      <w:r w:rsidR="00023DE8">
        <w:t>did not take action</w:t>
      </w:r>
      <w:r>
        <w:t>. No one else was able to do anything.</w:t>
      </w:r>
    </w:p>
    <w:p w14:paraId="33976ABF" w14:textId="57A418AF" w:rsidR="00117317" w:rsidRDefault="00117317" w:rsidP="00117317">
      <w:r>
        <w:t xml:space="preserve">It is unclear how often terminations at the initiative of the parliamentarian occur from the statistics received from </w:t>
      </w:r>
      <w:r w:rsidR="00891B03">
        <w:t xml:space="preserve">the Department of </w:t>
      </w:r>
      <w:r>
        <w:t xml:space="preserve">Finance. It is also difficult to determine what proportion of resignations </w:t>
      </w:r>
      <w:r w:rsidR="00667382">
        <w:t>are</w:t>
      </w:r>
      <w:r>
        <w:t xml:space="preserve"> </w:t>
      </w:r>
      <w:r w:rsidR="005932E0">
        <w:t xml:space="preserve">at the behest of the employing parliamentarian, as opposed to those initiated by the </w:t>
      </w:r>
      <w:r>
        <w:t>employee. However, it is evident to the Review the perceived threat of termination, coupled with the belief parliamentarian</w:t>
      </w:r>
      <w:r w:rsidR="00D83614">
        <w:t>s</w:t>
      </w:r>
      <w:r>
        <w:t xml:space="preserve"> have broad powers to carry this out, </w:t>
      </w:r>
      <w:r w:rsidR="00667382">
        <w:t>i</w:t>
      </w:r>
      <w:r>
        <w:t xml:space="preserve">s significantly widespread among </w:t>
      </w:r>
      <w:r w:rsidR="002751A5">
        <w:t>employees</w:t>
      </w:r>
      <w:r w:rsidR="000B0D2F">
        <w:t xml:space="preserve"> consulted in this Review</w:t>
      </w:r>
      <w:r>
        <w:t>.</w:t>
      </w:r>
    </w:p>
    <w:p w14:paraId="52E6F83A" w14:textId="77777777" w:rsidR="00117317" w:rsidRPr="00DC13DA" w:rsidRDefault="00117317" w:rsidP="00DC13DA">
      <w:pPr>
        <w:rPr>
          <w:i/>
        </w:rPr>
      </w:pPr>
      <w:r w:rsidRPr="00DC13DA">
        <w:rPr>
          <w:i/>
        </w:rPr>
        <w:t xml:space="preserve">The need for a broad discretion to terminate </w:t>
      </w:r>
      <w:r w:rsidR="002751A5">
        <w:rPr>
          <w:i/>
        </w:rPr>
        <w:t>employees</w:t>
      </w:r>
    </w:p>
    <w:p w14:paraId="01CDB6EB" w14:textId="3EC43639" w:rsidR="00117317" w:rsidRDefault="00A87318" w:rsidP="00117317">
      <w:r>
        <w:t>T</w:t>
      </w:r>
      <w:r w:rsidR="00117317">
        <w:t xml:space="preserve">he </w:t>
      </w:r>
      <w:r w:rsidR="00F23879">
        <w:t>Review</w:t>
      </w:r>
      <w:r w:rsidR="00117317">
        <w:t xml:space="preserve"> heard from a number of current and former parliamentarian</w:t>
      </w:r>
      <w:r w:rsidR="00F41C14">
        <w:t>s</w:t>
      </w:r>
      <w:r w:rsidR="00117317">
        <w:t xml:space="preserve"> </w:t>
      </w:r>
      <w:r w:rsidR="009C5CBD">
        <w:t xml:space="preserve">and MoP(S) Act </w:t>
      </w:r>
      <w:r w:rsidR="002751A5">
        <w:t>employees</w:t>
      </w:r>
      <w:r w:rsidR="00117317">
        <w:t xml:space="preserve"> that, as ‘the employer’, parliamentarian</w:t>
      </w:r>
      <w:r w:rsidR="00F41C14">
        <w:t>s</w:t>
      </w:r>
      <w:r w:rsidR="00117317">
        <w:t xml:space="preserve"> should retain the right to </w:t>
      </w:r>
      <w:r w:rsidR="00667382">
        <w:t>recruit</w:t>
      </w:r>
      <w:r w:rsidR="00117317">
        <w:t xml:space="preserve"> and </w:t>
      </w:r>
      <w:r w:rsidR="00667382">
        <w:t>terminate</w:t>
      </w:r>
      <w:r w:rsidR="00117317">
        <w:t xml:space="preserve"> </w:t>
      </w:r>
      <w:r w:rsidR="002751A5">
        <w:t>employees</w:t>
      </w:r>
      <w:r w:rsidR="00117317">
        <w:t xml:space="preserve">. These participants explained </w:t>
      </w:r>
      <w:r w:rsidR="001D1AAF">
        <w:t>that</w:t>
      </w:r>
      <w:r w:rsidR="00117317">
        <w:t xml:space="preserve"> loyalty and trust is central to the employment relationship in the parliamentary context, and interfering with the parliamentarian’s ability to let go of </w:t>
      </w:r>
      <w:r w:rsidR="002751A5">
        <w:t>employees</w:t>
      </w:r>
      <w:r w:rsidR="00117317">
        <w:t xml:space="preserve"> where those elements were no longer present would be to the </w:t>
      </w:r>
      <w:r w:rsidR="00891B03">
        <w:t>detrimenal</w:t>
      </w:r>
      <w:r w:rsidR="00117317">
        <w:t>.</w:t>
      </w:r>
    </w:p>
    <w:p w14:paraId="4BEF13C9" w14:textId="54CF3B15" w:rsidR="00117317" w:rsidRDefault="00117317" w:rsidP="00117317">
      <w:r>
        <w:t>The</w:t>
      </w:r>
      <w:r w:rsidDel="00F23879">
        <w:t xml:space="preserve"> </w:t>
      </w:r>
      <w:r w:rsidR="00F23879">
        <w:t>Review</w:t>
      </w:r>
      <w:r>
        <w:t xml:space="preserve"> also heard that parliamentarians need to have the ability to dismiss an employee </w:t>
      </w:r>
      <w:r w:rsidR="000766EC">
        <w:t xml:space="preserve">efficiently </w:t>
      </w:r>
      <w:r>
        <w:t>in a range of circumstances. For example, a</w:t>
      </w:r>
      <w:r w:rsidR="002751A5">
        <w:t>n</w:t>
      </w:r>
      <w:r>
        <w:t xml:space="preserve"> </w:t>
      </w:r>
      <w:r w:rsidR="002751A5">
        <w:t>employee</w:t>
      </w:r>
      <w:r>
        <w:t xml:space="preserve"> </w:t>
      </w:r>
      <w:r w:rsidR="001B56B7">
        <w:t>who</w:t>
      </w:r>
      <w:r>
        <w:t xml:space="preserve"> is not suitable for the workplace </w:t>
      </w:r>
      <w:r w:rsidR="00B56395">
        <w:t>(there may be a skills mismatch or other incompatibilities) may</w:t>
      </w:r>
      <w:r w:rsidR="001B56B7">
        <w:t xml:space="preserve"> </w:t>
      </w:r>
      <w:r>
        <w:t xml:space="preserve">need to be replaced </w:t>
      </w:r>
      <w:r w:rsidR="000766EC">
        <w:t xml:space="preserve">quickly </w:t>
      </w:r>
      <w:r>
        <w:t xml:space="preserve">due to the small </w:t>
      </w:r>
      <w:r w:rsidR="001B56B7">
        <w:t>size</w:t>
      </w:r>
      <w:r w:rsidR="00B56395">
        <w:t xml:space="preserve"> of,</w:t>
      </w:r>
      <w:r w:rsidR="001B56B7">
        <w:t xml:space="preserve"> and limited </w:t>
      </w:r>
      <w:r w:rsidR="00F60A94">
        <w:t>staff</w:t>
      </w:r>
      <w:r w:rsidR="001B56B7">
        <w:t xml:space="preserve"> allocated to</w:t>
      </w:r>
      <w:r w:rsidR="00B56395">
        <w:t>,</w:t>
      </w:r>
      <w:r w:rsidR="001B56B7">
        <w:t xml:space="preserve"> an</w:t>
      </w:r>
      <w:r>
        <w:t xml:space="preserve"> office. </w:t>
      </w:r>
      <w:r w:rsidR="00C52428">
        <w:t>E</w:t>
      </w:r>
      <w:r>
        <w:t>mployee</w:t>
      </w:r>
      <w:r w:rsidR="00C52428">
        <w:t>s who</w:t>
      </w:r>
      <w:r>
        <w:t xml:space="preserve"> present a serious </w:t>
      </w:r>
      <w:r w:rsidR="000B0D2F">
        <w:t>WHS</w:t>
      </w:r>
      <w:r>
        <w:t xml:space="preserve"> concern</w:t>
      </w:r>
      <w:r w:rsidR="00C52428">
        <w:t>, pose a</w:t>
      </w:r>
      <w:r>
        <w:t xml:space="preserve"> threat to others in the workplace, or </w:t>
      </w:r>
      <w:r w:rsidR="00C52428">
        <w:t xml:space="preserve">are suspected of </w:t>
      </w:r>
      <w:r>
        <w:t>misconduct</w:t>
      </w:r>
      <w:r w:rsidR="00667382">
        <w:t>, we heard,</w:t>
      </w:r>
      <w:r>
        <w:t xml:space="preserve"> may </w:t>
      </w:r>
      <w:r w:rsidR="00C52428">
        <w:t>also need to be dismissed expeditiously</w:t>
      </w:r>
      <w:r>
        <w:t xml:space="preserve">. Additionally, as one participant expressed, the jobs of MoP(S) </w:t>
      </w:r>
      <w:r w:rsidR="002D62B0">
        <w:t xml:space="preserve">Act </w:t>
      </w:r>
      <w:r w:rsidR="002751A5">
        <w:t>employees</w:t>
      </w:r>
      <w:r>
        <w:t xml:space="preserve"> are inextricably tied to the fate of their employer, and it ma</w:t>
      </w:r>
      <w:r w:rsidR="00667382">
        <w:t>kes</w:t>
      </w:r>
      <w:r>
        <w:t xml:space="preserve"> sense that if they could not support the parliamentarian they should be dismissed. In some of these circumstances, the ability to immediately remove an employee from the workplace was considered to be consistent with the parliamentarian’s duty of care as an employer under the </w:t>
      </w:r>
      <w:r w:rsidRPr="00225E82">
        <w:t>WHS Act</w:t>
      </w:r>
      <w:r>
        <w:t>.</w:t>
      </w:r>
      <w:r>
        <w:rPr>
          <w:rStyle w:val="FootnoteReference"/>
        </w:rPr>
        <w:footnoteReference w:id="314"/>
      </w:r>
    </w:p>
    <w:p w14:paraId="2DD6EBA0" w14:textId="6CD97D10" w:rsidR="00117317" w:rsidRDefault="00117317" w:rsidP="00117317">
      <w:r>
        <w:t xml:space="preserve">Professor </w:t>
      </w:r>
      <w:r w:rsidR="006F06DF">
        <w:t xml:space="preserve">Andrew </w:t>
      </w:r>
      <w:r>
        <w:t xml:space="preserve">Podger AO </w:t>
      </w:r>
      <w:r w:rsidR="006F06DF">
        <w:t>wa</w:t>
      </w:r>
      <w:r>
        <w:t>s among the participants who suggested that parliamentarians need to be able to act swiftly in the event that they ‘no longer have full confidence’ in the employee.</w:t>
      </w:r>
      <w:r>
        <w:rPr>
          <w:rStyle w:val="FootnoteReference"/>
        </w:rPr>
        <w:footnoteReference w:id="315"/>
      </w:r>
      <w:r>
        <w:t xml:space="preserve"> A number of other parliamentary stakeholders recognised that the parliamentarians’ need to remove a</w:t>
      </w:r>
      <w:r w:rsidR="002751A5">
        <w:t>n</w:t>
      </w:r>
      <w:r>
        <w:t xml:space="preserve"> </w:t>
      </w:r>
      <w:r w:rsidR="002751A5">
        <w:t>employee</w:t>
      </w:r>
      <w:r>
        <w:t xml:space="preserve"> quickly and efficiently from the workplace was critically important.</w:t>
      </w:r>
    </w:p>
    <w:p w14:paraId="291A2F4B" w14:textId="77777777" w:rsidR="00117317" w:rsidRPr="00DC13DA" w:rsidRDefault="00117317" w:rsidP="00DC13DA">
      <w:pPr>
        <w:rPr>
          <w:i/>
        </w:rPr>
      </w:pPr>
      <w:r w:rsidRPr="00DC13DA">
        <w:rPr>
          <w:i/>
        </w:rPr>
        <w:t>Terminations as a result of office restructure</w:t>
      </w:r>
    </w:p>
    <w:p w14:paraId="48C8256A" w14:textId="2D1A6913" w:rsidR="004B7563" w:rsidRPr="00DD6EE1" w:rsidRDefault="004B7563" w:rsidP="004B7563">
      <w:r>
        <w:t>There is no doubt that office restructures are in many cases a necessity, particularly in small offices where a change in skills sets may be required, and are not an uncommon occurrence in many workplaces</w:t>
      </w:r>
      <w:r w:rsidR="00DF2D40">
        <w:t>.</w:t>
      </w:r>
      <w:r>
        <w:t>.</w:t>
      </w:r>
    </w:p>
    <w:p w14:paraId="6C9525BD" w14:textId="123FD0E0" w:rsidR="00117317" w:rsidRPr="00E92D41" w:rsidRDefault="00117317" w:rsidP="00117317">
      <w:r>
        <w:t xml:space="preserve">A number of MoP(S) </w:t>
      </w:r>
      <w:r w:rsidR="00EA298B">
        <w:t xml:space="preserve">Act </w:t>
      </w:r>
      <w:r w:rsidR="008127F4">
        <w:t>employees</w:t>
      </w:r>
      <w:r w:rsidR="00EA298B">
        <w:t xml:space="preserve"> </w:t>
      </w:r>
      <w:r w:rsidR="004B7563">
        <w:t>told us</w:t>
      </w:r>
      <w:r>
        <w:t xml:space="preserve"> they had observed instances where an office restructure was conducted to provide a pretext to terminate an employee. Some former </w:t>
      </w:r>
      <w:r w:rsidR="002751A5">
        <w:t>employees</w:t>
      </w:r>
      <w:r>
        <w:t xml:space="preserve"> stated this had happened to them and was done by changing </w:t>
      </w:r>
      <w:r w:rsidR="00DB3D65">
        <w:t>the</w:t>
      </w:r>
      <w:r>
        <w:t xml:space="preserve"> level of a position or imposing a requirement for a qualification on a position which the employee did not possess. This issue was also highlighted in </w:t>
      </w:r>
      <w:r w:rsidR="00142173" w:rsidRPr="00142173">
        <w:rPr>
          <w:i/>
        </w:rPr>
        <w:t>Set the Standard</w:t>
      </w:r>
      <w:r>
        <w:t xml:space="preserve">. </w:t>
      </w:r>
      <w:r w:rsidR="00BD24AE">
        <w:t>Dr</w:t>
      </w:r>
      <w:r>
        <w:t xml:space="preserve"> Maley argued in her submission to the Review this particular type of termination is often done to avoid managing staffing issues or addressing performance management, while effectively denying </w:t>
      </w:r>
      <w:r w:rsidR="002751A5">
        <w:t>employees</w:t>
      </w:r>
      <w:r>
        <w:t xml:space="preserve"> the ability to address the situation.</w:t>
      </w:r>
      <w:r>
        <w:rPr>
          <w:rStyle w:val="FootnoteReference"/>
        </w:rPr>
        <w:footnoteReference w:id="316"/>
      </w:r>
    </w:p>
    <w:p w14:paraId="30D5A72B" w14:textId="031E341B" w:rsidR="00117317" w:rsidRDefault="00117317" w:rsidP="00117317">
      <w:r>
        <w:t xml:space="preserve">This scenario may also be done for the benefit of the employee involved, as it triggers a redundancy payout. The Review also heard reports of parliamentarians using this process in </w:t>
      </w:r>
      <w:r w:rsidR="007607AE">
        <w:t>unintended and inappropriate ways</w:t>
      </w:r>
      <w:r>
        <w:t>, such as terminating an employee during an office restructure, allowing them to access the payout, then rehiring them.</w:t>
      </w:r>
    </w:p>
    <w:p w14:paraId="76D01244" w14:textId="7DA1CB8B" w:rsidR="007E6539" w:rsidRPr="00DC13DA" w:rsidRDefault="007E6539" w:rsidP="00051BDA">
      <w:pPr>
        <w:pStyle w:val="Heading4"/>
        <w:rPr>
          <w:i/>
          <w:highlight w:val="yellow"/>
        </w:rPr>
      </w:pPr>
      <w:r w:rsidRPr="00DC13DA">
        <w:t xml:space="preserve">Termination provisions in MoP(S) </w:t>
      </w:r>
      <w:r w:rsidR="00222CBC">
        <w:t xml:space="preserve">Act </w:t>
      </w:r>
      <w:r w:rsidRPr="00DC13DA">
        <w:t xml:space="preserve">equivalent legislation in other jurisdictions </w:t>
      </w:r>
    </w:p>
    <w:p w14:paraId="2759B942" w14:textId="3058050D" w:rsidR="00DC13DA" w:rsidRPr="00776E61" w:rsidRDefault="00117317" w:rsidP="00117317">
      <w:r>
        <w:t xml:space="preserve">A table providing a broad outline of the powers in relation to termination in the Commonwealth and state/territory jurisdictions is below. These powers are sourced from a range of instruments, including legislation, relevant </w:t>
      </w:r>
      <w:r w:rsidR="00982005">
        <w:t>EA</w:t>
      </w:r>
      <w:r>
        <w:t>, Standing Orders and the determinations of office</w:t>
      </w:r>
      <w:r w:rsidR="00B40D5C">
        <w:t>-</w:t>
      </w:r>
      <w:r>
        <w:t>holders such as the Prime</w:t>
      </w:r>
      <w:r w:rsidR="004B7563">
        <w:t> </w:t>
      </w:r>
      <w:r>
        <w:t>Minister or the jurisdiction’s Presiding Officers.</w:t>
      </w:r>
    </w:p>
    <w:p w14:paraId="3824EAE0" w14:textId="77777777" w:rsidR="00117317" w:rsidRDefault="00117317" w:rsidP="00117317">
      <w:r>
        <w:t>Key differences in the approaches taken by different jurisdictions in Australia include:</w:t>
      </w:r>
    </w:p>
    <w:p w14:paraId="7B535B4E" w14:textId="7F6738EB" w:rsidR="00117317" w:rsidRDefault="00F8045F" w:rsidP="00117317">
      <w:pPr>
        <w:pStyle w:val="BulletedList-Level1"/>
      </w:pPr>
      <w:r>
        <w:t>t</w:t>
      </w:r>
      <w:r w:rsidR="00117317">
        <w:t xml:space="preserve">he empowerment of Presiding Officers or Clerks of the relevant jurisdiction to take action against employees (see: </w:t>
      </w:r>
      <w:r w:rsidR="00E9086A">
        <w:t>NSW, Vic</w:t>
      </w:r>
      <w:r w:rsidR="00117317">
        <w:t xml:space="preserve">, WA and </w:t>
      </w:r>
      <w:r w:rsidR="00E9086A">
        <w:t xml:space="preserve">Qld </w:t>
      </w:r>
      <w:r w:rsidR="00117317">
        <w:t>mod</w:t>
      </w:r>
      <w:r w:rsidR="00E9086A">
        <w:t>els</w:t>
      </w:r>
      <w:r w:rsidR="00117317">
        <w:t>)</w:t>
      </w:r>
    </w:p>
    <w:p w14:paraId="47E2A790" w14:textId="6CD459B2" w:rsidR="00117317" w:rsidRDefault="00F8045F" w:rsidP="00117317">
      <w:pPr>
        <w:pStyle w:val="BulletedList-Level1"/>
      </w:pPr>
      <w:r>
        <w:t>s</w:t>
      </w:r>
      <w:r w:rsidR="00117317">
        <w:t xml:space="preserve">ources of powers or conditions, varying between legislative provisions, relevant </w:t>
      </w:r>
      <w:r w:rsidR="00982005">
        <w:t>EA</w:t>
      </w:r>
      <w:r w:rsidR="00117317">
        <w:t>s and determinations by Presiding Officers</w:t>
      </w:r>
    </w:p>
    <w:p w14:paraId="5D430C43" w14:textId="40943341" w:rsidR="00117317" w:rsidRPr="0050495D" w:rsidRDefault="00F8045F" w:rsidP="00117317">
      <w:pPr>
        <w:pStyle w:val="BulletedList-Level1"/>
      </w:pPr>
      <w:r>
        <w:t>t</w:t>
      </w:r>
      <w:r w:rsidR="00117317">
        <w:t>he provision of severance pay and the requisite notice periods, in addition to additional conditions in instances involving misconduct.</w:t>
      </w:r>
    </w:p>
    <w:p w14:paraId="22FD770F" w14:textId="77777777" w:rsidR="00DE1B14" w:rsidRDefault="00DE1B14" w:rsidP="00E95ABD"/>
    <w:tbl>
      <w:tblPr>
        <w:tblStyle w:val="ListTable4-Accent1"/>
        <w:tblW w:w="5000" w:type="pct"/>
        <w:tblBorders>
          <w:top w:val="single" w:sz="6" w:space="0" w:color="E0E8F2" w:themeColor="background2"/>
          <w:left w:val="single" w:sz="6" w:space="0" w:color="E0E8F2" w:themeColor="background2"/>
          <w:bottom w:val="single" w:sz="6" w:space="0" w:color="E0E8F2" w:themeColor="background2"/>
          <w:right w:val="single" w:sz="6" w:space="0" w:color="E0E8F2" w:themeColor="background2"/>
          <w:insideH w:val="single" w:sz="6" w:space="0" w:color="E0E8F2" w:themeColor="background2"/>
          <w:insideV w:val="single" w:sz="6" w:space="0" w:color="E0E8F2" w:themeColor="background2"/>
        </w:tblBorders>
        <w:tblCellMar>
          <w:top w:w="57" w:type="dxa"/>
          <w:left w:w="57" w:type="dxa"/>
          <w:right w:w="57" w:type="dxa"/>
        </w:tblCellMar>
        <w:tblLook w:val="0620" w:firstRow="1" w:lastRow="0" w:firstColumn="0" w:lastColumn="0" w:noHBand="1" w:noVBand="1"/>
        <w:tblCaption w:val="Table with horizontal and vertical lines"/>
        <w:tblDescription w:val="This is an example of alt text"/>
      </w:tblPr>
      <w:tblGrid>
        <w:gridCol w:w="1925"/>
        <w:gridCol w:w="1924"/>
        <w:gridCol w:w="5773"/>
      </w:tblGrid>
      <w:tr w:rsidR="00911FC2" w14:paraId="44065818" w14:textId="77777777" w:rsidTr="008314F4">
        <w:trPr>
          <w:cnfStyle w:val="100000000000" w:firstRow="1" w:lastRow="0" w:firstColumn="0" w:lastColumn="0" w:oddVBand="0" w:evenVBand="0" w:oddHBand="0" w:evenHBand="0" w:firstRowFirstColumn="0" w:firstRowLastColumn="0" w:lastRowFirstColumn="0" w:lastRowLastColumn="0"/>
          <w:trHeight w:val="20"/>
          <w:tblHeader/>
        </w:trPr>
        <w:tc>
          <w:tcPr>
            <w:tcW w:w="1000" w:type="pct"/>
            <w:vAlign w:val="center"/>
          </w:tcPr>
          <w:p w14:paraId="08DEF24E" w14:textId="77777777" w:rsidR="00911FC2" w:rsidRPr="006E170D" w:rsidRDefault="00911FC2" w:rsidP="00F9053D">
            <w:pPr>
              <w:pStyle w:val="TBLHeading"/>
            </w:pPr>
            <w:r>
              <w:t>Jurisdiction</w:t>
            </w:r>
          </w:p>
        </w:tc>
        <w:tc>
          <w:tcPr>
            <w:tcW w:w="1000" w:type="pct"/>
            <w:vAlign w:val="center"/>
          </w:tcPr>
          <w:p w14:paraId="6C024E8F" w14:textId="77777777" w:rsidR="00911FC2" w:rsidRPr="006E170D" w:rsidRDefault="00911FC2" w:rsidP="00F9053D">
            <w:pPr>
              <w:pStyle w:val="TBLHeading"/>
            </w:pPr>
            <w:r>
              <w:t>Relevant authority</w:t>
            </w:r>
          </w:p>
        </w:tc>
        <w:tc>
          <w:tcPr>
            <w:tcW w:w="3000" w:type="pct"/>
            <w:vAlign w:val="center"/>
          </w:tcPr>
          <w:p w14:paraId="2F8CB4F1" w14:textId="77777777" w:rsidR="00911FC2" w:rsidRPr="006E170D" w:rsidRDefault="00911FC2" w:rsidP="00F9053D">
            <w:pPr>
              <w:pStyle w:val="TBLHeading"/>
            </w:pPr>
            <w:r>
              <w:t>Powers of termination</w:t>
            </w:r>
          </w:p>
        </w:tc>
      </w:tr>
      <w:tr w:rsidR="00911FC2" w14:paraId="1325231B" w14:textId="77777777" w:rsidTr="008314F4">
        <w:trPr>
          <w:trHeight w:val="20"/>
        </w:trPr>
        <w:tc>
          <w:tcPr>
            <w:tcW w:w="1000" w:type="pct"/>
            <w:vAlign w:val="center"/>
          </w:tcPr>
          <w:p w14:paraId="426E62B1" w14:textId="77777777" w:rsidR="00911FC2" w:rsidRPr="006E170D" w:rsidRDefault="00911FC2" w:rsidP="004D2593">
            <w:pPr>
              <w:pStyle w:val="TBLText"/>
              <w:keepNext/>
            </w:pPr>
            <w:r>
              <w:t>New South Wales</w:t>
            </w:r>
          </w:p>
        </w:tc>
        <w:tc>
          <w:tcPr>
            <w:tcW w:w="1000" w:type="pct"/>
            <w:vAlign w:val="center"/>
          </w:tcPr>
          <w:p w14:paraId="1FCCEF34" w14:textId="77777777" w:rsidR="00911FC2" w:rsidRPr="00BD7634" w:rsidRDefault="00911FC2" w:rsidP="004D2593">
            <w:pPr>
              <w:pStyle w:val="TBLText"/>
              <w:keepNext/>
              <w:rPr>
                <w:i/>
              </w:rPr>
            </w:pPr>
            <w:r w:rsidRPr="00BD7634">
              <w:rPr>
                <w:i/>
              </w:rPr>
              <w:t>Members of Parliament (Staff) Act 2013 (NSW)</w:t>
            </w:r>
          </w:p>
        </w:tc>
        <w:tc>
          <w:tcPr>
            <w:tcW w:w="3000" w:type="pct"/>
            <w:vAlign w:val="center"/>
          </w:tcPr>
          <w:p w14:paraId="14015BA2" w14:textId="1F62C6B9" w:rsidR="00911FC2" w:rsidRPr="006E170D" w:rsidRDefault="00911FC2" w:rsidP="004D2593">
            <w:pPr>
              <w:pStyle w:val="TBLText"/>
              <w:keepNext/>
            </w:pPr>
            <w:r w:rsidRPr="00DC13DA">
              <w:t xml:space="preserve">Member of Parliament (MP) may terminate an employee at any time. In addition, the relevant Presiding Officer (PO) may terminate employment after consulting </w:t>
            </w:r>
            <w:r w:rsidR="0073014C">
              <w:t xml:space="preserve">the </w:t>
            </w:r>
            <w:r w:rsidRPr="00DC13DA">
              <w:t>relevant MP if the PO is satisfied that the person has engaged in misconduct and certain procedural fairness steps are taken.</w:t>
            </w:r>
            <w:r w:rsidR="0073014C">
              <w:t xml:space="preserve"> Automatic termination applies in certain circumstances</w:t>
            </w:r>
            <w:r w:rsidR="00B10EA8">
              <w:t>.</w:t>
            </w:r>
          </w:p>
        </w:tc>
      </w:tr>
      <w:tr w:rsidR="00911FC2" w14:paraId="44F31F36" w14:textId="77777777" w:rsidTr="008314F4">
        <w:trPr>
          <w:trHeight w:val="20"/>
        </w:trPr>
        <w:tc>
          <w:tcPr>
            <w:tcW w:w="1000" w:type="pct"/>
            <w:vAlign w:val="center"/>
          </w:tcPr>
          <w:p w14:paraId="12C080B4" w14:textId="77777777" w:rsidR="00911FC2" w:rsidRPr="006E170D" w:rsidRDefault="00911FC2" w:rsidP="004D2593">
            <w:pPr>
              <w:pStyle w:val="TBLText"/>
              <w:keepNext/>
            </w:pPr>
            <w:r>
              <w:t>Australian Capital Territory</w:t>
            </w:r>
          </w:p>
        </w:tc>
        <w:tc>
          <w:tcPr>
            <w:tcW w:w="1000" w:type="pct"/>
            <w:vAlign w:val="center"/>
          </w:tcPr>
          <w:p w14:paraId="7E162E36" w14:textId="77777777" w:rsidR="00911FC2" w:rsidRPr="00BD7634" w:rsidRDefault="00911FC2" w:rsidP="004D2593">
            <w:pPr>
              <w:pStyle w:val="TBLText"/>
              <w:keepNext/>
              <w:rPr>
                <w:i/>
              </w:rPr>
            </w:pPr>
            <w:r w:rsidRPr="00BD7634">
              <w:rPr>
                <w:i/>
              </w:rPr>
              <w:t>Legislative Assembly (Members’ Staff) Act 1989</w:t>
            </w:r>
          </w:p>
        </w:tc>
        <w:tc>
          <w:tcPr>
            <w:tcW w:w="3000" w:type="pct"/>
          </w:tcPr>
          <w:p w14:paraId="33F7CFFE" w14:textId="383EEBAA" w:rsidR="00911FC2" w:rsidRPr="006E170D" w:rsidRDefault="00911FC2" w:rsidP="004D2593">
            <w:pPr>
              <w:pStyle w:val="TBLText"/>
              <w:keepNext/>
            </w:pPr>
            <w:r w:rsidRPr="00DC13DA">
              <w:t>Member of Legislative Council (MLA) may terminate employment at any time by notice in writing (</w:t>
            </w:r>
            <w:r w:rsidR="0073014C">
              <w:t xml:space="preserve">with notice or payment in </w:t>
            </w:r>
            <w:r w:rsidR="00310EBA">
              <w:t>,</w:t>
            </w:r>
            <w:r w:rsidR="0073014C">
              <w:t>lieu</w:t>
            </w:r>
            <w:r w:rsidRPr="00DC13DA">
              <w:t>).</w:t>
            </w:r>
            <w:r w:rsidR="0073014C">
              <w:t xml:space="preserve"> Automatic</w:t>
            </w:r>
            <w:r w:rsidRPr="00DC13DA">
              <w:t xml:space="preserve"> termination </w:t>
            </w:r>
            <w:r w:rsidR="0073014C">
              <w:t>applies in certain circumstances.</w:t>
            </w:r>
          </w:p>
        </w:tc>
      </w:tr>
      <w:tr w:rsidR="00911FC2" w14:paraId="5F3D4CB4" w14:textId="77777777" w:rsidTr="008314F4">
        <w:trPr>
          <w:trHeight w:val="20"/>
        </w:trPr>
        <w:tc>
          <w:tcPr>
            <w:tcW w:w="1000" w:type="pct"/>
            <w:vAlign w:val="center"/>
          </w:tcPr>
          <w:p w14:paraId="3E012F96" w14:textId="77777777" w:rsidR="00911FC2" w:rsidRPr="006E170D" w:rsidRDefault="00911FC2" w:rsidP="004D2593">
            <w:pPr>
              <w:pStyle w:val="TBLText"/>
              <w:keepNext/>
            </w:pPr>
            <w:r>
              <w:t>Queensland</w:t>
            </w:r>
          </w:p>
        </w:tc>
        <w:tc>
          <w:tcPr>
            <w:tcW w:w="1000" w:type="pct"/>
          </w:tcPr>
          <w:p w14:paraId="4E8B6695" w14:textId="77777777" w:rsidR="00911FC2" w:rsidRPr="00BD7634" w:rsidRDefault="00911FC2" w:rsidP="004D2593">
            <w:pPr>
              <w:pStyle w:val="TBLText"/>
              <w:keepNext/>
              <w:rPr>
                <w:i/>
              </w:rPr>
            </w:pPr>
            <w:r w:rsidRPr="00BD7634">
              <w:rPr>
                <w:i/>
              </w:rPr>
              <w:t>Ministerial and Other Office Holder Staff Act 2010;</w:t>
            </w:r>
            <w:r w:rsidR="002A2CB2">
              <w:rPr>
                <w:i/>
              </w:rPr>
              <w:t xml:space="preserve"> </w:t>
            </w:r>
            <w:r w:rsidRPr="00BD7634">
              <w:rPr>
                <w:i/>
              </w:rPr>
              <w:t>Parliamentary Service Act 1988</w:t>
            </w:r>
          </w:p>
        </w:tc>
        <w:tc>
          <w:tcPr>
            <w:tcW w:w="3000" w:type="pct"/>
          </w:tcPr>
          <w:p w14:paraId="54EB3AD8" w14:textId="77777777" w:rsidR="00911FC2" w:rsidRPr="006E170D" w:rsidRDefault="00DC2D4B" w:rsidP="004D2593">
            <w:pPr>
              <w:pStyle w:val="TBLText"/>
              <w:keepNext/>
            </w:pPr>
            <w:r w:rsidRPr="00DC13DA">
              <w:t>The relevant award permits the MP to t</w:t>
            </w:r>
            <w:r w:rsidR="0073014C">
              <w:t>erminate employment with notice</w:t>
            </w:r>
            <w:r w:rsidRPr="00DC13DA">
              <w:t xml:space="preserve"> if justification is provided to Clerk. The C</w:t>
            </w:r>
            <w:r w:rsidR="0073014C">
              <w:t xml:space="preserve">lerk has termination powers to: </w:t>
            </w:r>
            <w:r w:rsidR="002A2CB2">
              <w:br/>
            </w:r>
            <w:r w:rsidR="0073014C">
              <w:t>a) c</w:t>
            </w:r>
            <w:r w:rsidRPr="00DC13DA">
              <w:t xml:space="preserve">all </w:t>
            </w:r>
            <w:r w:rsidRPr="00DC2D4B">
              <w:t>on an employee to voluntarily retire if</w:t>
            </w:r>
            <w:r w:rsidR="0073014C">
              <w:t xml:space="preserve"> they are found to be</w:t>
            </w:r>
            <w:r w:rsidRPr="00DC2D4B">
              <w:t xml:space="preserve"> unfit, or </w:t>
            </w:r>
            <w:r w:rsidR="0073014C">
              <w:t>do</w:t>
            </w:r>
            <w:r w:rsidRPr="00DC2D4B">
              <w:t xml:space="preserve"> not have capacity, to discharge duties by reason of mental or physical infirmity. If person does not so retire, </w:t>
            </w:r>
            <w:r w:rsidR="008A7492">
              <w:t xml:space="preserve">the </w:t>
            </w:r>
            <w:r w:rsidRPr="00DC2D4B">
              <w:t>Clerk may dismiss the person from service; and</w:t>
            </w:r>
            <w:r w:rsidR="002A2CB2">
              <w:br/>
            </w:r>
            <w:r w:rsidR="0073014C">
              <w:t>b) o</w:t>
            </w:r>
            <w:r w:rsidRPr="00DC2D4B">
              <w:t xml:space="preserve">rder dismissal (appeal process via </w:t>
            </w:r>
            <w:r w:rsidR="008A7492">
              <w:t>PO</w:t>
            </w:r>
            <w:r w:rsidRPr="00DC13DA">
              <w:t>).</w:t>
            </w:r>
          </w:p>
        </w:tc>
      </w:tr>
      <w:tr w:rsidR="00911FC2" w14:paraId="37BEAE01" w14:textId="77777777" w:rsidTr="008314F4">
        <w:trPr>
          <w:trHeight w:val="20"/>
        </w:trPr>
        <w:tc>
          <w:tcPr>
            <w:tcW w:w="1000" w:type="pct"/>
            <w:vAlign w:val="center"/>
          </w:tcPr>
          <w:p w14:paraId="4DB4863B" w14:textId="77777777" w:rsidR="00911FC2" w:rsidRPr="006E170D" w:rsidRDefault="00911FC2" w:rsidP="004D2593">
            <w:pPr>
              <w:pStyle w:val="TBLText"/>
              <w:keepNext/>
            </w:pPr>
            <w:r>
              <w:t>Victoria</w:t>
            </w:r>
          </w:p>
        </w:tc>
        <w:tc>
          <w:tcPr>
            <w:tcW w:w="1000" w:type="pct"/>
          </w:tcPr>
          <w:p w14:paraId="218E7468" w14:textId="77777777" w:rsidR="00911FC2" w:rsidRPr="00BD7634" w:rsidRDefault="00911FC2" w:rsidP="004D2593">
            <w:pPr>
              <w:pStyle w:val="TBLText"/>
              <w:keepNext/>
              <w:rPr>
                <w:i/>
              </w:rPr>
            </w:pPr>
            <w:r w:rsidRPr="00BD7634">
              <w:rPr>
                <w:i/>
              </w:rPr>
              <w:t>Public Administration Act 2005</w:t>
            </w:r>
          </w:p>
        </w:tc>
        <w:tc>
          <w:tcPr>
            <w:tcW w:w="3000" w:type="pct"/>
          </w:tcPr>
          <w:p w14:paraId="71146DA1" w14:textId="77777777" w:rsidR="00911FC2" w:rsidRPr="006E170D" w:rsidRDefault="002E0D3A" w:rsidP="004D2593">
            <w:pPr>
              <w:pStyle w:val="TBLText"/>
              <w:keepNext/>
            </w:pPr>
            <w:r w:rsidRPr="00DC13DA">
              <w:t>Termination in accordance with EA, by parliamentarian or the POs in consultation with supervising MP. Termination by employer requires certain notice period or payment in lieu, unless termination is due to serious misconduct or a breach of mutual trust and confidence.</w:t>
            </w:r>
          </w:p>
        </w:tc>
      </w:tr>
      <w:tr w:rsidR="00911FC2" w14:paraId="7FA931D6" w14:textId="77777777" w:rsidTr="008314F4">
        <w:trPr>
          <w:trHeight w:val="20"/>
        </w:trPr>
        <w:tc>
          <w:tcPr>
            <w:tcW w:w="1000" w:type="pct"/>
            <w:vAlign w:val="center"/>
          </w:tcPr>
          <w:p w14:paraId="29262139" w14:textId="77777777" w:rsidR="00911FC2" w:rsidRPr="006E170D" w:rsidRDefault="00911FC2" w:rsidP="004D2593">
            <w:pPr>
              <w:pStyle w:val="TBLText"/>
              <w:keepNext/>
            </w:pPr>
            <w:r>
              <w:t>Western Australia</w:t>
            </w:r>
          </w:p>
        </w:tc>
        <w:tc>
          <w:tcPr>
            <w:tcW w:w="1000" w:type="pct"/>
          </w:tcPr>
          <w:p w14:paraId="36D55EC6" w14:textId="77777777" w:rsidR="00911FC2" w:rsidRPr="00BD7634" w:rsidRDefault="00911FC2" w:rsidP="004D2593">
            <w:pPr>
              <w:pStyle w:val="TBLText"/>
              <w:keepNext/>
              <w:rPr>
                <w:i/>
              </w:rPr>
            </w:pPr>
            <w:r w:rsidRPr="00BD7634">
              <w:rPr>
                <w:i/>
              </w:rPr>
              <w:t>Public Sector Management Act 1994; Parliamentary and Electorate Staff (Employment) Act 1992</w:t>
            </w:r>
          </w:p>
        </w:tc>
        <w:tc>
          <w:tcPr>
            <w:tcW w:w="3000" w:type="pct"/>
          </w:tcPr>
          <w:p w14:paraId="32A1AE51" w14:textId="77777777" w:rsidR="00911FC2" w:rsidRPr="006E170D" w:rsidRDefault="002E0D3A" w:rsidP="004D2593">
            <w:pPr>
              <w:pStyle w:val="TBLText"/>
              <w:keepNext/>
            </w:pPr>
            <w:r w:rsidRPr="00DC13DA">
              <w:t xml:space="preserve">Presiding Officer has powers to terminate </w:t>
            </w:r>
            <w:r w:rsidR="002751A5">
              <w:t>employees</w:t>
            </w:r>
            <w:r w:rsidR="002751A5" w:rsidRPr="00DC13DA">
              <w:t xml:space="preserve"> </w:t>
            </w:r>
            <w:r w:rsidRPr="00DC13DA">
              <w:t xml:space="preserve">as their formal ‘employer’ under the </w:t>
            </w:r>
            <w:r w:rsidRPr="00DC13DA">
              <w:rPr>
                <w:i/>
              </w:rPr>
              <w:t>Parliamentary and Electorate Staff (Employment) Act 1992</w:t>
            </w:r>
            <w:r w:rsidRPr="00DC13DA">
              <w:t>, which can be delegated to the relevant Clerk. Termination by employer requires four weeks’ notice or payment in lieu.</w:t>
            </w:r>
            <w:r>
              <w:t xml:space="preserve"> The date of termination may be deferred. </w:t>
            </w:r>
          </w:p>
        </w:tc>
      </w:tr>
      <w:tr w:rsidR="00911FC2" w14:paraId="47EDF318" w14:textId="77777777" w:rsidTr="008314F4">
        <w:trPr>
          <w:trHeight w:val="20"/>
        </w:trPr>
        <w:tc>
          <w:tcPr>
            <w:tcW w:w="1000" w:type="pct"/>
            <w:vAlign w:val="center"/>
          </w:tcPr>
          <w:p w14:paraId="18E9EBD6" w14:textId="77777777" w:rsidR="00911FC2" w:rsidRPr="006E170D" w:rsidRDefault="00911FC2" w:rsidP="004D2593">
            <w:pPr>
              <w:pStyle w:val="TBLText"/>
              <w:keepNext/>
            </w:pPr>
            <w:r>
              <w:t>Northern Territory</w:t>
            </w:r>
          </w:p>
        </w:tc>
        <w:tc>
          <w:tcPr>
            <w:tcW w:w="1000" w:type="pct"/>
          </w:tcPr>
          <w:p w14:paraId="6109256A" w14:textId="77777777" w:rsidR="00911FC2" w:rsidRPr="006E170D" w:rsidRDefault="00911FC2" w:rsidP="004D2593">
            <w:pPr>
              <w:pStyle w:val="TBLText"/>
              <w:keepNext/>
            </w:pPr>
            <w:r w:rsidRPr="00DC13DA">
              <w:rPr>
                <w:i/>
              </w:rPr>
              <w:t>Assembly Members and Statutory Officers (Remuneration and Other Entitlements) Act 2006</w:t>
            </w:r>
          </w:p>
        </w:tc>
        <w:tc>
          <w:tcPr>
            <w:tcW w:w="3000" w:type="pct"/>
          </w:tcPr>
          <w:p w14:paraId="36ED47F2" w14:textId="77777777" w:rsidR="00911FC2" w:rsidRPr="006E170D" w:rsidRDefault="00911FC2" w:rsidP="004D2593">
            <w:pPr>
              <w:pStyle w:val="TBLText"/>
              <w:keepNext/>
            </w:pPr>
            <w:r w:rsidRPr="00DC13DA">
              <w:t>MLA may terminate employment at any time by notice in writing (plus termination pay).</w:t>
            </w:r>
          </w:p>
        </w:tc>
      </w:tr>
    </w:tbl>
    <w:p w14:paraId="0E93B3F1" w14:textId="584EA3F7" w:rsidR="00117317" w:rsidRDefault="00117317" w:rsidP="00DC13DA"/>
    <w:p w14:paraId="5BF5105F" w14:textId="716AE8AA" w:rsidR="00AE6C41" w:rsidRDefault="00AE6C41" w:rsidP="00DC13DA"/>
    <w:p w14:paraId="2D6CC39C" w14:textId="77777777" w:rsidR="00AE6C41" w:rsidRPr="00B836DE" w:rsidRDefault="00AE6C41" w:rsidP="00DC13DA"/>
    <w:p w14:paraId="536ADE52" w14:textId="14EFC906" w:rsidR="00D236AA" w:rsidRDefault="004B7563" w:rsidP="00117317">
      <w:r>
        <w:t>Comparable i</w:t>
      </w:r>
      <w:r w:rsidR="00D236AA">
        <w:t xml:space="preserve">nternational jurisdictions are largely similar in how they manage the termination of </w:t>
      </w:r>
      <w:r w:rsidR="002751A5">
        <w:t>employees</w:t>
      </w:r>
      <w:r w:rsidR="00D236AA">
        <w:t>, with some minor differences:</w:t>
      </w:r>
    </w:p>
    <w:p w14:paraId="45DFCB5A" w14:textId="77777777" w:rsidR="00D236AA" w:rsidRDefault="00CB5817" w:rsidP="00CB5817">
      <w:pPr>
        <w:pStyle w:val="BulletedList-Level1"/>
      </w:pPr>
      <w:r>
        <w:t>Canada</w:t>
      </w:r>
      <w:r w:rsidR="004E3357">
        <w:t>:</w:t>
      </w:r>
      <w:r>
        <w:t xml:space="preserve"> </w:t>
      </w:r>
      <w:r w:rsidR="004E3357">
        <w:t>T</w:t>
      </w:r>
      <w:r>
        <w:t xml:space="preserve">ermination can be carried out with notice. </w:t>
      </w:r>
      <w:r w:rsidR="004E3357">
        <w:t xml:space="preserve">If a Member chooses to give pay in lieu of notice, the first two weeks of this sum will be charged to the Member’s Office Budget. </w:t>
      </w:r>
      <w:r w:rsidR="00D93E7B">
        <w:t>R</w:t>
      </w:r>
      <w:r>
        <w:t>edundancies or lay-offs can be challenged (e.g., on grounds that the lay-off was an abuse of authority), and mediation is available to resolve complaints.</w:t>
      </w:r>
      <w:r w:rsidR="00D93E7B">
        <w:rPr>
          <w:rStyle w:val="FootnoteReference"/>
        </w:rPr>
        <w:footnoteReference w:id="317"/>
      </w:r>
    </w:p>
    <w:p w14:paraId="35891430" w14:textId="77777777" w:rsidR="00CB5817" w:rsidRDefault="00CB5817" w:rsidP="00D236AA">
      <w:pPr>
        <w:pStyle w:val="BulletedList-Level1"/>
      </w:pPr>
      <w:r>
        <w:t xml:space="preserve">United Kingdom: Staff of the House can be terminated </w:t>
      </w:r>
      <w:r w:rsidR="00D93E7B">
        <w:t>with notice, or through dismissal</w:t>
      </w:r>
      <w:r>
        <w:t xml:space="preserve">. </w:t>
      </w:r>
      <w:r w:rsidR="00D93E7B">
        <w:t>Where dismissal does not involve grounds of gross misconduct</w:t>
      </w:r>
      <w:r>
        <w:t>, notice periods apply to termination</w:t>
      </w:r>
      <w:r w:rsidR="004E3357">
        <w:t>.</w:t>
      </w:r>
      <w:r w:rsidR="00D93E7B">
        <w:rPr>
          <w:rStyle w:val="FootnoteReference"/>
        </w:rPr>
        <w:footnoteReference w:id="318"/>
      </w:r>
      <w:r>
        <w:t xml:space="preserve"> Ministerial staff or advisors, however, are not entitled to a notice period.</w:t>
      </w:r>
      <w:r w:rsidR="00D93E7B">
        <w:t xml:space="preserve"> </w:t>
      </w:r>
    </w:p>
    <w:p w14:paraId="66D83CC4" w14:textId="77777777" w:rsidR="00CB5817" w:rsidRDefault="00CB5817" w:rsidP="00CB5817">
      <w:pPr>
        <w:pStyle w:val="BulletedList-Level1"/>
      </w:pPr>
      <w:r>
        <w:t>New Zealand: M</w:t>
      </w:r>
      <w:r w:rsidRPr="00CB5817">
        <w:t>embers can</w:t>
      </w:r>
      <w:r w:rsidR="008A7492">
        <w:t xml:space="preserve"> no longer</w:t>
      </w:r>
      <w:r w:rsidRPr="00CB5817">
        <w:t xml:space="preserve"> terminate an employee’s contract on the basis of a breakdown in relationship</w:t>
      </w:r>
      <w:r>
        <w:t xml:space="preserve">, which was previously considered as grounds for termination (known as the ‘breakdown clause’ in the Collective Two agreement) </w:t>
      </w:r>
      <w:r w:rsidRPr="00CB5817">
        <w:t xml:space="preserve">in which either the Member or the </w:t>
      </w:r>
      <w:r w:rsidR="002751A5">
        <w:t>employee</w:t>
      </w:r>
      <w:r w:rsidRPr="00CB5817">
        <w:t xml:space="preserve"> could invoke a relationship breakdown, based on ‘loss of trust and confidence’</w:t>
      </w:r>
      <w:r w:rsidR="002751A5">
        <w:t>,</w:t>
      </w:r>
      <w:r w:rsidRPr="00CB5817">
        <w:t xml:space="preserve"> as a reason for termination. However, this provision has been removed from the agreement.</w:t>
      </w:r>
    </w:p>
    <w:p w14:paraId="10A02869" w14:textId="77777777" w:rsidR="00DC13DA" w:rsidRDefault="00DC13DA"/>
    <w:bookmarkEnd w:id="6793"/>
    <w:p w14:paraId="6B3B0BA0" w14:textId="1688F787" w:rsidR="00117317" w:rsidRDefault="00DC13DA" w:rsidP="00051BDA">
      <w:pPr>
        <w:pStyle w:val="Heading3"/>
      </w:pPr>
      <w:r>
        <w:t xml:space="preserve">6.3.2 </w:t>
      </w:r>
      <w:r w:rsidR="00117317">
        <w:t>Options for improvement</w:t>
      </w:r>
    </w:p>
    <w:p w14:paraId="5339DDE7" w14:textId="77777777" w:rsidR="00117317" w:rsidRDefault="00117317" w:rsidP="00117317">
      <w:r>
        <w:t>The</w:t>
      </w:r>
      <w:r w:rsidDel="00F23879">
        <w:t xml:space="preserve"> </w:t>
      </w:r>
      <w:r w:rsidR="00F23879">
        <w:t>Review</w:t>
      </w:r>
      <w:r>
        <w:t xml:space="preserve"> heard a range of options to address the issues raised about termination at the initiative of the parliamentarian. Before considering these, one matter should be clear – the power of parliamentarians to terminate MoP(S) Act employment is not unfettered. Parliamentarians are subject to the same laws as any other managers and employers in Australia.</w:t>
      </w:r>
    </w:p>
    <w:p w14:paraId="6E02CC98" w14:textId="4F8A1645" w:rsidR="00117317" w:rsidRDefault="00117317" w:rsidP="00117317">
      <w:r>
        <w:t xml:space="preserve">As is set out above, subsections 16(3) and 23(2) </w:t>
      </w:r>
      <w:r w:rsidR="00EA298B">
        <w:t xml:space="preserve">of the MoP(S) Act </w:t>
      </w:r>
      <w:r w:rsidR="000D47A3">
        <w:t>would</w:t>
      </w:r>
      <w:r w:rsidR="000766EC">
        <w:t xml:space="preserve">, prima facie, </w:t>
      </w:r>
      <w:r>
        <w:t xml:space="preserve">enable summary dismissal </w:t>
      </w:r>
      <w:r w:rsidR="00F919A2">
        <w:t>for any reason</w:t>
      </w:r>
      <w:r w:rsidR="004B7563">
        <w:t xml:space="preserve"> </w:t>
      </w:r>
      <w:r w:rsidRPr="005A1508">
        <w:t>by</w:t>
      </w:r>
      <w:r>
        <w:t xml:space="preserve"> employing parliamentarians. However, </w:t>
      </w:r>
      <w:r w:rsidR="007E6539">
        <w:t>as confirmed by Finance in its submission</w:t>
      </w:r>
      <w:r>
        <w:t xml:space="preserve">, </w:t>
      </w:r>
      <w:r w:rsidR="00832B68">
        <w:t>these powers are</w:t>
      </w:r>
      <w:r>
        <w:t xml:space="preserve"> limited by the FW</w:t>
      </w:r>
      <w:r w:rsidR="00CF6693">
        <w:t xml:space="preserve"> </w:t>
      </w:r>
      <w:r>
        <w:t>A</w:t>
      </w:r>
      <w:r w:rsidR="00CF6693">
        <w:t>ct</w:t>
      </w:r>
      <w:r>
        <w:t>, Commonwealth anti-discrimination laws and common</w:t>
      </w:r>
      <w:r w:rsidR="00CA0E70">
        <w:t xml:space="preserve"> law</w:t>
      </w:r>
      <w:r>
        <w:t>.</w:t>
      </w:r>
      <w:r w:rsidR="007E6539">
        <w:rPr>
          <w:rStyle w:val="FootnoteReference"/>
        </w:rPr>
        <w:footnoteReference w:id="319"/>
      </w:r>
      <w:r>
        <w:t xml:space="preserve"> </w:t>
      </w:r>
      <w:r w:rsidR="00142173" w:rsidRPr="00142173">
        <w:rPr>
          <w:i/>
        </w:rPr>
        <w:t>Set the Standard</w:t>
      </w:r>
      <w:r>
        <w:t xml:space="preserve"> similarly observed claims that parliamentarians had unrestricted power to terminate their </w:t>
      </w:r>
      <w:r w:rsidR="002751A5">
        <w:t>employees</w:t>
      </w:r>
      <w:r>
        <w:t xml:space="preserve"> </w:t>
      </w:r>
      <w:r w:rsidR="00962C16">
        <w:t>are misconceived</w:t>
      </w:r>
      <w:r>
        <w:t xml:space="preserve">, and suggested that the OPSC develop educational material to inform employees and employers under the </w:t>
      </w:r>
      <w:r w:rsidR="00014107">
        <w:t>MoP</w:t>
      </w:r>
      <w:r w:rsidR="001F77C1">
        <w:t>(S)</w:t>
      </w:r>
      <w:r>
        <w:t xml:space="preserve"> Act regarding what constituted lawful termination.</w:t>
      </w:r>
      <w:r>
        <w:rPr>
          <w:rStyle w:val="FootnoteReference"/>
        </w:rPr>
        <w:footnoteReference w:id="320"/>
      </w:r>
      <w:r>
        <w:t xml:space="preserve"> </w:t>
      </w:r>
    </w:p>
    <w:p w14:paraId="7C6FCFB6" w14:textId="77777777" w:rsidR="00117317" w:rsidRDefault="00117317" w:rsidP="00117317">
      <w:r>
        <w:t xml:space="preserve">Beyond providing such support, participants to the Review suggested the power to terminate </w:t>
      </w:r>
      <w:r w:rsidR="002751A5">
        <w:t>employees</w:t>
      </w:r>
      <w:r>
        <w:t xml:space="preserve"> should be removed from parliamentarians or otherwise circumscribed. This could require:</w:t>
      </w:r>
    </w:p>
    <w:p w14:paraId="688079EB" w14:textId="77777777" w:rsidR="00117317" w:rsidRDefault="00117317" w:rsidP="00B45072">
      <w:pPr>
        <w:pStyle w:val="BulletedList-Level1"/>
      </w:pPr>
      <w:r>
        <w:t xml:space="preserve">a third party, external to the employer and employee, </w:t>
      </w:r>
      <w:r w:rsidR="008D6D9F">
        <w:t xml:space="preserve">to </w:t>
      </w:r>
      <w:r>
        <w:t xml:space="preserve">be granted the power to terminate employees under the </w:t>
      </w:r>
      <w:r w:rsidR="00014107">
        <w:t>MoP</w:t>
      </w:r>
      <w:r w:rsidR="001F77C1">
        <w:t>(S)</w:t>
      </w:r>
      <w:r>
        <w:t xml:space="preserve"> Act</w:t>
      </w:r>
    </w:p>
    <w:p w14:paraId="23D20F81" w14:textId="77777777" w:rsidR="00117317" w:rsidRDefault="00117317" w:rsidP="00B45072">
      <w:pPr>
        <w:pStyle w:val="BulletedList-Level1"/>
      </w:pPr>
      <w:r>
        <w:t xml:space="preserve">formal grounds of termination </w:t>
      </w:r>
      <w:r w:rsidR="008D6D9F">
        <w:t xml:space="preserve">to </w:t>
      </w:r>
      <w:r>
        <w:t>be incorporated into the Act to more clearly limit the parliamentarian’s ability to terminate employees.</w:t>
      </w:r>
    </w:p>
    <w:p w14:paraId="4CA98741" w14:textId="1CD06746" w:rsidR="00117317" w:rsidRPr="00EF15F7" w:rsidRDefault="00117317" w:rsidP="00EF15F7">
      <w:r w:rsidRPr="00EF15F7">
        <w:t>The first option would enable a third party, such as the Presiding Officer or Clerk of the relevant House of Parliament, or the OPSC, to exercise termination functions in relation to M</w:t>
      </w:r>
      <w:r w:rsidR="0092273B" w:rsidRPr="00EF15F7">
        <w:t>o</w:t>
      </w:r>
      <w:r w:rsidRPr="00EF15F7">
        <w:t>P</w:t>
      </w:r>
      <w:r w:rsidR="0092273B" w:rsidRPr="00EF15F7">
        <w:t>(S)</w:t>
      </w:r>
      <w:r w:rsidRPr="00EF15F7">
        <w:t xml:space="preserve"> </w:t>
      </w:r>
      <w:r w:rsidR="00D22139" w:rsidRPr="00EF15F7">
        <w:t xml:space="preserve">Act </w:t>
      </w:r>
      <w:r w:rsidR="002751A5" w:rsidRPr="00EF15F7">
        <w:t>employees</w:t>
      </w:r>
      <w:r w:rsidRPr="00EF15F7">
        <w:t xml:space="preserve">. This model has been adopted in other jurisdictions, with Presiding Officers or Clerks in NSW, </w:t>
      </w:r>
      <w:r w:rsidR="006F06DF">
        <w:t>Victoria</w:t>
      </w:r>
      <w:r w:rsidRPr="00EF15F7">
        <w:t xml:space="preserve">, WA and </w:t>
      </w:r>
      <w:r w:rsidR="006F06DF">
        <w:t>Queensland</w:t>
      </w:r>
      <w:r w:rsidRPr="00EF15F7">
        <w:t xml:space="preserve"> able to terminate employee</w:t>
      </w:r>
      <w:r w:rsidR="00B10EA8">
        <w:t>s</w:t>
      </w:r>
      <w:r w:rsidRPr="00EF15F7">
        <w:t xml:space="preserve"> in some situations</w:t>
      </w:r>
      <w:r w:rsidR="00B10EA8">
        <w:t>.</w:t>
      </w:r>
    </w:p>
    <w:p w14:paraId="1EB695B8" w14:textId="371FC208" w:rsidR="00117317" w:rsidRDefault="007832D5" w:rsidP="00117317">
      <w:r>
        <w:t>I</w:t>
      </w:r>
      <w:r w:rsidR="00117317">
        <w:t xml:space="preserve">n NSW, section 20A of the </w:t>
      </w:r>
      <w:r w:rsidR="00117317" w:rsidRPr="007714F5">
        <w:rPr>
          <w:i/>
        </w:rPr>
        <w:t xml:space="preserve">Members of Parliament Staff Act 2013 </w:t>
      </w:r>
      <w:r w:rsidR="002064CC">
        <w:rPr>
          <w:i/>
        </w:rPr>
        <w:t>(NSW</w:t>
      </w:r>
      <w:r w:rsidR="00117317">
        <w:rPr>
          <w:i/>
        </w:rPr>
        <w:t xml:space="preserve">) </w:t>
      </w:r>
      <w:r w:rsidR="00117317">
        <w:t xml:space="preserve">empowers the Presiding Officers of the NSW Parliament to terminate employees of parliamentarians if they have engaged in misconduct. In her submission to the Review, </w:t>
      </w:r>
      <w:r w:rsidR="00BD24AE">
        <w:t xml:space="preserve">Dr </w:t>
      </w:r>
      <w:r w:rsidR="00117317">
        <w:t xml:space="preserve">Maley argued that </w:t>
      </w:r>
      <w:r w:rsidR="008A7492">
        <w:t>the NSW</w:t>
      </w:r>
      <w:r w:rsidR="00117317">
        <w:t xml:space="preserve"> provision avoids situations where only the employing parliamentarian is e</w:t>
      </w:r>
      <w:r w:rsidR="00F403E8">
        <w:t>mpowered</w:t>
      </w:r>
      <w:r w:rsidR="00117317">
        <w:t xml:space="preserve"> to act where employees are suspected of misconduct, which is currently the case under the M</w:t>
      </w:r>
      <w:r w:rsidR="0092273B">
        <w:t>o</w:t>
      </w:r>
      <w:r w:rsidR="00117317">
        <w:t>P</w:t>
      </w:r>
      <w:r w:rsidR="0092273B">
        <w:t>(</w:t>
      </w:r>
      <w:r w:rsidR="00117317">
        <w:t>S</w:t>
      </w:r>
      <w:r w:rsidR="0092273B">
        <w:t>)</w:t>
      </w:r>
      <w:r w:rsidR="00117317">
        <w:t xml:space="preserve"> Act.</w:t>
      </w:r>
      <w:r w:rsidR="00117317">
        <w:rPr>
          <w:rStyle w:val="FootnoteReference"/>
        </w:rPr>
        <w:footnoteReference w:id="321"/>
      </w:r>
      <w:r w:rsidR="008A7492">
        <w:t xml:space="preserve"> Another example is in Queensland, where parliamentarians are required to </w:t>
      </w:r>
      <w:r w:rsidR="00C0150C">
        <w:t>obtain the Clerk’s approval prior to effecting a termination</w:t>
      </w:r>
      <w:r w:rsidR="008A7492">
        <w:t>.</w:t>
      </w:r>
      <w:r w:rsidR="008A7492">
        <w:rPr>
          <w:rStyle w:val="FootnoteReference"/>
        </w:rPr>
        <w:footnoteReference w:id="322"/>
      </w:r>
    </w:p>
    <w:p w14:paraId="5D9A63CC" w14:textId="77777777" w:rsidR="00117317" w:rsidRDefault="00117317" w:rsidP="00117317">
      <w:r>
        <w:t>The potential benefits of this arrangement include:</w:t>
      </w:r>
    </w:p>
    <w:p w14:paraId="06F36C8B" w14:textId="688348BA" w:rsidR="00117317" w:rsidRDefault="00B84623" w:rsidP="00DC13DA">
      <w:pPr>
        <w:pStyle w:val="BulletedList-Level1"/>
      </w:pPr>
      <w:r>
        <w:t xml:space="preserve">enabling </w:t>
      </w:r>
      <w:r w:rsidR="00117317">
        <w:t>third party intervention where a parliamentarian will not terminate an employee, particularly in situations where the employee poses a risk to the work health and safety of others</w:t>
      </w:r>
      <w:r w:rsidR="00B22984">
        <w:t xml:space="preserve"> </w:t>
      </w:r>
      <w:r w:rsidR="00117317">
        <w:t>or security in the workplace</w:t>
      </w:r>
    </w:p>
    <w:p w14:paraId="4397C565" w14:textId="77777777" w:rsidR="00117317" w:rsidRDefault="00117317" w:rsidP="00DC13DA">
      <w:pPr>
        <w:pStyle w:val="BulletedList-Level1"/>
      </w:pPr>
      <w:r>
        <w:t>a check on the termination powers of a parliamentarian, preventing situations where termination is carried out in inappropriate situations, such as where an office restructure is used purely as a means to terminate an employee</w:t>
      </w:r>
    </w:p>
    <w:p w14:paraId="307C96AC" w14:textId="0E824BB4" w:rsidR="00117317" w:rsidRDefault="00550479" w:rsidP="00DC13DA">
      <w:pPr>
        <w:pStyle w:val="BulletedList-Level1"/>
      </w:pPr>
      <w:r>
        <w:t>a</w:t>
      </w:r>
      <w:r w:rsidR="00117317">
        <w:t xml:space="preserve"> neutral third party determining whether termination of the employee is the best decision given all the circumstances.</w:t>
      </w:r>
    </w:p>
    <w:p w14:paraId="2A238B51" w14:textId="4D8A9114" w:rsidR="00117317" w:rsidRDefault="00F60A94" w:rsidP="00550479">
      <w:r>
        <w:t>A</w:t>
      </w:r>
      <w:r w:rsidR="00117317">
        <w:t xml:space="preserve">rguments </w:t>
      </w:r>
      <w:r w:rsidR="00987319">
        <w:t xml:space="preserve">we heard </w:t>
      </w:r>
      <w:r w:rsidR="00117317">
        <w:t xml:space="preserve">against this </w:t>
      </w:r>
      <w:r w:rsidR="00987319">
        <w:t>option</w:t>
      </w:r>
      <w:r w:rsidR="00117317">
        <w:t xml:space="preserve"> include:</w:t>
      </w:r>
    </w:p>
    <w:p w14:paraId="30A477FF" w14:textId="77777777" w:rsidR="00117317" w:rsidRDefault="00B72354" w:rsidP="00DC13DA">
      <w:pPr>
        <w:pStyle w:val="BulletedList-Level1"/>
      </w:pPr>
      <w:r>
        <w:t>an</w:t>
      </w:r>
      <w:r w:rsidR="00117317">
        <w:t xml:space="preserve"> employing parliamentarian may be in the best position to judge whether an employee should be terminated, particularly on the basis of performance</w:t>
      </w:r>
    </w:p>
    <w:p w14:paraId="309C35BF" w14:textId="7DB692D1" w:rsidR="00117317" w:rsidRDefault="0092273B" w:rsidP="00DC13DA">
      <w:pPr>
        <w:pStyle w:val="BulletedList-Level1"/>
      </w:pPr>
      <w:r>
        <w:t>h</w:t>
      </w:r>
      <w:r w:rsidR="00117317">
        <w:t>aving a third party undertake all terminations may slow the decision</w:t>
      </w:r>
      <w:r w:rsidR="00B84623">
        <w:t>-</w:t>
      </w:r>
      <w:r w:rsidR="00117317">
        <w:t>making on whether to terminate a</w:t>
      </w:r>
      <w:r w:rsidR="002751A5">
        <w:t>n employee</w:t>
      </w:r>
      <w:r w:rsidR="00117317">
        <w:t xml:space="preserve">, which may have a negative impact on the </w:t>
      </w:r>
      <w:r w:rsidR="004B7563">
        <w:t>operation</w:t>
      </w:r>
      <w:r w:rsidR="00117317">
        <w:t xml:space="preserve"> of the parliamentarian’s office</w:t>
      </w:r>
    </w:p>
    <w:p w14:paraId="200FFD23" w14:textId="3A9417AF" w:rsidR="005A1508" w:rsidRDefault="005A1508" w:rsidP="00550479">
      <w:pPr>
        <w:pStyle w:val="BulletedList-Level1"/>
      </w:pPr>
      <w:r>
        <w:t>enabling a third party to exercise powers of termination (in tandem with or instead of the parliamentarian exercising that power) would impede a parliamentarian’s ability to carry out their duties.</w:t>
      </w:r>
    </w:p>
    <w:p w14:paraId="7FFF5354" w14:textId="5227E5E5" w:rsidR="00550479" w:rsidRDefault="00117317" w:rsidP="00117317">
      <w:r>
        <w:t xml:space="preserve">The </w:t>
      </w:r>
      <w:r w:rsidR="00D74AA2">
        <w:t xml:space="preserve">Review </w:t>
      </w:r>
      <w:r>
        <w:t xml:space="preserve">sees merit in having some third party involvement in termination decisions. We note </w:t>
      </w:r>
      <w:r w:rsidR="00142173" w:rsidRPr="00142173">
        <w:rPr>
          <w:i/>
        </w:rPr>
        <w:t>Set the Standard</w:t>
      </w:r>
      <w:r w:rsidR="0092273B">
        <w:t xml:space="preserve"> </w:t>
      </w:r>
      <w:r w:rsidR="00891B03">
        <w:t xml:space="preserve">recommends a process </w:t>
      </w:r>
      <w:r>
        <w:t xml:space="preserve">to require parliamentarians to consult with the OPSC when </w:t>
      </w:r>
      <w:r w:rsidRPr="00031B1E">
        <w:t>proposing to terminate an employee, and to be held to account if the advice about the termination process is not taken.</w:t>
      </w:r>
      <w:r w:rsidR="004C7E82" w:rsidRPr="00031B1E">
        <w:rPr>
          <w:rStyle w:val="FootnoteReference"/>
        </w:rPr>
        <w:footnoteReference w:id="323"/>
      </w:r>
      <w:r w:rsidRPr="00031B1E">
        <w:t xml:space="preserve"> We expect the OPSC</w:t>
      </w:r>
      <w:r w:rsidR="005D72E0" w:rsidRPr="0045447E">
        <w:t>’s involvement to</w:t>
      </w:r>
      <w:r w:rsidRPr="00B712E8">
        <w:t xml:space="preserve"> </w:t>
      </w:r>
      <w:r w:rsidR="00031B1E" w:rsidRPr="00B22984">
        <w:t xml:space="preserve">support and educate the parliamentarian through the process should </w:t>
      </w:r>
      <w:r w:rsidRPr="00031B1E">
        <w:t xml:space="preserve">help </w:t>
      </w:r>
      <w:r w:rsidR="00487C17" w:rsidRPr="00031B1E">
        <w:t>ensure</w:t>
      </w:r>
      <w:r w:rsidR="007E6539" w:rsidRPr="0045447E">
        <w:t xml:space="preserve"> </w:t>
      </w:r>
      <w:r w:rsidRPr="00B712E8">
        <w:t>procedural fairness is provided</w:t>
      </w:r>
      <w:r w:rsidRPr="00E94129">
        <w:t xml:space="preserve"> to employees</w:t>
      </w:r>
      <w:r w:rsidR="00031B1E" w:rsidRPr="00E94129">
        <w:t>.</w:t>
      </w:r>
    </w:p>
    <w:p w14:paraId="2A86ED5F" w14:textId="0EF0C9A2" w:rsidR="00117317" w:rsidDel="006A0185" w:rsidRDefault="00117317" w:rsidP="00117317">
      <w:r>
        <w:t xml:space="preserve">The second option suggested by a number of Review participants </w:t>
      </w:r>
      <w:r w:rsidR="0008380D">
        <w:t>wa</w:t>
      </w:r>
      <w:r>
        <w:t xml:space="preserve">s to incorporate a list of grounds for termination </w:t>
      </w:r>
      <w:r w:rsidR="00192245">
        <w:t xml:space="preserve">of MoP(S) </w:t>
      </w:r>
      <w:r w:rsidR="00136872">
        <w:t xml:space="preserve">Act </w:t>
      </w:r>
      <w:r w:rsidR="00192245">
        <w:t xml:space="preserve">employment </w:t>
      </w:r>
      <w:r>
        <w:t xml:space="preserve">under </w:t>
      </w:r>
      <w:r w:rsidR="00EA298B">
        <w:t>sub</w:t>
      </w:r>
      <w:r>
        <w:t xml:space="preserve">sections 16(3) and 23(2). This </w:t>
      </w:r>
      <w:r w:rsidR="00192245">
        <w:t>could</w:t>
      </w:r>
      <w:r>
        <w:t xml:space="preserve"> </w:t>
      </w:r>
      <w:r w:rsidR="00192245">
        <w:t xml:space="preserve">provide </w:t>
      </w:r>
      <w:r w:rsidR="00550479">
        <w:t xml:space="preserve">additional </w:t>
      </w:r>
      <w:r>
        <w:t xml:space="preserve">certainty about the permitted grounds for termination. </w:t>
      </w:r>
      <w:r w:rsidR="00650955">
        <w:t>This</w:t>
      </w:r>
      <w:r>
        <w:t xml:space="preserve"> could help employees ascertain, to some extent, whether they had been validly terminated.</w:t>
      </w:r>
      <w:r w:rsidR="00B84623">
        <w:t xml:space="preserve"> </w:t>
      </w:r>
      <w:r w:rsidR="00192245">
        <w:t xml:space="preserve">Setting out </w:t>
      </w:r>
      <w:r w:rsidR="00B84623">
        <w:t>grounds for termination</w:t>
      </w:r>
      <w:r>
        <w:t xml:space="preserve"> </w:t>
      </w:r>
      <w:r w:rsidR="00192245">
        <w:t xml:space="preserve">of MoP(S) </w:t>
      </w:r>
      <w:r w:rsidR="00136872">
        <w:t xml:space="preserve">Act </w:t>
      </w:r>
      <w:r w:rsidR="00192245">
        <w:t xml:space="preserve">employment in legislation </w:t>
      </w:r>
      <w:r>
        <w:t xml:space="preserve">would be consistent with the arrangements for termination of other Commonwealth employees under the </w:t>
      </w:r>
      <w:r w:rsidR="00D14441">
        <w:t>PS Act</w:t>
      </w:r>
      <w:r>
        <w:t xml:space="preserve"> and the </w:t>
      </w:r>
      <w:r w:rsidRPr="00EC478F">
        <w:rPr>
          <w:i/>
        </w:rPr>
        <w:t>Parliamentary Services Act</w:t>
      </w:r>
      <w:r>
        <w:rPr>
          <w:i/>
        </w:rPr>
        <w:t xml:space="preserve"> </w:t>
      </w:r>
      <w:r w:rsidR="00EC478F">
        <w:rPr>
          <w:i/>
        </w:rPr>
        <w:t>1999</w:t>
      </w:r>
      <w:r>
        <w:t xml:space="preserve"> (Cth). Both Acts s</w:t>
      </w:r>
      <w:r w:rsidR="00650955">
        <w:t>pecify that an employee can be terminated on</w:t>
      </w:r>
      <w:r>
        <w:t xml:space="preserve"> grounds </w:t>
      </w:r>
      <w:r w:rsidR="00192245">
        <w:t>including</w:t>
      </w:r>
      <w:r>
        <w:t>: excess to requirements</w:t>
      </w:r>
      <w:r w:rsidR="00650955">
        <w:t>; lacking in</w:t>
      </w:r>
      <w:r>
        <w:t xml:space="preserve"> an essential qualification</w:t>
      </w:r>
      <w:r w:rsidR="00650955">
        <w:t>; under-performing; failing</w:t>
      </w:r>
      <w:r>
        <w:t xml:space="preserve"> to meet a compulsory condition of employment</w:t>
      </w:r>
      <w:r w:rsidR="00650955">
        <w:t>;</w:t>
      </w:r>
      <w:r w:rsidR="00E45CF6">
        <w:t xml:space="preserve"> or</w:t>
      </w:r>
      <w:r w:rsidR="00650955">
        <w:t xml:space="preserve"> in breach of</w:t>
      </w:r>
      <w:r>
        <w:t xml:space="preserve"> the APS Code of Conduct.</w:t>
      </w:r>
      <w:r>
        <w:rPr>
          <w:rStyle w:val="FootnoteReference"/>
        </w:rPr>
        <w:footnoteReference w:id="324"/>
      </w:r>
    </w:p>
    <w:p w14:paraId="209B3D61" w14:textId="32A7283A" w:rsidR="00192245" w:rsidRPr="00FA093F" w:rsidRDefault="00374327" w:rsidP="006A0185">
      <w:r w:rsidRPr="004D2776">
        <w:t xml:space="preserve">However, </w:t>
      </w:r>
      <w:r w:rsidR="00192245" w:rsidRPr="00FA093F">
        <w:t>the Review notes there is already a requireme</w:t>
      </w:r>
      <w:r w:rsidR="00192245" w:rsidRPr="004D2776">
        <w:t>nt in the MoP(S) Act for parliamentarians to specify the grounds for termination in the termination notice</w:t>
      </w:r>
      <w:r w:rsidR="004D2776" w:rsidRPr="004D2776">
        <w:t xml:space="preserve"> given to an employee</w:t>
      </w:r>
      <w:r w:rsidR="00791A7C">
        <w:t>, in addition to their obligations under the FW framework to identify lawful grounds for dismissal.</w:t>
      </w:r>
    </w:p>
    <w:p w14:paraId="73275A9E" w14:textId="5FAB5FC6" w:rsidR="004D2776" w:rsidRDefault="004D2776" w:rsidP="00117317">
      <w:r>
        <w:t>W</w:t>
      </w:r>
      <w:r w:rsidR="00117317">
        <w:t xml:space="preserve">hile a large number of </w:t>
      </w:r>
      <w:r>
        <w:t>contributors</w:t>
      </w:r>
      <w:r w:rsidR="00117317">
        <w:t xml:space="preserve"> </w:t>
      </w:r>
      <w:r w:rsidR="00711D8D">
        <w:t xml:space="preserve">were especially concerned by </w:t>
      </w:r>
      <w:r w:rsidR="00117317">
        <w:t xml:space="preserve">the </w:t>
      </w:r>
      <w:r w:rsidR="00711D8D">
        <w:t xml:space="preserve">ability of parliamentarians to terminate MoP(S) Act employment on grounds of </w:t>
      </w:r>
      <w:r w:rsidR="00117317">
        <w:t>‘loss of trust and confidence’, recent case law  establish</w:t>
      </w:r>
      <w:r w:rsidR="005C1676">
        <w:t>e</w:t>
      </w:r>
      <w:r>
        <w:t>s</w:t>
      </w:r>
      <w:r w:rsidR="00117317">
        <w:t xml:space="preserve"> that sufficient evidence and reasoning is required to </w:t>
      </w:r>
      <w:r w:rsidR="00A42202">
        <w:t>prove ‘</w:t>
      </w:r>
      <w:r w:rsidR="00117317">
        <w:t>loss of trust and confidence</w:t>
      </w:r>
      <w:r w:rsidR="00A42202">
        <w:t>’</w:t>
      </w:r>
      <w:r w:rsidR="00117317">
        <w:t xml:space="preserve"> in an employee prior to termination.</w:t>
      </w:r>
      <w:r w:rsidR="00117317">
        <w:rPr>
          <w:rStyle w:val="FootnoteReference"/>
        </w:rPr>
        <w:footnoteReference w:id="325"/>
      </w:r>
      <w:r w:rsidR="00117317">
        <w:t xml:space="preserve"> The ground of ‘loss of trust and confidence’ is therefore not as broad as </w:t>
      </w:r>
      <w:r w:rsidR="007607AE">
        <w:t>some assume</w:t>
      </w:r>
      <w:r w:rsidR="00117317">
        <w:t>.</w:t>
      </w:r>
      <w:r w:rsidR="00ED1A6C">
        <w:t xml:space="preserve"> As discussed, the OPSC will provide education and advice</w:t>
      </w:r>
      <w:r w:rsidR="00DD3FCF">
        <w:t xml:space="preserve"> on termination</w:t>
      </w:r>
      <w:r w:rsidR="00ED1A6C">
        <w:t xml:space="preserve"> to parliamentarians and MoP(S) Act employees</w:t>
      </w:r>
      <w:r w:rsidR="00DD3FCF">
        <w:t xml:space="preserve"> (see Recommendation 13)</w:t>
      </w:r>
      <w:r w:rsidR="00ED1A6C">
        <w:t xml:space="preserve">. The OPSC should consider tailoring advice or training that addresses the uncertainty surrounding terminations for ‘loss of trust and confidence’. </w:t>
      </w:r>
    </w:p>
    <w:p w14:paraId="4C5AEA29" w14:textId="73EBF1E4" w:rsidR="00117317" w:rsidRDefault="007832D5" w:rsidP="00117317">
      <w:r>
        <w:t>T</w:t>
      </w:r>
      <w:r w:rsidR="004D2776" w:rsidRPr="004D2776">
        <w:t>he Review does not recommend legislating specific grounds for termination.</w:t>
      </w:r>
    </w:p>
    <w:p w14:paraId="56D60BF9" w14:textId="77777777" w:rsidR="004D3068" w:rsidRDefault="004D3068" w:rsidP="00C87DC2"/>
    <w:p w14:paraId="6C962A91" w14:textId="2504E808" w:rsidR="00117317" w:rsidRDefault="00DC13DA" w:rsidP="00DC13DA">
      <w:pPr>
        <w:pStyle w:val="Heading2"/>
      </w:pPr>
      <w:bookmarkStart w:id="6794" w:name="_Toc114230907"/>
      <w:bookmarkStart w:id="6795" w:name="_Toc114233612"/>
      <w:bookmarkStart w:id="6796" w:name="_Toc114233684"/>
      <w:bookmarkStart w:id="6797" w:name="_Toc114240641"/>
      <w:bookmarkStart w:id="6798" w:name="_Toc114240715"/>
      <w:bookmarkStart w:id="6799" w:name="_Toc114241059"/>
      <w:bookmarkStart w:id="6800" w:name="_Toc114494080"/>
      <w:bookmarkStart w:id="6801" w:name="_Toc114500331"/>
      <w:bookmarkStart w:id="6802" w:name="_Toc114500406"/>
      <w:bookmarkStart w:id="6803" w:name="_Toc114518679"/>
      <w:bookmarkStart w:id="6804" w:name="_Toc114520351"/>
      <w:bookmarkStart w:id="6805" w:name="_Toc114520760"/>
      <w:bookmarkStart w:id="6806" w:name="_Toc114565788"/>
      <w:bookmarkStart w:id="6807" w:name="_Toc114566769"/>
      <w:bookmarkStart w:id="6808" w:name="_Toc114566994"/>
      <w:bookmarkStart w:id="6809" w:name="_Toc114566918"/>
      <w:bookmarkStart w:id="6810" w:name="_Toc114585919"/>
      <w:bookmarkStart w:id="6811" w:name="_Toc114586063"/>
      <w:bookmarkStart w:id="6812" w:name="_Toc114586135"/>
      <w:bookmarkStart w:id="6813" w:name="_Toc114601275"/>
      <w:bookmarkStart w:id="6814" w:name="_Toc114657316"/>
      <w:bookmarkStart w:id="6815" w:name="_Toc114659778"/>
      <w:bookmarkStart w:id="6816" w:name="_Toc114662763"/>
      <w:bookmarkStart w:id="6817" w:name="_Toc114665146"/>
      <w:bookmarkStart w:id="6818" w:name="_Toc114672454"/>
      <w:bookmarkStart w:id="6819" w:name="_Toc114672666"/>
      <w:bookmarkStart w:id="6820" w:name="_Toc114673221"/>
      <w:bookmarkStart w:id="6821" w:name="_Toc114673807"/>
      <w:bookmarkStart w:id="6822" w:name="_Toc114674332"/>
      <w:bookmarkStart w:id="6823" w:name="_Toc114687505"/>
      <w:bookmarkStart w:id="6824" w:name="_Toc114689969"/>
      <w:bookmarkStart w:id="6825" w:name="_Toc114731832"/>
      <w:bookmarkStart w:id="6826" w:name="_Toc114733597"/>
      <w:bookmarkStart w:id="6827" w:name="_Toc114735538"/>
      <w:bookmarkStart w:id="6828" w:name="_Toc114755866"/>
      <w:bookmarkStart w:id="6829" w:name="_Toc114757171"/>
      <w:bookmarkStart w:id="6830" w:name="_Toc114757455"/>
      <w:bookmarkStart w:id="6831" w:name="_Toc114757557"/>
      <w:bookmarkStart w:id="6832" w:name="_Toc114758230"/>
      <w:bookmarkStart w:id="6833" w:name="_Toc114824400"/>
      <w:bookmarkStart w:id="6834" w:name="_Toc114829476"/>
      <w:bookmarkStart w:id="6835" w:name="_Toc114829840"/>
      <w:bookmarkStart w:id="6836" w:name="_Toc114829984"/>
      <w:bookmarkStart w:id="6837" w:name="_Toc115099063"/>
      <w:bookmarkStart w:id="6838" w:name="_Toc115099135"/>
      <w:bookmarkStart w:id="6839" w:name="_Toc115101712"/>
      <w:bookmarkStart w:id="6840" w:name="_Toc115102557"/>
      <w:bookmarkStart w:id="6841" w:name="_Toc115105530"/>
      <w:bookmarkStart w:id="6842" w:name="_Toc115110391"/>
      <w:bookmarkStart w:id="6843" w:name="_Toc115110518"/>
      <w:bookmarkStart w:id="6844" w:name="_Toc115121636"/>
      <w:bookmarkStart w:id="6845" w:name="_Toc115122006"/>
      <w:bookmarkStart w:id="6846" w:name="_Toc115123486"/>
      <w:bookmarkStart w:id="6847" w:name="_Toc115123734"/>
      <w:bookmarkStart w:id="6848" w:name="_Toc115126866"/>
      <w:bookmarkStart w:id="6849" w:name="_Toc115185501"/>
      <w:bookmarkStart w:id="6850" w:name="_Toc115186128"/>
      <w:bookmarkStart w:id="6851" w:name="_Toc115189286"/>
      <w:bookmarkStart w:id="6852" w:name="_Toc115194259"/>
      <w:bookmarkStart w:id="6853" w:name="_Toc115194996"/>
      <w:bookmarkStart w:id="6854" w:name="_Toc115196406"/>
      <w:bookmarkStart w:id="6855" w:name="_Toc115198907"/>
      <w:bookmarkStart w:id="6856" w:name="_Toc115208922"/>
      <w:bookmarkStart w:id="6857" w:name="_Toc115209058"/>
      <w:bookmarkStart w:id="6858" w:name="_Toc115210389"/>
      <w:bookmarkStart w:id="6859" w:name="_Toc115212614"/>
      <w:bookmarkStart w:id="6860" w:name="_Toc115213254"/>
      <w:bookmarkStart w:id="6861" w:name="_Toc115216752"/>
      <w:bookmarkStart w:id="6862" w:name="_Toc115270443"/>
      <w:bookmarkStart w:id="6863" w:name="_Toc115271386"/>
      <w:bookmarkStart w:id="6864" w:name="_Toc115272303"/>
      <w:bookmarkStart w:id="6865" w:name="_Toc115273473"/>
      <w:bookmarkStart w:id="6866" w:name="_Toc115273401"/>
      <w:bookmarkStart w:id="6867" w:name="_Toc115274303"/>
      <w:bookmarkStart w:id="6868" w:name="_Toc115274654"/>
      <w:bookmarkStart w:id="6869" w:name="_Toc115274880"/>
      <w:bookmarkStart w:id="6870" w:name="_Toc115275237"/>
      <w:bookmarkStart w:id="6871" w:name="_Toc115275380"/>
      <w:bookmarkStart w:id="6872" w:name="_Toc115274217"/>
      <w:bookmarkStart w:id="6873" w:name="_Toc115274518"/>
      <w:bookmarkStart w:id="6874" w:name="_Toc115274586"/>
      <w:bookmarkStart w:id="6875" w:name="_Toc115274744"/>
      <w:bookmarkStart w:id="6876" w:name="_Toc115277478"/>
      <w:bookmarkStart w:id="6877" w:name="_Toc115277682"/>
      <w:bookmarkStart w:id="6878" w:name="_Toc115278571"/>
      <w:bookmarkStart w:id="6879" w:name="_Toc115278651"/>
      <w:bookmarkStart w:id="6880" w:name="_Toc115282321"/>
      <w:bookmarkStart w:id="6881" w:name="_Toc115284774"/>
      <w:bookmarkStart w:id="6882" w:name="_Toc115286866"/>
      <w:bookmarkStart w:id="6883" w:name="_Toc115294800"/>
      <w:bookmarkStart w:id="6884" w:name="_Toc115296380"/>
      <w:bookmarkStart w:id="6885" w:name="_Toc115308566"/>
      <w:bookmarkStart w:id="6886" w:name="_Toc115311218"/>
      <w:bookmarkStart w:id="6887" w:name="_Toc115312698"/>
      <w:bookmarkStart w:id="6888" w:name="_Toc115343872"/>
      <w:bookmarkStart w:id="6889" w:name="_Toc115348310"/>
      <w:bookmarkStart w:id="6890" w:name="_Toc115350408"/>
      <w:bookmarkStart w:id="6891" w:name="_Toc115353496"/>
      <w:bookmarkStart w:id="6892" w:name="_Toc115359527"/>
      <w:bookmarkStart w:id="6893" w:name="_Toc115361931"/>
      <w:bookmarkStart w:id="6894" w:name="_Toc115364324"/>
      <w:bookmarkStart w:id="6895" w:name="_Toc115365418"/>
      <w:bookmarkStart w:id="6896" w:name="_Toc115365758"/>
      <w:bookmarkStart w:id="6897" w:name="_Toc115366222"/>
      <w:bookmarkStart w:id="6898" w:name="_Toc115368672"/>
      <w:bookmarkStart w:id="6899" w:name="_Toc115370112"/>
      <w:bookmarkStart w:id="6900" w:name="_Toc115370846"/>
      <w:bookmarkStart w:id="6901" w:name="_Toc115374418"/>
      <w:bookmarkStart w:id="6902" w:name="_Toc115378757"/>
      <w:bookmarkStart w:id="6903" w:name="_Toc115380989"/>
      <w:bookmarkStart w:id="6904" w:name="_Toc115384141"/>
      <w:bookmarkStart w:id="6905" w:name="_Toc115387370"/>
      <w:bookmarkStart w:id="6906" w:name="_Toc115388836"/>
      <w:bookmarkStart w:id="6907" w:name="_Toc115431474"/>
      <w:bookmarkStart w:id="6908" w:name="_Toc115432852"/>
      <w:bookmarkStart w:id="6909" w:name="_Toc115434423"/>
      <w:bookmarkStart w:id="6910" w:name="_Toc115434522"/>
      <w:bookmarkStart w:id="6911" w:name="_Toc115434591"/>
      <w:bookmarkStart w:id="6912" w:name="_Toc115434660"/>
      <w:bookmarkStart w:id="6913" w:name="_Toc115442827"/>
      <w:bookmarkStart w:id="6914" w:name="_Toc115446363"/>
      <w:bookmarkStart w:id="6915" w:name="_Toc115448070"/>
      <w:bookmarkStart w:id="6916" w:name="_Toc115449462"/>
      <w:bookmarkStart w:id="6917" w:name="_Toc115452482"/>
      <w:bookmarkStart w:id="6918" w:name="_Toc115455299"/>
      <w:bookmarkStart w:id="6919" w:name="_Toc115455365"/>
      <w:bookmarkStart w:id="6920" w:name="_Toc115457315"/>
      <w:bookmarkStart w:id="6921" w:name="_Toc115458151"/>
      <w:bookmarkStart w:id="6922" w:name="_Toc115948179"/>
      <w:bookmarkStart w:id="6923" w:name="_Toc115948626"/>
      <w:r>
        <w:t>6</w:t>
      </w:r>
      <w:r w:rsidR="00117317">
        <w:t>.4 Termination processes and procedural fairness</w:t>
      </w:r>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p>
    <w:p w14:paraId="57EBF815" w14:textId="77777777" w:rsidR="00117317" w:rsidRDefault="00117317" w:rsidP="00117317">
      <w:r>
        <w:t xml:space="preserve">This section examines to what extent procedural fairness is </w:t>
      </w:r>
      <w:r w:rsidR="008D2E92">
        <w:t>afforded</w:t>
      </w:r>
      <w:r>
        <w:t xml:space="preserve"> to MoP(S) Act employees when their employment terminates, and whether changes </w:t>
      </w:r>
      <w:r w:rsidR="000C535F">
        <w:t>are needed</w:t>
      </w:r>
      <w:r>
        <w:t xml:space="preserve"> to </w:t>
      </w:r>
      <w:r w:rsidR="000C535F">
        <w:t>support the</w:t>
      </w:r>
      <w:r>
        <w:t xml:space="preserve"> </w:t>
      </w:r>
      <w:r w:rsidR="000C535F">
        <w:t>application of these</w:t>
      </w:r>
      <w:r>
        <w:t xml:space="preserve"> principle</w:t>
      </w:r>
      <w:r w:rsidR="000C535F">
        <w:t>s</w:t>
      </w:r>
      <w:r>
        <w:t>.</w:t>
      </w:r>
    </w:p>
    <w:p w14:paraId="12991DC4" w14:textId="77777777" w:rsidR="00DC13DA" w:rsidRDefault="00DC13DA" w:rsidP="00117317"/>
    <w:p w14:paraId="17179D68" w14:textId="10F90947" w:rsidR="00117317" w:rsidRDefault="00DC13DA" w:rsidP="00051BDA">
      <w:pPr>
        <w:pStyle w:val="Heading3"/>
      </w:pPr>
      <w:r>
        <w:t>6.4</w:t>
      </w:r>
      <w:r w:rsidR="00117317">
        <w:t xml:space="preserve">.1 Current situation </w:t>
      </w:r>
    </w:p>
    <w:p w14:paraId="7FFE50E8" w14:textId="16EE9F94" w:rsidR="00B84623" w:rsidRDefault="00B84623" w:rsidP="00B84623">
      <w:r w:rsidRPr="000C535F">
        <w:t>Procedural fairness is defined as ‘the fairness of the procedure by which a decision is made, and not the fairness in a substantive sense of that decision’.</w:t>
      </w:r>
      <w:r w:rsidRPr="000C535F">
        <w:rPr>
          <w:rStyle w:val="FootnoteReference"/>
        </w:rPr>
        <w:footnoteReference w:id="326"/>
      </w:r>
      <w:r w:rsidRPr="000C535F">
        <w:t xml:space="preserve"> The concept therefore relates to the</w:t>
      </w:r>
      <w:r>
        <w:t xml:space="preserve"> decision-making process prior to a termination, rather than the </w:t>
      </w:r>
      <w:r w:rsidR="002D7F47">
        <w:t xml:space="preserve">merits of the </w:t>
      </w:r>
      <w:r>
        <w:t>decision itself. According to the Fair Work Commission, procedural fairness can contain a number of aspects, such as following appropriate procedures when dismissing an employee, explaining th</w:t>
      </w:r>
      <w:r w:rsidR="00D64752">
        <w:t>e situation</w:t>
      </w:r>
      <w:r>
        <w:t xml:space="preserve"> to the employee, and whether an employee has been able to seek advice or have a support person available at the meeting.</w:t>
      </w:r>
      <w:r>
        <w:rPr>
          <w:rStyle w:val="FootnoteReference"/>
        </w:rPr>
        <w:footnoteReference w:id="327"/>
      </w:r>
      <w:r>
        <w:t xml:space="preserve"> This principle is relevant in determining whether a dismissal was harsh, unjust or unreasonable </w:t>
      </w:r>
      <w:r w:rsidR="00A618F6">
        <w:t xml:space="preserve">in </w:t>
      </w:r>
      <w:r>
        <w:t>unfair dismissal claims.</w:t>
      </w:r>
    </w:p>
    <w:p w14:paraId="5A72C1FA" w14:textId="6E1D5280" w:rsidR="00BE3C88" w:rsidRDefault="00117317" w:rsidP="00BE3C88">
      <w:r>
        <w:t xml:space="preserve">The MoP(S) Act itself does not set out all of the procedural requirements for a termination. The Act only requires a MoP(S) Act employee to be </w:t>
      </w:r>
      <w:r w:rsidR="00F86BAA">
        <w:t>given</w:t>
      </w:r>
      <w:r>
        <w:t xml:space="preserve"> a notice of termination in writing that specifies the </w:t>
      </w:r>
      <w:r w:rsidR="00A618F6">
        <w:t>ground/s</w:t>
      </w:r>
      <w:r>
        <w:t xml:space="preserve"> for termination. </w:t>
      </w:r>
      <w:r w:rsidR="00BE3C88">
        <w:t xml:space="preserve">The </w:t>
      </w:r>
      <w:r w:rsidR="006023B2">
        <w:t>EA</w:t>
      </w:r>
      <w:r w:rsidR="00BE3C88">
        <w:t xml:space="preserve"> </w:t>
      </w:r>
      <w:r w:rsidR="00F86BAA">
        <w:t xml:space="preserve">sets out </w:t>
      </w:r>
      <w:r w:rsidR="00BE3C88">
        <w:t xml:space="preserve">further procedures, </w:t>
      </w:r>
      <w:r w:rsidR="00F86BAA">
        <w:t xml:space="preserve">specifying the </w:t>
      </w:r>
      <w:r w:rsidR="00BE3C88">
        <w:t>notice period for different terminations and payments in lieu of notice.</w:t>
      </w:r>
      <w:r w:rsidR="00530F55">
        <w:t xml:space="preserve"> </w:t>
      </w:r>
    </w:p>
    <w:p w14:paraId="7F886AA9" w14:textId="7E969E5C" w:rsidR="00117317" w:rsidRPr="0084522F" w:rsidRDefault="00117317" w:rsidP="00117317">
      <w:r w:rsidRPr="0084522F">
        <w:t>In the usual course, procedural fairness requirements</w:t>
      </w:r>
      <w:r w:rsidR="00E0743A" w:rsidRPr="0084522F">
        <w:t xml:space="preserve"> depend on the circumstances and require a flexible approach.</w:t>
      </w:r>
      <w:r w:rsidR="00C614D6" w:rsidRPr="0084522F">
        <w:rPr>
          <w:rStyle w:val="FootnoteReference"/>
        </w:rPr>
        <w:footnoteReference w:id="328"/>
      </w:r>
      <w:r w:rsidR="004A0EB0" w:rsidRPr="0084522F">
        <w:t>Procedural fairness requirements may also need to be considered against other pertinent issues, such as national security or other matters.</w:t>
      </w:r>
      <w:r w:rsidR="004A0EB0" w:rsidRPr="0084522F">
        <w:rPr>
          <w:rStyle w:val="FootnoteReference"/>
        </w:rPr>
        <w:footnoteReference w:id="329"/>
      </w:r>
      <w:r w:rsidR="00C614D6" w:rsidRPr="0084522F">
        <w:t xml:space="preserve">Traditionally, procedural fairness </w:t>
      </w:r>
      <w:r w:rsidR="004A0EB0" w:rsidRPr="0084522F">
        <w:t>in decision-making comprises of</w:t>
      </w:r>
      <w:r w:rsidR="00C614D6" w:rsidRPr="0084522F">
        <w:t>:</w:t>
      </w:r>
    </w:p>
    <w:p w14:paraId="2F70C33E" w14:textId="77777777" w:rsidR="00C614D6" w:rsidRPr="0084522F" w:rsidRDefault="00D25FEC" w:rsidP="00C614D6">
      <w:pPr>
        <w:pStyle w:val="BulletedList-Level1"/>
      </w:pPr>
      <w:r w:rsidRPr="0084522F">
        <w:t>t</w:t>
      </w:r>
      <w:r w:rsidR="00C614D6" w:rsidRPr="0084522F">
        <w:t>he fair hearing rule, which requires that a decision-maker provides a person with the opportunity to be heard prior to a decision being made that affects their interests (e.g. prior notice of a decision, disclosure of information pertinent to their interests, and a substantive hearing in either oral or written format and a reasonable opportunity to present a case)</w:t>
      </w:r>
    </w:p>
    <w:p w14:paraId="13FEE017" w14:textId="77777777" w:rsidR="00C614D6" w:rsidRPr="0084522F" w:rsidRDefault="00D25FEC" w:rsidP="00C614D6">
      <w:pPr>
        <w:pStyle w:val="BulletedList-Level1"/>
      </w:pPr>
      <w:r w:rsidRPr="0084522F">
        <w:t>t</w:t>
      </w:r>
      <w:r w:rsidR="00C614D6" w:rsidRPr="0084522F">
        <w:t>he rule against bias, which requires that a decision maker is ‘fair-minded and informed of the circumstances’</w:t>
      </w:r>
      <w:r w:rsidR="00C614D6" w:rsidRPr="0084522F">
        <w:rPr>
          <w:rStyle w:val="FootnoteReference"/>
        </w:rPr>
        <w:footnoteReference w:id="330"/>
      </w:r>
      <w:r w:rsidR="00C614D6" w:rsidRPr="0084522F">
        <w:t xml:space="preserve"> </w:t>
      </w:r>
      <w:r w:rsidRPr="0084522F">
        <w:t>(h</w:t>
      </w:r>
      <w:r w:rsidR="00C614D6" w:rsidRPr="0084522F">
        <w:t>owever, this rule is dependent on the situation to determine the extent to which this is appropriate</w:t>
      </w:r>
      <w:r w:rsidRPr="0084522F">
        <w:t>)</w:t>
      </w:r>
    </w:p>
    <w:p w14:paraId="33E79F88" w14:textId="77777777" w:rsidR="00C614D6" w:rsidRPr="0084522F" w:rsidRDefault="00D25FEC" w:rsidP="00C614D6">
      <w:pPr>
        <w:pStyle w:val="BulletedList-Level1"/>
      </w:pPr>
      <w:r w:rsidRPr="0084522F">
        <w:t>t</w:t>
      </w:r>
      <w:r w:rsidR="00C614D6" w:rsidRPr="0084522F">
        <w:t>he evidence rule, which requires that decisions are based on relevant evidence that logically supports the decision.</w:t>
      </w:r>
    </w:p>
    <w:p w14:paraId="57E001B1" w14:textId="6D58ABAA" w:rsidR="0093049F" w:rsidRPr="00E82EAA" w:rsidRDefault="00C614D6" w:rsidP="00117317">
      <w:r w:rsidRPr="0084522F">
        <w:t>Procedural fairness requirements are present in a number of other sectors to varying degrees depending on contextual factors.</w:t>
      </w:r>
      <w:r w:rsidRPr="00E82EAA">
        <w:t xml:space="preserve"> For example, the  Australian Public Service Commission (APSC) </w:t>
      </w:r>
      <w:r w:rsidR="00204D78">
        <w:t>requires</w:t>
      </w:r>
      <w:r w:rsidR="00313574">
        <w:t xml:space="preserve"> agencies </w:t>
      </w:r>
      <w:r w:rsidRPr="00E82EAA">
        <w:t xml:space="preserve">when investigating breaches of the APS Code of Conduct </w:t>
      </w:r>
      <w:r w:rsidR="00204D78">
        <w:t>to</w:t>
      </w:r>
      <w:r w:rsidR="00483CE3">
        <w:t xml:space="preserve"> </w:t>
      </w:r>
      <w:r w:rsidR="00D4569A">
        <w:t>comply</w:t>
      </w:r>
      <w:r w:rsidR="00A811C2">
        <w:t xml:space="preserve"> with</w:t>
      </w:r>
      <w:r w:rsidR="0093049F" w:rsidRPr="00E82EAA">
        <w:t xml:space="preserve"> the</w:t>
      </w:r>
      <w:r w:rsidR="00A811C2">
        <w:t xml:space="preserve">se three traditional rules </w:t>
      </w:r>
      <w:r w:rsidR="0093049F" w:rsidRPr="00E82EAA">
        <w:t xml:space="preserve">where </w:t>
      </w:r>
      <w:r w:rsidR="00D4569A">
        <w:t>a</w:t>
      </w:r>
      <w:r w:rsidR="00D4569A" w:rsidRPr="00E82EAA">
        <w:t xml:space="preserve"> </w:t>
      </w:r>
      <w:r w:rsidR="0093049F" w:rsidRPr="00E82EAA">
        <w:t>person</w:t>
      </w:r>
      <w:r w:rsidR="00D4569A">
        <w:t xml:space="preserve">’s </w:t>
      </w:r>
      <w:r w:rsidR="0093049F" w:rsidRPr="00E82EAA">
        <w:t>rights or interests may be adversely affected by a decision (generally interpreted to be an employee, rather than witnesses or complainants).</w:t>
      </w:r>
      <w:r w:rsidR="0093049F" w:rsidRPr="00E82EAA">
        <w:rPr>
          <w:rStyle w:val="FootnoteReference"/>
        </w:rPr>
        <w:footnoteReference w:id="331"/>
      </w:r>
      <w:r w:rsidR="0093049F" w:rsidRPr="00E82EAA">
        <w:t xml:space="preserve"> The APSC </w:t>
      </w:r>
      <w:r w:rsidR="000C4AAC">
        <w:t xml:space="preserve">stipulates that investigators </w:t>
      </w:r>
      <w:r w:rsidR="00516203">
        <w:t xml:space="preserve">should take the </w:t>
      </w:r>
      <w:r w:rsidR="0093049F" w:rsidRPr="00E82EAA">
        <w:t xml:space="preserve">following measures to ensure procedural fairness requirements are met when investigating an APS employee for </w:t>
      </w:r>
      <w:r w:rsidR="006A0185">
        <w:t xml:space="preserve">potential APS </w:t>
      </w:r>
      <w:r w:rsidR="0093049F" w:rsidRPr="00E82EAA">
        <w:t>Code of Conduct breaches:</w:t>
      </w:r>
    </w:p>
    <w:p w14:paraId="47ADC29C" w14:textId="77777777" w:rsidR="00FE0B6C" w:rsidRPr="00E82EAA" w:rsidRDefault="00D25FEC" w:rsidP="00BE3C88">
      <w:pPr>
        <w:pStyle w:val="BulletedList-Level1"/>
      </w:pPr>
      <w:r>
        <w:t>c</w:t>
      </w:r>
      <w:r w:rsidR="00FE0B6C" w:rsidRPr="00E82EAA">
        <w:t>ollect investigatory material to support the findings</w:t>
      </w:r>
    </w:p>
    <w:p w14:paraId="700FB64E" w14:textId="77777777" w:rsidR="00FE0B6C" w:rsidRPr="00E82EAA" w:rsidRDefault="00D25FEC" w:rsidP="00BE3C88">
      <w:pPr>
        <w:pStyle w:val="BulletedList-Level1"/>
      </w:pPr>
      <w:r>
        <w:t>p</w:t>
      </w:r>
      <w:r w:rsidR="00FE0B6C" w:rsidRPr="00E82EAA">
        <w:t>rovid</w:t>
      </w:r>
      <w:r w:rsidR="00516203">
        <w:t xml:space="preserve">e </w:t>
      </w:r>
      <w:r w:rsidR="00FE0B6C" w:rsidRPr="00E82EAA">
        <w:t>the employee with an opportunity to comment</w:t>
      </w:r>
      <w:r w:rsidR="00BE3C88" w:rsidRPr="00E82EAA">
        <w:t xml:space="preserve"> prior to a decision being made.</w:t>
      </w:r>
      <w:r w:rsidR="00BE3C88" w:rsidRPr="00E82EAA">
        <w:rPr>
          <w:rStyle w:val="FootnoteReference"/>
        </w:rPr>
        <w:footnoteReference w:id="332"/>
      </w:r>
    </w:p>
    <w:p w14:paraId="25D1D429" w14:textId="77777777" w:rsidR="00117317" w:rsidRPr="00DC13DA" w:rsidRDefault="00117317" w:rsidP="00051BDA">
      <w:pPr>
        <w:pStyle w:val="Heading4"/>
      </w:pPr>
      <w:r w:rsidRPr="00DC13DA" w:rsidDel="0088665B">
        <w:t>W</w:t>
      </w:r>
      <w:r w:rsidRPr="00DC13DA">
        <w:t>hat we heard</w:t>
      </w:r>
    </w:p>
    <w:p w14:paraId="7DC4EC40" w14:textId="6FF21EB9" w:rsidR="00117317" w:rsidRDefault="00117317" w:rsidP="00117317">
      <w:r>
        <w:t>Former and current M</w:t>
      </w:r>
      <w:r w:rsidR="00D25FEC">
        <w:t>o</w:t>
      </w:r>
      <w:r>
        <w:t>P</w:t>
      </w:r>
      <w:r w:rsidR="00D25FEC">
        <w:t>(S)</w:t>
      </w:r>
      <w:r>
        <w:t xml:space="preserve"> </w:t>
      </w:r>
      <w:r w:rsidR="000C429B">
        <w:t xml:space="preserve">Act </w:t>
      </w:r>
      <w:r>
        <w:t>employees reported</w:t>
      </w:r>
      <w:r w:rsidDel="00C73F17">
        <w:t xml:space="preserve"> </w:t>
      </w:r>
      <w:r>
        <w:t xml:space="preserve">the processes that surround termination (particularly termination at the initiative of the parliamentarian) </w:t>
      </w:r>
      <w:r w:rsidR="00F60A94">
        <w:t xml:space="preserve">often </w:t>
      </w:r>
      <w:r>
        <w:t>lack procedural fairness and are often inconsistent with best practice. Participants also identified that current provisions contained in the Act appeared to have limited procedural fairness embedded in the termination process, which was reinforced by the practical operation of termination.</w:t>
      </w:r>
    </w:p>
    <w:p w14:paraId="04486770" w14:textId="0F172FB9" w:rsidR="00117317" w:rsidRDefault="00117317" w:rsidP="00117317">
      <w:r>
        <w:t xml:space="preserve">Review participants </w:t>
      </w:r>
      <w:r w:rsidR="00C63BF9">
        <w:t>perceive</w:t>
      </w:r>
      <w:r>
        <w:t xml:space="preserve"> the protections </w:t>
      </w:r>
      <w:r w:rsidR="00C63BF9">
        <w:t>in</w:t>
      </w:r>
      <w:r>
        <w:t xml:space="preserve"> the </w:t>
      </w:r>
      <w:r w:rsidR="00E42824">
        <w:t xml:space="preserve">FW Act </w:t>
      </w:r>
      <w:r w:rsidR="00C63BF9">
        <w:t>do</w:t>
      </w:r>
      <w:r>
        <w:t xml:space="preserve"> not apply to </w:t>
      </w:r>
      <w:r w:rsidR="00C63BF9">
        <w:t xml:space="preserve">MoP(S) </w:t>
      </w:r>
      <w:r w:rsidR="000C429B">
        <w:t xml:space="preserve">Act </w:t>
      </w:r>
      <w:r w:rsidR="00C63BF9">
        <w:t>employees, and parliamentarians behave</w:t>
      </w:r>
      <w:r>
        <w:t xml:space="preserve"> as though they </w:t>
      </w:r>
      <w:r w:rsidR="005B012C">
        <w:t>are</w:t>
      </w:r>
      <w:r>
        <w:t xml:space="preserve"> ‘above the law’ and </w:t>
      </w:r>
      <w:r w:rsidR="00C63BF9">
        <w:t>are</w:t>
      </w:r>
      <w:r>
        <w:t xml:space="preserve"> not required to uphold procedural fairness during termination. </w:t>
      </w:r>
      <w:r w:rsidR="00C63BF9">
        <w:t>For example, despite procedural fairness</w:t>
      </w:r>
      <w:r>
        <w:t xml:space="preserve"> requirements for employees to be given </w:t>
      </w:r>
      <w:r w:rsidR="00C63BF9">
        <w:t>an adequate opportunity to respond to concerns about their performance or conduct, we heard these opportunities are often not provided</w:t>
      </w:r>
      <w:r>
        <w:t>. A number of</w:t>
      </w:r>
      <w:r w:rsidR="00C63BF9">
        <w:t xml:space="preserve"> former </w:t>
      </w:r>
      <w:r w:rsidR="000F0112">
        <w:t>MoP(</w:t>
      </w:r>
      <w:r w:rsidR="00C63BF9">
        <w:t>S</w:t>
      </w:r>
      <w:r w:rsidR="000F0112">
        <w:t>)</w:t>
      </w:r>
      <w:r w:rsidR="00C63BF9">
        <w:t xml:space="preserve"> </w:t>
      </w:r>
      <w:r w:rsidR="00B2757D">
        <w:t xml:space="preserve">Act </w:t>
      </w:r>
      <w:r w:rsidR="00C63BF9">
        <w:t>employees</w:t>
      </w:r>
      <w:r>
        <w:t xml:space="preserve"> reported </w:t>
      </w:r>
      <w:r w:rsidR="00C63BF9">
        <w:t>being</w:t>
      </w:r>
      <w:r>
        <w:t xml:space="preserve"> dismissed with no formal </w:t>
      </w:r>
      <w:r w:rsidR="00C63BF9">
        <w:t>communication</w:t>
      </w:r>
      <w:r>
        <w:t xml:space="preserve"> </w:t>
      </w:r>
      <w:r w:rsidR="008F0BD9">
        <w:t xml:space="preserve">prior to the termination </w:t>
      </w:r>
      <w:r>
        <w:t>to indicate there were issues. The lack of warnin</w:t>
      </w:r>
      <w:r w:rsidR="00C63BF9">
        <w:t xml:space="preserve">g, </w:t>
      </w:r>
      <w:r w:rsidR="00767742">
        <w:t>or</w:t>
      </w:r>
      <w:r w:rsidR="00C63BF9">
        <w:t xml:space="preserve"> opportunity to address concerns,</w:t>
      </w:r>
      <w:r>
        <w:t xml:space="preserve"> contribute to the already-present sense of job insecurity </w:t>
      </w:r>
      <w:r w:rsidR="00C63BF9">
        <w:t xml:space="preserve">MoP(S) </w:t>
      </w:r>
      <w:r w:rsidR="00E031CD">
        <w:t>Act</w:t>
      </w:r>
      <w:r w:rsidR="00C63BF9">
        <w:t xml:space="preserve"> employees</w:t>
      </w:r>
      <w:r>
        <w:t xml:space="preserve"> feel, and </w:t>
      </w:r>
      <w:r w:rsidR="002751A5">
        <w:t>employees</w:t>
      </w:r>
      <w:r>
        <w:t xml:space="preserve"> reported that this made the termination process more distressing.</w:t>
      </w:r>
      <w:r w:rsidR="00A43BAA">
        <w:t xml:space="preserve"> </w:t>
      </w:r>
      <w:r w:rsidR="00A618F6">
        <w:t>C</w:t>
      </w:r>
      <w:r w:rsidR="00635340">
        <w:t xml:space="preserve">urrent and former </w:t>
      </w:r>
      <w:r w:rsidR="00C63BF9">
        <w:t>MoP(S)</w:t>
      </w:r>
      <w:r>
        <w:t xml:space="preserve"> </w:t>
      </w:r>
      <w:r w:rsidR="000C429B">
        <w:t xml:space="preserve">Act </w:t>
      </w:r>
      <w:r w:rsidR="00635340">
        <w:t>employees</w:t>
      </w:r>
      <w:r>
        <w:t xml:space="preserve"> </w:t>
      </w:r>
      <w:r w:rsidR="00A618F6">
        <w:t>told us</w:t>
      </w:r>
      <w:r>
        <w:t>:</w:t>
      </w:r>
    </w:p>
    <w:p w14:paraId="68B4EC2E" w14:textId="311F94AB" w:rsidR="00117317" w:rsidRDefault="00D74AA2" w:rsidP="00DC13DA">
      <w:pPr>
        <w:pStyle w:val="BulletedList-Level1"/>
      </w:pPr>
      <w:r>
        <w:t>t</w:t>
      </w:r>
      <w:r w:rsidR="00117317">
        <w:t xml:space="preserve">erminations with little or no notice were conducted </w:t>
      </w:r>
      <w:r w:rsidR="00C63BF9">
        <w:t>by some parliamentarians</w:t>
      </w:r>
      <w:r w:rsidR="00117317">
        <w:t xml:space="preserve"> at the end of the day or immediately after a critical piece of work was delivered by the employee, </w:t>
      </w:r>
      <w:r w:rsidR="00A618F6">
        <w:t xml:space="preserve">leading to </w:t>
      </w:r>
      <w:r w:rsidR="00117317">
        <w:t xml:space="preserve"> feelings of being taken advantage of, used, or unappreciated</w:t>
      </w:r>
    </w:p>
    <w:p w14:paraId="7FD59F43" w14:textId="23972A08" w:rsidR="00117317" w:rsidRDefault="00D74AA2" w:rsidP="00DC13DA">
      <w:pPr>
        <w:pStyle w:val="BulletedList-Level1"/>
      </w:pPr>
      <w:r>
        <w:t>c</w:t>
      </w:r>
      <w:r w:rsidR="00117317">
        <w:t>hallenging behaviours often accompany termination, either prior to the termination or at termination, such as the parliamentarian refusing to engage or respond to the employee</w:t>
      </w:r>
    </w:p>
    <w:p w14:paraId="414BC586" w14:textId="77777777" w:rsidR="00635340" w:rsidRDefault="00D74AA2" w:rsidP="00635340">
      <w:pPr>
        <w:pStyle w:val="BulletedList-Level1"/>
      </w:pPr>
      <w:r>
        <w:t>c</w:t>
      </w:r>
      <w:r w:rsidR="00635340">
        <w:t>ommon practices, such as performance reviews and formal warnings prior to termination, are uncommon in MoP(S) Act employment</w:t>
      </w:r>
    </w:p>
    <w:p w14:paraId="12E58D02" w14:textId="40D9999A" w:rsidR="00117317" w:rsidRDefault="00D74AA2" w:rsidP="00DC13DA">
      <w:pPr>
        <w:pStyle w:val="BulletedList-Level1"/>
      </w:pPr>
      <w:r>
        <w:t>t</w:t>
      </w:r>
      <w:r w:rsidR="00117317">
        <w:t xml:space="preserve">ermination rather than resignation is preferable as termination attracts severance payouts, which some </w:t>
      </w:r>
      <w:r w:rsidR="002751A5">
        <w:t>employees</w:t>
      </w:r>
      <w:r w:rsidR="00117317">
        <w:t xml:space="preserve"> pursued </w:t>
      </w:r>
      <w:r w:rsidR="00A618F6">
        <w:t>as</w:t>
      </w:r>
      <w:r w:rsidR="00117317">
        <w:t xml:space="preserve"> a form of compensation for </w:t>
      </w:r>
      <w:r w:rsidR="00A618F6">
        <w:t>poor</w:t>
      </w:r>
      <w:r w:rsidR="00117317">
        <w:t xml:space="preserve"> experience</w:t>
      </w:r>
      <w:r w:rsidR="00A618F6">
        <w:t>s</w:t>
      </w:r>
      <w:r w:rsidR="00117317">
        <w:t xml:space="preserve"> in the workplace</w:t>
      </w:r>
    </w:p>
    <w:p w14:paraId="0B5F4BB7" w14:textId="6F5EF640" w:rsidR="00635340" w:rsidRDefault="00D74AA2" w:rsidP="00635340">
      <w:pPr>
        <w:pStyle w:val="BulletedList-Level1"/>
      </w:pPr>
      <w:r>
        <w:t>c</w:t>
      </w:r>
      <w:r w:rsidR="00635340">
        <w:t xml:space="preserve">ounselling or other forms of employee support </w:t>
      </w:r>
      <w:r w:rsidR="00A618F6">
        <w:t>are</w:t>
      </w:r>
      <w:r w:rsidR="00635340">
        <w:t xml:space="preserve"> not often offered</w:t>
      </w:r>
    </w:p>
    <w:p w14:paraId="61E8519E" w14:textId="087CCFA9" w:rsidR="00117317" w:rsidRDefault="002751A5" w:rsidP="00DC13DA">
      <w:pPr>
        <w:pStyle w:val="BulletedList-Level1"/>
      </w:pPr>
      <w:r>
        <w:t>employees</w:t>
      </w:r>
      <w:r w:rsidR="00117317">
        <w:t xml:space="preserve"> felt they were on their own against their employer and were unlikely to get assistance from the Commonwealth in pursuing any action against the parliamentarian.</w:t>
      </w:r>
    </w:p>
    <w:p w14:paraId="289005B3" w14:textId="20595F7E" w:rsidR="00DC13DA" w:rsidRDefault="00117317" w:rsidP="00117317">
      <w:r>
        <w:t xml:space="preserve">Review participants who </w:t>
      </w:r>
      <w:r w:rsidR="000109BB">
        <w:t xml:space="preserve">claimed to have </w:t>
      </w:r>
      <w:r>
        <w:t>been ‘forced’ or encouraged to resign from positions under the M</w:t>
      </w:r>
      <w:r w:rsidR="00D25FEC">
        <w:t>o</w:t>
      </w:r>
      <w:r>
        <w:t>P</w:t>
      </w:r>
      <w:r w:rsidR="00D25FEC">
        <w:t>(S)</w:t>
      </w:r>
      <w:r>
        <w:t xml:space="preserve"> Act highlighted that in their cases – where they had resigned to avoid </w:t>
      </w:r>
      <w:r w:rsidR="007832D5">
        <w:t xml:space="preserve">having </w:t>
      </w:r>
      <w:r w:rsidR="00767742">
        <w:t xml:space="preserve">their </w:t>
      </w:r>
      <w:r w:rsidR="007832D5">
        <w:t>employment terminated</w:t>
      </w:r>
      <w:r>
        <w:t xml:space="preserve"> – there was less procedural fairness than in usual circumstances, as affected employees felt they had no recourse. This group of participants could not access </w:t>
      </w:r>
      <w:r w:rsidR="00A618F6">
        <w:t>benefits</w:t>
      </w:r>
      <w:r>
        <w:t xml:space="preserve"> they would have been entitled to had they been terminated</w:t>
      </w:r>
      <w:r w:rsidR="00767742">
        <w:t xml:space="preserve"> by the parliamentarian</w:t>
      </w:r>
      <w:r>
        <w:t>.</w:t>
      </w:r>
    </w:p>
    <w:p w14:paraId="38375BB3" w14:textId="59F0C883" w:rsidR="00ED085C" w:rsidRDefault="00F755EA" w:rsidP="00117317">
      <w:r>
        <w:t xml:space="preserve">The view expressed by </w:t>
      </w:r>
      <w:r w:rsidR="00783635">
        <w:t>contributors</w:t>
      </w:r>
      <w:r>
        <w:t xml:space="preserve"> that </w:t>
      </w:r>
      <w:r w:rsidR="00783635">
        <w:t xml:space="preserve">MoP(S) </w:t>
      </w:r>
      <w:r>
        <w:t xml:space="preserve">termination processes can be </w:t>
      </w:r>
      <w:r w:rsidR="00783635">
        <w:t>improved</w:t>
      </w:r>
      <w:r>
        <w:t xml:space="preserve"> is supported by cases</w:t>
      </w:r>
      <w:r w:rsidR="0050533B">
        <w:t xml:space="preserve"> </w:t>
      </w:r>
      <w:r w:rsidR="009037FC">
        <w:t>brought to the Fair Work Commission</w:t>
      </w:r>
      <w:r w:rsidR="0050533B">
        <w:t xml:space="preserve"> </w:t>
      </w:r>
      <w:r>
        <w:t>involving the termination of MoP(S) Act employees.</w:t>
      </w:r>
      <w:r w:rsidR="00ED085C">
        <w:t xml:space="preserve"> Common themes </w:t>
      </w:r>
      <w:r w:rsidR="00783635">
        <w:t>in</w:t>
      </w:r>
      <w:r w:rsidR="00ED085C">
        <w:t xml:space="preserve"> the cases include:</w:t>
      </w:r>
    </w:p>
    <w:p w14:paraId="3EC5BA4B" w14:textId="78A6B8CB" w:rsidR="00ED085C" w:rsidRDefault="000C2B15" w:rsidP="00ED085C">
      <w:pPr>
        <w:pStyle w:val="BulletedList-Level1"/>
      </w:pPr>
      <w:r>
        <w:t>p</w:t>
      </w:r>
      <w:r w:rsidR="00ED085C">
        <w:t>rocedural fairness, including notice provisions and an opportunity for the employee to respond</w:t>
      </w:r>
      <w:r w:rsidR="00ED085C">
        <w:rPr>
          <w:rStyle w:val="FootnoteReference"/>
        </w:rPr>
        <w:footnoteReference w:id="333"/>
      </w:r>
    </w:p>
    <w:p w14:paraId="4288A809" w14:textId="68B04C5B" w:rsidR="00ED085C" w:rsidRDefault="00ED085C" w:rsidP="00ED085C">
      <w:pPr>
        <w:pStyle w:val="BulletedList-Level1"/>
      </w:pPr>
      <w:r>
        <w:t>grounds for and process of termination</w:t>
      </w:r>
      <w:r w:rsidR="0050533B">
        <w:t>, including summary termination</w:t>
      </w:r>
      <w:r>
        <w:rPr>
          <w:rStyle w:val="FootnoteReference"/>
        </w:rPr>
        <w:footnoteReference w:id="334"/>
      </w:r>
    </w:p>
    <w:p w14:paraId="0FA3447A" w14:textId="77777777" w:rsidR="00ED085C" w:rsidRDefault="000C2B15" w:rsidP="00152C81">
      <w:pPr>
        <w:pStyle w:val="BulletedList-Level1"/>
      </w:pPr>
      <w:r>
        <w:t>t</w:t>
      </w:r>
      <w:r w:rsidR="00ED085C">
        <w:t xml:space="preserve">he connection between an employee making a complaint and later being terminated, and to what extent this engages the general protections of the </w:t>
      </w:r>
      <w:r w:rsidR="00A90572">
        <w:t>FW Act</w:t>
      </w:r>
      <w:r w:rsidR="00ED085C">
        <w:t xml:space="preserve"> or anti-discrimination legislation.</w:t>
      </w:r>
      <w:r w:rsidR="00ED085C">
        <w:rPr>
          <w:rStyle w:val="FootnoteReference"/>
        </w:rPr>
        <w:footnoteReference w:id="335"/>
      </w:r>
    </w:p>
    <w:p w14:paraId="0586C2AF" w14:textId="77777777" w:rsidR="00D25FEC" w:rsidRDefault="00D25FEC" w:rsidP="00A43BAA"/>
    <w:p w14:paraId="1DE75632" w14:textId="321F368B" w:rsidR="00117317" w:rsidRDefault="00DC13DA" w:rsidP="00051BDA">
      <w:pPr>
        <w:pStyle w:val="Heading3"/>
      </w:pPr>
      <w:r>
        <w:t>6.4</w:t>
      </w:r>
      <w:r w:rsidR="00117317">
        <w:t xml:space="preserve">.2 </w:t>
      </w:r>
      <w:r w:rsidR="00117317" w:rsidRPr="001F20C8">
        <w:t>Options</w:t>
      </w:r>
      <w:r w:rsidR="00117317">
        <w:t xml:space="preserve"> for improvement</w:t>
      </w:r>
    </w:p>
    <w:p w14:paraId="4EE26C7E" w14:textId="47E07FFD" w:rsidR="00451CC9" w:rsidRPr="0055271A" w:rsidRDefault="00451CC9" w:rsidP="001F0A87">
      <w:pPr>
        <w:pStyle w:val="Heading4"/>
      </w:pPr>
      <w:r w:rsidRPr="0055271A">
        <w:t xml:space="preserve">Introducing </w:t>
      </w:r>
      <w:r w:rsidR="00783635">
        <w:t xml:space="preserve">suspensions </w:t>
      </w:r>
    </w:p>
    <w:p w14:paraId="6BC4A2EA" w14:textId="65F633B9" w:rsidR="00783635" w:rsidRPr="0084522F" w:rsidRDefault="00117317" w:rsidP="00117317">
      <w:r w:rsidRPr="0084522F">
        <w:t xml:space="preserve">The introduction of suspensions </w:t>
      </w:r>
      <w:r w:rsidR="002B0B95" w:rsidRPr="0084522F">
        <w:t xml:space="preserve">of employment </w:t>
      </w:r>
      <w:r w:rsidRPr="0084522F">
        <w:t>into the M</w:t>
      </w:r>
      <w:r w:rsidR="00CC6567" w:rsidRPr="0084522F">
        <w:t>o</w:t>
      </w:r>
      <w:r w:rsidRPr="0084522F">
        <w:t>P</w:t>
      </w:r>
      <w:r w:rsidR="00CC6567" w:rsidRPr="0084522F">
        <w:t>(</w:t>
      </w:r>
      <w:r w:rsidRPr="0084522F">
        <w:t>S</w:t>
      </w:r>
      <w:r w:rsidR="00CC6567" w:rsidRPr="0084522F">
        <w:t>)</w:t>
      </w:r>
      <w:r w:rsidRPr="0084522F">
        <w:t xml:space="preserve"> </w:t>
      </w:r>
      <w:r w:rsidR="00EF6FEF" w:rsidRPr="0084522F">
        <w:t xml:space="preserve">Act </w:t>
      </w:r>
      <w:r w:rsidRPr="0084522F">
        <w:t xml:space="preserve">framework could enable employers to remove an employee from the workplace in situations where </w:t>
      </w:r>
      <w:r w:rsidR="00757FDC" w:rsidRPr="0084522F">
        <w:t>there is</w:t>
      </w:r>
      <w:r w:rsidRPr="0084522F">
        <w:t xml:space="preserve"> serious misconduct or </w:t>
      </w:r>
      <w:r w:rsidR="00757FDC" w:rsidRPr="0084522F">
        <w:t xml:space="preserve">a </w:t>
      </w:r>
      <w:r w:rsidRPr="0084522F">
        <w:t xml:space="preserve">significant </w:t>
      </w:r>
      <w:r w:rsidR="00757FDC" w:rsidRPr="0084522F">
        <w:t>threat</w:t>
      </w:r>
      <w:r w:rsidRPr="0084522F">
        <w:t xml:space="preserve"> to workplace health and safety, while also supporting a procedurally fair process to </w:t>
      </w:r>
      <w:r w:rsidR="006F05BC" w:rsidRPr="0084522F">
        <w:t xml:space="preserve">investigate a matter or </w:t>
      </w:r>
      <w:r w:rsidRPr="0084522F">
        <w:t>consider termination of that employee. The</w:t>
      </w:r>
      <w:r w:rsidR="00D069E9" w:rsidRPr="0084522F">
        <w:t xml:space="preserve">re </w:t>
      </w:r>
      <w:r w:rsidR="006F05BC" w:rsidRPr="0084522F">
        <w:t>are currently</w:t>
      </w:r>
      <w:r w:rsidR="00D069E9" w:rsidRPr="0084522F">
        <w:t xml:space="preserve"> no</w:t>
      </w:r>
      <w:r w:rsidRPr="0084522F">
        <w:t xml:space="preserve"> </w:t>
      </w:r>
      <w:r w:rsidR="007E47DC" w:rsidRPr="0084522F">
        <w:t xml:space="preserve">provisions relating to </w:t>
      </w:r>
      <w:r w:rsidRPr="0084522F">
        <w:t>suspen</w:t>
      </w:r>
      <w:r w:rsidR="007E47DC" w:rsidRPr="0084522F">
        <w:t>sion</w:t>
      </w:r>
      <w:r w:rsidRPr="0084522F">
        <w:t xml:space="preserve"> in the MoP(S) Act, </w:t>
      </w:r>
      <w:r w:rsidR="007E47DC" w:rsidRPr="0084522F">
        <w:t>EA or standard employment agreement</w:t>
      </w:r>
      <w:r w:rsidRPr="0084522F">
        <w:t xml:space="preserve">, </w:t>
      </w:r>
      <w:r w:rsidR="006F05BC" w:rsidRPr="0084522F">
        <w:t xml:space="preserve">though </w:t>
      </w:r>
      <w:r w:rsidR="00205014" w:rsidRPr="0084522F">
        <w:t xml:space="preserve">there is a common </w:t>
      </w:r>
      <w:r w:rsidR="002B0B95" w:rsidRPr="0084522F">
        <w:t xml:space="preserve">law right </w:t>
      </w:r>
      <w:r w:rsidR="006F05BC" w:rsidRPr="0084522F">
        <w:t>to suspen</w:t>
      </w:r>
      <w:r w:rsidR="002B0B95" w:rsidRPr="0084522F">
        <w:t>d employees</w:t>
      </w:r>
      <w:r w:rsidR="006F05BC" w:rsidRPr="0084522F">
        <w:t xml:space="preserve"> by issuing a lawful and reasonable direc</w:t>
      </w:r>
      <w:r w:rsidR="002B0B95" w:rsidRPr="0084522F">
        <w:t>tion in some circumstances</w:t>
      </w:r>
      <w:r w:rsidR="006F05BC" w:rsidRPr="0084522F">
        <w:t xml:space="preserve">. </w:t>
      </w:r>
    </w:p>
    <w:p w14:paraId="6946EECE" w14:textId="141E5C39" w:rsidR="006F05BC" w:rsidRDefault="006F05BC" w:rsidP="00117317">
      <w:r w:rsidRPr="0084522F">
        <w:t>In any case,</w:t>
      </w:r>
      <w:r w:rsidR="00117317" w:rsidRPr="0084522F">
        <w:t xml:space="preserve"> it appear</w:t>
      </w:r>
      <w:r w:rsidRPr="0084522F">
        <w:t>s</w:t>
      </w:r>
      <w:r w:rsidR="00D069E9" w:rsidRPr="0084522F">
        <w:t xml:space="preserve"> suspensions are </w:t>
      </w:r>
      <w:r w:rsidRPr="0084522F">
        <w:t xml:space="preserve">not </w:t>
      </w:r>
      <w:r w:rsidR="00D069E9" w:rsidRPr="0084522F">
        <w:t xml:space="preserve">used </w:t>
      </w:r>
      <w:r w:rsidR="00117317" w:rsidRPr="0084522F">
        <w:t xml:space="preserve">in parliamentary </w:t>
      </w:r>
      <w:r w:rsidR="00CC6567" w:rsidRPr="0084522F">
        <w:t>offices</w:t>
      </w:r>
      <w:r w:rsidR="00117317" w:rsidRPr="0084522F">
        <w:t xml:space="preserve">. </w:t>
      </w:r>
    </w:p>
    <w:p w14:paraId="59D8E93B" w14:textId="773E7C50" w:rsidR="00117317" w:rsidRPr="0084522F" w:rsidRDefault="002B0B95" w:rsidP="00117317">
      <w:r w:rsidRPr="0084522F">
        <w:t>The Review notes</w:t>
      </w:r>
      <w:r w:rsidR="00117317" w:rsidRPr="0084522F">
        <w:t xml:space="preserve"> Presiding Officers (in addition to other officers) </w:t>
      </w:r>
      <w:r w:rsidR="009923E9" w:rsidRPr="0084522F">
        <w:t>may</w:t>
      </w:r>
      <w:r w:rsidR="00117317" w:rsidRPr="0084522F">
        <w:t xml:space="preserve"> direct the removal or non-entry of a person within the parliamentary precinct </w:t>
      </w:r>
      <w:r w:rsidR="00783635" w:rsidRPr="0084522F">
        <w:t>in accordance with</w:t>
      </w:r>
      <w:r w:rsidR="00117317" w:rsidRPr="0084522F">
        <w:t xml:space="preserve"> the </w:t>
      </w:r>
      <w:r w:rsidR="00117317" w:rsidRPr="0084522F">
        <w:rPr>
          <w:i/>
        </w:rPr>
        <w:t>Parliamentary Precincts Act 1988</w:t>
      </w:r>
      <w:r w:rsidR="00366C0B" w:rsidRPr="0084522F">
        <w:t>.</w:t>
      </w:r>
      <w:r w:rsidR="00366C0B" w:rsidRPr="0084522F">
        <w:rPr>
          <w:rStyle w:val="FootnoteReference"/>
        </w:rPr>
        <w:t xml:space="preserve"> </w:t>
      </w:r>
      <w:r w:rsidR="00366C0B" w:rsidRPr="0084522F">
        <w:rPr>
          <w:rStyle w:val="FootnoteReference"/>
        </w:rPr>
        <w:footnoteReference w:id="336"/>
      </w:r>
      <w:r w:rsidR="00366C0B" w:rsidRPr="0084522F">
        <w:t xml:space="preserve"> This power has been exercised </w:t>
      </w:r>
      <w:r w:rsidR="00783635" w:rsidRPr="0084522F">
        <w:t xml:space="preserve">at least once </w:t>
      </w:r>
      <w:r w:rsidR="00366C0B" w:rsidRPr="0084522F">
        <w:t xml:space="preserve">in relation to </w:t>
      </w:r>
      <w:r w:rsidR="00313574">
        <w:t xml:space="preserve">a </w:t>
      </w:r>
      <w:r w:rsidR="00366C0B" w:rsidRPr="0084522F">
        <w:t>MoP(S)</w:t>
      </w:r>
      <w:r w:rsidR="00366C0B" w:rsidRPr="0084522F" w:rsidDel="002751A5">
        <w:t xml:space="preserve"> </w:t>
      </w:r>
      <w:r w:rsidR="000C429B" w:rsidRPr="0084522F">
        <w:t xml:space="preserve">Act </w:t>
      </w:r>
      <w:r w:rsidR="00783635" w:rsidRPr="0084522F">
        <w:t>employee, in circumstances</w:t>
      </w:r>
      <w:r w:rsidR="00366C0B" w:rsidRPr="0084522F">
        <w:t xml:space="preserve"> where a MoP(S) </w:t>
      </w:r>
      <w:r w:rsidR="000C429B" w:rsidRPr="0084522F">
        <w:t xml:space="preserve">Act </w:t>
      </w:r>
      <w:r w:rsidR="00366C0B" w:rsidRPr="0084522F">
        <w:t xml:space="preserve">employee was alleged to have behaved inappropriately towards a senator and </w:t>
      </w:r>
      <w:r w:rsidR="007E47DC" w:rsidRPr="0084522F">
        <w:t xml:space="preserve">their building pass </w:t>
      </w:r>
      <w:r w:rsidR="00366C0B" w:rsidRPr="0084522F">
        <w:t xml:space="preserve">was subsequently </w:t>
      </w:r>
      <w:r w:rsidR="007E47DC" w:rsidRPr="0084522F">
        <w:t>revoked</w:t>
      </w:r>
      <w:r w:rsidR="00117317" w:rsidRPr="0084522F">
        <w:t>.</w:t>
      </w:r>
      <w:r w:rsidR="00366C0B" w:rsidRPr="0084522F">
        <w:rPr>
          <w:rStyle w:val="FootnoteReference"/>
        </w:rPr>
        <w:footnoteReference w:id="337"/>
      </w:r>
      <w:r w:rsidRPr="0084522F">
        <w:t xml:space="preserve">The President </w:t>
      </w:r>
      <w:r w:rsidR="00D9199B">
        <w:t>of the</w:t>
      </w:r>
      <w:r w:rsidR="00D9199B" w:rsidRPr="0084522F">
        <w:t xml:space="preserve"> </w:t>
      </w:r>
      <w:r w:rsidRPr="0084522F">
        <w:t>Senate made it clear, however, that this decision did not affect the person’s employment.</w:t>
      </w:r>
      <w:r w:rsidR="00B74162" w:rsidRPr="0084522F">
        <w:t xml:space="preserve"> The Review further notes this power has a relatively narrow scope, </w:t>
      </w:r>
      <w:r w:rsidR="005E4EDC" w:rsidRPr="0084522F">
        <w:t xml:space="preserve">including </w:t>
      </w:r>
      <w:r w:rsidR="00B74162" w:rsidRPr="0084522F">
        <w:t>being limited to parliamentary precincts</w:t>
      </w:r>
      <w:r w:rsidR="00783635" w:rsidRPr="0084522F">
        <w:t xml:space="preserve"> and matters necessary for their </w:t>
      </w:r>
      <w:r w:rsidR="00783635" w:rsidRPr="0084522F">
        <w:rPr>
          <w:color w:val="000000"/>
        </w:rPr>
        <w:t>control and management of the precincts</w:t>
      </w:r>
      <w:r w:rsidR="005E4EDC" w:rsidRPr="0084522F">
        <w:t>.</w:t>
      </w:r>
    </w:p>
    <w:p w14:paraId="71786149" w14:textId="2BEA43DA" w:rsidR="00117317" w:rsidRDefault="000109BB" w:rsidP="00117317">
      <w:r w:rsidRPr="0084522F">
        <w:t xml:space="preserve">Suspensions </w:t>
      </w:r>
      <w:r w:rsidR="002B0B95" w:rsidRPr="0084522F">
        <w:t>or powers to direct the removal of persons</w:t>
      </w:r>
      <w:r w:rsidRPr="0084522F">
        <w:t xml:space="preserve"> are</w:t>
      </w:r>
      <w:r w:rsidR="00117317" w:rsidRPr="0084522F">
        <w:t xml:space="preserve"> </w:t>
      </w:r>
      <w:r w:rsidR="002B0B95" w:rsidRPr="0084522F">
        <w:t>available</w:t>
      </w:r>
      <w:r w:rsidR="00117317" w:rsidRPr="0084522F">
        <w:t xml:space="preserve"> in a number of other </w:t>
      </w:r>
      <w:r w:rsidR="00CD024B" w:rsidRPr="0084522F">
        <w:t xml:space="preserve">state and territory </w:t>
      </w:r>
      <w:r w:rsidRPr="0084522F">
        <w:t xml:space="preserve">parliamentary </w:t>
      </w:r>
      <w:r w:rsidR="00117317" w:rsidRPr="0084522F">
        <w:t>jurisdictions, including:</w:t>
      </w:r>
    </w:p>
    <w:p w14:paraId="32391A18" w14:textId="25F70432" w:rsidR="00117317" w:rsidRPr="009F551F" w:rsidRDefault="00117317" w:rsidP="00DC13DA">
      <w:pPr>
        <w:pStyle w:val="BulletedList-Level1"/>
      </w:pPr>
      <w:r w:rsidRPr="009F551F">
        <w:t xml:space="preserve">NSW, where authorised officers (including Presiding Officers) under the </w:t>
      </w:r>
      <w:r w:rsidRPr="009F551F">
        <w:rPr>
          <w:i/>
        </w:rPr>
        <w:t>Parliamentary Precincts Act</w:t>
      </w:r>
      <w:r w:rsidR="003906B2">
        <w:rPr>
          <w:i/>
        </w:rPr>
        <w:t> </w:t>
      </w:r>
      <w:r w:rsidRPr="009F551F">
        <w:rPr>
          <w:i/>
        </w:rPr>
        <w:t>1997</w:t>
      </w:r>
      <w:r w:rsidRPr="009F551F">
        <w:t xml:space="preserve"> </w:t>
      </w:r>
      <w:r w:rsidR="00D9199B">
        <w:t xml:space="preserve">(NSW) </w:t>
      </w:r>
      <w:r w:rsidRPr="009F551F">
        <w:t>are able to direct the removal or non-entry of persons</w:t>
      </w:r>
      <w:r w:rsidRPr="009F551F">
        <w:rPr>
          <w:rStyle w:val="FootnoteReference"/>
        </w:rPr>
        <w:footnoteReference w:id="338"/>
      </w:r>
      <w:r w:rsidR="00FC330D">
        <w:t xml:space="preserve"> </w:t>
      </w:r>
    </w:p>
    <w:p w14:paraId="53AAC5D6" w14:textId="446A1205" w:rsidR="00117317" w:rsidRDefault="00DE2393" w:rsidP="00DC13DA">
      <w:pPr>
        <w:pStyle w:val="BulletedList-Level1"/>
      </w:pPr>
      <w:r w:rsidRPr="0055271A">
        <w:t xml:space="preserve">Queensland, where the Clerk is empowered to suspend </w:t>
      </w:r>
      <w:r w:rsidR="002751A5">
        <w:t>employees</w:t>
      </w:r>
      <w:r w:rsidRPr="0055271A">
        <w:t xml:space="preserve"> </w:t>
      </w:r>
      <w:r w:rsidR="002110CD">
        <w:t xml:space="preserve">if they are the subject of </w:t>
      </w:r>
      <w:r w:rsidRPr="0055271A">
        <w:t xml:space="preserve">disciplinary </w:t>
      </w:r>
      <w:r w:rsidR="002110CD">
        <w:t>action</w:t>
      </w:r>
      <w:r w:rsidRPr="0055271A">
        <w:t xml:space="preserve"> or </w:t>
      </w:r>
      <w:r w:rsidR="002110CD">
        <w:t>if</w:t>
      </w:r>
      <w:r w:rsidRPr="0055271A">
        <w:t xml:space="preserve"> they are suspected </w:t>
      </w:r>
      <w:r w:rsidR="002110CD">
        <w:t>of i</w:t>
      </w:r>
      <w:r w:rsidRPr="0055271A">
        <w:t>nvolve</w:t>
      </w:r>
      <w:r w:rsidR="002110CD">
        <w:t>ment</w:t>
      </w:r>
      <w:r w:rsidRPr="0055271A">
        <w:t xml:space="preserve"> in a situation where ‘efficient and proper management of parliamentary service might be prejudiced if the officer’s or employee’s services are continued’.</w:t>
      </w:r>
      <w:r w:rsidRPr="0055271A">
        <w:rPr>
          <w:rStyle w:val="FootnoteReference"/>
        </w:rPr>
        <w:footnoteReference w:id="339"/>
      </w:r>
      <w:r w:rsidR="00CD024B">
        <w:t xml:space="preserve"> </w:t>
      </w:r>
    </w:p>
    <w:p w14:paraId="597488A5" w14:textId="2D3B31FD" w:rsidR="00501716" w:rsidRPr="0055271A" w:rsidRDefault="00501716" w:rsidP="00DC13DA">
      <w:pPr>
        <w:pStyle w:val="BulletedList-Level1"/>
      </w:pPr>
      <w:r>
        <w:t>West</w:t>
      </w:r>
      <w:r w:rsidR="003906B2">
        <w:t xml:space="preserve">ern Australia, where parliamentary </w:t>
      </w:r>
      <w:r w:rsidR="002751A5">
        <w:t>employees</w:t>
      </w:r>
      <w:r w:rsidR="003906B2">
        <w:t xml:space="preserve"> are captured by the </w:t>
      </w:r>
      <w:r w:rsidR="003906B2">
        <w:rPr>
          <w:i/>
        </w:rPr>
        <w:t>Public Sector Management Act 1994</w:t>
      </w:r>
      <w:r w:rsidR="00D9199B">
        <w:rPr>
          <w:i/>
        </w:rPr>
        <w:t xml:space="preserve"> </w:t>
      </w:r>
      <w:r w:rsidR="00D9199B">
        <w:t>(WA)</w:t>
      </w:r>
      <w:r w:rsidR="003906B2">
        <w:t>’s powers to suspend public sector employees in a range of circumstances, including where serious misconduct is alleged and where the employee poses a health and safety threat to others in the workplace.</w:t>
      </w:r>
      <w:r w:rsidR="003906B2">
        <w:rPr>
          <w:rStyle w:val="FootnoteReference"/>
        </w:rPr>
        <w:footnoteReference w:id="340"/>
      </w:r>
    </w:p>
    <w:p w14:paraId="66AAFCFA" w14:textId="53978017" w:rsidR="006B265F" w:rsidRDefault="00F4763E" w:rsidP="00117317">
      <w:r>
        <w:t>This power is also us</w:t>
      </w:r>
      <w:r w:rsidR="006B265F">
        <w:t xml:space="preserve">ed in </w:t>
      </w:r>
      <w:r w:rsidR="00205014">
        <w:t xml:space="preserve">comparable </w:t>
      </w:r>
      <w:r w:rsidR="006B265F">
        <w:t>jurisdictions</w:t>
      </w:r>
      <w:r w:rsidR="00205014">
        <w:t xml:space="preserve"> overseas</w:t>
      </w:r>
      <w:r w:rsidR="006B265F">
        <w:t xml:space="preserve">. The UK House of Commons, for example, permits a Line Manager (in consultation with a </w:t>
      </w:r>
      <w:r w:rsidR="002C0D22">
        <w:t>HR</w:t>
      </w:r>
      <w:r w:rsidR="006B265F">
        <w:t xml:space="preserve"> Director and the Office of the Speaker’s Counsel) </w:t>
      </w:r>
      <w:r w:rsidR="004C31E3">
        <w:t xml:space="preserve">to </w:t>
      </w:r>
      <w:r w:rsidR="006B265F">
        <w:t>suspend an employee who is subject to an investigation pending the conclusion of the inquiry.</w:t>
      </w:r>
      <w:r w:rsidR="006B265F">
        <w:rPr>
          <w:rStyle w:val="FootnoteReference"/>
        </w:rPr>
        <w:footnoteReference w:id="341"/>
      </w:r>
      <w:r w:rsidR="006B265F">
        <w:t xml:space="preserve"> A manager, however, also may order the suspension of an employee for a specific period with loss of pay in appropriate circumstances. This is considered as a form of a disciplinary sanction, and </w:t>
      </w:r>
      <w:r w:rsidR="00263241">
        <w:t>is</w:t>
      </w:r>
      <w:r w:rsidR="006B265F">
        <w:t xml:space="preserve"> dependent on the particular circumstances of each case.</w:t>
      </w:r>
      <w:r w:rsidR="006B265F">
        <w:rPr>
          <w:rStyle w:val="FootnoteReference"/>
        </w:rPr>
        <w:footnoteReference w:id="342"/>
      </w:r>
    </w:p>
    <w:p w14:paraId="48B7F742" w14:textId="2BEC5882" w:rsidR="00117317" w:rsidRDefault="00BD066F" w:rsidP="00117317">
      <w:r>
        <w:t>More broadly, s</w:t>
      </w:r>
      <w:r w:rsidR="00117317">
        <w:t xml:space="preserve">uspensions are also used </w:t>
      </w:r>
      <w:r>
        <w:t xml:space="preserve">in non-parliamentary </w:t>
      </w:r>
      <w:r w:rsidR="00117317">
        <w:t>workplaces. For example, the</w:t>
      </w:r>
      <w:r w:rsidR="00D14441">
        <w:t xml:space="preserve"> PS Act</w:t>
      </w:r>
      <w:r w:rsidR="00117317">
        <w:t xml:space="preserve"> enables the regulations to make provisions regarding the suspensions of APS employees.</w:t>
      </w:r>
      <w:r w:rsidR="00117317">
        <w:rPr>
          <w:rStyle w:val="FootnoteReference"/>
        </w:rPr>
        <w:footnoteReference w:id="343"/>
      </w:r>
      <w:r w:rsidR="00117317">
        <w:t xml:space="preserve"> The current </w:t>
      </w:r>
      <w:r w:rsidR="00117317" w:rsidRPr="00695476">
        <w:rPr>
          <w:i/>
        </w:rPr>
        <w:t>Public Service Regulations 1999</w:t>
      </w:r>
      <w:r w:rsidR="00117317">
        <w:t xml:space="preserve"> (PS Regulations) provide that agency heads may suspend APS</w:t>
      </w:r>
      <w:r w:rsidR="00085AAF">
        <w:t> </w:t>
      </w:r>
      <w:r w:rsidR="00117317">
        <w:t xml:space="preserve">employees from duties if the agency head has reasonable grounds </w:t>
      </w:r>
      <w:r w:rsidR="00B43F6D">
        <w:t xml:space="preserve">to believe </w:t>
      </w:r>
      <w:r w:rsidR="00117317">
        <w:t>that the employee has breached the APS Code of Conduct, and suspension of the employee is in the public or the Agency’s interest.</w:t>
      </w:r>
      <w:r w:rsidR="00117317">
        <w:rPr>
          <w:rStyle w:val="FootnoteReference"/>
        </w:rPr>
        <w:footnoteReference w:id="344"/>
      </w:r>
      <w:r w:rsidR="00117317">
        <w:t xml:space="preserve"> The PS Regulations also provide for suspensions to be with or without remuneration</w:t>
      </w:r>
      <w:r w:rsidR="009F5A63">
        <w:t xml:space="preserve"> (</w:t>
      </w:r>
      <w:r w:rsidR="00117317">
        <w:t>the latter being subject to time constraints</w:t>
      </w:r>
      <w:r w:rsidR="009F5A63">
        <w:t>)</w:t>
      </w:r>
      <w:r w:rsidR="00117317">
        <w:t>.</w:t>
      </w:r>
      <w:r w:rsidR="00117317">
        <w:rPr>
          <w:rStyle w:val="FootnoteReference"/>
        </w:rPr>
        <w:footnoteReference w:id="345"/>
      </w:r>
      <w:r w:rsidR="00117317">
        <w:t xml:space="preserve"> Suspensions must also be reviewed by the agency head at regular intervals, and </w:t>
      </w:r>
      <w:r w:rsidR="008A7D76">
        <w:t>are revoked when</w:t>
      </w:r>
      <w:r w:rsidR="00117317">
        <w:t xml:space="preserve"> the agency head no longer reasonably believes that the employee has breach</w:t>
      </w:r>
      <w:r w:rsidR="008A7D76">
        <w:t xml:space="preserve">ed, </w:t>
      </w:r>
      <w:r w:rsidR="00117317">
        <w:t>or may breach</w:t>
      </w:r>
      <w:r w:rsidR="008A7D76">
        <w:t>,</w:t>
      </w:r>
      <w:r w:rsidR="00117317">
        <w:t xml:space="preserve"> the APS Code of Conduct and that their suspension is no longer in the public or the Agency’s interest.</w:t>
      </w:r>
      <w:r w:rsidR="00117317">
        <w:rPr>
          <w:rStyle w:val="FootnoteReference"/>
        </w:rPr>
        <w:footnoteReference w:id="346"/>
      </w:r>
      <w:r w:rsidR="00117317">
        <w:t xml:space="preserve"> </w:t>
      </w:r>
      <w:r w:rsidR="005E4EDC">
        <w:t>T</w:t>
      </w:r>
      <w:r w:rsidR="00117317" w:rsidRPr="00B74162">
        <w:t>he</w:t>
      </w:r>
      <w:r w:rsidR="00117317">
        <w:t xml:space="preserve"> PS Regulations </w:t>
      </w:r>
      <w:r w:rsidR="00117317" w:rsidRPr="00B74162">
        <w:t xml:space="preserve">also require the agency head </w:t>
      </w:r>
      <w:r w:rsidR="00313574">
        <w:t>to</w:t>
      </w:r>
      <w:r w:rsidR="00117317" w:rsidRPr="00B74162">
        <w:t xml:space="preserve"> have due regard to procedural fairness</w:t>
      </w:r>
      <w:r w:rsidR="00117317">
        <w:t xml:space="preserve"> </w:t>
      </w:r>
      <w:r w:rsidR="003E01B4">
        <w:t>in the exercise of suspension-related powers</w:t>
      </w:r>
      <w:r w:rsidR="00117317">
        <w:t xml:space="preserve"> unless they are satisfied on reasonable grounds that given the particular circumstances that it would not be appropriate</w:t>
      </w:r>
      <w:r w:rsidR="00117317" w:rsidDel="00727930">
        <w:t>.</w:t>
      </w:r>
    </w:p>
    <w:p w14:paraId="54958328" w14:textId="0E70FC05" w:rsidR="00117317" w:rsidRPr="008268EB" w:rsidRDefault="00117317" w:rsidP="00117317">
      <w:r>
        <w:t xml:space="preserve">Other industries </w:t>
      </w:r>
      <w:r w:rsidR="0045762C">
        <w:t>make use of</w:t>
      </w:r>
      <w:r>
        <w:t xml:space="preserve"> suspensions via a relevant </w:t>
      </w:r>
      <w:r w:rsidR="00D9199B">
        <w:t>enterprise agreement</w:t>
      </w:r>
      <w:r>
        <w:t>, contractual agreement, award or statutory right. Suspensions are generally used by employers to enable the employer (or another investigatory body) to investigate alleged misconduct and avoid situations where the employee may be at risk or pose a risk to others while such investigations take place. Suspensions can also avoid situations where the employee may be prejudiced due to their presence in the workplace while an investigation is ongoing.</w:t>
      </w:r>
    </w:p>
    <w:p w14:paraId="06D569C1" w14:textId="77D0391F" w:rsidR="00117317" w:rsidRDefault="00117317" w:rsidP="00117317">
      <w:r>
        <w:t>Suspensions could be used, either with or without pay, while a parliamentarian considers whether termination is warranted</w:t>
      </w:r>
      <w:r w:rsidR="00364612">
        <w:t xml:space="preserve">, </w:t>
      </w:r>
      <w:r w:rsidR="00364612" w:rsidRPr="00791233">
        <w:t>or if there are alternative methods of remedying the situation</w:t>
      </w:r>
      <w:r>
        <w:t xml:space="preserve">. </w:t>
      </w:r>
      <w:r w:rsidR="00D4569A">
        <w:t xml:space="preserve">The parliamentarian should consult with the OPSC when considering suspension. </w:t>
      </w:r>
      <w:r>
        <w:t>This can help ensure there is a reasonable time for the employee to respond before a decision is made. Procedural fairness would dictate a fair amount of time be applied to a suspension, depending on the surrounding circumstances. It would also enable the parliamentarian to seek external advice (such as from the OPSC, police or others) on the matter or matters which have prompted the suspension.</w:t>
      </w:r>
    </w:p>
    <w:p w14:paraId="4446CAE2" w14:textId="77777777" w:rsidR="002104E6" w:rsidRDefault="00117317" w:rsidP="00117317">
      <w:r>
        <w:t>Giving the parliamentarian the ability to suspend may better equip parliamentarians to follow a proper process when considering termination, particularly in instances where the continued work of the employee involves risks to WHS, ongoing investigations or reputation. This would also have the benefit of enabling parliamentarians to fulfil their duties under WHS legislation to minimise any potential risks while investigations are ongoing into the employee’s conduct.</w:t>
      </w:r>
      <w:r w:rsidRPr="00AD64E5">
        <w:t xml:space="preserve"> </w:t>
      </w:r>
      <w:r>
        <w:t xml:space="preserve">It would also help to fulfil the parliamentarian’s obligations to provide a procedurally fair process for termination, assuming that they also undertake other steps in line with current </w:t>
      </w:r>
      <w:r w:rsidR="002104E6">
        <w:t xml:space="preserve">requirements </w:t>
      </w:r>
      <w:r>
        <w:t xml:space="preserve">under case law (e.g. providing warnings to </w:t>
      </w:r>
      <w:r w:rsidR="002751A5">
        <w:t>employees</w:t>
      </w:r>
      <w:r>
        <w:t xml:space="preserve"> if appropriate prior to considering </w:t>
      </w:r>
      <w:r w:rsidR="002104E6">
        <w:t xml:space="preserve">termination and providing an opportunity for </w:t>
      </w:r>
      <w:r w:rsidR="002751A5">
        <w:t>employees</w:t>
      </w:r>
      <w:r w:rsidR="002104E6">
        <w:t xml:space="preserve"> to respond to concerns prior to termination being considered).</w:t>
      </w:r>
    </w:p>
    <w:p w14:paraId="6AE21BA9" w14:textId="410F20ED" w:rsidR="00451CC9" w:rsidRDefault="00451CC9" w:rsidP="0055271A">
      <w:r w:rsidRPr="00E54C5A">
        <w:t xml:space="preserve">Suspension must be part of the broader landscape of procedural fairness requirements for </w:t>
      </w:r>
      <w:r w:rsidR="002751A5">
        <w:t>employees</w:t>
      </w:r>
      <w:r w:rsidRPr="00E54C5A">
        <w:t xml:space="preserve"> prior to considering termination. Additional oversight of suspension</w:t>
      </w:r>
      <w:r w:rsidR="00B96575">
        <w:t xml:space="preserve"> by the OPSC</w:t>
      </w:r>
      <w:r w:rsidRPr="00E54C5A">
        <w:t xml:space="preserve"> would be beneficial in order to ensure that the powers are being used appropriately.</w:t>
      </w:r>
    </w:p>
    <w:p w14:paraId="7F4C213F" w14:textId="6E4F3EA5" w:rsidR="00874793" w:rsidRDefault="00874793" w:rsidP="00117317">
      <w:r w:rsidRPr="00E54C5A">
        <w:t xml:space="preserve">Ensuring that an employee abides by the conditions of the suspension would require assistance from the DPS to ensure that remote access </w:t>
      </w:r>
      <w:r w:rsidR="00787205">
        <w:t>and building access are</w:t>
      </w:r>
      <w:r w:rsidRPr="00E54C5A">
        <w:t xml:space="preserve"> immediately restricted upon imposition of </w:t>
      </w:r>
      <w:r w:rsidR="00787205">
        <w:t xml:space="preserve">a </w:t>
      </w:r>
      <w:r w:rsidRPr="00E54C5A">
        <w:t xml:space="preserve">suspension. While </w:t>
      </w:r>
      <w:r w:rsidR="0092532C">
        <w:t>restricting access to parliamentary systems and premises</w:t>
      </w:r>
      <w:r w:rsidRPr="00E54C5A">
        <w:t xml:space="preserve"> can be largely centralised within DPS, </w:t>
      </w:r>
      <w:r w:rsidR="0092532C">
        <w:t>restricting</w:t>
      </w:r>
      <w:r w:rsidRPr="00E54C5A">
        <w:t xml:space="preserve"> access to the electorate office or mobile off</w:t>
      </w:r>
      <w:r w:rsidR="005C6B37" w:rsidRPr="00E54C5A">
        <w:t xml:space="preserve">ices </w:t>
      </w:r>
      <w:r w:rsidR="0092532C">
        <w:t xml:space="preserve">may be </w:t>
      </w:r>
      <w:r w:rsidR="005C6B37" w:rsidRPr="00E54C5A">
        <w:t>more challenging.</w:t>
      </w:r>
    </w:p>
    <w:p w14:paraId="26A45BA9" w14:textId="77777777" w:rsidR="00451CC9" w:rsidRPr="0055271A" w:rsidRDefault="0055702B" w:rsidP="00051BDA">
      <w:pPr>
        <w:pStyle w:val="Heading4"/>
      </w:pPr>
      <w:r>
        <w:t>P</w:t>
      </w:r>
      <w:r w:rsidR="00451CC9" w:rsidRPr="00E54C5A">
        <w:t>owers</w:t>
      </w:r>
      <w:r w:rsidR="00451CC9" w:rsidRPr="0055271A">
        <w:t xml:space="preserve"> of suspension</w:t>
      </w:r>
      <w:r>
        <w:t xml:space="preserve"> for the OPSC</w:t>
      </w:r>
    </w:p>
    <w:p w14:paraId="0A5D19EC" w14:textId="019168AF" w:rsidR="001A73AF" w:rsidRPr="0055271A" w:rsidRDefault="00451CC9" w:rsidP="00117317">
      <w:r w:rsidRPr="00E1757E">
        <w:t>There are potential</w:t>
      </w:r>
      <w:r w:rsidR="001A73AF" w:rsidRPr="00E1757E">
        <w:t xml:space="preserve"> situations where the employing parliamentarian may </w:t>
      </w:r>
      <w:r w:rsidRPr="00E1757E">
        <w:t>choose</w:t>
      </w:r>
      <w:r w:rsidR="001A73AF" w:rsidRPr="00E1757E">
        <w:t xml:space="preserve"> </w:t>
      </w:r>
      <w:r w:rsidRPr="00E1757E">
        <w:t xml:space="preserve">not </w:t>
      </w:r>
      <w:r w:rsidR="001A73AF" w:rsidRPr="00E1757E">
        <w:t>to</w:t>
      </w:r>
      <w:r w:rsidRPr="00E1757E">
        <w:t xml:space="preserve"> suspend an employee, but </w:t>
      </w:r>
      <w:r w:rsidR="00E94129" w:rsidRPr="00E1757E">
        <w:t>the</w:t>
      </w:r>
      <w:r w:rsidRPr="00E1757E">
        <w:t xml:space="preserve"> employee may pose a</w:t>
      </w:r>
      <w:r w:rsidR="00695476">
        <w:t>n immediate</w:t>
      </w:r>
      <w:r w:rsidRPr="00E1757E">
        <w:t xml:space="preserve"> risk to others, </w:t>
      </w:r>
      <w:r w:rsidR="00A46A1C" w:rsidRPr="00E1757E">
        <w:t>property</w:t>
      </w:r>
      <w:r w:rsidR="00E94129" w:rsidRPr="00E1757E">
        <w:t>, security</w:t>
      </w:r>
      <w:r w:rsidR="00A46A1C" w:rsidRPr="00E1757E">
        <w:t xml:space="preserve"> or evidence</w:t>
      </w:r>
      <w:r w:rsidR="00E94129" w:rsidRPr="00E1757E">
        <w:t xml:space="preserve"> in</w:t>
      </w:r>
      <w:r w:rsidR="00A46A1C" w:rsidRPr="00E1757E">
        <w:t xml:space="preserve"> </w:t>
      </w:r>
      <w:r w:rsidRPr="00E1757E">
        <w:t xml:space="preserve">any ongoing investigations. </w:t>
      </w:r>
      <w:r w:rsidR="001A73AF" w:rsidRPr="00E1757E">
        <w:t xml:space="preserve">In the event that </w:t>
      </w:r>
      <w:r w:rsidRPr="00E1757E">
        <w:t>the parliamentarian is</w:t>
      </w:r>
      <w:r w:rsidR="001A73AF" w:rsidRPr="00E1757E">
        <w:t xml:space="preserve"> not willing to act (either to suspend </w:t>
      </w:r>
      <w:r w:rsidRPr="00E1757E">
        <w:t xml:space="preserve">the employee </w:t>
      </w:r>
      <w:r w:rsidR="001A73AF" w:rsidRPr="00E1757E">
        <w:t xml:space="preserve">or take </w:t>
      </w:r>
      <w:r w:rsidRPr="00E1757E">
        <w:t>an</w:t>
      </w:r>
      <w:r w:rsidR="001A73AF" w:rsidRPr="00E1757E">
        <w:t>other action</w:t>
      </w:r>
      <w:r w:rsidRPr="00E1757E">
        <w:t xml:space="preserve"> to remedy the situation</w:t>
      </w:r>
      <w:r w:rsidR="001A73AF" w:rsidRPr="00E1757E">
        <w:t xml:space="preserve">) </w:t>
      </w:r>
      <w:r w:rsidRPr="00E1757E">
        <w:t>and</w:t>
      </w:r>
      <w:r w:rsidR="001A73AF" w:rsidRPr="00E1757E">
        <w:t xml:space="preserve"> it becomes clear that there are </w:t>
      </w:r>
      <w:r w:rsidR="00695476">
        <w:t xml:space="preserve">immediate </w:t>
      </w:r>
      <w:r w:rsidR="0060408F">
        <w:t>risks</w:t>
      </w:r>
      <w:r w:rsidR="001A73AF" w:rsidRPr="00E1757E">
        <w:t xml:space="preserve"> regarding the employee’s conduct, the OPSC could have the power to </w:t>
      </w:r>
      <w:r w:rsidRPr="00E1757E">
        <w:t xml:space="preserve">suspend the employee from the workplace. </w:t>
      </w:r>
      <w:r w:rsidR="0060408F">
        <w:t>Such risks could be identified by the OPSC or raised by the IPSC.</w:t>
      </w:r>
    </w:p>
    <w:p w14:paraId="57EDC33C" w14:textId="7AD00A25" w:rsidR="006D3FE2" w:rsidRDefault="00085AAF" w:rsidP="00DC13DA">
      <w:r w:rsidRPr="00E1757E">
        <w:t xml:space="preserve">One potential risk in this model is that it is unclear what should occur if the OPSC applies a suspension but the parliamentarian still will not act to satisfactorily resolve the situation. </w:t>
      </w:r>
      <w:r w:rsidR="009E2261" w:rsidRPr="00E1757E">
        <w:t>Escalation points for the OPSC are a</w:t>
      </w:r>
      <w:r w:rsidR="00A81A78">
        <w:t xml:space="preserve"> broader issue to be considered in </w:t>
      </w:r>
      <w:r w:rsidR="009E2261" w:rsidRPr="00E1757E">
        <w:t>establishment</w:t>
      </w:r>
      <w:r w:rsidR="001C27DA" w:rsidRPr="00E1757E">
        <w:t xml:space="preserve">. </w:t>
      </w:r>
      <w:r w:rsidR="000476B8" w:rsidRPr="00E1757E">
        <w:t xml:space="preserve">However, </w:t>
      </w:r>
      <w:r w:rsidR="009E2261" w:rsidRPr="00E1757E">
        <w:t>if</w:t>
      </w:r>
      <w:r w:rsidR="00E94129" w:rsidRPr="00E1757E">
        <w:t xml:space="preserve"> </w:t>
      </w:r>
      <w:r w:rsidR="000476B8" w:rsidRPr="00E1757E">
        <w:t xml:space="preserve">a parliamentarian </w:t>
      </w:r>
      <w:r w:rsidR="009E2261" w:rsidRPr="00E1757E">
        <w:t>is un</w:t>
      </w:r>
      <w:r w:rsidR="000476B8" w:rsidRPr="00E1757E">
        <w:t>ab</w:t>
      </w:r>
      <w:r w:rsidR="009E2261" w:rsidRPr="00E1757E">
        <w:t>le</w:t>
      </w:r>
      <w:r w:rsidR="000476B8" w:rsidRPr="00E1757E">
        <w:t xml:space="preserve"> to access their full complement of staff </w:t>
      </w:r>
      <w:r w:rsidR="00B946F2" w:rsidRPr="00E1757E">
        <w:t xml:space="preserve">due to </w:t>
      </w:r>
      <w:r w:rsidR="009E2261" w:rsidRPr="00E1757E">
        <w:t>a</w:t>
      </w:r>
      <w:r w:rsidR="000476B8" w:rsidRPr="00E1757E">
        <w:t xml:space="preserve"> suspension</w:t>
      </w:r>
      <w:r w:rsidR="001A232B">
        <w:t>,</w:t>
      </w:r>
      <w:r w:rsidR="000476B8" w:rsidRPr="00E1757E">
        <w:t xml:space="preserve"> </w:t>
      </w:r>
      <w:r w:rsidR="00E94129" w:rsidRPr="00E1757E">
        <w:t>this may</w:t>
      </w:r>
      <w:r w:rsidR="000476B8" w:rsidRPr="00E1757E">
        <w:t xml:space="preserve"> prompt </w:t>
      </w:r>
      <w:r w:rsidR="00B712E8" w:rsidRPr="00E1757E">
        <w:t xml:space="preserve">them to </w:t>
      </w:r>
      <w:r w:rsidR="00E74E3E" w:rsidRPr="00E1757E">
        <w:t>resolve the issue.</w:t>
      </w:r>
    </w:p>
    <w:p w14:paraId="3F7576F5" w14:textId="77777777" w:rsidR="00F661AC" w:rsidRDefault="00F661AC" w:rsidP="00051BDA">
      <w:pPr>
        <w:pStyle w:val="Heading4"/>
      </w:pPr>
      <w:r>
        <w:t xml:space="preserve">Encouraging </w:t>
      </w:r>
      <w:r w:rsidR="00897720">
        <w:t xml:space="preserve">responsibility and </w:t>
      </w:r>
      <w:r>
        <w:t>compliance from parliamentarians</w:t>
      </w:r>
    </w:p>
    <w:p w14:paraId="19743E0A" w14:textId="10A094B5" w:rsidR="00B74162" w:rsidRDefault="00B74162" w:rsidP="00A653B2">
      <w:r w:rsidRPr="00142173">
        <w:rPr>
          <w:i/>
        </w:rPr>
        <w:t>Set the Standard</w:t>
      </w:r>
      <w:r>
        <w:t>’s Recommendation 16 outlines a new process for parliamentarians to undertake when considering termination, involving informing the OPSC of a proposed termination. The rat</w:t>
      </w:r>
      <w:r w:rsidR="00FF4524">
        <w:t>ionale for this was to help</w:t>
      </w:r>
      <w:r>
        <w:t xml:space="preserve"> ensure proposed terminations satisfy legal requirements and are not otherwise deficient. </w:t>
      </w:r>
    </w:p>
    <w:p w14:paraId="29D898C9" w14:textId="55659387" w:rsidR="00B74162" w:rsidRDefault="00B74162" w:rsidP="00A653B2">
      <w:r>
        <w:t xml:space="preserve">The Review considers the involvement of the OPSC to be central to improving practices in termination and improving outcomes for employees. For this reason, the Review recommends the MoP(S) Act be amended to require parliamentarians to consult the OPSC prior to effecting a termination. </w:t>
      </w:r>
      <w:r w:rsidR="003F4E5D">
        <w:t>This consultation would enable the OPSC to provide best practice advice.</w:t>
      </w:r>
    </w:p>
    <w:p w14:paraId="34D98C84" w14:textId="2B1CF1D0" w:rsidR="003F4E5D" w:rsidRDefault="003F4E5D" w:rsidP="00A653B2">
      <w:r>
        <w:t xml:space="preserve">This change would support the implementation of </w:t>
      </w:r>
      <w:r>
        <w:rPr>
          <w:i/>
        </w:rPr>
        <w:t>Set the Standard</w:t>
      </w:r>
      <w:r>
        <w:t xml:space="preserve"> Recommendation 16(a). Consideration of the rest of Recommendation 16 is a matter for the OPSC.</w:t>
      </w:r>
    </w:p>
    <w:p w14:paraId="7C6783CF" w14:textId="6615D48F" w:rsidR="00E94129" w:rsidRDefault="00F661AC" w:rsidP="00A653B2">
      <w:r>
        <w:t xml:space="preserve">A number of </w:t>
      </w:r>
      <w:r w:rsidR="00E1757E">
        <w:t>contributor</w:t>
      </w:r>
      <w:r w:rsidR="006B539A">
        <w:t xml:space="preserve">s </w:t>
      </w:r>
      <w:r w:rsidR="00E94129">
        <w:t>told us</w:t>
      </w:r>
      <w:r w:rsidR="006B539A">
        <w:t xml:space="preserve"> the current framework does not encourage parliamentarians to comply with their legal obligations </w:t>
      </w:r>
      <w:r w:rsidR="00E94129">
        <w:t>for</w:t>
      </w:r>
      <w:r w:rsidR="006B539A">
        <w:t xml:space="preserve"> termination due to the lack of practical and significant consequences</w:t>
      </w:r>
      <w:r w:rsidR="00E94129">
        <w:t xml:space="preserve"> for them</w:t>
      </w:r>
      <w:r w:rsidR="006B539A">
        <w:t xml:space="preserve">. If a former employee brings a case of unfair dismissal against a parliamentarian, it is ultimately the Commonwealth and not the parliamentarian who is liable for any subsequent penalty that may be imposed. </w:t>
      </w:r>
    </w:p>
    <w:p w14:paraId="1861639B" w14:textId="13394CCC" w:rsidR="00F661AC" w:rsidRDefault="006B539A" w:rsidP="00F661AC">
      <w:r>
        <w:t xml:space="preserve">Without any financial penalty on them or their office budget, or any formal reporting </w:t>
      </w:r>
      <w:r w:rsidR="00897720">
        <w:t xml:space="preserve">mechanisms </w:t>
      </w:r>
      <w:r>
        <w:t xml:space="preserve">(aside from what is publicised in the media), </w:t>
      </w:r>
      <w:r w:rsidR="00E1757E">
        <w:t xml:space="preserve">we heard </w:t>
      </w:r>
      <w:r w:rsidR="001A232B">
        <w:t>that</w:t>
      </w:r>
      <w:r w:rsidR="00E1757E">
        <w:t xml:space="preserve"> </w:t>
      </w:r>
      <w:r>
        <w:t xml:space="preserve">parliamentarians have </w:t>
      </w:r>
      <w:r w:rsidR="00E1757E">
        <w:t>little</w:t>
      </w:r>
      <w:r>
        <w:t xml:space="preserve"> incentive to abide by the law.</w:t>
      </w:r>
      <w:r w:rsidR="00897720">
        <w:t xml:space="preserve"> This led to the perception by a number of former MoP(S) </w:t>
      </w:r>
      <w:r w:rsidR="000C429B">
        <w:t xml:space="preserve">Act </w:t>
      </w:r>
      <w:r w:rsidR="002751A5">
        <w:t>employees</w:t>
      </w:r>
      <w:r w:rsidR="00897720">
        <w:t xml:space="preserve"> that parliamentarians did not care if they terminated </w:t>
      </w:r>
      <w:r w:rsidR="002751A5">
        <w:t>employees</w:t>
      </w:r>
      <w:r w:rsidR="00897720">
        <w:t xml:space="preserve"> because they were easily replaceable, a view that has been similarly expressed in other jurisdictions.</w:t>
      </w:r>
      <w:r w:rsidR="00897720">
        <w:rPr>
          <w:rStyle w:val="FootnoteReference"/>
        </w:rPr>
        <w:footnoteReference w:id="347"/>
      </w:r>
    </w:p>
    <w:p w14:paraId="6B36F98A" w14:textId="01EF87B8" w:rsidR="006B539A" w:rsidRDefault="00897720" w:rsidP="00F661AC">
      <w:r>
        <w:t>The</w:t>
      </w:r>
      <w:r w:rsidDel="00F23879">
        <w:t xml:space="preserve"> </w:t>
      </w:r>
      <w:r w:rsidR="00F23879">
        <w:t>Review</w:t>
      </w:r>
      <w:r>
        <w:t xml:space="preserve"> recognises this is a significant issue which is not easily rectified, and is highly dependent on broader workplace and parliamentary cultural factors to ensure it can be appropriately addressed. A number of mechanisms are currently proposed as part of the implementation of the </w:t>
      </w:r>
      <w:r>
        <w:rPr>
          <w:i/>
        </w:rPr>
        <w:t>Set the Standard</w:t>
      </w:r>
      <w:r>
        <w:t xml:space="preserve"> recommendations which may assist to address this situation, including:</w:t>
      </w:r>
    </w:p>
    <w:p w14:paraId="371000DE" w14:textId="77777777" w:rsidR="003C5AC7" w:rsidRPr="00897720" w:rsidRDefault="003C5AC7" w:rsidP="003C5AC7">
      <w:pPr>
        <w:pStyle w:val="BulletedList-Level1"/>
      </w:pPr>
      <w:r>
        <w:t xml:space="preserve">the establishment of the OPSC and the </w:t>
      </w:r>
      <w:r w:rsidR="00C60082">
        <w:t>IPSC</w:t>
      </w:r>
    </w:p>
    <w:p w14:paraId="7BFE277A" w14:textId="50599468" w:rsidR="00897720" w:rsidRDefault="003C5AC7" w:rsidP="00897720">
      <w:pPr>
        <w:pStyle w:val="BulletedList-Level1"/>
      </w:pPr>
      <w:r>
        <w:t xml:space="preserve">the development of proposed </w:t>
      </w:r>
      <w:r w:rsidR="00E1757E">
        <w:t>codes</w:t>
      </w:r>
      <w:r>
        <w:t xml:space="preserve"> of </w:t>
      </w:r>
      <w:r w:rsidR="00E1757E">
        <w:t>c</w:t>
      </w:r>
      <w:r>
        <w:t>onduct under consideration by the Joint Select Committee on Parliamentary Standards</w:t>
      </w:r>
    </w:p>
    <w:p w14:paraId="603D6390" w14:textId="7C995ED3" w:rsidR="003C5AC7" w:rsidRDefault="003C5AC7" w:rsidP="00897720">
      <w:pPr>
        <w:pStyle w:val="BulletedList-Level1"/>
      </w:pPr>
      <w:r>
        <w:t xml:space="preserve">additional training provided by Finance to parliamentarians and MoP(S) </w:t>
      </w:r>
      <w:r w:rsidR="000C429B">
        <w:t xml:space="preserve">Act </w:t>
      </w:r>
      <w:r>
        <w:t xml:space="preserve">employees on managing </w:t>
      </w:r>
      <w:r w:rsidR="002751A5">
        <w:t>employees</w:t>
      </w:r>
      <w:r>
        <w:t xml:space="preserve"> and offices.</w:t>
      </w:r>
      <w:r>
        <w:rPr>
          <w:rStyle w:val="FootnoteReference"/>
        </w:rPr>
        <w:footnoteReference w:id="348"/>
      </w:r>
    </w:p>
    <w:p w14:paraId="2E21690D" w14:textId="7264A989" w:rsidR="00F661AC" w:rsidRDefault="003C5AC7" w:rsidP="00DC13DA">
      <w:r>
        <w:t xml:space="preserve">Given the ongoing implementation of the recommendations </w:t>
      </w:r>
      <w:r w:rsidR="00513CAC">
        <w:t>in</w:t>
      </w:r>
      <w:r>
        <w:t xml:space="preserve"> </w:t>
      </w:r>
      <w:r>
        <w:rPr>
          <w:i/>
        </w:rPr>
        <w:t>Set the Standard</w:t>
      </w:r>
      <w:r>
        <w:t xml:space="preserve">, the </w:t>
      </w:r>
      <w:r w:rsidR="00F23879">
        <w:t xml:space="preserve">Review </w:t>
      </w:r>
      <w:r w:rsidR="00513CAC">
        <w:t>does</w:t>
      </w:r>
      <w:r>
        <w:t xml:space="preserve"> </w:t>
      </w:r>
      <w:r w:rsidR="00E94129">
        <w:t>not</w:t>
      </w:r>
      <w:r>
        <w:t xml:space="preserve"> </w:t>
      </w:r>
      <w:r w:rsidR="00E94129">
        <w:t>recommend further</w:t>
      </w:r>
      <w:r>
        <w:t xml:space="preserve"> changes. </w:t>
      </w:r>
      <w:r w:rsidRPr="00584A7A">
        <w:t xml:space="preserve">Nonetheless, </w:t>
      </w:r>
      <w:r w:rsidR="004502DD" w:rsidRPr="00584A7A">
        <w:t>this issue should be in</w:t>
      </w:r>
      <w:r w:rsidR="00513CAC">
        <w:t>cluded</w:t>
      </w:r>
      <w:r w:rsidR="004502DD" w:rsidRPr="00584A7A">
        <w:t xml:space="preserve"> in any future review of the MoP(S) Act to determine </w:t>
      </w:r>
      <w:r w:rsidR="00513CAC">
        <w:t>if</w:t>
      </w:r>
      <w:r w:rsidR="004502DD" w:rsidRPr="00584A7A">
        <w:t xml:space="preserve"> </w:t>
      </w:r>
      <w:r w:rsidR="004502DD" w:rsidRPr="00584A7A">
        <w:rPr>
          <w:i/>
        </w:rPr>
        <w:t>Set the Standard</w:t>
      </w:r>
      <w:r w:rsidR="004502DD" w:rsidRPr="00584A7A">
        <w:t xml:space="preserve"> measures are addressing these matters.</w:t>
      </w:r>
    </w:p>
    <w:p w14:paraId="35AC17A6" w14:textId="77777777" w:rsidR="00AD5904" w:rsidRDefault="00AD5904" w:rsidP="00DC13DA">
      <w:pPr>
        <w:rPr>
          <w:b/>
        </w:rPr>
      </w:pPr>
    </w:p>
    <w:p w14:paraId="52C7D41D" w14:textId="4A761E08" w:rsidR="00117317" w:rsidRPr="00DC13DA" w:rsidRDefault="00AD5904" w:rsidP="00051BDA">
      <w:pPr>
        <w:pStyle w:val="Heading3"/>
      </w:pPr>
      <w:r>
        <w:t xml:space="preserve">6.4.3 </w:t>
      </w:r>
      <w:r w:rsidR="00DC13DA" w:rsidRPr="00DC13DA">
        <w:t>C</w:t>
      </w:r>
      <w:r w:rsidR="00117317" w:rsidRPr="00DC13DA">
        <w:t>onclusion</w:t>
      </w:r>
    </w:p>
    <w:p w14:paraId="572145CF" w14:textId="01C57C4A" w:rsidR="00117317" w:rsidRDefault="00117317" w:rsidP="00117317">
      <w:r>
        <w:t xml:space="preserve">The Review found while termination powers in the MoP(S) </w:t>
      </w:r>
      <w:r w:rsidR="005E4EDC">
        <w:t>Act do not require major amendment</w:t>
      </w:r>
      <w:r>
        <w:t xml:space="preserve">, there </w:t>
      </w:r>
      <w:r w:rsidR="005E4EDC">
        <w:t>is scope for</w:t>
      </w:r>
      <w:r>
        <w:t xml:space="preserve"> significant </w:t>
      </w:r>
      <w:r w:rsidR="005E4EDC">
        <w:t>improvements</w:t>
      </w:r>
      <w:r>
        <w:t xml:space="preserve"> in </w:t>
      </w:r>
      <w:r w:rsidR="00246465">
        <w:t xml:space="preserve">the </w:t>
      </w:r>
      <w:r w:rsidR="005E4EDC">
        <w:t xml:space="preserve">way parliamentarians terminate MoP(S) </w:t>
      </w:r>
      <w:r w:rsidR="00136872">
        <w:t>Act</w:t>
      </w:r>
      <w:r w:rsidR="005E4EDC">
        <w:t xml:space="preserve"> employment</w:t>
      </w:r>
      <w:r w:rsidR="00B712E8">
        <w:t xml:space="preserve">. </w:t>
      </w:r>
      <w:r w:rsidR="00CA60BC">
        <w:t>The establishment of</w:t>
      </w:r>
      <w:r>
        <w:t xml:space="preserve"> the </w:t>
      </w:r>
      <w:r w:rsidR="00CA60BC">
        <w:t>OPSC and the introduction of a power to suspend employment should help improve practices, including the provision of procedural fairness.</w:t>
      </w:r>
    </w:p>
    <w:p w14:paraId="265E5CE5" w14:textId="66007559" w:rsidR="00FB35B1" w:rsidRDefault="00142173" w:rsidP="00117317">
      <w:r w:rsidRPr="00142173">
        <w:rPr>
          <w:i/>
        </w:rPr>
        <w:t>Set the Standard</w:t>
      </w:r>
      <w:r w:rsidR="00CA60BC">
        <w:t xml:space="preserve">’s </w:t>
      </w:r>
      <w:r w:rsidR="00117317">
        <w:t xml:space="preserve">Recommendation 16 outlines a new process for parliamentarians to undertake when </w:t>
      </w:r>
      <w:r w:rsidR="00CA60BC">
        <w:t>considering</w:t>
      </w:r>
      <w:r w:rsidR="00117317">
        <w:t xml:space="preserve"> termination</w:t>
      </w:r>
      <w:r w:rsidR="00CA60BC">
        <w:t xml:space="preserve">, involving informing the OPSC </w:t>
      </w:r>
      <w:r w:rsidR="00117317">
        <w:t xml:space="preserve">of </w:t>
      </w:r>
      <w:r w:rsidR="00CA60BC">
        <w:t>a proposed termination</w:t>
      </w:r>
      <w:r w:rsidR="00117317">
        <w:t xml:space="preserve">. </w:t>
      </w:r>
      <w:r w:rsidR="005E4EDC">
        <w:t xml:space="preserve">The rationale for this </w:t>
      </w:r>
      <w:r w:rsidR="00D25E4E">
        <w:t>i</w:t>
      </w:r>
      <w:r w:rsidR="00CA60BC">
        <w:t xml:space="preserve">s to </w:t>
      </w:r>
      <w:r w:rsidR="00D25E4E">
        <w:t xml:space="preserve">allow for the OPSC to provide support and advice to parliamentarians and </w:t>
      </w:r>
      <w:r w:rsidR="00CA60BC">
        <w:t>better ensure proposed terminations satisfy legal requirements</w:t>
      </w:r>
      <w:r w:rsidR="00D25E4E">
        <w:t>, are procedurally fair</w:t>
      </w:r>
      <w:r w:rsidR="00246465">
        <w:t>,</w:t>
      </w:r>
      <w:r w:rsidR="00D25E4E">
        <w:t xml:space="preserve"> and </w:t>
      </w:r>
      <w:r w:rsidR="00CA60BC">
        <w:t>not otherwise deficient.</w:t>
      </w:r>
    </w:p>
    <w:p w14:paraId="327FF7E8" w14:textId="6E92C433" w:rsidR="00015500" w:rsidRDefault="00FB35B1" w:rsidP="00117317">
      <w:r>
        <w:t>T</w:t>
      </w:r>
      <w:r w:rsidR="00D25E4E">
        <w:t xml:space="preserve">he process to provide this support and advice will </w:t>
      </w:r>
      <w:r w:rsidR="00246465">
        <w:t>be</w:t>
      </w:r>
      <w:r w:rsidR="00D25E4E">
        <w:t xml:space="preserve"> a matter for the new OPSC</w:t>
      </w:r>
      <w:r>
        <w:t>. However</w:t>
      </w:r>
      <w:r w:rsidR="00246465">
        <w:t>,</w:t>
      </w:r>
      <w:r w:rsidR="00D25E4E">
        <w:t xml:space="preserve"> the </w:t>
      </w:r>
      <w:r w:rsidR="00CA60BC">
        <w:t xml:space="preserve">Review </w:t>
      </w:r>
      <w:r>
        <w:t>considers it very important to ensure parliamentarians first make contact with the OPSC to facilitate this</w:t>
      </w:r>
      <w:r w:rsidR="00D25E4E">
        <w:t xml:space="preserve">. Accordingly, the Review recommends </w:t>
      </w:r>
      <w:r w:rsidR="005E4EDC">
        <w:t xml:space="preserve">introducing a requirement </w:t>
      </w:r>
      <w:r w:rsidR="00D25E4E">
        <w:t xml:space="preserve">in the MoP(S) Act </w:t>
      </w:r>
      <w:r w:rsidR="005E4EDC">
        <w:t xml:space="preserve">for parliamentarians to </w:t>
      </w:r>
      <w:r w:rsidR="005E4EDC" w:rsidRPr="00E40892">
        <w:t>consult the OPSC prior to effecting any termination</w:t>
      </w:r>
      <w:r w:rsidR="005E4EDC">
        <w:t>.</w:t>
      </w:r>
    </w:p>
    <w:p w14:paraId="74D6D53E" w14:textId="3D0F3798" w:rsidR="00117317" w:rsidRDefault="00117317" w:rsidP="00117317">
      <w:r>
        <w:t xml:space="preserve">In addition, the Review recommends introducing the power to suspend a MoP(S) </w:t>
      </w:r>
      <w:r w:rsidR="000C429B">
        <w:t xml:space="preserve">Act </w:t>
      </w:r>
      <w:r>
        <w:t xml:space="preserve">employee from the workplace. This power could be exercised by parliamentarians, or </w:t>
      </w:r>
      <w:r w:rsidR="00015500">
        <w:t>the OPSC in certain situations</w:t>
      </w:r>
      <w:r w:rsidR="00695476">
        <w:t xml:space="preserve"> where there is an immediate risk</w:t>
      </w:r>
      <w:r w:rsidR="00D74AA2">
        <w:t>,</w:t>
      </w:r>
      <w:r>
        <w:t xml:space="preserve"> </w:t>
      </w:r>
      <w:r w:rsidR="00D74AA2">
        <w:t xml:space="preserve">to </w:t>
      </w:r>
      <w:r>
        <w:t xml:space="preserve">ensure due process and avoid any potential prejudice to the employee. It will also assist parliamentarians to meet their obligations under </w:t>
      </w:r>
      <w:r w:rsidR="001A232B">
        <w:t>work health and safety</w:t>
      </w:r>
      <w:r>
        <w:t xml:space="preserve"> law</w:t>
      </w:r>
      <w:r w:rsidR="00A94229">
        <w:t xml:space="preserve"> by</w:t>
      </w:r>
      <w:r>
        <w:t xml:space="preserve"> ensuring they can protect other employees in the workplace in situations where there may be </w:t>
      </w:r>
      <w:r w:rsidR="00695476">
        <w:t>immediate</w:t>
      </w:r>
      <w:r>
        <w:t xml:space="preserve"> risks to the wellbeing and safety of others.</w:t>
      </w:r>
    </w:p>
    <w:p w14:paraId="70BFA13C" w14:textId="77777777" w:rsidR="00DC13DA" w:rsidRDefault="00DC13DA" w:rsidP="00117317"/>
    <w:p w14:paraId="0299626D" w14:textId="1B115F1A" w:rsidR="00117317" w:rsidRDefault="00117317" w:rsidP="000136FD">
      <w:pPr>
        <w:pStyle w:val="BOXHeading2"/>
      </w:pPr>
      <w:bookmarkStart w:id="6924" w:name="_Toc114733598"/>
      <w:bookmarkStart w:id="6925" w:name="_Toc114757172"/>
      <w:bookmarkStart w:id="6926" w:name="_Toc114757558"/>
      <w:bookmarkStart w:id="6927" w:name="_Toc114758231"/>
      <w:bookmarkStart w:id="6928" w:name="_Toc114230909"/>
      <w:bookmarkStart w:id="6929" w:name="_Toc114233614"/>
      <w:bookmarkStart w:id="6930" w:name="_Toc114233686"/>
      <w:bookmarkStart w:id="6931" w:name="_Toc114240643"/>
      <w:bookmarkStart w:id="6932" w:name="_Toc114240717"/>
      <w:bookmarkStart w:id="6933" w:name="_Toc114241061"/>
      <w:bookmarkStart w:id="6934" w:name="_Toc114494085"/>
      <w:bookmarkStart w:id="6935" w:name="_Toc114500336"/>
      <w:bookmarkStart w:id="6936" w:name="_Toc114500411"/>
      <w:bookmarkStart w:id="6937" w:name="_Toc114518682"/>
      <w:bookmarkStart w:id="6938" w:name="_Toc114520354"/>
      <w:bookmarkStart w:id="6939" w:name="_Toc114520763"/>
      <w:bookmarkStart w:id="6940" w:name="_Toc114565789"/>
      <w:bookmarkStart w:id="6941" w:name="_Toc114566770"/>
      <w:bookmarkStart w:id="6942" w:name="_Toc114566995"/>
      <w:bookmarkStart w:id="6943" w:name="_Toc114566919"/>
      <w:bookmarkStart w:id="6944" w:name="_Toc114585920"/>
      <w:bookmarkStart w:id="6945" w:name="_Toc114586064"/>
      <w:bookmarkStart w:id="6946" w:name="_Toc114586136"/>
      <w:bookmarkStart w:id="6947" w:name="_Toc114601276"/>
      <w:bookmarkStart w:id="6948" w:name="_Toc114657317"/>
      <w:bookmarkStart w:id="6949" w:name="_Toc114659779"/>
      <w:bookmarkStart w:id="6950" w:name="_Toc114662764"/>
      <w:bookmarkStart w:id="6951" w:name="_Toc114665147"/>
      <w:bookmarkStart w:id="6952" w:name="_Toc114672455"/>
      <w:bookmarkStart w:id="6953" w:name="_Toc114672667"/>
      <w:bookmarkStart w:id="6954" w:name="_Toc114673222"/>
      <w:bookmarkStart w:id="6955" w:name="_Toc114673808"/>
      <w:bookmarkStart w:id="6956" w:name="_Toc114674333"/>
      <w:bookmarkStart w:id="6957" w:name="_Toc114687506"/>
      <w:bookmarkStart w:id="6958" w:name="_Toc114689970"/>
      <w:bookmarkStart w:id="6959" w:name="_Toc114731833"/>
      <w:bookmarkStart w:id="6960" w:name="_Toc114735539"/>
      <w:bookmarkStart w:id="6961" w:name="_Toc114755867"/>
      <w:bookmarkStart w:id="6962" w:name="_Toc114757456"/>
      <w:bookmarkStart w:id="6963" w:name="_Toc114824401"/>
      <w:bookmarkStart w:id="6964" w:name="_Toc114829477"/>
      <w:bookmarkStart w:id="6965" w:name="_Toc114829841"/>
      <w:bookmarkStart w:id="6966" w:name="_Toc114829985"/>
      <w:bookmarkStart w:id="6967" w:name="_Toc115099064"/>
      <w:bookmarkStart w:id="6968" w:name="_Toc115099136"/>
      <w:bookmarkStart w:id="6969" w:name="_Toc115101713"/>
      <w:bookmarkStart w:id="6970" w:name="_Toc115102558"/>
      <w:bookmarkStart w:id="6971" w:name="_Toc115105531"/>
      <w:bookmarkStart w:id="6972" w:name="_Toc115110392"/>
      <w:bookmarkStart w:id="6973" w:name="_Toc115110519"/>
      <w:bookmarkStart w:id="6974" w:name="_Toc115121637"/>
      <w:bookmarkStart w:id="6975" w:name="_Toc115122007"/>
      <w:bookmarkStart w:id="6976" w:name="_Toc115123487"/>
      <w:bookmarkStart w:id="6977" w:name="_Toc115123735"/>
      <w:bookmarkStart w:id="6978" w:name="_Toc115126867"/>
      <w:bookmarkStart w:id="6979" w:name="_Toc115185502"/>
      <w:bookmarkStart w:id="6980" w:name="_Toc115186129"/>
      <w:bookmarkStart w:id="6981" w:name="_Toc115189287"/>
      <w:bookmarkStart w:id="6982" w:name="_Toc115194260"/>
      <w:bookmarkStart w:id="6983" w:name="_Toc115194997"/>
      <w:bookmarkStart w:id="6984" w:name="_Toc115196407"/>
      <w:bookmarkStart w:id="6985" w:name="_Toc115198908"/>
      <w:bookmarkStart w:id="6986" w:name="_Toc115208923"/>
      <w:bookmarkStart w:id="6987" w:name="_Toc115209059"/>
      <w:bookmarkStart w:id="6988" w:name="_Toc115210390"/>
      <w:bookmarkStart w:id="6989" w:name="_Toc115212615"/>
      <w:bookmarkStart w:id="6990" w:name="_Toc115213255"/>
      <w:bookmarkStart w:id="6991" w:name="_Toc115216753"/>
      <w:bookmarkStart w:id="6992" w:name="_Toc115270444"/>
      <w:bookmarkStart w:id="6993" w:name="_Toc115271387"/>
      <w:bookmarkStart w:id="6994" w:name="_Toc115272304"/>
      <w:bookmarkStart w:id="6995" w:name="_Toc115273474"/>
      <w:bookmarkStart w:id="6996" w:name="_Toc115273402"/>
      <w:bookmarkStart w:id="6997" w:name="_Toc115274304"/>
      <w:bookmarkStart w:id="6998" w:name="_Toc115274655"/>
      <w:bookmarkStart w:id="6999" w:name="_Toc115274881"/>
      <w:bookmarkStart w:id="7000" w:name="_Toc115275238"/>
      <w:bookmarkStart w:id="7001" w:name="_Toc115275381"/>
      <w:bookmarkStart w:id="7002" w:name="_Toc115274218"/>
      <w:bookmarkStart w:id="7003" w:name="_Toc115274519"/>
      <w:bookmarkStart w:id="7004" w:name="_Toc115274587"/>
      <w:bookmarkStart w:id="7005" w:name="_Toc115274745"/>
      <w:bookmarkStart w:id="7006" w:name="_Toc115277479"/>
      <w:bookmarkStart w:id="7007" w:name="_Toc115277683"/>
      <w:bookmarkStart w:id="7008" w:name="_Toc115278572"/>
      <w:bookmarkStart w:id="7009" w:name="_Toc115278652"/>
      <w:bookmarkStart w:id="7010" w:name="_Toc115282322"/>
      <w:bookmarkStart w:id="7011" w:name="_Toc115284775"/>
      <w:bookmarkStart w:id="7012" w:name="_Toc115286867"/>
      <w:bookmarkStart w:id="7013" w:name="_Toc115294801"/>
      <w:bookmarkStart w:id="7014" w:name="_Toc115296381"/>
      <w:bookmarkStart w:id="7015" w:name="_Toc115308567"/>
      <w:bookmarkStart w:id="7016" w:name="_Toc115311219"/>
      <w:bookmarkStart w:id="7017" w:name="_Toc115312699"/>
      <w:bookmarkStart w:id="7018" w:name="_Toc115343873"/>
      <w:bookmarkStart w:id="7019" w:name="_Toc115348311"/>
      <w:bookmarkStart w:id="7020" w:name="_Toc115350409"/>
      <w:bookmarkStart w:id="7021" w:name="_Toc115353497"/>
      <w:bookmarkStart w:id="7022" w:name="_Toc115359528"/>
      <w:bookmarkStart w:id="7023" w:name="_Toc115361932"/>
      <w:bookmarkStart w:id="7024" w:name="_Toc115364325"/>
      <w:bookmarkStart w:id="7025" w:name="_Toc115365419"/>
      <w:bookmarkStart w:id="7026" w:name="_Toc115365759"/>
      <w:bookmarkStart w:id="7027" w:name="_Toc115366223"/>
      <w:bookmarkStart w:id="7028" w:name="_Toc115368673"/>
      <w:bookmarkStart w:id="7029" w:name="_Toc115370113"/>
      <w:bookmarkStart w:id="7030" w:name="_Toc115370847"/>
      <w:bookmarkStart w:id="7031" w:name="_Toc115374419"/>
      <w:bookmarkStart w:id="7032" w:name="_Toc115378758"/>
      <w:bookmarkStart w:id="7033" w:name="_Toc115380990"/>
      <w:bookmarkStart w:id="7034" w:name="_Toc115384142"/>
      <w:bookmarkStart w:id="7035" w:name="_Toc115387371"/>
      <w:bookmarkStart w:id="7036" w:name="_Toc115388837"/>
      <w:bookmarkStart w:id="7037" w:name="_Toc115431475"/>
      <w:bookmarkStart w:id="7038" w:name="_Toc115432853"/>
      <w:bookmarkStart w:id="7039" w:name="_Toc115434424"/>
      <w:bookmarkStart w:id="7040" w:name="_Toc115434523"/>
      <w:bookmarkStart w:id="7041" w:name="_Toc115434592"/>
      <w:bookmarkStart w:id="7042" w:name="_Toc115434661"/>
      <w:bookmarkStart w:id="7043" w:name="_Toc115442828"/>
      <w:bookmarkStart w:id="7044" w:name="_Toc115446364"/>
      <w:bookmarkStart w:id="7045" w:name="_Toc115448071"/>
      <w:bookmarkStart w:id="7046" w:name="_Toc115449463"/>
      <w:bookmarkStart w:id="7047" w:name="_Toc115452483"/>
      <w:bookmarkStart w:id="7048" w:name="_Toc115455300"/>
      <w:bookmarkStart w:id="7049" w:name="_Toc115455366"/>
      <w:bookmarkStart w:id="7050" w:name="_Toc115457316"/>
      <w:bookmarkStart w:id="7051" w:name="_Toc115458152"/>
      <w:bookmarkStart w:id="7052" w:name="_Toc115948180"/>
      <w:bookmarkStart w:id="7053" w:name="_Toc115948627"/>
      <w:r>
        <w:t xml:space="preserve">Recommendation </w:t>
      </w:r>
      <w:r w:rsidR="00DC13DA">
        <w:t>1</w:t>
      </w:r>
      <w:r w:rsidR="001B77D2">
        <w:t>3</w:t>
      </w:r>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r w:rsidR="005439E8">
        <w:t xml:space="preserve"> </w:t>
      </w:r>
      <w:r w:rsidR="00CB748B">
        <w:t>–</w:t>
      </w:r>
      <w:r w:rsidR="005439E8">
        <w:t xml:space="preserve"> Termination</w:t>
      </w:r>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p>
    <w:p w14:paraId="5161AB2A" w14:textId="77777777" w:rsidR="000136FD" w:rsidRDefault="000136FD" w:rsidP="000136FD">
      <w:pPr>
        <w:pStyle w:val="BOXText"/>
      </w:pPr>
      <w:r>
        <w:t>The</w:t>
      </w:r>
      <w:r w:rsidRPr="00E40892">
        <w:t xml:space="preserve"> </w:t>
      </w:r>
      <w:r>
        <w:t xml:space="preserve">MoP(S) </w:t>
      </w:r>
      <w:r w:rsidRPr="00E40892">
        <w:t xml:space="preserve">Act </w:t>
      </w:r>
      <w:r>
        <w:t>should be amended to improve the certainty and fairness of termination processes, including provisions that:</w:t>
      </w:r>
    </w:p>
    <w:p w14:paraId="188759C7" w14:textId="555380FF" w:rsidR="000136FD" w:rsidRDefault="000136FD" w:rsidP="0001101F">
      <w:pPr>
        <w:pStyle w:val="BOXText"/>
        <w:numPr>
          <w:ilvl w:val="0"/>
          <w:numId w:val="35"/>
        </w:numPr>
      </w:pPr>
      <w:r>
        <w:t>a p</w:t>
      </w:r>
      <w:r w:rsidRPr="00E40892">
        <w:t xml:space="preserve">arliamentarian must consult the OPSC </w:t>
      </w:r>
      <w:r>
        <w:t xml:space="preserve">on best practice </w:t>
      </w:r>
      <w:r w:rsidRPr="00E40892">
        <w:t>prior to effecting any termination</w:t>
      </w:r>
    </w:p>
    <w:p w14:paraId="60C460FC" w14:textId="77777777" w:rsidR="000136FD" w:rsidRPr="005D23D9" w:rsidRDefault="000136FD" w:rsidP="0001101F">
      <w:pPr>
        <w:pStyle w:val="BOXText"/>
        <w:numPr>
          <w:ilvl w:val="0"/>
          <w:numId w:val="35"/>
        </w:numPr>
      </w:pPr>
      <w:r w:rsidRPr="005D23D9">
        <w:t>the employing parlia</w:t>
      </w:r>
      <w:r>
        <w:t>mentarian</w:t>
      </w:r>
      <w:r w:rsidRPr="005D23D9">
        <w:t xml:space="preserve"> may suspend the employment of a MoP(S) Act employee</w:t>
      </w:r>
    </w:p>
    <w:p w14:paraId="5E6E9395" w14:textId="3088200A" w:rsidR="000136FD" w:rsidRDefault="000136FD" w:rsidP="0001101F">
      <w:pPr>
        <w:pStyle w:val="BOXText"/>
        <w:numPr>
          <w:ilvl w:val="0"/>
          <w:numId w:val="35"/>
        </w:numPr>
      </w:pPr>
      <w:r w:rsidRPr="00B829E0">
        <w:t>the OPSC</w:t>
      </w:r>
      <w:r>
        <w:t xml:space="preserve"> </w:t>
      </w:r>
      <w:r w:rsidRPr="00B829E0">
        <w:t>may suspend the employment of a MoP(S) Act employee</w:t>
      </w:r>
      <w:r>
        <w:t xml:space="preserve"> in cases of immediate risk,</w:t>
      </w:r>
      <w:r w:rsidRPr="006E733D">
        <w:t xml:space="preserve"> </w:t>
      </w:r>
      <w:r>
        <w:t>including on advice from the Independent Parliamentary Standards Commission.</w:t>
      </w:r>
    </w:p>
    <w:p w14:paraId="17D2EE7F" w14:textId="77777777" w:rsidR="00DC13DA" w:rsidRDefault="00DC13DA" w:rsidP="00DC13DA"/>
    <w:p w14:paraId="121449BE" w14:textId="49DE53E8" w:rsidR="00117317" w:rsidRDefault="00DC13DA" w:rsidP="00DC13DA">
      <w:pPr>
        <w:pStyle w:val="Heading2"/>
      </w:pPr>
      <w:bookmarkStart w:id="7054" w:name="_Toc114230910"/>
      <w:bookmarkStart w:id="7055" w:name="_Toc114233615"/>
      <w:bookmarkStart w:id="7056" w:name="_Toc114233687"/>
      <w:bookmarkStart w:id="7057" w:name="_Toc114240644"/>
      <w:bookmarkStart w:id="7058" w:name="_Toc114240718"/>
      <w:bookmarkStart w:id="7059" w:name="_Toc114241062"/>
      <w:bookmarkStart w:id="7060" w:name="_Toc114494086"/>
      <w:bookmarkStart w:id="7061" w:name="_Toc114500337"/>
      <w:bookmarkStart w:id="7062" w:name="_Toc114500412"/>
      <w:bookmarkStart w:id="7063" w:name="_Toc114518685"/>
      <w:bookmarkStart w:id="7064" w:name="_Toc114520357"/>
      <w:bookmarkStart w:id="7065" w:name="_Toc114520766"/>
      <w:bookmarkStart w:id="7066" w:name="_Toc114565794"/>
      <w:bookmarkStart w:id="7067" w:name="_Toc114566775"/>
      <w:bookmarkStart w:id="7068" w:name="_Toc114567000"/>
      <w:bookmarkStart w:id="7069" w:name="_Toc114566924"/>
      <w:bookmarkStart w:id="7070" w:name="_Toc114585922"/>
      <w:bookmarkStart w:id="7071" w:name="_Toc114586066"/>
      <w:bookmarkStart w:id="7072" w:name="_Toc114586138"/>
      <w:bookmarkStart w:id="7073" w:name="_Toc114601278"/>
      <w:bookmarkStart w:id="7074" w:name="_Toc114657319"/>
      <w:bookmarkStart w:id="7075" w:name="_Toc114659781"/>
      <w:bookmarkStart w:id="7076" w:name="_Toc114662766"/>
      <w:bookmarkStart w:id="7077" w:name="_Toc114665149"/>
      <w:bookmarkStart w:id="7078" w:name="_Toc114672457"/>
      <w:bookmarkStart w:id="7079" w:name="_Toc114672670"/>
      <w:bookmarkStart w:id="7080" w:name="_Toc114673225"/>
      <w:bookmarkStart w:id="7081" w:name="_Toc114673811"/>
      <w:bookmarkStart w:id="7082" w:name="_Toc114674336"/>
      <w:bookmarkStart w:id="7083" w:name="_Toc114687509"/>
      <w:bookmarkStart w:id="7084" w:name="_Toc114689973"/>
      <w:bookmarkStart w:id="7085" w:name="_Toc114731836"/>
      <w:bookmarkStart w:id="7086" w:name="_Toc114733601"/>
      <w:bookmarkStart w:id="7087" w:name="_Toc114735542"/>
      <w:bookmarkStart w:id="7088" w:name="_Toc114755869"/>
      <w:bookmarkStart w:id="7089" w:name="_Toc114757174"/>
      <w:bookmarkStart w:id="7090" w:name="_Toc114757458"/>
      <w:bookmarkStart w:id="7091" w:name="_Toc114757560"/>
      <w:bookmarkStart w:id="7092" w:name="_Toc114758233"/>
      <w:bookmarkStart w:id="7093" w:name="_Toc114824403"/>
      <w:bookmarkStart w:id="7094" w:name="_Toc114829479"/>
      <w:bookmarkStart w:id="7095" w:name="_Toc114829843"/>
      <w:bookmarkStart w:id="7096" w:name="_Toc114829987"/>
      <w:bookmarkStart w:id="7097" w:name="_Toc115099066"/>
      <w:bookmarkStart w:id="7098" w:name="_Toc115099138"/>
      <w:bookmarkStart w:id="7099" w:name="_Toc115101715"/>
      <w:bookmarkStart w:id="7100" w:name="_Toc115102560"/>
      <w:bookmarkStart w:id="7101" w:name="_Toc115105533"/>
      <w:bookmarkStart w:id="7102" w:name="_Toc115110394"/>
      <w:bookmarkStart w:id="7103" w:name="_Toc115110521"/>
      <w:bookmarkStart w:id="7104" w:name="_Toc115121639"/>
      <w:bookmarkStart w:id="7105" w:name="_Toc115122009"/>
      <w:bookmarkStart w:id="7106" w:name="_Toc115123489"/>
      <w:bookmarkStart w:id="7107" w:name="_Toc115123737"/>
      <w:bookmarkStart w:id="7108" w:name="_Toc115126869"/>
      <w:bookmarkStart w:id="7109" w:name="_Toc115185503"/>
      <w:bookmarkStart w:id="7110" w:name="_Toc115186130"/>
      <w:bookmarkStart w:id="7111" w:name="_Toc115189288"/>
      <w:bookmarkStart w:id="7112" w:name="_Toc115194261"/>
      <w:bookmarkStart w:id="7113" w:name="_Toc115194998"/>
      <w:bookmarkStart w:id="7114" w:name="_Toc115196408"/>
      <w:bookmarkStart w:id="7115" w:name="_Toc115198909"/>
      <w:bookmarkStart w:id="7116" w:name="_Toc115208924"/>
      <w:bookmarkStart w:id="7117" w:name="_Toc115209060"/>
      <w:bookmarkStart w:id="7118" w:name="_Toc115210391"/>
      <w:bookmarkStart w:id="7119" w:name="_Toc115212616"/>
      <w:bookmarkStart w:id="7120" w:name="_Toc115213256"/>
      <w:bookmarkStart w:id="7121" w:name="_Toc115216754"/>
      <w:bookmarkStart w:id="7122" w:name="_Toc115270445"/>
      <w:bookmarkStart w:id="7123" w:name="_Toc115271388"/>
      <w:bookmarkStart w:id="7124" w:name="_Toc115272305"/>
      <w:bookmarkStart w:id="7125" w:name="_Toc115273475"/>
      <w:bookmarkStart w:id="7126" w:name="_Toc115273403"/>
      <w:bookmarkStart w:id="7127" w:name="_Toc115274305"/>
      <w:bookmarkStart w:id="7128" w:name="_Toc115274656"/>
      <w:bookmarkStart w:id="7129" w:name="_Toc115274882"/>
      <w:bookmarkStart w:id="7130" w:name="_Toc115275239"/>
      <w:bookmarkStart w:id="7131" w:name="_Toc115275382"/>
      <w:bookmarkStart w:id="7132" w:name="_Toc115274219"/>
      <w:bookmarkStart w:id="7133" w:name="_Toc115274520"/>
      <w:bookmarkStart w:id="7134" w:name="_Toc115274588"/>
      <w:bookmarkStart w:id="7135" w:name="_Toc115274746"/>
      <w:bookmarkStart w:id="7136" w:name="_Toc115277480"/>
      <w:bookmarkStart w:id="7137" w:name="_Toc115277684"/>
      <w:bookmarkStart w:id="7138" w:name="_Toc115278573"/>
      <w:bookmarkStart w:id="7139" w:name="_Toc115278653"/>
      <w:bookmarkStart w:id="7140" w:name="_Toc115282323"/>
      <w:bookmarkStart w:id="7141" w:name="_Toc115284776"/>
      <w:bookmarkStart w:id="7142" w:name="_Toc115286868"/>
      <w:bookmarkStart w:id="7143" w:name="_Toc115294802"/>
      <w:bookmarkStart w:id="7144" w:name="_Toc115296382"/>
      <w:bookmarkStart w:id="7145" w:name="_Toc115308568"/>
      <w:bookmarkStart w:id="7146" w:name="_Toc115311220"/>
      <w:bookmarkStart w:id="7147" w:name="_Toc115312700"/>
      <w:bookmarkStart w:id="7148" w:name="_Toc115343874"/>
      <w:bookmarkStart w:id="7149" w:name="_Toc115348312"/>
      <w:bookmarkStart w:id="7150" w:name="_Toc115350410"/>
      <w:bookmarkStart w:id="7151" w:name="_Toc115353498"/>
      <w:bookmarkStart w:id="7152" w:name="_Toc115359529"/>
      <w:bookmarkStart w:id="7153" w:name="_Toc115361933"/>
      <w:bookmarkStart w:id="7154" w:name="_Toc115364326"/>
      <w:bookmarkStart w:id="7155" w:name="_Toc115365420"/>
      <w:bookmarkStart w:id="7156" w:name="_Toc115365760"/>
      <w:bookmarkStart w:id="7157" w:name="_Toc115366224"/>
      <w:bookmarkStart w:id="7158" w:name="_Toc115368674"/>
      <w:bookmarkStart w:id="7159" w:name="_Toc115370114"/>
      <w:bookmarkStart w:id="7160" w:name="_Toc115370848"/>
      <w:bookmarkStart w:id="7161" w:name="_Toc115374420"/>
      <w:bookmarkStart w:id="7162" w:name="_Toc115378759"/>
      <w:bookmarkStart w:id="7163" w:name="_Toc115380991"/>
      <w:bookmarkStart w:id="7164" w:name="_Toc115384143"/>
      <w:bookmarkStart w:id="7165" w:name="_Toc115387372"/>
      <w:bookmarkStart w:id="7166" w:name="_Toc115388838"/>
      <w:bookmarkStart w:id="7167" w:name="_Toc115431476"/>
      <w:bookmarkStart w:id="7168" w:name="_Toc115432854"/>
      <w:bookmarkStart w:id="7169" w:name="_Toc115434425"/>
      <w:bookmarkStart w:id="7170" w:name="_Toc115434524"/>
      <w:bookmarkStart w:id="7171" w:name="_Toc115434593"/>
      <w:bookmarkStart w:id="7172" w:name="_Toc115434662"/>
      <w:bookmarkStart w:id="7173" w:name="_Toc115442829"/>
      <w:bookmarkStart w:id="7174" w:name="_Toc115446365"/>
      <w:bookmarkStart w:id="7175" w:name="_Toc115448072"/>
      <w:bookmarkStart w:id="7176" w:name="_Toc115449464"/>
      <w:bookmarkStart w:id="7177" w:name="_Toc115452484"/>
      <w:bookmarkStart w:id="7178" w:name="_Toc115455301"/>
      <w:bookmarkStart w:id="7179" w:name="_Toc115455367"/>
      <w:bookmarkStart w:id="7180" w:name="_Toc115457317"/>
      <w:bookmarkStart w:id="7181" w:name="_Toc115458153"/>
      <w:bookmarkStart w:id="7182" w:name="_Toc115948181"/>
      <w:bookmarkStart w:id="7183" w:name="_Toc115948628"/>
      <w:r>
        <w:t>6.</w:t>
      </w:r>
      <w:r w:rsidR="0055702B">
        <w:t>5</w:t>
      </w:r>
      <w:r w:rsidR="00117317">
        <w:t xml:space="preserve"> Automatic termination</w:t>
      </w:r>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r w:rsidR="00117317">
        <w:t xml:space="preserve"> </w:t>
      </w:r>
    </w:p>
    <w:p w14:paraId="19477FC2" w14:textId="0BD4A08F" w:rsidR="00D06D5F" w:rsidRDefault="00952007">
      <w:r>
        <w:t>A matter</w:t>
      </w:r>
      <w:r w:rsidR="00F838C7">
        <w:t xml:space="preserve"> </w:t>
      </w:r>
      <w:r w:rsidR="00F838C7" w:rsidRPr="00D06D5F">
        <w:t xml:space="preserve">raised </w:t>
      </w:r>
      <w:r>
        <w:t>during the Review</w:t>
      </w:r>
      <w:r w:rsidR="00F838C7" w:rsidRPr="00D06D5F">
        <w:t xml:space="preserve"> relating to the technical operation of the MoP(S) Act was the operation of automatic terminations</w:t>
      </w:r>
      <w:r w:rsidR="00B712E8" w:rsidRPr="00D06D5F">
        <w:t xml:space="preserve"> of employment</w:t>
      </w:r>
      <w:r w:rsidR="00F838C7" w:rsidRPr="00D06D5F">
        <w:t xml:space="preserve">. </w:t>
      </w:r>
      <w:r w:rsidR="00D06D5F">
        <w:t xml:space="preserve">MoP(S) </w:t>
      </w:r>
      <w:r w:rsidR="00136872">
        <w:t>Act</w:t>
      </w:r>
      <w:r w:rsidR="00D06D5F">
        <w:t xml:space="preserve"> employment can terminate ‘automatically’ when the circumstances of an employing parliamentarian change. For example, a MoP(S)</w:t>
      </w:r>
      <w:r w:rsidR="00720052">
        <w:t xml:space="preserve"> Act</w:t>
      </w:r>
      <w:r w:rsidR="00D06D5F">
        <w:t xml:space="preserve"> employee will no longer be employed if their employing parliamentarian loses office. </w:t>
      </w:r>
    </w:p>
    <w:p w14:paraId="3A049AF0" w14:textId="2C499A04" w:rsidR="00F838C7" w:rsidRDefault="00F838C7" w:rsidP="00DC754C">
      <w:r w:rsidRPr="00D06D5F">
        <w:t>The</w:t>
      </w:r>
      <w:r w:rsidRPr="00D06D5F" w:rsidDel="00F23879">
        <w:t xml:space="preserve"> </w:t>
      </w:r>
      <w:r w:rsidR="00F23879" w:rsidRPr="00D06D5F">
        <w:t>Review</w:t>
      </w:r>
      <w:r w:rsidR="00DC754C">
        <w:t xml:space="preserve"> found </w:t>
      </w:r>
      <w:r>
        <w:t>automatic terminat</w:t>
      </w:r>
      <w:r w:rsidR="00D06D5F">
        <w:t>ions are complex, and</w:t>
      </w:r>
      <w:r>
        <w:t xml:space="preserve"> </w:t>
      </w:r>
      <w:r w:rsidR="00D06D5F">
        <w:t>there is scope to</w:t>
      </w:r>
      <w:r>
        <w:t xml:space="preserve"> simplify </w:t>
      </w:r>
      <w:r w:rsidR="00FA6E8D">
        <w:t xml:space="preserve">and clarify </w:t>
      </w:r>
      <w:r>
        <w:t>the application of automatic termination</w:t>
      </w:r>
      <w:r w:rsidR="00D06D5F">
        <w:t xml:space="preserve"> provisions</w:t>
      </w:r>
      <w:r w:rsidR="00DC754C">
        <w:t xml:space="preserve"> in the Act</w:t>
      </w:r>
      <w:r>
        <w:t>.</w:t>
      </w:r>
    </w:p>
    <w:p w14:paraId="1823850A" w14:textId="77777777" w:rsidR="001E0655" w:rsidRDefault="001E0655" w:rsidP="00DC754C"/>
    <w:p w14:paraId="5DB8BCF5" w14:textId="3CB38AFC" w:rsidR="00F838C7" w:rsidRDefault="00F838C7" w:rsidP="00051BDA">
      <w:pPr>
        <w:pStyle w:val="Heading3"/>
      </w:pPr>
      <w:r>
        <w:t>6.5.1 Current situation</w:t>
      </w:r>
    </w:p>
    <w:p w14:paraId="14D3573B" w14:textId="1301F496" w:rsidR="00117317" w:rsidRDefault="00117317" w:rsidP="00117317">
      <w:r>
        <w:t xml:space="preserve">Sections 16 and 23 of the Act, which deal with termination of employment, </w:t>
      </w:r>
      <w:r w:rsidR="00DC754C">
        <w:t>operate</w:t>
      </w:r>
      <w:r>
        <w:t xml:space="preserve"> to automatically terminate an employee in the following situations:</w:t>
      </w:r>
      <w:r w:rsidRPr="007701BF">
        <w:rPr>
          <w:rStyle w:val="FootnoteReference"/>
        </w:rPr>
        <w:t xml:space="preserve"> </w:t>
      </w:r>
    </w:p>
    <w:p w14:paraId="0AC62251" w14:textId="1E454835" w:rsidR="00117317" w:rsidRDefault="0018163F" w:rsidP="00DC13DA">
      <w:pPr>
        <w:pStyle w:val="BulletedList-Level1"/>
      </w:pPr>
      <w:r>
        <w:t>w</w:t>
      </w:r>
      <w:r w:rsidR="00117317">
        <w:t>here the employ</w:t>
      </w:r>
      <w:r w:rsidR="009E7D5B">
        <w:t>ing parliamentarian</w:t>
      </w:r>
      <w:r w:rsidR="00117317">
        <w:t xml:space="preserve"> dies</w:t>
      </w:r>
      <w:r w:rsidR="00117317">
        <w:rPr>
          <w:rStyle w:val="FootnoteReference"/>
        </w:rPr>
        <w:footnoteReference w:id="349"/>
      </w:r>
    </w:p>
    <w:p w14:paraId="6E1F3386" w14:textId="7C1CF55C" w:rsidR="00117317" w:rsidRDefault="0018163F" w:rsidP="00DC13DA">
      <w:pPr>
        <w:pStyle w:val="BulletedList-Level1"/>
      </w:pPr>
      <w:r>
        <w:t>w</w:t>
      </w:r>
      <w:r w:rsidR="00117317">
        <w:t>here a relevant office-holder</w:t>
      </w:r>
      <w:r w:rsidR="00117317">
        <w:rPr>
          <w:rStyle w:val="FootnoteReference"/>
        </w:rPr>
        <w:footnoteReference w:id="350"/>
      </w:r>
      <w:r w:rsidR="00117317">
        <w:t xml:space="preserve"> ceases to hold that office</w:t>
      </w:r>
    </w:p>
    <w:p w14:paraId="3E087B10" w14:textId="09A1DAC2" w:rsidR="00117317" w:rsidRDefault="00117317" w:rsidP="00DC13DA">
      <w:pPr>
        <w:pStyle w:val="BulletedList-Level1"/>
      </w:pPr>
      <w:r>
        <w:t xml:space="preserve">where a </w:t>
      </w:r>
      <w:r w:rsidR="0018163F">
        <w:t>s</w:t>
      </w:r>
      <w:r>
        <w:t xml:space="preserve">enator or </w:t>
      </w:r>
      <w:r w:rsidR="0018163F">
        <w:t>m</w:t>
      </w:r>
      <w:r>
        <w:t>ember loses their seat</w:t>
      </w:r>
      <w:r w:rsidR="0018163F" w:rsidDel="0018163F">
        <w:t xml:space="preserve"> </w:t>
      </w:r>
      <w:r w:rsidR="006F7927">
        <w:t>in parliament</w:t>
      </w:r>
    </w:p>
    <w:p w14:paraId="6665F77E" w14:textId="38EABDDC" w:rsidR="00117317" w:rsidRDefault="0018163F" w:rsidP="00DC13DA">
      <w:pPr>
        <w:pStyle w:val="BulletedList-Level1"/>
      </w:pPr>
      <w:r>
        <w:t>w</w:t>
      </w:r>
      <w:r w:rsidR="00117317">
        <w:t>here a determination made by the Prime Minister under se</w:t>
      </w:r>
      <w:r w:rsidR="00C605B9">
        <w:t xml:space="preserve">ction 12 of the Act in respect </w:t>
      </w:r>
      <w:r w:rsidR="00117317">
        <w:t>o</w:t>
      </w:r>
      <w:r w:rsidR="00C605B9">
        <w:t>f</w:t>
      </w:r>
      <w:r w:rsidR="00117317">
        <w:t xml:space="preserve"> a </w:t>
      </w:r>
      <w:r w:rsidR="000E3E01">
        <w:t>parliamentarian</w:t>
      </w:r>
      <w:r w:rsidR="00117317">
        <w:t xml:space="preserve"> is revoked.</w:t>
      </w:r>
      <w:r w:rsidR="00117317">
        <w:rPr>
          <w:rStyle w:val="FootnoteReference"/>
        </w:rPr>
        <w:footnoteReference w:id="351"/>
      </w:r>
    </w:p>
    <w:p w14:paraId="231C0818" w14:textId="413EE076" w:rsidR="0093049F" w:rsidRDefault="0093049F" w:rsidP="00DE1B14">
      <w:r>
        <w:t xml:space="preserve">Further details of automatic termination triggers are provided in </w:t>
      </w:r>
      <w:r w:rsidR="00DE1B14">
        <w:t>the table below</w:t>
      </w:r>
      <w:r w:rsidR="001A232B">
        <w:t>, which sets out situations which may trigger an automatic termination event and which categories of employees may be affected.</w:t>
      </w:r>
      <w:r w:rsidR="00DE1B14">
        <w:rPr>
          <w:rStyle w:val="FootnoteReference"/>
        </w:rPr>
        <w:footnoteReference w:id="352"/>
      </w:r>
    </w:p>
    <w:p w14:paraId="79123CFB" w14:textId="77777777" w:rsidR="00DE1B14" w:rsidRDefault="00DE1B14" w:rsidP="00DE1B14"/>
    <w:tbl>
      <w:tblPr>
        <w:tblStyle w:val="ListTable4-Accent1"/>
        <w:tblW w:w="4858" w:type="pct"/>
        <w:tblInd w:w="-3" w:type="dxa"/>
        <w:tblBorders>
          <w:top w:val="single" w:sz="6" w:space="0" w:color="E0E8F2" w:themeColor="background2"/>
          <w:left w:val="single" w:sz="6" w:space="0" w:color="E0E8F2" w:themeColor="background2"/>
          <w:bottom w:val="single" w:sz="6" w:space="0" w:color="E0E8F2" w:themeColor="background2"/>
          <w:right w:val="single" w:sz="6" w:space="0" w:color="E0E8F2" w:themeColor="background2"/>
          <w:insideH w:val="single" w:sz="6" w:space="0" w:color="E0E8F2" w:themeColor="background2"/>
          <w:insideV w:val="single" w:sz="6" w:space="0" w:color="E0E8F2" w:themeColor="background2"/>
        </w:tblBorders>
        <w:tblCellMar>
          <w:top w:w="57" w:type="dxa"/>
          <w:left w:w="57" w:type="dxa"/>
          <w:right w:w="57" w:type="dxa"/>
        </w:tblCellMar>
        <w:tblLook w:val="0620" w:firstRow="1" w:lastRow="0" w:firstColumn="0" w:lastColumn="0" w:noHBand="1" w:noVBand="1"/>
        <w:tblDescription w:val="Situation Employing parliamentarian Trigger? Employees affected&#10;Parliamentarian dies All Yes Personal and electorate&#10;Parliamentarian resigns All Yes Personal and electorate&#10;Parliamentarian ceases to hold all roles (e.g. no longer holds a Ministry or Shadow Ministry position) Minister Yes Personal and electorate&#10; Opposition office-holder Yes Personal and electorate&#10; Shadow Minister Yes Personal&#10; Party Whip Yes Personal&#10; Presiding Officer Yes Personal&#10;Parliamentarian ceases to hold certain roles (e.g. Minister’s commission is revoked for some but not all portfolios) Minister Depends on how ministerial commission is structured (i.e. whether combined or distinct) – if combined, yes; if distinct, no Personal and electorate&#10; Opposition Office-Holder No N/A&#10; Shadow Minister Yes, due to the revocation of a section 12 determination which applied to the original role Personal&#10;Parliamentarian provided with new roles without losing old ones (e.g. a minister is commissioned as Minister for Industry in addition to existing role as Minister for the Arts) Minister Dependent on whether a section 12 determination has been made in relation to that office in its former capacity and has since been revoked – if so, yes Personal&#10; Opposition Office-Holder No N/A&#10; Shadow Minister Dependent on whether a section 12 determination has revoked the previous ‘bundle’ of roles – if so, yes Personal&#10;Post-election where there is no change in Government Minister Yes, occurs at swearing in of new Ministry Personal and electorate&#10; Opposition Office-Holder Dependent on internal party arrangements regarding employees Personal and/or electorate&#10; Shadow Minister Yes, occurs where Leader of the Opposition announces Shadow Ministry Personal&#10; Whip Dependent on internal party arrangements regarding employees Personal and/or electorate&#10; Presiding Officer Yes Personal&#10;Post-election where there is a change in Government Minister Yes, occurs at swearing in of new Ministry Personal and electorate&#10; Opposition Office-Holder Yes, occurs at swearing in of new Ministry Personal and electorate&#10; Shadow Minister Yes, occurs at swearing in of new Ministry Personal&#10; Whip Dependent on internal party arrangements regarding employees Personal and/or electorate&#10; Presiding Officer Yes Personal&#10;"/>
      </w:tblPr>
      <w:tblGrid>
        <w:gridCol w:w="2548"/>
        <w:gridCol w:w="1982"/>
        <w:gridCol w:w="2835"/>
        <w:gridCol w:w="1984"/>
      </w:tblGrid>
      <w:tr w:rsidR="001948FA" w:rsidRPr="006E170D" w14:paraId="674CD666" w14:textId="77777777" w:rsidTr="00625578">
        <w:trPr>
          <w:cnfStyle w:val="100000000000" w:firstRow="1" w:lastRow="0" w:firstColumn="0" w:lastColumn="0" w:oddVBand="0" w:evenVBand="0" w:oddHBand="0" w:evenHBand="0" w:firstRowFirstColumn="0" w:firstRowLastColumn="0" w:lastRowFirstColumn="0" w:lastRowLastColumn="0"/>
          <w:trHeight w:val="20"/>
          <w:tblHeader/>
        </w:trPr>
        <w:tc>
          <w:tcPr>
            <w:tcW w:w="1363" w:type="pct"/>
            <w:vAlign w:val="center"/>
          </w:tcPr>
          <w:p w14:paraId="056F54DE" w14:textId="77777777" w:rsidR="00AC7B4A" w:rsidRPr="006E170D" w:rsidRDefault="00AC7B4A" w:rsidP="00F9053D">
            <w:pPr>
              <w:pStyle w:val="TBLHeading"/>
            </w:pPr>
            <w:r>
              <w:t>Situation</w:t>
            </w:r>
          </w:p>
        </w:tc>
        <w:tc>
          <w:tcPr>
            <w:tcW w:w="1060" w:type="pct"/>
            <w:vAlign w:val="center"/>
          </w:tcPr>
          <w:p w14:paraId="1B177B74" w14:textId="77777777" w:rsidR="00AC7B4A" w:rsidRPr="006E170D" w:rsidRDefault="00AC7B4A" w:rsidP="00F9053D">
            <w:pPr>
              <w:pStyle w:val="TBLHeading"/>
            </w:pPr>
            <w:r>
              <w:t>Employing parliamentarian</w:t>
            </w:r>
          </w:p>
        </w:tc>
        <w:tc>
          <w:tcPr>
            <w:tcW w:w="1516" w:type="pct"/>
            <w:vAlign w:val="center"/>
          </w:tcPr>
          <w:p w14:paraId="6EE7CA75" w14:textId="77777777" w:rsidR="00AC7B4A" w:rsidRPr="006E170D" w:rsidRDefault="00AC7B4A" w:rsidP="00F9053D">
            <w:pPr>
              <w:pStyle w:val="TBLHeading"/>
            </w:pPr>
            <w:r>
              <w:t>Trigger</w:t>
            </w:r>
            <w:r w:rsidR="001948FA">
              <w:t>?</w:t>
            </w:r>
          </w:p>
        </w:tc>
        <w:tc>
          <w:tcPr>
            <w:tcW w:w="1061" w:type="pct"/>
            <w:vAlign w:val="center"/>
          </w:tcPr>
          <w:p w14:paraId="4D4EE8FB" w14:textId="77777777" w:rsidR="00AC7B4A" w:rsidRPr="006E170D" w:rsidRDefault="00AC7B4A" w:rsidP="00F9053D">
            <w:pPr>
              <w:pStyle w:val="TBLHeading"/>
            </w:pPr>
            <w:r>
              <w:t>Employees affected</w:t>
            </w:r>
          </w:p>
        </w:tc>
      </w:tr>
      <w:tr w:rsidR="001948FA" w:rsidRPr="006E170D" w14:paraId="7466C05E" w14:textId="77777777" w:rsidTr="00625578">
        <w:trPr>
          <w:trHeight w:val="20"/>
        </w:trPr>
        <w:tc>
          <w:tcPr>
            <w:tcW w:w="1363" w:type="pct"/>
          </w:tcPr>
          <w:p w14:paraId="09C9F281" w14:textId="77777777" w:rsidR="001948FA" w:rsidRPr="006E170D" w:rsidRDefault="001948FA" w:rsidP="001948FA">
            <w:pPr>
              <w:pStyle w:val="TBLText"/>
            </w:pPr>
            <w:r>
              <w:t>Parliamentarian dies</w:t>
            </w:r>
          </w:p>
        </w:tc>
        <w:tc>
          <w:tcPr>
            <w:tcW w:w="1060" w:type="pct"/>
          </w:tcPr>
          <w:p w14:paraId="23690479" w14:textId="77777777" w:rsidR="001948FA" w:rsidRPr="006E170D" w:rsidRDefault="001948FA" w:rsidP="001948FA">
            <w:pPr>
              <w:pStyle w:val="TBLText"/>
            </w:pPr>
            <w:r>
              <w:t>All</w:t>
            </w:r>
          </w:p>
        </w:tc>
        <w:tc>
          <w:tcPr>
            <w:tcW w:w="1516" w:type="pct"/>
          </w:tcPr>
          <w:p w14:paraId="0EDD65FC" w14:textId="77777777" w:rsidR="001948FA" w:rsidRPr="006E170D" w:rsidRDefault="001948FA" w:rsidP="001948FA">
            <w:pPr>
              <w:pStyle w:val="TBLText"/>
            </w:pPr>
            <w:r>
              <w:t>Yes</w:t>
            </w:r>
          </w:p>
        </w:tc>
        <w:tc>
          <w:tcPr>
            <w:tcW w:w="1061" w:type="pct"/>
          </w:tcPr>
          <w:p w14:paraId="5E9E27B9" w14:textId="77777777" w:rsidR="001948FA" w:rsidRPr="006E170D" w:rsidRDefault="001948FA" w:rsidP="001948FA">
            <w:pPr>
              <w:pStyle w:val="TBLBulletedList"/>
            </w:pPr>
            <w:r>
              <w:t>Personal and electorate</w:t>
            </w:r>
          </w:p>
        </w:tc>
      </w:tr>
      <w:tr w:rsidR="001948FA" w:rsidRPr="006E170D" w14:paraId="13E1207F" w14:textId="77777777" w:rsidTr="00625578">
        <w:trPr>
          <w:trHeight w:val="20"/>
        </w:trPr>
        <w:tc>
          <w:tcPr>
            <w:tcW w:w="1363" w:type="pct"/>
          </w:tcPr>
          <w:p w14:paraId="24EEC006" w14:textId="77777777" w:rsidR="001948FA" w:rsidRPr="006E170D" w:rsidRDefault="001948FA" w:rsidP="001948FA">
            <w:pPr>
              <w:pStyle w:val="TBLText"/>
            </w:pPr>
            <w:r>
              <w:t>Parliamentarian resigns</w:t>
            </w:r>
          </w:p>
        </w:tc>
        <w:tc>
          <w:tcPr>
            <w:tcW w:w="1060" w:type="pct"/>
          </w:tcPr>
          <w:p w14:paraId="764972FA" w14:textId="77777777" w:rsidR="001948FA" w:rsidRPr="006E170D" w:rsidRDefault="001948FA" w:rsidP="001948FA">
            <w:pPr>
              <w:pStyle w:val="TBLText"/>
            </w:pPr>
            <w:r>
              <w:t>All</w:t>
            </w:r>
          </w:p>
        </w:tc>
        <w:tc>
          <w:tcPr>
            <w:tcW w:w="1516" w:type="pct"/>
          </w:tcPr>
          <w:p w14:paraId="7ACCE7FD" w14:textId="77777777" w:rsidR="001948FA" w:rsidRPr="006E170D" w:rsidRDefault="001948FA" w:rsidP="001948FA">
            <w:pPr>
              <w:pStyle w:val="TBLText"/>
            </w:pPr>
            <w:r>
              <w:t>Yes</w:t>
            </w:r>
          </w:p>
        </w:tc>
        <w:tc>
          <w:tcPr>
            <w:tcW w:w="1061" w:type="pct"/>
          </w:tcPr>
          <w:p w14:paraId="21ECC8D4" w14:textId="77777777" w:rsidR="001948FA" w:rsidRPr="006E170D" w:rsidRDefault="001948FA" w:rsidP="001948FA">
            <w:pPr>
              <w:pStyle w:val="TBLText"/>
            </w:pPr>
            <w:r>
              <w:t>Personal and electorate</w:t>
            </w:r>
          </w:p>
        </w:tc>
      </w:tr>
      <w:tr w:rsidR="001948FA" w:rsidRPr="006E170D" w14:paraId="2C4791A8" w14:textId="77777777" w:rsidTr="00625578">
        <w:trPr>
          <w:trHeight w:val="270"/>
        </w:trPr>
        <w:tc>
          <w:tcPr>
            <w:tcW w:w="1363" w:type="pct"/>
            <w:vMerge w:val="restart"/>
            <w:shd w:val="clear" w:color="auto" w:fill="auto"/>
          </w:tcPr>
          <w:p w14:paraId="3EA85372" w14:textId="77777777" w:rsidR="001948FA" w:rsidRPr="006E170D" w:rsidRDefault="001948FA" w:rsidP="001948FA">
            <w:pPr>
              <w:pStyle w:val="TBLText"/>
            </w:pPr>
            <w:r>
              <w:t>Parliamentarian ceases to hold all roles (e.g. no longer holds a Ministry or Shadow Ministry position)</w:t>
            </w:r>
          </w:p>
        </w:tc>
        <w:tc>
          <w:tcPr>
            <w:tcW w:w="1060" w:type="pct"/>
            <w:tcBorders>
              <w:bottom w:val="single" w:sz="6" w:space="0" w:color="E0E8F2" w:themeColor="background2"/>
            </w:tcBorders>
            <w:shd w:val="clear" w:color="auto" w:fill="auto"/>
          </w:tcPr>
          <w:p w14:paraId="5A9615CD" w14:textId="77777777" w:rsidR="001948FA" w:rsidRPr="006E170D" w:rsidRDefault="001948FA" w:rsidP="001948FA">
            <w:pPr>
              <w:pStyle w:val="TBLText"/>
            </w:pPr>
            <w:r>
              <w:t>Minister</w:t>
            </w:r>
          </w:p>
        </w:tc>
        <w:tc>
          <w:tcPr>
            <w:tcW w:w="1516" w:type="pct"/>
            <w:shd w:val="clear" w:color="auto" w:fill="auto"/>
          </w:tcPr>
          <w:p w14:paraId="4ACF4E10" w14:textId="77777777" w:rsidR="001948FA" w:rsidRPr="006E170D" w:rsidRDefault="001948FA" w:rsidP="001948FA">
            <w:pPr>
              <w:pStyle w:val="TBLText"/>
            </w:pPr>
            <w:r>
              <w:t>Yes</w:t>
            </w:r>
          </w:p>
        </w:tc>
        <w:tc>
          <w:tcPr>
            <w:tcW w:w="1061" w:type="pct"/>
            <w:shd w:val="clear" w:color="auto" w:fill="auto"/>
          </w:tcPr>
          <w:p w14:paraId="0DF28792" w14:textId="77777777" w:rsidR="001948FA" w:rsidRPr="006E170D" w:rsidRDefault="001948FA" w:rsidP="001948FA">
            <w:pPr>
              <w:pStyle w:val="TBLText"/>
            </w:pPr>
            <w:r>
              <w:t>Personal and electorate</w:t>
            </w:r>
          </w:p>
        </w:tc>
      </w:tr>
      <w:tr w:rsidR="001948FA" w:rsidRPr="006E170D" w14:paraId="12A138AB" w14:textId="77777777" w:rsidTr="00625578">
        <w:trPr>
          <w:trHeight w:val="269"/>
        </w:trPr>
        <w:tc>
          <w:tcPr>
            <w:tcW w:w="1363" w:type="pct"/>
            <w:vMerge/>
            <w:shd w:val="clear" w:color="auto" w:fill="auto"/>
          </w:tcPr>
          <w:p w14:paraId="50AB948D" w14:textId="77777777" w:rsidR="001948FA" w:rsidRDefault="001948FA" w:rsidP="001948FA">
            <w:pPr>
              <w:pStyle w:val="TBLText"/>
            </w:pPr>
          </w:p>
        </w:tc>
        <w:tc>
          <w:tcPr>
            <w:tcW w:w="1060" w:type="pct"/>
            <w:tcBorders>
              <w:bottom w:val="single" w:sz="6" w:space="0" w:color="E0E8F2" w:themeColor="background2"/>
            </w:tcBorders>
            <w:shd w:val="clear" w:color="auto" w:fill="auto"/>
          </w:tcPr>
          <w:p w14:paraId="616EB9BD" w14:textId="77777777" w:rsidR="001948FA" w:rsidRDefault="001948FA" w:rsidP="001948FA">
            <w:pPr>
              <w:pStyle w:val="TBLText"/>
            </w:pPr>
            <w:r>
              <w:t>Opposition office-holder</w:t>
            </w:r>
          </w:p>
        </w:tc>
        <w:tc>
          <w:tcPr>
            <w:tcW w:w="1516" w:type="pct"/>
            <w:shd w:val="clear" w:color="auto" w:fill="auto"/>
          </w:tcPr>
          <w:p w14:paraId="6FD883AA" w14:textId="77777777" w:rsidR="001948FA" w:rsidRDefault="001948FA" w:rsidP="001948FA">
            <w:pPr>
              <w:pStyle w:val="TBLText"/>
            </w:pPr>
            <w:r>
              <w:t>Yes</w:t>
            </w:r>
          </w:p>
        </w:tc>
        <w:tc>
          <w:tcPr>
            <w:tcW w:w="1061" w:type="pct"/>
            <w:shd w:val="clear" w:color="auto" w:fill="auto"/>
          </w:tcPr>
          <w:p w14:paraId="60400233" w14:textId="77777777" w:rsidR="001948FA" w:rsidRDefault="001948FA" w:rsidP="001948FA">
            <w:pPr>
              <w:pStyle w:val="TBLText"/>
            </w:pPr>
            <w:r>
              <w:t>Personal and electorate</w:t>
            </w:r>
          </w:p>
        </w:tc>
      </w:tr>
      <w:tr w:rsidR="001948FA" w:rsidRPr="006E170D" w14:paraId="517F37A7" w14:textId="77777777" w:rsidTr="00625578">
        <w:trPr>
          <w:trHeight w:val="269"/>
        </w:trPr>
        <w:tc>
          <w:tcPr>
            <w:tcW w:w="1363" w:type="pct"/>
            <w:vMerge/>
            <w:shd w:val="clear" w:color="auto" w:fill="auto"/>
          </w:tcPr>
          <w:p w14:paraId="4E07BF4D" w14:textId="77777777" w:rsidR="001948FA" w:rsidRDefault="001948FA" w:rsidP="001948FA">
            <w:pPr>
              <w:pStyle w:val="TBLText"/>
            </w:pPr>
          </w:p>
        </w:tc>
        <w:tc>
          <w:tcPr>
            <w:tcW w:w="1060" w:type="pct"/>
            <w:tcBorders>
              <w:bottom w:val="single" w:sz="6" w:space="0" w:color="E0E8F2" w:themeColor="background2"/>
            </w:tcBorders>
            <w:shd w:val="clear" w:color="auto" w:fill="auto"/>
          </w:tcPr>
          <w:p w14:paraId="1A42DC3E" w14:textId="77777777" w:rsidR="001948FA" w:rsidRDefault="001948FA" w:rsidP="001948FA">
            <w:pPr>
              <w:pStyle w:val="TBLText"/>
            </w:pPr>
            <w:r>
              <w:t>Shadow Minister</w:t>
            </w:r>
          </w:p>
        </w:tc>
        <w:tc>
          <w:tcPr>
            <w:tcW w:w="1516" w:type="pct"/>
            <w:shd w:val="clear" w:color="auto" w:fill="auto"/>
          </w:tcPr>
          <w:p w14:paraId="12080640" w14:textId="77777777" w:rsidR="001948FA" w:rsidRDefault="001948FA" w:rsidP="001948FA">
            <w:pPr>
              <w:pStyle w:val="TBLText"/>
            </w:pPr>
            <w:r>
              <w:t>Yes</w:t>
            </w:r>
          </w:p>
        </w:tc>
        <w:tc>
          <w:tcPr>
            <w:tcW w:w="1061" w:type="pct"/>
            <w:shd w:val="clear" w:color="auto" w:fill="auto"/>
          </w:tcPr>
          <w:p w14:paraId="58E482EA" w14:textId="77777777" w:rsidR="001948FA" w:rsidRDefault="001948FA" w:rsidP="001948FA">
            <w:pPr>
              <w:pStyle w:val="TBLText"/>
            </w:pPr>
            <w:r>
              <w:t>Personal</w:t>
            </w:r>
          </w:p>
        </w:tc>
      </w:tr>
      <w:tr w:rsidR="001948FA" w:rsidRPr="006E170D" w14:paraId="4FE2076A" w14:textId="77777777" w:rsidTr="00625578">
        <w:trPr>
          <w:trHeight w:val="269"/>
        </w:trPr>
        <w:tc>
          <w:tcPr>
            <w:tcW w:w="1363" w:type="pct"/>
            <w:vMerge/>
            <w:shd w:val="clear" w:color="auto" w:fill="auto"/>
          </w:tcPr>
          <w:p w14:paraId="1886EA0C" w14:textId="77777777" w:rsidR="001948FA" w:rsidRDefault="001948FA" w:rsidP="001948FA">
            <w:pPr>
              <w:pStyle w:val="TBLText"/>
            </w:pPr>
          </w:p>
        </w:tc>
        <w:tc>
          <w:tcPr>
            <w:tcW w:w="1060" w:type="pct"/>
            <w:tcBorders>
              <w:bottom w:val="single" w:sz="6" w:space="0" w:color="E0E8F2" w:themeColor="background2"/>
            </w:tcBorders>
            <w:shd w:val="clear" w:color="auto" w:fill="auto"/>
          </w:tcPr>
          <w:p w14:paraId="0ACD82D0" w14:textId="77777777" w:rsidR="001948FA" w:rsidRDefault="001948FA" w:rsidP="001948FA">
            <w:pPr>
              <w:pStyle w:val="TBLText"/>
            </w:pPr>
            <w:r>
              <w:t>Party Whip</w:t>
            </w:r>
          </w:p>
        </w:tc>
        <w:tc>
          <w:tcPr>
            <w:tcW w:w="1516" w:type="pct"/>
            <w:shd w:val="clear" w:color="auto" w:fill="auto"/>
          </w:tcPr>
          <w:p w14:paraId="09201EBD" w14:textId="77777777" w:rsidR="001948FA" w:rsidRDefault="001948FA" w:rsidP="001948FA">
            <w:pPr>
              <w:pStyle w:val="TBLText"/>
            </w:pPr>
            <w:r>
              <w:t>Yes</w:t>
            </w:r>
          </w:p>
        </w:tc>
        <w:tc>
          <w:tcPr>
            <w:tcW w:w="1061" w:type="pct"/>
            <w:shd w:val="clear" w:color="auto" w:fill="auto"/>
          </w:tcPr>
          <w:p w14:paraId="3047DC7A" w14:textId="77777777" w:rsidR="001948FA" w:rsidRDefault="001948FA" w:rsidP="001948FA">
            <w:pPr>
              <w:pStyle w:val="TBLText"/>
            </w:pPr>
            <w:r>
              <w:t>Personal</w:t>
            </w:r>
          </w:p>
        </w:tc>
      </w:tr>
      <w:tr w:rsidR="001948FA" w:rsidRPr="006E170D" w14:paraId="68F3A774" w14:textId="77777777" w:rsidTr="00625578">
        <w:trPr>
          <w:trHeight w:val="269"/>
        </w:trPr>
        <w:tc>
          <w:tcPr>
            <w:tcW w:w="1363" w:type="pct"/>
            <w:vMerge/>
            <w:tcBorders>
              <w:bottom w:val="single" w:sz="6" w:space="0" w:color="E0E8F2" w:themeColor="background2"/>
            </w:tcBorders>
            <w:shd w:val="clear" w:color="auto" w:fill="auto"/>
          </w:tcPr>
          <w:p w14:paraId="2D435835" w14:textId="77777777" w:rsidR="001948FA" w:rsidRDefault="001948FA" w:rsidP="001948FA">
            <w:pPr>
              <w:pStyle w:val="TBLText"/>
            </w:pPr>
          </w:p>
        </w:tc>
        <w:tc>
          <w:tcPr>
            <w:tcW w:w="1060" w:type="pct"/>
            <w:tcBorders>
              <w:bottom w:val="single" w:sz="6" w:space="0" w:color="E0E8F2" w:themeColor="background2"/>
            </w:tcBorders>
            <w:shd w:val="clear" w:color="auto" w:fill="auto"/>
          </w:tcPr>
          <w:p w14:paraId="0B9BB5E9" w14:textId="77777777" w:rsidR="001948FA" w:rsidRDefault="001948FA" w:rsidP="001948FA">
            <w:pPr>
              <w:pStyle w:val="TBLText"/>
            </w:pPr>
            <w:r>
              <w:t>Presiding Officer</w:t>
            </w:r>
          </w:p>
        </w:tc>
        <w:tc>
          <w:tcPr>
            <w:tcW w:w="1516" w:type="pct"/>
            <w:tcBorders>
              <w:bottom w:val="single" w:sz="6" w:space="0" w:color="E0E8F2" w:themeColor="background2"/>
            </w:tcBorders>
            <w:shd w:val="clear" w:color="auto" w:fill="auto"/>
          </w:tcPr>
          <w:p w14:paraId="6F9E5826" w14:textId="77777777" w:rsidR="001948FA" w:rsidRDefault="001948FA" w:rsidP="001948FA">
            <w:pPr>
              <w:pStyle w:val="TBLText"/>
            </w:pPr>
            <w:r>
              <w:t>Yes</w:t>
            </w:r>
          </w:p>
        </w:tc>
        <w:tc>
          <w:tcPr>
            <w:tcW w:w="1061" w:type="pct"/>
            <w:tcBorders>
              <w:bottom w:val="single" w:sz="6" w:space="0" w:color="E0E8F2" w:themeColor="background2"/>
            </w:tcBorders>
            <w:shd w:val="clear" w:color="auto" w:fill="auto"/>
          </w:tcPr>
          <w:p w14:paraId="28A8A5F6" w14:textId="77777777" w:rsidR="001948FA" w:rsidRDefault="001948FA" w:rsidP="001948FA">
            <w:pPr>
              <w:pStyle w:val="TBLText"/>
            </w:pPr>
            <w:r>
              <w:t>Personal</w:t>
            </w:r>
          </w:p>
        </w:tc>
      </w:tr>
      <w:tr w:rsidR="001948FA" w:rsidRPr="006E170D" w14:paraId="6B7CFD01" w14:textId="77777777" w:rsidTr="00625578">
        <w:trPr>
          <w:trHeight w:val="649"/>
        </w:trPr>
        <w:tc>
          <w:tcPr>
            <w:tcW w:w="1363" w:type="pct"/>
            <w:vMerge w:val="restart"/>
          </w:tcPr>
          <w:p w14:paraId="666C0C38" w14:textId="77777777" w:rsidR="001948FA" w:rsidRPr="006E170D" w:rsidRDefault="001948FA" w:rsidP="001948FA">
            <w:pPr>
              <w:pStyle w:val="TBLText"/>
            </w:pPr>
            <w:r>
              <w:t>Parliamentarian ceases to hold certain roles (e.g. Minister’s commission is revoked for some but not all portfolios)</w:t>
            </w:r>
          </w:p>
        </w:tc>
        <w:tc>
          <w:tcPr>
            <w:tcW w:w="1060" w:type="pct"/>
          </w:tcPr>
          <w:p w14:paraId="5A1D9C94" w14:textId="77777777" w:rsidR="001948FA" w:rsidRPr="006E170D" w:rsidRDefault="001948FA" w:rsidP="001948FA">
            <w:pPr>
              <w:pStyle w:val="TBLText"/>
            </w:pPr>
            <w:r>
              <w:t>Minister</w:t>
            </w:r>
          </w:p>
        </w:tc>
        <w:tc>
          <w:tcPr>
            <w:tcW w:w="1516" w:type="pct"/>
          </w:tcPr>
          <w:p w14:paraId="3D0CCA9C" w14:textId="1DE28D50" w:rsidR="001948FA" w:rsidRPr="006E170D" w:rsidRDefault="001948FA" w:rsidP="001948FA">
            <w:pPr>
              <w:pStyle w:val="TBLText"/>
            </w:pPr>
            <w:r>
              <w:t>Depend</w:t>
            </w:r>
            <w:r w:rsidR="006F7927">
              <w:t>s</w:t>
            </w:r>
            <w:r>
              <w:t xml:space="preserve"> on how </w:t>
            </w:r>
            <w:r w:rsidR="006F7927" w:rsidRPr="000E3E01">
              <w:t>m</w:t>
            </w:r>
            <w:r w:rsidRPr="000E3E01">
              <w:t>inisterial commission</w:t>
            </w:r>
            <w:r>
              <w:t xml:space="preserve"> is structured (i.e. whether combined or distinct) – if combined, yes; if distinct, no</w:t>
            </w:r>
          </w:p>
        </w:tc>
        <w:tc>
          <w:tcPr>
            <w:tcW w:w="1061" w:type="pct"/>
          </w:tcPr>
          <w:p w14:paraId="2EC58B47" w14:textId="77777777" w:rsidR="001948FA" w:rsidRPr="006E170D" w:rsidRDefault="001948FA" w:rsidP="001948FA">
            <w:pPr>
              <w:pStyle w:val="TBLText"/>
            </w:pPr>
            <w:r>
              <w:t>Personal and electorate</w:t>
            </w:r>
          </w:p>
        </w:tc>
      </w:tr>
      <w:tr w:rsidR="001948FA" w:rsidRPr="006E170D" w14:paraId="6F006DCA" w14:textId="77777777" w:rsidTr="00625578">
        <w:trPr>
          <w:trHeight w:val="648"/>
        </w:trPr>
        <w:tc>
          <w:tcPr>
            <w:tcW w:w="1363" w:type="pct"/>
            <w:vMerge/>
          </w:tcPr>
          <w:p w14:paraId="350303E1" w14:textId="77777777" w:rsidR="001948FA" w:rsidRDefault="001948FA" w:rsidP="001948FA">
            <w:pPr>
              <w:pStyle w:val="TBLText"/>
            </w:pPr>
          </w:p>
        </w:tc>
        <w:tc>
          <w:tcPr>
            <w:tcW w:w="1060" w:type="pct"/>
          </w:tcPr>
          <w:p w14:paraId="4FB89399" w14:textId="77777777" w:rsidR="001948FA" w:rsidRDefault="001948FA" w:rsidP="001948FA">
            <w:pPr>
              <w:pStyle w:val="TBLText"/>
            </w:pPr>
            <w:r>
              <w:t>Opposition Office-Holder</w:t>
            </w:r>
          </w:p>
        </w:tc>
        <w:tc>
          <w:tcPr>
            <w:tcW w:w="1516" w:type="pct"/>
          </w:tcPr>
          <w:p w14:paraId="77032BA5" w14:textId="77777777" w:rsidR="001948FA" w:rsidRDefault="001948FA" w:rsidP="001948FA">
            <w:pPr>
              <w:pStyle w:val="TBLText"/>
            </w:pPr>
            <w:r>
              <w:t>No</w:t>
            </w:r>
          </w:p>
        </w:tc>
        <w:tc>
          <w:tcPr>
            <w:tcW w:w="1061" w:type="pct"/>
          </w:tcPr>
          <w:p w14:paraId="4FAE5BB1" w14:textId="77777777" w:rsidR="001948FA" w:rsidRDefault="001948FA" w:rsidP="001948FA">
            <w:pPr>
              <w:pStyle w:val="TBLText"/>
            </w:pPr>
            <w:r>
              <w:t>N/A</w:t>
            </w:r>
          </w:p>
        </w:tc>
      </w:tr>
      <w:tr w:rsidR="001948FA" w:rsidRPr="006E170D" w14:paraId="77EEFEE8" w14:textId="77777777" w:rsidTr="00625578">
        <w:trPr>
          <w:trHeight w:val="648"/>
        </w:trPr>
        <w:tc>
          <w:tcPr>
            <w:tcW w:w="1363" w:type="pct"/>
            <w:vMerge/>
          </w:tcPr>
          <w:p w14:paraId="7E80CC13" w14:textId="77777777" w:rsidR="001948FA" w:rsidRDefault="001948FA" w:rsidP="001948FA">
            <w:pPr>
              <w:pStyle w:val="TBLText"/>
            </w:pPr>
          </w:p>
        </w:tc>
        <w:tc>
          <w:tcPr>
            <w:tcW w:w="1060" w:type="pct"/>
          </w:tcPr>
          <w:p w14:paraId="2E21F21C" w14:textId="77777777" w:rsidR="001948FA" w:rsidRDefault="001948FA" w:rsidP="001948FA">
            <w:pPr>
              <w:pStyle w:val="TBLText"/>
            </w:pPr>
            <w:r>
              <w:t>Shadow Minister</w:t>
            </w:r>
          </w:p>
        </w:tc>
        <w:tc>
          <w:tcPr>
            <w:tcW w:w="1516" w:type="pct"/>
          </w:tcPr>
          <w:p w14:paraId="6751E3BA" w14:textId="2B5209CC" w:rsidR="001948FA" w:rsidRDefault="001948FA" w:rsidP="001948FA">
            <w:pPr>
              <w:pStyle w:val="TBLText"/>
            </w:pPr>
            <w:r>
              <w:t>Yes, due to the revocation of a section 12 determination which applied to the original role</w:t>
            </w:r>
          </w:p>
        </w:tc>
        <w:tc>
          <w:tcPr>
            <w:tcW w:w="1061" w:type="pct"/>
          </w:tcPr>
          <w:p w14:paraId="4B9A4251" w14:textId="77777777" w:rsidR="001948FA" w:rsidRDefault="001948FA" w:rsidP="001948FA">
            <w:pPr>
              <w:pStyle w:val="TBLText"/>
            </w:pPr>
            <w:r>
              <w:t>Personal</w:t>
            </w:r>
          </w:p>
        </w:tc>
      </w:tr>
      <w:tr w:rsidR="001948FA" w:rsidRPr="006E170D" w14:paraId="1023776B" w14:textId="77777777" w:rsidTr="00625578">
        <w:trPr>
          <w:trHeight w:val="649"/>
        </w:trPr>
        <w:tc>
          <w:tcPr>
            <w:tcW w:w="1363" w:type="pct"/>
            <w:vMerge w:val="restart"/>
          </w:tcPr>
          <w:p w14:paraId="26B5F030" w14:textId="1767792A" w:rsidR="001948FA" w:rsidRDefault="001948FA" w:rsidP="001948FA">
            <w:pPr>
              <w:pStyle w:val="TBLText"/>
            </w:pPr>
            <w:r>
              <w:t xml:space="preserve">Parliamentarian provided with new roles without losing old ones (e.g. </w:t>
            </w:r>
            <w:r w:rsidR="00423F88">
              <w:t>a</w:t>
            </w:r>
            <w:r>
              <w:t xml:space="preserve"> </w:t>
            </w:r>
            <w:r w:rsidR="00423F88">
              <w:t>m</w:t>
            </w:r>
            <w:r>
              <w:t>inister is commissioned as Minister for Industry in addition to existing role as Minister for the Arts)</w:t>
            </w:r>
          </w:p>
        </w:tc>
        <w:tc>
          <w:tcPr>
            <w:tcW w:w="1060" w:type="pct"/>
          </w:tcPr>
          <w:p w14:paraId="2CCC161D" w14:textId="77777777" w:rsidR="001948FA" w:rsidRDefault="001948FA" w:rsidP="001948FA">
            <w:pPr>
              <w:pStyle w:val="TBLText"/>
            </w:pPr>
            <w:r>
              <w:t>Minister</w:t>
            </w:r>
          </w:p>
        </w:tc>
        <w:tc>
          <w:tcPr>
            <w:tcW w:w="1516" w:type="pct"/>
          </w:tcPr>
          <w:p w14:paraId="2C79249D" w14:textId="0863A706" w:rsidR="001948FA" w:rsidRDefault="001948FA" w:rsidP="001948FA">
            <w:pPr>
              <w:pStyle w:val="TBLText"/>
            </w:pPr>
            <w:r>
              <w:t>Dependent on whether a section 12 determination has been made in relation to that office in its former capacity and has since been revoked – if so, yes</w:t>
            </w:r>
          </w:p>
        </w:tc>
        <w:tc>
          <w:tcPr>
            <w:tcW w:w="1061" w:type="pct"/>
          </w:tcPr>
          <w:p w14:paraId="3E7E58DA" w14:textId="77777777" w:rsidR="001948FA" w:rsidRDefault="001948FA" w:rsidP="001948FA">
            <w:pPr>
              <w:pStyle w:val="TBLText"/>
            </w:pPr>
            <w:r>
              <w:t>Personal</w:t>
            </w:r>
          </w:p>
        </w:tc>
      </w:tr>
      <w:tr w:rsidR="001948FA" w:rsidRPr="006E170D" w14:paraId="6D31B85A" w14:textId="77777777" w:rsidTr="00625578">
        <w:trPr>
          <w:trHeight w:val="648"/>
        </w:trPr>
        <w:tc>
          <w:tcPr>
            <w:tcW w:w="1363" w:type="pct"/>
            <w:vMerge/>
          </w:tcPr>
          <w:p w14:paraId="3BA8FDA4" w14:textId="77777777" w:rsidR="001948FA" w:rsidRDefault="001948FA" w:rsidP="001948FA">
            <w:pPr>
              <w:pStyle w:val="TBLText"/>
            </w:pPr>
          </w:p>
        </w:tc>
        <w:tc>
          <w:tcPr>
            <w:tcW w:w="1060" w:type="pct"/>
          </w:tcPr>
          <w:p w14:paraId="5D175824" w14:textId="77777777" w:rsidR="001948FA" w:rsidRDefault="001948FA" w:rsidP="001948FA">
            <w:pPr>
              <w:pStyle w:val="TBLText"/>
            </w:pPr>
            <w:r>
              <w:t>Opposition Office-Holder</w:t>
            </w:r>
          </w:p>
        </w:tc>
        <w:tc>
          <w:tcPr>
            <w:tcW w:w="1516" w:type="pct"/>
          </w:tcPr>
          <w:p w14:paraId="639D3591" w14:textId="77777777" w:rsidR="001948FA" w:rsidRDefault="001948FA" w:rsidP="001948FA">
            <w:pPr>
              <w:pStyle w:val="TBLText"/>
            </w:pPr>
            <w:r>
              <w:t>No</w:t>
            </w:r>
          </w:p>
        </w:tc>
        <w:tc>
          <w:tcPr>
            <w:tcW w:w="1061" w:type="pct"/>
          </w:tcPr>
          <w:p w14:paraId="211CE95F" w14:textId="77777777" w:rsidR="001948FA" w:rsidRDefault="001948FA" w:rsidP="001948FA">
            <w:pPr>
              <w:pStyle w:val="TBLText"/>
            </w:pPr>
            <w:r>
              <w:t>N/A</w:t>
            </w:r>
          </w:p>
        </w:tc>
      </w:tr>
      <w:tr w:rsidR="001948FA" w:rsidRPr="006E170D" w14:paraId="61C6AB8C" w14:textId="77777777" w:rsidTr="00625578">
        <w:trPr>
          <w:trHeight w:val="648"/>
        </w:trPr>
        <w:tc>
          <w:tcPr>
            <w:tcW w:w="1363" w:type="pct"/>
            <w:vMerge/>
          </w:tcPr>
          <w:p w14:paraId="277A428B" w14:textId="77777777" w:rsidR="001948FA" w:rsidRDefault="001948FA" w:rsidP="001948FA">
            <w:pPr>
              <w:pStyle w:val="TBLText"/>
            </w:pPr>
          </w:p>
        </w:tc>
        <w:tc>
          <w:tcPr>
            <w:tcW w:w="1060" w:type="pct"/>
          </w:tcPr>
          <w:p w14:paraId="18578D10" w14:textId="77777777" w:rsidR="001948FA" w:rsidRDefault="001948FA" w:rsidP="001948FA">
            <w:pPr>
              <w:pStyle w:val="TBLText"/>
            </w:pPr>
            <w:r>
              <w:t>Shadow Minister</w:t>
            </w:r>
          </w:p>
        </w:tc>
        <w:tc>
          <w:tcPr>
            <w:tcW w:w="1516" w:type="pct"/>
          </w:tcPr>
          <w:p w14:paraId="71CB6BFC" w14:textId="69A2AA8D" w:rsidR="001948FA" w:rsidRDefault="001948FA" w:rsidP="001948FA">
            <w:pPr>
              <w:pStyle w:val="TBLText"/>
            </w:pPr>
            <w:r>
              <w:t>Dependent on whether a section 12 determination has revoked the previous ‘bundle’ of roles – if so, yes</w:t>
            </w:r>
          </w:p>
        </w:tc>
        <w:tc>
          <w:tcPr>
            <w:tcW w:w="1061" w:type="pct"/>
          </w:tcPr>
          <w:p w14:paraId="23FAA633" w14:textId="77777777" w:rsidR="001948FA" w:rsidRDefault="001948FA" w:rsidP="001948FA">
            <w:pPr>
              <w:pStyle w:val="TBLText"/>
            </w:pPr>
            <w:r>
              <w:t>Personal</w:t>
            </w:r>
          </w:p>
        </w:tc>
      </w:tr>
      <w:tr w:rsidR="001948FA" w:rsidRPr="006E170D" w14:paraId="4769B702" w14:textId="77777777" w:rsidTr="00625578">
        <w:trPr>
          <w:trHeight w:val="152"/>
        </w:trPr>
        <w:tc>
          <w:tcPr>
            <w:tcW w:w="1363" w:type="pct"/>
            <w:vMerge w:val="restart"/>
          </w:tcPr>
          <w:p w14:paraId="1DAFFC78" w14:textId="77777777" w:rsidR="001948FA" w:rsidRDefault="001948FA" w:rsidP="001948FA">
            <w:pPr>
              <w:pStyle w:val="TBLText"/>
            </w:pPr>
            <w:r>
              <w:t>Post-election where there is no change in Government</w:t>
            </w:r>
          </w:p>
        </w:tc>
        <w:tc>
          <w:tcPr>
            <w:tcW w:w="1060" w:type="pct"/>
          </w:tcPr>
          <w:p w14:paraId="03753C92" w14:textId="77777777" w:rsidR="001948FA" w:rsidRDefault="001948FA" w:rsidP="001948FA">
            <w:pPr>
              <w:pStyle w:val="TBLText"/>
            </w:pPr>
            <w:r>
              <w:t>Minister</w:t>
            </w:r>
          </w:p>
        </w:tc>
        <w:tc>
          <w:tcPr>
            <w:tcW w:w="1516" w:type="pct"/>
          </w:tcPr>
          <w:p w14:paraId="43A170A0" w14:textId="33D7ADBD" w:rsidR="001948FA" w:rsidRDefault="001948FA" w:rsidP="001948FA">
            <w:pPr>
              <w:pStyle w:val="TBLText"/>
            </w:pPr>
            <w:r>
              <w:t>Yes, occurs at swearing in of new Ministry</w:t>
            </w:r>
          </w:p>
        </w:tc>
        <w:tc>
          <w:tcPr>
            <w:tcW w:w="1061" w:type="pct"/>
          </w:tcPr>
          <w:p w14:paraId="236A7DD2" w14:textId="77777777" w:rsidR="001948FA" w:rsidRDefault="001948FA" w:rsidP="001948FA">
            <w:pPr>
              <w:pStyle w:val="TBLText"/>
            </w:pPr>
            <w:r>
              <w:t>Personal and electorate</w:t>
            </w:r>
          </w:p>
        </w:tc>
      </w:tr>
      <w:tr w:rsidR="001948FA" w:rsidRPr="006E170D" w14:paraId="23200EB4" w14:textId="77777777" w:rsidTr="00625578">
        <w:trPr>
          <w:trHeight w:val="149"/>
        </w:trPr>
        <w:tc>
          <w:tcPr>
            <w:tcW w:w="1363" w:type="pct"/>
            <w:vMerge/>
          </w:tcPr>
          <w:p w14:paraId="3D9E99C6" w14:textId="77777777" w:rsidR="001948FA" w:rsidRDefault="001948FA" w:rsidP="001948FA">
            <w:pPr>
              <w:pStyle w:val="TBLText"/>
            </w:pPr>
          </w:p>
        </w:tc>
        <w:tc>
          <w:tcPr>
            <w:tcW w:w="1060" w:type="pct"/>
          </w:tcPr>
          <w:p w14:paraId="087E16CD" w14:textId="77777777" w:rsidR="001948FA" w:rsidRDefault="001948FA" w:rsidP="001948FA">
            <w:pPr>
              <w:pStyle w:val="TBLText"/>
            </w:pPr>
            <w:r>
              <w:t>Opposition Office-Holder</w:t>
            </w:r>
          </w:p>
        </w:tc>
        <w:tc>
          <w:tcPr>
            <w:tcW w:w="1516" w:type="pct"/>
          </w:tcPr>
          <w:p w14:paraId="683D7017" w14:textId="73160F88" w:rsidR="001948FA" w:rsidRDefault="001948FA" w:rsidP="001948FA">
            <w:pPr>
              <w:pStyle w:val="TBLText"/>
            </w:pPr>
            <w:r>
              <w:t>Dependent on internal party arrangements regarding employees</w:t>
            </w:r>
          </w:p>
        </w:tc>
        <w:tc>
          <w:tcPr>
            <w:tcW w:w="1061" w:type="pct"/>
          </w:tcPr>
          <w:p w14:paraId="18021659" w14:textId="77777777" w:rsidR="001948FA" w:rsidRDefault="001948FA" w:rsidP="001948FA">
            <w:pPr>
              <w:pStyle w:val="TBLText"/>
            </w:pPr>
            <w:r>
              <w:t>Personal and/or electorate</w:t>
            </w:r>
          </w:p>
        </w:tc>
      </w:tr>
      <w:tr w:rsidR="001948FA" w:rsidRPr="006E170D" w14:paraId="4A313F09" w14:textId="77777777" w:rsidTr="00625578">
        <w:trPr>
          <w:trHeight w:val="149"/>
        </w:trPr>
        <w:tc>
          <w:tcPr>
            <w:tcW w:w="1363" w:type="pct"/>
            <w:vMerge/>
          </w:tcPr>
          <w:p w14:paraId="1FE0D5FA" w14:textId="77777777" w:rsidR="001948FA" w:rsidRDefault="001948FA" w:rsidP="001948FA">
            <w:pPr>
              <w:pStyle w:val="TBLText"/>
            </w:pPr>
          </w:p>
        </w:tc>
        <w:tc>
          <w:tcPr>
            <w:tcW w:w="1060" w:type="pct"/>
          </w:tcPr>
          <w:p w14:paraId="0F7D8F58" w14:textId="77777777" w:rsidR="001948FA" w:rsidRDefault="001948FA" w:rsidP="001948FA">
            <w:pPr>
              <w:pStyle w:val="TBLText"/>
            </w:pPr>
            <w:r>
              <w:t>Shadow Minister</w:t>
            </w:r>
          </w:p>
        </w:tc>
        <w:tc>
          <w:tcPr>
            <w:tcW w:w="1516" w:type="pct"/>
          </w:tcPr>
          <w:p w14:paraId="5EF0ED4C" w14:textId="3D392F55" w:rsidR="001948FA" w:rsidRDefault="001948FA" w:rsidP="001948FA">
            <w:pPr>
              <w:pStyle w:val="TBLText"/>
            </w:pPr>
            <w:r>
              <w:t>Yes, occurs where Leader of the Opposition announces Shadow Ministry</w:t>
            </w:r>
          </w:p>
        </w:tc>
        <w:tc>
          <w:tcPr>
            <w:tcW w:w="1061" w:type="pct"/>
          </w:tcPr>
          <w:p w14:paraId="5BCC5DA4" w14:textId="77777777" w:rsidR="001948FA" w:rsidRDefault="001948FA" w:rsidP="001948FA">
            <w:pPr>
              <w:pStyle w:val="TBLText"/>
            </w:pPr>
            <w:r>
              <w:t>Personal</w:t>
            </w:r>
          </w:p>
        </w:tc>
      </w:tr>
      <w:tr w:rsidR="001948FA" w:rsidRPr="006E170D" w14:paraId="5E8BF84D" w14:textId="77777777" w:rsidTr="00625578">
        <w:trPr>
          <w:trHeight w:val="149"/>
        </w:trPr>
        <w:tc>
          <w:tcPr>
            <w:tcW w:w="1363" w:type="pct"/>
            <w:vMerge/>
          </w:tcPr>
          <w:p w14:paraId="5E4C09AB" w14:textId="77777777" w:rsidR="001948FA" w:rsidRDefault="001948FA" w:rsidP="001948FA">
            <w:pPr>
              <w:pStyle w:val="TBLText"/>
            </w:pPr>
          </w:p>
        </w:tc>
        <w:tc>
          <w:tcPr>
            <w:tcW w:w="1060" w:type="pct"/>
          </w:tcPr>
          <w:p w14:paraId="261BD750" w14:textId="77777777" w:rsidR="001948FA" w:rsidRDefault="001948FA" w:rsidP="001948FA">
            <w:pPr>
              <w:pStyle w:val="TBLText"/>
            </w:pPr>
            <w:r>
              <w:t>Whip</w:t>
            </w:r>
          </w:p>
        </w:tc>
        <w:tc>
          <w:tcPr>
            <w:tcW w:w="1516" w:type="pct"/>
          </w:tcPr>
          <w:p w14:paraId="151FEB03" w14:textId="27CD0AAA" w:rsidR="001948FA" w:rsidRDefault="001948FA" w:rsidP="001948FA">
            <w:pPr>
              <w:pStyle w:val="TBLText"/>
            </w:pPr>
            <w:r>
              <w:t>Dependent on internal party arrangements regarding employees</w:t>
            </w:r>
          </w:p>
        </w:tc>
        <w:tc>
          <w:tcPr>
            <w:tcW w:w="1061" w:type="pct"/>
          </w:tcPr>
          <w:p w14:paraId="0487887E" w14:textId="77777777" w:rsidR="001948FA" w:rsidRDefault="001948FA" w:rsidP="001948FA">
            <w:pPr>
              <w:pStyle w:val="TBLText"/>
            </w:pPr>
            <w:r>
              <w:t>Personal and/or electorate</w:t>
            </w:r>
          </w:p>
        </w:tc>
      </w:tr>
      <w:tr w:rsidR="001948FA" w:rsidRPr="006E170D" w14:paraId="6A132981" w14:textId="77777777" w:rsidTr="00625578">
        <w:trPr>
          <w:trHeight w:val="149"/>
        </w:trPr>
        <w:tc>
          <w:tcPr>
            <w:tcW w:w="1363" w:type="pct"/>
            <w:vMerge/>
          </w:tcPr>
          <w:p w14:paraId="3AC19A75" w14:textId="77777777" w:rsidR="001948FA" w:rsidRDefault="001948FA" w:rsidP="001948FA">
            <w:pPr>
              <w:pStyle w:val="TBLText"/>
            </w:pPr>
          </w:p>
        </w:tc>
        <w:tc>
          <w:tcPr>
            <w:tcW w:w="1060" w:type="pct"/>
          </w:tcPr>
          <w:p w14:paraId="304F5757" w14:textId="77777777" w:rsidR="001948FA" w:rsidRDefault="001948FA" w:rsidP="001948FA">
            <w:pPr>
              <w:pStyle w:val="TBLText"/>
            </w:pPr>
            <w:r>
              <w:t>Presiding Officer</w:t>
            </w:r>
          </w:p>
        </w:tc>
        <w:tc>
          <w:tcPr>
            <w:tcW w:w="1516" w:type="pct"/>
          </w:tcPr>
          <w:p w14:paraId="6ED68077" w14:textId="686E212E" w:rsidR="001948FA" w:rsidRDefault="001948FA" w:rsidP="001948FA">
            <w:pPr>
              <w:pStyle w:val="TBLText"/>
            </w:pPr>
            <w:r>
              <w:t>Yes</w:t>
            </w:r>
          </w:p>
        </w:tc>
        <w:tc>
          <w:tcPr>
            <w:tcW w:w="1061" w:type="pct"/>
          </w:tcPr>
          <w:p w14:paraId="360B4998" w14:textId="77777777" w:rsidR="001948FA" w:rsidRDefault="001948FA" w:rsidP="001948FA">
            <w:pPr>
              <w:pStyle w:val="TBLText"/>
            </w:pPr>
            <w:r>
              <w:t>Personal</w:t>
            </w:r>
          </w:p>
        </w:tc>
      </w:tr>
      <w:tr w:rsidR="001948FA" w:rsidRPr="006E170D" w14:paraId="3EE1A47B" w14:textId="77777777" w:rsidTr="00625578">
        <w:trPr>
          <w:trHeight w:val="152"/>
        </w:trPr>
        <w:tc>
          <w:tcPr>
            <w:tcW w:w="1363" w:type="pct"/>
            <w:vMerge w:val="restart"/>
          </w:tcPr>
          <w:p w14:paraId="7C2C192B" w14:textId="77777777" w:rsidR="001948FA" w:rsidRDefault="001948FA" w:rsidP="001948FA">
            <w:pPr>
              <w:pStyle w:val="TBLText"/>
            </w:pPr>
            <w:r>
              <w:t>Post-election where there is a change in Government</w:t>
            </w:r>
          </w:p>
        </w:tc>
        <w:tc>
          <w:tcPr>
            <w:tcW w:w="1060" w:type="pct"/>
          </w:tcPr>
          <w:p w14:paraId="42CE889F" w14:textId="77777777" w:rsidR="001948FA" w:rsidRDefault="001948FA" w:rsidP="001948FA">
            <w:pPr>
              <w:pStyle w:val="TBLText"/>
            </w:pPr>
            <w:r>
              <w:t>Minister</w:t>
            </w:r>
          </w:p>
        </w:tc>
        <w:tc>
          <w:tcPr>
            <w:tcW w:w="1516" w:type="pct"/>
          </w:tcPr>
          <w:p w14:paraId="085C1B4D" w14:textId="67923D92" w:rsidR="001948FA" w:rsidRDefault="001948FA" w:rsidP="001948FA">
            <w:pPr>
              <w:pStyle w:val="TBLText"/>
            </w:pPr>
            <w:r>
              <w:t>Yes, occurs at swearing in of new Ministry</w:t>
            </w:r>
          </w:p>
        </w:tc>
        <w:tc>
          <w:tcPr>
            <w:tcW w:w="1061" w:type="pct"/>
          </w:tcPr>
          <w:p w14:paraId="508FFCCA" w14:textId="77777777" w:rsidR="001948FA" w:rsidRDefault="001948FA" w:rsidP="001948FA">
            <w:pPr>
              <w:pStyle w:val="TBLText"/>
            </w:pPr>
            <w:r>
              <w:t>Personal and electorate</w:t>
            </w:r>
          </w:p>
        </w:tc>
      </w:tr>
      <w:tr w:rsidR="001948FA" w:rsidRPr="006E170D" w14:paraId="22163917" w14:textId="77777777" w:rsidTr="00625578">
        <w:trPr>
          <w:trHeight w:val="149"/>
        </w:trPr>
        <w:tc>
          <w:tcPr>
            <w:tcW w:w="1363" w:type="pct"/>
            <w:vMerge/>
          </w:tcPr>
          <w:p w14:paraId="716FC704" w14:textId="77777777" w:rsidR="001948FA" w:rsidRDefault="001948FA" w:rsidP="001948FA">
            <w:pPr>
              <w:pStyle w:val="TBLText"/>
            </w:pPr>
          </w:p>
        </w:tc>
        <w:tc>
          <w:tcPr>
            <w:tcW w:w="1060" w:type="pct"/>
          </w:tcPr>
          <w:p w14:paraId="6832D777" w14:textId="77777777" w:rsidR="001948FA" w:rsidRDefault="001948FA" w:rsidP="001948FA">
            <w:pPr>
              <w:pStyle w:val="TBLText"/>
            </w:pPr>
            <w:r>
              <w:t>Opposition Office-Holder</w:t>
            </w:r>
          </w:p>
        </w:tc>
        <w:tc>
          <w:tcPr>
            <w:tcW w:w="1516" w:type="pct"/>
          </w:tcPr>
          <w:p w14:paraId="0180E98B" w14:textId="5CC66259" w:rsidR="001948FA" w:rsidRDefault="001948FA" w:rsidP="001948FA">
            <w:pPr>
              <w:pStyle w:val="TBLText"/>
            </w:pPr>
            <w:r>
              <w:t>Yes, occurs at swearing in of new Ministry</w:t>
            </w:r>
          </w:p>
        </w:tc>
        <w:tc>
          <w:tcPr>
            <w:tcW w:w="1061" w:type="pct"/>
          </w:tcPr>
          <w:p w14:paraId="498C2FE5" w14:textId="77777777" w:rsidR="001948FA" w:rsidRDefault="001948FA" w:rsidP="001948FA">
            <w:pPr>
              <w:pStyle w:val="TBLText"/>
            </w:pPr>
            <w:r>
              <w:t>Personal and electorate</w:t>
            </w:r>
          </w:p>
        </w:tc>
      </w:tr>
      <w:tr w:rsidR="001948FA" w:rsidRPr="006E170D" w14:paraId="3EB4BA31" w14:textId="77777777" w:rsidTr="00625578">
        <w:trPr>
          <w:trHeight w:val="149"/>
        </w:trPr>
        <w:tc>
          <w:tcPr>
            <w:tcW w:w="1363" w:type="pct"/>
            <w:vMerge/>
          </w:tcPr>
          <w:p w14:paraId="4998DE94" w14:textId="77777777" w:rsidR="001948FA" w:rsidRDefault="001948FA" w:rsidP="001948FA">
            <w:pPr>
              <w:pStyle w:val="TBLText"/>
            </w:pPr>
          </w:p>
        </w:tc>
        <w:tc>
          <w:tcPr>
            <w:tcW w:w="1060" w:type="pct"/>
          </w:tcPr>
          <w:p w14:paraId="089FA897" w14:textId="77777777" w:rsidR="001948FA" w:rsidRDefault="001948FA" w:rsidP="001948FA">
            <w:pPr>
              <w:pStyle w:val="TBLText"/>
            </w:pPr>
            <w:r>
              <w:t>Shadow Minister</w:t>
            </w:r>
          </w:p>
        </w:tc>
        <w:tc>
          <w:tcPr>
            <w:tcW w:w="1516" w:type="pct"/>
          </w:tcPr>
          <w:p w14:paraId="70134DA5" w14:textId="65A68449" w:rsidR="001948FA" w:rsidRDefault="001948FA" w:rsidP="001948FA">
            <w:pPr>
              <w:pStyle w:val="TBLText"/>
            </w:pPr>
            <w:r>
              <w:t>Yes, occurs at swearing in of new Ministry</w:t>
            </w:r>
          </w:p>
        </w:tc>
        <w:tc>
          <w:tcPr>
            <w:tcW w:w="1061" w:type="pct"/>
          </w:tcPr>
          <w:p w14:paraId="2F9693E6" w14:textId="77777777" w:rsidR="001948FA" w:rsidRDefault="001948FA" w:rsidP="001948FA">
            <w:pPr>
              <w:pStyle w:val="TBLText"/>
            </w:pPr>
            <w:r>
              <w:t>Personal</w:t>
            </w:r>
          </w:p>
        </w:tc>
      </w:tr>
      <w:tr w:rsidR="001948FA" w:rsidRPr="006E170D" w14:paraId="65511C43" w14:textId="77777777" w:rsidTr="00625578">
        <w:trPr>
          <w:trHeight w:val="149"/>
        </w:trPr>
        <w:tc>
          <w:tcPr>
            <w:tcW w:w="1363" w:type="pct"/>
            <w:vMerge/>
          </w:tcPr>
          <w:p w14:paraId="3657C943" w14:textId="77777777" w:rsidR="001948FA" w:rsidRDefault="001948FA" w:rsidP="001948FA">
            <w:pPr>
              <w:pStyle w:val="TBLText"/>
            </w:pPr>
          </w:p>
        </w:tc>
        <w:tc>
          <w:tcPr>
            <w:tcW w:w="1060" w:type="pct"/>
          </w:tcPr>
          <w:p w14:paraId="60D0D28D" w14:textId="77777777" w:rsidR="001948FA" w:rsidRDefault="001948FA" w:rsidP="001948FA">
            <w:pPr>
              <w:pStyle w:val="TBLText"/>
            </w:pPr>
            <w:r>
              <w:t>Whip</w:t>
            </w:r>
          </w:p>
        </w:tc>
        <w:tc>
          <w:tcPr>
            <w:tcW w:w="1516" w:type="pct"/>
          </w:tcPr>
          <w:p w14:paraId="462A4270" w14:textId="4F5E9610" w:rsidR="001948FA" w:rsidRDefault="001948FA" w:rsidP="001948FA">
            <w:pPr>
              <w:pStyle w:val="TBLText"/>
            </w:pPr>
            <w:r>
              <w:t>Dependent on internal party arrangements regarding employees</w:t>
            </w:r>
          </w:p>
        </w:tc>
        <w:tc>
          <w:tcPr>
            <w:tcW w:w="1061" w:type="pct"/>
          </w:tcPr>
          <w:p w14:paraId="5E43AD02" w14:textId="77777777" w:rsidR="001948FA" w:rsidRDefault="001948FA" w:rsidP="001948FA">
            <w:pPr>
              <w:pStyle w:val="TBLText"/>
            </w:pPr>
            <w:r>
              <w:t>Personal and/or electorate</w:t>
            </w:r>
          </w:p>
        </w:tc>
      </w:tr>
      <w:tr w:rsidR="001948FA" w:rsidRPr="006E170D" w14:paraId="7B93238E" w14:textId="77777777" w:rsidTr="00625578">
        <w:trPr>
          <w:trHeight w:val="149"/>
        </w:trPr>
        <w:tc>
          <w:tcPr>
            <w:tcW w:w="1363" w:type="pct"/>
            <w:vMerge/>
            <w:tcBorders>
              <w:bottom w:val="single" w:sz="12" w:space="0" w:color="1B375C" w:themeColor="accent1"/>
            </w:tcBorders>
          </w:tcPr>
          <w:p w14:paraId="73B61DD0" w14:textId="77777777" w:rsidR="001948FA" w:rsidRDefault="001948FA" w:rsidP="001948FA">
            <w:pPr>
              <w:pStyle w:val="TBLText"/>
            </w:pPr>
          </w:p>
        </w:tc>
        <w:tc>
          <w:tcPr>
            <w:tcW w:w="1060" w:type="pct"/>
            <w:tcBorders>
              <w:bottom w:val="single" w:sz="12" w:space="0" w:color="1B375C" w:themeColor="accent1"/>
            </w:tcBorders>
          </w:tcPr>
          <w:p w14:paraId="2CA2AED9" w14:textId="77777777" w:rsidR="001948FA" w:rsidRDefault="001948FA" w:rsidP="001948FA">
            <w:pPr>
              <w:pStyle w:val="TBLText"/>
            </w:pPr>
            <w:r>
              <w:t>Presiding Officer</w:t>
            </w:r>
          </w:p>
        </w:tc>
        <w:tc>
          <w:tcPr>
            <w:tcW w:w="1516" w:type="pct"/>
            <w:tcBorders>
              <w:bottom w:val="single" w:sz="12" w:space="0" w:color="1B375C" w:themeColor="accent1"/>
            </w:tcBorders>
          </w:tcPr>
          <w:p w14:paraId="781A7F17" w14:textId="74CE1145" w:rsidR="001948FA" w:rsidRDefault="001948FA" w:rsidP="001948FA">
            <w:pPr>
              <w:pStyle w:val="TBLText"/>
            </w:pPr>
            <w:r>
              <w:t>Yes</w:t>
            </w:r>
          </w:p>
        </w:tc>
        <w:tc>
          <w:tcPr>
            <w:tcW w:w="1061" w:type="pct"/>
            <w:tcBorders>
              <w:bottom w:val="single" w:sz="12" w:space="0" w:color="1B375C" w:themeColor="accent1"/>
            </w:tcBorders>
          </w:tcPr>
          <w:p w14:paraId="2B8A8167" w14:textId="77777777" w:rsidR="001948FA" w:rsidRDefault="001948FA" w:rsidP="001948FA">
            <w:pPr>
              <w:pStyle w:val="TBLText"/>
            </w:pPr>
            <w:r>
              <w:t>Personal</w:t>
            </w:r>
          </w:p>
        </w:tc>
      </w:tr>
    </w:tbl>
    <w:p w14:paraId="56C8084E" w14:textId="77777777" w:rsidR="0093049F" w:rsidRDefault="0093049F" w:rsidP="0093049F"/>
    <w:p w14:paraId="52F36CC7" w14:textId="1099C00F" w:rsidR="00117317" w:rsidRDefault="00DC754C" w:rsidP="00117317">
      <w:r>
        <w:t>The Act also provides for</w:t>
      </w:r>
      <w:r w:rsidR="00117317">
        <w:t xml:space="preserve"> automatic termination </w:t>
      </w:r>
      <w:r>
        <w:t xml:space="preserve">to be deferred </w:t>
      </w:r>
      <w:r w:rsidR="00117317">
        <w:t xml:space="preserve">(see </w:t>
      </w:r>
      <w:r w:rsidR="00A6750B">
        <w:t>S</w:t>
      </w:r>
      <w:r w:rsidR="00117317">
        <w:t xml:space="preserve">ection </w:t>
      </w:r>
      <w:r w:rsidR="007B5BCE">
        <w:t xml:space="preserve">6.6 </w:t>
      </w:r>
      <w:r w:rsidR="00A6750B">
        <w:t xml:space="preserve">on </w:t>
      </w:r>
      <w:r w:rsidR="00117317">
        <w:t>‘deferral periods’).</w:t>
      </w:r>
    </w:p>
    <w:p w14:paraId="5FA10354" w14:textId="68B9D8B7" w:rsidR="00117317" w:rsidRDefault="00117317" w:rsidP="00117317">
      <w:r>
        <w:t>The primary justification for the inclusion of automatic termination provisions in the MoP(S) Act is to accommodate for chang</w:t>
      </w:r>
      <w:r w:rsidR="000926D0">
        <w:t>ed</w:t>
      </w:r>
      <w:r>
        <w:t xml:space="preserve"> circumstances </w:t>
      </w:r>
      <w:r w:rsidR="000926D0">
        <w:t>of</w:t>
      </w:r>
      <w:r>
        <w:t xml:space="preserve"> the </w:t>
      </w:r>
      <w:r w:rsidR="003B154F">
        <w:t>employing</w:t>
      </w:r>
      <w:r>
        <w:t xml:space="preserve"> parliamentarian. For example, where a parliamentarian’s role changes (such as becoming a minister, changing ministerial roles, or being appointed a parliamentary role such as a whip), </w:t>
      </w:r>
      <w:r w:rsidR="000926D0">
        <w:t>the parliamentarian has</w:t>
      </w:r>
      <w:r>
        <w:t xml:space="preserve"> the opportunity to restructure their support staff in order to better reflect their current needs. In other situations, such as where a</w:t>
      </w:r>
      <w:r w:rsidR="000926D0">
        <w:t xml:space="preserve"> parliamentarian </w:t>
      </w:r>
      <w:r>
        <w:t xml:space="preserve">resigns, loses their seat or dies, automatic termination provisions </w:t>
      </w:r>
      <w:r w:rsidR="00DC754C">
        <w:t>clarify</w:t>
      </w:r>
      <w:r>
        <w:t xml:space="preserve"> the employment s</w:t>
      </w:r>
      <w:r w:rsidR="00DC754C">
        <w:t>tatus of</w:t>
      </w:r>
      <w:r>
        <w:t xml:space="preserve"> the employee.</w:t>
      </w:r>
    </w:p>
    <w:p w14:paraId="3F09A314" w14:textId="77777777" w:rsidR="00117317" w:rsidRPr="00DC13DA" w:rsidRDefault="00117317" w:rsidP="00051BDA">
      <w:pPr>
        <w:pStyle w:val="Heading4"/>
      </w:pPr>
      <w:r w:rsidRPr="00DC13DA">
        <w:t>Operation of automatic terminations in practice</w:t>
      </w:r>
    </w:p>
    <w:p w14:paraId="6FC20FE1" w14:textId="019971EF" w:rsidR="00F755EA" w:rsidRDefault="00117317" w:rsidP="00117317">
      <w:r>
        <w:t xml:space="preserve">In practice, automatic terminations are common </w:t>
      </w:r>
      <w:r w:rsidR="00F755EA">
        <w:t xml:space="preserve">in two situations: the period </w:t>
      </w:r>
      <w:r w:rsidR="00DC754C">
        <w:t>after</w:t>
      </w:r>
      <w:r>
        <w:t xml:space="preserve"> an election</w:t>
      </w:r>
      <w:r w:rsidR="00F755EA">
        <w:t>,</w:t>
      </w:r>
      <w:r>
        <w:t xml:space="preserve"> and when ministerial arrangements are revised. </w:t>
      </w:r>
      <w:r w:rsidR="00F755EA" w:rsidRPr="0055271A">
        <w:t xml:space="preserve">This is due to the automatic termination triggers primarily being </w:t>
      </w:r>
      <w:r w:rsidR="00DC754C">
        <w:t>tied to</w:t>
      </w:r>
      <w:r w:rsidR="00F755EA" w:rsidRPr="0055271A">
        <w:t xml:space="preserve"> events which affect the role of the employing parliamentarian.</w:t>
      </w:r>
    </w:p>
    <w:p w14:paraId="02E80DDF" w14:textId="7720355C" w:rsidR="00DC13DA" w:rsidRDefault="00890C90" w:rsidP="00DC13DA">
      <w:r>
        <w:t>I</w:t>
      </w:r>
      <w:r w:rsidR="00117317">
        <w:t>n the 2021-2022 financial year</w:t>
      </w:r>
      <w:r w:rsidR="003C23A1">
        <w:t>,</w:t>
      </w:r>
      <w:r w:rsidR="00117317">
        <w:t xml:space="preserve"> </w:t>
      </w:r>
      <w:r w:rsidR="003B154F">
        <w:t xml:space="preserve">737 of a total 1,907 </w:t>
      </w:r>
      <w:r w:rsidR="00E74E3E">
        <w:t xml:space="preserve">final </w:t>
      </w:r>
      <w:r w:rsidR="003B154F">
        <w:t xml:space="preserve">cessations </w:t>
      </w:r>
      <w:r w:rsidR="00907967">
        <w:t xml:space="preserve">of employment </w:t>
      </w:r>
      <w:r w:rsidR="00313574">
        <w:t xml:space="preserve">(i.e. terminations which did not result in re-employment as a MoP(S) Act employee) </w:t>
      </w:r>
      <w:r w:rsidR="003B154F">
        <w:t>were the</w:t>
      </w:r>
      <w:r w:rsidR="00117317">
        <w:t xml:space="preserve"> result of an automatic termination event.</w:t>
      </w:r>
      <w:r w:rsidR="00117317">
        <w:rPr>
          <w:rStyle w:val="FootnoteReference"/>
        </w:rPr>
        <w:footnoteReference w:id="353"/>
      </w:r>
      <w:r w:rsidR="00117317">
        <w:t xml:space="preserve"> This period of time is inclusive of a federal election and </w:t>
      </w:r>
      <w:r w:rsidR="00246B3F">
        <w:t xml:space="preserve">other </w:t>
      </w:r>
      <w:r w:rsidR="00117317">
        <w:t xml:space="preserve">ministerial responsibility changes. It is important to note, however, that the statistics as reported above do not encapsulate automatic terminations where the employee was </w:t>
      </w:r>
      <w:r w:rsidR="009E7D5B">
        <w:t>subsequently</w:t>
      </w:r>
      <w:r w:rsidR="00117317">
        <w:t xml:space="preserve"> re-engaged</w:t>
      </w:r>
      <w:r w:rsidR="004460EA">
        <w:t>, which regularly occurs particularly in relation to ministerial title or portfolio changes</w:t>
      </w:r>
      <w:r w:rsidR="00117317">
        <w:t xml:space="preserve">. </w:t>
      </w:r>
      <w:r w:rsidR="00117317" w:rsidRPr="00E74E3E">
        <w:t>The number of times where automatic terminations are triggered is unknown</w:t>
      </w:r>
      <w:r w:rsidR="00313574">
        <w:t xml:space="preserve">, as data is not available </w:t>
      </w:r>
      <w:r w:rsidR="00204D78">
        <w:t xml:space="preserve">for </w:t>
      </w:r>
      <w:r w:rsidR="00313574">
        <w:t>automatic terminations that occurred where the employee was subsequently rehired</w:t>
      </w:r>
      <w:r w:rsidR="00117317">
        <w:t>.</w:t>
      </w:r>
    </w:p>
    <w:p w14:paraId="1B68E37B" w14:textId="77777777" w:rsidR="00117317" w:rsidRPr="00DC13DA" w:rsidRDefault="00117317" w:rsidP="00051BDA">
      <w:pPr>
        <w:pStyle w:val="Heading4"/>
      </w:pPr>
      <w:r w:rsidRPr="00DC13DA">
        <w:t>What we heard</w:t>
      </w:r>
    </w:p>
    <w:p w14:paraId="21EB9365" w14:textId="6E94A70A" w:rsidR="00246B3F" w:rsidRDefault="00117317" w:rsidP="00246B3F">
      <w:r>
        <w:t xml:space="preserve">The Review heard automatic termination </w:t>
      </w:r>
      <w:r w:rsidR="00246B3F">
        <w:t xml:space="preserve">under the MoP(S) Act </w:t>
      </w:r>
      <w:r w:rsidR="00DC754C">
        <w:t>can be</w:t>
      </w:r>
      <w:r w:rsidR="00246B3F">
        <w:t xml:space="preserve"> applied inconsistently and is poorly understood. The </w:t>
      </w:r>
      <w:r w:rsidR="00246B3F">
        <w:rPr>
          <w:noProof/>
          <w:lang w:eastAsia="en-AU"/>
        </w:rPr>
        <w:t>following scenarios illustrate this issue:</w:t>
      </w:r>
    </w:p>
    <w:p w14:paraId="65824C87" w14:textId="7B5FECE5" w:rsidR="00246B3F" w:rsidRDefault="00C314D3" w:rsidP="00246B3F">
      <w:pPr>
        <w:pStyle w:val="BulletedList-Level1"/>
        <w:rPr>
          <w:noProof/>
          <w:lang w:eastAsia="en-AU"/>
        </w:rPr>
      </w:pPr>
      <w:r>
        <w:rPr>
          <w:noProof/>
          <w:lang w:eastAsia="en-AU"/>
        </w:rPr>
        <w:t>w</w:t>
      </w:r>
      <w:r w:rsidR="00246B3F">
        <w:rPr>
          <w:noProof/>
          <w:lang w:eastAsia="en-AU"/>
        </w:rPr>
        <w:t xml:space="preserve">here a </w:t>
      </w:r>
      <w:r w:rsidR="00135C34">
        <w:rPr>
          <w:noProof/>
          <w:lang w:eastAsia="en-AU"/>
        </w:rPr>
        <w:t>m</w:t>
      </w:r>
      <w:r w:rsidR="00246B3F">
        <w:rPr>
          <w:noProof/>
          <w:lang w:eastAsia="en-AU"/>
        </w:rPr>
        <w:t xml:space="preserve">inister’s responsibilities are revoked for some portfolios but not others, </w:t>
      </w:r>
      <w:r w:rsidR="00135C34">
        <w:rPr>
          <w:noProof/>
          <w:lang w:eastAsia="en-AU"/>
        </w:rPr>
        <w:t xml:space="preserve">whether </w:t>
      </w:r>
      <w:r w:rsidR="00135C34" w:rsidRPr="00135C34">
        <w:rPr>
          <w:noProof/>
          <w:lang w:eastAsia="en-AU"/>
        </w:rPr>
        <w:t>all employees (both personal and electorate staff) are automatically terminated</w:t>
      </w:r>
      <w:r w:rsidR="00246B3F">
        <w:rPr>
          <w:noProof/>
          <w:lang w:eastAsia="en-AU"/>
        </w:rPr>
        <w:t xml:space="preserve"> depend</w:t>
      </w:r>
      <w:r w:rsidR="00135C34">
        <w:rPr>
          <w:noProof/>
          <w:lang w:eastAsia="en-AU"/>
        </w:rPr>
        <w:t>s</w:t>
      </w:r>
      <w:r w:rsidR="00246B3F">
        <w:rPr>
          <w:noProof/>
          <w:lang w:eastAsia="en-AU"/>
        </w:rPr>
        <w:t xml:space="preserve"> on how the ministerial commissions are viewed (i.e. whether they are distinct portfolios or a combined bundle)</w:t>
      </w:r>
      <w:r w:rsidR="006861FC">
        <w:rPr>
          <w:noProof/>
          <w:lang w:eastAsia="en-AU"/>
        </w:rPr>
        <w:t xml:space="preserve">. </w:t>
      </w:r>
      <w:r w:rsidR="00246B3F">
        <w:rPr>
          <w:noProof/>
          <w:lang w:eastAsia="en-AU"/>
        </w:rPr>
        <w:t xml:space="preserve">By comparison, an Opposition </w:t>
      </w:r>
      <w:r w:rsidR="000E3E01">
        <w:rPr>
          <w:noProof/>
          <w:lang w:eastAsia="en-AU"/>
        </w:rPr>
        <w:t>O</w:t>
      </w:r>
      <w:r w:rsidR="00246B3F">
        <w:rPr>
          <w:noProof/>
          <w:lang w:eastAsia="en-AU"/>
        </w:rPr>
        <w:t>ffice</w:t>
      </w:r>
      <w:r w:rsidR="000E3E01">
        <w:rPr>
          <w:noProof/>
          <w:lang w:eastAsia="en-AU"/>
        </w:rPr>
        <w:t xml:space="preserve"> H</w:t>
      </w:r>
      <w:r w:rsidR="00246B3F">
        <w:rPr>
          <w:noProof/>
          <w:lang w:eastAsia="en-AU"/>
        </w:rPr>
        <w:t xml:space="preserve">older who ceases to hold </w:t>
      </w:r>
      <w:r w:rsidR="003D35C7">
        <w:rPr>
          <w:noProof/>
          <w:lang w:eastAsia="en-AU"/>
        </w:rPr>
        <w:t>that</w:t>
      </w:r>
      <w:r w:rsidR="00246B3F">
        <w:rPr>
          <w:noProof/>
          <w:lang w:eastAsia="en-AU"/>
        </w:rPr>
        <w:t xml:space="preserve"> </w:t>
      </w:r>
      <w:r w:rsidR="003D35C7">
        <w:rPr>
          <w:noProof/>
          <w:lang w:eastAsia="en-AU"/>
        </w:rPr>
        <w:t>relevant office</w:t>
      </w:r>
      <w:r w:rsidR="00246B3F">
        <w:rPr>
          <w:noProof/>
          <w:lang w:eastAsia="en-AU"/>
        </w:rPr>
        <w:t xml:space="preserve"> (e.g. </w:t>
      </w:r>
      <w:r w:rsidR="003D35C7">
        <w:rPr>
          <w:noProof/>
          <w:lang w:eastAsia="en-AU"/>
        </w:rPr>
        <w:t xml:space="preserve">Leader of </w:t>
      </w:r>
      <w:r w:rsidR="00246B3F">
        <w:rPr>
          <w:noProof/>
          <w:lang w:eastAsia="en-AU"/>
        </w:rPr>
        <w:t xml:space="preserve">the </w:t>
      </w:r>
      <w:r w:rsidR="003D35C7">
        <w:rPr>
          <w:noProof/>
          <w:lang w:eastAsia="en-AU"/>
        </w:rPr>
        <w:t>Opposition in the House of Representatives</w:t>
      </w:r>
      <w:r w:rsidR="00246B3F">
        <w:rPr>
          <w:noProof/>
          <w:lang w:eastAsia="en-AU"/>
        </w:rPr>
        <w:t>)</w:t>
      </w:r>
      <w:r w:rsidR="003D35C7">
        <w:rPr>
          <w:noProof/>
          <w:lang w:eastAsia="en-AU"/>
        </w:rPr>
        <w:t xml:space="preserve"> but retains a shadow ministry position</w:t>
      </w:r>
      <w:r w:rsidR="00246B3F">
        <w:rPr>
          <w:noProof/>
          <w:lang w:eastAsia="en-AU"/>
        </w:rPr>
        <w:t xml:space="preserve"> will not be affected by automatic termination triggers for either personal or electorate staff</w:t>
      </w:r>
    </w:p>
    <w:p w14:paraId="52BEB1C8" w14:textId="216D4283" w:rsidR="00246B3F" w:rsidRDefault="00C314D3" w:rsidP="00246B3F">
      <w:pPr>
        <w:pStyle w:val="BulletedList-Level1"/>
        <w:rPr>
          <w:noProof/>
          <w:lang w:eastAsia="en-AU"/>
        </w:rPr>
      </w:pPr>
      <w:r>
        <w:rPr>
          <w:noProof/>
          <w:lang w:eastAsia="en-AU"/>
        </w:rPr>
        <w:t>i</w:t>
      </w:r>
      <w:r w:rsidR="00D74AA2">
        <w:rPr>
          <w:noProof/>
          <w:lang w:eastAsia="en-AU"/>
        </w:rPr>
        <w:t>f</w:t>
      </w:r>
      <w:r w:rsidR="00246B3F">
        <w:rPr>
          <w:noProof/>
          <w:lang w:eastAsia="en-AU"/>
        </w:rPr>
        <w:t xml:space="preserve"> a parliamentarian is appointed as a whip, their personal staff may be affected by automatic termination</w:t>
      </w:r>
      <w:r w:rsidR="003C5B10">
        <w:rPr>
          <w:noProof/>
          <w:lang w:eastAsia="en-AU"/>
        </w:rPr>
        <w:t>,</w:t>
      </w:r>
      <w:r w:rsidR="00246B3F">
        <w:rPr>
          <w:noProof/>
          <w:lang w:eastAsia="en-AU"/>
        </w:rPr>
        <w:t xml:space="preserve"> depend</w:t>
      </w:r>
      <w:r w:rsidR="003C5B10">
        <w:rPr>
          <w:noProof/>
          <w:lang w:eastAsia="en-AU"/>
        </w:rPr>
        <w:t>ing</w:t>
      </w:r>
      <w:r w:rsidR="00246B3F">
        <w:rPr>
          <w:noProof/>
          <w:lang w:eastAsia="en-AU"/>
        </w:rPr>
        <w:t xml:space="preserve"> on internal party arrangements, but electorate staff remain unaffected</w:t>
      </w:r>
      <w:r w:rsidR="00DC754C">
        <w:rPr>
          <w:noProof/>
          <w:lang w:eastAsia="en-AU"/>
        </w:rPr>
        <w:t>.</w:t>
      </w:r>
    </w:p>
    <w:p w14:paraId="78B71E38" w14:textId="0BBDEBC1" w:rsidR="00246B3F" w:rsidRDefault="00C314D3" w:rsidP="00246B3F">
      <w:pPr>
        <w:pStyle w:val="BulletedList-Level1"/>
        <w:rPr>
          <w:noProof/>
          <w:lang w:eastAsia="en-AU"/>
        </w:rPr>
      </w:pPr>
      <w:r>
        <w:rPr>
          <w:noProof/>
          <w:lang w:eastAsia="en-AU"/>
        </w:rPr>
        <w:t>w</w:t>
      </w:r>
      <w:r w:rsidR="00D74AA2">
        <w:rPr>
          <w:noProof/>
          <w:lang w:eastAsia="en-AU"/>
        </w:rPr>
        <w:t>hen</w:t>
      </w:r>
      <w:r w:rsidR="00246B3F">
        <w:rPr>
          <w:noProof/>
          <w:lang w:eastAsia="en-AU"/>
        </w:rPr>
        <w:t xml:space="preserve"> a </w:t>
      </w:r>
      <w:r w:rsidR="00A5595C">
        <w:rPr>
          <w:noProof/>
          <w:lang w:eastAsia="en-AU"/>
        </w:rPr>
        <w:t>s</w:t>
      </w:r>
      <w:r w:rsidR="00246B3F">
        <w:rPr>
          <w:noProof/>
          <w:lang w:eastAsia="en-AU"/>
        </w:rPr>
        <w:t xml:space="preserve">hadow </w:t>
      </w:r>
      <w:r w:rsidR="00A5595C">
        <w:rPr>
          <w:noProof/>
          <w:lang w:eastAsia="en-AU"/>
        </w:rPr>
        <w:t>m</w:t>
      </w:r>
      <w:r w:rsidR="00246B3F">
        <w:rPr>
          <w:noProof/>
          <w:lang w:eastAsia="en-AU"/>
        </w:rPr>
        <w:t>inister acquires new portfolio responsibilities, the section 12 determination is revoked due to the change in portfolios, and their personal staff are likely to be automatically terminated.</w:t>
      </w:r>
    </w:p>
    <w:p w14:paraId="240F3F02" w14:textId="300EFE5C" w:rsidR="00246B3F" w:rsidRDefault="00DC754C" w:rsidP="00A43BAA">
      <w:pPr>
        <w:rPr>
          <w:noProof/>
          <w:lang w:eastAsia="en-AU"/>
        </w:rPr>
      </w:pPr>
      <w:r>
        <w:rPr>
          <w:noProof/>
          <w:lang w:eastAsia="en-AU"/>
        </w:rPr>
        <w:t>The</w:t>
      </w:r>
      <w:r w:rsidR="00246B3F">
        <w:rPr>
          <w:noProof/>
          <w:lang w:eastAsia="en-AU"/>
        </w:rPr>
        <w:t xml:space="preserve"> scenarios </w:t>
      </w:r>
      <w:r>
        <w:rPr>
          <w:noProof/>
          <w:lang w:eastAsia="en-AU"/>
        </w:rPr>
        <w:t>demonstrate</w:t>
      </w:r>
      <w:r w:rsidR="00246B3F">
        <w:rPr>
          <w:noProof/>
          <w:lang w:eastAsia="en-AU"/>
        </w:rPr>
        <w:t xml:space="preserve"> triggers for automatic termination are context-specific and outcomes are not </w:t>
      </w:r>
      <w:r>
        <w:rPr>
          <w:noProof/>
          <w:lang w:eastAsia="en-AU"/>
        </w:rPr>
        <w:t>always</w:t>
      </w:r>
      <w:r w:rsidR="00246B3F">
        <w:rPr>
          <w:noProof/>
          <w:lang w:eastAsia="en-AU"/>
        </w:rPr>
        <w:t xml:space="preserve"> predictable.</w:t>
      </w:r>
    </w:p>
    <w:p w14:paraId="77F10285" w14:textId="2817967C" w:rsidR="00117317" w:rsidRDefault="00117317" w:rsidP="00117317">
      <w:r>
        <w:t xml:space="preserve">The survey of former and current </w:t>
      </w:r>
      <w:r w:rsidR="00014107">
        <w:t>MoP</w:t>
      </w:r>
      <w:r w:rsidR="001F77C1">
        <w:t>(S)</w:t>
      </w:r>
      <w:r>
        <w:t xml:space="preserve"> Act </w:t>
      </w:r>
      <w:r w:rsidR="002751A5">
        <w:t>employees</w:t>
      </w:r>
      <w:r>
        <w:t xml:space="preserve"> </w:t>
      </w:r>
      <w:r w:rsidR="004B2E8F">
        <w:t xml:space="preserve">and parliamentarians </w:t>
      </w:r>
      <w:r>
        <w:t xml:space="preserve">conducted for this Review indicates that </w:t>
      </w:r>
      <w:r w:rsidR="000C7A95">
        <w:t xml:space="preserve">MoP(S) </w:t>
      </w:r>
      <w:r w:rsidR="000C429B">
        <w:t xml:space="preserve">Act </w:t>
      </w:r>
      <w:r w:rsidR="000C7A95">
        <w:t>employees</w:t>
      </w:r>
      <w:r>
        <w:t xml:space="preserve"> generally accept the need for automatic terminations, but may</w:t>
      </w:r>
      <w:r w:rsidR="00753198">
        <w:t xml:space="preserve"> </w:t>
      </w:r>
      <w:r w:rsidR="000C7A95">
        <w:t xml:space="preserve">be more or less accepting </w:t>
      </w:r>
      <w:r>
        <w:t>depending on the circumstances and the particular trigger.</w:t>
      </w:r>
      <w:r w:rsidR="00B53F59">
        <w:t xml:space="preserve"> C</w:t>
      </w:r>
      <w:r>
        <w:t xml:space="preserve">ertain types of automatic termination, such as the parliamentarian no longer being a member or senator, were considered more reasonable in principle </w:t>
      </w:r>
      <w:r w:rsidR="00B53F59">
        <w:t>when compared to</w:t>
      </w:r>
      <w:r w:rsidDel="00B53F59">
        <w:t xml:space="preserve"> </w:t>
      </w:r>
      <w:r>
        <w:t xml:space="preserve">a change in the </w:t>
      </w:r>
      <w:r w:rsidR="004B2E8F">
        <w:t>parliamentarian’s</w:t>
      </w:r>
      <w:r>
        <w:t xml:space="preserve"> role. </w:t>
      </w:r>
    </w:p>
    <w:p w14:paraId="73FA9D80" w14:textId="3E6C4909" w:rsidR="00117317" w:rsidRDefault="005633CB" w:rsidP="00117317">
      <w:r>
        <w:t xml:space="preserve">This was reflected in feedback to the </w:t>
      </w:r>
      <w:r w:rsidR="00F23879">
        <w:t xml:space="preserve">Review </w:t>
      </w:r>
      <w:r>
        <w:t xml:space="preserve">from both </w:t>
      </w:r>
      <w:r w:rsidR="00D170AD">
        <w:t>MoP</w:t>
      </w:r>
      <w:r>
        <w:t xml:space="preserve">(S) </w:t>
      </w:r>
      <w:r w:rsidR="000C429B">
        <w:t xml:space="preserve">Act </w:t>
      </w:r>
      <w:r>
        <w:t xml:space="preserve">employees affected by changes to their parliamentarian’s position for minor changes, and </w:t>
      </w:r>
      <w:r w:rsidR="00B53F59">
        <w:t xml:space="preserve">some </w:t>
      </w:r>
      <w:r>
        <w:t xml:space="preserve">parliamentarians who found it cumbersome to rehire </w:t>
      </w:r>
      <w:r w:rsidR="002751A5">
        <w:t>employees</w:t>
      </w:r>
      <w:r>
        <w:t xml:space="preserve"> where automatic terminations applied but there was</w:t>
      </w:r>
      <w:r w:rsidR="000C7A95">
        <w:t>,</w:t>
      </w:r>
      <w:r>
        <w:t xml:space="preserve"> in their view</w:t>
      </w:r>
      <w:r w:rsidR="000C7A95">
        <w:t>,</w:t>
      </w:r>
      <w:r>
        <w:t xml:space="preserve"> no need to amend their staffing arrangements. Both employees and parliamentarians also indicated it was unclear and confusing where automatic terminations did or did not apply</w:t>
      </w:r>
      <w:r w:rsidR="000C7A95">
        <w:t xml:space="preserve"> after a change in role</w:t>
      </w:r>
      <w:r>
        <w:t>.</w:t>
      </w:r>
    </w:p>
    <w:p w14:paraId="3062DE99" w14:textId="5752C50E" w:rsidR="00A94229" w:rsidRDefault="00117317" w:rsidP="00117317">
      <w:r w:rsidRPr="00E92D41">
        <w:t>Academic o</w:t>
      </w:r>
      <w:r>
        <w:t>bserver</w:t>
      </w:r>
      <w:r w:rsidRPr="00E92D41">
        <w:t>s suggest</w:t>
      </w:r>
      <w:r w:rsidR="003A6048">
        <w:t>ed</w:t>
      </w:r>
      <w:r w:rsidRPr="00E92D41">
        <w:t xml:space="preserve"> reducing the number of automatic termination triggers to reduce </w:t>
      </w:r>
      <w:r w:rsidR="005D299B">
        <w:t xml:space="preserve">employment </w:t>
      </w:r>
      <w:r w:rsidRPr="00E92D41">
        <w:t xml:space="preserve">insecurity for </w:t>
      </w:r>
      <w:r w:rsidR="002751A5">
        <w:t>employees</w:t>
      </w:r>
      <w:r w:rsidRPr="00E92D41">
        <w:t xml:space="preserve">. </w:t>
      </w:r>
      <w:r w:rsidR="00DB38A9">
        <w:t>Dr</w:t>
      </w:r>
      <w:r w:rsidRPr="00E92D41">
        <w:t xml:space="preserve"> Maley recommend</w:t>
      </w:r>
      <w:r w:rsidR="000C7A95">
        <w:t>s</w:t>
      </w:r>
      <w:r w:rsidRPr="00E92D41">
        <w:t xml:space="preserve"> personal staff of </w:t>
      </w:r>
      <w:r w:rsidR="00E97E3F">
        <w:t>m</w:t>
      </w:r>
      <w:r w:rsidRPr="00E92D41">
        <w:t>inisters not be automatically terminated where their parliamentarian merely changes a title.</w:t>
      </w:r>
      <w:r w:rsidRPr="00E92D41">
        <w:rPr>
          <w:rStyle w:val="FootnoteReference"/>
        </w:rPr>
        <w:footnoteReference w:id="354"/>
      </w:r>
      <w:r w:rsidRPr="00E92D41">
        <w:t xml:space="preserve"> </w:t>
      </w:r>
      <w:r w:rsidR="00DB38A9">
        <w:t>Dr</w:t>
      </w:r>
      <w:r>
        <w:t> </w:t>
      </w:r>
      <w:r w:rsidRPr="00E92D41">
        <w:t>Maley stated that this view stemmed from ‘</w:t>
      </w:r>
      <w:r w:rsidR="002751A5">
        <w:t>m</w:t>
      </w:r>
      <w:r w:rsidR="002751A5" w:rsidRPr="00E92D41">
        <w:t xml:space="preserve">inisterial </w:t>
      </w:r>
      <w:r w:rsidRPr="00E92D41">
        <w:t>staff [who] report that the insecurity of their employment is emphasised by the fact it ceases automatically when the minister changes job title, providing many opportunities to not be re-employed if they have made complaints’.</w:t>
      </w:r>
      <w:r w:rsidRPr="00E92D41">
        <w:rPr>
          <w:rStyle w:val="FootnoteReference"/>
        </w:rPr>
        <w:footnoteReference w:id="355"/>
      </w:r>
      <w:r w:rsidRPr="00E92D41">
        <w:t xml:space="preserve"> </w:t>
      </w:r>
    </w:p>
    <w:p w14:paraId="70793AFF" w14:textId="54A8C543" w:rsidR="00117317" w:rsidRPr="00EA19EC" w:rsidRDefault="00117317" w:rsidP="00117317">
      <w:r w:rsidRPr="00E92D41">
        <w:t xml:space="preserve">Conversely, some Review participants stated that automatic terminations stemming from a ministerial title change can offer the opportunity for the minister to revise what is needed from their office, and restructure their staffing accordingly. For example, in situations where a Minister acquires a new portfolio responsibility in an unfamiliar </w:t>
      </w:r>
      <w:r w:rsidR="003A6048">
        <w:t>policy area</w:t>
      </w:r>
      <w:r w:rsidRPr="00E92D41">
        <w:t>, they may wish to hire a new employee who better suits the new role</w:t>
      </w:r>
      <w:r w:rsidR="000C7A95">
        <w:t>. However, to do so</w:t>
      </w:r>
      <w:r w:rsidRPr="00E92D41">
        <w:t xml:space="preserve"> </w:t>
      </w:r>
      <w:r w:rsidR="000C7A95">
        <w:t>they would be otherwise be</w:t>
      </w:r>
      <w:r w:rsidRPr="00E92D41">
        <w:t xml:space="preserve"> required to terminate another </w:t>
      </w:r>
      <w:r w:rsidR="00493D9D">
        <w:t>employee’s employment</w:t>
      </w:r>
      <w:r w:rsidRPr="00E92D41">
        <w:t xml:space="preserve"> to remain within their staffing allocation.</w:t>
      </w:r>
    </w:p>
    <w:p w14:paraId="75D94072" w14:textId="30B5A18B" w:rsidR="00117317" w:rsidRPr="00DC13DA" w:rsidRDefault="007C6800" w:rsidP="00051BDA">
      <w:pPr>
        <w:pStyle w:val="Heading4"/>
      </w:pPr>
      <w:r>
        <w:t>What others do</w:t>
      </w:r>
    </w:p>
    <w:p w14:paraId="2A8A4057" w14:textId="7FE21323" w:rsidR="00117317" w:rsidRDefault="000C7A95" w:rsidP="00117317">
      <w:r>
        <w:t>Most comparable jurisdictions have a</w:t>
      </w:r>
      <w:r w:rsidR="00117317">
        <w:t xml:space="preserve">utomatic termination provisions, and often include deferral periods for termination. This reflects </w:t>
      </w:r>
      <w:r>
        <w:t>suggest</w:t>
      </w:r>
      <w:r w:rsidR="00117317" w:rsidDel="000C7A95">
        <w:t xml:space="preserve"> </w:t>
      </w:r>
      <w:r w:rsidR="00117317">
        <w:t xml:space="preserve">automatic terminations are generally accepted as necessary </w:t>
      </w:r>
      <w:r w:rsidR="009E7D5B">
        <w:t>in</w:t>
      </w:r>
      <w:r w:rsidR="00117317">
        <w:t xml:space="preserve"> parliamentary staffing and employment conditions. </w:t>
      </w:r>
    </w:p>
    <w:p w14:paraId="07D7BF6A" w14:textId="148FB28A" w:rsidR="00DE1B14" w:rsidRDefault="00DE1B14" w:rsidP="00117317">
      <w:r>
        <w:t xml:space="preserve">The automatic termination powers in Australian </w:t>
      </w:r>
      <w:r w:rsidR="003A6048">
        <w:t xml:space="preserve">state and territory </w:t>
      </w:r>
      <w:r>
        <w:t>jurisdictions is set out in the table below</w:t>
      </w:r>
      <w:r w:rsidR="003A6048">
        <w:t>.</w:t>
      </w:r>
    </w:p>
    <w:tbl>
      <w:tblPr>
        <w:tblStyle w:val="ListTable4-Accent1"/>
        <w:tblW w:w="5000" w:type="pct"/>
        <w:tblBorders>
          <w:top w:val="single" w:sz="6" w:space="0" w:color="E0E8F2" w:themeColor="background2"/>
          <w:left w:val="single" w:sz="6" w:space="0" w:color="E0E8F2" w:themeColor="background2"/>
          <w:bottom w:val="single" w:sz="6" w:space="0" w:color="E0E8F2" w:themeColor="background2"/>
          <w:right w:val="single" w:sz="6" w:space="0" w:color="E0E8F2" w:themeColor="background2"/>
          <w:insideH w:val="single" w:sz="6" w:space="0" w:color="E0E8F2" w:themeColor="background2"/>
          <w:insideV w:val="single" w:sz="6" w:space="0" w:color="E0E8F2" w:themeColor="background2"/>
        </w:tblBorders>
        <w:tblCellMar>
          <w:top w:w="57" w:type="dxa"/>
          <w:left w:w="57" w:type="dxa"/>
          <w:right w:w="57" w:type="dxa"/>
        </w:tblCellMar>
        <w:tblLook w:val="0620" w:firstRow="1" w:lastRow="0" w:firstColumn="0" w:lastColumn="0" w:noHBand="1" w:noVBand="1"/>
        <w:tblDescription w:val="Jurisdiction Automatic termination powers&#10;New South Wales Applies if:&#10;• Member of Parliament (MP) or Special Office Holder (SOH) ceases to be MP, or SOH ceases to hold role, or&#10;• employing MP who is member of Legislative Council becomes a political office-holder, or&#10;• on the day of the next general election;&#10;Unless the relevant Presiding Officer (PO) directs that employment continues for a specified period.&#10;Australian Capital Territory Applies if Member of the Legislative Assembly (MLA) or Office Holder (OH):&#10;• dies or ceases to hold the relevant office, or&#10;• Chief Minister (CM) revokes relevant determination and/or MLA no longer is covered by the relevant determination.&#10;CM may direct by disallowable instrument that engagement continues until a specified date.&#10;Queensland Applies with notice as per the relevant Award in certain situations, such as where an MP dies, resigns, retires or is defeated at election. Redeployment is provided for under the relevant EA.&#10;Victoria Applies if MP dies or ceases to hold office, unless:&#10;• POs jointly extend the employment for a specified period; or&#10;• Within a period of four weeks (or longer by determination of the POs) the employee is employed to assist another member.&#10;Western Australia Applies to ministerial officers where:&#10;• the OH dies or ceases to hold the relevant office , or&#10;• a general election for the Legislative Assembly is conducted (applies from day after return of writ), or&#10;at the end of the specified term of the employment contract.&#10;Northern Territory Applies if MLA ceases to be a Member for any reason.&#10;"/>
      </w:tblPr>
      <w:tblGrid>
        <w:gridCol w:w="2021"/>
        <w:gridCol w:w="7601"/>
      </w:tblGrid>
      <w:tr w:rsidR="00FA6E8D" w:rsidRPr="006E170D" w14:paraId="7F542A2B" w14:textId="77777777" w:rsidTr="008314F4">
        <w:trPr>
          <w:cnfStyle w:val="100000000000" w:firstRow="1" w:lastRow="0" w:firstColumn="0" w:lastColumn="0" w:oddVBand="0" w:evenVBand="0" w:oddHBand="0" w:evenHBand="0" w:firstRowFirstColumn="0" w:firstRowLastColumn="0" w:lastRowFirstColumn="0" w:lastRowLastColumn="0"/>
          <w:trHeight w:val="20"/>
          <w:tblHeader/>
        </w:trPr>
        <w:tc>
          <w:tcPr>
            <w:tcW w:w="1050" w:type="pct"/>
            <w:vAlign w:val="center"/>
          </w:tcPr>
          <w:p w14:paraId="7E6ED2D9" w14:textId="77777777" w:rsidR="00FA6E8D" w:rsidRPr="006E170D" w:rsidRDefault="00FA6E8D" w:rsidP="00F9053D">
            <w:pPr>
              <w:pStyle w:val="TBLHeading"/>
            </w:pPr>
            <w:r>
              <w:t>Jurisdiction</w:t>
            </w:r>
          </w:p>
        </w:tc>
        <w:tc>
          <w:tcPr>
            <w:tcW w:w="3950" w:type="pct"/>
            <w:vAlign w:val="center"/>
          </w:tcPr>
          <w:p w14:paraId="7C9BC7FD" w14:textId="77777777" w:rsidR="00FA6E8D" w:rsidRPr="006E170D" w:rsidRDefault="00FA6E8D" w:rsidP="00F9053D">
            <w:pPr>
              <w:pStyle w:val="TBLHeading"/>
            </w:pPr>
            <w:r>
              <w:t>Automatic termination powers</w:t>
            </w:r>
          </w:p>
        </w:tc>
      </w:tr>
      <w:tr w:rsidR="00FA6E8D" w:rsidRPr="006E170D" w14:paraId="7046E012" w14:textId="77777777" w:rsidTr="008314F4">
        <w:trPr>
          <w:trHeight w:val="20"/>
        </w:trPr>
        <w:tc>
          <w:tcPr>
            <w:tcW w:w="1050" w:type="pct"/>
            <w:shd w:val="clear" w:color="auto" w:fill="BFCFE4" w:themeFill="background2" w:themeFillShade="E6"/>
          </w:tcPr>
          <w:p w14:paraId="5AE2BE2A" w14:textId="77777777" w:rsidR="00FA6E8D" w:rsidRPr="006E170D" w:rsidRDefault="00FA6E8D" w:rsidP="004D2593">
            <w:pPr>
              <w:pStyle w:val="TBLText"/>
              <w:keepNext/>
            </w:pPr>
            <w:r w:rsidRPr="007D2937">
              <w:t>New South Wales</w:t>
            </w:r>
          </w:p>
        </w:tc>
        <w:tc>
          <w:tcPr>
            <w:tcW w:w="3950" w:type="pct"/>
          </w:tcPr>
          <w:p w14:paraId="47A6258D" w14:textId="77777777" w:rsidR="00FA6E8D" w:rsidRDefault="00FA6E8D" w:rsidP="004D2593">
            <w:pPr>
              <w:pStyle w:val="TBLText"/>
              <w:keepNext/>
            </w:pPr>
            <w:r w:rsidRPr="007D2937">
              <w:t>Applies if:</w:t>
            </w:r>
          </w:p>
          <w:p w14:paraId="4BFB7953" w14:textId="5FCB283A" w:rsidR="00FA6E8D" w:rsidRPr="004D2593" w:rsidRDefault="00FA6E8D" w:rsidP="00971ECB">
            <w:pPr>
              <w:pStyle w:val="TBLText"/>
              <w:keepNext/>
              <w:numPr>
                <w:ilvl w:val="0"/>
                <w:numId w:val="19"/>
              </w:numPr>
            </w:pPr>
            <w:r w:rsidRPr="004D2593">
              <w:t>Member of Parliament (MP) or Special Office Holder (SOH) ceases to be MP, or SOH</w:t>
            </w:r>
            <w:r w:rsidR="000E3E01">
              <w:t> </w:t>
            </w:r>
            <w:r w:rsidRPr="004D2593">
              <w:t>ceases to hold role, or</w:t>
            </w:r>
          </w:p>
          <w:p w14:paraId="096A3C99" w14:textId="77777777" w:rsidR="00FA6E8D" w:rsidRPr="004D2593" w:rsidRDefault="00FA6E8D" w:rsidP="00971ECB">
            <w:pPr>
              <w:pStyle w:val="TBLText"/>
              <w:keepNext/>
              <w:numPr>
                <w:ilvl w:val="0"/>
                <w:numId w:val="19"/>
              </w:numPr>
            </w:pPr>
            <w:r w:rsidRPr="004D2593">
              <w:t>employing MP who is member of Legislative Council becomes a political office-holder, or</w:t>
            </w:r>
          </w:p>
          <w:p w14:paraId="4BA36C15" w14:textId="77777777" w:rsidR="00FA6E8D" w:rsidRPr="004D2593" w:rsidRDefault="00FA6E8D" w:rsidP="00971ECB">
            <w:pPr>
              <w:pStyle w:val="TBLText"/>
              <w:keepNext/>
              <w:numPr>
                <w:ilvl w:val="0"/>
                <w:numId w:val="19"/>
              </w:numPr>
            </w:pPr>
            <w:r w:rsidRPr="004D2593">
              <w:t>on the day of the next general election;</w:t>
            </w:r>
          </w:p>
          <w:p w14:paraId="57764BCD" w14:textId="77777777" w:rsidR="00FA6E8D" w:rsidRPr="006E170D" w:rsidRDefault="00FA6E8D" w:rsidP="004D2593">
            <w:pPr>
              <w:pStyle w:val="TBLText"/>
              <w:keepNext/>
            </w:pPr>
            <w:r w:rsidRPr="004D2593">
              <w:t>Unless the relevant Presiding Officer (PO) directs that employment continues for a specified period.</w:t>
            </w:r>
          </w:p>
        </w:tc>
      </w:tr>
      <w:tr w:rsidR="00FA6E8D" w:rsidRPr="006E170D" w14:paraId="68F72EDA" w14:textId="77777777" w:rsidTr="008314F4">
        <w:trPr>
          <w:trHeight w:val="20"/>
        </w:trPr>
        <w:tc>
          <w:tcPr>
            <w:tcW w:w="1050" w:type="pct"/>
            <w:shd w:val="clear" w:color="auto" w:fill="BFCFE4" w:themeFill="background2" w:themeFillShade="E6"/>
          </w:tcPr>
          <w:p w14:paraId="6A0F0241" w14:textId="77777777" w:rsidR="00FA6E8D" w:rsidRPr="006E170D" w:rsidRDefault="00FA6E8D" w:rsidP="004D2593">
            <w:pPr>
              <w:pStyle w:val="TBLText"/>
              <w:keepNext/>
            </w:pPr>
            <w:r w:rsidRPr="004D2593">
              <w:t>Australian Capital Territory</w:t>
            </w:r>
          </w:p>
        </w:tc>
        <w:tc>
          <w:tcPr>
            <w:tcW w:w="3950" w:type="pct"/>
          </w:tcPr>
          <w:p w14:paraId="5CD67138" w14:textId="77777777" w:rsidR="00FA6E8D" w:rsidRPr="004D2593" w:rsidRDefault="00FA6E8D" w:rsidP="004D2593">
            <w:pPr>
              <w:pStyle w:val="TBLText"/>
              <w:keepNext/>
            </w:pPr>
            <w:r w:rsidRPr="004D2593">
              <w:t>Applies if Member of the Legislative Assembly (MLA) or Office Holder (OH):</w:t>
            </w:r>
          </w:p>
          <w:p w14:paraId="29C269FB" w14:textId="77777777" w:rsidR="00FA6E8D" w:rsidRPr="004D2593" w:rsidRDefault="00FA6E8D" w:rsidP="00971ECB">
            <w:pPr>
              <w:pStyle w:val="TBLText"/>
              <w:keepNext/>
              <w:numPr>
                <w:ilvl w:val="0"/>
                <w:numId w:val="22"/>
              </w:numPr>
            </w:pPr>
            <w:r w:rsidRPr="004D2593">
              <w:t>dies or ceases to hold the relevant office, or</w:t>
            </w:r>
          </w:p>
          <w:p w14:paraId="22688698" w14:textId="77777777" w:rsidR="00FA6E8D" w:rsidRPr="004D2593" w:rsidRDefault="00FA6E8D" w:rsidP="00971ECB">
            <w:pPr>
              <w:pStyle w:val="TBLText"/>
              <w:keepNext/>
              <w:numPr>
                <w:ilvl w:val="0"/>
                <w:numId w:val="22"/>
              </w:numPr>
            </w:pPr>
            <w:r w:rsidRPr="004D2593">
              <w:t>Chief Minister (CM) revokes relevant determination and/or MLA no longer is covered by the relevant determination.</w:t>
            </w:r>
          </w:p>
          <w:p w14:paraId="1F0048D7" w14:textId="77777777" w:rsidR="00FA6E8D" w:rsidRPr="006E170D" w:rsidRDefault="00FA6E8D" w:rsidP="004D2593">
            <w:pPr>
              <w:pStyle w:val="TBLText"/>
              <w:keepNext/>
            </w:pPr>
            <w:r w:rsidRPr="004D2593">
              <w:t>CM may direct by disallowable instrument that engagement continues until a specified date.</w:t>
            </w:r>
          </w:p>
        </w:tc>
      </w:tr>
      <w:tr w:rsidR="004E3357" w:rsidRPr="006E170D" w14:paraId="3A9E0F65" w14:textId="77777777" w:rsidTr="008314F4">
        <w:trPr>
          <w:trHeight w:val="20"/>
        </w:trPr>
        <w:tc>
          <w:tcPr>
            <w:tcW w:w="1050" w:type="pct"/>
            <w:tcBorders>
              <w:bottom w:val="single" w:sz="6" w:space="0" w:color="E0E8F2" w:themeColor="background2"/>
            </w:tcBorders>
            <w:shd w:val="clear" w:color="auto" w:fill="BFCFE4" w:themeFill="background2" w:themeFillShade="E6"/>
          </w:tcPr>
          <w:p w14:paraId="6DCD5DB9" w14:textId="77777777" w:rsidR="00FA6E8D" w:rsidRPr="006E170D" w:rsidRDefault="00FA6E8D" w:rsidP="004D2593">
            <w:pPr>
              <w:pStyle w:val="TBLText"/>
              <w:keepNext/>
            </w:pPr>
            <w:r w:rsidRPr="004D2593">
              <w:t>Queensland</w:t>
            </w:r>
          </w:p>
        </w:tc>
        <w:tc>
          <w:tcPr>
            <w:tcW w:w="3950" w:type="pct"/>
            <w:tcBorders>
              <w:bottom w:val="single" w:sz="6" w:space="0" w:color="E0E8F2" w:themeColor="background2"/>
            </w:tcBorders>
            <w:shd w:val="clear" w:color="auto" w:fill="auto"/>
          </w:tcPr>
          <w:p w14:paraId="7A917E0F" w14:textId="77777777" w:rsidR="00FA6E8D" w:rsidRPr="006E170D" w:rsidRDefault="00FA6E8D" w:rsidP="004D2593">
            <w:pPr>
              <w:pStyle w:val="TBLText"/>
              <w:keepNext/>
            </w:pPr>
            <w:r w:rsidRPr="004D2593">
              <w:t xml:space="preserve">Applies with notice as per the relevant Award in certain situations, such as where an MP dies, resigns, retires or is defeated at election. Redeployment is provided for under </w:t>
            </w:r>
            <w:r w:rsidR="00982005">
              <w:t>the</w:t>
            </w:r>
            <w:r w:rsidRPr="004D2593">
              <w:t xml:space="preserve"> relevant </w:t>
            </w:r>
            <w:r w:rsidR="00982005">
              <w:t>EA</w:t>
            </w:r>
            <w:r w:rsidRPr="004D2593">
              <w:t>.</w:t>
            </w:r>
          </w:p>
        </w:tc>
      </w:tr>
      <w:tr w:rsidR="00FA6E8D" w:rsidRPr="006E170D" w14:paraId="36DEB152" w14:textId="77777777" w:rsidTr="008314F4">
        <w:trPr>
          <w:trHeight w:val="20"/>
        </w:trPr>
        <w:tc>
          <w:tcPr>
            <w:tcW w:w="1050" w:type="pct"/>
            <w:shd w:val="clear" w:color="auto" w:fill="BFCFE4" w:themeFill="background2" w:themeFillShade="E6"/>
          </w:tcPr>
          <w:p w14:paraId="5CC1589A" w14:textId="77777777" w:rsidR="00FA6E8D" w:rsidRPr="006E170D" w:rsidRDefault="00FA6E8D" w:rsidP="004D2593">
            <w:pPr>
              <w:pStyle w:val="TBLText"/>
              <w:keepNext/>
            </w:pPr>
            <w:r w:rsidRPr="004D2593">
              <w:t>Victoria</w:t>
            </w:r>
          </w:p>
        </w:tc>
        <w:tc>
          <w:tcPr>
            <w:tcW w:w="3950" w:type="pct"/>
          </w:tcPr>
          <w:p w14:paraId="0070EDA8" w14:textId="77777777" w:rsidR="00FA6E8D" w:rsidRPr="004D2593" w:rsidRDefault="00FA6E8D" w:rsidP="004D2593">
            <w:pPr>
              <w:pStyle w:val="TBLText"/>
              <w:keepNext/>
            </w:pPr>
            <w:r w:rsidRPr="004D2593">
              <w:t>Applies if MP dies or ceases to hold office, unless:</w:t>
            </w:r>
          </w:p>
          <w:p w14:paraId="0759F41E" w14:textId="77777777" w:rsidR="00FA6E8D" w:rsidRPr="004D2593" w:rsidRDefault="00FA6E8D" w:rsidP="00971ECB">
            <w:pPr>
              <w:pStyle w:val="TBLText"/>
              <w:keepNext/>
              <w:numPr>
                <w:ilvl w:val="0"/>
                <w:numId w:val="21"/>
              </w:numPr>
            </w:pPr>
            <w:r w:rsidRPr="004D2593">
              <w:t>POs jointly extend the employment for a specified period; or</w:t>
            </w:r>
          </w:p>
          <w:p w14:paraId="20F6CB37" w14:textId="77777777" w:rsidR="00FA6E8D" w:rsidRPr="006E170D" w:rsidRDefault="00FA6E8D" w:rsidP="00971ECB">
            <w:pPr>
              <w:pStyle w:val="TBLText"/>
              <w:keepNext/>
              <w:numPr>
                <w:ilvl w:val="0"/>
                <w:numId w:val="21"/>
              </w:numPr>
            </w:pPr>
            <w:r w:rsidRPr="004D2593">
              <w:t>Within a period of four weeks (or longer by determination of the POs) the employee is employed to assist another member.</w:t>
            </w:r>
          </w:p>
        </w:tc>
      </w:tr>
      <w:tr w:rsidR="00FA6E8D" w:rsidRPr="006E170D" w14:paraId="63D889C3" w14:textId="77777777" w:rsidTr="008314F4">
        <w:trPr>
          <w:trHeight w:val="20"/>
        </w:trPr>
        <w:tc>
          <w:tcPr>
            <w:tcW w:w="1050" w:type="pct"/>
            <w:shd w:val="clear" w:color="auto" w:fill="BFCFE4" w:themeFill="background2" w:themeFillShade="E6"/>
          </w:tcPr>
          <w:p w14:paraId="184558B1" w14:textId="77777777" w:rsidR="00FA6E8D" w:rsidRPr="006E170D" w:rsidRDefault="00FA6E8D" w:rsidP="004D2593">
            <w:pPr>
              <w:pStyle w:val="TBLText"/>
              <w:keepNext/>
            </w:pPr>
            <w:r w:rsidRPr="004D2593">
              <w:t>Western Australia</w:t>
            </w:r>
          </w:p>
        </w:tc>
        <w:tc>
          <w:tcPr>
            <w:tcW w:w="3950" w:type="pct"/>
          </w:tcPr>
          <w:p w14:paraId="37683B71" w14:textId="77777777" w:rsidR="00FA6E8D" w:rsidRPr="004D2593" w:rsidRDefault="00FA6E8D" w:rsidP="004D2593">
            <w:pPr>
              <w:pStyle w:val="TBLText"/>
              <w:keepNext/>
            </w:pPr>
            <w:r w:rsidRPr="004D2593">
              <w:t>Applies to ministerial officers where:</w:t>
            </w:r>
          </w:p>
          <w:p w14:paraId="34BD4048" w14:textId="77777777" w:rsidR="00FA6E8D" w:rsidRPr="004D2593" w:rsidRDefault="00FA6E8D" w:rsidP="00971ECB">
            <w:pPr>
              <w:pStyle w:val="TBLText"/>
              <w:keepNext/>
              <w:numPr>
                <w:ilvl w:val="0"/>
                <w:numId w:val="20"/>
              </w:numPr>
            </w:pPr>
            <w:r w:rsidRPr="004D2593">
              <w:t>the OH dies or ceases to hold the relevant office , or</w:t>
            </w:r>
          </w:p>
          <w:p w14:paraId="5B57E904" w14:textId="77777777" w:rsidR="00FA6E8D" w:rsidRPr="004D2593" w:rsidRDefault="00FA6E8D" w:rsidP="00971ECB">
            <w:pPr>
              <w:pStyle w:val="TBLText"/>
              <w:keepNext/>
              <w:numPr>
                <w:ilvl w:val="0"/>
                <w:numId w:val="20"/>
              </w:numPr>
            </w:pPr>
            <w:r w:rsidRPr="004D2593">
              <w:t>a general election for the Legislative Assembly is conducted (applies from day after return of writ), or</w:t>
            </w:r>
          </w:p>
          <w:p w14:paraId="569316A5" w14:textId="77777777" w:rsidR="00FA6E8D" w:rsidRPr="00FA6E8D" w:rsidRDefault="00FA6E8D" w:rsidP="004D2593">
            <w:pPr>
              <w:pStyle w:val="TBLText"/>
              <w:keepNext/>
            </w:pPr>
            <w:r w:rsidRPr="004D2593">
              <w:t>at the end of the specified term of the employment contract.</w:t>
            </w:r>
          </w:p>
        </w:tc>
      </w:tr>
      <w:tr w:rsidR="00FA6E8D" w:rsidRPr="006E170D" w14:paraId="06B2A066" w14:textId="77777777" w:rsidTr="008314F4">
        <w:trPr>
          <w:trHeight w:val="20"/>
        </w:trPr>
        <w:tc>
          <w:tcPr>
            <w:tcW w:w="1050" w:type="pct"/>
            <w:tcBorders>
              <w:bottom w:val="single" w:sz="12" w:space="0" w:color="1B375C" w:themeColor="accent1"/>
            </w:tcBorders>
            <w:shd w:val="clear" w:color="auto" w:fill="BFCFE4" w:themeFill="background2" w:themeFillShade="E6"/>
          </w:tcPr>
          <w:p w14:paraId="6C239430" w14:textId="77777777" w:rsidR="00FA6E8D" w:rsidRPr="004D2593" w:rsidRDefault="00FA6E8D" w:rsidP="004D2593">
            <w:pPr>
              <w:pStyle w:val="TBLText"/>
              <w:keepNext/>
            </w:pPr>
            <w:r w:rsidRPr="004D2593">
              <w:t>Northern Territory</w:t>
            </w:r>
          </w:p>
        </w:tc>
        <w:tc>
          <w:tcPr>
            <w:tcW w:w="3950" w:type="pct"/>
            <w:tcBorders>
              <w:bottom w:val="single" w:sz="12" w:space="0" w:color="1B375C" w:themeColor="accent1"/>
            </w:tcBorders>
          </w:tcPr>
          <w:p w14:paraId="2BF8E695" w14:textId="77777777" w:rsidR="00FA6E8D" w:rsidRPr="004D2593" w:rsidRDefault="00FA6E8D" w:rsidP="004D2593">
            <w:pPr>
              <w:keepNext/>
              <w:spacing w:after="0"/>
              <w:rPr>
                <w:noProof/>
                <w:sz w:val="18"/>
                <w:szCs w:val="18"/>
              </w:rPr>
            </w:pPr>
            <w:r w:rsidRPr="004D2593">
              <w:rPr>
                <w:noProof/>
                <w:sz w:val="18"/>
                <w:szCs w:val="18"/>
              </w:rPr>
              <w:t>Applies if MLA ceases to be a Member for any reason.</w:t>
            </w:r>
          </w:p>
        </w:tc>
      </w:tr>
    </w:tbl>
    <w:p w14:paraId="0DC01A5C" w14:textId="77777777" w:rsidR="00DC13DA" w:rsidRDefault="00DC13DA" w:rsidP="00DC13DA"/>
    <w:p w14:paraId="1DC002D5" w14:textId="4A3A6EFA" w:rsidR="009F71BE" w:rsidRDefault="008721DE" w:rsidP="009F71BE">
      <w:r>
        <w:t xml:space="preserve">In </w:t>
      </w:r>
      <w:r w:rsidR="00B94655">
        <w:t>comparable overseas</w:t>
      </w:r>
      <w:r>
        <w:t xml:space="preserve"> jurisdictions, automatic terminations are similarly </w:t>
      </w:r>
      <w:r w:rsidR="009033E9">
        <w:t>used</w:t>
      </w:r>
      <w:r>
        <w:t xml:space="preserve">. Ministerial staff employed in the UK House of Commons are subject to automatic termination in the event that the appointing </w:t>
      </w:r>
      <w:r w:rsidR="00E97E3F">
        <w:t>m</w:t>
      </w:r>
      <w:r>
        <w:t>inister ceases to hold the relevant office, or on the day after a general election.</w:t>
      </w:r>
      <w:r w:rsidR="00CB5817">
        <w:t xml:space="preserve"> Canadian ministerial staff and those who are employed by Leaders of the House are made redundant 30 days after their employer loses office, with the option for redeployment.</w:t>
      </w:r>
    </w:p>
    <w:p w14:paraId="6A395CD3" w14:textId="4F83DCE8" w:rsidR="008721DE" w:rsidRDefault="009F71BE" w:rsidP="009F71BE">
      <w:r>
        <w:t>In New Zealand, events-based termination (that is, automatic termination) was commonplace prior to</w:t>
      </w:r>
      <w:r w:rsidR="003A6048">
        <w:t> </w:t>
      </w:r>
      <w:r>
        <w:t>2019</w:t>
      </w:r>
      <w:r w:rsidR="009E7D5B">
        <w:t>.</w:t>
      </w:r>
      <w:r>
        <w:t xml:space="preserve"> </w:t>
      </w:r>
      <w:r w:rsidR="00F700AD">
        <w:t xml:space="preserve">The Francis Review, however, recommended fixed-term agreements </w:t>
      </w:r>
      <w:r w:rsidR="00B94655">
        <w:t xml:space="preserve">for employees </w:t>
      </w:r>
      <w:r w:rsidR="00F700AD">
        <w:t>which provide options for reassignment or redeployment.</w:t>
      </w:r>
      <w:r w:rsidR="00F700AD">
        <w:rPr>
          <w:rStyle w:val="FootnoteReference"/>
        </w:rPr>
        <w:footnoteReference w:id="356"/>
      </w:r>
      <w:r w:rsidR="00F700AD">
        <w:t xml:space="preserve"> Accordingly,</w:t>
      </w:r>
      <w:r>
        <w:t xml:space="preserve"> the collective agreement signed in 2020 provides that a general election is no longer an </w:t>
      </w:r>
      <w:r w:rsidR="00F700AD">
        <w:t>automatic termination</w:t>
      </w:r>
      <w:r w:rsidR="002A1BE1">
        <w:t xml:space="preserve"> event</w:t>
      </w:r>
      <w:r>
        <w:t xml:space="preserve">. For most </w:t>
      </w:r>
      <w:r w:rsidR="00493D9D">
        <w:t>employees</w:t>
      </w:r>
      <w:r>
        <w:t xml:space="preserve">, employment now </w:t>
      </w:r>
      <w:r w:rsidR="00F700AD">
        <w:t>is not broken by a general election</w:t>
      </w:r>
      <w:r>
        <w:t>.</w:t>
      </w:r>
    </w:p>
    <w:p w14:paraId="35AAF461" w14:textId="77777777" w:rsidR="00246B3F" w:rsidRDefault="00246B3F" w:rsidP="009F71BE"/>
    <w:p w14:paraId="7A6DEC06" w14:textId="20339E93" w:rsidR="00117317" w:rsidRDefault="00DC13DA" w:rsidP="00051BDA">
      <w:pPr>
        <w:pStyle w:val="Heading3"/>
      </w:pPr>
      <w:r>
        <w:t>6.</w:t>
      </w:r>
      <w:r w:rsidR="0055702B">
        <w:t>5</w:t>
      </w:r>
      <w:r w:rsidR="00117317">
        <w:t>.2 Options for improvement</w:t>
      </w:r>
    </w:p>
    <w:p w14:paraId="6604AA9F" w14:textId="77777777" w:rsidR="00117317" w:rsidRPr="00DC13DA" w:rsidRDefault="00117317" w:rsidP="001F0A87">
      <w:pPr>
        <w:pStyle w:val="Heading4"/>
      </w:pPr>
      <w:r w:rsidRPr="00DC13DA">
        <w:t>Legislative instruments</w:t>
      </w:r>
    </w:p>
    <w:p w14:paraId="5C128D1F" w14:textId="4F46633F" w:rsidR="00117317" w:rsidRDefault="00246B3F" w:rsidP="00117317">
      <w:r>
        <w:t>O</w:t>
      </w:r>
      <w:r w:rsidR="00117317">
        <w:t xml:space="preserve">ne way to provide more clarity to automatic terminations </w:t>
      </w:r>
      <w:r w:rsidR="00B94655">
        <w:t>i</w:t>
      </w:r>
      <w:r w:rsidR="00117317">
        <w:t xml:space="preserve">s to </w:t>
      </w:r>
      <w:r w:rsidR="00B94655">
        <w:t xml:space="preserve">set out </w:t>
      </w:r>
      <w:r w:rsidR="00327308">
        <w:t>unusual</w:t>
      </w:r>
      <w:r w:rsidR="00117317">
        <w:t xml:space="preserve"> </w:t>
      </w:r>
      <w:r w:rsidR="00B94655">
        <w:t xml:space="preserve">triggers in a </w:t>
      </w:r>
      <w:r w:rsidR="00117317">
        <w:t>legislative instrument</w:t>
      </w:r>
      <w:r w:rsidR="00B94655">
        <w:t>.</w:t>
      </w:r>
      <w:r w:rsidR="00117317">
        <w:t xml:space="preserve"> This could be done </w:t>
      </w:r>
      <w:r w:rsidR="00A25037">
        <w:t>by</w:t>
      </w:r>
      <w:r w:rsidR="00117317">
        <w:t>:</w:t>
      </w:r>
    </w:p>
    <w:p w14:paraId="4EBCC5AA" w14:textId="41B87198" w:rsidR="00117317" w:rsidRPr="00330F72" w:rsidRDefault="00A25037" w:rsidP="00DC13DA">
      <w:pPr>
        <w:pStyle w:val="BulletedList-Level1"/>
      </w:pPr>
      <w:r w:rsidRPr="00330F72">
        <w:t>retaining the high-level automatic termination triggers currently provided for in the Act</w:t>
      </w:r>
      <w:r w:rsidR="00117317" w:rsidRPr="00330F72">
        <w:t xml:space="preserve">, which </w:t>
      </w:r>
      <w:r w:rsidRPr="00330F72">
        <w:t xml:space="preserve">generally </w:t>
      </w:r>
      <w:r w:rsidR="00117317" w:rsidRPr="00330F72">
        <w:t xml:space="preserve">encompass </w:t>
      </w:r>
      <w:r w:rsidRPr="00330F72">
        <w:t>some</w:t>
      </w:r>
      <w:r w:rsidR="00117317" w:rsidRPr="00330F72">
        <w:t xml:space="preserve"> of</w:t>
      </w:r>
      <w:r w:rsidRPr="00330F72">
        <w:t xml:space="preserve"> the</w:t>
      </w:r>
      <w:r w:rsidR="00117317" w:rsidRPr="00330F72">
        <w:t xml:space="preserve"> common and predictable situations where automatic terminations apply, such as where a parliamentarian dies</w:t>
      </w:r>
      <w:r w:rsidRPr="00330F72">
        <w:t xml:space="preserve"> </w:t>
      </w:r>
      <w:r w:rsidR="00327308" w:rsidRPr="00330F72">
        <w:t>or</w:t>
      </w:r>
      <w:r w:rsidR="00117317" w:rsidRPr="00330F72">
        <w:t xml:space="preserve"> ceases to be a parliamentarian</w:t>
      </w:r>
    </w:p>
    <w:p w14:paraId="3AF7D7B6" w14:textId="2F6DA207" w:rsidR="00117317" w:rsidRDefault="00A25037" w:rsidP="00DC13DA">
      <w:pPr>
        <w:pStyle w:val="BulletedList-Level1"/>
      </w:pPr>
      <w:r>
        <w:t>creating</w:t>
      </w:r>
      <w:r w:rsidR="00117317">
        <w:t xml:space="preserve"> ad hoc determination</w:t>
      </w:r>
      <w:r w:rsidR="00327308">
        <w:t xml:space="preserve">s for </w:t>
      </w:r>
      <w:r w:rsidR="00117317">
        <w:t xml:space="preserve">unusual situations which do not fit easily into </w:t>
      </w:r>
      <w:r w:rsidR="00B77B79">
        <w:t xml:space="preserve">the </w:t>
      </w:r>
      <w:r w:rsidR="00327308">
        <w:t>currently</w:t>
      </w:r>
      <w:r w:rsidR="00117317">
        <w:t xml:space="preserve"> existing </w:t>
      </w:r>
      <w:r w:rsidR="00327308">
        <w:t>automatic termination categories</w:t>
      </w:r>
      <w:r w:rsidR="00117317">
        <w:t xml:space="preserve">, such as for technical changes to a minister’s portfolio title which </w:t>
      </w:r>
      <w:r w:rsidR="00B77B79">
        <w:t>are not covered</w:t>
      </w:r>
      <w:r w:rsidR="00327308">
        <w:t xml:space="preserve"> by a section 12 determination, or where parliamentarians cease to hold a personal staffing allocation (see below)</w:t>
      </w:r>
      <w:r w:rsidR="00117317">
        <w:t>.</w:t>
      </w:r>
    </w:p>
    <w:p w14:paraId="511B297F" w14:textId="03266DA4" w:rsidR="00117317" w:rsidRDefault="00BE6158">
      <w:r>
        <w:t xml:space="preserve">This system is currently used to some extent, but has critical gaps in relation to specific circumstances, such as where a parliamentarian loses their personal staffing allocation. </w:t>
      </w:r>
      <w:r w:rsidR="00246B3F">
        <w:t>U</w:t>
      </w:r>
      <w:r w:rsidR="009033E9">
        <w:t>s</w:t>
      </w:r>
      <w:r w:rsidR="00B94655">
        <w:t>in</w:t>
      </w:r>
      <w:r w:rsidR="00246B3F">
        <w:t>g</w:t>
      </w:r>
      <w:r w:rsidR="00117317">
        <w:t xml:space="preserve"> </w:t>
      </w:r>
      <w:r w:rsidR="00327308">
        <w:t>this system</w:t>
      </w:r>
      <w:r w:rsidR="00117317">
        <w:t xml:space="preserve"> </w:t>
      </w:r>
      <w:r w:rsidR="00327308">
        <w:t>c</w:t>
      </w:r>
      <w:r w:rsidR="00117317">
        <w:t>ould provide clarity in situations which are commonplace and relatively predictable, ensuring that both parliamentarians and employees understand whether the trigger applies in these scenarios. Having an ad hoc determination option also provides the ability to remain flexible and respond to new situations as they arise.</w:t>
      </w:r>
    </w:p>
    <w:p w14:paraId="067157B7" w14:textId="77777777" w:rsidR="00117317" w:rsidRPr="00DC13DA" w:rsidRDefault="00117317" w:rsidP="00051BDA">
      <w:pPr>
        <w:pStyle w:val="Heading4"/>
      </w:pPr>
      <w:r w:rsidRPr="00DC13DA">
        <w:t>Applying automatic terminations when staffing allocation is reduced</w:t>
      </w:r>
    </w:p>
    <w:p w14:paraId="453ECB24" w14:textId="7E233B00" w:rsidR="00117317" w:rsidRDefault="00117317" w:rsidP="00117317">
      <w:r>
        <w:t xml:space="preserve">It was suggested to the Review that a new automatic termination trigger should apply to situations where a parliamentarian’s personal staffing allocation is reduced or goes to zero. </w:t>
      </w:r>
      <w:r w:rsidR="004460EA">
        <w:t>Where a ministerial</w:t>
      </w:r>
      <w:r>
        <w:t xml:space="preserve"> </w:t>
      </w:r>
      <w:r w:rsidR="004460EA">
        <w:t>or special</w:t>
      </w:r>
      <w:r>
        <w:t xml:space="preserve"> office is </w:t>
      </w:r>
      <w:r w:rsidR="000E3E01">
        <w:t>lost</w:t>
      </w:r>
      <w:r w:rsidR="004460EA">
        <w:t>,</w:t>
      </w:r>
      <w:r>
        <w:t xml:space="preserve"> or there is </w:t>
      </w:r>
      <w:r w:rsidR="000E3E01" w:rsidRPr="00C36AF9">
        <w:t>a</w:t>
      </w:r>
      <w:r>
        <w:t xml:space="preserve"> change in a role</w:t>
      </w:r>
      <w:r w:rsidRPr="00057BCF">
        <w:t xml:space="preserve"> </w:t>
      </w:r>
      <w:r w:rsidR="000E3E01" w:rsidRPr="00C36AF9">
        <w:t>that affects staffing allocations as provided for under a section 12 determination</w:t>
      </w:r>
      <w:r>
        <w:t xml:space="preserve">, this would constitute a reduction in the personal staff allocation, and </w:t>
      </w:r>
      <w:r w:rsidR="000E3E01">
        <w:t>all</w:t>
      </w:r>
      <w:r>
        <w:t xml:space="preserve"> </w:t>
      </w:r>
      <w:r w:rsidR="004460EA">
        <w:t xml:space="preserve">personal </w:t>
      </w:r>
      <w:r>
        <w:t>staff would be automatically terminated.</w:t>
      </w:r>
    </w:p>
    <w:p w14:paraId="1503FEBF" w14:textId="46224392" w:rsidR="00117317" w:rsidRPr="00E92D41" w:rsidRDefault="009033E9" w:rsidP="00117317">
      <w:r>
        <w:t xml:space="preserve">The </w:t>
      </w:r>
      <w:r w:rsidR="00117317" w:rsidRPr="00E92D41">
        <w:t xml:space="preserve">Review </w:t>
      </w:r>
      <w:r>
        <w:t>heard from contributors</w:t>
      </w:r>
      <w:r w:rsidR="00117317" w:rsidRPr="00E92D41">
        <w:t xml:space="preserve"> how, </w:t>
      </w:r>
      <w:r>
        <w:t>when</w:t>
      </w:r>
      <w:r w:rsidR="00117317" w:rsidRPr="00E92D41">
        <w:t xml:space="preserve"> a section 12 determination was revoked, there was </w:t>
      </w:r>
      <w:r w:rsidR="004F7D9E">
        <w:t>considerable</w:t>
      </w:r>
      <w:r w:rsidR="00117317" w:rsidRPr="00E92D41">
        <w:t xml:space="preserve"> confusion </w:t>
      </w:r>
      <w:r>
        <w:t>about</w:t>
      </w:r>
      <w:r w:rsidR="00117317" w:rsidRPr="00E92D41">
        <w:t xml:space="preserve"> the employer’s responsibilities and duties, and the rights of employees. Parliamentarians </w:t>
      </w:r>
      <w:r w:rsidR="006F2001">
        <w:t>are</w:t>
      </w:r>
      <w:r w:rsidR="00117317" w:rsidRPr="00E92D41">
        <w:t xml:space="preserve"> compelled to terminate </w:t>
      </w:r>
      <w:r w:rsidR="00493D9D">
        <w:t>employees</w:t>
      </w:r>
      <w:r w:rsidR="00117317" w:rsidRPr="00E92D41">
        <w:t xml:space="preserve"> themselves rather than have them automatically terminated, which created significant anxiety and confusion for both parties.</w:t>
      </w:r>
    </w:p>
    <w:p w14:paraId="5550909F" w14:textId="20F972B1" w:rsidR="00117317" w:rsidRPr="00E92D41" w:rsidRDefault="00117317" w:rsidP="00117317">
      <w:r w:rsidRPr="00E92D41">
        <w:t>There are a number of positive aspects to th</w:t>
      </w:r>
      <w:r w:rsidR="009C7265">
        <w:t>e</w:t>
      </w:r>
      <w:r w:rsidRPr="00E92D41">
        <w:t xml:space="preserve"> proposal</w:t>
      </w:r>
      <w:r w:rsidR="009C7265">
        <w:t xml:space="preserve"> to introduce a new automatic termination trigger enlivened when section 12 determinations are revoked. The</w:t>
      </w:r>
      <w:r w:rsidRPr="00E92D41">
        <w:t xml:space="preserve"> primary </w:t>
      </w:r>
      <w:r w:rsidR="009C7265">
        <w:t xml:space="preserve">benefit is </w:t>
      </w:r>
      <w:r w:rsidRPr="00E92D41">
        <w:t xml:space="preserve">that </w:t>
      </w:r>
      <w:r w:rsidR="00053ED6">
        <w:t xml:space="preserve">this </w:t>
      </w:r>
      <w:r w:rsidRPr="00E92D41">
        <w:t>reflect</w:t>
      </w:r>
      <w:r w:rsidR="009C7265">
        <w:t>s</w:t>
      </w:r>
      <w:r w:rsidRPr="00E92D41">
        <w:t xml:space="preserve"> the fact that the parliamentarian’s ability to hire </w:t>
      </w:r>
      <w:r w:rsidR="0064622F">
        <w:t xml:space="preserve">and retain </w:t>
      </w:r>
      <w:r w:rsidR="00493D9D">
        <w:t>employees</w:t>
      </w:r>
      <w:r w:rsidRPr="00E92D41">
        <w:t xml:space="preserve"> (particularly personal staff) is ultimately subject to their staffing allocation. Other benefits of this approach include:</w:t>
      </w:r>
    </w:p>
    <w:p w14:paraId="0EC8F630" w14:textId="77777777" w:rsidR="00117317" w:rsidRDefault="00246B3F" w:rsidP="00DC13DA">
      <w:pPr>
        <w:pStyle w:val="BulletedList-Level1"/>
      </w:pPr>
      <w:r>
        <w:t>e</w:t>
      </w:r>
      <w:r w:rsidR="00117317" w:rsidRPr="00E92D41">
        <w:t xml:space="preserve">nsuring </w:t>
      </w:r>
      <w:r w:rsidR="00117317">
        <w:t xml:space="preserve">that employees affected by this scenario would not be in a legal ‘limbo’ where they are uncertain of their rights and entitlements, and employers are not forced to terminate </w:t>
      </w:r>
      <w:r w:rsidR="00493D9D">
        <w:t xml:space="preserve">employment </w:t>
      </w:r>
      <w:r w:rsidR="00117317">
        <w:t>themselves</w:t>
      </w:r>
    </w:p>
    <w:p w14:paraId="4E993B6B" w14:textId="6DC0A16F" w:rsidR="00246B3F" w:rsidRDefault="00246B3F" w:rsidP="00DC13DA">
      <w:pPr>
        <w:pStyle w:val="BulletedList-Level1"/>
      </w:pPr>
      <w:r>
        <w:t>ensuring that affected employees qualify for severance benefits, which are currently not available if they are terminated by the employer under sections 16(3) or 23(2) of the Act</w:t>
      </w:r>
    </w:p>
    <w:p w14:paraId="6789699C" w14:textId="36F0D26E" w:rsidR="004460EA" w:rsidRDefault="00053ED6" w:rsidP="00DC13DA">
      <w:pPr>
        <w:pStyle w:val="BulletedList-Level1"/>
      </w:pPr>
      <w:r>
        <w:t xml:space="preserve">equal treatment of </w:t>
      </w:r>
      <w:r w:rsidR="004460EA">
        <w:t xml:space="preserve">all personal staff in relevant automatic termination events, rather than the parliamentarian having to </w:t>
      </w:r>
      <w:r>
        <w:t xml:space="preserve">single out </w:t>
      </w:r>
      <w:r w:rsidR="004460EA">
        <w:t xml:space="preserve">one or more </w:t>
      </w:r>
      <w:r w:rsidR="00493D9D">
        <w:t>employees</w:t>
      </w:r>
      <w:r>
        <w:t xml:space="preserve"> for dismissal</w:t>
      </w:r>
    </w:p>
    <w:p w14:paraId="1DA57B89" w14:textId="66E3D81E" w:rsidR="004460EA" w:rsidRDefault="009033E9" w:rsidP="00DC13DA">
      <w:pPr>
        <w:pStyle w:val="BulletedList-Level1"/>
      </w:pPr>
      <w:r>
        <w:t>i</w:t>
      </w:r>
      <w:r w:rsidR="00E4089C">
        <w:t xml:space="preserve">mproving clarity </w:t>
      </w:r>
      <w:r w:rsidR="00E11F9C">
        <w:t>in</w:t>
      </w:r>
      <w:r w:rsidR="00E4089C">
        <w:t xml:space="preserve"> situations where section 12 determinations are revoked and/or revised, which is a relatively common occurrence and should be considered as a predictable trigger</w:t>
      </w:r>
      <w:r w:rsidR="00246B3F">
        <w:t>.</w:t>
      </w:r>
    </w:p>
    <w:p w14:paraId="708105E4" w14:textId="2DFA25FF" w:rsidR="00E4089C" w:rsidRDefault="00E6303C" w:rsidP="0055271A">
      <w:r>
        <w:t>The Review</w:t>
      </w:r>
      <w:r w:rsidR="009033E9">
        <w:t xml:space="preserve"> </w:t>
      </w:r>
      <w:r w:rsidR="005E157A">
        <w:t>acknowledge</w:t>
      </w:r>
      <w:r>
        <w:t>s</w:t>
      </w:r>
      <w:r w:rsidR="005E157A">
        <w:t xml:space="preserve"> </w:t>
      </w:r>
      <w:r w:rsidR="0058101F">
        <w:t>adding</w:t>
      </w:r>
      <w:r w:rsidR="005E157A">
        <w:t xml:space="preserve"> automatic termination triggers might seem counter to the </w:t>
      </w:r>
      <w:r>
        <w:t xml:space="preserve">aims </w:t>
      </w:r>
      <w:r w:rsidR="005E157A">
        <w:t>of the Review</w:t>
      </w:r>
      <w:r>
        <w:t>. However,</w:t>
      </w:r>
      <w:r w:rsidR="005E157A">
        <w:t xml:space="preserve"> </w:t>
      </w:r>
      <w:r w:rsidR="00E4089C">
        <w:t xml:space="preserve">the </w:t>
      </w:r>
      <w:r w:rsidR="009033E9">
        <w:t xml:space="preserve">Review considers </w:t>
      </w:r>
      <w:r w:rsidR="005E157A">
        <w:t>th</w:t>
      </w:r>
      <w:r>
        <w:t>ese</w:t>
      </w:r>
      <w:r w:rsidR="005E157A">
        <w:t xml:space="preserve"> </w:t>
      </w:r>
      <w:r>
        <w:t>changes</w:t>
      </w:r>
      <w:r w:rsidR="005E157A">
        <w:t xml:space="preserve"> result in better outcome</w:t>
      </w:r>
      <w:r w:rsidR="009033E9">
        <w:t>s</w:t>
      </w:r>
      <w:r w:rsidR="005E157A">
        <w:t xml:space="preserve"> for individual</w:t>
      </w:r>
      <w:r w:rsidR="009033E9">
        <w:t>s</w:t>
      </w:r>
      <w:r w:rsidR="005E157A">
        <w:t xml:space="preserve"> where termination is inevitable</w:t>
      </w:r>
      <w:r w:rsidR="00E4089C">
        <w:t>.</w:t>
      </w:r>
    </w:p>
    <w:p w14:paraId="39308E56" w14:textId="77777777" w:rsidR="00C07AB5" w:rsidRDefault="00C07AB5" w:rsidP="00DC13DA"/>
    <w:p w14:paraId="4B7C9D11" w14:textId="18118350" w:rsidR="00117317" w:rsidRPr="00DC13DA" w:rsidRDefault="00D65C66" w:rsidP="00051BDA">
      <w:pPr>
        <w:pStyle w:val="Heading4"/>
      </w:pPr>
      <w:r>
        <w:t xml:space="preserve">Amend automatic termination for </w:t>
      </w:r>
      <w:r w:rsidR="00867FD3">
        <w:t>electorate s</w:t>
      </w:r>
      <w:r>
        <w:t>taff currently under Part III of the Act</w:t>
      </w:r>
    </w:p>
    <w:p w14:paraId="06A28187" w14:textId="24F14264" w:rsidR="00D65C66" w:rsidRDefault="00D65C66" w:rsidP="00117317">
      <w:r>
        <w:t xml:space="preserve">With electorate officers becoming a new category of employee in a combined Part III and Part IV (see Recommendation </w:t>
      </w:r>
      <w:r w:rsidR="00C07AB5">
        <w:t>1</w:t>
      </w:r>
      <w:r>
        <w:t>)</w:t>
      </w:r>
      <w:r w:rsidR="000E3E01">
        <w:t>,</w:t>
      </w:r>
      <w:r w:rsidR="00117317">
        <w:t xml:space="preserve"> </w:t>
      </w:r>
      <w:r>
        <w:t xml:space="preserve">there is an opportunity to remove unnecessary automatic termination triggers. Currently, an </w:t>
      </w:r>
      <w:r w:rsidR="0003083A">
        <w:t>e</w:t>
      </w:r>
      <w:r w:rsidRPr="002B78CD">
        <w:t xml:space="preserve">lectorate </w:t>
      </w:r>
      <w:r w:rsidR="0003083A">
        <w:t>o</w:t>
      </w:r>
      <w:r>
        <w:t xml:space="preserve">fficer of a </w:t>
      </w:r>
      <w:r w:rsidR="0003083A">
        <w:t>m</w:t>
      </w:r>
      <w:r>
        <w:t xml:space="preserve">inister </w:t>
      </w:r>
      <w:r w:rsidRPr="002B78CD">
        <w:t xml:space="preserve">or </w:t>
      </w:r>
      <w:r w:rsidR="003B182F" w:rsidRPr="002B78CD">
        <w:t xml:space="preserve">an Opposition </w:t>
      </w:r>
      <w:r w:rsidR="0003083A">
        <w:t>o</w:t>
      </w:r>
      <w:r w:rsidR="003B182F" w:rsidRPr="002B78CD">
        <w:t>ffice</w:t>
      </w:r>
      <w:r w:rsidR="0003083A">
        <w:t>-h</w:t>
      </w:r>
      <w:r w:rsidR="003B182F" w:rsidRPr="002B78CD">
        <w:t>older</w:t>
      </w:r>
      <w:r>
        <w:t xml:space="preserve"> is employed under Part III of the Act, meaning that they are automatically terminated when the personal staff in the office are terminated</w:t>
      </w:r>
      <w:r w:rsidR="00F32DB1" w:rsidRPr="00C36AF9">
        <w:t xml:space="preserve"> in certain situations (</w:t>
      </w:r>
      <w:r w:rsidR="002B78CD">
        <w:t xml:space="preserve">see </w:t>
      </w:r>
      <w:r w:rsidR="001F539B">
        <w:t>Section 6.5.1)</w:t>
      </w:r>
      <w:r w:rsidRPr="002B78CD">
        <w:t>.</w:t>
      </w:r>
      <w:r>
        <w:t xml:space="preserve"> </w:t>
      </w:r>
      <w:r w:rsidR="00952007">
        <w:t>T</w:t>
      </w:r>
      <w:r>
        <w:t xml:space="preserve">here are many cases where there is no rationale for this. For example, where a </w:t>
      </w:r>
      <w:r w:rsidR="00E97E3F">
        <w:t>m</w:t>
      </w:r>
      <w:r>
        <w:t xml:space="preserve">inister changes portfolio there is logic in a </w:t>
      </w:r>
      <w:r w:rsidR="00E97E3F">
        <w:t>m</w:t>
      </w:r>
      <w:r>
        <w:t>inister needing to consider a change in their personal staff who support them in their portfolio, but there is no logical reason for the electorate staff to be terminated</w:t>
      </w:r>
      <w:r w:rsidR="00A16924">
        <w:t xml:space="preserve"> as their role is unlikely to change</w:t>
      </w:r>
      <w:r>
        <w:t>.</w:t>
      </w:r>
    </w:p>
    <w:p w14:paraId="234FBE2F" w14:textId="68774704" w:rsidR="00117317" w:rsidRDefault="00D65C66" w:rsidP="00117317">
      <w:r>
        <w:t xml:space="preserve">We </w:t>
      </w:r>
      <w:r w:rsidR="00A16924">
        <w:t>consider</w:t>
      </w:r>
      <w:r>
        <w:t xml:space="preserve"> there is merit in retaining a</w:t>
      </w:r>
      <w:r w:rsidR="00117317">
        <w:t xml:space="preserve"> termination trigger </w:t>
      </w:r>
      <w:r w:rsidR="00A16924">
        <w:t>for</w:t>
      </w:r>
      <w:r w:rsidR="00117317">
        <w:t xml:space="preserve"> electorate office staff in situations where their employing parliamentarian has their personal staffing allocation reduced to zero (i.e. the parliamentarian no longer has a personal staffing allocation). This would address situations where a personal staffing allocation is </w:t>
      </w:r>
      <w:r w:rsidR="00C1371A">
        <w:t>revoked</w:t>
      </w:r>
      <w:r w:rsidR="00661AE6">
        <w:t xml:space="preserve"> </w:t>
      </w:r>
      <w:r w:rsidR="00117317">
        <w:t xml:space="preserve">but the parliamentarian wishes to retain </w:t>
      </w:r>
      <w:r>
        <w:t>one or more</w:t>
      </w:r>
      <w:r w:rsidR="00117317">
        <w:t xml:space="preserve"> terminated personal staff as an electorate officer. </w:t>
      </w:r>
      <w:r w:rsidR="00117317" w:rsidRPr="00FB14FF">
        <w:t>This allow</w:t>
      </w:r>
      <w:r w:rsidR="004C7786">
        <w:t>s</w:t>
      </w:r>
      <w:r w:rsidR="00117317" w:rsidRPr="00FB14FF">
        <w:t xml:space="preserve"> the parliamentarian to retain the option of re</w:t>
      </w:r>
      <w:r w:rsidR="00A16924">
        <w:noBreakHyphen/>
      </w:r>
      <w:r w:rsidR="00117317" w:rsidRPr="00FB14FF">
        <w:t>engaging former personal staff in an electorate officer role, but remove unnecessary job insecurity for electorate staff in all other instances</w:t>
      </w:r>
      <w:r w:rsidR="00117317">
        <w:t>.</w:t>
      </w:r>
    </w:p>
    <w:p w14:paraId="3D01E8C3" w14:textId="66D99A73" w:rsidR="00117317" w:rsidRDefault="00117317" w:rsidP="000136FD">
      <w:pPr>
        <w:pStyle w:val="BOXHeading2"/>
      </w:pPr>
      <w:bookmarkStart w:id="7184" w:name="_Toc115343875"/>
      <w:bookmarkStart w:id="7185" w:name="_Toc115348313"/>
      <w:bookmarkStart w:id="7186" w:name="_Toc114230911"/>
      <w:bookmarkStart w:id="7187" w:name="_Toc114233616"/>
      <w:bookmarkStart w:id="7188" w:name="_Toc114233688"/>
      <w:bookmarkStart w:id="7189" w:name="_Toc114240645"/>
      <w:bookmarkStart w:id="7190" w:name="_Toc114240719"/>
      <w:bookmarkStart w:id="7191" w:name="_Toc114241063"/>
      <w:bookmarkStart w:id="7192" w:name="_Toc114494087"/>
      <w:bookmarkStart w:id="7193" w:name="_Toc114500338"/>
      <w:bookmarkStart w:id="7194" w:name="_Toc114500413"/>
      <w:bookmarkStart w:id="7195" w:name="_Toc114518686"/>
      <w:bookmarkStart w:id="7196" w:name="_Toc114520358"/>
      <w:bookmarkStart w:id="7197" w:name="_Toc114520767"/>
      <w:bookmarkStart w:id="7198" w:name="_Toc114565795"/>
      <w:bookmarkStart w:id="7199" w:name="_Toc114566776"/>
      <w:bookmarkStart w:id="7200" w:name="_Toc114567001"/>
      <w:bookmarkStart w:id="7201" w:name="_Toc114566925"/>
      <w:bookmarkStart w:id="7202" w:name="_Toc114585923"/>
      <w:bookmarkStart w:id="7203" w:name="_Toc114586067"/>
      <w:bookmarkStart w:id="7204" w:name="_Toc114586139"/>
      <w:bookmarkStart w:id="7205" w:name="_Toc114601279"/>
      <w:bookmarkStart w:id="7206" w:name="_Toc114657320"/>
      <w:bookmarkStart w:id="7207" w:name="_Toc114659782"/>
      <w:bookmarkStart w:id="7208" w:name="_Toc114662767"/>
      <w:bookmarkStart w:id="7209" w:name="_Toc114665150"/>
      <w:bookmarkStart w:id="7210" w:name="_Toc114672458"/>
      <w:bookmarkStart w:id="7211" w:name="_Toc114672671"/>
      <w:bookmarkStart w:id="7212" w:name="_Toc114673226"/>
      <w:bookmarkStart w:id="7213" w:name="_Toc114673812"/>
      <w:bookmarkStart w:id="7214" w:name="_Toc114674337"/>
      <w:bookmarkStart w:id="7215" w:name="_Toc114687510"/>
      <w:bookmarkStart w:id="7216" w:name="_Toc114689974"/>
      <w:bookmarkStart w:id="7217" w:name="_Toc114731837"/>
      <w:bookmarkStart w:id="7218" w:name="_Toc114733602"/>
      <w:bookmarkStart w:id="7219" w:name="_Toc114735543"/>
      <w:bookmarkStart w:id="7220" w:name="_Toc114755870"/>
      <w:bookmarkStart w:id="7221" w:name="_Toc114757175"/>
      <w:bookmarkStart w:id="7222" w:name="_Toc114757459"/>
      <w:bookmarkStart w:id="7223" w:name="_Toc114757561"/>
      <w:bookmarkStart w:id="7224" w:name="_Toc114758234"/>
      <w:bookmarkStart w:id="7225" w:name="_Toc114824404"/>
      <w:bookmarkStart w:id="7226" w:name="_Toc114829480"/>
      <w:bookmarkStart w:id="7227" w:name="_Toc114829844"/>
      <w:bookmarkStart w:id="7228" w:name="_Toc114829988"/>
      <w:bookmarkStart w:id="7229" w:name="_Toc115099067"/>
      <w:bookmarkStart w:id="7230" w:name="_Toc115099139"/>
      <w:bookmarkStart w:id="7231" w:name="_Toc115101716"/>
      <w:bookmarkStart w:id="7232" w:name="_Toc115102561"/>
      <w:bookmarkStart w:id="7233" w:name="_Toc115105534"/>
      <w:bookmarkStart w:id="7234" w:name="_Toc115110395"/>
      <w:bookmarkStart w:id="7235" w:name="_Toc115110522"/>
      <w:bookmarkStart w:id="7236" w:name="_Toc115121640"/>
      <w:bookmarkStart w:id="7237" w:name="_Toc115122010"/>
      <w:bookmarkStart w:id="7238" w:name="_Toc115123490"/>
      <w:bookmarkStart w:id="7239" w:name="_Toc115123738"/>
      <w:bookmarkStart w:id="7240" w:name="_Toc115126870"/>
      <w:bookmarkStart w:id="7241" w:name="_Toc115185504"/>
      <w:bookmarkStart w:id="7242" w:name="_Toc115186131"/>
      <w:bookmarkStart w:id="7243" w:name="_Toc115189289"/>
      <w:bookmarkStart w:id="7244" w:name="_Toc115194262"/>
      <w:bookmarkStart w:id="7245" w:name="_Toc115194999"/>
      <w:bookmarkStart w:id="7246" w:name="_Toc115196409"/>
      <w:bookmarkStart w:id="7247" w:name="_Toc115198910"/>
      <w:bookmarkStart w:id="7248" w:name="_Toc115208925"/>
      <w:bookmarkStart w:id="7249" w:name="_Toc115209061"/>
      <w:bookmarkStart w:id="7250" w:name="_Toc115210392"/>
      <w:bookmarkStart w:id="7251" w:name="_Toc115212617"/>
      <w:bookmarkStart w:id="7252" w:name="_Toc115213257"/>
      <w:bookmarkStart w:id="7253" w:name="_Toc115216755"/>
      <w:bookmarkStart w:id="7254" w:name="_Toc115270446"/>
      <w:bookmarkStart w:id="7255" w:name="_Toc115271389"/>
      <w:bookmarkStart w:id="7256" w:name="_Toc115272306"/>
      <w:bookmarkStart w:id="7257" w:name="_Toc115273476"/>
      <w:bookmarkStart w:id="7258" w:name="_Toc115273404"/>
      <w:bookmarkStart w:id="7259" w:name="_Toc115274306"/>
      <w:bookmarkStart w:id="7260" w:name="_Toc115274657"/>
      <w:bookmarkStart w:id="7261" w:name="_Toc115274883"/>
      <w:bookmarkStart w:id="7262" w:name="_Toc115275240"/>
      <w:bookmarkStart w:id="7263" w:name="_Toc115275383"/>
      <w:bookmarkStart w:id="7264" w:name="_Toc115274220"/>
      <w:bookmarkStart w:id="7265" w:name="_Toc115274521"/>
      <w:bookmarkStart w:id="7266" w:name="_Toc115274589"/>
      <w:bookmarkStart w:id="7267" w:name="_Toc115274747"/>
      <w:bookmarkStart w:id="7268" w:name="_Toc115277481"/>
      <w:bookmarkStart w:id="7269" w:name="_Toc115277685"/>
      <w:bookmarkStart w:id="7270" w:name="_Toc115278574"/>
      <w:bookmarkStart w:id="7271" w:name="_Toc115278654"/>
      <w:bookmarkStart w:id="7272" w:name="_Toc115282324"/>
      <w:bookmarkStart w:id="7273" w:name="_Toc115284777"/>
      <w:bookmarkStart w:id="7274" w:name="_Toc115286869"/>
      <w:bookmarkStart w:id="7275" w:name="_Toc115294803"/>
      <w:bookmarkStart w:id="7276" w:name="_Toc115296383"/>
      <w:bookmarkStart w:id="7277" w:name="_Toc115308569"/>
      <w:bookmarkStart w:id="7278" w:name="_Toc115311221"/>
      <w:bookmarkStart w:id="7279" w:name="_Toc115312701"/>
      <w:bookmarkStart w:id="7280" w:name="_Toc115350411"/>
      <w:bookmarkStart w:id="7281" w:name="_Toc115353499"/>
      <w:bookmarkStart w:id="7282" w:name="_Toc115359530"/>
      <w:bookmarkStart w:id="7283" w:name="_Toc115361934"/>
      <w:bookmarkStart w:id="7284" w:name="_Toc115364327"/>
      <w:bookmarkStart w:id="7285" w:name="_Toc115365421"/>
      <w:bookmarkStart w:id="7286" w:name="_Toc115365761"/>
      <w:bookmarkStart w:id="7287" w:name="_Toc115366225"/>
      <w:bookmarkStart w:id="7288" w:name="_Toc115368675"/>
      <w:bookmarkStart w:id="7289" w:name="_Toc115370115"/>
      <w:bookmarkStart w:id="7290" w:name="_Toc115370849"/>
      <w:bookmarkStart w:id="7291" w:name="_Toc115374421"/>
      <w:bookmarkStart w:id="7292" w:name="_Toc115378760"/>
      <w:bookmarkStart w:id="7293" w:name="_Toc115380992"/>
      <w:bookmarkStart w:id="7294" w:name="_Toc115384144"/>
      <w:bookmarkStart w:id="7295" w:name="_Toc115387373"/>
      <w:bookmarkStart w:id="7296" w:name="_Toc115388839"/>
      <w:bookmarkStart w:id="7297" w:name="_Toc115431477"/>
      <w:bookmarkStart w:id="7298" w:name="_Toc115432855"/>
      <w:bookmarkStart w:id="7299" w:name="_Toc115434426"/>
      <w:bookmarkStart w:id="7300" w:name="_Toc115434525"/>
      <w:bookmarkStart w:id="7301" w:name="_Toc115434594"/>
      <w:bookmarkStart w:id="7302" w:name="_Toc115434663"/>
      <w:bookmarkStart w:id="7303" w:name="_Toc115442830"/>
      <w:bookmarkStart w:id="7304" w:name="_Toc115446366"/>
      <w:bookmarkStart w:id="7305" w:name="_Toc115448073"/>
      <w:bookmarkStart w:id="7306" w:name="_Toc115449465"/>
      <w:bookmarkStart w:id="7307" w:name="_Toc115452485"/>
      <w:bookmarkStart w:id="7308" w:name="_Toc115455302"/>
      <w:bookmarkStart w:id="7309" w:name="_Toc115455368"/>
      <w:bookmarkStart w:id="7310" w:name="_Toc115457318"/>
      <w:bookmarkStart w:id="7311" w:name="_Toc115458154"/>
      <w:bookmarkStart w:id="7312" w:name="_Toc115948182"/>
      <w:bookmarkStart w:id="7313" w:name="_Toc115948629"/>
      <w:bookmarkStart w:id="7314" w:name="_Toc109643424"/>
      <w:r>
        <w:t>R</w:t>
      </w:r>
      <w:bookmarkEnd w:id="7184"/>
      <w:bookmarkEnd w:id="7185"/>
      <w:r>
        <w:t xml:space="preserve">ecommendation </w:t>
      </w:r>
      <w:r w:rsidRPr="007A5216">
        <w:t>1</w:t>
      </w:r>
      <w:r w:rsidR="00BE43C9">
        <w:t>4</w:t>
      </w:r>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r w:rsidR="00315C0C">
        <w:t xml:space="preserve"> – Automatic termination provisions</w:t>
      </w:r>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p>
    <w:p w14:paraId="0D4B591C" w14:textId="77777777" w:rsidR="000136FD" w:rsidRDefault="000136FD" w:rsidP="000136FD">
      <w:pPr>
        <w:pStyle w:val="BOXText"/>
      </w:pPr>
      <w:r>
        <w:t xml:space="preserve">The automatic terminations provisions in the MoP(S) Act should be amended to improve job security and increase clarity for staff by: </w:t>
      </w:r>
    </w:p>
    <w:p w14:paraId="0D0C8ABE" w14:textId="77777777" w:rsidR="000136FD" w:rsidRDefault="000136FD" w:rsidP="0001101F">
      <w:pPr>
        <w:pStyle w:val="BOXText"/>
        <w:numPr>
          <w:ilvl w:val="0"/>
          <w:numId w:val="34"/>
        </w:numPr>
      </w:pPr>
      <w:r>
        <w:t>retaining the existing high level automatic terminations triggers, but allowing for determinations to clarify specific circumstances</w:t>
      </w:r>
    </w:p>
    <w:p w14:paraId="0EC78AC5" w14:textId="77777777" w:rsidR="000136FD" w:rsidRPr="00136BEE" w:rsidRDefault="000136FD" w:rsidP="0001101F">
      <w:pPr>
        <w:pStyle w:val="BOXText"/>
        <w:numPr>
          <w:ilvl w:val="0"/>
          <w:numId w:val="34"/>
        </w:numPr>
      </w:pPr>
      <w:r w:rsidRPr="00136BEE">
        <w:t>provid</w:t>
      </w:r>
      <w:r>
        <w:t>ing</w:t>
      </w:r>
      <w:r w:rsidRPr="00136BEE">
        <w:t xml:space="preserve"> that automatic termination provisions for electorate staff</w:t>
      </w:r>
      <w:r w:rsidRPr="00136BEE" w:rsidDel="00E42466">
        <w:t xml:space="preserve"> </w:t>
      </w:r>
      <w:r>
        <w:t xml:space="preserve">employed under Part III </w:t>
      </w:r>
      <w:r w:rsidRPr="00136BEE">
        <w:t>only apply where the employing parliamentarian ceases to have a personal staffing allocation.</w:t>
      </w:r>
    </w:p>
    <w:p w14:paraId="17A55CBE" w14:textId="77777777" w:rsidR="008A58F5" w:rsidRDefault="008A58F5" w:rsidP="008A58F5"/>
    <w:p w14:paraId="3DE3AE01" w14:textId="77777777" w:rsidR="0055702B" w:rsidRPr="00944569" w:rsidRDefault="0055702B" w:rsidP="0055702B">
      <w:pPr>
        <w:pStyle w:val="Heading2"/>
      </w:pPr>
      <w:bookmarkStart w:id="7315" w:name="_Toc114755871"/>
      <w:bookmarkStart w:id="7316" w:name="_Toc114757176"/>
      <w:bookmarkStart w:id="7317" w:name="_Toc114757460"/>
      <w:bookmarkStart w:id="7318" w:name="_Toc114757562"/>
      <w:bookmarkStart w:id="7319" w:name="_Toc114758235"/>
      <w:bookmarkStart w:id="7320" w:name="_Toc114824405"/>
      <w:bookmarkStart w:id="7321" w:name="_Toc114829481"/>
      <w:bookmarkStart w:id="7322" w:name="_Toc114829845"/>
      <w:bookmarkStart w:id="7323" w:name="_Toc114829989"/>
      <w:bookmarkStart w:id="7324" w:name="_Toc115099068"/>
      <w:bookmarkStart w:id="7325" w:name="_Toc115099140"/>
      <w:bookmarkStart w:id="7326" w:name="_Toc115101717"/>
      <w:bookmarkStart w:id="7327" w:name="_Toc115102562"/>
      <w:bookmarkStart w:id="7328" w:name="_Toc115105535"/>
      <w:bookmarkStart w:id="7329" w:name="_Toc115110396"/>
      <w:bookmarkStart w:id="7330" w:name="_Toc115110523"/>
      <w:bookmarkStart w:id="7331" w:name="_Toc115121641"/>
      <w:bookmarkStart w:id="7332" w:name="_Toc115122011"/>
      <w:bookmarkStart w:id="7333" w:name="_Toc115123491"/>
      <w:bookmarkStart w:id="7334" w:name="_Toc115123739"/>
      <w:bookmarkStart w:id="7335" w:name="_Toc115126871"/>
      <w:bookmarkStart w:id="7336" w:name="_Toc115185505"/>
      <w:bookmarkStart w:id="7337" w:name="_Toc115186132"/>
      <w:bookmarkStart w:id="7338" w:name="_Toc115189290"/>
      <w:bookmarkStart w:id="7339" w:name="_Toc115194263"/>
      <w:bookmarkStart w:id="7340" w:name="_Toc115195000"/>
      <w:bookmarkStart w:id="7341" w:name="_Toc115196410"/>
      <w:bookmarkStart w:id="7342" w:name="_Toc115198911"/>
      <w:bookmarkStart w:id="7343" w:name="_Toc115208926"/>
      <w:bookmarkStart w:id="7344" w:name="_Toc115209062"/>
      <w:bookmarkStart w:id="7345" w:name="_Toc115210393"/>
      <w:bookmarkStart w:id="7346" w:name="_Toc115212618"/>
      <w:bookmarkStart w:id="7347" w:name="_Toc115213258"/>
      <w:bookmarkStart w:id="7348" w:name="_Toc115216756"/>
      <w:bookmarkStart w:id="7349" w:name="_Toc115270447"/>
      <w:bookmarkStart w:id="7350" w:name="_Toc115271390"/>
      <w:bookmarkStart w:id="7351" w:name="_Toc115272307"/>
      <w:bookmarkStart w:id="7352" w:name="_Toc115273477"/>
      <w:bookmarkStart w:id="7353" w:name="_Toc115273405"/>
      <w:bookmarkStart w:id="7354" w:name="_Toc115274307"/>
      <w:bookmarkStart w:id="7355" w:name="_Toc115274658"/>
      <w:bookmarkStart w:id="7356" w:name="_Toc115274884"/>
      <w:bookmarkStart w:id="7357" w:name="_Toc115275241"/>
      <w:bookmarkStart w:id="7358" w:name="_Toc115275384"/>
      <w:bookmarkStart w:id="7359" w:name="_Toc115274221"/>
      <w:bookmarkStart w:id="7360" w:name="_Toc115274522"/>
      <w:bookmarkStart w:id="7361" w:name="_Toc115274590"/>
      <w:bookmarkStart w:id="7362" w:name="_Toc115274748"/>
      <w:bookmarkStart w:id="7363" w:name="_Toc115277482"/>
      <w:bookmarkStart w:id="7364" w:name="_Toc115277686"/>
      <w:bookmarkStart w:id="7365" w:name="_Toc115278575"/>
      <w:bookmarkStart w:id="7366" w:name="_Toc115278655"/>
      <w:bookmarkStart w:id="7367" w:name="_Toc115282325"/>
      <w:bookmarkStart w:id="7368" w:name="_Toc115284778"/>
      <w:bookmarkStart w:id="7369" w:name="_Toc115286870"/>
      <w:bookmarkStart w:id="7370" w:name="_Toc115294804"/>
      <w:bookmarkStart w:id="7371" w:name="_Toc115296384"/>
      <w:bookmarkStart w:id="7372" w:name="_Toc115308570"/>
      <w:bookmarkStart w:id="7373" w:name="_Toc115311222"/>
      <w:bookmarkStart w:id="7374" w:name="_Toc115312702"/>
      <w:bookmarkStart w:id="7375" w:name="_Toc115343876"/>
      <w:bookmarkStart w:id="7376" w:name="_Toc115348314"/>
      <w:bookmarkStart w:id="7377" w:name="_Toc115350412"/>
      <w:bookmarkStart w:id="7378" w:name="_Toc115353500"/>
      <w:bookmarkStart w:id="7379" w:name="_Toc115359531"/>
      <w:bookmarkStart w:id="7380" w:name="_Toc115361935"/>
      <w:bookmarkStart w:id="7381" w:name="_Toc115364328"/>
      <w:bookmarkStart w:id="7382" w:name="_Toc115365422"/>
      <w:bookmarkStart w:id="7383" w:name="_Toc115365762"/>
      <w:bookmarkStart w:id="7384" w:name="_Toc115366226"/>
      <w:bookmarkStart w:id="7385" w:name="_Toc115368676"/>
      <w:bookmarkStart w:id="7386" w:name="_Toc115370116"/>
      <w:bookmarkStart w:id="7387" w:name="_Toc115370850"/>
      <w:bookmarkStart w:id="7388" w:name="_Toc115374422"/>
      <w:bookmarkStart w:id="7389" w:name="_Toc115378761"/>
      <w:bookmarkStart w:id="7390" w:name="_Toc115380993"/>
      <w:bookmarkStart w:id="7391" w:name="_Toc115384145"/>
      <w:bookmarkStart w:id="7392" w:name="_Toc115387374"/>
      <w:bookmarkStart w:id="7393" w:name="_Toc115388840"/>
      <w:bookmarkStart w:id="7394" w:name="_Toc115431478"/>
      <w:bookmarkStart w:id="7395" w:name="_Toc115432856"/>
      <w:bookmarkStart w:id="7396" w:name="_Toc115434427"/>
      <w:bookmarkStart w:id="7397" w:name="_Toc115434526"/>
      <w:bookmarkStart w:id="7398" w:name="_Toc115434595"/>
      <w:bookmarkStart w:id="7399" w:name="_Toc115434664"/>
      <w:bookmarkStart w:id="7400" w:name="_Toc115442831"/>
      <w:bookmarkStart w:id="7401" w:name="_Toc115446367"/>
      <w:bookmarkStart w:id="7402" w:name="_Toc115448074"/>
      <w:bookmarkStart w:id="7403" w:name="_Toc115449466"/>
      <w:bookmarkStart w:id="7404" w:name="_Toc115452486"/>
      <w:bookmarkStart w:id="7405" w:name="_Toc115455303"/>
      <w:bookmarkStart w:id="7406" w:name="_Toc115455369"/>
      <w:bookmarkStart w:id="7407" w:name="_Toc115457319"/>
      <w:bookmarkStart w:id="7408" w:name="_Toc115458155"/>
      <w:bookmarkStart w:id="7409" w:name="_Toc115948183"/>
      <w:bookmarkStart w:id="7410" w:name="_Toc115948630"/>
      <w:bookmarkStart w:id="7411" w:name="_Toc114230912"/>
      <w:bookmarkStart w:id="7412" w:name="_Toc114233617"/>
      <w:bookmarkStart w:id="7413" w:name="_Toc114233689"/>
      <w:bookmarkStart w:id="7414" w:name="_Toc114240646"/>
      <w:bookmarkStart w:id="7415" w:name="_Toc114240720"/>
      <w:bookmarkStart w:id="7416" w:name="_Toc114241064"/>
      <w:bookmarkStart w:id="7417" w:name="_Toc114494088"/>
      <w:bookmarkStart w:id="7418" w:name="_Toc114500339"/>
      <w:bookmarkStart w:id="7419" w:name="_Toc114500414"/>
      <w:bookmarkStart w:id="7420" w:name="_Toc114518687"/>
      <w:bookmarkStart w:id="7421" w:name="_Toc114520359"/>
      <w:bookmarkStart w:id="7422" w:name="_Toc114520768"/>
      <w:bookmarkStart w:id="7423" w:name="_Toc114565796"/>
      <w:bookmarkStart w:id="7424" w:name="_Toc114566777"/>
      <w:bookmarkStart w:id="7425" w:name="_Toc114567002"/>
      <w:bookmarkStart w:id="7426" w:name="_Toc114566926"/>
      <w:bookmarkStart w:id="7427" w:name="_Toc114585924"/>
      <w:bookmarkStart w:id="7428" w:name="_Toc114586068"/>
      <w:bookmarkStart w:id="7429" w:name="_Toc114586140"/>
      <w:bookmarkStart w:id="7430" w:name="_Toc114601280"/>
      <w:bookmarkStart w:id="7431" w:name="_Toc114657321"/>
      <w:bookmarkStart w:id="7432" w:name="_Toc114659783"/>
      <w:bookmarkStart w:id="7433" w:name="_Toc114662768"/>
      <w:bookmarkStart w:id="7434" w:name="_Toc114665151"/>
      <w:bookmarkStart w:id="7435" w:name="_Toc114672459"/>
      <w:bookmarkStart w:id="7436" w:name="_Toc114672672"/>
      <w:bookmarkStart w:id="7437" w:name="_Toc114673227"/>
      <w:bookmarkStart w:id="7438" w:name="_Toc114673813"/>
      <w:bookmarkStart w:id="7439" w:name="_Toc114674338"/>
      <w:bookmarkStart w:id="7440" w:name="_Toc114687511"/>
      <w:bookmarkStart w:id="7441" w:name="_Toc114689975"/>
      <w:bookmarkStart w:id="7442" w:name="_Toc114731838"/>
      <w:bookmarkStart w:id="7443" w:name="_Toc114733603"/>
      <w:bookmarkStart w:id="7444" w:name="_Toc114735544"/>
      <w:r w:rsidRPr="00944569">
        <w:t>6.</w:t>
      </w:r>
      <w:r>
        <w:t>6</w:t>
      </w:r>
      <w:r w:rsidRPr="00944569">
        <w:t xml:space="preserve"> Deferral periods</w:t>
      </w:r>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14:paraId="6297330E" w14:textId="7C7E171C" w:rsidR="0055702B" w:rsidRDefault="0055702B" w:rsidP="0055702B">
      <w:r>
        <w:t xml:space="preserve">A small </w:t>
      </w:r>
      <w:r w:rsidR="00F10C62">
        <w:t>number</w:t>
      </w:r>
      <w:r>
        <w:t xml:space="preserve"> of </w:t>
      </w:r>
      <w:r w:rsidR="00915D74">
        <w:t>R</w:t>
      </w:r>
      <w:r>
        <w:t xml:space="preserve">eview </w:t>
      </w:r>
      <w:r w:rsidR="00C55CD6">
        <w:t>contributor</w:t>
      </w:r>
      <w:r>
        <w:t xml:space="preserve">s raised concerns regarding the inconsistent application of deferral periods when </w:t>
      </w:r>
      <w:r w:rsidR="00493D9D">
        <w:t>the employment arrangement of MoP(S) Act employees</w:t>
      </w:r>
      <w:r>
        <w:t xml:space="preserve"> are automatically terminated.</w:t>
      </w:r>
    </w:p>
    <w:p w14:paraId="5D8E7FFE" w14:textId="77777777" w:rsidR="0055702B" w:rsidRDefault="0055702B" w:rsidP="00051BDA">
      <w:pPr>
        <w:pStyle w:val="Heading3"/>
      </w:pPr>
      <w:r>
        <w:t>6.6.1 Current situation</w:t>
      </w:r>
    </w:p>
    <w:p w14:paraId="3ED1204B" w14:textId="492C8112" w:rsidR="0055702B" w:rsidRDefault="0055702B" w:rsidP="0055702B">
      <w:r>
        <w:t>Under s</w:t>
      </w:r>
      <w:r w:rsidR="00C56575">
        <w:t>ubs</w:t>
      </w:r>
      <w:r>
        <w:t>ections 16(</w:t>
      </w:r>
      <w:r w:rsidR="00A16924">
        <w:t>5</w:t>
      </w:r>
      <w:r>
        <w:t xml:space="preserve">) and 23(4) of the MoP(S) Act, the Prime Minister (or delegate) has the capacity to impose a deferral period for employees terminated under </w:t>
      </w:r>
      <w:r w:rsidR="00AB5AD0">
        <w:t>those sections</w:t>
      </w:r>
      <w:r>
        <w:t xml:space="preserve">. This power operates to defer the termination until a specific date. Deferral periods are most commonly used in situations where automatic terminations apply, such as after an election or during reassignments of ministerial responsibilities. This </w:t>
      </w:r>
      <w:r w:rsidR="00C532C9">
        <w:t>practice assists in a range of situations</w:t>
      </w:r>
      <w:r>
        <w:t>:</w:t>
      </w:r>
    </w:p>
    <w:p w14:paraId="77D0C219" w14:textId="5BFF2AD9" w:rsidR="0055702B" w:rsidRDefault="00B66614" w:rsidP="0055702B">
      <w:pPr>
        <w:pStyle w:val="BulletedList-Level1"/>
      </w:pPr>
      <w:r>
        <w:t xml:space="preserve">where </w:t>
      </w:r>
      <w:r w:rsidR="0055702B">
        <w:t xml:space="preserve">a parliamentarian </w:t>
      </w:r>
      <w:r>
        <w:t>takes</w:t>
      </w:r>
      <w:r w:rsidR="0055702B">
        <w:t xml:space="preserve"> on new responsibilities (such as a new ministerial or parliamentary title) and their entire staff is automatically terminated, but </w:t>
      </w:r>
      <w:r w:rsidR="00063D24">
        <w:t>the parliamentarian</w:t>
      </w:r>
      <w:r w:rsidR="0055702B">
        <w:t xml:space="preserve"> intend</w:t>
      </w:r>
      <w:r w:rsidR="007B5BCE">
        <w:t>s</w:t>
      </w:r>
      <w:r w:rsidR="0055702B">
        <w:t xml:space="preserve"> to rehire some or all of the terminated </w:t>
      </w:r>
      <w:r w:rsidR="00493D9D">
        <w:t>employees</w:t>
      </w:r>
      <w:r w:rsidR="0055702B">
        <w:t xml:space="preserve"> as soon as practicable</w:t>
      </w:r>
    </w:p>
    <w:p w14:paraId="1EB325A8" w14:textId="10AA464B" w:rsidR="0055702B" w:rsidRDefault="00B66614" w:rsidP="0055702B">
      <w:pPr>
        <w:pStyle w:val="BulletedList-Level1"/>
      </w:pPr>
      <w:r>
        <w:t xml:space="preserve">where </w:t>
      </w:r>
      <w:r w:rsidR="0055702B">
        <w:t xml:space="preserve">a change of government occurs, and the new Government </w:t>
      </w:r>
      <w:r w:rsidR="00C532C9">
        <w:t>needs employees</w:t>
      </w:r>
      <w:r w:rsidR="0055702B" w:rsidDel="00C532C9">
        <w:t xml:space="preserve"> </w:t>
      </w:r>
      <w:r w:rsidR="0055702B">
        <w:t>immediately</w:t>
      </w:r>
    </w:p>
    <w:p w14:paraId="1040ECB6" w14:textId="7E2B7B25" w:rsidR="0055702B" w:rsidRDefault="00B66614" w:rsidP="0055702B">
      <w:pPr>
        <w:pStyle w:val="BulletedList-Level1"/>
      </w:pPr>
      <w:r>
        <w:t>to ensure</w:t>
      </w:r>
      <w:r w:rsidR="0055702B">
        <w:t xml:space="preserve"> employees that are intended to be re-employed do not experience a break in service.</w:t>
      </w:r>
    </w:p>
    <w:p w14:paraId="25C5B6CB" w14:textId="722E873F" w:rsidR="0055702B" w:rsidRDefault="0055702B" w:rsidP="0055702B">
      <w:r>
        <w:t xml:space="preserve">In practice, this </w:t>
      </w:r>
      <w:r w:rsidR="007B5BCE">
        <w:t xml:space="preserve">deferral </w:t>
      </w:r>
      <w:r>
        <w:t xml:space="preserve">power is generally exercised by the SMOS. A standing </w:t>
      </w:r>
      <w:r w:rsidR="00440102">
        <w:t>direction</w:t>
      </w:r>
      <w:r>
        <w:t xml:space="preserve"> applies a default period of between two and eight weeks</w:t>
      </w:r>
      <w:r w:rsidR="00C532C9">
        <w:t>, depending on the situation</w:t>
      </w:r>
      <w:r w:rsidR="007B5BCE">
        <w:t>.</w:t>
      </w:r>
      <w:r>
        <w:rPr>
          <w:rStyle w:val="FootnoteReference"/>
        </w:rPr>
        <w:footnoteReference w:id="357"/>
      </w:r>
      <w:r>
        <w:t xml:space="preserve"> The SMOS can also make separate ad hoc deferral directions for specific events, </w:t>
      </w:r>
      <w:r w:rsidR="00A2422C">
        <w:t>like</w:t>
      </w:r>
      <w:r>
        <w:t xml:space="preserve"> changes to ministerial portfolio responsibilities.</w:t>
      </w:r>
    </w:p>
    <w:p w14:paraId="2D0257D3" w14:textId="77777777" w:rsidR="0055702B" w:rsidRPr="004307BF" w:rsidRDefault="0055702B" w:rsidP="00051BDA">
      <w:pPr>
        <w:pStyle w:val="Heading4"/>
      </w:pPr>
      <w:r w:rsidRPr="004307BF">
        <w:t>What we heard</w:t>
      </w:r>
    </w:p>
    <w:p w14:paraId="4DEFF778" w14:textId="5022D58B" w:rsidR="0055702B" w:rsidRPr="00FA64B1" w:rsidRDefault="0055702B" w:rsidP="0055702B">
      <w:r>
        <w:t xml:space="preserve">The Review heard from </w:t>
      </w:r>
      <w:r w:rsidR="00A2422C">
        <w:t>some</w:t>
      </w:r>
      <w:r>
        <w:t xml:space="preserve"> </w:t>
      </w:r>
      <w:r w:rsidR="00C55CD6">
        <w:t>contributor</w:t>
      </w:r>
      <w:r>
        <w:t>s that deferral periods under the Act are inconsistently applied and are increasing in duration</w:t>
      </w:r>
      <w:r w:rsidR="00F10C62">
        <w:t>. No benefit appears to be derived from this increase.</w:t>
      </w:r>
    </w:p>
    <w:p w14:paraId="4497F25B" w14:textId="24A40529" w:rsidR="00A16924" w:rsidRDefault="0055702B" w:rsidP="0055702B">
      <w:r>
        <w:t xml:space="preserve">Finance advised the Review that the deferral period for </w:t>
      </w:r>
      <w:r w:rsidR="00014107">
        <w:t>MoP</w:t>
      </w:r>
      <w:r w:rsidR="001F77C1">
        <w:t>(S)</w:t>
      </w:r>
      <w:r>
        <w:t xml:space="preserve"> Act employees has significantly increased over the past ten years</w:t>
      </w:r>
      <w:r w:rsidR="003B210D">
        <w:t>.</w:t>
      </w:r>
      <w:r w:rsidRPr="004458CB">
        <w:rPr>
          <w:rStyle w:val="FootnoteReference"/>
        </w:rPr>
        <w:t xml:space="preserve"> </w:t>
      </w:r>
      <w:r w:rsidR="004458CB">
        <w:rPr>
          <w:rStyle w:val="FootnoteReference"/>
        </w:rPr>
        <w:footnoteReference w:id="358"/>
      </w:r>
      <w:r>
        <w:t xml:space="preserve"> </w:t>
      </w:r>
      <w:r w:rsidR="003B210D">
        <w:t>T</w:t>
      </w:r>
      <w:r>
        <w:t xml:space="preserve">raditionally </w:t>
      </w:r>
      <w:r w:rsidR="003B210D">
        <w:t>it was</w:t>
      </w:r>
      <w:r>
        <w:t xml:space="preserve"> two weeks</w:t>
      </w:r>
      <w:r w:rsidR="002B78CD">
        <w:t>, but now</w:t>
      </w:r>
      <w:r w:rsidR="00C532C9">
        <w:t xml:space="preserve"> is now currently</w:t>
      </w:r>
      <w:r>
        <w:t xml:space="preserve"> </w:t>
      </w:r>
      <w:r w:rsidR="002B78CD">
        <w:t>on average</w:t>
      </w:r>
      <w:r>
        <w:t xml:space="preserve"> </w:t>
      </w:r>
      <w:r w:rsidR="007B5BCE">
        <w:t xml:space="preserve">up </w:t>
      </w:r>
      <w:r>
        <w:t>to eight weeks.</w:t>
      </w:r>
      <w:r w:rsidRPr="00FE3B3B">
        <w:t xml:space="preserve"> </w:t>
      </w:r>
      <w:r w:rsidR="00C532C9">
        <w:t>Finance submitted that there are a number of negative consequences to long deferral periods, including:</w:t>
      </w:r>
      <w:r w:rsidRPr="00FE3B3B">
        <w:t xml:space="preserve"> </w:t>
      </w:r>
    </w:p>
    <w:p w14:paraId="215CFD6A" w14:textId="77777777" w:rsidR="00C532C9" w:rsidRDefault="00C532C9" w:rsidP="00C532C9">
      <w:pPr>
        <w:pStyle w:val="BulletedList-Level1"/>
      </w:pPr>
      <w:r>
        <w:t>increased staffing costs to the Commonwealth</w:t>
      </w:r>
    </w:p>
    <w:p w14:paraId="07729FBB" w14:textId="4D820C24" w:rsidR="00C532C9" w:rsidRDefault="000B4AD9" w:rsidP="00C532C9">
      <w:pPr>
        <w:pStyle w:val="BulletedList-Level1"/>
      </w:pPr>
      <w:r>
        <w:t>reduced</w:t>
      </w:r>
      <w:r w:rsidR="00C532C9">
        <w:t xml:space="preserve"> incentive for parliamentarians to sign new employment contracts quickly</w:t>
      </w:r>
    </w:p>
    <w:p w14:paraId="21AEDC3E" w14:textId="03B1E597" w:rsidR="006C6D83" w:rsidRDefault="00C532C9" w:rsidP="00440102">
      <w:pPr>
        <w:pStyle w:val="BulletedList-Level1"/>
      </w:pPr>
      <w:r>
        <w:t xml:space="preserve">lack of clarity regarding the </w:t>
      </w:r>
      <w:r w:rsidR="00A74299">
        <w:t>role</w:t>
      </w:r>
      <w:r>
        <w:t xml:space="preserve"> and responsibilities </w:t>
      </w:r>
      <w:r w:rsidR="00A74299">
        <w:t xml:space="preserve">of </w:t>
      </w:r>
      <w:r>
        <w:t>an employee during this period, who the ‘employer’ is and their capacity to direct employees, and who has responsibilities for work health and safety issues.</w:t>
      </w:r>
      <w:r w:rsidR="00A74299">
        <w:t xml:space="preserve"> </w:t>
      </w:r>
      <w:r w:rsidR="0055702B">
        <w:t>The current length of deferral periods is longer than is generally mandated by the FW</w:t>
      </w:r>
      <w:r w:rsidR="00A16924">
        <w:t xml:space="preserve"> </w:t>
      </w:r>
      <w:r w:rsidR="0055702B">
        <w:t>A</w:t>
      </w:r>
      <w:r w:rsidR="00A16924">
        <w:t>ct</w:t>
      </w:r>
      <w:r w:rsidR="0055702B">
        <w:t xml:space="preserve"> for notice periods, which provides that a terminated employee is entitled to a minimum notice of period between 1 and 5 weeks, depending on the number of years of service and whether they are over 45 years of age.</w:t>
      </w:r>
      <w:r w:rsidR="0055702B">
        <w:rPr>
          <w:rStyle w:val="FootnoteReference"/>
        </w:rPr>
        <w:footnoteReference w:id="359"/>
      </w:r>
    </w:p>
    <w:p w14:paraId="104095C9" w14:textId="4D02FEB6" w:rsidR="0055702B" w:rsidRDefault="0055702B" w:rsidP="0055702B">
      <w:r>
        <w:t xml:space="preserve">While most </w:t>
      </w:r>
      <w:r w:rsidR="006C6D83">
        <w:t xml:space="preserve">contributors </w:t>
      </w:r>
      <w:r>
        <w:t xml:space="preserve">did not raise concerns about deferral periods, </w:t>
      </w:r>
      <w:r w:rsidR="006C6D83">
        <w:t xml:space="preserve">we note </w:t>
      </w:r>
      <w:r>
        <w:t xml:space="preserve">that former staff may not be aware of inconsistencies </w:t>
      </w:r>
      <w:r w:rsidR="006C6D83">
        <w:t xml:space="preserve">in </w:t>
      </w:r>
      <w:r w:rsidR="006F7FED">
        <w:t>their</w:t>
      </w:r>
      <w:r>
        <w:t xml:space="preserve"> application</w:t>
      </w:r>
      <w:r w:rsidR="006C6D83">
        <w:t>.</w:t>
      </w:r>
    </w:p>
    <w:p w14:paraId="18BF0781" w14:textId="5B9F7EFC" w:rsidR="0055702B" w:rsidRPr="004307BF" w:rsidRDefault="007C6800" w:rsidP="00051BDA">
      <w:pPr>
        <w:pStyle w:val="Heading4"/>
      </w:pPr>
      <w:r>
        <w:t>What others do</w:t>
      </w:r>
    </w:p>
    <w:p w14:paraId="738F9E47" w14:textId="77777777" w:rsidR="0055702B" w:rsidRDefault="0055702B" w:rsidP="0055702B">
      <w:r>
        <w:t xml:space="preserve">Most comparable parliaments in the states and territories have implemented deferral periods for terminated employees. For example, Western Australia provides as part of its </w:t>
      </w:r>
      <w:r>
        <w:rPr>
          <w:i/>
        </w:rPr>
        <w:t>Public Sector Management Act 1984</w:t>
      </w:r>
      <w:r>
        <w:t xml:space="preserve"> powers for a ministerial officer to have the date of their termination deferred until a period set by the Minister for Public Sector Management or the Premier.</w:t>
      </w:r>
      <w:r>
        <w:rPr>
          <w:rStyle w:val="FootnoteReference"/>
        </w:rPr>
        <w:footnoteReference w:id="360"/>
      </w:r>
    </w:p>
    <w:p w14:paraId="67B7EF65" w14:textId="77777777" w:rsidR="0055702B" w:rsidRDefault="0055702B" w:rsidP="0055702B"/>
    <w:p w14:paraId="1667DB39" w14:textId="77777777" w:rsidR="0055702B" w:rsidRPr="004307BF" w:rsidRDefault="0055702B" w:rsidP="00051BDA">
      <w:pPr>
        <w:pStyle w:val="Heading3"/>
        <w:rPr>
          <w:b/>
        </w:rPr>
      </w:pPr>
      <w:r>
        <w:t xml:space="preserve">6.6.2 </w:t>
      </w:r>
      <w:r w:rsidRPr="00375053">
        <w:t>Options for</w:t>
      </w:r>
      <w:r w:rsidRPr="004307BF">
        <w:rPr>
          <w:b/>
        </w:rPr>
        <w:t xml:space="preserve"> </w:t>
      </w:r>
      <w:r w:rsidRPr="00375053">
        <w:t>improvement</w:t>
      </w:r>
    </w:p>
    <w:p w14:paraId="2951D1E8" w14:textId="1A0812E0" w:rsidR="0055702B" w:rsidRDefault="0055702B" w:rsidP="0055702B">
      <w:r>
        <w:t xml:space="preserve">Deferral periods could be limited to a default period of four weeks, which would be consistent with modern employment frameworks. This </w:t>
      </w:r>
      <w:r w:rsidR="0046787E">
        <w:t>could</w:t>
      </w:r>
      <w:r>
        <w:t xml:space="preserve"> improve consistency and transparency in the </w:t>
      </w:r>
      <w:r w:rsidR="00014107">
        <w:t>MoP</w:t>
      </w:r>
      <w:r w:rsidR="001F77C1">
        <w:t>(S)</w:t>
      </w:r>
      <w:r>
        <w:t xml:space="preserve"> framework, ensuring that all staff are subject to the same deferral period. It would also recognise the challenges faced by staff experiencing automatic termination, particularly in case</w:t>
      </w:r>
      <w:r w:rsidR="000440A2">
        <w:t>s</w:t>
      </w:r>
      <w:r>
        <w:t xml:space="preserve"> where their employer dies or loses office, and they must adapt to post-parliamentary life very quickly. It would also provide for employees to be retained for transitions after elections or changes to ministerial </w:t>
      </w:r>
      <w:r w:rsidR="0046787E">
        <w:t>portfolios</w:t>
      </w:r>
      <w:r>
        <w:t>, facilitating handovers and additional support to incoming parliamentarians or ministers and their staff.</w:t>
      </w:r>
    </w:p>
    <w:p w14:paraId="42EE6D99" w14:textId="71AE84D6" w:rsidR="0055702B" w:rsidRPr="00E54C5A" w:rsidRDefault="0055702B" w:rsidP="0055702B">
      <w:r w:rsidRPr="00E54C5A">
        <w:t>The current deferral periods provide flexibility and accommodate a range of contextual factors</w:t>
      </w:r>
      <w:r w:rsidR="00A2422C">
        <w:t>, including</w:t>
      </w:r>
      <w:r w:rsidRPr="00E54C5A">
        <w:t>:</w:t>
      </w:r>
    </w:p>
    <w:p w14:paraId="4FEF68E3" w14:textId="4342EBA8" w:rsidR="0055702B" w:rsidRPr="00E54C5A" w:rsidRDefault="00144C0C" w:rsidP="0055702B">
      <w:pPr>
        <w:pStyle w:val="BulletedList-Level1"/>
      </w:pPr>
      <w:r>
        <w:t>a</w:t>
      </w:r>
      <w:r w:rsidR="0055702B" w:rsidRPr="00E54C5A">
        <w:t>llowing for transition periods where staff may be required to assist in setting up new offices or handover to incoming staff, such as after elections or changes in ministerial portfolios</w:t>
      </w:r>
      <w:r w:rsidR="002F34E6">
        <w:t>,</w:t>
      </w:r>
      <w:r w:rsidR="002F34E6" w:rsidRPr="00E54C5A">
        <w:t xml:space="preserve"> </w:t>
      </w:r>
      <w:r w:rsidR="0055702B" w:rsidRPr="00E54C5A">
        <w:t>and</w:t>
      </w:r>
    </w:p>
    <w:p w14:paraId="2E97B24B" w14:textId="7E680BB7" w:rsidR="0055702B" w:rsidRPr="00E54C5A" w:rsidRDefault="00144C0C" w:rsidP="0055702B">
      <w:pPr>
        <w:pStyle w:val="BulletedList-Level1"/>
      </w:pPr>
      <w:r>
        <w:t>a</w:t>
      </w:r>
      <w:r w:rsidR="0055702B" w:rsidRPr="00E54C5A">
        <w:t xml:space="preserve">llowing for some categories of staff or particular individuals to have longer or shorter deferral periods, rather than a broad application of a set timeframe which may not be sufficient for some staff to </w:t>
      </w:r>
      <w:r>
        <w:t>complete their tasks, and</w:t>
      </w:r>
      <w:r w:rsidR="0055702B" w:rsidRPr="00E54C5A">
        <w:t xml:space="preserve"> too long for </w:t>
      </w:r>
      <w:r>
        <w:t>other</w:t>
      </w:r>
      <w:r w:rsidR="0055702B" w:rsidRPr="00E54C5A">
        <w:t xml:space="preserve"> staff </w:t>
      </w:r>
      <w:r>
        <w:t>whose positions</w:t>
      </w:r>
      <w:r w:rsidR="0055702B" w:rsidRPr="00E54C5A">
        <w:t xml:space="preserve"> are </w:t>
      </w:r>
      <w:r>
        <w:t>no longer</w:t>
      </w:r>
      <w:r w:rsidR="0055702B" w:rsidRPr="00E54C5A">
        <w:t xml:space="preserve"> required.</w:t>
      </w:r>
    </w:p>
    <w:p w14:paraId="0C9FBB52" w14:textId="43E02DEE" w:rsidR="0055702B" w:rsidRPr="00E54C5A" w:rsidRDefault="0055702B" w:rsidP="0055702B">
      <w:r w:rsidRPr="00E54C5A">
        <w:t xml:space="preserve">Finance argued in its submission that </w:t>
      </w:r>
      <w:r w:rsidR="00F343CF">
        <w:t xml:space="preserve">shortening </w:t>
      </w:r>
      <w:r w:rsidRPr="00E54C5A">
        <w:t xml:space="preserve">the deferral period would bring the framework into closer </w:t>
      </w:r>
      <w:r w:rsidR="00504CDC">
        <w:t>alignment</w:t>
      </w:r>
      <w:r w:rsidRPr="00E54C5A">
        <w:t xml:space="preserve"> with the notice provisions under the FW</w:t>
      </w:r>
      <w:r w:rsidR="00CF6693">
        <w:t xml:space="preserve"> </w:t>
      </w:r>
      <w:r w:rsidRPr="00E54C5A">
        <w:t>A</w:t>
      </w:r>
      <w:r w:rsidR="00CF6693">
        <w:t>ct</w:t>
      </w:r>
      <w:r w:rsidRPr="00E54C5A">
        <w:t xml:space="preserve"> </w:t>
      </w:r>
      <w:r w:rsidR="00F343CF">
        <w:t>(</w:t>
      </w:r>
      <w:r w:rsidRPr="00E54C5A">
        <w:t>currently set at four weeks</w:t>
      </w:r>
      <w:r w:rsidR="00F343CF">
        <w:t>)</w:t>
      </w:r>
      <w:r w:rsidRPr="00E54C5A">
        <w:t>.</w:t>
      </w:r>
      <w:r w:rsidRPr="00E54C5A">
        <w:rPr>
          <w:rStyle w:val="FootnoteReference"/>
        </w:rPr>
        <w:footnoteReference w:id="361"/>
      </w:r>
      <w:r w:rsidRPr="00E54C5A">
        <w:t xml:space="preserve"> However, this proposal does not reflect that deferral periods are significantly different to notice periods, which still apply to MoP(S) </w:t>
      </w:r>
      <w:r w:rsidR="000C429B">
        <w:t xml:space="preserve">Act </w:t>
      </w:r>
      <w:r w:rsidRPr="00E54C5A">
        <w:t xml:space="preserve">employees regardless of whether deferral periods are applied or not. The policy intent of deferral periods is to provide flexibility in a range of situations, whereas notice periods are primarily to provide employees and employers with notification to prepare both parties for the employee’s departure. The two mechanisms are not </w:t>
      </w:r>
      <w:r w:rsidR="00F343CF">
        <w:t>the same,</w:t>
      </w:r>
      <w:r w:rsidRPr="00E54C5A">
        <w:t xml:space="preserve"> despite the </w:t>
      </w:r>
      <w:r w:rsidR="00F343CF">
        <w:t>ostensible</w:t>
      </w:r>
      <w:r w:rsidRPr="00E54C5A">
        <w:t xml:space="preserve"> similarity.</w:t>
      </w:r>
    </w:p>
    <w:p w14:paraId="0E38B3A4" w14:textId="77777777" w:rsidR="00AD5904" w:rsidRPr="00E54C5A" w:rsidRDefault="00AD5904" w:rsidP="0055702B"/>
    <w:p w14:paraId="030C8B92" w14:textId="1E411A63" w:rsidR="0055702B" w:rsidRPr="005C6B37" w:rsidRDefault="00AD5904" w:rsidP="00051BDA">
      <w:pPr>
        <w:pStyle w:val="Heading3"/>
      </w:pPr>
      <w:r>
        <w:t xml:space="preserve">6.6.3 </w:t>
      </w:r>
      <w:r w:rsidR="0055702B" w:rsidRPr="00DC13DA">
        <w:t>C</w:t>
      </w:r>
      <w:r w:rsidR="0055702B">
        <w:t>onclusion</w:t>
      </w:r>
    </w:p>
    <w:p w14:paraId="1353116B" w14:textId="10E09F9C" w:rsidR="0055702B" w:rsidRPr="00E54C5A" w:rsidRDefault="00813C6E" w:rsidP="0055702B">
      <w:r>
        <w:t xml:space="preserve">Despite </w:t>
      </w:r>
      <w:r w:rsidR="0055702B" w:rsidRPr="00E54C5A">
        <w:t>feedback to the</w:t>
      </w:r>
      <w:r>
        <w:t xml:space="preserve"> Review that</w:t>
      </w:r>
      <w:r w:rsidR="0055702B" w:rsidRPr="00E54C5A">
        <w:t xml:space="preserve"> deferral periods are inconsistently applied and could be streamlined, </w:t>
      </w:r>
      <w:r>
        <w:t xml:space="preserve">we do not recommend the length of deferral periods be ‘set in stone’, or that the Prime Minister’s </w:t>
      </w:r>
      <w:r w:rsidR="0055702B" w:rsidRPr="00E54C5A">
        <w:t xml:space="preserve">power </w:t>
      </w:r>
      <w:r>
        <w:t>to issue directions about deferral periods should be replaced with an alternative mechanism. The current</w:t>
      </w:r>
      <w:r w:rsidR="0055702B" w:rsidRPr="00E54C5A">
        <w:t xml:space="preserve"> system </w:t>
      </w:r>
      <w:r>
        <w:t xml:space="preserve">provides </w:t>
      </w:r>
      <w:r w:rsidR="0055702B" w:rsidRPr="00E54C5A">
        <w:t>flexi</w:t>
      </w:r>
      <w:r>
        <w:t>bility and a</w:t>
      </w:r>
      <w:r w:rsidR="0055702B" w:rsidRPr="00E54C5A">
        <w:t xml:space="preserve"> smooth</w:t>
      </w:r>
      <w:r w:rsidR="00A2422C">
        <w:t>er</w:t>
      </w:r>
      <w:r w:rsidR="0055702B" w:rsidRPr="00E54C5A">
        <w:t xml:space="preserve"> handover of government and ministerial responsibilities.</w:t>
      </w:r>
    </w:p>
    <w:p w14:paraId="74D0043F" w14:textId="4A231F12" w:rsidR="0055702B" w:rsidRDefault="0055702B" w:rsidP="0055702B">
      <w:r w:rsidRPr="00E54C5A">
        <w:t xml:space="preserve">Nonetheless, </w:t>
      </w:r>
      <w:r w:rsidR="00AB4676">
        <w:t xml:space="preserve">data on the use </w:t>
      </w:r>
      <w:r w:rsidRPr="00E54C5A">
        <w:t xml:space="preserve">and purpose of deferral periods </w:t>
      </w:r>
      <w:r w:rsidR="00AB4676">
        <w:t>w</w:t>
      </w:r>
      <w:r w:rsidRPr="00E54C5A">
        <w:t xml:space="preserve">ould be useful </w:t>
      </w:r>
      <w:r w:rsidR="00AB4676">
        <w:t xml:space="preserve">if the issue is considered again in the future. </w:t>
      </w:r>
      <w:r w:rsidR="00D4569A">
        <w:t>The</w:t>
      </w:r>
      <w:r w:rsidRPr="00E54C5A">
        <w:t xml:space="preserve"> OPSC </w:t>
      </w:r>
      <w:r w:rsidR="00D4569A">
        <w:t>should</w:t>
      </w:r>
      <w:r w:rsidRPr="00E54C5A">
        <w:t xml:space="preserve"> monitor and report on deferral periods</w:t>
      </w:r>
      <w:r w:rsidR="00FD5B9B">
        <w:t xml:space="preserve"> in the pursuit of greater transparency</w:t>
      </w:r>
      <w:r w:rsidRPr="00E54C5A">
        <w:t xml:space="preserve">. </w:t>
      </w:r>
    </w:p>
    <w:p w14:paraId="6B3FD594" w14:textId="77777777" w:rsidR="00F661AC" w:rsidRDefault="00F661AC" w:rsidP="0055702B"/>
    <w:p w14:paraId="0AF16FCD" w14:textId="77E3AB80" w:rsidR="00117317" w:rsidRPr="000F2E36" w:rsidRDefault="00DC13DA" w:rsidP="00DC13DA">
      <w:pPr>
        <w:pStyle w:val="Heading2"/>
      </w:pPr>
      <w:bookmarkStart w:id="7445" w:name="_Toc114755872"/>
      <w:bookmarkStart w:id="7446" w:name="_Toc114757177"/>
      <w:bookmarkStart w:id="7447" w:name="_Toc114757461"/>
      <w:bookmarkStart w:id="7448" w:name="_Toc114757563"/>
      <w:bookmarkStart w:id="7449" w:name="_Toc114758236"/>
      <w:bookmarkStart w:id="7450" w:name="_Toc114824406"/>
      <w:bookmarkStart w:id="7451" w:name="_Toc114829482"/>
      <w:bookmarkStart w:id="7452" w:name="_Toc114829846"/>
      <w:bookmarkStart w:id="7453" w:name="_Toc114829990"/>
      <w:bookmarkStart w:id="7454" w:name="_Toc115099069"/>
      <w:bookmarkStart w:id="7455" w:name="_Toc115099141"/>
      <w:bookmarkStart w:id="7456" w:name="_Toc115101718"/>
      <w:bookmarkStart w:id="7457" w:name="_Toc115102563"/>
      <w:bookmarkStart w:id="7458" w:name="_Toc115105536"/>
      <w:bookmarkStart w:id="7459" w:name="_Toc115110397"/>
      <w:bookmarkStart w:id="7460" w:name="_Toc115110524"/>
      <w:bookmarkStart w:id="7461" w:name="_Toc115121642"/>
      <w:bookmarkStart w:id="7462" w:name="_Toc115122012"/>
      <w:bookmarkStart w:id="7463" w:name="_Toc115123492"/>
      <w:bookmarkStart w:id="7464" w:name="_Toc115123740"/>
      <w:bookmarkStart w:id="7465" w:name="_Toc115126872"/>
      <w:bookmarkStart w:id="7466" w:name="_Toc115185506"/>
      <w:bookmarkStart w:id="7467" w:name="_Toc115186133"/>
      <w:bookmarkStart w:id="7468" w:name="_Toc115189291"/>
      <w:bookmarkStart w:id="7469" w:name="_Toc115194264"/>
      <w:bookmarkStart w:id="7470" w:name="_Toc115195001"/>
      <w:bookmarkStart w:id="7471" w:name="_Toc115196411"/>
      <w:bookmarkStart w:id="7472" w:name="_Toc115198912"/>
      <w:bookmarkStart w:id="7473" w:name="_Toc115208927"/>
      <w:bookmarkStart w:id="7474" w:name="_Toc115209063"/>
      <w:bookmarkStart w:id="7475" w:name="_Toc115210394"/>
      <w:bookmarkStart w:id="7476" w:name="_Toc115212619"/>
      <w:bookmarkStart w:id="7477" w:name="_Toc115213259"/>
      <w:bookmarkStart w:id="7478" w:name="_Toc115216757"/>
      <w:bookmarkStart w:id="7479" w:name="_Toc115270448"/>
      <w:bookmarkStart w:id="7480" w:name="_Toc115271391"/>
      <w:bookmarkStart w:id="7481" w:name="_Toc115272308"/>
      <w:bookmarkStart w:id="7482" w:name="_Toc115273478"/>
      <w:bookmarkStart w:id="7483" w:name="_Toc115273406"/>
      <w:bookmarkStart w:id="7484" w:name="_Toc115274308"/>
      <w:bookmarkStart w:id="7485" w:name="_Toc115274659"/>
      <w:bookmarkStart w:id="7486" w:name="_Toc115274885"/>
      <w:bookmarkStart w:id="7487" w:name="_Toc115275242"/>
      <w:bookmarkStart w:id="7488" w:name="_Toc115275385"/>
      <w:bookmarkStart w:id="7489" w:name="_Toc115274222"/>
      <w:bookmarkStart w:id="7490" w:name="_Toc115274523"/>
      <w:bookmarkStart w:id="7491" w:name="_Toc115274591"/>
      <w:bookmarkStart w:id="7492" w:name="_Toc115274749"/>
      <w:bookmarkStart w:id="7493" w:name="_Toc115277483"/>
      <w:bookmarkStart w:id="7494" w:name="_Toc115277687"/>
      <w:bookmarkStart w:id="7495" w:name="_Toc115278576"/>
      <w:bookmarkStart w:id="7496" w:name="_Toc115278656"/>
      <w:bookmarkStart w:id="7497" w:name="_Toc115282326"/>
      <w:bookmarkStart w:id="7498" w:name="_Toc115284779"/>
      <w:bookmarkStart w:id="7499" w:name="_Toc115286871"/>
      <w:bookmarkStart w:id="7500" w:name="_Toc115294805"/>
      <w:bookmarkStart w:id="7501" w:name="_Toc115296385"/>
      <w:bookmarkStart w:id="7502" w:name="_Toc115308571"/>
      <w:bookmarkStart w:id="7503" w:name="_Toc115311223"/>
      <w:bookmarkStart w:id="7504" w:name="_Toc115312703"/>
      <w:bookmarkStart w:id="7505" w:name="_Toc115343877"/>
      <w:bookmarkStart w:id="7506" w:name="_Toc115348315"/>
      <w:bookmarkStart w:id="7507" w:name="_Toc115350413"/>
      <w:bookmarkStart w:id="7508" w:name="_Toc115353501"/>
      <w:bookmarkStart w:id="7509" w:name="_Toc115359532"/>
      <w:bookmarkStart w:id="7510" w:name="_Toc115361936"/>
      <w:bookmarkStart w:id="7511" w:name="_Toc115364329"/>
      <w:bookmarkStart w:id="7512" w:name="_Toc115365423"/>
      <w:bookmarkStart w:id="7513" w:name="_Toc115365763"/>
      <w:bookmarkStart w:id="7514" w:name="_Toc115366227"/>
      <w:bookmarkStart w:id="7515" w:name="_Toc115368677"/>
      <w:bookmarkStart w:id="7516" w:name="_Toc115370117"/>
      <w:bookmarkStart w:id="7517" w:name="_Toc115370851"/>
      <w:bookmarkStart w:id="7518" w:name="_Toc115374423"/>
      <w:bookmarkStart w:id="7519" w:name="_Toc115378762"/>
      <w:bookmarkStart w:id="7520" w:name="_Toc115380994"/>
      <w:bookmarkStart w:id="7521" w:name="_Toc115384146"/>
      <w:bookmarkStart w:id="7522" w:name="_Toc115387375"/>
      <w:bookmarkStart w:id="7523" w:name="_Toc115388841"/>
      <w:bookmarkStart w:id="7524" w:name="_Toc115431479"/>
      <w:bookmarkStart w:id="7525" w:name="_Toc115432857"/>
      <w:bookmarkStart w:id="7526" w:name="_Toc115434428"/>
      <w:bookmarkStart w:id="7527" w:name="_Toc115434527"/>
      <w:bookmarkStart w:id="7528" w:name="_Toc115434596"/>
      <w:bookmarkStart w:id="7529" w:name="_Toc115434665"/>
      <w:bookmarkStart w:id="7530" w:name="_Toc115442832"/>
      <w:bookmarkStart w:id="7531" w:name="_Toc115446368"/>
      <w:bookmarkStart w:id="7532" w:name="_Toc115446378"/>
      <w:bookmarkStart w:id="7533" w:name="_Toc115448075"/>
      <w:bookmarkStart w:id="7534" w:name="_Toc115449467"/>
      <w:bookmarkStart w:id="7535" w:name="_Toc115452487"/>
      <w:bookmarkStart w:id="7536" w:name="_Toc115455304"/>
      <w:bookmarkStart w:id="7537" w:name="_Toc115455370"/>
      <w:bookmarkStart w:id="7538" w:name="_Toc115457320"/>
      <w:bookmarkStart w:id="7539" w:name="_Toc115458156"/>
      <w:bookmarkStart w:id="7540" w:name="_Toc115948184"/>
      <w:bookmarkStart w:id="7541" w:name="_Toc115948631"/>
      <w:r>
        <w:t>6.</w:t>
      </w:r>
      <w:r w:rsidR="001F6DC6">
        <w:t>7</w:t>
      </w:r>
      <w:r w:rsidR="00117317" w:rsidDel="00137963">
        <w:t xml:space="preserve"> </w:t>
      </w:r>
      <w:r w:rsidR="00117317">
        <w:t>Post-</w:t>
      </w:r>
      <w:r w:rsidR="00117317" w:rsidDel="009D39E7">
        <w:t>employment</w:t>
      </w:r>
      <w:bookmarkEnd w:id="7314"/>
      <w:r w:rsidR="00117317" w:rsidDel="00D128AE">
        <w:t xml:space="preserve"> support</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p>
    <w:p w14:paraId="6B5AC7A3" w14:textId="01B2A72B" w:rsidR="00117317" w:rsidRDefault="00DC13DA" w:rsidP="00051BDA">
      <w:pPr>
        <w:pStyle w:val="Heading3"/>
      </w:pPr>
      <w:r>
        <w:t>6.</w:t>
      </w:r>
      <w:r w:rsidR="001F6DC6">
        <w:t>7</w:t>
      </w:r>
      <w:r w:rsidR="00117317">
        <w:t>.1 Current situation</w:t>
      </w:r>
    </w:p>
    <w:p w14:paraId="0FC6F1DC" w14:textId="2DC95ED2" w:rsidR="003C699D" w:rsidRDefault="0090456B" w:rsidP="00117317">
      <w:r>
        <w:t>While</w:t>
      </w:r>
      <w:r w:rsidR="00117317">
        <w:t xml:space="preserve"> much has been discussed about</w:t>
      </w:r>
      <w:r w:rsidR="002D62B0">
        <w:t xml:space="preserve"> MoP(S) Act employment </w:t>
      </w:r>
      <w:r w:rsidR="00117317">
        <w:t xml:space="preserve">from recruitment through to termination in both </w:t>
      </w:r>
      <w:r w:rsidR="00142173" w:rsidRPr="00142173">
        <w:rPr>
          <w:i/>
        </w:rPr>
        <w:t>Set the Standard</w:t>
      </w:r>
      <w:r w:rsidR="00117317">
        <w:t xml:space="preserve"> and this Review, there </w:t>
      </w:r>
      <w:r w:rsidR="00E510E9">
        <w:t xml:space="preserve">has </w:t>
      </w:r>
      <w:r w:rsidR="003C699D">
        <w:t xml:space="preserve">been less </w:t>
      </w:r>
      <w:r w:rsidR="00F8147A">
        <w:t>focus on</w:t>
      </w:r>
      <w:r w:rsidR="00117317">
        <w:t xml:space="preserve"> the support offered to MoP(S) </w:t>
      </w:r>
      <w:r w:rsidR="002D62B0">
        <w:t>Act employees</w:t>
      </w:r>
      <w:r w:rsidR="00117317">
        <w:t xml:space="preserve"> after they leave employment.</w:t>
      </w:r>
    </w:p>
    <w:p w14:paraId="14A9B2F3" w14:textId="1E65497D" w:rsidR="00117317" w:rsidRDefault="003C699D" w:rsidP="00117317">
      <w:r>
        <w:t>S</w:t>
      </w:r>
      <w:r w:rsidR="00117317">
        <w:t xml:space="preserve">ome </w:t>
      </w:r>
      <w:r>
        <w:t>employees</w:t>
      </w:r>
      <w:r w:rsidR="00117317">
        <w:t xml:space="preserve"> will have come from other careers that they can return to, </w:t>
      </w:r>
      <w:r>
        <w:t xml:space="preserve">including </w:t>
      </w:r>
      <w:r w:rsidR="00C457FF">
        <w:t>in</w:t>
      </w:r>
      <w:r>
        <w:t xml:space="preserve"> the APS, but </w:t>
      </w:r>
      <w:r w:rsidR="00117317">
        <w:t xml:space="preserve">there will be a large </w:t>
      </w:r>
      <w:r>
        <w:t>proportion</w:t>
      </w:r>
      <w:r w:rsidR="00117317">
        <w:t xml:space="preserve"> of </w:t>
      </w:r>
      <w:r>
        <w:t>employees</w:t>
      </w:r>
      <w:r w:rsidR="00117317">
        <w:t xml:space="preserve"> who </w:t>
      </w:r>
      <w:r w:rsidR="00F10C62">
        <w:t>do not have an alternat</w:t>
      </w:r>
      <w:r>
        <w:t>ive</w:t>
      </w:r>
      <w:r w:rsidR="00F10C62">
        <w:t xml:space="preserve"> career to MoP(S) Act employment</w:t>
      </w:r>
      <w:r w:rsidR="00117317">
        <w:t xml:space="preserve">. </w:t>
      </w:r>
      <w:r>
        <w:t xml:space="preserve">The recruitment processes for MoP(S) </w:t>
      </w:r>
      <w:r w:rsidR="00136872">
        <w:t>Act</w:t>
      </w:r>
      <w:r>
        <w:t xml:space="preserve"> employment could </w:t>
      </w:r>
      <w:r w:rsidR="00117317">
        <w:t xml:space="preserve">mean that many of these staff have not experienced formal interviews, or not for </w:t>
      </w:r>
      <w:r>
        <w:t>some</w:t>
      </w:r>
      <w:r w:rsidR="00117317">
        <w:t xml:space="preserve"> time.</w:t>
      </w:r>
      <w:r w:rsidR="00E510E9">
        <w:t xml:space="preserve"> Further, the processes surrounding termination can result in some staff </w:t>
      </w:r>
      <w:r>
        <w:t>ceasing work abruptly and</w:t>
      </w:r>
      <w:r w:rsidR="00E510E9">
        <w:t xml:space="preserve"> feeling unsupported after their employment ceased.</w:t>
      </w:r>
    </w:p>
    <w:p w14:paraId="4D42DC22" w14:textId="77777777" w:rsidR="00117317" w:rsidRPr="00DC13DA" w:rsidRDefault="00117317" w:rsidP="00051BDA">
      <w:pPr>
        <w:pStyle w:val="Heading4"/>
      </w:pPr>
      <w:r w:rsidRPr="00DC13DA">
        <w:t>Effect of Enterprise Agreement</w:t>
      </w:r>
    </w:p>
    <w:p w14:paraId="1903E59C" w14:textId="7BF71E0F" w:rsidR="00117317" w:rsidRDefault="00117317" w:rsidP="00117317">
      <w:r>
        <w:t xml:space="preserve">The </w:t>
      </w:r>
      <w:r w:rsidR="00982005">
        <w:t>EA</w:t>
      </w:r>
      <w:r>
        <w:t xml:space="preserve"> is currently the main source of benefits that apply post-employment. </w:t>
      </w:r>
      <w:r w:rsidR="002D62B0">
        <w:t>S</w:t>
      </w:r>
      <w:r>
        <w:t xml:space="preserve">everance benefits are payable to </w:t>
      </w:r>
      <w:r w:rsidR="00014107">
        <w:t>MoP</w:t>
      </w:r>
      <w:r w:rsidR="001F77C1">
        <w:t>(S)</w:t>
      </w:r>
      <w:r>
        <w:t xml:space="preserve"> </w:t>
      </w:r>
      <w:r w:rsidR="002D62B0">
        <w:t>Act employees</w:t>
      </w:r>
      <w:r>
        <w:t xml:space="preserve"> who are terminated under Part III or Part IV of the Act.</w:t>
      </w:r>
      <w:r>
        <w:rPr>
          <w:rStyle w:val="FootnoteReference"/>
        </w:rPr>
        <w:footnoteReference w:id="362"/>
      </w:r>
      <w:r>
        <w:t xml:space="preserve"> However, a number of </w:t>
      </w:r>
      <w:r w:rsidR="00CD2C06">
        <w:t>excluded</w:t>
      </w:r>
      <w:r>
        <w:t xml:space="preserve"> categories apply, including employees who:</w:t>
      </w:r>
    </w:p>
    <w:p w14:paraId="458C62AB" w14:textId="77777777" w:rsidR="00117317" w:rsidRDefault="00117317" w:rsidP="00117317">
      <w:pPr>
        <w:pStyle w:val="BulletedList-Level1"/>
      </w:pPr>
      <w:r>
        <w:t>resign</w:t>
      </w:r>
    </w:p>
    <w:p w14:paraId="35B22186" w14:textId="4A0B421D" w:rsidR="00117317" w:rsidRDefault="00117317" w:rsidP="00117317">
      <w:pPr>
        <w:pStyle w:val="BulletedList-Level1"/>
      </w:pPr>
      <w:r>
        <w:t xml:space="preserve">are employed by </w:t>
      </w:r>
      <w:r w:rsidR="00D60341">
        <w:t xml:space="preserve">the </w:t>
      </w:r>
      <w:r>
        <w:t>APS, another state or territory public service, or other public sector employer that they are on leave from</w:t>
      </w:r>
    </w:p>
    <w:p w14:paraId="0DBCDEA2" w14:textId="1024A7C0" w:rsidR="00117317" w:rsidRDefault="00117317" w:rsidP="00117317">
      <w:pPr>
        <w:pStyle w:val="BulletedList-Level1"/>
      </w:pPr>
      <w:r>
        <w:t xml:space="preserve">are guilty of serious misconduct in the view of the </w:t>
      </w:r>
      <w:r w:rsidR="00236E1F">
        <w:t>m</w:t>
      </w:r>
      <w:r>
        <w:t xml:space="preserve">inister, the threshold being that it ‘would be unreasonable to require the employing </w:t>
      </w:r>
      <w:r w:rsidR="00236E1F">
        <w:t>parliamentarian</w:t>
      </w:r>
      <w:r>
        <w:t xml:space="preserve"> to continue the employment of the employee’;</w:t>
      </w:r>
    </w:p>
    <w:p w14:paraId="21B5B53C" w14:textId="77777777" w:rsidR="00117317" w:rsidRDefault="00117317" w:rsidP="00117317">
      <w:pPr>
        <w:pStyle w:val="BulletedList-Level1"/>
      </w:pPr>
      <w:r>
        <w:t>are terminated during probationary periods</w:t>
      </w:r>
    </w:p>
    <w:p w14:paraId="52F6841B" w14:textId="77777777" w:rsidR="00117317" w:rsidRDefault="00117317" w:rsidP="00117317">
      <w:pPr>
        <w:pStyle w:val="BulletedList-Level1"/>
      </w:pPr>
      <w:r>
        <w:t>are absent from duty without approved leave for 10 days continuously immediately prior to their cessation of employment, and have not provided reasonable cause for this absence to their employer</w:t>
      </w:r>
    </w:p>
    <w:p w14:paraId="5636DA52" w14:textId="77777777" w:rsidR="00117317" w:rsidRDefault="00117317" w:rsidP="00117317">
      <w:pPr>
        <w:pStyle w:val="BulletedList-Level1"/>
      </w:pPr>
      <w:r>
        <w:t xml:space="preserve">are re-employed under the </w:t>
      </w:r>
      <w:r w:rsidR="00014107">
        <w:t>MoP</w:t>
      </w:r>
      <w:r w:rsidR="001F77C1">
        <w:t>(S)</w:t>
      </w:r>
      <w:r>
        <w:t xml:space="preserve"> Act without a break in employment (regardless of whether it is with the same or another parliamentarian).</w:t>
      </w:r>
      <w:r>
        <w:rPr>
          <w:rStyle w:val="FootnoteReference"/>
        </w:rPr>
        <w:footnoteReference w:id="363"/>
      </w:r>
    </w:p>
    <w:p w14:paraId="116265D1" w14:textId="31D55384" w:rsidR="00117317" w:rsidRDefault="00117317" w:rsidP="00117317">
      <w:r>
        <w:t xml:space="preserve">Severance benefits are </w:t>
      </w:r>
      <w:r w:rsidR="00661DA4">
        <w:t>contingent</w:t>
      </w:r>
      <w:r>
        <w:t xml:space="preserve"> on the length of continuous service under the </w:t>
      </w:r>
      <w:r w:rsidR="00014107">
        <w:t>MoP</w:t>
      </w:r>
      <w:r w:rsidR="001F77C1">
        <w:t>(S)</w:t>
      </w:r>
      <w:r>
        <w:t xml:space="preserve"> Act.</w:t>
      </w:r>
      <w:r w:rsidRPr="00236E1F">
        <w:rPr>
          <w:vertAlign w:val="superscript"/>
        </w:rPr>
        <w:footnoteReference w:id="364"/>
      </w:r>
      <w:r>
        <w:t xml:space="preserve"> Recognising the at times precarious employment of </w:t>
      </w:r>
      <w:r w:rsidR="00122A67">
        <w:t>MoP</w:t>
      </w:r>
      <w:r w:rsidR="001F77C1">
        <w:t>(S)</w:t>
      </w:r>
      <w:r>
        <w:t xml:space="preserve"> Act </w:t>
      </w:r>
      <w:r w:rsidR="0057230A">
        <w:t>employees</w:t>
      </w:r>
      <w:r>
        <w:t xml:space="preserve">, the </w:t>
      </w:r>
      <w:r w:rsidR="00982005">
        <w:t>EA</w:t>
      </w:r>
      <w:r>
        <w:t xml:space="preserve"> defines ‘continuous service’ as a combined period of both prior service</w:t>
      </w:r>
      <w:r w:rsidRPr="00236E1F">
        <w:rPr>
          <w:vertAlign w:val="superscript"/>
        </w:rPr>
        <w:footnoteReference w:id="365"/>
      </w:r>
      <w:r>
        <w:t xml:space="preserve"> and ongoing or non-ongoing (but not casual) employment under the </w:t>
      </w:r>
      <w:r w:rsidR="00122A67">
        <w:t>MoP</w:t>
      </w:r>
      <w:r w:rsidR="001F77C1">
        <w:t>(S)</w:t>
      </w:r>
      <w:r>
        <w:t xml:space="preserve"> Act.</w:t>
      </w:r>
      <w:r w:rsidRPr="00236E1F">
        <w:rPr>
          <w:vertAlign w:val="superscript"/>
        </w:rPr>
        <w:footnoteReference w:id="366"/>
      </w:r>
    </w:p>
    <w:p w14:paraId="06E8B73B" w14:textId="77777777" w:rsidR="00117317" w:rsidRDefault="00117317" w:rsidP="00117317">
      <w:r>
        <w:t xml:space="preserve">The </w:t>
      </w:r>
      <w:r w:rsidR="00982005">
        <w:t>EA</w:t>
      </w:r>
      <w:r>
        <w:t xml:space="preserve"> currently allows for a career transition payment (CTP) which provides for up to $500 to cover career transition counselling, training or financial advice upon separation.</w:t>
      </w:r>
      <w:r>
        <w:rPr>
          <w:rStyle w:val="FootnoteReference"/>
        </w:rPr>
        <w:footnoteReference w:id="367"/>
      </w:r>
      <w:r>
        <w:t xml:space="preserve"> Eligibility for the CTP payment is contingent on approval from Finance, and must occur within six months of termination.</w:t>
      </w:r>
      <w:r>
        <w:rPr>
          <w:rStyle w:val="FootnoteReference"/>
        </w:rPr>
        <w:footnoteReference w:id="368"/>
      </w:r>
    </w:p>
    <w:p w14:paraId="28C9FDAB" w14:textId="77777777" w:rsidR="00BC69C9" w:rsidRDefault="00BC69C9" w:rsidP="00117317">
      <w:r>
        <w:t xml:space="preserve">Finance currently provides information on the MaPS website in relation to termination entitlements, in addition to offering opportunities for outgoing MoP(S) </w:t>
      </w:r>
      <w:r w:rsidR="002D62B0">
        <w:t xml:space="preserve">Act employees </w:t>
      </w:r>
      <w:r>
        <w:t xml:space="preserve">to </w:t>
      </w:r>
      <w:r w:rsidR="00EF392E">
        <w:t xml:space="preserve">voluntarily </w:t>
      </w:r>
      <w:r>
        <w:t xml:space="preserve">undergo exit interviews with MaPS representatives. MaPS also offers </w:t>
      </w:r>
      <w:r w:rsidR="00EF392E">
        <w:t>to share feedback provided during these interviews with employing parliamentarians on an optional and confidential basis.</w:t>
      </w:r>
      <w:r w:rsidR="00EF392E">
        <w:rPr>
          <w:rStyle w:val="FootnoteReference"/>
        </w:rPr>
        <w:footnoteReference w:id="369"/>
      </w:r>
    </w:p>
    <w:p w14:paraId="1665B5D8" w14:textId="77777777" w:rsidR="00117317" w:rsidRPr="00DC13DA" w:rsidRDefault="00117317" w:rsidP="00051BDA">
      <w:pPr>
        <w:pStyle w:val="Heading4"/>
      </w:pPr>
      <w:r w:rsidRPr="00DC13DA">
        <w:t>What we heard</w:t>
      </w:r>
    </w:p>
    <w:p w14:paraId="6E4E6A2A" w14:textId="0ABE4C86" w:rsidR="00F17785" w:rsidRDefault="00F17785" w:rsidP="00117317">
      <w:r>
        <w:t xml:space="preserve">We heard from both current and former </w:t>
      </w:r>
      <w:r w:rsidR="005E76B6">
        <w:t>MoP(S) Act</w:t>
      </w:r>
      <w:r>
        <w:t xml:space="preserve"> </w:t>
      </w:r>
      <w:r w:rsidR="00E031DA">
        <w:t>employees</w:t>
      </w:r>
      <w:r>
        <w:t xml:space="preserve"> that, although parties sometimes assisted with redeployment, there was no formal mechanism for consideration of redeployment opportunities or pathways to other employment like the APS.</w:t>
      </w:r>
    </w:p>
    <w:p w14:paraId="56FDEAD8" w14:textId="77777777" w:rsidR="00117317" w:rsidRDefault="00117317" w:rsidP="00117317">
      <w:r>
        <w:t xml:space="preserve">A number of Review </w:t>
      </w:r>
      <w:r w:rsidR="00C55CD6">
        <w:t>contributor</w:t>
      </w:r>
      <w:r>
        <w:t xml:space="preserve">s who had formerly been employed under the </w:t>
      </w:r>
      <w:r w:rsidR="00122A67">
        <w:t>MoP</w:t>
      </w:r>
      <w:r w:rsidR="001F77C1">
        <w:t>(S)</w:t>
      </w:r>
      <w:r>
        <w:t xml:space="preserve"> Act stated that they felt that they did not have sufficient support after employment ceased.</w:t>
      </w:r>
    </w:p>
    <w:p w14:paraId="66275654" w14:textId="7BA9B32D" w:rsidR="00117317" w:rsidRDefault="00460DB2" w:rsidP="00117317">
      <w:r>
        <w:t>F</w:t>
      </w:r>
      <w:r w:rsidR="00117317">
        <w:t>eedback received by the Review included</w:t>
      </w:r>
      <w:r>
        <w:t xml:space="preserve"> the following</w:t>
      </w:r>
      <w:r w:rsidR="00117317">
        <w:t>:</w:t>
      </w:r>
    </w:p>
    <w:p w14:paraId="0E27CA02" w14:textId="75238038" w:rsidR="00117317" w:rsidRDefault="00DB7791" w:rsidP="00117317">
      <w:pPr>
        <w:pStyle w:val="BulletedList-Level1"/>
      </w:pPr>
      <w:r>
        <w:t>e</w:t>
      </w:r>
      <w:r w:rsidR="00117317">
        <w:t>xit interviews were rarely and inconsistently conducted</w:t>
      </w:r>
    </w:p>
    <w:p w14:paraId="277D5B03" w14:textId="692173E4" w:rsidR="00117317" w:rsidRDefault="00DB7791" w:rsidP="00117317">
      <w:pPr>
        <w:pStyle w:val="BulletedList-Level1"/>
      </w:pPr>
      <w:r>
        <w:t>t</w:t>
      </w:r>
      <w:r w:rsidR="00117317">
        <w:t>here is a broad lack of awareness regarding the CTP subsidy, and those who did attempt to access it found the process in applying for it extremely difficult and in many cases gave up entirely</w:t>
      </w:r>
    </w:p>
    <w:p w14:paraId="0F1942FB" w14:textId="2FD4E2CA" w:rsidR="00117317" w:rsidRDefault="00DB7791" w:rsidP="00117317">
      <w:pPr>
        <w:pStyle w:val="BulletedList-Level1"/>
      </w:pPr>
      <w:r>
        <w:t>v</w:t>
      </w:r>
      <w:r w:rsidR="00117317">
        <w:t xml:space="preserve">ery little support </w:t>
      </w:r>
      <w:r w:rsidR="00582385">
        <w:t xml:space="preserve">(such as referrals to support </w:t>
      </w:r>
      <w:r w:rsidR="00117317">
        <w:t>services or pastoral support</w:t>
      </w:r>
      <w:r w:rsidR="00582385">
        <w:t>)</w:t>
      </w:r>
      <w:r w:rsidR="00117317">
        <w:t xml:space="preserve"> was offered by the parliamentarian or</w:t>
      </w:r>
      <w:r w:rsidR="00117317" w:rsidRPr="002739BF">
        <w:t xml:space="preserve"> </w:t>
      </w:r>
      <w:r w:rsidR="00117317">
        <w:t>Finance</w:t>
      </w:r>
      <w:r w:rsidR="002F34E6">
        <w:t xml:space="preserve">, </w:t>
      </w:r>
      <w:r w:rsidR="00117317">
        <w:t>and</w:t>
      </w:r>
    </w:p>
    <w:p w14:paraId="572B5632" w14:textId="4C3995B9" w:rsidR="00117317" w:rsidRDefault="00DB7791" w:rsidP="00117317">
      <w:pPr>
        <w:pStyle w:val="BulletedList-Level1"/>
      </w:pPr>
      <w:r>
        <w:t>p</w:t>
      </w:r>
      <w:r w:rsidR="00E510E9">
        <w:t>articipants experiencing a l</w:t>
      </w:r>
      <w:r w:rsidR="00117317">
        <w:t xml:space="preserve">ack of closure from </w:t>
      </w:r>
      <w:r w:rsidR="00E510E9">
        <w:t xml:space="preserve">the absence </w:t>
      </w:r>
      <w:r w:rsidR="00117317">
        <w:t>of exit interviews and minimal contact afterwards from colleagues, supervisors or Finance.</w:t>
      </w:r>
    </w:p>
    <w:p w14:paraId="3496B327" w14:textId="28D88ECE" w:rsidR="00117317" w:rsidRDefault="00117317" w:rsidP="00117317">
      <w:r>
        <w:t>For a particular cohort of participants who had experienced termination as a result of staffing allocation changes</w:t>
      </w:r>
      <w:r w:rsidR="00582385">
        <w:t xml:space="preserve"> made under a section 12 determination</w:t>
      </w:r>
      <w:r>
        <w:t xml:space="preserve">, </w:t>
      </w:r>
      <w:r w:rsidR="00FC353C">
        <w:t xml:space="preserve">they felt that </w:t>
      </w:r>
      <w:r>
        <w:t xml:space="preserve">advice on how the determination affected them was not provided in a timely manner. A number of submissions stated that </w:t>
      </w:r>
      <w:r w:rsidR="00FC353C">
        <w:t>there was a delay in receiving</w:t>
      </w:r>
      <w:r>
        <w:t xml:space="preserve"> formal advice from Finance upon the determination being made, and were uncertain how it affected them and whether they were eligible for any entitlements.</w:t>
      </w:r>
    </w:p>
    <w:p w14:paraId="1463A3BB" w14:textId="0EF9C66E" w:rsidR="00AE6C41" w:rsidRDefault="00AE6C41">
      <w:pPr>
        <w:spacing w:after="200"/>
      </w:pPr>
      <w:r>
        <w:br w:type="page"/>
      </w:r>
    </w:p>
    <w:p w14:paraId="4D8CF820" w14:textId="2595D8CC" w:rsidR="00117317" w:rsidRPr="001F20C8" w:rsidRDefault="00DC13DA" w:rsidP="00051BDA">
      <w:pPr>
        <w:pStyle w:val="Heading3"/>
      </w:pPr>
      <w:r>
        <w:t>6.</w:t>
      </w:r>
      <w:r w:rsidR="001F6DC6">
        <w:t>7</w:t>
      </w:r>
      <w:r w:rsidR="00117317">
        <w:t>.2</w:t>
      </w:r>
      <w:r w:rsidR="00117317" w:rsidRPr="00FA64B1">
        <w:t xml:space="preserve"> </w:t>
      </w:r>
      <w:r w:rsidR="00117317" w:rsidRPr="001F20C8">
        <w:t>Options for improvement</w:t>
      </w:r>
    </w:p>
    <w:p w14:paraId="7F4DE132" w14:textId="6092323A" w:rsidR="00362B5D" w:rsidRDefault="00362B5D" w:rsidP="00891F33">
      <w:r>
        <w:t>Consideration of redeployment of staff who separate, particularly following a relationship breakdown as opposed to a lack of suitability, is an option that should be explored by the OPSC once established. Whil</w:t>
      </w:r>
      <w:r w:rsidR="00953741">
        <w:t>e</w:t>
      </w:r>
      <w:r>
        <w:t xml:space="preserve"> redeployment is considered in some jurisdictions (New Zealand for example), many jurisdictions note that sometimes there is a reluctance by parliamentarians to hire staff of other parliamentarians. However, there are opportunities to explore a framework that could help connect former staff with </w:t>
      </w:r>
      <w:r w:rsidR="00AC7D5F">
        <w:t>prospective employers.</w:t>
      </w:r>
    </w:p>
    <w:p w14:paraId="0E834B66" w14:textId="7DA6B3D5" w:rsidR="00362B5D" w:rsidRDefault="00362B5D" w:rsidP="00891F33">
      <w:r>
        <w:t>Some respondents also suggested that pathways to APS recruitment could be explored. However, within APS recruitment rules, this would likely need to be by the provision of guidance on how they might apply and training to make them more competitive.</w:t>
      </w:r>
    </w:p>
    <w:p w14:paraId="10A66F0F" w14:textId="51D04456" w:rsidR="00117317" w:rsidRDefault="00117317" w:rsidP="00891F33">
      <w:r>
        <w:t xml:space="preserve">Some Review participants suggested that mandatory exit interviews should be conducted with terminated staff, regardless of the reasons for their departure. Exit interviews would be a beneficial addition to the MoP(S) framework </w:t>
      </w:r>
      <w:r w:rsidR="002F34E6">
        <w:t xml:space="preserve">because </w:t>
      </w:r>
      <w:r w:rsidR="00891F33">
        <w:t>they</w:t>
      </w:r>
      <w:r w:rsidR="002F34E6">
        <w:t xml:space="preserve"> would</w:t>
      </w:r>
      <w:r>
        <w:t>:</w:t>
      </w:r>
    </w:p>
    <w:p w14:paraId="5BFF3A89" w14:textId="0DEB271A" w:rsidR="00117317" w:rsidRDefault="00117317" w:rsidP="00117317">
      <w:pPr>
        <w:pStyle w:val="BulletedList-Level1"/>
      </w:pPr>
      <w:r>
        <w:t>provide employees with a sense of closure after their employment has ceased</w:t>
      </w:r>
      <w:r w:rsidR="00F853BD">
        <w:t xml:space="preserve">, which some participants </w:t>
      </w:r>
      <w:r w:rsidR="00421116">
        <w:t>told us was important</w:t>
      </w:r>
      <w:r w:rsidR="00F853BD">
        <w:t xml:space="preserve"> to them</w:t>
      </w:r>
    </w:p>
    <w:p w14:paraId="69757A6D" w14:textId="35714D68" w:rsidR="00F853BD" w:rsidRDefault="008445EF" w:rsidP="00117317">
      <w:pPr>
        <w:pStyle w:val="BulletedList-Level1"/>
      </w:pPr>
      <w:r>
        <w:t>align with</w:t>
      </w:r>
      <w:r w:rsidR="00117317">
        <w:t xml:space="preserve"> </w:t>
      </w:r>
      <w:r w:rsidR="00F853BD">
        <w:t xml:space="preserve">best </w:t>
      </w:r>
      <w:r w:rsidR="00117317">
        <w:t xml:space="preserve">practice across other industries </w:t>
      </w:r>
      <w:r w:rsidR="00F853BD">
        <w:t>and</w:t>
      </w:r>
      <w:r w:rsidR="00117317">
        <w:t xml:space="preserve"> </w:t>
      </w:r>
      <w:r w:rsidR="00F853BD">
        <w:t>jurisdictions</w:t>
      </w:r>
      <w:r w:rsidR="00117317">
        <w:t xml:space="preserve"> in terms of end of employment processes. </w:t>
      </w:r>
      <w:r w:rsidR="008512D2">
        <w:t>In</w:t>
      </w:r>
      <w:r w:rsidR="00117317">
        <w:t xml:space="preserve"> </w:t>
      </w:r>
      <w:r w:rsidR="00952007">
        <w:t>the</w:t>
      </w:r>
      <w:r w:rsidR="00117317">
        <w:t xml:space="preserve"> New Zealand </w:t>
      </w:r>
      <w:r>
        <w:t xml:space="preserve">parliamentary </w:t>
      </w:r>
      <w:r w:rsidR="00117317">
        <w:t xml:space="preserve">context, </w:t>
      </w:r>
      <w:r w:rsidR="008512D2">
        <w:t>for example,</w:t>
      </w:r>
      <w:r w:rsidR="00117317">
        <w:t xml:space="preserve"> it </w:t>
      </w:r>
      <w:r w:rsidR="008512D2">
        <w:t>is now</w:t>
      </w:r>
      <w:r w:rsidR="00117317">
        <w:t xml:space="preserve"> mandatory for exit interviews to be conducted upon the termination of </w:t>
      </w:r>
      <w:r w:rsidR="008512D2">
        <w:t>employment</w:t>
      </w:r>
      <w:r w:rsidR="00117317">
        <w:rPr>
          <w:rStyle w:val="FootnoteReference"/>
        </w:rPr>
        <w:footnoteReference w:id="370"/>
      </w:r>
    </w:p>
    <w:p w14:paraId="78C58867" w14:textId="5BB1A7A8" w:rsidR="008512D2" w:rsidRDefault="008512D2" w:rsidP="008512D2">
      <w:pPr>
        <w:pStyle w:val="BulletedList-Level1"/>
      </w:pPr>
      <w:r>
        <w:t xml:space="preserve">if the OPSC conducts exit interviews, </w:t>
      </w:r>
      <w:r w:rsidR="00952007">
        <w:t>it can</w:t>
      </w:r>
      <w:r>
        <w:t xml:space="preserve"> </w:t>
      </w:r>
      <w:r w:rsidR="00952007">
        <w:t>gain</w:t>
      </w:r>
      <w:r>
        <w:t xml:space="preserve"> insights into individual offices and broader trends across offices to inform the work of the OPSC</w:t>
      </w:r>
      <w:r w:rsidRPr="008512D2">
        <w:t>.</w:t>
      </w:r>
    </w:p>
    <w:p w14:paraId="59D22268" w14:textId="21416113" w:rsidR="00F853BD" w:rsidRDefault="00F853BD" w:rsidP="00F853BD">
      <w:r>
        <w:t xml:space="preserve">One element for consideration in introducing mandatory exit interviews is </w:t>
      </w:r>
      <w:r w:rsidR="00F10C62">
        <w:t>who</w:t>
      </w:r>
      <w:r>
        <w:t xml:space="preserve"> should </w:t>
      </w:r>
      <w:r w:rsidR="00F10C62">
        <w:t>participate</w:t>
      </w:r>
      <w:r>
        <w:t xml:space="preserve">. </w:t>
      </w:r>
      <w:r w:rsidR="003C699D">
        <w:t xml:space="preserve">Specifically, </w:t>
      </w:r>
      <w:r>
        <w:t xml:space="preserve">whether the OPSC should conduct exit interviews, or if parliamentarians should be required or invited to attend. </w:t>
      </w:r>
      <w:r w:rsidR="00AD6836">
        <w:t>The Review notes this could be considered on a case</w:t>
      </w:r>
      <w:r w:rsidR="00673108">
        <w:t>-</w:t>
      </w:r>
      <w:r w:rsidR="00AD6836">
        <w:t>by</w:t>
      </w:r>
      <w:r w:rsidR="00673108">
        <w:t>-</w:t>
      </w:r>
      <w:r w:rsidR="00AD6836">
        <w:t xml:space="preserve">case basis </w:t>
      </w:r>
      <w:r w:rsidR="00440102">
        <w:t>and with</w:t>
      </w:r>
      <w:r w:rsidR="00AD6836">
        <w:t xml:space="preserve"> </w:t>
      </w:r>
      <w:r w:rsidR="009C17EB">
        <w:t xml:space="preserve">regard </w:t>
      </w:r>
      <w:r w:rsidR="00AD6836">
        <w:t>to</w:t>
      </w:r>
      <w:r w:rsidR="009C17EB">
        <w:t xml:space="preserve"> the wellbeing or safety of either party. These are matters which the OPSC </w:t>
      </w:r>
      <w:r w:rsidR="00AD6836">
        <w:t>c</w:t>
      </w:r>
      <w:r w:rsidR="009C17EB">
        <w:t xml:space="preserve">ould consider in </w:t>
      </w:r>
      <w:r w:rsidR="00AD6836">
        <w:t xml:space="preserve">designing any processes around </w:t>
      </w:r>
      <w:r w:rsidR="009C17EB">
        <w:t>exit interviews.</w:t>
      </w:r>
    </w:p>
    <w:p w14:paraId="6D7EE019" w14:textId="77777777" w:rsidR="00BA3D5B" w:rsidRDefault="00E510E9" w:rsidP="00F661AC">
      <w:r>
        <w:t xml:space="preserve">In addition, improved communication from Finance or other responsible entities were argued to be a key method of improving </w:t>
      </w:r>
      <w:r w:rsidR="00BA3D5B">
        <w:t>post-employment support</w:t>
      </w:r>
      <w:r>
        <w:t xml:space="preserve"> for employees. </w:t>
      </w:r>
      <w:r w:rsidR="00BA3D5B">
        <w:t xml:space="preserve">Participants particularly emphasised </w:t>
      </w:r>
      <w:r w:rsidR="00F661AC">
        <w:t xml:space="preserve">that </w:t>
      </w:r>
      <w:r w:rsidR="00BA3D5B">
        <w:t xml:space="preserve">improvement </w:t>
      </w:r>
      <w:r w:rsidR="00F661AC">
        <w:t>was needed in relation to t</w:t>
      </w:r>
      <w:r>
        <w:t>imely responses to queries from employees</w:t>
      </w:r>
      <w:r w:rsidR="00F661AC">
        <w:t xml:space="preserve"> and pro</w:t>
      </w:r>
      <w:r w:rsidR="00BA3D5B">
        <w:t xml:space="preserve">mpt advice in relation to </w:t>
      </w:r>
      <w:r w:rsidR="00F661AC">
        <w:t xml:space="preserve">automatic </w:t>
      </w:r>
      <w:r w:rsidR="00BA3D5B">
        <w:t>termination</w:t>
      </w:r>
      <w:r w:rsidR="00F661AC">
        <w:t>.</w:t>
      </w:r>
    </w:p>
    <w:p w14:paraId="0CF1908B" w14:textId="77777777" w:rsidR="00AD5904" w:rsidRDefault="00AD5904" w:rsidP="00F661AC"/>
    <w:p w14:paraId="376803A3" w14:textId="35493EB5" w:rsidR="00117317" w:rsidRPr="00DC13DA" w:rsidRDefault="00AD5904" w:rsidP="00051BDA">
      <w:pPr>
        <w:pStyle w:val="Heading3"/>
      </w:pPr>
      <w:r>
        <w:t xml:space="preserve">6.7.3 </w:t>
      </w:r>
      <w:r w:rsidR="006A487B">
        <w:t>C</w:t>
      </w:r>
      <w:r w:rsidR="00117317" w:rsidRPr="00DC13DA">
        <w:t>onclusion</w:t>
      </w:r>
    </w:p>
    <w:p w14:paraId="145F18FD" w14:textId="1F8A01C3" w:rsidR="00117317" w:rsidRDefault="00117317" w:rsidP="00117317">
      <w:r>
        <w:t xml:space="preserve">While it is clear that there are a number of ways in which termination can be better managed, particularly in relation to post-employment support, this Review does not </w:t>
      </w:r>
      <w:r w:rsidR="00F17785">
        <w:t>propose</w:t>
      </w:r>
      <w:r>
        <w:t xml:space="preserve"> making any changes to the Act to </w:t>
      </w:r>
      <w:r w:rsidR="00C457FF">
        <w:t>address post-employment support</w:t>
      </w:r>
      <w:r>
        <w:t xml:space="preserve">. </w:t>
      </w:r>
      <w:r w:rsidR="00F17785">
        <w:t>However, t</w:t>
      </w:r>
      <w:r>
        <w:t xml:space="preserve">he OPSC </w:t>
      </w:r>
      <w:r w:rsidR="00C457FF">
        <w:t xml:space="preserve">should </w:t>
      </w:r>
      <w:r w:rsidR="00362B5D">
        <w:t>provide</w:t>
      </w:r>
      <w:r>
        <w:t xml:space="preserve"> supports for staff during and after termination</w:t>
      </w:r>
      <w:r w:rsidR="00362B5D">
        <w:t>, which</w:t>
      </w:r>
      <w:r>
        <w:t xml:space="preserve"> could includ</w:t>
      </w:r>
      <w:r w:rsidR="00362B5D">
        <w:t>e</w:t>
      </w:r>
      <w:r>
        <w:t>:</w:t>
      </w:r>
    </w:p>
    <w:p w14:paraId="5CD4AE86" w14:textId="3398476F" w:rsidR="00F17785" w:rsidRDefault="00F17785" w:rsidP="00FD5B9B">
      <w:pPr>
        <w:pStyle w:val="BulletedList-Level1"/>
      </w:pPr>
      <w:r>
        <w:t>consideration of mechanisms to support potential redeployments</w:t>
      </w:r>
    </w:p>
    <w:p w14:paraId="73F93A6C" w14:textId="6D77E75E" w:rsidR="00F17785" w:rsidRDefault="00F17785" w:rsidP="00FD5B9B">
      <w:pPr>
        <w:pStyle w:val="BulletedList-Level1"/>
      </w:pPr>
      <w:r>
        <w:t xml:space="preserve">exploring </w:t>
      </w:r>
      <w:r w:rsidR="00362B5D">
        <w:t>linkages to opportunities within the APS</w:t>
      </w:r>
    </w:p>
    <w:p w14:paraId="1F4E698B" w14:textId="38ABEC7F" w:rsidR="00117317" w:rsidRDefault="00AD6836" w:rsidP="00D773A9">
      <w:pPr>
        <w:pStyle w:val="BulletedList-Level1"/>
      </w:pPr>
      <w:r>
        <w:t xml:space="preserve">encouraging </w:t>
      </w:r>
      <w:r w:rsidR="00117317">
        <w:t>parliamentarians to conduct exit interviews upon any kind of cessation of employment, which could be conducted with or without an OPSC representative</w:t>
      </w:r>
    </w:p>
    <w:p w14:paraId="1E33C5DA" w14:textId="6F1F7EF4" w:rsidR="00117317" w:rsidRDefault="00117317" w:rsidP="00D773A9">
      <w:pPr>
        <w:pStyle w:val="BulletedList-Level1"/>
      </w:pPr>
      <w:r>
        <w:t>conduct</w:t>
      </w:r>
      <w:r w:rsidR="00AD6836">
        <w:t>ing</w:t>
      </w:r>
      <w:r>
        <w:t xml:space="preserve"> separate exit interviews without the parliamentarian</w:t>
      </w:r>
      <w:r w:rsidR="00AD6836">
        <w:t xml:space="preserve"> </w:t>
      </w:r>
      <w:r>
        <w:t>to understand the reasons for the cessation of employment</w:t>
      </w:r>
    </w:p>
    <w:p w14:paraId="4339F331" w14:textId="56058A66" w:rsidR="00117317" w:rsidRDefault="002F34E6" w:rsidP="00D773A9">
      <w:pPr>
        <w:pStyle w:val="BulletedList-Level1"/>
      </w:pPr>
      <w:r>
        <w:t>i</w:t>
      </w:r>
      <w:r w:rsidR="00117317">
        <w:t xml:space="preserve">dentifying appropriate support and psychological services for MoP(S) </w:t>
      </w:r>
      <w:r w:rsidR="000C429B">
        <w:t xml:space="preserve">Act </w:t>
      </w:r>
      <w:r w:rsidR="00117317">
        <w:t>employees and parliamentarians</w:t>
      </w:r>
    </w:p>
    <w:p w14:paraId="21338515" w14:textId="7DE8F0A9" w:rsidR="00F55DC4" w:rsidRDefault="00117317" w:rsidP="0055271A">
      <w:pPr>
        <w:pStyle w:val="BulletedList-Level1"/>
      </w:pPr>
      <w:r>
        <w:t xml:space="preserve">appropriate record-keeping systems on cessations, and providing public reporting on the types and numbers of terminations to encourage parliamentarians to address excess terminations and identify ‘hot spots’ in offices with high </w:t>
      </w:r>
      <w:r w:rsidR="00E50F31">
        <w:t>staff</w:t>
      </w:r>
      <w:r>
        <w:t xml:space="preserve"> turnover</w:t>
      </w:r>
      <w:r w:rsidDel="001536D7">
        <w:t>.</w:t>
      </w:r>
      <w:r w:rsidR="00F55DC4">
        <w:br w:type="page"/>
      </w:r>
    </w:p>
    <w:p w14:paraId="508527C8" w14:textId="18901A90" w:rsidR="00F55DC4" w:rsidRPr="000F2E36" w:rsidRDefault="00B46D82" w:rsidP="00F55DC4">
      <w:pPr>
        <w:pStyle w:val="Heading1"/>
      </w:pPr>
      <w:bookmarkStart w:id="7542" w:name="_Toc104212799"/>
      <w:bookmarkStart w:id="7543" w:name="_Toc114230913"/>
      <w:bookmarkStart w:id="7544" w:name="_Toc114233618"/>
      <w:bookmarkStart w:id="7545" w:name="_Toc114233690"/>
      <w:bookmarkStart w:id="7546" w:name="_Toc114240647"/>
      <w:bookmarkStart w:id="7547" w:name="_Toc114240721"/>
      <w:bookmarkStart w:id="7548" w:name="_Toc114241065"/>
      <w:bookmarkStart w:id="7549" w:name="_Toc114494089"/>
      <w:bookmarkStart w:id="7550" w:name="_Toc114500340"/>
      <w:bookmarkStart w:id="7551" w:name="_Toc114500415"/>
      <w:bookmarkStart w:id="7552" w:name="_Toc114518688"/>
      <w:bookmarkStart w:id="7553" w:name="_Toc114520360"/>
      <w:bookmarkStart w:id="7554" w:name="_Toc114520769"/>
      <w:bookmarkStart w:id="7555" w:name="_Toc114565797"/>
      <w:bookmarkStart w:id="7556" w:name="_Toc114566778"/>
      <w:bookmarkStart w:id="7557" w:name="_Toc114567003"/>
      <w:bookmarkStart w:id="7558" w:name="_Toc114566927"/>
      <w:bookmarkStart w:id="7559" w:name="_Toc114585925"/>
      <w:bookmarkStart w:id="7560" w:name="_Toc114586069"/>
      <w:bookmarkStart w:id="7561" w:name="_Toc114586141"/>
      <w:bookmarkStart w:id="7562" w:name="_Toc114601281"/>
      <w:bookmarkStart w:id="7563" w:name="_Toc114657322"/>
      <w:bookmarkStart w:id="7564" w:name="_Toc114659784"/>
      <w:bookmarkStart w:id="7565" w:name="_Toc114662769"/>
      <w:bookmarkStart w:id="7566" w:name="_Toc114665152"/>
      <w:bookmarkStart w:id="7567" w:name="_Toc114672460"/>
      <w:bookmarkStart w:id="7568" w:name="_Toc114672673"/>
      <w:bookmarkStart w:id="7569" w:name="_Toc114673228"/>
      <w:bookmarkStart w:id="7570" w:name="_Toc114673814"/>
      <w:bookmarkStart w:id="7571" w:name="_Toc114674339"/>
      <w:bookmarkStart w:id="7572" w:name="_Toc114687512"/>
      <w:bookmarkStart w:id="7573" w:name="_Toc114689976"/>
      <w:bookmarkStart w:id="7574" w:name="_Toc114731839"/>
      <w:bookmarkStart w:id="7575" w:name="_Toc114733604"/>
      <w:bookmarkStart w:id="7576" w:name="_Toc114735545"/>
      <w:bookmarkStart w:id="7577" w:name="_Toc114755873"/>
      <w:bookmarkStart w:id="7578" w:name="_Toc114757178"/>
      <w:bookmarkStart w:id="7579" w:name="_Toc114757462"/>
      <w:bookmarkStart w:id="7580" w:name="_Toc114757564"/>
      <w:bookmarkStart w:id="7581" w:name="_Toc114758237"/>
      <w:bookmarkStart w:id="7582" w:name="_Toc114824407"/>
      <w:bookmarkStart w:id="7583" w:name="_Toc114829483"/>
      <w:bookmarkStart w:id="7584" w:name="_Toc114829847"/>
      <w:bookmarkStart w:id="7585" w:name="_Toc114829991"/>
      <w:bookmarkStart w:id="7586" w:name="_Toc115099070"/>
      <w:bookmarkStart w:id="7587" w:name="_Toc115099142"/>
      <w:bookmarkStart w:id="7588" w:name="_Toc115101719"/>
      <w:bookmarkStart w:id="7589" w:name="_Toc115102564"/>
      <w:bookmarkStart w:id="7590" w:name="_Toc115105537"/>
      <w:bookmarkStart w:id="7591" w:name="_Toc115110398"/>
      <w:bookmarkStart w:id="7592" w:name="_Toc115110525"/>
      <w:bookmarkStart w:id="7593" w:name="_Toc115121643"/>
      <w:bookmarkStart w:id="7594" w:name="_Toc115122013"/>
      <w:bookmarkStart w:id="7595" w:name="_Toc115123493"/>
      <w:bookmarkStart w:id="7596" w:name="_Toc115123741"/>
      <w:bookmarkStart w:id="7597" w:name="_Toc115126873"/>
      <w:bookmarkStart w:id="7598" w:name="_Toc115185507"/>
      <w:bookmarkStart w:id="7599" w:name="_Toc115186134"/>
      <w:bookmarkStart w:id="7600" w:name="_Toc115189292"/>
      <w:bookmarkStart w:id="7601" w:name="_Toc115194265"/>
      <w:bookmarkStart w:id="7602" w:name="_Toc115195002"/>
      <w:bookmarkStart w:id="7603" w:name="_Toc115196412"/>
      <w:bookmarkStart w:id="7604" w:name="_Toc115198913"/>
      <w:bookmarkStart w:id="7605" w:name="_Toc115208928"/>
      <w:bookmarkStart w:id="7606" w:name="_Toc115209064"/>
      <w:bookmarkStart w:id="7607" w:name="_Toc115210395"/>
      <w:bookmarkStart w:id="7608" w:name="_Toc115212620"/>
      <w:bookmarkStart w:id="7609" w:name="_Toc115213260"/>
      <w:bookmarkStart w:id="7610" w:name="_Toc115216758"/>
      <w:bookmarkStart w:id="7611" w:name="_Toc115270449"/>
      <w:bookmarkStart w:id="7612" w:name="_Toc115271392"/>
      <w:bookmarkStart w:id="7613" w:name="_Toc115272309"/>
      <w:bookmarkStart w:id="7614" w:name="_Toc115273479"/>
      <w:bookmarkStart w:id="7615" w:name="_Toc115273407"/>
      <w:bookmarkStart w:id="7616" w:name="_Toc115274309"/>
      <w:bookmarkStart w:id="7617" w:name="_Toc115274660"/>
      <w:bookmarkStart w:id="7618" w:name="_Toc115274886"/>
      <w:bookmarkStart w:id="7619" w:name="_Toc115275243"/>
      <w:bookmarkStart w:id="7620" w:name="_Toc115275386"/>
      <w:bookmarkStart w:id="7621" w:name="_Toc115274223"/>
      <w:bookmarkStart w:id="7622" w:name="_Toc115274524"/>
      <w:bookmarkStart w:id="7623" w:name="_Toc115274592"/>
      <w:bookmarkStart w:id="7624" w:name="_Toc115274750"/>
      <w:bookmarkStart w:id="7625" w:name="_Toc115277484"/>
      <w:bookmarkStart w:id="7626" w:name="_Toc115277688"/>
      <w:bookmarkStart w:id="7627" w:name="_Toc115278577"/>
      <w:bookmarkStart w:id="7628" w:name="_Toc115278657"/>
      <w:bookmarkStart w:id="7629" w:name="_Toc115282327"/>
      <w:bookmarkStart w:id="7630" w:name="_Toc115284780"/>
      <w:bookmarkStart w:id="7631" w:name="_Toc115286872"/>
      <w:bookmarkStart w:id="7632" w:name="_Toc115294806"/>
      <w:bookmarkStart w:id="7633" w:name="_Toc115296386"/>
      <w:bookmarkStart w:id="7634" w:name="_Toc115308572"/>
      <w:bookmarkStart w:id="7635" w:name="_Toc115311224"/>
      <w:bookmarkStart w:id="7636" w:name="_Toc115312704"/>
      <w:bookmarkStart w:id="7637" w:name="_Toc115343878"/>
      <w:bookmarkStart w:id="7638" w:name="_Toc115348316"/>
      <w:bookmarkStart w:id="7639" w:name="_Toc115350414"/>
      <w:bookmarkStart w:id="7640" w:name="_Toc115353502"/>
      <w:bookmarkStart w:id="7641" w:name="_Toc115359533"/>
      <w:bookmarkStart w:id="7642" w:name="_Toc115361937"/>
      <w:bookmarkStart w:id="7643" w:name="_Toc115364330"/>
      <w:bookmarkStart w:id="7644" w:name="_Toc115365424"/>
      <w:bookmarkStart w:id="7645" w:name="_Toc115365764"/>
      <w:bookmarkStart w:id="7646" w:name="_Toc115366228"/>
      <w:bookmarkStart w:id="7647" w:name="_Toc115368571"/>
      <w:bookmarkStart w:id="7648" w:name="_Toc115368678"/>
      <w:bookmarkStart w:id="7649" w:name="_Toc115370118"/>
      <w:bookmarkStart w:id="7650" w:name="_Toc115370852"/>
      <w:bookmarkStart w:id="7651" w:name="_Toc115374424"/>
      <w:bookmarkStart w:id="7652" w:name="_Toc115378763"/>
      <w:bookmarkStart w:id="7653" w:name="_Toc115380995"/>
      <w:bookmarkStart w:id="7654" w:name="_Toc115384147"/>
      <w:bookmarkStart w:id="7655" w:name="_Toc115387376"/>
      <w:bookmarkStart w:id="7656" w:name="_Toc115388842"/>
      <w:bookmarkStart w:id="7657" w:name="_Toc115431480"/>
      <w:bookmarkStart w:id="7658" w:name="_Toc115432858"/>
      <w:bookmarkStart w:id="7659" w:name="_Toc115434429"/>
      <w:bookmarkStart w:id="7660" w:name="_Toc115434528"/>
      <w:bookmarkStart w:id="7661" w:name="_Toc115434597"/>
      <w:bookmarkStart w:id="7662" w:name="_Toc115434666"/>
      <w:bookmarkStart w:id="7663" w:name="_Toc115442833"/>
      <w:bookmarkStart w:id="7664" w:name="_Toc115446369"/>
      <w:bookmarkStart w:id="7665" w:name="_Toc115446379"/>
      <w:bookmarkStart w:id="7666" w:name="_Toc115448076"/>
      <w:bookmarkStart w:id="7667" w:name="_Toc115449468"/>
      <w:bookmarkStart w:id="7668" w:name="_Toc115452488"/>
      <w:bookmarkStart w:id="7669" w:name="_Toc115455305"/>
      <w:bookmarkStart w:id="7670" w:name="_Toc115455371"/>
      <w:bookmarkStart w:id="7671" w:name="_Toc115457321"/>
      <w:bookmarkStart w:id="7672" w:name="_Toc115458157"/>
      <w:bookmarkStart w:id="7673" w:name="_Toc115948185"/>
      <w:bookmarkStart w:id="7674" w:name="_Toc115948632"/>
      <w:r>
        <w:t>7</w:t>
      </w:r>
      <w:r w:rsidR="00F55DC4">
        <w:t xml:space="preserve"> </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r w:rsidR="00025BA6">
        <w:t>Conclusion</w:t>
      </w:r>
      <w:bookmarkEnd w:id="7663"/>
      <w:bookmarkEnd w:id="7664"/>
      <w:bookmarkEnd w:id="7665"/>
      <w:bookmarkEnd w:id="7666"/>
      <w:bookmarkEnd w:id="7667"/>
      <w:bookmarkEnd w:id="7668"/>
      <w:bookmarkEnd w:id="7669"/>
      <w:bookmarkEnd w:id="7670"/>
      <w:bookmarkEnd w:id="7671"/>
      <w:bookmarkEnd w:id="7672"/>
      <w:bookmarkEnd w:id="7673"/>
      <w:bookmarkEnd w:id="7674"/>
    </w:p>
    <w:p w14:paraId="1F54037E" w14:textId="3D4467E8" w:rsidR="00D444B4" w:rsidRDefault="00D444B4" w:rsidP="00D444B4">
      <w:pPr>
        <w:pStyle w:val="Heading2"/>
      </w:pPr>
      <w:bookmarkStart w:id="7675" w:name="_Toc114755874"/>
      <w:bookmarkStart w:id="7676" w:name="_Toc114757179"/>
      <w:bookmarkStart w:id="7677" w:name="_Toc114757463"/>
      <w:bookmarkStart w:id="7678" w:name="_Toc114757565"/>
      <w:bookmarkStart w:id="7679" w:name="_Toc114758238"/>
      <w:bookmarkStart w:id="7680" w:name="_Toc114824408"/>
      <w:bookmarkStart w:id="7681" w:name="_Toc114829484"/>
      <w:bookmarkStart w:id="7682" w:name="_Toc114829848"/>
      <w:bookmarkStart w:id="7683" w:name="_Toc114829992"/>
      <w:bookmarkStart w:id="7684" w:name="_Toc115099071"/>
      <w:bookmarkStart w:id="7685" w:name="_Toc115099143"/>
      <w:bookmarkStart w:id="7686" w:name="_Toc115101720"/>
      <w:bookmarkStart w:id="7687" w:name="_Toc115102565"/>
      <w:bookmarkStart w:id="7688" w:name="_Toc115105538"/>
      <w:bookmarkStart w:id="7689" w:name="_Toc115110399"/>
      <w:bookmarkStart w:id="7690" w:name="_Toc115110526"/>
      <w:bookmarkStart w:id="7691" w:name="_Toc115121644"/>
      <w:bookmarkStart w:id="7692" w:name="_Toc115122014"/>
      <w:bookmarkStart w:id="7693" w:name="_Toc115123494"/>
      <w:bookmarkStart w:id="7694" w:name="_Toc115123742"/>
      <w:bookmarkStart w:id="7695" w:name="_Toc115126874"/>
      <w:bookmarkStart w:id="7696" w:name="_Toc115185508"/>
      <w:bookmarkStart w:id="7697" w:name="_Toc115186135"/>
      <w:bookmarkStart w:id="7698" w:name="_Toc115189293"/>
      <w:bookmarkStart w:id="7699" w:name="_Toc115194266"/>
      <w:bookmarkStart w:id="7700" w:name="_Toc115195003"/>
      <w:bookmarkStart w:id="7701" w:name="_Toc115196413"/>
      <w:bookmarkStart w:id="7702" w:name="_Toc115198914"/>
      <w:bookmarkStart w:id="7703" w:name="_Toc115208929"/>
      <w:bookmarkStart w:id="7704" w:name="_Toc115209065"/>
      <w:bookmarkStart w:id="7705" w:name="_Toc115210396"/>
      <w:bookmarkStart w:id="7706" w:name="_Toc115212621"/>
      <w:bookmarkStart w:id="7707" w:name="_Toc115213261"/>
      <w:bookmarkStart w:id="7708" w:name="_Toc115216759"/>
      <w:bookmarkStart w:id="7709" w:name="_Toc115270450"/>
      <w:bookmarkStart w:id="7710" w:name="_Toc115271393"/>
      <w:bookmarkStart w:id="7711" w:name="_Toc115272310"/>
      <w:bookmarkStart w:id="7712" w:name="_Toc115273480"/>
      <w:bookmarkStart w:id="7713" w:name="_Toc115273408"/>
      <w:bookmarkStart w:id="7714" w:name="_Toc115274310"/>
      <w:bookmarkStart w:id="7715" w:name="_Toc115274661"/>
      <w:bookmarkStart w:id="7716" w:name="_Toc115274887"/>
      <w:bookmarkStart w:id="7717" w:name="_Toc115275244"/>
      <w:bookmarkStart w:id="7718" w:name="_Toc115275387"/>
      <w:bookmarkStart w:id="7719" w:name="_Toc115274224"/>
      <w:bookmarkStart w:id="7720" w:name="_Toc115274525"/>
      <w:bookmarkStart w:id="7721" w:name="_Toc115274593"/>
      <w:bookmarkStart w:id="7722" w:name="_Toc115274751"/>
      <w:bookmarkStart w:id="7723" w:name="_Toc115277485"/>
      <w:bookmarkStart w:id="7724" w:name="_Toc115277689"/>
      <w:bookmarkStart w:id="7725" w:name="_Toc115278578"/>
      <w:bookmarkStart w:id="7726" w:name="_Toc115278658"/>
      <w:bookmarkStart w:id="7727" w:name="_Toc115282328"/>
      <w:bookmarkStart w:id="7728" w:name="_Toc115284781"/>
      <w:bookmarkStart w:id="7729" w:name="_Toc115286873"/>
      <w:bookmarkStart w:id="7730" w:name="_Toc115294807"/>
      <w:bookmarkStart w:id="7731" w:name="_Toc115296387"/>
      <w:bookmarkStart w:id="7732" w:name="_Toc115308573"/>
      <w:bookmarkStart w:id="7733" w:name="_Toc115311225"/>
      <w:bookmarkStart w:id="7734" w:name="_Toc115312705"/>
      <w:bookmarkStart w:id="7735" w:name="_Toc115343879"/>
      <w:bookmarkStart w:id="7736" w:name="_Toc115348317"/>
      <w:bookmarkStart w:id="7737" w:name="_Toc115350415"/>
      <w:bookmarkStart w:id="7738" w:name="_Toc115353503"/>
      <w:bookmarkStart w:id="7739" w:name="_Toc115359534"/>
      <w:bookmarkStart w:id="7740" w:name="_Toc115361938"/>
      <w:bookmarkStart w:id="7741" w:name="_Toc115364331"/>
      <w:bookmarkStart w:id="7742" w:name="_Toc115365425"/>
      <w:bookmarkStart w:id="7743" w:name="_Toc115365765"/>
      <w:bookmarkStart w:id="7744" w:name="_Toc115366229"/>
      <w:bookmarkStart w:id="7745" w:name="_Toc115368572"/>
      <w:bookmarkStart w:id="7746" w:name="_Toc115368679"/>
      <w:bookmarkStart w:id="7747" w:name="_Toc115370119"/>
      <w:bookmarkStart w:id="7748" w:name="_Toc115370853"/>
      <w:bookmarkStart w:id="7749" w:name="_Toc115374425"/>
      <w:bookmarkStart w:id="7750" w:name="_Toc115378764"/>
      <w:bookmarkStart w:id="7751" w:name="_Toc115380996"/>
      <w:bookmarkStart w:id="7752" w:name="_Toc115384148"/>
      <w:bookmarkStart w:id="7753" w:name="_Toc115387377"/>
      <w:bookmarkStart w:id="7754" w:name="_Toc115388843"/>
      <w:bookmarkStart w:id="7755" w:name="_Toc115431481"/>
      <w:bookmarkStart w:id="7756" w:name="_Toc115432859"/>
      <w:bookmarkStart w:id="7757" w:name="_Toc115434430"/>
      <w:bookmarkStart w:id="7758" w:name="_Toc115434529"/>
      <w:bookmarkStart w:id="7759" w:name="_Toc115434598"/>
      <w:bookmarkStart w:id="7760" w:name="_Toc115434667"/>
      <w:bookmarkStart w:id="7761" w:name="_Toc115442834"/>
      <w:bookmarkStart w:id="7762" w:name="_Toc115446370"/>
      <w:bookmarkStart w:id="7763" w:name="_Toc115446380"/>
      <w:bookmarkStart w:id="7764" w:name="_Toc115448077"/>
      <w:bookmarkStart w:id="7765" w:name="_Toc115449469"/>
      <w:bookmarkStart w:id="7766" w:name="_Toc115452489"/>
      <w:bookmarkStart w:id="7767" w:name="_Toc115455306"/>
      <w:bookmarkStart w:id="7768" w:name="_Toc115455372"/>
      <w:bookmarkStart w:id="7769" w:name="_Toc115457322"/>
      <w:bookmarkStart w:id="7770" w:name="_Toc115458158"/>
      <w:bookmarkStart w:id="7771" w:name="_Toc115948186"/>
      <w:bookmarkStart w:id="7772" w:name="_Toc115948633"/>
      <w:r>
        <w:t xml:space="preserve">7.1 Statutory </w:t>
      </w:r>
      <w:r w:rsidR="000C4898">
        <w:t>r</w:t>
      </w:r>
      <w:r>
        <w:t>eview</w:t>
      </w:r>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14:paraId="7516B876" w14:textId="77777777" w:rsidR="00D444B4" w:rsidRDefault="00D444B4" w:rsidP="00D444B4">
      <w:r>
        <w:t xml:space="preserve">The Review heard: </w:t>
      </w:r>
    </w:p>
    <w:p w14:paraId="03AF6FD9" w14:textId="77777777" w:rsidR="00D444B4" w:rsidRPr="005520BB" w:rsidRDefault="00D444B4" w:rsidP="00D444B4">
      <w:pPr>
        <w:pStyle w:val="BulletedList-Level1"/>
      </w:pPr>
      <w:r w:rsidRPr="005520BB">
        <w:t xml:space="preserve">calls to build in a legislative review of the Act </w:t>
      </w:r>
    </w:p>
    <w:p w14:paraId="7C627760" w14:textId="5797EFB3" w:rsidR="00D444B4" w:rsidRPr="005520BB" w:rsidRDefault="00D444B4" w:rsidP="00D444B4">
      <w:pPr>
        <w:pStyle w:val="BulletedList-Level1"/>
      </w:pPr>
      <w:r w:rsidRPr="005520BB">
        <w:t xml:space="preserve">the </w:t>
      </w:r>
      <w:r w:rsidRPr="00AA3B05" w:rsidDel="00142173">
        <w:rPr>
          <w:i/>
        </w:rPr>
        <w:t>Set the Standard</w:t>
      </w:r>
      <w:r w:rsidRPr="005520BB">
        <w:t xml:space="preserve"> implementation review</w:t>
      </w:r>
      <w:r>
        <w:rPr>
          <w:rStyle w:val="FootnoteReference"/>
        </w:rPr>
        <w:footnoteReference w:id="371"/>
      </w:r>
      <w:r w:rsidRPr="005520BB">
        <w:t xml:space="preserve"> should examine the interaction between </w:t>
      </w:r>
      <w:r w:rsidR="00544C4A">
        <w:t xml:space="preserve">the </w:t>
      </w:r>
      <w:r w:rsidRPr="005520BB">
        <w:t>M</w:t>
      </w:r>
      <w:r>
        <w:t>o</w:t>
      </w:r>
      <w:r w:rsidRPr="005520BB">
        <w:t>P</w:t>
      </w:r>
      <w:r>
        <w:t>(</w:t>
      </w:r>
      <w:r w:rsidRPr="005520BB">
        <w:t>S</w:t>
      </w:r>
      <w:r>
        <w:t>)</w:t>
      </w:r>
      <w:r w:rsidRPr="005520BB">
        <w:t xml:space="preserve"> Act and </w:t>
      </w:r>
      <w:r w:rsidR="00544C4A">
        <w:t xml:space="preserve">the </w:t>
      </w:r>
      <w:r w:rsidRPr="005520BB">
        <w:t>OPSC</w:t>
      </w:r>
    </w:p>
    <w:p w14:paraId="688A89C5" w14:textId="612A05BE" w:rsidR="00D444B4" w:rsidRPr="005520BB" w:rsidRDefault="00D444B4" w:rsidP="00D444B4">
      <w:pPr>
        <w:pStyle w:val="BulletedList-Level1"/>
      </w:pPr>
      <w:r w:rsidRPr="005520BB">
        <w:t xml:space="preserve">a legislative review should consider </w:t>
      </w:r>
      <w:r w:rsidR="009571BD">
        <w:t>whether</w:t>
      </w:r>
      <w:r w:rsidRPr="005520BB">
        <w:t xml:space="preserve"> further reviews are required</w:t>
      </w:r>
      <w:r>
        <w:t>.</w:t>
      </w:r>
    </w:p>
    <w:p w14:paraId="25D439FD" w14:textId="77777777" w:rsidR="00D444B4" w:rsidRDefault="00D444B4" w:rsidP="00D444B4">
      <w:r>
        <w:t xml:space="preserve">This Review and </w:t>
      </w:r>
      <w:r w:rsidRPr="00142173">
        <w:rPr>
          <w:i/>
        </w:rPr>
        <w:t>Set the Standard</w:t>
      </w:r>
      <w:r>
        <w:t xml:space="preserve"> recommend the most substantial changes to the operation of the Act since it commenced. </w:t>
      </w:r>
    </w:p>
    <w:p w14:paraId="59C15635" w14:textId="5B5EF884" w:rsidR="00D444B4" w:rsidRDefault="00D444B4" w:rsidP="00D444B4">
      <w:r>
        <w:t xml:space="preserve">Implementation will occur at the same time as other changes to the parliamentary workplaces landscape (such as the anticipated commencement of the OPSC, IPSC and codes of conduct) and the impact of the changes are unlikely to be fully recognised until after the 18 month review recommended by </w:t>
      </w:r>
      <w:r w:rsidRPr="00142173">
        <w:rPr>
          <w:i/>
        </w:rPr>
        <w:t>Set the Standard</w:t>
      </w:r>
      <w:r>
        <w:t>.</w:t>
      </w:r>
      <w:r w:rsidDel="00D27449">
        <w:t xml:space="preserve"> </w:t>
      </w:r>
      <w:r>
        <w:t xml:space="preserve">It is possible further amendments or other adjustments may be needed to make sure the framework </w:t>
      </w:r>
      <w:r w:rsidR="00AD6836">
        <w:t>functions</w:t>
      </w:r>
      <w:r>
        <w:t xml:space="preserve"> as intended. For this reason we recommend the operation and effectiveness of the legislative amendments</w:t>
      </w:r>
      <w:r w:rsidDel="00D27449">
        <w:t xml:space="preserve"> </w:t>
      </w:r>
      <w:r>
        <w:t xml:space="preserve">be </w:t>
      </w:r>
      <w:r w:rsidRPr="00600D97">
        <w:t xml:space="preserve">reviewed within </w:t>
      </w:r>
      <w:r w:rsidR="008A383B">
        <w:t>five</w:t>
      </w:r>
      <w:r w:rsidR="008A383B" w:rsidRPr="00600D97">
        <w:t xml:space="preserve"> </w:t>
      </w:r>
      <w:r w:rsidRPr="00600D97">
        <w:t>years</w:t>
      </w:r>
      <w:r>
        <w:t xml:space="preserve"> of commencement of the amendments </w:t>
      </w:r>
      <w:r w:rsidR="00AD6836">
        <w:t xml:space="preserve">subsequent to </w:t>
      </w:r>
      <w:r>
        <w:t>this Review.</w:t>
      </w:r>
    </w:p>
    <w:p w14:paraId="69150B0A" w14:textId="77777777" w:rsidR="00426EF9" w:rsidRDefault="00426EF9" w:rsidP="00D444B4"/>
    <w:p w14:paraId="67556C07" w14:textId="6B9FA65A" w:rsidR="00D444B4" w:rsidRDefault="00D444B4" w:rsidP="00755EC9">
      <w:pPr>
        <w:pStyle w:val="BOXHeading2"/>
      </w:pPr>
      <w:bookmarkStart w:id="7773" w:name="_Toc114755875"/>
      <w:bookmarkStart w:id="7774" w:name="_Toc114757180"/>
      <w:bookmarkStart w:id="7775" w:name="_Toc114757464"/>
      <w:bookmarkStart w:id="7776" w:name="_Toc114757566"/>
      <w:bookmarkStart w:id="7777" w:name="_Toc114758239"/>
      <w:bookmarkStart w:id="7778" w:name="_Toc114824409"/>
      <w:bookmarkStart w:id="7779" w:name="_Toc114829485"/>
      <w:bookmarkStart w:id="7780" w:name="_Toc114829849"/>
      <w:bookmarkStart w:id="7781" w:name="_Toc114829993"/>
      <w:bookmarkStart w:id="7782" w:name="_Toc115099072"/>
      <w:bookmarkStart w:id="7783" w:name="_Toc115099144"/>
      <w:bookmarkStart w:id="7784" w:name="_Toc115101721"/>
      <w:bookmarkStart w:id="7785" w:name="_Toc115102566"/>
      <w:bookmarkStart w:id="7786" w:name="_Toc115105539"/>
      <w:bookmarkStart w:id="7787" w:name="_Toc115110400"/>
      <w:bookmarkStart w:id="7788" w:name="_Toc115110527"/>
      <w:bookmarkStart w:id="7789" w:name="_Toc115121645"/>
      <w:bookmarkStart w:id="7790" w:name="_Toc115122015"/>
      <w:bookmarkStart w:id="7791" w:name="_Toc115123495"/>
      <w:bookmarkStart w:id="7792" w:name="_Toc115123743"/>
      <w:bookmarkStart w:id="7793" w:name="_Toc115126875"/>
      <w:bookmarkStart w:id="7794" w:name="_Toc115185509"/>
      <w:bookmarkStart w:id="7795" w:name="_Toc115186136"/>
      <w:bookmarkStart w:id="7796" w:name="_Toc115189294"/>
      <w:bookmarkStart w:id="7797" w:name="_Toc115194267"/>
      <w:bookmarkStart w:id="7798" w:name="_Toc115195004"/>
      <w:bookmarkStart w:id="7799" w:name="_Toc115196414"/>
      <w:bookmarkStart w:id="7800" w:name="_Toc115198915"/>
      <w:bookmarkStart w:id="7801" w:name="_Toc115208930"/>
      <w:bookmarkStart w:id="7802" w:name="_Toc115209066"/>
      <w:bookmarkStart w:id="7803" w:name="_Toc115210397"/>
      <w:bookmarkStart w:id="7804" w:name="_Toc115212622"/>
      <w:bookmarkStart w:id="7805" w:name="_Toc115213262"/>
      <w:bookmarkStart w:id="7806" w:name="_Toc115216760"/>
      <w:bookmarkStart w:id="7807" w:name="_Toc115270451"/>
      <w:bookmarkStart w:id="7808" w:name="_Toc115271394"/>
      <w:bookmarkStart w:id="7809" w:name="_Toc115272311"/>
      <w:bookmarkStart w:id="7810" w:name="_Toc115273481"/>
      <w:bookmarkStart w:id="7811" w:name="_Toc115273409"/>
      <w:bookmarkStart w:id="7812" w:name="_Toc115274311"/>
      <w:bookmarkStart w:id="7813" w:name="_Toc115274662"/>
      <w:bookmarkStart w:id="7814" w:name="_Toc115274888"/>
      <w:bookmarkStart w:id="7815" w:name="_Toc115275245"/>
      <w:bookmarkStart w:id="7816" w:name="_Toc115275388"/>
      <w:bookmarkStart w:id="7817" w:name="_Toc115274225"/>
      <w:bookmarkStart w:id="7818" w:name="_Toc115274526"/>
      <w:bookmarkStart w:id="7819" w:name="_Toc115274594"/>
      <w:bookmarkStart w:id="7820" w:name="_Toc115274752"/>
      <w:bookmarkStart w:id="7821" w:name="_Toc115277486"/>
      <w:bookmarkStart w:id="7822" w:name="_Toc115277690"/>
      <w:bookmarkStart w:id="7823" w:name="_Toc115278579"/>
      <w:bookmarkStart w:id="7824" w:name="_Toc115278659"/>
      <w:bookmarkStart w:id="7825" w:name="_Toc115282329"/>
      <w:bookmarkStart w:id="7826" w:name="_Toc115284782"/>
      <w:bookmarkStart w:id="7827" w:name="_Toc115286874"/>
      <w:bookmarkStart w:id="7828" w:name="_Toc115294808"/>
      <w:bookmarkStart w:id="7829" w:name="_Toc115296388"/>
      <w:bookmarkStart w:id="7830" w:name="_Toc115308574"/>
      <w:bookmarkStart w:id="7831" w:name="_Toc115311226"/>
      <w:bookmarkStart w:id="7832" w:name="_Toc115312706"/>
      <w:bookmarkStart w:id="7833" w:name="_Toc115343880"/>
      <w:bookmarkStart w:id="7834" w:name="_Toc115348318"/>
      <w:bookmarkStart w:id="7835" w:name="_Toc115350416"/>
      <w:bookmarkStart w:id="7836" w:name="_Toc115353504"/>
      <w:bookmarkStart w:id="7837" w:name="_Toc115359535"/>
      <w:bookmarkStart w:id="7838" w:name="_Toc115361939"/>
      <w:bookmarkStart w:id="7839" w:name="_Toc115364332"/>
      <w:bookmarkStart w:id="7840" w:name="_Toc115365426"/>
      <w:bookmarkStart w:id="7841" w:name="_Toc115365766"/>
      <w:bookmarkStart w:id="7842" w:name="_Toc115366230"/>
      <w:bookmarkStart w:id="7843" w:name="_Toc115368573"/>
      <w:bookmarkStart w:id="7844" w:name="_Toc115368680"/>
      <w:bookmarkStart w:id="7845" w:name="_Toc115370120"/>
      <w:bookmarkStart w:id="7846" w:name="_Toc115370854"/>
      <w:bookmarkStart w:id="7847" w:name="_Toc115374426"/>
      <w:bookmarkStart w:id="7848" w:name="_Toc115378765"/>
      <w:bookmarkStart w:id="7849" w:name="_Toc115380997"/>
      <w:bookmarkStart w:id="7850" w:name="_Toc115384149"/>
      <w:bookmarkStart w:id="7851" w:name="_Toc115387378"/>
      <w:bookmarkStart w:id="7852" w:name="_Toc115388844"/>
      <w:bookmarkStart w:id="7853" w:name="_Toc115431482"/>
      <w:bookmarkStart w:id="7854" w:name="_Toc115432860"/>
      <w:bookmarkStart w:id="7855" w:name="_Toc115434431"/>
      <w:bookmarkStart w:id="7856" w:name="_Toc115434530"/>
      <w:bookmarkStart w:id="7857" w:name="_Toc115434599"/>
      <w:bookmarkStart w:id="7858" w:name="_Toc115434668"/>
      <w:bookmarkStart w:id="7859" w:name="_Toc115442835"/>
      <w:bookmarkStart w:id="7860" w:name="_Toc115446371"/>
      <w:bookmarkStart w:id="7861" w:name="_Toc115446381"/>
      <w:bookmarkStart w:id="7862" w:name="_Toc115448078"/>
      <w:bookmarkStart w:id="7863" w:name="_Toc115449470"/>
      <w:bookmarkStart w:id="7864" w:name="_Toc115452490"/>
      <w:bookmarkStart w:id="7865" w:name="_Toc115455307"/>
      <w:bookmarkStart w:id="7866" w:name="_Toc115455373"/>
      <w:bookmarkStart w:id="7867" w:name="_Toc115457323"/>
      <w:bookmarkStart w:id="7868" w:name="_Toc115458159"/>
      <w:bookmarkStart w:id="7869" w:name="_Toc115948187"/>
      <w:bookmarkStart w:id="7870" w:name="_Toc115948634"/>
      <w:r>
        <w:t xml:space="preserve">Recommendation </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r w:rsidR="008A58F5">
        <w:t>1</w:t>
      </w:r>
      <w:r w:rsidR="00BE43C9">
        <w:t>5</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r w:rsidR="00315C0C">
        <w:t xml:space="preserve"> – </w:t>
      </w:r>
      <w:r w:rsidR="000136FD">
        <w:t>Five</w:t>
      </w:r>
      <w:r w:rsidR="00315C0C">
        <w:t xml:space="preserve"> year review</w:t>
      </w:r>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p>
    <w:p w14:paraId="4998A788" w14:textId="77777777" w:rsidR="000136FD" w:rsidRDefault="000136FD" w:rsidP="000136FD">
      <w:pPr>
        <w:pStyle w:val="BOXText"/>
      </w:pPr>
      <w:r w:rsidRPr="00FF0565">
        <w:t xml:space="preserve">The MoP(S) Act should be reviewed for effectiveness, in the context of </w:t>
      </w:r>
      <w:r>
        <w:t>broader</w:t>
      </w:r>
      <w:r w:rsidRPr="00FF0565">
        <w:t xml:space="preserve"> changes to the parliamentary workplace, within </w:t>
      </w:r>
      <w:r>
        <w:t>five</w:t>
      </w:r>
      <w:r w:rsidRPr="00FF0565">
        <w:t xml:space="preserve"> years of the amendments to the Act.</w:t>
      </w:r>
    </w:p>
    <w:p w14:paraId="47394E57" w14:textId="77777777" w:rsidR="008A58F5" w:rsidRDefault="008A58F5" w:rsidP="00F55DC4"/>
    <w:p w14:paraId="7C7F42E2" w14:textId="43305C89" w:rsidR="008A58F5" w:rsidRDefault="008A58F5" w:rsidP="008A58F5">
      <w:pPr>
        <w:pStyle w:val="Heading2"/>
      </w:pPr>
      <w:bookmarkStart w:id="7871" w:name="_Toc114824410"/>
      <w:bookmarkStart w:id="7872" w:name="_Toc114829486"/>
      <w:bookmarkStart w:id="7873" w:name="_Toc114829850"/>
      <w:bookmarkStart w:id="7874" w:name="_Toc114829994"/>
      <w:bookmarkStart w:id="7875" w:name="_Toc115099073"/>
      <w:bookmarkStart w:id="7876" w:name="_Toc115099145"/>
      <w:bookmarkStart w:id="7877" w:name="_Toc115101722"/>
      <w:bookmarkStart w:id="7878" w:name="_Toc115102567"/>
      <w:bookmarkStart w:id="7879" w:name="_Toc115105540"/>
      <w:bookmarkStart w:id="7880" w:name="_Toc115110401"/>
      <w:bookmarkStart w:id="7881" w:name="_Toc115110528"/>
      <w:bookmarkStart w:id="7882" w:name="_Toc115121646"/>
      <w:bookmarkStart w:id="7883" w:name="_Toc115122016"/>
      <w:bookmarkStart w:id="7884" w:name="_Toc115123496"/>
      <w:bookmarkStart w:id="7885" w:name="_Toc115123744"/>
      <w:bookmarkStart w:id="7886" w:name="_Toc115126876"/>
      <w:bookmarkStart w:id="7887" w:name="_Toc115185510"/>
      <w:bookmarkStart w:id="7888" w:name="_Toc115186137"/>
      <w:bookmarkStart w:id="7889" w:name="_Toc115189295"/>
      <w:bookmarkStart w:id="7890" w:name="_Toc115194268"/>
      <w:bookmarkStart w:id="7891" w:name="_Toc115195005"/>
      <w:bookmarkStart w:id="7892" w:name="_Toc115196415"/>
      <w:bookmarkStart w:id="7893" w:name="_Toc115198916"/>
      <w:bookmarkStart w:id="7894" w:name="_Toc115208931"/>
      <w:bookmarkStart w:id="7895" w:name="_Toc115209067"/>
      <w:bookmarkStart w:id="7896" w:name="_Toc115210398"/>
      <w:bookmarkStart w:id="7897" w:name="_Toc115212623"/>
      <w:bookmarkStart w:id="7898" w:name="_Toc115213263"/>
      <w:bookmarkStart w:id="7899" w:name="_Toc115216761"/>
      <w:bookmarkStart w:id="7900" w:name="_Toc115270452"/>
      <w:bookmarkStart w:id="7901" w:name="_Toc115271395"/>
      <w:bookmarkStart w:id="7902" w:name="_Toc115272312"/>
      <w:bookmarkStart w:id="7903" w:name="_Toc115273482"/>
      <w:bookmarkStart w:id="7904" w:name="_Toc115273410"/>
      <w:bookmarkStart w:id="7905" w:name="_Toc115274312"/>
      <w:bookmarkStart w:id="7906" w:name="_Toc115274663"/>
      <w:bookmarkStart w:id="7907" w:name="_Toc115274889"/>
      <w:bookmarkStart w:id="7908" w:name="_Toc115275246"/>
      <w:bookmarkStart w:id="7909" w:name="_Toc115275389"/>
      <w:bookmarkStart w:id="7910" w:name="_Toc115274226"/>
      <w:bookmarkStart w:id="7911" w:name="_Toc115274527"/>
      <w:bookmarkStart w:id="7912" w:name="_Toc115274595"/>
      <w:bookmarkStart w:id="7913" w:name="_Toc115274753"/>
      <w:bookmarkStart w:id="7914" w:name="_Toc115277487"/>
      <w:bookmarkStart w:id="7915" w:name="_Toc115277691"/>
      <w:bookmarkStart w:id="7916" w:name="_Toc115278580"/>
      <w:bookmarkStart w:id="7917" w:name="_Toc115278660"/>
      <w:bookmarkStart w:id="7918" w:name="_Toc115282330"/>
      <w:bookmarkStart w:id="7919" w:name="_Toc115284783"/>
      <w:bookmarkStart w:id="7920" w:name="_Toc115286875"/>
      <w:bookmarkStart w:id="7921" w:name="_Toc115294809"/>
      <w:bookmarkStart w:id="7922" w:name="_Toc115296389"/>
      <w:bookmarkStart w:id="7923" w:name="_Toc115308575"/>
      <w:bookmarkStart w:id="7924" w:name="_Toc115311227"/>
      <w:bookmarkStart w:id="7925" w:name="_Toc115312707"/>
      <w:bookmarkStart w:id="7926" w:name="_Toc115343881"/>
      <w:bookmarkStart w:id="7927" w:name="_Toc115348319"/>
      <w:bookmarkStart w:id="7928" w:name="_Toc115350417"/>
      <w:bookmarkStart w:id="7929" w:name="_Toc115353505"/>
      <w:bookmarkStart w:id="7930" w:name="_Toc115359536"/>
      <w:bookmarkStart w:id="7931" w:name="_Toc115361940"/>
      <w:bookmarkStart w:id="7932" w:name="_Toc115364333"/>
      <w:bookmarkStart w:id="7933" w:name="_Toc115365427"/>
      <w:bookmarkStart w:id="7934" w:name="_Toc115365767"/>
      <w:bookmarkStart w:id="7935" w:name="_Toc115366231"/>
      <w:bookmarkStart w:id="7936" w:name="_Toc115368574"/>
      <w:bookmarkStart w:id="7937" w:name="_Toc115368681"/>
      <w:bookmarkStart w:id="7938" w:name="_Toc115370121"/>
      <w:bookmarkStart w:id="7939" w:name="_Toc115370855"/>
      <w:bookmarkStart w:id="7940" w:name="_Toc115374427"/>
      <w:bookmarkStart w:id="7941" w:name="_Toc115378766"/>
      <w:bookmarkStart w:id="7942" w:name="_Toc115380998"/>
      <w:bookmarkStart w:id="7943" w:name="_Toc115384150"/>
      <w:bookmarkStart w:id="7944" w:name="_Toc115387379"/>
      <w:bookmarkStart w:id="7945" w:name="_Toc115388845"/>
      <w:bookmarkStart w:id="7946" w:name="_Toc115431483"/>
      <w:bookmarkStart w:id="7947" w:name="_Toc115432861"/>
      <w:bookmarkStart w:id="7948" w:name="_Toc115434432"/>
      <w:bookmarkStart w:id="7949" w:name="_Toc115434531"/>
      <w:bookmarkStart w:id="7950" w:name="_Toc115434600"/>
      <w:bookmarkStart w:id="7951" w:name="_Toc115434669"/>
      <w:bookmarkStart w:id="7952" w:name="_Toc115442836"/>
      <w:bookmarkStart w:id="7953" w:name="_Toc115446372"/>
      <w:bookmarkStart w:id="7954" w:name="_Toc115446382"/>
      <w:bookmarkStart w:id="7955" w:name="_Toc115448079"/>
      <w:bookmarkStart w:id="7956" w:name="_Toc115449471"/>
      <w:bookmarkStart w:id="7957" w:name="_Toc115452491"/>
      <w:bookmarkStart w:id="7958" w:name="_Toc115455308"/>
      <w:bookmarkStart w:id="7959" w:name="_Toc115455374"/>
      <w:bookmarkStart w:id="7960" w:name="_Toc115457324"/>
      <w:bookmarkStart w:id="7961" w:name="_Toc115458160"/>
      <w:bookmarkStart w:id="7962" w:name="_Toc115948188"/>
      <w:bookmarkStart w:id="7963" w:name="_Toc115948635"/>
      <w:r>
        <w:t xml:space="preserve">7.2 Future </w:t>
      </w:r>
      <w:r w:rsidR="00D93396">
        <w:t>s</w:t>
      </w:r>
      <w:r>
        <w:t>tate</w:t>
      </w:r>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p>
    <w:p w14:paraId="3935CBCB" w14:textId="2FA70BE9" w:rsidR="00F55DC4" w:rsidRDefault="00B44E48" w:rsidP="00F55DC4">
      <w:r>
        <w:t xml:space="preserve">There </w:t>
      </w:r>
      <w:r w:rsidR="00AD6836">
        <w:t>is</w:t>
      </w:r>
      <w:r>
        <w:t xml:space="preserve"> momentum to </w:t>
      </w:r>
      <w:r w:rsidR="00AD6836">
        <w:t xml:space="preserve">re-design MoP(S) </w:t>
      </w:r>
      <w:r w:rsidR="00136872">
        <w:t xml:space="preserve">Act </w:t>
      </w:r>
      <w:r w:rsidR="00AD6836">
        <w:t xml:space="preserve">employment </w:t>
      </w:r>
      <w:r w:rsidR="00DE6124">
        <w:t xml:space="preserve">to </w:t>
      </w:r>
      <w:r w:rsidR="00AD6836">
        <w:t xml:space="preserve">better </w:t>
      </w:r>
      <w:r>
        <w:t xml:space="preserve">support those who work in parliamentary workplaces, including those employed under the MoP(S) Act. </w:t>
      </w:r>
      <w:r w:rsidR="00DE6124">
        <w:t>By</w:t>
      </w:r>
      <w:r>
        <w:t xml:space="preserve"> implementing </w:t>
      </w:r>
      <w:r w:rsidR="00DE6124">
        <w:t xml:space="preserve">the Review recommendations </w:t>
      </w:r>
      <w:r>
        <w:t xml:space="preserve">we hope that we will to move the landscape from </w:t>
      </w:r>
      <w:r w:rsidR="00DE6124">
        <w:t xml:space="preserve">the current state </w:t>
      </w:r>
      <w:r>
        <w:t xml:space="preserve">presented in Chapter 1 to </w:t>
      </w:r>
      <w:r w:rsidR="00DE6124">
        <w:t>the</w:t>
      </w:r>
      <w:r>
        <w:t xml:space="preserve"> framework more like this:</w:t>
      </w:r>
    </w:p>
    <w:p w14:paraId="2322834E" w14:textId="504A954F" w:rsidR="00765B2C" w:rsidRDefault="00765B2C" w:rsidP="00F55DC4">
      <w:r>
        <w:rPr>
          <w:noProof/>
          <w:lang w:eastAsia="en-AU"/>
        </w:rPr>
        <w:drawing>
          <wp:inline distT="0" distB="0" distL="0" distR="0" wp14:anchorId="1B7D5FA9" wp14:editId="2897B1B4">
            <wp:extent cx="6120130" cy="3893820"/>
            <wp:effectExtent l="0" t="0" r="0" b="0"/>
            <wp:docPr id="2" name="Picture 2" descr="MoP(S) Act Current&#10;• Act is duplicative and unclear particularly Part III (Staff of office-holders) and Part IV (Staff of Senators and Members)&#10;• Employment framework unclear or not articulated&#10;• Individual parliamentarians employ staff on behalf of the Commonwealth &#10;• PM determines terms and conditions of employment&#10;• PM decides staffing allocation&#10;• Some employment terms and conditions lack clarity&#10;• Outdated superannuation provisions and consultancy arrangements&#10;&#10;MoP(S) Act Amended&#10;• Parts III and IV merged, removing unnecessary duplication&#10;• Define three categories of MoP(S) Act employees (electorate staff, ministerial staff, and personal staff - other)&#10;• Employees remain employed by individual parliamentarians on behalf of the Commonwealth&#10;• PM determines terms and conditions of employment&#10;• Amend Act to clarify roles and responsibilities of parliamentarians, OPSC and PM in employment relationship.&#10;• Act to require transparent reporting of staffing allocations. &#10;• Staffing allocations to be supported by an OPSC review – identifying principles for Prime Minister’s staffing allocation decisions.&#10;• Objects clause to reflect the purposes of the Act. &#10;• Updated provisions relating to superannuation and consultants.&#10;• Act streamlined to increase transparency for terms and conditions of employment arrangements" title="Employ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PAct-Infographics-300922-T1-EmploymentFramewor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893820"/>
                    </a:xfrm>
                    <a:prstGeom prst="rect">
                      <a:avLst/>
                    </a:prstGeom>
                  </pic:spPr>
                </pic:pic>
              </a:graphicData>
            </a:graphic>
          </wp:inline>
        </w:drawing>
      </w:r>
      <w:r>
        <w:rPr>
          <w:noProof/>
          <w:lang w:eastAsia="en-AU"/>
        </w:rPr>
        <w:drawing>
          <wp:inline distT="0" distB="0" distL="0" distR="0" wp14:anchorId="3390E3EB" wp14:editId="4E3D830C">
            <wp:extent cx="6120130" cy="2282825"/>
            <wp:effectExtent l="0" t="0" r="0" b="0"/>
            <wp:docPr id="5" name="Picture 5" descr="MoP(S) Act Current&#10;• The Act refers to power of parliamentarian to recruit MoP(S) Act employees but no responsibility to ensure candidate is capable to do role&#10;• No obligation to consider office composition to ensure critical functions, like HR and finance, are allocated to a suitable delegate&#10;• Parliamentarians are not required to notify MaPS of non-MoP(S) workers in their offices, e.g. unpaid interns and volunteers, leading to inconsistent WHS briefing&#10;&#10;MoP(S) Act Amended&#10;• The Act to require parliamentarians to recruit staff against specified position descriptions and undertake an assessment of candidates’ capacity to successfully perform the role&#10;• OPSC to provide guidance on office composition and direct training for staff with delegated functions&#10;• OPSC guidance on self-declarations and pre-engagement checks&#10;• Parliamentarians required to notify OPSC when non-MoP(S) Act workers start in their office Act streamlined to increase transparency for terms and conditions of employment arrangements&#10;" title="Recruitment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PAct-Infographics-300922-T2-RecEnga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2282825"/>
                    </a:xfrm>
                    <a:prstGeom prst="rect">
                      <a:avLst/>
                    </a:prstGeom>
                  </pic:spPr>
                </pic:pic>
              </a:graphicData>
            </a:graphic>
          </wp:inline>
        </w:drawing>
      </w:r>
    </w:p>
    <w:p w14:paraId="6FCA0AF6" w14:textId="77777777" w:rsidR="00765B2C" w:rsidRDefault="00765B2C" w:rsidP="00F55DC4">
      <w:r>
        <w:rPr>
          <w:noProof/>
          <w:lang w:eastAsia="en-AU"/>
        </w:rPr>
        <w:drawing>
          <wp:inline distT="0" distB="0" distL="0" distR="0" wp14:anchorId="61368A0E" wp14:editId="638B1BBA">
            <wp:extent cx="6120130" cy="2057400"/>
            <wp:effectExtent l="0" t="0" r="0" b="0"/>
            <wp:docPr id="8" name="Picture 8" descr="MoP(S) Act Current&#10;• No articulation of desired workplace culture or responsibilities of parliamentarians as employers or MoP(S) employees&#10;• Only reporting requirements In MoP(S) Act about consultant use&#10;&#10;MoP(S) Act Amended&#10;• The Act to define Employment Principles to professionalise the employment framework &#10;• The Act to set out obligations for both parliamentarians as employer and MoP(S) employees, including in relation to a safe and respectful workplace&#10;• The Act to require an annual report by OPSC to provide a transparent account of the MoP(S) Act employment framework&#10;" title="Accountabilities, Expectations and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PAct-Infographics-300922-T3-A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2057400"/>
                    </a:xfrm>
                    <a:prstGeom prst="rect">
                      <a:avLst/>
                    </a:prstGeom>
                  </pic:spPr>
                </pic:pic>
              </a:graphicData>
            </a:graphic>
          </wp:inline>
        </w:drawing>
      </w:r>
    </w:p>
    <w:p w14:paraId="4BFB8C2A" w14:textId="550BABB2" w:rsidR="00F55DC4" w:rsidRDefault="00765B2C" w:rsidP="00F55DC4">
      <w:r>
        <w:rPr>
          <w:noProof/>
          <w:lang w:eastAsia="en-AU"/>
        </w:rPr>
        <w:drawing>
          <wp:inline distT="0" distB="0" distL="0" distR="0" wp14:anchorId="3BC69CBD" wp14:editId="639A1336">
            <wp:extent cx="6120130" cy="2409190"/>
            <wp:effectExtent l="0" t="0" r="0" b="0"/>
            <wp:docPr id="10" name="Picture 10" descr="MoP(S) Act Current&#10;• Termination procedures unclear and inconsistently applied&#10;• Automatic termination triggers unclear and at times inconsistent.&#10;&#10;MoP(S) Act Amended&#10;• The Act to require parliamentarians to consult with OPSC prior to effecting any termination&#10;• The Act to provide for clearer operation of automatic termination triggers, including allowing for determinations to clarify specific circumstances&#10;• Automatic termination for electorate staff currently under Part III only applies when parliamentarian ceases to have a personal staffing allocation&#10;• Suspension of employment available, to support procedural fairness and WHS considerations&#10;" title="Employment 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PAct-Infographics-300922-T4-Emplo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2409190"/>
                    </a:xfrm>
                    <a:prstGeom prst="rect">
                      <a:avLst/>
                    </a:prstGeom>
                  </pic:spPr>
                </pic:pic>
              </a:graphicData>
            </a:graphic>
          </wp:inline>
        </w:drawing>
      </w:r>
      <w:r w:rsidR="00F55DC4">
        <w:br w:type="page"/>
      </w:r>
    </w:p>
    <w:p w14:paraId="0C3D0D2A" w14:textId="651D97EB" w:rsidR="00F55DC4" w:rsidRPr="000F2E36" w:rsidRDefault="00B46D82" w:rsidP="00F55DC4">
      <w:pPr>
        <w:pStyle w:val="Heading1"/>
      </w:pPr>
      <w:bookmarkStart w:id="7964" w:name="_Toc115432862"/>
      <w:bookmarkStart w:id="7965" w:name="_Toc115434433"/>
      <w:bookmarkStart w:id="7966" w:name="_Toc115434532"/>
      <w:bookmarkStart w:id="7967" w:name="_Toc115434601"/>
      <w:bookmarkStart w:id="7968" w:name="_Toc115434670"/>
      <w:bookmarkStart w:id="7969" w:name="_Toc104212800"/>
      <w:bookmarkStart w:id="7970" w:name="_Toc114230914"/>
      <w:bookmarkStart w:id="7971" w:name="_Toc114233619"/>
      <w:bookmarkStart w:id="7972" w:name="_Toc114233691"/>
      <w:bookmarkStart w:id="7973" w:name="_Toc114240648"/>
      <w:bookmarkStart w:id="7974" w:name="_Toc114240722"/>
      <w:bookmarkStart w:id="7975" w:name="_Toc114241066"/>
      <w:bookmarkStart w:id="7976" w:name="_Toc114494090"/>
      <w:bookmarkStart w:id="7977" w:name="_Toc114500341"/>
      <w:bookmarkStart w:id="7978" w:name="_Toc114500416"/>
      <w:bookmarkStart w:id="7979" w:name="_Toc114518689"/>
      <w:bookmarkStart w:id="7980" w:name="_Toc114520361"/>
      <w:bookmarkStart w:id="7981" w:name="_Toc114520770"/>
      <w:bookmarkStart w:id="7982" w:name="_Toc114565798"/>
      <w:bookmarkStart w:id="7983" w:name="_Toc114566779"/>
      <w:bookmarkStart w:id="7984" w:name="_Toc114567004"/>
      <w:bookmarkStart w:id="7985" w:name="_Toc114566928"/>
      <w:bookmarkStart w:id="7986" w:name="_Toc114585926"/>
      <w:bookmarkStart w:id="7987" w:name="_Toc114586070"/>
      <w:bookmarkStart w:id="7988" w:name="_Toc114586142"/>
      <w:bookmarkStart w:id="7989" w:name="_Toc114601282"/>
      <w:bookmarkStart w:id="7990" w:name="_Toc114657323"/>
      <w:bookmarkStart w:id="7991" w:name="_Toc114659785"/>
      <w:bookmarkStart w:id="7992" w:name="_Toc114662770"/>
      <w:bookmarkStart w:id="7993" w:name="_Toc114665153"/>
      <w:bookmarkStart w:id="7994" w:name="_Toc114672461"/>
      <w:bookmarkStart w:id="7995" w:name="_Toc114672674"/>
      <w:bookmarkStart w:id="7996" w:name="_Toc114673229"/>
      <w:bookmarkStart w:id="7997" w:name="_Toc114673815"/>
      <w:bookmarkStart w:id="7998" w:name="_Toc114674340"/>
      <w:bookmarkStart w:id="7999" w:name="_Toc114687513"/>
      <w:bookmarkStart w:id="8000" w:name="_Toc114689977"/>
      <w:bookmarkStart w:id="8001" w:name="_Toc114731840"/>
      <w:bookmarkStart w:id="8002" w:name="_Toc114733605"/>
      <w:bookmarkStart w:id="8003" w:name="_Toc114735546"/>
      <w:bookmarkStart w:id="8004" w:name="_Toc114755876"/>
      <w:bookmarkStart w:id="8005" w:name="_Toc114757181"/>
      <w:bookmarkStart w:id="8006" w:name="_Toc114757465"/>
      <w:bookmarkStart w:id="8007" w:name="_Toc114757567"/>
      <w:bookmarkStart w:id="8008" w:name="_Toc114758240"/>
      <w:bookmarkStart w:id="8009" w:name="_Toc114824411"/>
      <w:bookmarkStart w:id="8010" w:name="_Toc114829487"/>
      <w:bookmarkStart w:id="8011" w:name="_Toc114829851"/>
      <w:bookmarkStart w:id="8012" w:name="_Toc114829995"/>
      <w:bookmarkStart w:id="8013" w:name="_Toc115099074"/>
      <w:bookmarkStart w:id="8014" w:name="_Toc115099146"/>
      <w:bookmarkStart w:id="8015" w:name="_Toc115101723"/>
      <w:bookmarkStart w:id="8016" w:name="_Toc115102568"/>
      <w:bookmarkStart w:id="8017" w:name="_Toc115105541"/>
      <w:bookmarkStart w:id="8018" w:name="_Toc115110402"/>
      <w:bookmarkStart w:id="8019" w:name="_Toc115110529"/>
      <w:bookmarkStart w:id="8020" w:name="_Toc115121647"/>
      <w:bookmarkStart w:id="8021" w:name="_Toc115122017"/>
      <w:bookmarkStart w:id="8022" w:name="_Toc115123497"/>
      <w:bookmarkStart w:id="8023" w:name="_Toc115123745"/>
      <w:bookmarkStart w:id="8024" w:name="_Toc115126877"/>
      <w:bookmarkStart w:id="8025" w:name="_Toc115185511"/>
      <w:bookmarkStart w:id="8026" w:name="_Toc115186138"/>
      <w:bookmarkStart w:id="8027" w:name="_Toc115189296"/>
      <w:bookmarkStart w:id="8028" w:name="_Toc115194269"/>
      <w:bookmarkStart w:id="8029" w:name="_Toc115195006"/>
      <w:bookmarkStart w:id="8030" w:name="_Toc115196416"/>
      <w:bookmarkStart w:id="8031" w:name="_Toc115198917"/>
      <w:bookmarkStart w:id="8032" w:name="_Toc115208932"/>
      <w:bookmarkStart w:id="8033" w:name="_Toc115209068"/>
      <w:bookmarkStart w:id="8034" w:name="_Toc115210399"/>
      <w:bookmarkStart w:id="8035" w:name="_Toc115212624"/>
      <w:bookmarkStart w:id="8036" w:name="_Toc115213264"/>
      <w:bookmarkStart w:id="8037" w:name="_Toc115216762"/>
      <w:bookmarkStart w:id="8038" w:name="_Toc115270453"/>
      <w:bookmarkStart w:id="8039" w:name="_Toc115271396"/>
      <w:bookmarkStart w:id="8040" w:name="_Toc115272313"/>
      <w:bookmarkStart w:id="8041" w:name="_Toc115273483"/>
      <w:bookmarkStart w:id="8042" w:name="_Toc115273411"/>
      <w:bookmarkStart w:id="8043" w:name="_Toc115274313"/>
      <w:bookmarkStart w:id="8044" w:name="_Toc115274664"/>
      <w:bookmarkStart w:id="8045" w:name="_Toc115274890"/>
      <w:bookmarkStart w:id="8046" w:name="_Toc115275247"/>
      <w:bookmarkStart w:id="8047" w:name="_Toc115275390"/>
      <w:bookmarkStart w:id="8048" w:name="_Toc115274227"/>
      <w:bookmarkStart w:id="8049" w:name="_Toc115274528"/>
      <w:bookmarkStart w:id="8050" w:name="_Toc115274596"/>
      <w:bookmarkStart w:id="8051" w:name="_Toc115274754"/>
      <w:bookmarkStart w:id="8052" w:name="_Toc115277488"/>
      <w:bookmarkStart w:id="8053" w:name="_Toc115277692"/>
      <w:bookmarkStart w:id="8054" w:name="_Toc115278581"/>
      <w:bookmarkStart w:id="8055" w:name="_Toc115278661"/>
      <w:bookmarkStart w:id="8056" w:name="_Toc115282331"/>
      <w:bookmarkStart w:id="8057" w:name="_Toc115284784"/>
      <w:bookmarkStart w:id="8058" w:name="_Toc115286876"/>
      <w:bookmarkStart w:id="8059" w:name="_Toc115294810"/>
      <w:bookmarkStart w:id="8060" w:name="_Toc115296390"/>
      <w:bookmarkStart w:id="8061" w:name="_Toc115308576"/>
      <w:bookmarkStart w:id="8062" w:name="_Toc115311228"/>
      <w:bookmarkStart w:id="8063" w:name="_Toc115312708"/>
      <w:bookmarkStart w:id="8064" w:name="_Toc115343882"/>
      <w:bookmarkStart w:id="8065" w:name="_Toc115348320"/>
      <w:bookmarkStart w:id="8066" w:name="_Toc115350418"/>
      <w:bookmarkStart w:id="8067" w:name="_Toc115353506"/>
      <w:bookmarkStart w:id="8068" w:name="_Toc115361942"/>
      <w:bookmarkStart w:id="8069" w:name="_Toc115364335"/>
      <w:bookmarkStart w:id="8070" w:name="_Toc115365428"/>
      <w:bookmarkStart w:id="8071" w:name="_Toc115365768"/>
      <w:bookmarkStart w:id="8072" w:name="_Toc115366232"/>
      <w:bookmarkStart w:id="8073" w:name="_Toc115368575"/>
      <w:bookmarkStart w:id="8074" w:name="_Toc115368682"/>
      <w:bookmarkStart w:id="8075" w:name="_Toc115370122"/>
      <w:bookmarkStart w:id="8076" w:name="_Toc115370856"/>
      <w:bookmarkStart w:id="8077" w:name="_Toc115374428"/>
      <w:bookmarkStart w:id="8078" w:name="_Toc115378767"/>
      <w:bookmarkStart w:id="8079" w:name="_Toc115380999"/>
      <w:bookmarkStart w:id="8080" w:name="_Toc115384151"/>
      <w:bookmarkStart w:id="8081" w:name="_Toc115387380"/>
      <w:bookmarkStart w:id="8082" w:name="_Toc115388846"/>
      <w:bookmarkStart w:id="8083" w:name="_Toc115431484"/>
      <w:bookmarkStart w:id="8084" w:name="_Toc115442837"/>
      <w:bookmarkStart w:id="8085" w:name="_Toc115446373"/>
      <w:bookmarkStart w:id="8086" w:name="_Toc115446383"/>
      <w:bookmarkStart w:id="8087" w:name="_Toc115448080"/>
      <w:bookmarkStart w:id="8088" w:name="_Toc115449472"/>
      <w:bookmarkStart w:id="8089" w:name="_Toc115452492"/>
      <w:bookmarkStart w:id="8090" w:name="_Toc115455309"/>
      <w:bookmarkStart w:id="8091" w:name="_Toc115455375"/>
      <w:bookmarkStart w:id="8092" w:name="_Toc115457325"/>
      <w:bookmarkStart w:id="8093" w:name="_Toc115458161"/>
      <w:bookmarkStart w:id="8094" w:name="_Toc115948189"/>
      <w:bookmarkStart w:id="8095" w:name="_Toc115948636"/>
      <w:r>
        <w:t>8</w:t>
      </w:r>
      <w:bookmarkEnd w:id="7964"/>
      <w:bookmarkEnd w:id="7965"/>
      <w:bookmarkEnd w:id="7966"/>
      <w:bookmarkEnd w:id="7967"/>
      <w:bookmarkEnd w:id="7968"/>
      <w:r w:rsidR="00F55DC4">
        <w:t xml:space="preserve"> A</w:t>
      </w:r>
      <w:r w:rsidR="00025BA6">
        <w:t>ppendices</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p w14:paraId="1D2EB8EF" w14:textId="07BB4007" w:rsidR="00F55DC4" w:rsidRPr="000F2E36" w:rsidRDefault="00B46D82" w:rsidP="00F55DC4">
      <w:pPr>
        <w:pStyle w:val="Heading2"/>
      </w:pPr>
      <w:bookmarkStart w:id="8096" w:name="_Toc104212801"/>
      <w:bookmarkStart w:id="8097" w:name="_Toc114230915"/>
      <w:bookmarkStart w:id="8098" w:name="_Toc114233620"/>
      <w:bookmarkStart w:id="8099" w:name="_Toc114233692"/>
      <w:bookmarkStart w:id="8100" w:name="_Toc114240649"/>
      <w:bookmarkStart w:id="8101" w:name="_Toc114240723"/>
      <w:bookmarkStart w:id="8102" w:name="_Toc114241067"/>
      <w:bookmarkStart w:id="8103" w:name="_Toc114494091"/>
      <w:bookmarkStart w:id="8104" w:name="_Toc114500342"/>
      <w:bookmarkStart w:id="8105" w:name="_Toc114500417"/>
      <w:bookmarkStart w:id="8106" w:name="_Toc114518690"/>
      <w:bookmarkStart w:id="8107" w:name="_Toc114520362"/>
      <w:bookmarkStart w:id="8108" w:name="_Toc114520771"/>
      <w:bookmarkStart w:id="8109" w:name="_Toc114565799"/>
      <w:bookmarkStart w:id="8110" w:name="_Toc114566780"/>
      <w:bookmarkStart w:id="8111" w:name="_Toc114567005"/>
      <w:bookmarkStart w:id="8112" w:name="_Toc114566929"/>
      <w:bookmarkStart w:id="8113" w:name="_Toc114585927"/>
      <w:bookmarkStart w:id="8114" w:name="_Toc114586071"/>
      <w:bookmarkStart w:id="8115" w:name="_Toc114586143"/>
      <w:bookmarkStart w:id="8116" w:name="_Toc114601283"/>
      <w:bookmarkStart w:id="8117" w:name="_Toc114657324"/>
      <w:bookmarkStart w:id="8118" w:name="_Toc114659786"/>
      <w:bookmarkStart w:id="8119" w:name="_Toc114662771"/>
      <w:bookmarkStart w:id="8120" w:name="_Toc114665154"/>
      <w:bookmarkStart w:id="8121" w:name="_Toc114672462"/>
      <w:bookmarkStart w:id="8122" w:name="_Toc114672675"/>
      <w:bookmarkStart w:id="8123" w:name="_Toc114673230"/>
      <w:bookmarkStart w:id="8124" w:name="_Toc114673816"/>
      <w:bookmarkStart w:id="8125" w:name="_Toc114674341"/>
      <w:bookmarkStart w:id="8126" w:name="_Toc114687514"/>
      <w:bookmarkStart w:id="8127" w:name="_Toc114689978"/>
      <w:bookmarkStart w:id="8128" w:name="_Toc114731841"/>
      <w:bookmarkStart w:id="8129" w:name="_Toc114733606"/>
      <w:bookmarkStart w:id="8130" w:name="_Toc114735547"/>
      <w:bookmarkStart w:id="8131" w:name="_Toc114755877"/>
      <w:bookmarkStart w:id="8132" w:name="_Toc114757182"/>
      <w:bookmarkStart w:id="8133" w:name="_Toc114757466"/>
      <w:bookmarkStart w:id="8134" w:name="_Toc114757568"/>
      <w:bookmarkStart w:id="8135" w:name="_Toc114758241"/>
      <w:bookmarkStart w:id="8136" w:name="_Toc114824412"/>
      <w:bookmarkStart w:id="8137" w:name="_Toc114829488"/>
      <w:bookmarkStart w:id="8138" w:name="_Toc114829852"/>
      <w:bookmarkStart w:id="8139" w:name="_Toc114829996"/>
      <w:bookmarkStart w:id="8140" w:name="_Toc115099075"/>
      <w:bookmarkStart w:id="8141" w:name="_Toc115099147"/>
      <w:bookmarkStart w:id="8142" w:name="_Toc115101724"/>
      <w:bookmarkStart w:id="8143" w:name="_Toc115102569"/>
      <w:bookmarkStart w:id="8144" w:name="_Toc115105542"/>
      <w:bookmarkStart w:id="8145" w:name="_Toc115110403"/>
      <w:bookmarkStart w:id="8146" w:name="_Toc115110530"/>
      <w:bookmarkStart w:id="8147" w:name="_Toc115121648"/>
      <w:bookmarkStart w:id="8148" w:name="_Toc115122018"/>
      <w:bookmarkStart w:id="8149" w:name="_Toc115123498"/>
      <w:bookmarkStart w:id="8150" w:name="_Toc115123746"/>
      <w:bookmarkStart w:id="8151" w:name="_Toc115126878"/>
      <w:bookmarkStart w:id="8152" w:name="_Toc115185512"/>
      <w:bookmarkStart w:id="8153" w:name="_Toc115186139"/>
      <w:bookmarkStart w:id="8154" w:name="_Toc115189297"/>
      <w:bookmarkStart w:id="8155" w:name="_Toc115194270"/>
      <w:bookmarkStart w:id="8156" w:name="_Toc115195007"/>
      <w:bookmarkStart w:id="8157" w:name="_Toc115196417"/>
      <w:bookmarkStart w:id="8158" w:name="_Toc115198918"/>
      <w:bookmarkStart w:id="8159" w:name="_Toc115208933"/>
      <w:bookmarkStart w:id="8160" w:name="_Toc115209069"/>
      <w:bookmarkStart w:id="8161" w:name="_Toc115210400"/>
      <w:bookmarkStart w:id="8162" w:name="_Toc115212625"/>
      <w:bookmarkStart w:id="8163" w:name="_Toc115213265"/>
      <w:bookmarkStart w:id="8164" w:name="_Toc115216763"/>
      <w:bookmarkStart w:id="8165" w:name="_Toc115270454"/>
      <w:bookmarkStart w:id="8166" w:name="_Toc115271397"/>
      <w:bookmarkStart w:id="8167" w:name="_Toc115272314"/>
      <w:bookmarkStart w:id="8168" w:name="_Toc115273484"/>
      <w:bookmarkStart w:id="8169" w:name="_Toc115273412"/>
      <w:bookmarkStart w:id="8170" w:name="_Toc115274314"/>
      <w:bookmarkStart w:id="8171" w:name="_Toc115274665"/>
      <w:bookmarkStart w:id="8172" w:name="_Toc115274891"/>
      <w:bookmarkStart w:id="8173" w:name="_Toc115275248"/>
      <w:bookmarkStart w:id="8174" w:name="_Toc115275391"/>
      <w:bookmarkStart w:id="8175" w:name="_Toc115274228"/>
      <w:bookmarkStart w:id="8176" w:name="_Toc115274529"/>
      <w:bookmarkStart w:id="8177" w:name="_Toc115274597"/>
      <w:bookmarkStart w:id="8178" w:name="_Toc115274755"/>
      <w:bookmarkStart w:id="8179" w:name="_Toc115277489"/>
      <w:bookmarkStart w:id="8180" w:name="_Toc115277693"/>
      <w:bookmarkStart w:id="8181" w:name="_Toc115278582"/>
      <w:bookmarkStart w:id="8182" w:name="_Toc115278662"/>
      <w:bookmarkStart w:id="8183" w:name="_Toc115282332"/>
      <w:bookmarkStart w:id="8184" w:name="_Toc115284785"/>
      <w:bookmarkStart w:id="8185" w:name="_Toc115286877"/>
      <w:bookmarkStart w:id="8186" w:name="_Toc115294811"/>
      <w:bookmarkStart w:id="8187" w:name="_Toc115296391"/>
      <w:bookmarkStart w:id="8188" w:name="_Toc115308577"/>
      <w:bookmarkStart w:id="8189" w:name="_Toc115311229"/>
      <w:bookmarkStart w:id="8190" w:name="_Toc115312709"/>
      <w:bookmarkStart w:id="8191" w:name="_Toc115343883"/>
      <w:bookmarkStart w:id="8192" w:name="_Toc115348321"/>
      <w:bookmarkStart w:id="8193" w:name="_Toc115350419"/>
      <w:bookmarkStart w:id="8194" w:name="_Toc115353507"/>
      <w:bookmarkStart w:id="8195" w:name="_Toc115361943"/>
      <w:bookmarkStart w:id="8196" w:name="_Toc115364336"/>
      <w:bookmarkStart w:id="8197" w:name="_Toc115365429"/>
      <w:bookmarkStart w:id="8198" w:name="_Toc115365769"/>
      <w:bookmarkStart w:id="8199" w:name="_Toc115366233"/>
      <w:bookmarkStart w:id="8200" w:name="_Toc115368576"/>
      <w:bookmarkStart w:id="8201" w:name="_Toc115368683"/>
      <w:bookmarkStart w:id="8202" w:name="_Toc115370123"/>
      <w:bookmarkStart w:id="8203" w:name="_Toc115370857"/>
      <w:bookmarkStart w:id="8204" w:name="_Toc115374429"/>
      <w:bookmarkStart w:id="8205" w:name="_Toc115378768"/>
      <w:bookmarkStart w:id="8206" w:name="_Toc115381000"/>
      <w:bookmarkStart w:id="8207" w:name="_Toc115384152"/>
      <w:bookmarkStart w:id="8208" w:name="_Toc115387381"/>
      <w:bookmarkStart w:id="8209" w:name="_Toc115388847"/>
      <w:bookmarkStart w:id="8210" w:name="_Toc115431485"/>
      <w:bookmarkStart w:id="8211" w:name="_Toc115432863"/>
      <w:bookmarkStart w:id="8212" w:name="_Toc115434434"/>
      <w:bookmarkStart w:id="8213" w:name="_Toc115434533"/>
      <w:bookmarkStart w:id="8214" w:name="_Toc115434602"/>
      <w:bookmarkStart w:id="8215" w:name="_Toc115434671"/>
      <w:bookmarkStart w:id="8216" w:name="_Toc115442838"/>
      <w:bookmarkStart w:id="8217" w:name="_Toc115446374"/>
      <w:bookmarkStart w:id="8218" w:name="_Toc115446384"/>
      <w:bookmarkStart w:id="8219" w:name="_Toc115448081"/>
      <w:bookmarkStart w:id="8220" w:name="_Toc115449473"/>
      <w:bookmarkStart w:id="8221" w:name="_Toc115452493"/>
      <w:bookmarkStart w:id="8222" w:name="_Toc115455310"/>
      <w:bookmarkStart w:id="8223" w:name="_Toc115455376"/>
      <w:bookmarkStart w:id="8224" w:name="_Toc115457326"/>
      <w:bookmarkStart w:id="8225" w:name="_Toc115458162"/>
      <w:bookmarkStart w:id="8226" w:name="_Toc115948190"/>
      <w:bookmarkStart w:id="8227" w:name="_Toc115948637"/>
      <w:r>
        <w:t>8</w:t>
      </w:r>
      <w:r w:rsidR="00F55DC4">
        <w:t>.1 Glossary</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p>
    <w:tbl>
      <w:tblPr>
        <w:tblStyle w:val="TableGridLight"/>
        <w:tblW w:w="0" w:type="auto"/>
        <w:tblLook w:val="04A0" w:firstRow="1" w:lastRow="0" w:firstColumn="1" w:lastColumn="0" w:noHBand="0" w:noVBand="1"/>
        <w:tblDescription w:val="Term Description&#10;APS Australian Public Service&#10;APSC Australian Public Service Commission&#10;CPSU Community and Public Sector Union &#10;CPW Commonwealth parliamentary workplace&#10;DPS Department of Parliamentary Services&#10;EA Commonwealth MoP(S) Staff Enterprise Agreement 2020-23&#10;ESB Electorate Support Budget&#10;Finance Department of Finance&#10;Foster Review Department of the Prime Minister and Cabinet, Review of the Parliamentary Workplace: Responding to Serious Incidents (2021)&#10;FW Regulations Fair Work Regulations 2009&#10;FW Act Fair Work Act 2009 (Cth)&#10;HR Human Resources&#10;IPEA Independent Parliamentary Expenses Authority&#10;IPSC Independent Parliamentary Standards Commission&#10;IPSA Independent Parliamentary Standards Authority, United Kingdom&#10;MaPS Ministerial and Parliamentary Services, Department of Finance&#10;MoP(S) Act Members of Parliament (Staff) Act 1984 (Cth)&#10;NACC National Anti-Corruption Commission&#10;Official Establishments The Lodge and Kirribilli House&#10;OPSC Office of Parliamentarian Staffing and Culture&#10;PM&amp;C Department of the Prime Minister and Cabinet&#10;PS Act Public Service Act 1999&#10;PS Regulations Public Service Regulations 1999&#10;PWSS Parliamentary Workplace Support Service&#10;Set the Standard Australian Human Rights Commission, Set the Standard: Report on the Independent Review into Commonwealth Parliamentary Workplaces (2021)&#10;SMOS Special Minister of State&#10;WGEA Workplace Gender Equality Agency&#10;WHS Work health and safety&#10;WHS Act Work Health and Safety Act 2011 (Cth)&#10;"/>
      </w:tblPr>
      <w:tblGrid>
        <w:gridCol w:w="2547"/>
        <w:gridCol w:w="7081"/>
      </w:tblGrid>
      <w:tr w:rsidR="007C1761" w14:paraId="42808491" w14:textId="77777777" w:rsidTr="007C1761">
        <w:trPr>
          <w:tblHeader/>
        </w:trPr>
        <w:tc>
          <w:tcPr>
            <w:tcW w:w="2547" w:type="dxa"/>
          </w:tcPr>
          <w:p w14:paraId="2CFBF123" w14:textId="619A881D" w:rsidR="007C1761" w:rsidRPr="007C1761" w:rsidRDefault="007C1761" w:rsidP="00F55DC4">
            <w:pPr>
              <w:rPr>
                <w:b/>
              </w:rPr>
            </w:pPr>
            <w:r w:rsidRPr="007C1761">
              <w:rPr>
                <w:b/>
              </w:rPr>
              <w:t>Term</w:t>
            </w:r>
          </w:p>
        </w:tc>
        <w:tc>
          <w:tcPr>
            <w:tcW w:w="7081" w:type="dxa"/>
          </w:tcPr>
          <w:p w14:paraId="585EA8D9" w14:textId="1819FC74" w:rsidR="007C1761" w:rsidRPr="007C1761" w:rsidRDefault="007C1761" w:rsidP="00F55DC4">
            <w:pPr>
              <w:rPr>
                <w:b/>
              </w:rPr>
            </w:pPr>
            <w:r w:rsidRPr="007C1761">
              <w:rPr>
                <w:b/>
              </w:rPr>
              <w:t>Description</w:t>
            </w:r>
          </w:p>
        </w:tc>
      </w:tr>
      <w:tr w:rsidR="00FC52A8" w14:paraId="5C5AB584" w14:textId="77777777" w:rsidTr="003B3EF8">
        <w:tc>
          <w:tcPr>
            <w:tcW w:w="2547" w:type="dxa"/>
          </w:tcPr>
          <w:p w14:paraId="247976E7" w14:textId="77777777" w:rsidR="00FC52A8" w:rsidRDefault="00FC52A8" w:rsidP="00F55DC4">
            <w:r>
              <w:t>APS</w:t>
            </w:r>
          </w:p>
        </w:tc>
        <w:tc>
          <w:tcPr>
            <w:tcW w:w="7081" w:type="dxa"/>
          </w:tcPr>
          <w:p w14:paraId="62D339BB" w14:textId="77777777" w:rsidR="00FC52A8" w:rsidRDefault="00FC52A8" w:rsidP="00F55DC4">
            <w:r>
              <w:t>Australian Public Service</w:t>
            </w:r>
          </w:p>
        </w:tc>
      </w:tr>
      <w:tr w:rsidR="00D25FEC" w14:paraId="70A3BC13" w14:textId="77777777" w:rsidTr="003B3EF8">
        <w:tc>
          <w:tcPr>
            <w:tcW w:w="2547" w:type="dxa"/>
          </w:tcPr>
          <w:p w14:paraId="1EF26917" w14:textId="77777777" w:rsidR="00D25FEC" w:rsidRDefault="00D25FEC" w:rsidP="00F55DC4">
            <w:r>
              <w:t>APSC</w:t>
            </w:r>
          </w:p>
        </w:tc>
        <w:tc>
          <w:tcPr>
            <w:tcW w:w="7081" w:type="dxa"/>
          </w:tcPr>
          <w:p w14:paraId="54B64C8E" w14:textId="77777777" w:rsidR="00D25FEC" w:rsidRDefault="00D25FEC" w:rsidP="00F55DC4">
            <w:r>
              <w:t xml:space="preserve">Australian Public Service </w:t>
            </w:r>
            <w:r w:rsidR="007B4F25">
              <w:t>Commission</w:t>
            </w:r>
          </w:p>
        </w:tc>
      </w:tr>
      <w:tr w:rsidR="000720C4" w14:paraId="76D67314" w14:textId="77777777" w:rsidTr="003B3EF8">
        <w:tc>
          <w:tcPr>
            <w:tcW w:w="2547" w:type="dxa"/>
          </w:tcPr>
          <w:p w14:paraId="54731299" w14:textId="77777777" w:rsidR="000720C4" w:rsidRDefault="000720C4" w:rsidP="00F55DC4">
            <w:r>
              <w:t>CPSU</w:t>
            </w:r>
          </w:p>
        </w:tc>
        <w:tc>
          <w:tcPr>
            <w:tcW w:w="7081" w:type="dxa"/>
          </w:tcPr>
          <w:p w14:paraId="5D9D4E6C" w14:textId="77777777" w:rsidR="000720C4" w:rsidRDefault="000720C4" w:rsidP="000720C4">
            <w:r>
              <w:t xml:space="preserve">Community and Public Sector Union </w:t>
            </w:r>
          </w:p>
        </w:tc>
      </w:tr>
      <w:tr w:rsidR="00D65E09" w14:paraId="3E417348" w14:textId="77777777" w:rsidTr="003B3EF8">
        <w:tc>
          <w:tcPr>
            <w:tcW w:w="2547" w:type="dxa"/>
          </w:tcPr>
          <w:p w14:paraId="3B545B76" w14:textId="6E4D1F9C" w:rsidR="00D65E09" w:rsidRDefault="00D65E09" w:rsidP="00F55DC4">
            <w:r>
              <w:t>CPW</w:t>
            </w:r>
          </w:p>
        </w:tc>
        <w:tc>
          <w:tcPr>
            <w:tcW w:w="7081" w:type="dxa"/>
          </w:tcPr>
          <w:p w14:paraId="2E4593BD" w14:textId="49F5783E" w:rsidR="00D65E09" w:rsidRDefault="00D65E09" w:rsidP="000720C4">
            <w:r>
              <w:t>Commonwealth parliamentary workplace</w:t>
            </w:r>
          </w:p>
        </w:tc>
      </w:tr>
      <w:tr w:rsidR="00B931EF" w14:paraId="53E774FB" w14:textId="77777777" w:rsidTr="003B3EF8">
        <w:tc>
          <w:tcPr>
            <w:tcW w:w="2547" w:type="dxa"/>
          </w:tcPr>
          <w:p w14:paraId="1C09AB0C" w14:textId="77777777" w:rsidR="00B931EF" w:rsidRDefault="00B931EF" w:rsidP="00F55DC4">
            <w:r>
              <w:t>DPS</w:t>
            </w:r>
          </w:p>
        </w:tc>
        <w:tc>
          <w:tcPr>
            <w:tcW w:w="7081" w:type="dxa"/>
          </w:tcPr>
          <w:p w14:paraId="39F3AAAD" w14:textId="77777777" w:rsidR="00B931EF" w:rsidRDefault="00B931EF" w:rsidP="00F55DC4">
            <w:r>
              <w:t>Department of Parliamentary Services</w:t>
            </w:r>
          </w:p>
        </w:tc>
      </w:tr>
      <w:tr w:rsidR="002F0CE3" w14:paraId="622601DC" w14:textId="77777777" w:rsidTr="003B3EF8">
        <w:tc>
          <w:tcPr>
            <w:tcW w:w="2547" w:type="dxa"/>
          </w:tcPr>
          <w:p w14:paraId="717F9B9F" w14:textId="77777777" w:rsidR="002F0CE3" w:rsidRDefault="002F0CE3" w:rsidP="00F55DC4">
            <w:r>
              <w:t>EA</w:t>
            </w:r>
          </w:p>
        </w:tc>
        <w:tc>
          <w:tcPr>
            <w:tcW w:w="7081" w:type="dxa"/>
          </w:tcPr>
          <w:p w14:paraId="478205D1" w14:textId="526F722A" w:rsidR="002F0CE3" w:rsidRPr="00361733" w:rsidRDefault="009237B6" w:rsidP="00F55DC4">
            <w:r>
              <w:t>Commonwealth M</w:t>
            </w:r>
            <w:r w:rsidR="00982005">
              <w:t>oP</w:t>
            </w:r>
            <w:r w:rsidR="00B05ACC">
              <w:t>(S)</w:t>
            </w:r>
            <w:r w:rsidR="00982005">
              <w:t xml:space="preserve"> Staff </w:t>
            </w:r>
            <w:r w:rsidR="002F0CE3">
              <w:t>Enterprise Agreement</w:t>
            </w:r>
            <w:r w:rsidR="00982005">
              <w:t xml:space="preserve"> 2020-23</w:t>
            </w:r>
          </w:p>
        </w:tc>
      </w:tr>
      <w:tr w:rsidR="00B50F0A" w14:paraId="54359937" w14:textId="77777777" w:rsidTr="003B3EF8">
        <w:tc>
          <w:tcPr>
            <w:tcW w:w="2547" w:type="dxa"/>
          </w:tcPr>
          <w:p w14:paraId="67223414" w14:textId="77777777" w:rsidR="00B50F0A" w:rsidRDefault="00B50F0A" w:rsidP="00F55DC4">
            <w:r>
              <w:t>ESB</w:t>
            </w:r>
          </w:p>
        </w:tc>
        <w:tc>
          <w:tcPr>
            <w:tcW w:w="7081" w:type="dxa"/>
          </w:tcPr>
          <w:p w14:paraId="2634D755" w14:textId="77777777" w:rsidR="00B50F0A" w:rsidRDefault="00B50F0A" w:rsidP="00F55DC4">
            <w:r>
              <w:t xml:space="preserve">Electorate </w:t>
            </w:r>
            <w:r w:rsidR="000720C4">
              <w:t xml:space="preserve">Support </w:t>
            </w:r>
            <w:r>
              <w:t>Budget</w:t>
            </w:r>
          </w:p>
        </w:tc>
      </w:tr>
      <w:tr w:rsidR="001F3523" w14:paraId="523F01E3" w14:textId="77777777" w:rsidTr="003B3EF8">
        <w:tc>
          <w:tcPr>
            <w:tcW w:w="2547" w:type="dxa"/>
          </w:tcPr>
          <w:p w14:paraId="2743BBCF" w14:textId="77777777" w:rsidR="001F3523" w:rsidRDefault="001F3523" w:rsidP="00F55DC4">
            <w:r>
              <w:t>Finance</w:t>
            </w:r>
          </w:p>
        </w:tc>
        <w:tc>
          <w:tcPr>
            <w:tcW w:w="7081" w:type="dxa"/>
          </w:tcPr>
          <w:p w14:paraId="6C88AC18" w14:textId="77777777" w:rsidR="001F3523" w:rsidRPr="00361733" w:rsidRDefault="001F3523" w:rsidP="00F55DC4">
            <w:r>
              <w:t>Department of Finance</w:t>
            </w:r>
          </w:p>
        </w:tc>
      </w:tr>
      <w:tr w:rsidR="00C57893" w14:paraId="30D3DA99" w14:textId="77777777" w:rsidTr="003B3EF8">
        <w:tc>
          <w:tcPr>
            <w:tcW w:w="2547" w:type="dxa"/>
          </w:tcPr>
          <w:p w14:paraId="56385454" w14:textId="6DD091B3" w:rsidR="00C57893" w:rsidRDefault="00C57893" w:rsidP="00F55DC4">
            <w:r>
              <w:t>Foster Re</w:t>
            </w:r>
            <w:r w:rsidR="00C532F6">
              <w:t>view</w:t>
            </w:r>
          </w:p>
        </w:tc>
        <w:tc>
          <w:tcPr>
            <w:tcW w:w="7081" w:type="dxa"/>
          </w:tcPr>
          <w:p w14:paraId="4A0805D0" w14:textId="652A1A2F" w:rsidR="00C57893" w:rsidRDefault="00C57893" w:rsidP="00F55DC4">
            <w:r>
              <w:t xml:space="preserve">Department of the Prime Minister and Cabinet, </w:t>
            </w:r>
            <w:r>
              <w:rPr>
                <w:i/>
              </w:rPr>
              <w:t>Review of the Parliamentary Workplace: Responding to Serious Incidents</w:t>
            </w:r>
            <w:r>
              <w:t xml:space="preserve"> (2021)</w:t>
            </w:r>
          </w:p>
        </w:tc>
      </w:tr>
      <w:tr w:rsidR="006A15D5" w14:paraId="0D676EF8" w14:textId="77777777" w:rsidTr="003B3EF8">
        <w:tc>
          <w:tcPr>
            <w:tcW w:w="2547" w:type="dxa"/>
          </w:tcPr>
          <w:p w14:paraId="4A75F7D9" w14:textId="77777777" w:rsidR="006A15D5" w:rsidRDefault="006A15D5" w:rsidP="00F55DC4">
            <w:r>
              <w:t>FW Regulations</w:t>
            </w:r>
          </w:p>
        </w:tc>
        <w:tc>
          <w:tcPr>
            <w:tcW w:w="7081" w:type="dxa"/>
          </w:tcPr>
          <w:p w14:paraId="2AB218A0" w14:textId="77777777" w:rsidR="006A15D5" w:rsidRDefault="006A15D5" w:rsidP="00F55DC4">
            <w:r>
              <w:t>Fair Work Regulations 2009</w:t>
            </w:r>
          </w:p>
        </w:tc>
      </w:tr>
      <w:tr w:rsidR="006A15D5" w14:paraId="72C3B0F3" w14:textId="77777777" w:rsidTr="003B3EF8">
        <w:tc>
          <w:tcPr>
            <w:tcW w:w="2547" w:type="dxa"/>
          </w:tcPr>
          <w:p w14:paraId="5418E673" w14:textId="77777777" w:rsidR="006A15D5" w:rsidRDefault="006A15D5" w:rsidP="00F55DC4">
            <w:r>
              <w:t>FW</w:t>
            </w:r>
            <w:r w:rsidR="00A86264">
              <w:t xml:space="preserve"> </w:t>
            </w:r>
            <w:r>
              <w:t>A</w:t>
            </w:r>
            <w:r w:rsidR="00A86264">
              <w:t>ct</w:t>
            </w:r>
          </w:p>
        </w:tc>
        <w:tc>
          <w:tcPr>
            <w:tcW w:w="7081" w:type="dxa"/>
          </w:tcPr>
          <w:p w14:paraId="5A4DB91F" w14:textId="77777777" w:rsidR="006A15D5" w:rsidRDefault="006A15D5" w:rsidP="00F55DC4">
            <w:r>
              <w:rPr>
                <w:i/>
              </w:rPr>
              <w:t>Fair Work Act 2009</w:t>
            </w:r>
            <w:r w:rsidR="009237B6">
              <w:rPr>
                <w:i/>
              </w:rPr>
              <w:t xml:space="preserve"> (Cth)</w:t>
            </w:r>
          </w:p>
        </w:tc>
      </w:tr>
      <w:tr w:rsidR="00F959FE" w14:paraId="179CE798" w14:textId="77777777" w:rsidTr="003B3EF8">
        <w:tc>
          <w:tcPr>
            <w:tcW w:w="2547" w:type="dxa"/>
          </w:tcPr>
          <w:p w14:paraId="5868608C" w14:textId="77777777" w:rsidR="00F959FE" w:rsidRDefault="00F959FE" w:rsidP="00F55DC4">
            <w:r>
              <w:t>HR</w:t>
            </w:r>
          </w:p>
        </w:tc>
        <w:tc>
          <w:tcPr>
            <w:tcW w:w="7081" w:type="dxa"/>
          </w:tcPr>
          <w:p w14:paraId="374CC7E2" w14:textId="77777777" w:rsidR="00F959FE" w:rsidRPr="00361733" w:rsidRDefault="00F959FE" w:rsidP="00F55DC4">
            <w:r>
              <w:t>Human Resources</w:t>
            </w:r>
          </w:p>
        </w:tc>
      </w:tr>
      <w:tr w:rsidR="00B931EF" w14:paraId="7B5F384B" w14:textId="77777777" w:rsidTr="003B3EF8">
        <w:tc>
          <w:tcPr>
            <w:tcW w:w="2547" w:type="dxa"/>
          </w:tcPr>
          <w:p w14:paraId="796D786C" w14:textId="77777777" w:rsidR="00B931EF" w:rsidRDefault="00B931EF" w:rsidP="00F55DC4">
            <w:r>
              <w:t>IPEA</w:t>
            </w:r>
          </w:p>
        </w:tc>
        <w:tc>
          <w:tcPr>
            <w:tcW w:w="7081" w:type="dxa"/>
          </w:tcPr>
          <w:p w14:paraId="77B1CF00" w14:textId="77777777" w:rsidR="00B931EF" w:rsidRPr="00361733" w:rsidRDefault="00B931EF" w:rsidP="00F55DC4">
            <w:r w:rsidRPr="00B931EF">
              <w:t>Independent Parliamen</w:t>
            </w:r>
            <w:r>
              <w:t>t</w:t>
            </w:r>
            <w:r w:rsidRPr="00B931EF">
              <w:t>ary Expenses Authority</w:t>
            </w:r>
          </w:p>
        </w:tc>
      </w:tr>
      <w:tr w:rsidR="00361733" w14:paraId="1174732B" w14:textId="77777777" w:rsidTr="003B3EF8">
        <w:tc>
          <w:tcPr>
            <w:tcW w:w="2547" w:type="dxa"/>
          </w:tcPr>
          <w:p w14:paraId="0EFF9AD9" w14:textId="77777777" w:rsidR="00361733" w:rsidRDefault="00361733" w:rsidP="00F55DC4">
            <w:r>
              <w:t>IPSC</w:t>
            </w:r>
          </w:p>
        </w:tc>
        <w:tc>
          <w:tcPr>
            <w:tcW w:w="7081" w:type="dxa"/>
          </w:tcPr>
          <w:p w14:paraId="7EE42536" w14:textId="77777777" w:rsidR="00361733" w:rsidRPr="00ED2863" w:rsidRDefault="00361733" w:rsidP="00F55DC4">
            <w:pPr>
              <w:rPr>
                <w:i/>
              </w:rPr>
            </w:pPr>
            <w:r w:rsidRPr="00361733">
              <w:t>Independent Parliamentary Standards Commission</w:t>
            </w:r>
          </w:p>
        </w:tc>
      </w:tr>
      <w:tr w:rsidR="00EE601D" w14:paraId="5AC15CE6" w14:textId="77777777" w:rsidTr="003B3EF8">
        <w:tc>
          <w:tcPr>
            <w:tcW w:w="2547" w:type="dxa"/>
          </w:tcPr>
          <w:p w14:paraId="35402C9C" w14:textId="2A4039B4" w:rsidR="00EE601D" w:rsidRDefault="00EE601D" w:rsidP="00F55DC4">
            <w:r>
              <w:t>IPSA</w:t>
            </w:r>
          </w:p>
        </w:tc>
        <w:tc>
          <w:tcPr>
            <w:tcW w:w="7081" w:type="dxa"/>
          </w:tcPr>
          <w:p w14:paraId="79FC2FC4" w14:textId="76520829" w:rsidR="00EE601D" w:rsidRDefault="00EE601D" w:rsidP="00F55DC4">
            <w:r w:rsidRPr="00EE601D">
              <w:t>Independent Parliamentary Standards Authority</w:t>
            </w:r>
            <w:r w:rsidR="000562D9">
              <w:t>,</w:t>
            </w:r>
            <w:r w:rsidRPr="00EE601D">
              <w:t xml:space="preserve"> </w:t>
            </w:r>
            <w:r>
              <w:t>U</w:t>
            </w:r>
            <w:r w:rsidR="000562D9">
              <w:t xml:space="preserve">nited </w:t>
            </w:r>
            <w:r>
              <w:t>K</w:t>
            </w:r>
            <w:r w:rsidR="000562D9">
              <w:t>ingdom</w:t>
            </w:r>
          </w:p>
        </w:tc>
      </w:tr>
      <w:tr w:rsidR="00592C17" w14:paraId="78D440E1" w14:textId="77777777" w:rsidTr="003B3EF8">
        <w:tc>
          <w:tcPr>
            <w:tcW w:w="2547" w:type="dxa"/>
          </w:tcPr>
          <w:p w14:paraId="3B72F77D" w14:textId="77777777" w:rsidR="00592C17" w:rsidRDefault="00592C17" w:rsidP="00F55DC4">
            <w:r>
              <w:t>MaPS</w:t>
            </w:r>
          </w:p>
        </w:tc>
        <w:tc>
          <w:tcPr>
            <w:tcW w:w="7081" w:type="dxa"/>
          </w:tcPr>
          <w:p w14:paraId="448D3919" w14:textId="77777777" w:rsidR="00592C17" w:rsidRPr="00592C17" w:rsidRDefault="00592C17" w:rsidP="00F55DC4">
            <w:r>
              <w:t>Ministerial and Parliamentary Services, Department of Finance</w:t>
            </w:r>
          </w:p>
        </w:tc>
      </w:tr>
      <w:tr w:rsidR="003B3EF8" w14:paraId="1AD89DEF" w14:textId="77777777" w:rsidTr="003B3EF8">
        <w:tc>
          <w:tcPr>
            <w:tcW w:w="2547" w:type="dxa"/>
          </w:tcPr>
          <w:p w14:paraId="01C9FEEA" w14:textId="77777777" w:rsidR="003B3EF8" w:rsidRDefault="003B3EF8" w:rsidP="0055271A">
            <w:pPr>
              <w:tabs>
                <w:tab w:val="left" w:pos="1080"/>
              </w:tabs>
            </w:pPr>
            <w:r>
              <w:t>MoP(S)</w:t>
            </w:r>
            <w:r w:rsidR="00114863">
              <w:t xml:space="preserve"> Act</w:t>
            </w:r>
          </w:p>
        </w:tc>
        <w:tc>
          <w:tcPr>
            <w:tcW w:w="7081" w:type="dxa"/>
          </w:tcPr>
          <w:p w14:paraId="3D44FE32" w14:textId="77777777" w:rsidR="003B3EF8" w:rsidRPr="00BD4B8A" w:rsidRDefault="003B3EF8" w:rsidP="00F55DC4">
            <w:r w:rsidRPr="00ED2863">
              <w:rPr>
                <w:i/>
              </w:rPr>
              <w:t>Members of Parliament (Staff) Act 1984</w:t>
            </w:r>
            <w:r w:rsidR="00BD4B8A">
              <w:rPr>
                <w:i/>
              </w:rPr>
              <w:t xml:space="preserve"> </w:t>
            </w:r>
            <w:r w:rsidR="00BD4B8A" w:rsidRPr="00626C6C">
              <w:rPr>
                <w:i/>
              </w:rPr>
              <w:t>(Cth)</w:t>
            </w:r>
          </w:p>
        </w:tc>
      </w:tr>
      <w:tr w:rsidR="00A831B7" w14:paraId="19D0C5DB" w14:textId="77777777" w:rsidTr="003B3EF8">
        <w:tc>
          <w:tcPr>
            <w:tcW w:w="2547" w:type="dxa"/>
          </w:tcPr>
          <w:p w14:paraId="032F952C" w14:textId="77777777" w:rsidR="00A831B7" w:rsidRDefault="00A831B7" w:rsidP="00F55DC4">
            <w:r>
              <w:t>NACC</w:t>
            </w:r>
          </w:p>
        </w:tc>
        <w:tc>
          <w:tcPr>
            <w:tcW w:w="7081" w:type="dxa"/>
          </w:tcPr>
          <w:p w14:paraId="537A6710" w14:textId="77777777" w:rsidR="00A831B7" w:rsidRDefault="00A831B7" w:rsidP="000050E1">
            <w:r>
              <w:t>National Anti-Corruption Commission</w:t>
            </w:r>
          </w:p>
        </w:tc>
      </w:tr>
      <w:tr w:rsidR="00931A3F" w14:paraId="43DEBEFA" w14:textId="77777777" w:rsidTr="003B3EF8">
        <w:tc>
          <w:tcPr>
            <w:tcW w:w="2547" w:type="dxa"/>
          </w:tcPr>
          <w:p w14:paraId="79432265" w14:textId="77777777" w:rsidR="00931A3F" w:rsidRDefault="00931A3F" w:rsidP="00F55DC4">
            <w:r>
              <w:t>Official Establishments</w:t>
            </w:r>
          </w:p>
        </w:tc>
        <w:tc>
          <w:tcPr>
            <w:tcW w:w="7081" w:type="dxa"/>
          </w:tcPr>
          <w:p w14:paraId="1F8B739B" w14:textId="77777777" w:rsidR="00931A3F" w:rsidRDefault="00931A3F" w:rsidP="000050E1">
            <w:r>
              <w:t>The Lodge and Kirribilli House</w:t>
            </w:r>
          </w:p>
        </w:tc>
      </w:tr>
      <w:tr w:rsidR="000050E1" w14:paraId="54F9671A" w14:textId="77777777" w:rsidTr="003B3EF8">
        <w:tc>
          <w:tcPr>
            <w:tcW w:w="2547" w:type="dxa"/>
          </w:tcPr>
          <w:p w14:paraId="5351431A" w14:textId="77777777" w:rsidR="000050E1" w:rsidRDefault="000050E1" w:rsidP="00F55DC4">
            <w:r>
              <w:t>OPSC</w:t>
            </w:r>
          </w:p>
        </w:tc>
        <w:tc>
          <w:tcPr>
            <w:tcW w:w="7081" w:type="dxa"/>
          </w:tcPr>
          <w:p w14:paraId="6F8824D1" w14:textId="77777777" w:rsidR="000050E1" w:rsidRDefault="000050E1" w:rsidP="000050E1">
            <w:r>
              <w:t>Office of Parliamentarian Staffing and Culture</w:t>
            </w:r>
          </w:p>
        </w:tc>
      </w:tr>
      <w:tr w:rsidR="003B3EF8" w14:paraId="3AE91508" w14:textId="77777777" w:rsidTr="003B3EF8">
        <w:tc>
          <w:tcPr>
            <w:tcW w:w="2547" w:type="dxa"/>
          </w:tcPr>
          <w:p w14:paraId="7EF52FFA" w14:textId="77777777" w:rsidR="003B3EF8" w:rsidRDefault="00473AD2" w:rsidP="00F55DC4">
            <w:r>
              <w:t>PM&amp;C</w:t>
            </w:r>
          </w:p>
        </w:tc>
        <w:tc>
          <w:tcPr>
            <w:tcW w:w="7081" w:type="dxa"/>
          </w:tcPr>
          <w:p w14:paraId="1F3E7A5D" w14:textId="77777777" w:rsidR="003B3EF8" w:rsidRDefault="00473AD2" w:rsidP="00F55DC4">
            <w:r>
              <w:t>Department of the Prime Minister and Cabinet</w:t>
            </w:r>
          </w:p>
        </w:tc>
      </w:tr>
      <w:tr w:rsidR="003B3EF8" w14:paraId="3CF433E2" w14:textId="77777777" w:rsidTr="003B3EF8">
        <w:tc>
          <w:tcPr>
            <w:tcW w:w="2547" w:type="dxa"/>
          </w:tcPr>
          <w:p w14:paraId="1AD8A62E" w14:textId="77777777" w:rsidR="003B3EF8" w:rsidRDefault="00780ADF" w:rsidP="00F55DC4">
            <w:r>
              <w:t>PS</w:t>
            </w:r>
            <w:r w:rsidR="00256419">
              <w:t xml:space="preserve"> </w:t>
            </w:r>
            <w:r>
              <w:t>A</w:t>
            </w:r>
            <w:r w:rsidR="00256419">
              <w:t>ct</w:t>
            </w:r>
          </w:p>
        </w:tc>
        <w:tc>
          <w:tcPr>
            <w:tcW w:w="7081" w:type="dxa"/>
          </w:tcPr>
          <w:p w14:paraId="046BF720" w14:textId="77777777" w:rsidR="003B3EF8" w:rsidRPr="00780ADF" w:rsidRDefault="00780ADF" w:rsidP="00F55DC4">
            <w:pPr>
              <w:rPr>
                <w:i/>
              </w:rPr>
            </w:pPr>
            <w:r>
              <w:rPr>
                <w:i/>
              </w:rPr>
              <w:t>Public Service Act 1999</w:t>
            </w:r>
          </w:p>
        </w:tc>
      </w:tr>
      <w:tr w:rsidR="00F12F31" w14:paraId="5E06AD6D" w14:textId="77777777" w:rsidTr="003B3EF8">
        <w:tc>
          <w:tcPr>
            <w:tcW w:w="2547" w:type="dxa"/>
          </w:tcPr>
          <w:p w14:paraId="7F7733D9" w14:textId="77777777" w:rsidR="00F12F31" w:rsidRDefault="00F12F31" w:rsidP="00F55DC4">
            <w:r>
              <w:t>PS Regulations</w:t>
            </w:r>
          </w:p>
        </w:tc>
        <w:tc>
          <w:tcPr>
            <w:tcW w:w="7081" w:type="dxa"/>
          </w:tcPr>
          <w:p w14:paraId="1B0D085E" w14:textId="77777777" w:rsidR="00F12F31" w:rsidRPr="00132541" w:rsidRDefault="00F12F31" w:rsidP="00F55DC4">
            <w:r>
              <w:t>Public Service Regulations 1999</w:t>
            </w:r>
          </w:p>
        </w:tc>
      </w:tr>
      <w:tr w:rsidR="00132541" w14:paraId="15422860" w14:textId="77777777" w:rsidTr="003B3EF8">
        <w:tc>
          <w:tcPr>
            <w:tcW w:w="2547" w:type="dxa"/>
          </w:tcPr>
          <w:p w14:paraId="4138200A" w14:textId="77777777" w:rsidR="00132541" w:rsidRDefault="00132541" w:rsidP="00F55DC4">
            <w:r>
              <w:t>PWSS</w:t>
            </w:r>
          </w:p>
        </w:tc>
        <w:tc>
          <w:tcPr>
            <w:tcW w:w="7081" w:type="dxa"/>
          </w:tcPr>
          <w:p w14:paraId="2131F9A0" w14:textId="77777777" w:rsidR="00132541" w:rsidRPr="00132541" w:rsidRDefault="00132541" w:rsidP="00F55DC4">
            <w:r w:rsidRPr="00132541">
              <w:t>Parliamen</w:t>
            </w:r>
            <w:r>
              <w:t>tary Workplace Support Service</w:t>
            </w:r>
          </w:p>
        </w:tc>
      </w:tr>
      <w:tr w:rsidR="00064AE4" w14:paraId="26625839" w14:textId="77777777" w:rsidTr="003B3EF8">
        <w:tc>
          <w:tcPr>
            <w:tcW w:w="2547" w:type="dxa"/>
          </w:tcPr>
          <w:p w14:paraId="261395A9" w14:textId="77777777" w:rsidR="00064AE4" w:rsidRDefault="00AA3B05" w:rsidP="00F55DC4">
            <w:r w:rsidRPr="00AA3B05" w:rsidDel="00142173">
              <w:rPr>
                <w:i/>
              </w:rPr>
              <w:t>Set the Standard</w:t>
            </w:r>
          </w:p>
        </w:tc>
        <w:tc>
          <w:tcPr>
            <w:tcW w:w="7081" w:type="dxa"/>
          </w:tcPr>
          <w:p w14:paraId="5861435E" w14:textId="77777777" w:rsidR="00064AE4" w:rsidRDefault="00064AE4" w:rsidP="00F55DC4">
            <w:r w:rsidRPr="00EC093F">
              <w:t xml:space="preserve">Australian Human Rights Commission, </w:t>
            </w:r>
            <w:r w:rsidR="00AA3B05" w:rsidRPr="00AA3B05" w:rsidDel="00142173">
              <w:rPr>
                <w:i/>
              </w:rPr>
              <w:t>Set the Standard</w:t>
            </w:r>
            <w:r w:rsidRPr="00592C17">
              <w:rPr>
                <w:i/>
              </w:rPr>
              <w:t>: Report on the Independent Review into Commonwealth Parliamentary Workplaces</w:t>
            </w:r>
            <w:r w:rsidRPr="00EC093F">
              <w:t xml:space="preserve"> (2021)</w:t>
            </w:r>
          </w:p>
        </w:tc>
      </w:tr>
      <w:tr w:rsidR="000959E5" w14:paraId="32A5552E" w14:textId="77777777" w:rsidTr="003B3EF8">
        <w:tc>
          <w:tcPr>
            <w:tcW w:w="2547" w:type="dxa"/>
          </w:tcPr>
          <w:p w14:paraId="25DF4BD7" w14:textId="77777777" w:rsidR="000959E5" w:rsidRDefault="000959E5" w:rsidP="00F55DC4">
            <w:r>
              <w:t>SMOS</w:t>
            </w:r>
          </w:p>
        </w:tc>
        <w:tc>
          <w:tcPr>
            <w:tcW w:w="7081" w:type="dxa"/>
          </w:tcPr>
          <w:p w14:paraId="026D3560" w14:textId="77777777" w:rsidR="000959E5" w:rsidRPr="00132541" w:rsidRDefault="000959E5" w:rsidP="00F55DC4">
            <w:r>
              <w:t>Special Minister of State</w:t>
            </w:r>
          </w:p>
        </w:tc>
      </w:tr>
      <w:tr w:rsidR="006664C8" w14:paraId="5AA1A2C6" w14:textId="77777777" w:rsidTr="003B3EF8">
        <w:tc>
          <w:tcPr>
            <w:tcW w:w="2547" w:type="dxa"/>
          </w:tcPr>
          <w:p w14:paraId="0BC18D20" w14:textId="77777777" w:rsidR="006664C8" w:rsidRDefault="006664C8" w:rsidP="00F55DC4">
            <w:r>
              <w:t>WGEA</w:t>
            </w:r>
          </w:p>
        </w:tc>
        <w:tc>
          <w:tcPr>
            <w:tcW w:w="7081" w:type="dxa"/>
          </w:tcPr>
          <w:p w14:paraId="1B4FACB7" w14:textId="77777777" w:rsidR="006664C8" w:rsidRDefault="006664C8" w:rsidP="00F55DC4">
            <w:r>
              <w:t>Workplace Gender Equality Agency</w:t>
            </w:r>
          </w:p>
        </w:tc>
      </w:tr>
      <w:tr w:rsidR="00AE38DE" w14:paraId="103C31D7" w14:textId="77777777" w:rsidTr="003B3EF8">
        <w:tc>
          <w:tcPr>
            <w:tcW w:w="2547" w:type="dxa"/>
          </w:tcPr>
          <w:p w14:paraId="05EE6BE9" w14:textId="77777777" w:rsidR="00AE38DE" w:rsidRDefault="00AE38DE" w:rsidP="00F55DC4">
            <w:r>
              <w:t>WHS</w:t>
            </w:r>
          </w:p>
        </w:tc>
        <w:tc>
          <w:tcPr>
            <w:tcW w:w="7081" w:type="dxa"/>
          </w:tcPr>
          <w:p w14:paraId="26AE854A" w14:textId="77777777" w:rsidR="00AE38DE" w:rsidRDefault="00AE38DE" w:rsidP="00F55DC4">
            <w:r>
              <w:t xml:space="preserve">Work </w:t>
            </w:r>
            <w:r w:rsidR="004976BC">
              <w:t>health</w:t>
            </w:r>
            <w:r>
              <w:t xml:space="preserve"> and </w:t>
            </w:r>
            <w:r w:rsidR="004976BC">
              <w:t>s</w:t>
            </w:r>
            <w:r>
              <w:t>afety</w:t>
            </w:r>
          </w:p>
        </w:tc>
      </w:tr>
      <w:tr w:rsidR="00D14441" w14:paraId="56FBA14D" w14:textId="77777777" w:rsidTr="003B3EF8">
        <w:tc>
          <w:tcPr>
            <w:tcW w:w="2547" w:type="dxa"/>
          </w:tcPr>
          <w:p w14:paraId="7050C34B" w14:textId="77777777" w:rsidR="00D14441" w:rsidRDefault="00D14441" w:rsidP="00F55DC4">
            <w:r>
              <w:t>WHS Act</w:t>
            </w:r>
          </w:p>
        </w:tc>
        <w:tc>
          <w:tcPr>
            <w:tcW w:w="7081" w:type="dxa"/>
          </w:tcPr>
          <w:p w14:paraId="65610B4E" w14:textId="77777777" w:rsidR="00D14441" w:rsidRDefault="00D14441" w:rsidP="00F55DC4">
            <w:r>
              <w:rPr>
                <w:i/>
              </w:rPr>
              <w:t>Work Health and Safety Act 2011 (Cth)</w:t>
            </w:r>
          </w:p>
        </w:tc>
      </w:tr>
    </w:tbl>
    <w:p w14:paraId="0E67EB61" w14:textId="1D44A4BC" w:rsidR="00F55DC4" w:rsidRDefault="00F55DC4" w:rsidP="00F55DC4"/>
    <w:p w14:paraId="68DD91DE" w14:textId="77777777" w:rsidR="0094456B" w:rsidRDefault="0094456B">
      <w:pPr>
        <w:spacing w:after="200"/>
        <w:rPr>
          <w:rFonts w:asciiTheme="majorHAnsi" w:eastAsiaTheme="majorEastAsia" w:hAnsiTheme="majorHAnsi" w:cstheme="majorBidi"/>
          <w:color w:val="1B375C" w:themeColor="accent1"/>
          <w:sz w:val="32"/>
          <w:szCs w:val="28"/>
        </w:rPr>
      </w:pPr>
      <w:bookmarkStart w:id="8228" w:name="_Toc104212802"/>
      <w:bookmarkStart w:id="8229" w:name="_Toc114230916"/>
      <w:bookmarkStart w:id="8230" w:name="_Toc114233621"/>
      <w:bookmarkStart w:id="8231" w:name="_Toc114233693"/>
      <w:bookmarkStart w:id="8232" w:name="_Toc114240650"/>
      <w:bookmarkStart w:id="8233" w:name="_Toc114240724"/>
      <w:bookmarkStart w:id="8234" w:name="_Toc114241068"/>
      <w:bookmarkStart w:id="8235" w:name="_Toc114494092"/>
      <w:bookmarkStart w:id="8236" w:name="_Toc114500343"/>
      <w:bookmarkStart w:id="8237" w:name="_Toc114500418"/>
      <w:bookmarkStart w:id="8238" w:name="_Toc114518691"/>
      <w:bookmarkStart w:id="8239" w:name="_Toc114520363"/>
      <w:bookmarkStart w:id="8240" w:name="_Toc114520772"/>
      <w:bookmarkStart w:id="8241" w:name="_Toc114565800"/>
      <w:bookmarkStart w:id="8242" w:name="_Toc114566781"/>
      <w:bookmarkStart w:id="8243" w:name="_Toc114567006"/>
      <w:bookmarkStart w:id="8244" w:name="_Toc114566930"/>
      <w:bookmarkStart w:id="8245" w:name="_Toc114585928"/>
      <w:bookmarkStart w:id="8246" w:name="_Toc114586072"/>
      <w:bookmarkStart w:id="8247" w:name="_Toc114586144"/>
      <w:bookmarkStart w:id="8248" w:name="_Toc114601284"/>
      <w:bookmarkStart w:id="8249" w:name="_Toc114657325"/>
      <w:bookmarkStart w:id="8250" w:name="_Toc114659787"/>
      <w:bookmarkStart w:id="8251" w:name="_Toc114662772"/>
      <w:bookmarkStart w:id="8252" w:name="_Toc114665155"/>
      <w:bookmarkStart w:id="8253" w:name="_Toc114672463"/>
      <w:bookmarkStart w:id="8254" w:name="_Toc114672676"/>
      <w:bookmarkStart w:id="8255" w:name="_Toc114673231"/>
      <w:bookmarkStart w:id="8256" w:name="_Toc114673817"/>
      <w:bookmarkStart w:id="8257" w:name="_Toc114674342"/>
      <w:bookmarkStart w:id="8258" w:name="_Toc114687515"/>
      <w:bookmarkStart w:id="8259" w:name="_Toc114689979"/>
      <w:bookmarkStart w:id="8260" w:name="_Toc114731842"/>
      <w:bookmarkStart w:id="8261" w:name="_Toc114733607"/>
      <w:bookmarkStart w:id="8262" w:name="_Toc114735548"/>
      <w:bookmarkStart w:id="8263" w:name="_Toc114755878"/>
      <w:bookmarkStart w:id="8264" w:name="_Toc114757183"/>
      <w:bookmarkStart w:id="8265" w:name="_Toc114757467"/>
      <w:bookmarkStart w:id="8266" w:name="_Toc114757569"/>
      <w:bookmarkStart w:id="8267" w:name="_Toc114758242"/>
      <w:bookmarkStart w:id="8268" w:name="_Toc114824413"/>
      <w:bookmarkStart w:id="8269" w:name="_Toc114829489"/>
      <w:bookmarkStart w:id="8270" w:name="_Toc114829853"/>
      <w:bookmarkStart w:id="8271" w:name="_Toc114829997"/>
      <w:bookmarkStart w:id="8272" w:name="_Toc115099076"/>
      <w:bookmarkStart w:id="8273" w:name="_Toc115099148"/>
      <w:bookmarkStart w:id="8274" w:name="_Toc115101725"/>
      <w:bookmarkStart w:id="8275" w:name="_Toc115102570"/>
      <w:bookmarkStart w:id="8276" w:name="_Toc115105543"/>
      <w:bookmarkStart w:id="8277" w:name="_Toc115110404"/>
      <w:bookmarkStart w:id="8278" w:name="_Toc115110531"/>
      <w:bookmarkStart w:id="8279" w:name="_Toc115121649"/>
      <w:bookmarkStart w:id="8280" w:name="_Toc115122019"/>
      <w:bookmarkStart w:id="8281" w:name="_Toc115123499"/>
      <w:bookmarkStart w:id="8282" w:name="_Toc115123747"/>
      <w:bookmarkStart w:id="8283" w:name="_Toc115126879"/>
      <w:bookmarkStart w:id="8284" w:name="_Toc115185513"/>
      <w:bookmarkStart w:id="8285" w:name="_Toc115186140"/>
      <w:bookmarkStart w:id="8286" w:name="_Toc115189298"/>
      <w:bookmarkStart w:id="8287" w:name="_Toc115194271"/>
      <w:bookmarkStart w:id="8288" w:name="_Toc115195008"/>
      <w:bookmarkStart w:id="8289" w:name="_Toc115196418"/>
      <w:bookmarkStart w:id="8290" w:name="_Toc115198919"/>
      <w:bookmarkStart w:id="8291" w:name="_Toc115208934"/>
      <w:bookmarkStart w:id="8292" w:name="_Toc115209070"/>
      <w:bookmarkStart w:id="8293" w:name="_Toc115210401"/>
      <w:bookmarkStart w:id="8294" w:name="_Toc115212626"/>
      <w:bookmarkStart w:id="8295" w:name="_Toc115213266"/>
      <w:bookmarkStart w:id="8296" w:name="_Toc115216764"/>
      <w:bookmarkStart w:id="8297" w:name="_Toc115270455"/>
      <w:bookmarkStart w:id="8298" w:name="_Toc115271398"/>
      <w:bookmarkStart w:id="8299" w:name="_Toc115272315"/>
      <w:bookmarkStart w:id="8300" w:name="_Toc115273485"/>
      <w:bookmarkStart w:id="8301" w:name="_Toc115273413"/>
      <w:bookmarkStart w:id="8302" w:name="_Toc115274315"/>
      <w:bookmarkStart w:id="8303" w:name="_Toc115274666"/>
      <w:bookmarkStart w:id="8304" w:name="_Toc115274892"/>
      <w:bookmarkStart w:id="8305" w:name="_Toc115275249"/>
      <w:bookmarkStart w:id="8306" w:name="_Toc115275392"/>
      <w:bookmarkStart w:id="8307" w:name="_Toc115274229"/>
      <w:bookmarkStart w:id="8308" w:name="_Toc115274530"/>
      <w:bookmarkStart w:id="8309" w:name="_Toc115274598"/>
      <w:bookmarkStart w:id="8310" w:name="_Toc115274756"/>
      <w:bookmarkStart w:id="8311" w:name="_Toc115277490"/>
      <w:bookmarkStart w:id="8312" w:name="_Toc115277694"/>
      <w:bookmarkStart w:id="8313" w:name="_Toc115278583"/>
      <w:bookmarkStart w:id="8314" w:name="_Toc115278663"/>
      <w:bookmarkStart w:id="8315" w:name="_Toc115282333"/>
      <w:bookmarkStart w:id="8316" w:name="_Toc115284786"/>
      <w:bookmarkStart w:id="8317" w:name="_Toc115286878"/>
      <w:bookmarkStart w:id="8318" w:name="_Toc115294812"/>
      <w:bookmarkStart w:id="8319" w:name="_Toc115296392"/>
      <w:bookmarkStart w:id="8320" w:name="_Toc115308578"/>
      <w:bookmarkStart w:id="8321" w:name="_Toc115311230"/>
      <w:bookmarkStart w:id="8322" w:name="_Toc115312710"/>
      <w:bookmarkStart w:id="8323" w:name="_Toc115343884"/>
      <w:bookmarkStart w:id="8324" w:name="_Toc115348322"/>
      <w:bookmarkStart w:id="8325" w:name="_Toc115350420"/>
      <w:bookmarkStart w:id="8326" w:name="_Toc115353508"/>
      <w:bookmarkStart w:id="8327" w:name="_Toc115359539"/>
      <w:bookmarkStart w:id="8328" w:name="_Toc115361944"/>
      <w:bookmarkStart w:id="8329" w:name="_Toc115364337"/>
      <w:bookmarkStart w:id="8330" w:name="_Toc115365430"/>
      <w:bookmarkStart w:id="8331" w:name="_Toc115365770"/>
      <w:bookmarkStart w:id="8332" w:name="_Toc115366234"/>
      <w:bookmarkStart w:id="8333" w:name="_Toc115368577"/>
      <w:bookmarkStart w:id="8334" w:name="_Toc115368684"/>
      <w:bookmarkStart w:id="8335" w:name="_Toc115370124"/>
      <w:bookmarkStart w:id="8336" w:name="_Toc115370858"/>
      <w:bookmarkStart w:id="8337" w:name="_Toc115374430"/>
      <w:bookmarkStart w:id="8338" w:name="_Toc115378769"/>
      <w:bookmarkStart w:id="8339" w:name="_Toc115381001"/>
      <w:r>
        <w:br w:type="page"/>
      </w:r>
    </w:p>
    <w:p w14:paraId="43BDAB00" w14:textId="1040B42E" w:rsidR="00F55DC4" w:rsidRPr="000F2E36" w:rsidRDefault="00B46D82" w:rsidP="00F55DC4">
      <w:pPr>
        <w:pStyle w:val="Heading2"/>
      </w:pPr>
      <w:bookmarkStart w:id="8340" w:name="_Toc115384153"/>
      <w:bookmarkStart w:id="8341" w:name="_Toc115387382"/>
      <w:bookmarkStart w:id="8342" w:name="_Toc115388848"/>
      <w:bookmarkStart w:id="8343" w:name="_Toc115431486"/>
      <w:bookmarkStart w:id="8344" w:name="_Toc115432864"/>
      <w:bookmarkStart w:id="8345" w:name="_Toc115434435"/>
      <w:bookmarkStart w:id="8346" w:name="_Toc115434534"/>
      <w:bookmarkStart w:id="8347" w:name="_Toc115434603"/>
      <w:bookmarkStart w:id="8348" w:name="_Toc115434672"/>
      <w:bookmarkStart w:id="8349" w:name="_Toc115442839"/>
      <w:bookmarkStart w:id="8350" w:name="_Toc115446375"/>
      <w:bookmarkStart w:id="8351" w:name="_Toc115446385"/>
      <w:bookmarkStart w:id="8352" w:name="_Toc115448082"/>
      <w:bookmarkStart w:id="8353" w:name="_Toc115449474"/>
      <w:bookmarkStart w:id="8354" w:name="_Toc115452494"/>
      <w:bookmarkStart w:id="8355" w:name="_Toc115455311"/>
      <w:bookmarkStart w:id="8356" w:name="_Toc115455377"/>
      <w:bookmarkStart w:id="8357" w:name="_Toc115457327"/>
      <w:bookmarkStart w:id="8358" w:name="_Toc115458163"/>
      <w:bookmarkStart w:id="8359" w:name="_Toc115948191"/>
      <w:bookmarkStart w:id="8360" w:name="_Toc115948638"/>
      <w:r>
        <w:t>8</w:t>
      </w:r>
      <w:r w:rsidR="002C7AE4">
        <w:t>.2 Terms of r</w:t>
      </w:r>
      <w:r w:rsidR="00F55DC4">
        <w:t>eference</w:t>
      </w:r>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14:paraId="5E55F2C5" w14:textId="77777777" w:rsidR="00F55DC4" w:rsidRDefault="00F55DC4" w:rsidP="00F55DC4"/>
    <w:p w14:paraId="224F4C41" w14:textId="5BABA296" w:rsidR="00CA5F77" w:rsidRDefault="00770ABD" w:rsidP="00F55DC4">
      <w:r>
        <w:t>The t</w:t>
      </w:r>
      <w:r w:rsidR="00CA5F77">
        <w:t>erm</w:t>
      </w:r>
      <w:r>
        <w:t>s of r</w:t>
      </w:r>
      <w:r w:rsidR="00CA5F77">
        <w:t xml:space="preserve">eference was </w:t>
      </w:r>
      <w:r w:rsidR="00111FF3">
        <w:t>provided</w:t>
      </w:r>
      <w:r w:rsidR="00CA5F77">
        <w:t xml:space="preserve"> </w:t>
      </w:r>
      <w:r w:rsidR="00111FF3">
        <w:t xml:space="preserve">by the then Government </w:t>
      </w:r>
      <w:r w:rsidR="00CA5F77">
        <w:t xml:space="preserve">and published on the Department of the Prime Minister and Cabinet website </w:t>
      </w:r>
      <w:r w:rsidR="00327AF9">
        <w:rPr>
          <w:rStyle w:val="FootnoteReference"/>
        </w:rPr>
        <w:footnoteReference w:id="372"/>
      </w:r>
      <w:r w:rsidR="00CA5F77">
        <w:t xml:space="preserve"> and is reproduced below.</w:t>
      </w:r>
    </w:p>
    <w:p w14:paraId="572D278A" w14:textId="77777777" w:rsidR="00CA5F77" w:rsidRDefault="00CA5F77" w:rsidP="00F55DC4"/>
    <w:p w14:paraId="7A52AF5F" w14:textId="77777777" w:rsidR="00CA5F77" w:rsidRPr="00B05ACC" w:rsidRDefault="00CA5F77" w:rsidP="00CA5F77">
      <w:pPr>
        <w:pStyle w:val="BodyText"/>
        <w:jc w:val="center"/>
        <w:rPr>
          <w:rFonts w:cstheme="minorHAnsi"/>
          <w:b/>
          <w:sz w:val="22"/>
          <w:szCs w:val="22"/>
        </w:rPr>
      </w:pPr>
      <w:r w:rsidRPr="00B05ACC">
        <w:rPr>
          <w:rFonts w:cstheme="minorHAnsi"/>
          <w:b/>
          <w:sz w:val="22"/>
          <w:szCs w:val="22"/>
        </w:rPr>
        <w:t xml:space="preserve">Review of the </w:t>
      </w:r>
      <w:r w:rsidRPr="00B05ACC">
        <w:rPr>
          <w:rFonts w:cstheme="minorHAnsi"/>
          <w:b/>
          <w:i/>
          <w:sz w:val="22"/>
          <w:szCs w:val="22"/>
        </w:rPr>
        <w:t>Members of Parliament (Staff) Act 1984</w:t>
      </w:r>
      <w:r w:rsidRPr="00B05ACC">
        <w:rPr>
          <w:rFonts w:cstheme="minorHAnsi"/>
          <w:b/>
          <w:sz w:val="22"/>
          <w:szCs w:val="22"/>
        </w:rPr>
        <w:t xml:space="preserve"> (Cth)</w:t>
      </w:r>
    </w:p>
    <w:p w14:paraId="511ED256" w14:textId="77777777" w:rsidR="00CA5F77" w:rsidRPr="00B05ACC" w:rsidRDefault="00CA5F77" w:rsidP="00CA5F77">
      <w:pPr>
        <w:pStyle w:val="BodyText"/>
        <w:jc w:val="center"/>
        <w:rPr>
          <w:rFonts w:cstheme="minorHAnsi"/>
          <w:b/>
          <w:sz w:val="22"/>
          <w:szCs w:val="22"/>
        </w:rPr>
      </w:pPr>
      <w:r w:rsidRPr="00B05ACC">
        <w:rPr>
          <w:rFonts w:cstheme="minorHAnsi"/>
          <w:b/>
          <w:sz w:val="22"/>
          <w:szCs w:val="22"/>
        </w:rPr>
        <w:t>Terms of Reference</w:t>
      </w:r>
    </w:p>
    <w:p w14:paraId="26780CC7" w14:textId="77777777" w:rsidR="00CA5F77" w:rsidRPr="00B05ACC" w:rsidRDefault="00CA5F77" w:rsidP="00CA5F77">
      <w:pPr>
        <w:pStyle w:val="BodyText"/>
        <w:rPr>
          <w:rFonts w:cstheme="minorHAnsi"/>
          <w:sz w:val="22"/>
          <w:szCs w:val="22"/>
        </w:rPr>
      </w:pPr>
    </w:p>
    <w:p w14:paraId="668EF878" w14:textId="51601429" w:rsidR="00CA5F77" w:rsidRPr="00B05ACC" w:rsidRDefault="00CA5F77" w:rsidP="00051BDA">
      <w:pPr>
        <w:pStyle w:val="Heading3"/>
      </w:pPr>
      <w:r w:rsidRPr="00B05ACC">
        <w:t>Context</w:t>
      </w:r>
    </w:p>
    <w:p w14:paraId="15DF0D0E" w14:textId="77777777" w:rsidR="00CA5F77" w:rsidRPr="00B05ACC" w:rsidRDefault="00AA3B05" w:rsidP="00CA5F77">
      <w:pPr>
        <w:pStyle w:val="BodyText"/>
        <w:rPr>
          <w:rFonts w:cstheme="minorHAnsi"/>
          <w:sz w:val="22"/>
          <w:szCs w:val="22"/>
        </w:rPr>
      </w:pPr>
      <w:r w:rsidRPr="00B05ACC" w:rsidDel="00142173">
        <w:rPr>
          <w:rFonts w:cstheme="minorHAnsi"/>
          <w:i/>
          <w:sz w:val="22"/>
          <w:szCs w:val="22"/>
        </w:rPr>
        <w:t>Set the Standard</w:t>
      </w:r>
      <w:r w:rsidR="00CA5F77" w:rsidRPr="00B05ACC">
        <w:rPr>
          <w:rFonts w:cstheme="minorHAnsi"/>
          <w:i/>
          <w:sz w:val="22"/>
          <w:szCs w:val="22"/>
        </w:rPr>
        <w:t>: Report on the Independent Review into Commonwealth Workplaces’</w:t>
      </w:r>
      <w:r w:rsidR="00CA5F77" w:rsidRPr="00B05ACC">
        <w:rPr>
          <w:rFonts w:cstheme="minorHAnsi"/>
          <w:sz w:val="22"/>
          <w:szCs w:val="22"/>
        </w:rPr>
        <w:t xml:space="preserve"> (</w:t>
      </w:r>
      <w:r w:rsidR="00142173" w:rsidRPr="00B05ACC">
        <w:rPr>
          <w:rFonts w:cstheme="minorHAnsi"/>
          <w:i/>
          <w:sz w:val="22"/>
          <w:szCs w:val="22"/>
        </w:rPr>
        <w:t>Set the Standard</w:t>
      </w:r>
      <w:r w:rsidR="00CA5F77" w:rsidRPr="00B05ACC">
        <w:rPr>
          <w:rFonts w:cstheme="minorHAnsi"/>
          <w:sz w:val="22"/>
          <w:szCs w:val="22"/>
        </w:rPr>
        <w:t xml:space="preserve">) recommended the Australian Government undertake a comprehensive review of the </w:t>
      </w:r>
      <w:r w:rsidR="00CA5F77" w:rsidRPr="00B05ACC">
        <w:rPr>
          <w:rFonts w:cstheme="minorHAnsi"/>
          <w:i/>
          <w:sz w:val="22"/>
          <w:szCs w:val="22"/>
        </w:rPr>
        <w:t>Members of Parliament (Staff) Act 1984</w:t>
      </w:r>
      <w:r w:rsidR="00CA5F77" w:rsidRPr="00B05ACC">
        <w:rPr>
          <w:rFonts w:cstheme="minorHAnsi"/>
          <w:sz w:val="22"/>
          <w:szCs w:val="22"/>
        </w:rPr>
        <w:t xml:space="preserve"> (Cth) (</w:t>
      </w:r>
      <w:r w:rsidR="00122A67" w:rsidRPr="00B05ACC">
        <w:rPr>
          <w:rFonts w:cstheme="minorHAnsi"/>
          <w:sz w:val="22"/>
          <w:szCs w:val="22"/>
        </w:rPr>
        <w:t>MoP</w:t>
      </w:r>
      <w:r w:rsidR="00CA5F77" w:rsidRPr="00B05ACC">
        <w:rPr>
          <w:rFonts w:cstheme="minorHAnsi"/>
          <w:sz w:val="22"/>
          <w:szCs w:val="22"/>
        </w:rPr>
        <w:t>(S) Act) employment framework to reduce complexity, increase clarity and ensure consistency with modern employment frameworks.</w:t>
      </w:r>
    </w:p>
    <w:p w14:paraId="2904966C" w14:textId="77777777" w:rsidR="00CA5F77" w:rsidRPr="00B05ACC" w:rsidRDefault="00CA5F77" w:rsidP="00CA5F77">
      <w:pPr>
        <w:pStyle w:val="BodyText"/>
        <w:rPr>
          <w:rFonts w:cstheme="minorHAnsi"/>
          <w:sz w:val="22"/>
          <w:szCs w:val="22"/>
        </w:rPr>
      </w:pPr>
    </w:p>
    <w:p w14:paraId="300B79E3" w14:textId="014CEA22" w:rsidR="00CA5F77" w:rsidRPr="00B05ACC" w:rsidRDefault="00CA5F77" w:rsidP="00051BDA">
      <w:pPr>
        <w:pStyle w:val="Heading3"/>
      </w:pPr>
      <w:r w:rsidRPr="00B05ACC">
        <w:t>Objectives of the Review</w:t>
      </w:r>
    </w:p>
    <w:p w14:paraId="434FCC56" w14:textId="77777777" w:rsidR="00CA5F77" w:rsidRPr="00B05ACC" w:rsidRDefault="00CA5F77" w:rsidP="00CA5F77">
      <w:pPr>
        <w:pStyle w:val="BodyText"/>
        <w:rPr>
          <w:rFonts w:cstheme="minorHAnsi"/>
          <w:sz w:val="22"/>
          <w:szCs w:val="22"/>
        </w:rPr>
      </w:pPr>
      <w:r w:rsidRPr="00B05ACC">
        <w:rPr>
          <w:rFonts w:cstheme="minorHAnsi"/>
          <w:sz w:val="22"/>
          <w:szCs w:val="22"/>
        </w:rPr>
        <w:t>The Review should:</w:t>
      </w:r>
    </w:p>
    <w:p w14:paraId="675ED508" w14:textId="77777777" w:rsidR="00CA5F77" w:rsidRPr="00B05ACC" w:rsidRDefault="00CA5F77" w:rsidP="00590528">
      <w:pPr>
        <w:pStyle w:val="BodyText"/>
        <w:numPr>
          <w:ilvl w:val="0"/>
          <w:numId w:val="6"/>
        </w:numPr>
        <w:rPr>
          <w:rFonts w:cstheme="minorHAnsi"/>
          <w:sz w:val="22"/>
          <w:szCs w:val="22"/>
        </w:rPr>
      </w:pPr>
      <w:r w:rsidRPr="00B05ACC">
        <w:rPr>
          <w:rFonts w:cstheme="minorHAnsi"/>
          <w:sz w:val="22"/>
          <w:szCs w:val="22"/>
        </w:rPr>
        <w:t>Identify legislative, policy or other changes or initiatives necessary to ensure the employment arrangements of parliamentarians and their staff are fit for purpose to:</w:t>
      </w:r>
    </w:p>
    <w:p w14:paraId="3C1F9349" w14:textId="77777777" w:rsidR="00CA5F77" w:rsidRPr="00B05ACC" w:rsidRDefault="00CA5F77" w:rsidP="00590528">
      <w:pPr>
        <w:pStyle w:val="BodyText"/>
        <w:numPr>
          <w:ilvl w:val="1"/>
          <w:numId w:val="6"/>
        </w:numPr>
        <w:rPr>
          <w:rFonts w:cstheme="minorHAnsi"/>
          <w:sz w:val="22"/>
          <w:szCs w:val="22"/>
        </w:rPr>
      </w:pPr>
      <w:r w:rsidRPr="00B05ACC">
        <w:rPr>
          <w:rFonts w:cstheme="minorHAnsi"/>
          <w:sz w:val="22"/>
          <w:szCs w:val="22"/>
        </w:rPr>
        <w:t>support a professional, high-performing, safe and respectful workplace for all parli</w:t>
      </w:r>
      <w:r w:rsidR="008445EF" w:rsidRPr="00B05ACC">
        <w:rPr>
          <w:rFonts w:cstheme="minorHAnsi"/>
          <w:sz w:val="22"/>
          <w:szCs w:val="22"/>
        </w:rPr>
        <w:t>amentarians and their staff</w:t>
      </w:r>
    </w:p>
    <w:p w14:paraId="22622945" w14:textId="77777777" w:rsidR="00CA5F77" w:rsidRPr="00B05ACC" w:rsidRDefault="00CA5F77" w:rsidP="00590528">
      <w:pPr>
        <w:pStyle w:val="BodyText"/>
        <w:numPr>
          <w:ilvl w:val="1"/>
          <w:numId w:val="6"/>
        </w:numPr>
        <w:rPr>
          <w:rFonts w:cstheme="minorHAnsi"/>
          <w:sz w:val="22"/>
          <w:szCs w:val="22"/>
        </w:rPr>
      </w:pPr>
      <w:r w:rsidRPr="00B05ACC">
        <w:rPr>
          <w:rFonts w:cstheme="minorHAnsi"/>
          <w:sz w:val="22"/>
          <w:szCs w:val="22"/>
        </w:rPr>
        <w:t>prevent bullying, harassment, sexual harassment and sexual assault and address its impacts according to best practice.</w:t>
      </w:r>
    </w:p>
    <w:p w14:paraId="2AD5F610" w14:textId="77777777" w:rsidR="00CA5F77" w:rsidRPr="00B05ACC" w:rsidRDefault="00CA5F77" w:rsidP="00CA5F77">
      <w:pPr>
        <w:pStyle w:val="BodyText"/>
        <w:rPr>
          <w:rFonts w:cstheme="minorHAnsi"/>
          <w:sz w:val="22"/>
          <w:szCs w:val="22"/>
        </w:rPr>
      </w:pPr>
    </w:p>
    <w:p w14:paraId="6D4D8DEA" w14:textId="2E2B1CFB" w:rsidR="00CA5F77" w:rsidRPr="00B05ACC" w:rsidRDefault="00CA5F77" w:rsidP="00051BDA">
      <w:pPr>
        <w:pStyle w:val="Heading3"/>
      </w:pPr>
      <w:r w:rsidRPr="00B05ACC">
        <w:t>Scope</w:t>
      </w:r>
    </w:p>
    <w:p w14:paraId="534A3C7F" w14:textId="77777777" w:rsidR="00CA5F77" w:rsidRPr="00B05ACC" w:rsidRDefault="00CA5F77" w:rsidP="00CA5F77">
      <w:pPr>
        <w:pStyle w:val="BodyText"/>
        <w:rPr>
          <w:rFonts w:cstheme="minorHAnsi"/>
          <w:sz w:val="22"/>
          <w:szCs w:val="22"/>
        </w:rPr>
      </w:pPr>
      <w:r w:rsidRPr="00B05ACC">
        <w:rPr>
          <w:rFonts w:cstheme="minorHAnsi"/>
          <w:sz w:val="22"/>
          <w:szCs w:val="22"/>
        </w:rPr>
        <w:t xml:space="preserve">The </w:t>
      </w:r>
      <w:r w:rsidR="00F23879" w:rsidRPr="00B05ACC">
        <w:rPr>
          <w:rFonts w:cstheme="minorHAnsi"/>
          <w:sz w:val="22"/>
          <w:szCs w:val="22"/>
        </w:rPr>
        <w:t xml:space="preserve">Review </w:t>
      </w:r>
      <w:r w:rsidRPr="00B05ACC">
        <w:rPr>
          <w:rFonts w:cstheme="minorHAnsi"/>
          <w:sz w:val="22"/>
          <w:szCs w:val="22"/>
        </w:rPr>
        <w:t>should consider the following:</w:t>
      </w:r>
    </w:p>
    <w:p w14:paraId="61FFC2F4" w14:textId="0343DB26" w:rsidR="00CA5F77" w:rsidRPr="00B05ACC" w:rsidRDefault="00CA5F77" w:rsidP="00590528">
      <w:pPr>
        <w:pStyle w:val="BodyText"/>
        <w:numPr>
          <w:ilvl w:val="0"/>
          <w:numId w:val="5"/>
        </w:numPr>
        <w:rPr>
          <w:rFonts w:cstheme="minorHAnsi"/>
          <w:sz w:val="22"/>
          <w:szCs w:val="22"/>
        </w:rPr>
      </w:pPr>
      <w:r w:rsidRPr="00B05ACC">
        <w:rPr>
          <w:rFonts w:cstheme="minorHAnsi"/>
          <w:sz w:val="22"/>
          <w:szCs w:val="22"/>
        </w:rPr>
        <w:t xml:space="preserve">The recruitment of </w:t>
      </w:r>
      <w:r w:rsidR="00122A67" w:rsidRPr="00B05ACC">
        <w:rPr>
          <w:rFonts w:cstheme="minorHAnsi"/>
          <w:sz w:val="22"/>
          <w:szCs w:val="22"/>
        </w:rPr>
        <w:t>MoP</w:t>
      </w:r>
      <w:r w:rsidRPr="00B05ACC">
        <w:rPr>
          <w:rFonts w:cstheme="minorHAnsi"/>
          <w:sz w:val="22"/>
          <w:szCs w:val="22"/>
        </w:rPr>
        <w:t>(S) Act staff, including transparency of arrangements, the use of merit-based recruitment, and pre-engagement checks</w:t>
      </w:r>
    </w:p>
    <w:p w14:paraId="2BE6FD48" w14:textId="2EE02EE1" w:rsidR="00CA5F77" w:rsidRPr="00B05ACC" w:rsidRDefault="00CA5F77" w:rsidP="00590528">
      <w:pPr>
        <w:pStyle w:val="BodyText"/>
        <w:numPr>
          <w:ilvl w:val="0"/>
          <w:numId w:val="5"/>
        </w:numPr>
        <w:rPr>
          <w:rFonts w:cstheme="minorHAnsi"/>
          <w:sz w:val="22"/>
          <w:szCs w:val="22"/>
        </w:rPr>
      </w:pPr>
      <w:r w:rsidRPr="00B05ACC">
        <w:rPr>
          <w:rFonts w:cstheme="minorHAnsi"/>
          <w:sz w:val="22"/>
          <w:szCs w:val="22"/>
        </w:rPr>
        <w:t xml:space="preserve">Procedural fairness for the terms, conditions, and termination of employees and employers under the </w:t>
      </w:r>
      <w:r w:rsidR="00122A67" w:rsidRPr="00B05ACC">
        <w:rPr>
          <w:rFonts w:cstheme="minorHAnsi"/>
          <w:sz w:val="22"/>
          <w:szCs w:val="22"/>
        </w:rPr>
        <w:t>MoP</w:t>
      </w:r>
      <w:r w:rsidRPr="00B05ACC">
        <w:rPr>
          <w:rFonts w:cstheme="minorHAnsi"/>
          <w:sz w:val="22"/>
          <w:szCs w:val="22"/>
        </w:rPr>
        <w:t>(S) Act</w:t>
      </w:r>
    </w:p>
    <w:p w14:paraId="578F898C" w14:textId="55B42C37" w:rsidR="00CA5F77" w:rsidRPr="00B05ACC" w:rsidRDefault="00CA5F77" w:rsidP="00590528">
      <w:pPr>
        <w:pStyle w:val="BodyText"/>
        <w:numPr>
          <w:ilvl w:val="0"/>
          <w:numId w:val="5"/>
        </w:numPr>
        <w:rPr>
          <w:rFonts w:cstheme="minorHAnsi"/>
          <w:sz w:val="22"/>
          <w:szCs w:val="22"/>
        </w:rPr>
      </w:pPr>
      <w:r w:rsidRPr="00B05ACC">
        <w:rPr>
          <w:rFonts w:cstheme="minorHAnsi"/>
          <w:sz w:val="22"/>
          <w:szCs w:val="22"/>
        </w:rPr>
        <w:t xml:space="preserve">The responsibilities, expectations, and accountability of </w:t>
      </w:r>
      <w:r w:rsidR="00122A67" w:rsidRPr="00B05ACC">
        <w:rPr>
          <w:rFonts w:cstheme="minorHAnsi"/>
          <w:sz w:val="22"/>
          <w:szCs w:val="22"/>
        </w:rPr>
        <w:t>MoP</w:t>
      </w:r>
      <w:r w:rsidRPr="00B05ACC">
        <w:rPr>
          <w:rFonts w:cstheme="minorHAnsi"/>
          <w:sz w:val="22"/>
          <w:szCs w:val="22"/>
        </w:rPr>
        <w:t>(S) Act employees</w:t>
      </w:r>
    </w:p>
    <w:p w14:paraId="389CAA42" w14:textId="77777777" w:rsidR="00CA5F77" w:rsidRPr="00B05ACC" w:rsidRDefault="00CA5F77" w:rsidP="00590528">
      <w:pPr>
        <w:pStyle w:val="BodyText"/>
        <w:numPr>
          <w:ilvl w:val="0"/>
          <w:numId w:val="5"/>
        </w:numPr>
        <w:rPr>
          <w:rFonts w:cstheme="minorHAnsi"/>
          <w:sz w:val="22"/>
          <w:szCs w:val="22"/>
        </w:rPr>
      </w:pPr>
      <w:r w:rsidRPr="00B05ACC">
        <w:rPr>
          <w:rFonts w:cstheme="minorHAnsi"/>
          <w:sz w:val="22"/>
          <w:szCs w:val="22"/>
        </w:rPr>
        <w:t xml:space="preserve">Appropriate public reporting and accountability of the administration of the </w:t>
      </w:r>
      <w:r w:rsidR="00122A67" w:rsidRPr="00B05ACC">
        <w:rPr>
          <w:rFonts w:cstheme="minorHAnsi"/>
          <w:sz w:val="22"/>
          <w:szCs w:val="22"/>
        </w:rPr>
        <w:t>MoP</w:t>
      </w:r>
      <w:r w:rsidRPr="00B05ACC">
        <w:rPr>
          <w:rFonts w:cstheme="minorHAnsi"/>
          <w:sz w:val="22"/>
          <w:szCs w:val="22"/>
        </w:rPr>
        <w:t>(S) Act.</w:t>
      </w:r>
    </w:p>
    <w:p w14:paraId="6D3C7D1E" w14:textId="77777777" w:rsidR="00CA5F77" w:rsidRPr="00B05ACC" w:rsidRDefault="00CA5F77" w:rsidP="00CA5F77">
      <w:pPr>
        <w:pStyle w:val="BodyText"/>
        <w:rPr>
          <w:rFonts w:cstheme="minorHAnsi"/>
          <w:sz w:val="22"/>
          <w:szCs w:val="22"/>
        </w:rPr>
      </w:pPr>
      <w:r w:rsidRPr="00B05ACC">
        <w:rPr>
          <w:rFonts w:cstheme="minorHAnsi"/>
          <w:sz w:val="22"/>
          <w:szCs w:val="22"/>
        </w:rPr>
        <w:t xml:space="preserve">The </w:t>
      </w:r>
      <w:r w:rsidR="00F23879" w:rsidRPr="00B05ACC">
        <w:rPr>
          <w:rFonts w:cstheme="minorHAnsi"/>
          <w:sz w:val="22"/>
          <w:szCs w:val="22"/>
        </w:rPr>
        <w:t>Review</w:t>
      </w:r>
      <w:r w:rsidRPr="00B05ACC">
        <w:rPr>
          <w:rFonts w:cstheme="minorHAnsi"/>
          <w:sz w:val="22"/>
          <w:szCs w:val="22"/>
        </w:rPr>
        <w:t xml:space="preserve"> will not consider the terms and conditions of employment that are legislated other than under the </w:t>
      </w:r>
      <w:r w:rsidR="00122A67" w:rsidRPr="00B05ACC">
        <w:rPr>
          <w:rFonts w:cstheme="minorHAnsi"/>
          <w:sz w:val="22"/>
          <w:szCs w:val="22"/>
        </w:rPr>
        <w:t>MoP</w:t>
      </w:r>
      <w:r w:rsidRPr="00B05ACC">
        <w:rPr>
          <w:rFonts w:cstheme="minorHAnsi"/>
          <w:sz w:val="22"/>
          <w:szCs w:val="22"/>
        </w:rPr>
        <w:t xml:space="preserve">(S) Act. For example, the National Employment Standards, the </w:t>
      </w:r>
      <w:r w:rsidRPr="00B05ACC">
        <w:rPr>
          <w:rFonts w:cstheme="minorHAnsi"/>
          <w:i/>
          <w:sz w:val="22"/>
          <w:szCs w:val="22"/>
        </w:rPr>
        <w:t>Fair Work Act 2009</w:t>
      </w:r>
      <w:r w:rsidRPr="00B05ACC">
        <w:rPr>
          <w:rFonts w:cstheme="minorHAnsi"/>
          <w:sz w:val="22"/>
          <w:szCs w:val="22"/>
        </w:rPr>
        <w:t xml:space="preserve">. However, the </w:t>
      </w:r>
      <w:r w:rsidR="00F23879" w:rsidRPr="00B05ACC">
        <w:rPr>
          <w:rFonts w:cstheme="minorHAnsi"/>
          <w:sz w:val="22"/>
          <w:szCs w:val="22"/>
        </w:rPr>
        <w:t xml:space="preserve">Review </w:t>
      </w:r>
      <w:r w:rsidRPr="00B05ACC">
        <w:rPr>
          <w:rFonts w:cstheme="minorHAnsi"/>
          <w:sz w:val="22"/>
          <w:szCs w:val="22"/>
        </w:rPr>
        <w:t>will have regard to these in conducting its work.</w:t>
      </w:r>
    </w:p>
    <w:p w14:paraId="4498CB41" w14:textId="77777777" w:rsidR="00CA5F77" w:rsidRPr="00B05ACC" w:rsidRDefault="00CA5F77" w:rsidP="00CA5F77">
      <w:pPr>
        <w:pStyle w:val="BodyText"/>
        <w:rPr>
          <w:rFonts w:cstheme="minorHAnsi"/>
          <w:sz w:val="22"/>
          <w:szCs w:val="22"/>
        </w:rPr>
      </w:pPr>
    </w:p>
    <w:p w14:paraId="34BA510F" w14:textId="794E20E6" w:rsidR="00CA5F77" w:rsidRPr="00B05ACC" w:rsidRDefault="00CA5F77" w:rsidP="00051BDA">
      <w:pPr>
        <w:pStyle w:val="Heading3"/>
      </w:pPr>
      <w:r w:rsidRPr="00B05ACC">
        <w:t>Governance, timing and process</w:t>
      </w:r>
    </w:p>
    <w:p w14:paraId="6AC47B1F" w14:textId="77777777" w:rsidR="00CA5F77" w:rsidRPr="00B05ACC" w:rsidRDefault="00CA5F77" w:rsidP="00CA5F77">
      <w:pPr>
        <w:pStyle w:val="BodyText"/>
        <w:rPr>
          <w:rFonts w:cstheme="minorHAnsi"/>
          <w:sz w:val="22"/>
          <w:szCs w:val="22"/>
        </w:rPr>
      </w:pPr>
      <w:r w:rsidRPr="00B05ACC">
        <w:rPr>
          <w:rFonts w:cstheme="minorHAnsi"/>
          <w:sz w:val="22"/>
          <w:szCs w:val="22"/>
        </w:rPr>
        <w:t xml:space="preserve">The </w:t>
      </w:r>
      <w:r w:rsidR="00F23879" w:rsidRPr="00B05ACC">
        <w:rPr>
          <w:rFonts w:cstheme="minorHAnsi"/>
          <w:sz w:val="22"/>
          <w:szCs w:val="22"/>
        </w:rPr>
        <w:t>Review</w:t>
      </w:r>
      <w:r w:rsidRPr="00B05ACC">
        <w:rPr>
          <w:rFonts w:cstheme="minorHAnsi"/>
          <w:sz w:val="22"/>
          <w:szCs w:val="22"/>
        </w:rPr>
        <w:t xml:space="preserve"> will be undertaken by the Department of the Prime Minister and Cabinet. The Department will provide a final written report to the Prime Minister by 30 September 2022. The report of the </w:t>
      </w:r>
      <w:r w:rsidR="00F23879" w:rsidRPr="00B05ACC">
        <w:rPr>
          <w:rFonts w:cstheme="minorHAnsi"/>
          <w:sz w:val="22"/>
          <w:szCs w:val="22"/>
        </w:rPr>
        <w:t xml:space="preserve">Review </w:t>
      </w:r>
      <w:r w:rsidRPr="00B05ACC">
        <w:rPr>
          <w:rFonts w:cstheme="minorHAnsi"/>
          <w:sz w:val="22"/>
          <w:szCs w:val="22"/>
        </w:rPr>
        <w:t>will be made public after government consideration.</w:t>
      </w:r>
    </w:p>
    <w:p w14:paraId="0EB449D4" w14:textId="77777777" w:rsidR="00CA5F77" w:rsidRPr="00B05ACC" w:rsidRDefault="00CA5F77" w:rsidP="00CA5F77">
      <w:pPr>
        <w:pStyle w:val="BodyText"/>
        <w:rPr>
          <w:rFonts w:cstheme="minorHAnsi"/>
          <w:sz w:val="22"/>
          <w:szCs w:val="22"/>
        </w:rPr>
      </w:pPr>
    </w:p>
    <w:p w14:paraId="3580FD58" w14:textId="7A645F4F" w:rsidR="00CA5F77" w:rsidRPr="00B05ACC" w:rsidRDefault="00CA5F77" w:rsidP="00051BDA">
      <w:pPr>
        <w:pStyle w:val="Heading3"/>
      </w:pPr>
      <w:r w:rsidRPr="00B05ACC">
        <w:t>Methodology</w:t>
      </w:r>
    </w:p>
    <w:p w14:paraId="3083DCB5" w14:textId="77777777" w:rsidR="00CA5F77" w:rsidRPr="00B05ACC" w:rsidRDefault="00CA5F77" w:rsidP="00CA5F77">
      <w:pPr>
        <w:pStyle w:val="BodyText"/>
        <w:rPr>
          <w:rFonts w:cstheme="minorHAnsi"/>
          <w:sz w:val="22"/>
          <w:szCs w:val="22"/>
        </w:rPr>
      </w:pPr>
      <w:r w:rsidRPr="00B05ACC">
        <w:rPr>
          <w:rFonts w:cstheme="minorHAnsi"/>
          <w:sz w:val="22"/>
          <w:szCs w:val="22"/>
        </w:rPr>
        <w:t xml:space="preserve">The </w:t>
      </w:r>
      <w:r w:rsidR="00F23879" w:rsidRPr="00B05ACC">
        <w:rPr>
          <w:rFonts w:cstheme="minorHAnsi"/>
          <w:sz w:val="22"/>
          <w:szCs w:val="22"/>
        </w:rPr>
        <w:t>Review</w:t>
      </w:r>
      <w:r w:rsidRPr="00B05ACC">
        <w:rPr>
          <w:rFonts w:cstheme="minorHAnsi"/>
          <w:sz w:val="22"/>
          <w:szCs w:val="22"/>
        </w:rPr>
        <w:t xml:space="preserve"> will draw on a range of sources, including </w:t>
      </w:r>
      <w:r w:rsidR="00142173" w:rsidRPr="00B05ACC">
        <w:rPr>
          <w:rFonts w:cstheme="minorHAnsi"/>
          <w:i/>
          <w:sz w:val="22"/>
          <w:szCs w:val="22"/>
        </w:rPr>
        <w:t>Set the Standard</w:t>
      </w:r>
      <w:r w:rsidRPr="00B05ACC">
        <w:rPr>
          <w:rFonts w:cstheme="minorHAnsi"/>
          <w:sz w:val="22"/>
          <w:szCs w:val="22"/>
        </w:rPr>
        <w:t xml:space="preserve">, the </w:t>
      </w:r>
      <w:r w:rsidRPr="00B05ACC">
        <w:rPr>
          <w:rFonts w:cstheme="minorHAnsi"/>
          <w:i/>
          <w:sz w:val="22"/>
          <w:szCs w:val="22"/>
        </w:rPr>
        <w:t>Review of the Parliamentary Workplace: Responding to Serious Incidents</w:t>
      </w:r>
      <w:r w:rsidRPr="00B05ACC">
        <w:rPr>
          <w:rFonts w:cstheme="minorHAnsi"/>
          <w:sz w:val="22"/>
          <w:szCs w:val="22"/>
        </w:rPr>
        <w:t xml:space="preserve">, and legislation, policies and arrangements of other relevant jurisdictions, including international equivalents. </w:t>
      </w:r>
    </w:p>
    <w:p w14:paraId="4DB6C706" w14:textId="77777777" w:rsidR="00CA5F77" w:rsidRPr="00B05ACC" w:rsidRDefault="00CA5F77" w:rsidP="00CA5F77">
      <w:pPr>
        <w:pStyle w:val="BodyText"/>
        <w:rPr>
          <w:rFonts w:cstheme="minorHAnsi"/>
          <w:sz w:val="22"/>
          <w:szCs w:val="22"/>
        </w:rPr>
      </w:pPr>
      <w:r w:rsidRPr="00B05ACC">
        <w:rPr>
          <w:rFonts w:cstheme="minorHAnsi"/>
          <w:sz w:val="22"/>
          <w:szCs w:val="22"/>
        </w:rPr>
        <w:t xml:space="preserve">The </w:t>
      </w:r>
      <w:r w:rsidR="00F23879" w:rsidRPr="00B05ACC">
        <w:rPr>
          <w:rFonts w:cstheme="minorHAnsi"/>
          <w:sz w:val="22"/>
          <w:szCs w:val="22"/>
        </w:rPr>
        <w:t>Review</w:t>
      </w:r>
      <w:r w:rsidRPr="00B05ACC">
        <w:rPr>
          <w:rFonts w:cstheme="minorHAnsi"/>
          <w:sz w:val="22"/>
          <w:szCs w:val="22"/>
        </w:rPr>
        <w:t xml:space="preserve"> will consult with current and former parliamentarians and </w:t>
      </w:r>
      <w:r w:rsidR="00122A67" w:rsidRPr="00B05ACC">
        <w:rPr>
          <w:rFonts w:cstheme="minorHAnsi"/>
          <w:sz w:val="22"/>
          <w:szCs w:val="22"/>
        </w:rPr>
        <w:t>MoP</w:t>
      </w:r>
      <w:r w:rsidRPr="00B05ACC">
        <w:rPr>
          <w:rFonts w:cstheme="minorHAnsi"/>
          <w:sz w:val="22"/>
          <w:szCs w:val="22"/>
        </w:rPr>
        <w:t>(S) Act employees, and relevant departments and agencies.</w:t>
      </w:r>
    </w:p>
    <w:p w14:paraId="661F45D3" w14:textId="046402B4" w:rsidR="00F55DC4" w:rsidRDefault="00F55DC4" w:rsidP="00F55DC4"/>
    <w:p w14:paraId="5B625E1D" w14:textId="77777777" w:rsidR="0094456B" w:rsidRDefault="0094456B">
      <w:pPr>
        <w:spacing w:after="200"/>
        <w:rPr>
          <w:rFonts w:asciiTheme="majorHAnsi" w:eastAsiaTheme="majorEastAsia" w:hAnsiTheme="majorHAnsi" w:cstheme="majorBidi"/>
          <w:color w:val="1B375C" w:themeColor="accent1"/>
          <w:sz w:val="32"/>
          <w:szCs w:val="28"/>
        </w:rPr>
      </w:pPr>
      <w:bookmarkStart w:id="8361" w:name="_Toc115185514"/>
      <w:bookmarkStart w:id="8362" w:name="_Toc115186141"/>
      <w:bookmarkStart w:id="8363" w:name="_Toc115189299"/>
      <w:bookmarkStart w:id="8364" w:name="_Toc115194272"/>
      <w:bookmarkStart w:id="8365" w:name="_Toc115195009"/>
      <w:bookmarkStart w:id="8366" w:name="_Toc115196419"/>
      <w:bookmarkStart w:id="8367" w:name="_Toc115198920"/>
      <w:bookmarkStart w:id="8368" w:name="_Toc115208935"/>
      <w:bookmarkStart w:id="8369" w:name="_Toc115209071"/>
      <w:bookmarkStart w:id="8370" w:name="_Toc115210402"/>
      <w:bookmarkStart w:id="8371" w:name="_Toc115212627"/>
      <w:bookmarkStart w:id="8372" w:name="_Toc115213267"/>
      <w:bookmarkStart w:id="8373" w:name="_Toc115216765"/>
      <w:bookmarkStart w:id="8374" w:name="_Toc115270456"/>
      <w:bookmarkStart w:id="8375" w:name="_Toc115271399"/>
      <w:bookmarkStart w:id="8376" w:name="_Toc115272316"/>
      <w:bookmarkStart w:id="8377" w:name="_Toc115273486"/>
      <w:bookmarkStart w:id="8378" w:name="_Toc115273414"/>
      <w:bookmarkStart w:id="8379" w:name="_Toc115274316"/>
      <w:bookmarkStart w:id="8380" w:name="_Toc115274667"/>
      <w:bookmarkStart w:id="8381" w:name="_Toc115274893"/>
      <w:bookmarkStart w:id="8382" w:name="_Toc115275250"/>
      <w:bookmarkStart w:id="8383" w:name="_Toc115275393"/>
      <w:bookmarkStart w:id="8384" w:name="_Toc115274230"/>
      <w:bookmarkStart w:id="8385" w:name="_Toc115274531"/>
      <w:bookmarkStart w:id="8386" w:name="_Toc115274599"/>
      <w:bookmarkStart w:id="8387" w:name="_Toc115274757"/>
      <w:bookmarkStart w:id="8388" w:name="_Toc115277491"/>
      <w:bookmarkStart w:id="8389" w:name="_Toc115277695"/>
      <w:bookmarkStart w:id="8390" w:name="_Toc115278584"/>
      <w:bookmarkStart w:id="8391" w:name="_Toc115278664"/>
      <w:bookmarkStart w:id="8392" w:name="_Toc115282334"/>
      <w:bookmarkStart w:id="8393" w:name="_Toc115284787"/>
      <w:bookmarkStart w:id="8394" w:name="_Toc115286879"/>
      <w:bookmarkStart w:id="8395" w:name="_Toc115294813"/>
      <w:bookmarkStart w:id="8396" w:name="_Toc115296393"/>
      <w:bookmarkStart w:id="8397" w:name="_Toc115308579"/>
      <w:bookmarkStart w:id="8398" w:name="_Toc115311231"/>
      <w:bookmarkStart w:id="8399" w:name="_Toc115312711"/>
      <w:bookmarkStart w:id="8400" w:name="_Toc115343885"/>
      <w:bookmarkStart w:id="8401" w:name="_Toc115348323"/>
      <w:bookmarkStart w:id="8402" w:name="_Toc115350421"/>
      <w:bookmarkStart w:id="8403" w:name="_Toc115353509"/>
      <w:bookmarkStart w:id="8404" w:name="_Toc115359540"/>
      <w:bookmarkStart w:id="8405" w:name="_Toc115361945"/>
      <w:bookmarkStart w:id="8406" w:name="_Toc115364338"/>
      <w:bookmarkStart w:id="8407" w:name="_Toc115365431"/>
      <w:bookmarkStart w:id="8408" w:name="_Toc115365771"/>
      <w:bookmarkStart w:id="8409" w:name="_Toc115366235"/>
      <w:bookmarkStart w:id="8410" w:name="_Toc115368578"/>
      <w:bookmarkStart w:id="8411" w:name="_Toc115368685"/>
      <w:bookmarkStart w:id="8412" w:name="_Toc115370125"/>
      <w:bookmarkStart w:id="8413" w:name="_Toc115370859"/>
      <w:bookmarkStart w:id="8414" w:name="_Toc115374431"/>
      <w:bookmarkStart w:id="8415" w:name="_Toc115378770"/>
      <w:bookmarkStart w:id="8416" w:name="_Toc115381002"/>
      <w:r>
        <w:br w:type="page"/>
      </w:r>
    </w:p>
    <w:p w14:paraId="58C6A4EA" w14:textId="5638D9E4" w:rsidR="00F55DC4" w:rsidRPr="000F2E36" w:rsidRDefault="00B46D82" w:rsidP="00F55DC4">
      <w:pPr>
        <w:pStyle w:val="Heading2"/>
      </w:pPr>
      <w:bookmarkStart w:id="8417" w:name="_Toc115384154"/>
      <w:bookmarkStart w:id="8418" w:name="_Toc115387383"/>
      <w:bookmarkStart w:id="8419" w:name="_Toc115388849"/>
      <w:bookmarkStart w:id="8420" w:name="_Toc115431487"/>
      <w:bookmarkStart w:id="8421" w:name="_Toc115432865"/>
      <w:bookmarkStart w:id="8422" w:name="_Toc115434436"/>
      <w:bookmarkStart w:id="8423" w:name="_Toc115434535"/>
      <w:bookmarkStart w:id="8424" w:name="_Toc115434604"/>
      <w:bookmarkStart w:id="8425" w:name="_Toc115434673"/>
      <w:bookmarkStart w:id="8426" w:name="_Toc115442840"/>
      <w:bookmarkStart w:id="8427" w:name="_Toc115446376"/>
      <w:bookmarkStart w:id="8428" w:name="_Toc115446386"/>
      <w:bookmarkStart w:id="8429" w:name="_Toc115448083"/>
      <w:bookmarkStart w:id="8430" w:name="_Toc115449475"/>
      <w:bookmarkStart w:id="8431" w:name="_Toc115452495"/>
      <w:bookmarkStart w:id="8432" w:name="_Toc115455312"/>
      <w:bookmarkStart w:id="8433" w:name="_Toc115455378"/>
      <w:bookmarkStart w:id="8434" w:name="_Toc115457328"/>
      <w:bookmarkStart w:id="8435" w:name="_Toc115458164"/>
      <w:bookmarkStart w:id="8436" w:name="_Toc115948192"/>
      <w:bookmarkStart w:id="8437" w:name="_Toc115948639"/>
      <w:r>
        <w:t>8</w:t>
      </w:r>
      <w:r w:rsidR="00F55DC4">
        <w:t>.</w:t>
      </w:r>
      <w:r w:rsidR="00E61184">
        <w:t>3</w:t>
      </w:r>
      <w:r w:rsidR="00F55DC4">
        <w:t xml:space="preserve"> Methodology</w:t>
      </w:r>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p>
    <w:p w14:paraId="5F25E58F" w14:textId="102B6B7B" w:rsidR="00692C2F" w:rsidRDefault="00920E9C" w:rsidP="00840408">
      <w:r>
        <w:t xml:space="preserve">The </w:t>
      </w:r>
      <w:r w:rsidR="00840408">
        <w:t xml:space="preserve">Review adopted a mixed method approach </w:t>
      </w:r>
      <w:r w:rsidR="00692C2F">
        <w:t>involving semi-structured interviews, consultations, submissions, a survey and review of relevant reports, articles</w:t>
      </w:r>
      <w:r w:rsidR="002B0881">
        <w:t>,</w:t>
      </w:r>
      <w:r w:rsidR="00692C2F">
        <w:t xml:space="preserve"> texts and </w:t>
      </w:r>
      <w:r w:rsidR="002B0881">
        <w:t>other jurisdictions</w:t>
      </w:r>
      <w:r w:rsidR="00692C2F">
        <w:t>.</w:t>
      </w:r>
    </w:p>
    <w:p w14:paraId="57B1891C" w14:textId="6ADF5FE6" w:rsidR="00840408" w:rsidRDefault="00692C2F" w:rsidP="00840408">
      <w:r>
        <w:t>The collection</w:t>
      </w:r>
      <w:r w:rsidR="00A175F5">
        <w:t xml:space="preserve"> of data from interviews allowed us to draw </w:t>
      </w:r>
      <w:r>
        <w:t xml:space="preserve">on the experience of a range of </w:t>
      </w:r>
      <w:r w:rsidR="00A175F5">
        <w:t xml:space="preserve">current and former parliamentarians and MoP(S) </w:t>
      </w:r>
      <w:r w:rsidR="00636D45">
        <w:t xml:space="preserve">Act </w:t>
      </w:r>
      <w:r w:rsidR="00A175F5">
        <w:t xml:space="preserve">employees about the employment framework and added depth to our consultations with other stakeholders and review of relevant </w:t>
      </w:r>
      <w:r>
        <w:t>reports and literature.</w:t>
      </w:r>
      <w:r w:rsidR="00840408">
        <w:t xml:space="preserve"> </w:t>
      </w:r>
    </w:p>
    <w:p w14:paraId="50E5EAC9" w14:textId="79B4F4A7" w:rsidR="00840408" w:rsidRDefault="00840408" w:rsidP="00840408">
      <w:r>
        <w:t>The</w:t>
      </w:r>
      <w:r w:rsidDel="00F23879">
        <w:t xml:space="preserve"> </w:t>
      </w:r>
      <w:r w:rsidR="00F23879">
        <w:t>Review</w:t>
      </w:r>
      <w:r>
        <w:t xml:space="preserve"> team wishes to thank every person who contributed their experience, expertise, and insights into the inner workings of the parliamentary workplace. The </w:t>
      </w:r>
      <w:r w:rsidR="00F23879">
        <w:t>Review</w:t>
      </w:r>
      <w:r>
        <w:t xml:space="preserve"> </w:t>
      </w:r>
      <w:r w:rsidR="00692C2F">
        <w:t xml:space="preserve">values </w:t>
      </w:r>
      <w:r>
        <w:t>these contributions</w:t>
      </w:r>
      <w:r w:rsidR="00692C2F">
        <w:t xml:space="preserve"> and they inform our recommendations</w:t>
      </w:r>
      <w:r>
        <w:t>.</w:t>
      </w:r>
    </w:p>
    <w:p w14:paraId="1F6D0547" w14:textId="5866D058" w:rsidR="00840408" w:rsidRDefault="00840408" w:rsidP="00840408">
      <w:r>
        <w:t xml:space="preserve">The data collating phase of the Review ran from 28 February 2022 until </w:t>
      </w:r>
      <w:r w:rsidR="00920E9C">
        <w:t xml:space="preserve">late </w:t>
      </w:r>
      <w:r>
        <w:t xml:space="preserve">September 2022. The relatively lengthy period of consultation reflects the impact of the 2022 Federal Election on the MoP(S) Act staffing environment. </w:t>
      </w:r>
    </w:p>
    <w:p w14:paraId="750D8E14" w14:textId="2F3FBFBC" w:rsidR="00840408" w:rsidRDefault="00840408" w:rsidP="00840408">
      <w:r>
        <w:t xml:space="preserve">A breakdown of </w:t>
      </w:r>
      <w:r w:rsidR="00C55CD6">
        <w:t>contributor</w:t>
      </w:r>
      <w:r>
        <w:t xml:space="preserve">s </w:t>
      </w:r>
      <w:r w:rsidR="003F4DD3">
        <w:t>is</w:t>
      </w:r>
      <w:r>
        <w:t xml:space="preserve"> outlined below.</w:t>
      </w:r>
    </w:p>
    <w:p w14:paraId="59A139D3" w14:textId="77777777" w:rsidR="00F00D4A" w:rsidRDefault="00F00D4A" w:rsidP="00F00D4A">
      <w:pPr>
        <w:pStyle w:val="Figure"/>
      </w:pPr>
    </w:p>
    <w:p w14:paraId="2A8816D3" w14:textId="70FE4A38" w:rsidR="00840408" w:rsidRDefault="0007509B" w:rsidP="00840408">
      <w:r>
        <w:rPr>
          <w:noProof/>
          <w:lang w:eastAsia="en-AU"/>
        </w:rPr>
        <w:drawing>
          <wp:inline distT="0" distB="0" distL="0" distR="0" wp14:anchorId="3EAF59D9" wp14:editId="77D999D6">
            <wp:extent cx="6120130" cy="1471930"/>
            <wp:effectExtent l="0" t="0" r="0" b="0"/>
            <wp:docPr id="99" name="Picture 99" descr="This image is titled Types of consultation and frequency. It sets out there were 388 survey responses, 47 written submissions, 39 individual interviews, 39 strategic stakeholder engagements and one focus group.  " title="Types of consultation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oPAct-Infographics-300922-F13-consultFrequenc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1471930"/>
                    </a:xfrm>
                    <a:prstGeom prst="rect">
                      <a:avLst/>
                    </a:prstGeom>
                  </pic:spPr>
                </pic:pic>
              </a:graphicData>
            </a:graphic>
          </wp:inline>
        </w:drawing>
      </w:r>
    </w:p>
    <w:p w14:paraId="719D96F9" w14:textId="77777777" w:rsidR="001A5B85" w:rsidRDefault="001A5B85" w:rsidP="00051BDA"/>
    <w:p w14:paraId="41E05CF1" w14:textId="4955BFA2" w:rsidR="00840408" w:rsidRDefault="00840408" w:rsidP="001F0A87">
      <w:pPr>
        <w:pStyle w:val="Heading3"/>
      </w:pPr>
      <w:r>
        <w:t xml:space="preserve">Qualitative data </w:t>
      </w:r>
    </w:p>
    <w:p w14:paraId="575A5D8B" w14:textId="77777777" w:rsidR="00840408" w:rsidRPr="003F4DD3" w:rsidRDefault="00840408" w:rsidP="00840408">
      <w:pPr>
        <w:rPr>
          <w:i/>
        </w:rPr>
      </w:pPr>
      <w:r w:rsidRPr="003F4DD3">
        <w:rPr>
          <w:i/>
        </w:rPr>
        <w:t>Submissions</w:t>
      </w:r>
    </w:p>
    <w:p w14:paraId="40C38F16" w14:textId="16F63DF2" w:rsidR="003F4DD3" w:rsidRDefault="00840408" w:rsidP="003F4DD3">
      <w:r>
        <w:t>Submissions to the Review opened on 28 Febr</w:t>
      </w:r>
      <w:r w:rsidR="003F4DD3">
        <w:t xml:space="preserve">uary 2022 via the </w:t>
      </w:r>
      <w:r>
        <w:t>PM</w:t>
      </w:r>
      <w:r w:rsidR="003F4DD3">
        <w:t>&amp;</w:t>
      </w:r>
      <w:r>
        <w:t>C website. The site included an acce</w:t>
      </w:r>
      <w:r w:rsidR="000F2857">
        <w:t>ssible version of the t</w:t>
      </w:r>
      <w:r>
        <w:t>erms of</w:t>
      </w:r>
      <w:r w:rsidR="000F2857">
        <w:t xml:space="preserve"> r</w:t>
      </w:r>
      <w:r>
        <w:t xml:space="preserve">eference and its stated purpose. </w:t>
      </w:r>
      <w:r w:rsidR="003F4DD3" w:rsidRPr="003F4DD3">
        <w:t xml:space="preserve">The </w:t>
      </w:r>
      <w:r w:rsidR="003F4DD3">
        <w:t xml:space="preserve">closing date for submissions </w:t>
      </w:r>
      <w:r w:rsidR="003F4DD3" w:rsidRPr="003F4DD3">
        <w:t xml:space="preserve">was extended twice – on 31 March and 8 June – and formally closed on 1 July. </w:t>
      </w:r>
      <w:r w:rsidR="003F4DD3">
        <w:t xml:space="preserve">The extensions facilitated additional time to account for the timing of the 2022-23 Budget and the 2022 Federal Election. Following the close of submissions, PM&amp;C still accepted email contributions which was made clear on </w:t>
      </w:r>
      <w:r w:rsidR="00D40C63">
        <w:t>the</w:t>
      </w:r>
      <w:r w:rsidR="003F4DD3">
        <w:t xml:space="preserve"> website.</w:t>
      </w:r>
    </w:p>
    <w:p w14:paraId="295526EB" w14:textId="0C7268DD" w:rsidR="00840408" w:rsidRDefault="00840408" w:rsidP="00840408">
      <w:r>
        <w:t xml:space="preserve">Although open to the general public, input was particularly encouraged from current and former parliamentarians, </w:t>
      </w:r>
      <w:r w:rsidR="005E76B6">
        <w:t xml:space="preserve">MoP(S) Act employees, </w:t>
      </w:r>
      <w:r>
        <w:t xml:space="preserve">staff representatives, relevant departments and agencies, </w:t>
      </w:r>
      <w:r w:rsidR="00D40C63">
        <w:t xml:space="preserve">and </w:t>
      </w:r>
      <w:r>
        <w:t xml:space="preserve">subject matter experts. In an effort to reach the target audience, a link was shared on the MaPS website </w:t>
      </w:r>
      <w:r w:rsidR="005E76B6">
        <w:t>given it</w:t>
      </w:r>
      <w:r>
        <w:t xml:space="preserve"> is the central point for HR support and employment gu</w:t>
      </w:r>
      <w:r w:rsidR="00525694">
        <w:t xml:space="preserve">idance for MoP(S) Act </w:t>
      </w:r>
      <w:r w:rsidR="0057230A">
        <w:t>employees</w:t>
      </w:r>
      <w:r w:rsidR="00525694">
        <w:t>.</w:t>
      </w:r>
    </w:p>
    <w:p w14:paraId="42C2DCBD" w14:textId="03F2D78D" w:rsidR="00840408" w:rsidRDefault="00840408" w:rsidP="00840408">
      <w:r>
        <w:t xml:space="preserve">To encourage submissions directly, Finance </w:t>
      </w:r>
      <w:r w:rsidR="003F4DD3">
        <w:t xml:space="preserve">sent a number of emails on behalf of the </w:t>
      </w:r>
      <w:r w:rsidR="00F23879">
        <w:t xml:space="preserve">Review </w:t>
      </w:r>
      <w:r>
        <w:t xml:space="preserve">to current </w:t>
      </w:r>
      <w:r w:rsidR="00920E9C">
        <w:t xml:space="preserve">and former </w:t>
      </w:r>
      <w:r w:rsidR="003F4DD3">
        <w:t xml:space="preserve">MoP(S) </w:t>
      </w:r>
      <w:r w:rsidR="002D62B0">
        <w:t xml:space="preserve">Act </w:t>
      </w:r>
      <w:r w:rsidR="00920E9C">
        <w:t>parliamentarians</w:t>
      </w:r>
      <w:r w:rsidR="00E031DA">
        <w:t xml:space="preserve"> and employees</w:t>
      </w:r>
      <w:r>
        <w:t>. The email included a link to the PM</w:t>
      </w:r>
      <w:r w:rsidR="003F4DD3">
        <w:t>&amp;</w:t>
      </w:r>
      <w:r>
        <w:t xml:space="preserve">C website and details on the parameters of the </w:t>
      </w:r>
      <w:r w:rsidR="00F23879">
        <w:t>Review</w:t>
      </w:r>
      <w:r>
        <w:t xml:space="preserve">, noting its context as a response to Recommendation 18 of </w:t>
      </w:r>
      <w:r w:rsidR="00142173" w:rsidRPr="00142173">
        <w:rPr>
          <w:i/>
        </w:rPr>
        <w:t>Set the Standard</w:t>
      </w:r>
      <w:r>
        <w:t>.</w:t>
      </w:r>
      <w:r w:rsidR="000F23EF" w:rsidRPr="000F23EF">
        <w:t xml:space="preserve"> </w:t>
      </w:r>
      <w:r w:rsidR="000F23EF">
        <w:t>Submissions were provided directly to PM&amp;C and Finance did not have access to any responses at any stage.</w:t>
      </w:r>
    </w:p>
    <w:p w14:paraId="489B108E" w14:textId="101C14E4" w:rsidR="003F4DD3" w:rsidRDefault="00D40C63" w:rsidP="00840408">
      <w:r>
        <w:t>A</w:t>
      </w:r>
      <w:r w:rsidR="000F23EF">
        <w:t xml:space="preserve"> number of emails </w:t>
      </w:r>
      <w:r>
        <w:t>were sent</w:t>
      </w:r>
      <w:r w:rsidR="000F23EF">
        <w:t xml:space="preserve"> to both current and former parliamentarians </w:t>
      </w:r>
      <w:r w:rsidR="005E76B6">
        <w:t>and MoP(S) Act employees</w:t>
      </w:r>
      <w:r w:rsidR="000F23EF">
        <w:t xml:space="preserve"> going back a number of years where email addresses were available to Finance. In total we understand that over 9,000 </w:t>
      </w:r>
      <w:r w:rsidR="005B2547">
        <w:t xml:space="preserve">email addresses </w:t>
      </w:r>
      <w:r w:rsidR="000F23EF">
        <w:t>received an email advising them of their ability to make a submission.</w:t>
      </w:r>
    </w:p>
    <w:p w14:paraId="7FD705E0" w14:textId="2D866975" w:rsidR="00840408" w:rsidRDefault="00840408" w:rsidP="00840408">
      <w:r>
        <w:t>A separate two week targeted advertising campaign was undertaken on LinkedIn to encourage submissions fro</w:t>
      </w:r>
      <w:r w:rsidR="003F4DD3">
        <w:t>m people who have worked in f</w:t>
      </w:r>
      <w:r>
        <w:t xml:space="preserve">ederal parliamentary workplaces. </w:t>
      </w:r>
    </w:p>
    <w:p w14:paraId="770970F6" w14:textId="6BAFA4E9" w:rsidR="00840408" w:rsidRDefault="00C55CD6" w:rsidP="00840408">
      <w:r>
        <w:t>Contributor</w:t>
      </w:r>
      <w:r w:rsidR="00840408">
        <w:t xml:space="preserve">s were able to nominate whether their submission would be considered as anonymous or public. Public submissions were collated, de-identified </w:t>
      </w:r>
      <w:r w:rsidR="002D0E2D">
        <w:t xml:space="preserve">as necessary </w:t>
      </w:r>
      <w:r w:rsidR="00840408">
        <w:t xml:space="preserve">and </w:t>
      </w:r>
      <w:r w:rsidR="002D0E2D">
        <w:t xml:space="preserve">are being </w:t>
      </w:r>
      <w:r w:rsidR="00840408">
        <w:t xml:space="preserve">published on the Review website. Where it was not possible to de-identify and protect the identity of the author and/or third parties, the decision was taken </w:t>
      </w:r>
      <w:r w:rsidR="003F4DD3">
        <w:t xml:space="preserve">to redact information or </w:t>
      </w:r>
      <w:r w:rsidR="00840408">
        <w:t>not to publish</w:t>
      </w:r>
      <w:r w:rsidR="003F4DD3">
        <w:t xml:space="preserve"> in accordance with the publicly available privacy notice</w:t>
      </w:r>
      <w:r w:rsidR="00840408">
        <w:t xml:space="preserve">.  </w:t>
      </w:r>
    </w:p>
    <w:p w14:paraId="403F80AF" w14:textId="2220D03F" w:rsidR="00840408" w:rsidRDefault="00840408" w:rsidP="00840408">
      <w:r>
        <w:t>The data from al</w:t>
      </w:r>
      <w:r w:rsidR="003F4DD3">
        <w:t xml:space="preserve">l submissions were read by the </w:t>
      </w:r>
      <w:r w:rsidR="00F23879">
        <w:t xml:space="preserve">Review </w:t>
      </w:r>
      <w:r w:rsidR="003F4DD3">
        <w:t>t</w:t>
      </w:r>
      <w:r>
        <w:t xml:space="preserve">eam to capture themes and issues. These were analysed and used to inform the direction </w:t>
      </w:r>
      <w:r w:rsidR="00BF1419">
        <w:t xml:space="preserve">of the Review </w:t>
      </w:r>
      <w:r>
        <w:t>an</w:t>
      </w:r>
      <w:r w:rsidR="00AB1063">
        <w:t xml:space="preserve">d recommendations. </w:t>
      </w:r>
    </w:p>
    <w:p w14:paraId="15E13930" w14:textId="77777777" w:rsidR="00840408" w:rsidRPr="00AB1063" w:rsidRDefault="00840408" w:rsidP="00840408">
      <w:pPr>
        <w:rPr>
          <w:i/>
        </w:rPr>
      </w:pPr>
      <w:r w:rsidRPr="00AB1063">
        <w:rPr>
          <w:i/>
        </w:rPr>
        <w:t>Interviews</w:t>
      </w:r>
    </w:p>
    <w:p w14:paraId="7C5B9677" w14:textId="7333B0DE" w:rsidR="00840408" w:rsidRDefault="00701E9D" w:rsidP="00840408">
      <w:r>
        <w:t>Thirty-nine</w:t>
      </w:r>
      <w:r w:rsidR="00840408">
        <w:t xml:space="preserve"> interviews were conducted with </w:t>
      </w:r>
      <w:r w:rsidR="00840408" w:rsidRPr="004F0C8B">
        <w:t>26</w:t>
      </w:r>
      <w:r w:rsidR="00840408">
        <w:t xml:space="preserve"> MoP(S) Act employees (current and former) and </w:t>
      </w:r>
      <w:r w:rsidR="00840408" w:rsidRPr="004F0C8B">
        <w:t>13</w:t>
      </w:r>
      <w:r w:rsidR="00840408">
        <w:t xml:space="preserve"> parliamentarians (current and former) between mid-June and mid-September 2022. The interviewees were </w:t>
      </w:r>
      <w:r w:rsidR="00AB1063">
        <w:t xml:space="preserve">comprised of those who had responded to an invitation in a submission email advice, targeted requests of </w:t>
      </w:r>
      <w:r w:rsidR="004F0C8B">
        <w:t>individuals</w:t>
      </w:r>
      <w:r w:rsidR="00AB1063">
        <w:t xml:space="preserve"> likely to provide useful input and with names identified in earlier interviews. Interviews were conducted both online and face-to-face.</w:t>
      </w:r>
    </w:p>
    <w:p w14:paraId="60A83DA1" w14:textId="0308BE3B" w:rsidR="00840408" w:rsidRDefault="00840408" w:rsidP="00840408">
      <w:r w:rsidRPr="00C733D3">
        <w:t>In a</w:t>
      </w:r>
      <w:r w:rsidR="00C733D3" w:rsidRPr="00C733D3">
        <w:t xml:space="preserve">pproaching the interviews, the </w:t>
      </w:r>
      <w:r w:rsidR="00F23879">
        <w:t>R</w:t>
      </w:r>
      <w:r w:rsidR="00F23879" w:rsidRPr="00C733D3">
        <w:t xml:space="preserve">eview </w:t>
      </w:r>
      <w:r w:rsidR="00C733D3" w:rsidRPr="00C733D3">
        <w:t>t</w:t>
      </w:r>
      <w:r w:rsidRPr="00C733D3">
        <w:t>eam undertook training on vicarious trauma and how to best support a person who may have experienced difficult, emotional, sensitive or potentially traumatic material and information</w:t>
      </w:r>
      <w:r w:rsidR="00C733D3" w:rsidRPr="00C733D3">
        <w:t xml:space="preserve">. This preparation </w:t>
      </w:r>
      <w:r w:rsidR="005C442E">
        <w:t>informed</w:t>
      </w:r>
      <w:r w:rsidR="00C733D3" w:rsidRPr="00C733D3">
        <w:t xml:space="preserve"> the </w:t>
      </w:r>
      <w:r w:rsidR="00F23879">
        <w:t>R</w:t>
      </w:r>
      <w:r w:rsidR="00F23879" w:rsidRPr="00C733D3">
        <w:t>eview</w:t>
      </w:r>
      <w:r w:rsidR="005C442E">
        <w:t>’s</w:t>
      </w:r>
      <w:r w:rsidR="00F23879" w:rsidRPr="00C733D3">
        <w:t xml:space="preserve"> </w:t>
      </w:r>
      <w:r w:rsidR="005C442E">
        <w:t xml:space="preserve">efforts </w:t>
      </w:r>
      <w:r w:rsidR="00D40C63">
        <w:t xml:space="preserve">to </w:t>
      </w:r>
      <w:r w:rsidRPr="00C733D3">
        <w:t>provide a safe environment for interviewees</w:t>
      </w:r>
      <w:r w:rsidR="00E71362">
        <w:t xml:space="preserve">. </w:t>
      </w:r>
    </w:p>
    <w:p w14:paraId="315120A2" w14:textId="592ADAFC" w:rsidR="00840408" w:rsidRDefault="00840408" w:rsidP="00840408">
      <w:r w:rsidRPr="00F278C0">
        <w:t xml:space="preserve">The interviews were mostly conducted remotely, either via videoconference or telephone, given the geographic spread of current and former </w:t>
      </w:r>
      <w:r w:rsidR="009C5CBD">
        <w:t>parliamentarians and</w:t>
      </w:r>
      <w:r w:rsidRPr="00F278C0">
        <w:t xml:space="preserve"> MoP(S) </w:t>
      </w:r>
      <w:r w:rsidR="002D62B0">
        <w:t>Act employees</w:t>
      </w:r>
      <w:r w:rsidRPr="00F278C0">
        <w:t xml:space="preserve">. The interviews were held during a peak in Covid-19 infection rates in the ACT in July 2022. Covid-19 </w:t>
      </w:r>
      <w:r w:rsidR="00D40C63">
        <w:t>s</w:t>
      </w:r>
      <w:r w:rsidRPr="00F278C0">
        <w:t>afe efforts were made to accommodate in-person interview</w:t>
      </w:r>
      <w:r w:rsidR="00D40C63">
        <w:t>s</w:t>
      </w:r>
      <w:r w:rsidRPr="00F278C0">
        <w:t>.</w:t>
      </w:r>
      <w:r>
        <w:t xml:space="preserve">  </w:t>
      </w:r>
    </w:p>
    <w:p w14:paraId="761FB37B" w14:textId="77777777" w:rsidR="00AE6C41" w:rsidRDefault="00AE6C41" w:rsidP="00840408">
      <w:pPr>
        <w:rPr>
          <w:i/>
        </w:rPr>
      </w:pPr>
    </w:p>
    <w:p w14:paraId="5477768E" w14:textId="77777777" w:rsidR="00AE6C41" w:rsidRDefault="00AE6C41" w:rsidP="00840408">
      <w:pPr>
        <w:rPr>
          <w:i/>
        </w:rPr>
      </w:pPr>
    </w:p>
    <w:p w14:paraId="3C70A8CE" w14:textId="77777777" w:rsidR="00AE6C41" w:rsidRDefault="00AE6C41" w:rsidP="00840408">
      <w:pPr>
        <w:rPr>
          <w:i/>
        </w:rPr>
      </w:pPr>
    </w:p>
    <w:p w14:paraId="105DA3D9" w14:textId="32247A32" w:rsidR="00840408" w:rsidRPr="00BF6FB2" w:rsidRDefault="00840408" w:rsidP="00840408">
      <w:pPr>
        <w:rPr>
          <w:i/>
        </w:rPr>
      </w:pPr>
      <w:r w:rsidRPr="00BF6FB2">
        <w:rPr>
          <w:i/>
        </w:rPr>
        <w:t xml:space="preserve">Stakeholder Engagement </w:t>
      </w:r>
    </w:p>
    <w:p w14:paraId="736369C3" w14:textId="6A3946B2" w:rsidR="00F278C0" w:rsidRPr="00BF6FB2" w:rsidRDefault="00F278C0" w:rsidP="00840408">
      <w:r w:rsidRPr="00BF6FB2">
        <w:t>Targeted s</w:t>
      </w:r>
      <w:r w:rsidR="00840408" w:rsidRPr="00BF6FB2">
        <w:t xml:space="preserve">takeholder engagement was carried out with </w:t>
      </w:r>
      <w:r w:rsidR="004F0C8B">
        <w:t>33</w:t>
      </w:r>
      <w:r w:rsidR="00840408" w:rsidRPr="00BF6FB2">
        <w:t xml:space="preserve"> individuals, representative b</w:t>
      </w:r>
      <w:r w:rsidRPr="00BF6FB2">
        <w:t>odies, and other jurisdictions including:</w:t>
      </w:r>
    </w:p>
    <w:p w14:paraId="47DD44F1" w14:textId="77777777" w:rsidR="00F278C0" w:rsidRPr="00BF6FB2" w:rsidRDefault="00F278C0" w:rsidP="00661448">
      <w:pPr>
        <w:pStyle w:val="ListParagraph"/>
        <w:numPr>
          <w:ilvl w:val="0"/>
          <w:numId w:val="8"/>
        </w:numPr>
      </w:pPr>
      <w:r w:rsidRPr="00BF6FB2">
        <w:t>academics/media</w:t>
      </w:r>
    </w:p>
    <w:p w14:paraId="0EAAA8FF" w14:textId="77777777" w:rsidR="00F278C0" w:rsidRPr="00BF6FB2" w:rsidRDefault="00F278C0" w:rsidP="00661448">
      <w:pPr>
        <w:pStyle w:val="ListParagraph"/>
        <w:numPr>
          <w:ilvl w:val="0"/>
          <w:numId w:val="8"/>
        </w:numPr>
      </w:pPr>
      <w:r w:rsidRPr="00BF6FB2">
        <w:t>potentially impacted Commonwealth Departments and agencies</w:t>
      </w:r>
    </w:p>
    <w:p w14:paraId="4421F123" w14:textId="304C87D4" w:rsidR="00F278C0" w:rsidRPr="00BF6FB2" w:rsidRDefault="00F278C0" w:rsidP="00661448">
      <w:pPr>
        <w:pStyle w:val="ListParagraph"/>
        <w:numPr>
          <w:ilvl w:val="0"/>
          <w:numId w:val="8"/>
        </w:numPr>
      </w:pPr>
      <w:r w:rsidRPr="00BF6FB2">
        <w:t xml:space="preserve">senior APS with MoP(S) </w:t>
      </w:r>
      <w:r w:rsidR="00136872">
        <w:t xml:space="preserve">Act </w:t>
      </w:r>
      <w:r w:rsidRPr="00BF6FB2">
        <w:t>experience</w:t>
      </w:r>
    </w:p>
    <w:p w14:paraId="652CB5E3" w14:textId="77777777" w:rsidR="00F278C0" w:rsidRPr="00BF6FB2" w:rsidRDefault="00F278C0" w:rsidP="00661448">
      <w:pPr>
        <w:pStyle w:val="ListParagraph"/>
        <w:numPr>
          <w:ilvl w:val="0"/>
          <w:numId w:val="8"/>
        </w:numPr>
      </w:pPr>
      <w:r w:rsidRPr="00BF6FB2">
        <w:t>former parliamentarians in relevant roles (e.g. former Special Ministers of State)</w:t>
      </w:r>
    </w:p>
    <w:p w14:paraId="7F4AAE10" w14:textId="77777777" w:rsidR="00F278C0" w:rsidRPr="00BF6FB2" w:rsidRDefault="00F278C0" w:rsidP="00661448">
      <w:pPr>
        <w:pStyle w:val="ListParagraph"/>
        <w:numPr>
          <w:ilvl w:val="0"/>
          <w:numId w:val="8"/>
        </w:numPr>
      </w:pPr>
      <w:r w:rsidRPr="00BF6FB2">
        <w:t>former staff in senior management positions or who have publicly raised MoP(S) Act employment related issues</w:t>
      </w:r>
    </w:p>
    <w:p w14:paraId="6F048B87" w14:textId="77777777" w:rsidR="00F278C0" w:rsidRPr="00BF6FB2" w:rsidRDefault="00491309" w:rsidP="00661448">
      <w:pPr>
        <w:pStyle w:val="ListParagraph"/>
        <w:numPr>
          <w:ilvl w:val="0"/>
          <w:numId w:val="8"/>
        </w:numPr>
      </w:pPr>
      <w:r>
        <w:t>r</w:t>
      </w:r>
      <w:r w:rsidR="00F278C0" w:rsidRPr="00BF6FB2">
        <w:t>elevant state and international jurisdictions.</w:t>
      </w:r>
    </w:p>
    <w:p w14:paraId="1C69B3A7" w14:textId="77777777" w:rsidR="00840408" w:rsidRDefault="00C17B63" w:rsidP="00840408">
      <w:r>
        <w:t xml:space="preserve">Most of these engagements were conducted as an interview, either </w:t>
      </w:r>
      <w:r w:rsidR="00BF6FB2">
        <w:t>in person or face-to-face, consistent with other interviews.</w:t>
      </w:r>
    </w:p>
    <w:p w14:paraId="1E1DE004" w14:textId="77777777" w:rsidR="00840408" w:rsidRPr="00AB1063" w:rsidRDefault="00840408" w:rsidP="00840408">
      <w:pPr>
        <w:rPr>
          <w:i/>
        </w:rPr>
      </w:pPr>
      <w:r w:rsidRPr="00C21699">
        <w:rPr>
          <w:i/>
        </w:rPr>
        <w:t>Information requests</w:t>
      </w:r>
    </w:p>
    <w:p w14:paraId="7B27C4D4" w14:textId="78059E6E" w:rsidR="00840408" w:rsidRDefault="00840408" w:rsidP="00C21699">
      <w:r>
        <w:t xml:space="preserve">Requests were made throughout the </w:t>
      </w:r>
      <w:r w:rsidR="00F23879">
        <w:t xml:space="preserve">Review </w:t>
      </w:r>
      <w:r>
        <w:t xml:space="preserve">process to departments or agencies for information that </w:t>
      </w:r>
      <w:r w:rsidR="00A46BAD">
        <w:t>c</w:t>
      </w:r>
      <w:r>
        <w:t xml:space="preserve">ould assist the </w:t>
      </w:r>
      <w:r w:rsidR="00F23879">
        <w:t xml:space="preserve">Review </w:t>
      </w:r>
      <w:r w:rsidR="00C21699">
        <w:t>t</w:t>
      </w:r>
      <w:r>
        <w:t>eam to understand how the current MoP(S) Act employmen</w:t>
      </w:r>
      <w:r w:rsidR="00C21699">
        <w:t>t framework currently operates and present statistics for use in this report.</w:t>
      </w:r>
    </w:p>
    <w:p w14:paraId="3FB6EEE1" w14:textId="54A80C12" w:rsidR="00840408" w:rsidRPr="00AB1063" w:rsidRDefault="00E71362" w:rsidP="00840408">
      <w:pPr>
        <w:rPr>
          <w:i/>
        </w:rPr>
      </w:pPr>
      <w:r>
        <w:rPr>
          <w:i/>
        </w:rPr>
        <w:t>Consideration of other jurisdictions</w:t>
      </w:r>
      <w:r w:rsidR="00BF1419">
        <w:rPr>
          <w:i/>
        </w:rPr>
        <w:t xml:space="preserve"> and research </w:t>
      </w:r>
    </w:p>
    <w:p w14:paraId="67F6FCEF" w14:textId="41101A00" w:rsidR="00840408" w:rsidRDefault="00840408" w:rsidP="00840408">
      <w:r>
        <w:t>As part of its analysis, the Review researched and considered similar jurisdictions and any legislative or policy responses taken</w:t>
      </w:r>
      <w:r w:rsidR="00E71362">
        <w:t xml:space="preserve"> </w:t>
      </w:r>
      <w:r w:rsidR="00BF1419">
        <w:t>relevant to the terms of reference</w:t>
      </w:r>
      <w:r>
        <w:t>. Domestically, this involved researching the legislative and policy frameworks around the employment of parliamentary staff across the states and territories. Internationally, the same comparative research was undertaken in countries with similar settings, e.g. the national parliament operations within the Westminster system.</w:t>
      </w:r>
    </w:p>
    <w:p w14:paraId="09525CCE" w14:textId="0409979A" w:rsidR="00840408" w:rsidRDefault="00F11316" w:rsidP="00840408">
      <w:r>
        <w:t xml:space="preserve">The </w:t>
      </w:r>
      <w:r w:rsidR="00F23879">
        <w:t xml:space="preserve">Review </w:t>
      </w:r>
      <w:r>
        <w:t>t</w:t>
      </w:r>
      <w:r w:rsidR="00840408">
        <w:t>eam also researched other sectors with similar workplace dynamics to parliament</w:t>
      </w:r>
      <w:r w:rsidR="008675EC">
        <w:t>.</w:t>
      </w:r>
    </w:p>
    <w:p w14:paraId="37BF079B" w14:textId="77777777" w:rsidR="00F11316" w:rsidRDefault="00840408" w:rsidP="00840408">
      <w:r>
        <w:t xml:space="preserve">The expertise of academics </w:t>
      </w:r>
      <w:r w:rsidR="00F11316">
        <w:t xml:space="preserve">and former senior public servants who made submissions to the </w:t>
      </w:r>
      <w:r w:rsidR="00F23879">
        <w:t xml:space="preserve">Review </w:t>
      </w:r>
      <w:r>
        <w:t xml:space="preserve">also provided a wealth of knowledge on public policy and its interplay with the parliamentary working environment. </w:t>
      </w:r>
    </w:p>
    <w:p w14:paraId="369384B3" w14:textId="2A7E5995" w:rsidR="00840408" w:rsidRDefault="00840408" w:rsidP="00840408">
      <w:r>
        <w:t xml:space="preserve">Combined, the </w:t>
      </w:r>
      <w:r w:rsidR="00F11316">
        <w:t xml:space="preserve">research component enabled the </w:t>
      </w:r>
      <w:r w:rsidR="00F23879">
        <w:t xml:space="preserve">Review </w:t>
      </w:r>
      <w:r w:rsidR="00F11316">
        <w:t>t</w:t>
      </w:r>
      <w:r>
        <w:t xml:space="preserve">eam not only to identify potential solutions from other jurisdictions but also </w:t>
      </w:r>
      <w:r w:rsidR="00BF1419">
        <w:t xml:space="preserve">seek </w:t>
      </w:r>
      <w:r>
        <w:t xml:space="preserve">any lessons learned in those jurisdictions </w:t>
      </w:r>
      <w:r w:rsidR="00BF1419">
        <w:t xml:space="preserve">to help inform its </w:t>
      </w:r>
      <w:r>
        <w:t xml:space="preserve">own recommendations. </w:t>
      </w:r>
    </w:p>
    <w:p w14:paraId="54569421" w14:textId="77777777" w:rsidR="00840408" w:rsidRPr="00AB1063" w:rsidRDefault="00F11316" w:rsidP="00840408">
      <w:pPr>
        <w:rPr>
          <w:i/>
        </w:rPr>
      </w:pPr>
      <w:r>
        <w:rPr>
          <w:i/>
        </w:rPr>
        <w:t>Small group session</w:t>
      </w:r>
    </w:p>
    <w:p w14:paraId="187D8C4F" w14:textId="2CE6600E" w:rsidR="00840408" w:rsidRDefault="00F11316" w:rsidP="006A5BD0">
      <w:r>
        <w:t>A small group session</w:t>
      </w:r>
      <w:r w:rsidR="00840408">
        <w:t xml:space="preserve"> </w:t>
      </w:r>
      <w:r>
        <w:t>was</w:t>
      </w:r>
      <w:r w:rsidR="00840408">
        <w:t xml:space="preserve"> held during September 2022 with a mix of electorate and personal staff. Those in</w:t>
      </w:r>
      <w:r w:rsidR="00E937C0">
        <w:t>vited were</w:t>
      </w:r>
      <w:r w:rsidR="00840408">
        <w:t xml:space="preserve"> a representative mix of MoP(S) </w:t>
      </w:r>
      <w:r w:rsidR="002D62B0">
        <w:t xml:space="preserve">Act employees </w:t>
      </w:r>
      <w:r w:rsidR="00840408">
        <w:t>working in both chambers and across political parties</w:t>
      </w:r>
      <w:r w:rsidR="006A5BD0">
        <w:t>.</w:t>
      </w:r>
    </w:p>
    <w:p w14:paraId="77D88D76" w14:textId="14C36CAD" w:rsidR="00840408" w:rsidRDefault="00840408" w:rsidP="00051BDA">
      <w:pPr>
        <w:pStyle w:val="Heading3"/>
      </w:pPr>
      <w:r>
        <w:t>Quantitative data</w:t>
      </w:r>
    </w:p>
    <w:p w14:paraId="49B7F136" w14:textId="77777777" w:rsidR="00840408" w:rsidRPr="00AB1063" w:rsidRDefault="00840408" w:rsidP="00840408">
      <w:pPr>
        <w:rPr>
          <w:i/>
        </w:rPr>
      </w:pPr>
      <w:r w:rsidRPr="00AB1063">
        <w:rPr>
          <w:i/>
        </w:rPr>
        <w:t>Survey</w:t>
      </w:r>
    </w:p>
    <w:p w14:paraId="30AD7C82" w14:textId="1BBDDDDB" w:rsidR="00840408" w:rsidRDefault="00BF1419" w:rsidP="00840408">
      <w:r>
        <w:t xml:space="preserve">The Review conducted an anonymous survey of current and former </w:t>
      </w:r>
      <w:r w:rsidR="00E031DA">
        <w:t xml:space="preserve">parliamentarians and </w:t>
      </w:r>
      <w:r w:rsidR="009C5CBD">
        <w:t>MoP(S) Act</w:t>
      </w:r>
      <w:r w:rsidR="00E031DA">
        <w:t xml:space="preserve"> </w:t>
      </w:r>
      <w:r>
        <w:t xml:space="preserve">employees </w:t>
      </w:r>
      <w:r w:rsidR="006A5BD0">
        <w:t xml:space="preserve">from </w:t>
      </w:r>
      <w:r w:rsidR="00840408">
        <w:t xml:space="preserve">22 </w:t>
      </w:r>
      <w:r w:rsidR="006A5BD0">
        <w:t>to</w:t>
      </w:r>
      <w:r w:rsidR="00840408">
        <w:t xml:space="preserve"> 29 August 2022. The survey </w:t>
      </w:r>
      <w:r w:rsidR="007419CA">
        <w:t xml:space="preserve">was </w:t>
      </w:r>
      <w:r w:rsidR="00840408">
        <w:t>designe</w:t>
      </w:r>
      <w:r w:rsidR="006A5BD0">
        <w:t xml:space="preserve">d </w:t>
      </w:r>
      <w:r>
        <w:t xml:space="preserve">by the Review team </w:t>
      </w:r>
      <w:r w:rsidR="006A5BD0">
        <w:t xml:space="preserve">in collaboration </w:t>
      </w:r>
      <w:r w:rsidR="007419CA">
        <w:t>with</w:t>
      </w:r>
      <w:r w:rsidR="006A5BD0" w:rsidDel="00BF1419">
        <w:t xml:space="preserve"> </w:t>
      </w:r>
      <w:r w:rsidR="00415C28">
        <w:t>a research team within PM&amp;C</w:t>
      </w:r>
      <w:r w:rsidR="00491309" w:rsidRPr="003A5407">
        <w:t>.</w:t>
      </w:r>
      <w:r w:rsidR="00840408">
        <w:t xml:space="preserve"> Similar to </w:t>
      </w:r>
      <w:r w:rsidR="00142173" w:rsidRPr="00142173">
        <w:rPr>
          <w:i/>
        </w:rPr>
        <w:t>Set the Standard</w:t>
      </w:r>
      <w:r w:rsidR="00840408">
        <w:t xml:space="preserve">, the Review wished to provide multiple avenues for </w:t>
      </w:r>
      <w:r>
        <w:t xml:space="preserve">stakeholders to contribute to the </w:t>
      </w:r>
      <w:r w:rsidR="008675EC">
        <w:t>Review</w:t>
      </w:r>
      <w:r>
        <w:t xml:space="preserve"> and offer opportunities to engage in </w:t>
      </w:r>
      <w:r w:rsidR="00840408">
        <w:t>way</w:t>
      </w:r>
      <w:r>
        <w:t>s</w:t>
      </w:r>
      <w:r w:rsidR="00840408">
        <w:t xml:space="preserve"> they fe</w:t>
      </w:r>
      <w:r w:rsidR="008675EC">
        <w:t>lt</w:t>
      </w:r>
      <w:r>
        <w:t xml:space="preserve"> </w:t>
      </w:r>
      <w:r w:rsidR="00840408">
        <w:t>comfortable wit</w:t>
      </w:r>
      <w:r w:rsidR="008675EC">
        <w:t>h</w:t>
      </w:r>
      <w:r w:rsidR="00840408">
        <w:t>. The quantitative nature of a survey also provided a dataset that coul</w:t>
      </w:r>
      <w:r w:rsidR="006A5BD0">
        <w:t xml:space="preserve">d affirm or challenge what the </w:t>
      </w:r>
      <w:r w:rsidR="00F23879">
        <w:t xml:space="preserve">Review </w:t>
      </w:r>
      <w:r w:rsidR="00840408">
        <w:t xml:space="preserve">had been hearing through the qualitative data. </w:t>
      </w:r>
    </w:p>
    <w:p w14:paraId="43350FD8" w14:textId="7DFBB4A6" w:rsidR="00840408" w:rsidRDefault="00BF1419" w:rsidP="00840408">
      <w:r>
        <w:t xml:space="preserve">Finance </w:t>
      </w:r>
      <w:r w:rsidR="00840408">
        <w:t xml:space="preserve">distributed </w:t>
      </w:r>
      <w:r>
        <w:t xml:space="preserve">a link to the survey </w:t>
      </w:r>
      <w:r w:rsidR="006A5BD0">
        <w:t>to</w:t>
      </w:r>
      <w:r w:rsidR="00840408">
        <w:t xml:space="preserve"> current and former </w:t>
      </w:r>
      <w:r w:rsidR="00C663B2">
        <w:t xml:space="preserve">parliamentarians and </w:t>
      </w:r>
      <w:r w:rsidR="00840408">
        <w:t xml:space="preserve">MoP(S) Act </w:t>
      </w:r>
      <w:r w:rsidR="0057230A">
        <w:t>employees</w:t>
      </w:r>
      <w:r w:rsidR="00840408">
        <w:t xml:space="preserve">. </w:t>
      </w:r>
      <w:r w:rsidR="006A0D1E">
        <w:t>A summary of respons</w:t>
      </w:r>
      <w:r w:rsidR="009339B0">
        <w:t>es</w:t>
      </w:r>
      <w:r w:rsidR="006A0D1E">
        <w:t xml:space="preserve"> is below.</w:t>
      </w:r>
    </w:p>
    <w:p w14:paraId="7263D039" w14:textId="77777777" w:rsidR="00F00D4A" w:rsidRDefault="00F00D4A" w:rsidP="00F00D4A">
      <w:pPr>
        <w:pStyle w:val="Figure"/>
      </w:pPr>
    </w:p>
    <w:p w14:paraId="65ADB20D" w14:textId="66723948" w:rsidR="00840408" w:rsidRDefault="0007509B" w:rsidP="00840408">
      <w:r>
        <w:rPr>
          <w:noProof/>
          <w:lang w:eastAsia="en-AU"/>
        </w:rPr>
        <w:drawing>
          <wp:inline distT="0" distB="0" distL="0" distR="0" wp14:anchorId="1C227FD7" wp14:editId="7B2EDE3C">
            <wp:extent cx="6120130" cy="2641600"/>
            <wp:effectExtent l="0" t="0" r="0" b="6350"/>
            <wp:docPr id="100" name="Picture 100" descr="This image is titled Participation in MoP(S) Act survey. Against a row called ‘responses’, it sets out there were 388 responses, 183 from electorate staff, 151 from personal staff/advisers, 46 from chiefs of staff/managers and 8 from parliamentarians.&#10;&#10;Against a row called ‘gender’, it sets out there were 238 responses from males, 134 from females, 16 prefer not to say and zero non-binary.&#10;" title="Participation in MoP(S) Ac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oPAct-Infographics-300922-F14-SurveyParticipati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641600"/>
                    </a:xfrm>
                    <a:prstGeom prst="rect">
                      <a:avLst/>
                    </a:prstGeom>
                  </pic:spPr>
                </pic:pic>
              </a:graphicData>
            </a:graphic>
          </wp:inline>
        </w:drawing>
      </w:r>
    </w:p>
    <w:p w14:paraId="093CCD46" w14:textId="77777777" w:rsidR="00875749" w:rsidRDefault="00E71362" w:rsidP="00F55DC4">
      <w:r>
        <w:t>S</w:t>
      </w:r>
      <w:r w:rsidR="00840408">
        <w:t xml:space="preserve">urvey results were presented in aggregate to avoid being able to </w:t>
      </w:r>
      <w:r w:rsidR="006A5BD0">
        <w:t>identify individual respondents and</w:t>
      </w:r>
      <w:r w:rsidR="00840408">
        <w:t xml:space="preserve"> a free text section in the survey was collated</w:t>
      </w:r>
      <w:r w:rsidR="007419CA">
        <w:t>.</w:t>
      </w:r>
      <w:r w:rsidR="00840408">
        <w:t xml:space="preserve"> </w:t>
      </w:r>
      <w:r w:rsidR="007419CA">
        <w:t>A</w:t>
      </w:r>
      <w:r w:rsidR="005C442E">
        <w:t xml:space="preserve">ny identifying details </w:t>
      </w:r>
      <w:r w:rsidR="007419CA">
        <w:t xml:space="preserve">were </w:t>
      </w:r>
      <w:r w:rsidR="005C442E">
        <w:t xml:space="preserve">removed </w:t>
      </w:r>
      <w:r w:rsidR="006A5BD0">
        <w:t xml:space="preserve">prior to being provided to the </w:t>
      </w:r>
      <w:r w:rsidR="00F23879">
        <w:t xml:space="preserve">Review </w:t>
      </w:r>
      <w:r w:rsidR="006A5BD0">
        <w:t>t</w:t>
      </w:r>
      <w:r w:rsidR="00840408">
        <w:t>eam to a</w:t>
      </w:r>
      <w:r w:rsidR="006A5BD0">
        <w:t xml:space="preserve">nalyse and consider within the </w:t>
      </w:r>
      <w:r w:rsidR="00F23879">
        <w:t>Review</w:t>
      </w:r>
      <w:r w:rsidR="00840408">
        <w:t xml:space="preserve">. </w:t>
      </w:r>
    </w:p>
    <w:p w14:paraId="025B9B11" w14:textId="5740A0AC" w:rsidR="00F55DC4" w:rsidRDefault="00AF13A5" w:rsidP="00F55DC4">
      <w:r>
        <w:t>The Review notes that the</w:t>
      </w:r>
      <w:r w:rsidR="00875749">
        <w:t xml:space="preserve"> survey results include both current and former staff, with more respondents from former staff,</w:t>
      </w:r>
      <w:r w:rsidR="00E1639E">
        <w:t xml:space="preserve"> and</w:t>
      </w:r>
      <w:r w:rsidR="00875749">
        <w:t xml:space="preserve"> that in some cases current practice may have been improved. This was considered where survey data was presented in the Review.</w:t>
      </w:r>
      <w:r w:rsidR="00F55DC4">
        <w:br w:type="page"/>
      </w:r>
    </w:p>
    <w:p w14:paraId="0F587E65" w14:textId="1B72121D" w:rsidR="00F55DC4" w:rsidRDefault="00F55DC4" w:rsidP="00F55DC4">
      <w:pPr>
        <w:pStyle w:val="Heading1"/>
      </w:pPr>
      <w:bookmarkStart w:id="8438" w:name="_Toc115432866"/>
      <w:bookmarkStart w:id="8439" w:name="_Toc115434437"/>
      <w:bookmarkStart w:id="8440" w:name="_Toc115434536"/>
      <w:bookmarkStart w:id="8441" w:name="_Toc115434605"/>
      <w:bookmarkStart w:id="8442" w:name="_Toc115434674"/>
      <w:bookmarkStart w:id="8443" w:name="_Toc104212807"/>
      <w:bookmarkStart w:id="8444" w:name="_Toc114230919"/>
      <w:bookmarkStart w:id="8445" w:name="_Toc114233624"/>
      <w:bookmarkStart w:id="8446" w:name="_Toc114233696"/>
      <w:bookmarkStart w:id="8447" w:name="_Toc114240653"/>
      <w:bookmarkStart w:id="8448" w:name="_Toc114240727"/>
      <w:bookmarkStart w:id="8449" w:name="_Toc114241071"/>
      <w:bookmarkStart w:id="8450" w:name="_Toc114494095"/>
      <w:bookmarkStart w:id="8451" w:name="_Toc114500346"/>
      <w:bookmarkStart w:id="8452" w:name="_Toc114500421"/>
      <w:bookmarkStart w:id="8453" w:name="_Toc114518694"/>
      <w:bookmarkStart w:id="8454" w:name="_Toc114520366"/>
      <w:bookmarkStart w:id="8455" w:name="_Toc114520775"/>
      <w:bookmarkStart w:id="8456" w:name="_Toc114565803"/>
      <w:bookmarkStart w:id="8457" w:name="_Toc114566784"/>
      <w:bookmarkStart w:id="8458" w:name="_Toc114567009"/>
      <w:bookmarkStart w:id="8459" w:name="_Toc114566933"/>
      <w:bookmarkStart w:id="8460" w:name="_Toc114585931"/>
      <w:bookmarkStart w:id="8461" w:name="_Toc114586075"/>
      <w:bookmarkStart w:id="8462" w:name="_Toc114586147"/>
      <w:bookmarkStart w:id="8463" w:name="_Toc114601287"/>
      <w:bookmarkStart w:id="8464" w:name="_Toc114657328"/>
      <w:bookmarkStart w:id="8465" w:name="_Toc114659790"/>
      <w:bookmarkStart w:id="8466" w:name="_Toc114662775"/>
      <w:bookmarkStart w:id="8467" w:name="_Toc114665158"/>
      <w:bookmarkStart w:id="8468" w:name="_Toc114672466"/>
      <w:bookmarkStart w:id="8469" w:name="_Toc114672679"/>
      <w:bookmarkStart w:id="8470" w:name="_Toc114673234"/>
      <w:bookmarkStart w:id="8471" w:name="_Toc114673820"/>
      <w:bookmarkStart w:id="8472" w:name="_Toc114674345"/>
      <w:bookmarkStart w:id="8473" w:name="_Toc114687518"/>
      <w:bookmarkStart w:id="8474" w:name="_Toc114689982"/>
      <w:bookmarkStart w:id="8475" w:name="_Toc114731845"/>
      <w:bookmarkStart w:id="8476" w:name="_Toc114733610"/>
      <w:bookmarkStart w:id="8477" w:name="_Toc114735551"/>
      <w:bookmarkStart w:id="8478" w:name="_Toc114755881"/>
      <w:bookmarkStart w:id="8479" w:name="_Toc114757186"/>
      <w:bookmarkStart w:id="8480" w:name="_Toc114757470"/>
      <w:bookmarkStart w:id="8481" w:name="_Toc114757572"/>
      <w:bookmarkStart w:id="8482" w:name="_Toc114758245"/>
      <w:bookmarkStart w:id="8483" w:name="_Toc114824416"/>
      <w:bookmarkStart w:id="8484" w:name="_Toc114829492"/>
      <w:bookmarkStart w:id="8485" w:name="_Toc114829856"/>
      <w:bookmarkStart w:id="8486" w:name="_Toc114830000"/>
      <w:bookmarkStart w:id="8487" w:name="_Toc115099079"/>
      <w:bookmarkStart w:id="8488" w:name="_Toc115099151"/>
      <w:bookmarkStart w:id="8489" w:name="_Toc115101728"/>
      <w:bookmarkStart w:id="8490" w:name="_Toc115102573"/>
      <w:bookmarkStart w:id="8491" w:name="_Toc115105546"/>
      <w:bookmarkStart w:id="8492" w:name="_Toc115110407"/>
      <w:bookmarkStart w:id="8493" w:name="_Toc115110534"/>
      <w:bookmarkStart w:id="8494" w:name="_Toc115121652"/>
      <w:bookmarkStart w:id="8495" w:name="_Toc115122022"/>
      <w:bookmarkStart w:id="8496" w:name="_Toc115123502"/>
      <w:bookmarkStart w:id="8497" w:name="_Toc115123750"/>
      <w:bookmarkStart w:id="8498" w:name="_Toc115126882"/>
      <w:bookmarkStart w:id="8499" w:name="_Toc115185515"/>
      <w:bookmarkStart w:id="8500" w:name="_Toc115186142"/>
      <w:bookmarkStart w:id="8501" w:name="_Toc115189300"/>
      <w:bookmarkStart w:id="8502" w:name="_Toc115194273"/>
      <w:bookmarkStart w:id="8503" w:name="_Toc115195010"/>
      <w:bookmarkStart w:id="8504" w:name="_Toc115196420"/>
      <w:bookmarkStart w:id="8505" w:name="_Toc115198921"/>
      <w:bookmarkStart w:id="8506" w:name="_Toc115208936"/>
      <w:bookmarkStart w:id="8507" w:name="_Toc115209072"/>
      <w:bookmarkStart w:id="8508" w:name="_Toc115210403"/>
      <w:bookmarkStart w:id="8509" w:name="_Toc115212628"/>
      <w:bookmarkStart w:id="8510" w:name="_Toc115213268"/>
      <w:bookmarkStart w:id="8511" w:name="_Toc115216766"/>
      <w:bookmarkStart w:id="8512" w:name="_Toc115270457"/>
      <w:bookmarkStart w:id="8513" w:name="_Toc115271400"/>
      <w:bookmarkStart w:id="8514" w:name="_Toc115272317"/>
      <w:bookmarkStart w:id="8515" w:name="_Toc115273487"/>
      <w:bookmarkStart w:id="8516" w:name="_Toc115273415"/>
      <w:bookmarkStart w:id="8517" w:name="_Toc115274317"/>
      <w:bookmarkStart w:id="8518" w:name="_Toc115274668"/>
      <w:bookmarkStart w:id="8519" w:name="_Toc115274894"/>
      <w:bookmarkStart w:id="8520" w:name="_Toc115275251"/>
      <w:bookmarkStart w:id="8521" w:name="_Toc115275394"/>
      <w:bookmarkStart w:id="8522" w:name="_Toc115274231"/>
      <w:bookmarkStart w:id="8523" w:name="_Toc115274532"/>
      <w:bookmarkStart w:id="8524" w:name="_Toc115274600"/>
      <w:bookmarkStart w:id="8525" w:name="_Toc115274758"/>
      <w:bookmarkStart w:id="8526" w:name="_Toc115277492"/>
      <w:bookmarkStart w:id="8527" w:name="_Toc115277696"/>
      <w:bookmarkStart w:id="8528" w:name="_Toc115278585"/>
      <w:bookmarkStart w:id="8529" w:name="_Toc115278665"/>
      <w:bookmarkStart w:id="8530" w:name="_Toc115282335"/>
      <w:bookmarkStart w:id="8531" w:name="_Toc115284788"/>
      <w:bookmarkStart w:id="8532" w:name="_Toc115286880"/>
      <w:bookmarkStart w:id="8533" w:name="_Toc115294814"/>
      <w:bookmarkStart w:id="8534" w:name="_Toc115296394"/>
      <w:bookmarkStart w:id="8535" w:name="_Toc115308580"/>
      <w:bookmarkStart w:id="8536" w:name="_Toc115311232"/>
      <w:bookmarkStart w:id="8537" w:name="_Toc115312712"/>
      <w:bookmarkStart w:id="8538" w:name="_Toc115343886"/>
      <w:bookmarkStart w:id="8539" w:name="_Toc115348324"/>
      <w:bookmarkStart w:id="8540" w:name="_Toc115350422"/>
      <w:bookmarkStart w:id="8541" w:name="_Toc115353510"/>
      <w:bookmarkStart w:id="8542" w:name="_Toc115359541"/>
      <w:bookmarkStart w:id="8543" w:name="_Toc115361946"/>
      <w:bookmarkStart w:id="8544" w:name="_Toc115364339"/>
      <w:bookmarkStart w:id="8545" w:name="_Toc115365432"/>
      <w:bookmarkStart w:id="8546" w:name="_Toc115365772"/>
      <w:bookmarkStart w:id="8547" w:name="_Toc115366236"/>
      <w:bookmarkStart w:id="8548" w:name="_Toc115368579"/>
      <w:bookmarkStart w:id="8549" w:name="_Toc115368686"/>
      <w:bookmarkStart w:id="8550" w:name="_Toc115370126"/>
      <w:bookmarkStart w:id="8551" w:name="_Toc115370860"/>
      <w:bookmarkStart w:id="8552" w:name="_Toc115372990"/>
      <w:bookmarkStart w:id="8553" w:name="_Toc115374432"/>
      <w:bookmarkStart w:id="8554" w:name="_Toc115378771"/>
      <w:bookmarkStart w:id="8555" w:name="_Toc115381003"/>
      <w:bookmarkStart w:id="8556" w:name="_Toc115384155"/>
      <w:bookmarkStart w:id="8557" w:name="_Toc115387384"/>
      <w:bookmarkStart w:id="8558" w:name="_Toc115388850"/>
      <w:bookmarkStart w:id="8559" w:name="_Toc115431488"/>
      <w:bookmarkStart w:id="8560" w:name="_Toc115442841"/>
      <w:bookmarkStart w:id="8561" w:name="_Toc115446377"/>
      <w:bookmarkStart w:id="8562" w:name="_Toc115446387"/>
      <w:bookmarkStart w:id="8563" w:name="_Toc115448084"/>
      <w:bookmarkStart w:id="8564" w:name="_Toc115449476"/>
      <w:bookmarkStart w:id="8565" w:name="_Toc115452496"/>
      <w:bookmarkStart w:id="8566" w:name="_Toc115455313"/>
      <w:bookmarkStart w:id="8567" w:name="_Toc115455379"/>
      <w:bookmarkStart w:id="8568" w:name="_Toc115457329"/>
      <w:bookmarkStart w:id="8569" w:name="_Toc115458165"/>
      <w:bookmarkStart w:id="8570" w:name="_Toc115948193"/>
      <w:bookmarkStart w:id="8571" w:name="_Toc115948640"/>
      <w:r>
        <w:t>R</w:t>
      </w:r>
      <w:bookmarkEnd w:id="8438"/>
      <w:bookmarkEnd w:id="8439"/>
      <w:bookmarkEnd w:id="8440"/>
      <w:bookmarkEnd w:id="8441"/>
      <w:bookmarkEnd w:id="8442"/>
      <w:r w:rsidR="00025BA6">
        <w:t>eferences</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p>
    <w:p w14:paraId="50F5AA68" w14:textId="0FF980C8" w:rsidR="0021705F" w:rsidRDefault="0021705F" w:rsidP="0021705F">
      <w:r>
        <w:rPr>
          <w:b/>
        </w:rPr>
        <w:t>Key legislation</w:t>
      </w:r>
      <w:r w:rsidR="00626C59">
        <w:rPr>
          <w:b/>
        </w:rPr>
        <w:t xml:space="preserve"> (including determinations)</w:t>
      </w:r>
    </w:p>
    <w:p w14:paraId="7B972DB8" w14:textId="77777777" w:rsidR="0021705F" w:rsidRPr="00C65A43" w:rsidRDefault="0021705F" w:rsidP="0021705F">
      <w:pPr>
        <w:rPr>
          <w:i/>
          <w:sz w:val="20"/>
        </w:rPr>
      </w:pPr>
      <w:r w:rsidRPr="00C65A43">
        <w:rPr>
          <w:i/>
          <w:sz w:val="20"/>
        </w:rPr>
        <w:t xml:space="preserve">Members of Parliament (Staff) Act 1984 </w:t>
      </w:r>
      <w:r w:rsidRPr="00C65A43">
        <w:rPr>
          <w:sz w:val="20"/>
        </w:rPr>
        <w:t>(Cth)</w:t>
      </w:r>
    </w:p>
    <w:p w14:paraId="02447943" w14:textId="2BE99C4C" w:rsidR="00CE494C" w:rsidRPr="00C65A43" w:rsidRDefault="0025694C" w:rsidP="00CE494C">
      <w:pPr>
        <w:rPr>
          <w:sz w:val="20"/>
        </w:rPr>
      </w:pPr>
      <w:r w:rsidRPr="00C65A43">
        <w:rPr>
          <w:sz w:val="20"/>
        </w:rPr>
        <w:t xml:space="preserve">Department of </w:t>
      </w:r>
      <w:r w:rsidR="002E402E" w:rsidRPr="00C65A43">
        <w:rPr>
          <w:sz w:val="20"/>
        </w:rPr>
        <w:t xml:space="preserve">the </w:t>
      </w:r>
      <w:r w:rsidRPr="00C65A43">
        <w:rPr>
          <w:sz w:val="20"/>
        </w:rPr>
        <w:t>Prime Minister and Cabinet</w:t>
      </w:r>
      <w:r w:rsidR="00BF0178" w:rsidRPr="00C65A43">
        <w:rPr>
          <w:sz w:val="20"/>
        </w:rPr>
        <w:t xml:space="preserve">, </w:t>
      </w:r>
      <w:r w:rsidR="00CE494C" w:rsidRPr="00C65A43">
        <w:rPr>
          <w:i/>
          <w:sz w:val="20"/>
        </w:rPr>
        <w:t>Prime Minister’s Official Establishments</w:t>
      </w:r>
      <w:r w:rsidR="00BF0178" w:rsidRPr="00C65A43">
        <w:rPr>
          <w:i/>
          <w:sz w:val="20"/>
        </w:rPr>
        <w:t xml:space="preserve"> Employees Determination</w:t>
      </w:r>
      <w:r w:rsidR="00CE494C" w:rsidRPr="00C65A43">
        <w:rPr>
          <w:i/>
          <w:sz w:val="20"/>
        </w:rPr>
        <w:t xml:space="preserve"> </w:t>
      </w:r>
      <w:r w:rsidR="00BF0178" w:rsidRPr="00C65A43">
        <w:rPr>
          <w:i/>
          <w:sz w:val="20"/>
        </w:rPr>
        <w:t>2020-2023</w:t>
      </w:r>
      <w:r w:rsidR="00BF0178" w:rsidRPr="00C65A43">
        <w:rPr>
          <w:sz w:val="20"/>
        </w:rPr>
        <w:t xml:space="preserve"> (12 October 2020)</w:t>
      </w:r>
    </w:p>
    <w:p w14:paraId="23AB8EDF" w14:textId="48B9426C" w:rsidR="00CE494C" w:rsidRPr="00C65A43" w:rsidRDefault="00EA5A89" w:rsidP="009B164E">
      <w:pPr>
        <w:rPr>
          <w:sz w:val="20"/>
        </w:rPr>
      </w:pPr>
      <w:r w:rsidRPr="00C65A43">
        <w:rPr>
          <w:i/>
          <w:sz w:val="20"/>
        </w:rPr>
        <w:t>Members of Parliament (Staff) Act 1984 (</w:t>
      </w:r>
      <w:r w:rsidRPr="00C65A43">
        <w:rPr>
          <w:sz w:val="20"/>
        </w:rPr>
        <w:t xml:space="preserve">Cth), </w:t>
      </w:r>
      <w:r w:rsidRPr="00C65A43">
        <w:rPr>
          <w:i/>
          <w:sz w:val="20"/>
        </w:rPr>
        <w:t xml:space="preserve">Direction 2019/6: Direction to Defer the Termination of Employment </w:t>
      </w:r>
      <w:r w:rsidRPr="00C65A43">
        <w:rPr>
          <w:sz w:val="20"/>
        </w:rPr>
        <w:t>(9 April 2019</w:t>
      </w:r>
      <w:r w:rsidR="0073724F" w:rsidRPr="00C65A43">
        <w:rPr>
          <w:sz w:val="20"/>
        </w:rPr>
        <w:t>)</w:t>
      </w:r>
    </w:p>
    <w:p w14:paraId="7FAC5495" w14:textId="57EE2282" w:rsidR="00BC01BD" w:rsidRPr="00C65A43" w:rsidRDefault="009F58B3" w:rsidP="009B164E">
      <w:pPr>
        <w:rPr>
          <w:i/>
          <w:sz w:val="20"/>
        </w:rPr>
      </w:pPr>
      <w:r w:rsidRPr="00C65A43">
        <w:rPr>
          <w:sz w:val="20"/>
        </w:rPr>
        <w:t>Minister for Finance (Cth),</w:t>
      </w:r>
      <w:r w:rsidR="00BC01BD" w:rsidRPr="00C65A43">
        <w:rPr>
          <w:sz w:val="20"/>
        </w:rPr>
        <w:t xml:space="preserve"> </w:t>
      </w:r>
      <w:r w:rsidRPr="00C65A43">
        <w:rPr>
          <w:i/>
          <w:sz w:val="20"/>
        </w:rPr>
        <w:t xml:space="preserve">Determination 2020/15: </w:t>
      </w:r>
      <w:r w:rsidR="00BC01BD" w:rsidRPr="00C65A43">
        <w:rPr>
          <w:i/>
          <w:sz w:val="20"/>
        </w:rPr>
        <w:t>Staff Trave</w:t>
      </w:r>
      <w:r w:rsidRPr="00C65A43">
        <w:rPr>
          <w:i/>
          <w:sz w:val="20"/>
        </w:rPr>
        <w:t xml:space="preserve">l and Relief Staff Arrangements </w:t>
      </w:r>
      <w:r w:rsidRPr="00C65A43">
        <w:rPr>
          <w:sz w:val="20"/>
        </w:rPr>
        <w:t>(29 June 2020)</w:t>
      </w:r>
    </w:p>
    <w:p w14:paraId="15215004" w14:textId="77777777" w:rsidR="002C1B92" w:rsidRPr="00C65A43" w:rsidRDefault="002C1B92" w:rsidP="002C1B92">
      <w:pPr>
        <w:rPr>
          <w:i/>
          <w:sz w:val="20"/>
        </w:rPr>
      </w:pPr>
      <w:r w:rsidRPr="00C65A43">
        <w:rPr>
          <w:sz w:val="20"/>
        </w:rPr>
        <w:t xml:space="preserve">Special Minister of State (Cth), </w:t>
      </w:r>
      <w:r w:rsidRPr="00C65A43">
        <w:rPr>
          <w:i/>
          <w:sz w:val="20"/>
        </w:rPr>
        <w:t>Determination 2016/15: Employment of Electorate Officers</w:t>
      </w:r>
      <w:r w:rsidRPr="00C65A43">
        <w:rPr>
          <w:sz w:val="20"/>
        </w:rPr>
        <w:t xml:space="preserve"> (2016)</w:t>
      </w:r>
    </w:p>
    <w:p w14:paraId="4AFEBEF8" w14:textId="395C00DF" w:rsidR="009B164E" w:rsidRDefault="00626C59" w:rsidP="009B164E">
      <w:r>
        <w:rPr>
          <w:b/>
        </w:rPr>
        <w:t>Other resources</w:t>
      </w:r>
    </w:p>
    <w:p w14:paraId="64D9372F" w14:textId="356D4243" w:rsidR="00626C59" w:rsidRPr="00C65A43" w:rsidRDefault="00626C59" w:rsidP="00626C59">
      <w:pPr>
        <w:rPr>
          <w:sz w:val="20"/>
        </w:rPr>
      </w:pPr>
      <w:r w:rsidRPr="00C65A43">
        <w:rPr>
          <w:i/>
          <w:sz w:val="20"/>
        </w:rPr>
        <w:t xml:space="preserve">Age Discrimination Act 2004 </w:t>
      </w:r>
      <w:r w:rsidRPr="00C65A43">
        <w:rPr>
          <w:sz w:val="20"/>
        </w:rPr>
        <w:t>(Cth)</w:t>
      </w:r>
    </w:p>
    <w:p w14:paraId="3117FC0E" w14:textId="77777777" w:rsidR="002C1B92" w:rsidRPr="00C65A43" w:rsidRDefault="002C1B92" w:rsidP="002C1B92">
      <w:pPr>
        <w:rPr>
          <w:sz w:val="20"/>
        </w:rPr>
      </w:pPr>
      <w:r w:rsidRPr="00C65A43">
        <w:rPr>
          <w:i/>
          <w:sz w:val="20"/>
        </w:rPr>
        <w:t>Andrew Dempster v Commonwealth</w:t>
      </w:r>
      <w:r w:rsidRPr="00C65A43">
        <w:rPr>
          <w:sz w:val="20"/>
        </w:rPr>
        <w:t xml:space="preserve"> [2004] NSWCIMC 75</w:t>
      </w:r>
    </w:p>
    <w:p w14:paraId="3E988CD7" w14:textId="77777777" w:rsidR="0040281E" w:rsidRPr="00C65A43" w:rsidRDefault="0040281E" w:rsidP="0040281E">
      <w:pPr>
        <w:rPr>
          <w:sz w:val="20"/>
        </w:rPr>
      </w:pPr>
      <w:r w:rsidRPr="00C65A43">
        <w:rPr>
          <w:i/>
          <w:sz w:val="20"/>
        </w:rPr>
        <w:t xml:space="preserve">Ashby v Commonwealth of Australia (No 4) </w:t>
      </w:r>
      <w:r w:rsidRPr="00C65A43">
        <w:rPr>
          <w:sz w:val="20"/>
        </w:rPr>
        <w:t>[2012] FCA 1411</w:t>
      </w:r>
    </w:p>
    <w:p w14:paraId="01D7DF73" w14:textId="77777777" w:rsidR="00F8067C" w:rsidRPr="00C65A43" w:rsidRDefault="00F8067C" w:rsidP="00F8067C">
      <w:pPr>
        <w:rPr>
          <w:sz w:val="20"/>
        </w:rPr>
      </w:pPr>
      <w:r w:rsidRPr="00C65A43">
        <w:rPr>
          <w:sz w:val="20"/>
        </w:rPr>
        <w:t xml:space="preserve">Australian Federal Police, </w:t>
      </w:r>
      <w:r w:rsidRPr="00C65A43">
        <w:rPr>
          <w:i/>
          <w:sz w:val="20"/>
        </w:rPr>
        <w:t>Frequently Asked Questions</w:t>
      </w:r>
      <w:r w:rsidRPr="00C65A43">
        <w:rPr>
          <w:sz w:val="20"/>
        </w:rPr>
        <w:t xml:space="preserve"> [website], (no date), </w:t>
      </w:r>
      <w:hyperlink r:id="rId34" w:history="1">
        <w:r w:rsidRPr="00C65A43">
          <w:rPr>
            <w:rStyle w:val="Hyperlink"/>
            <w:sz w:val="20"/>
          </w:rPr>
          <w:t>https://www.afp.gov.au/what-we-do/services/criminal-records/frequently-asked-questions</w:t>
        </w:r>
      </w:hyperlink>
      <w:r w:rsidRPr="00C65A43">
        <w:rPr>
          <w:sz w:val="20"/>
        </w:rPr>
        <w:t>, accessed 23 September 2022</w:t>
      </w:r>
    </w:p>
    <w:p w14:paraId="5E60F58B" w14:textId="78D2069F" w:rsidR="00F8067C" w:rsidRPr="00C65A43" w:rsidRDefault="00F8067C" w:rsidP="00F8067C">
      <w:pPr>
        <w:rPr>
          <w:sz w:val="20"/>
        </w:rPr>
      </w:pPr>
      <w:r w:rsidRPr="00C65A43">
        <w:rPr>
          <w:sz w:val="20"/>
        </w:rPr>
        <w:t xml:space="preserve">Australian Government, </w:t>
      </w:r>
      <w:r w:rsidRPr="00C65A43">
        <w:rPr>
          <w:i/>
          <w:sz w:val="20"/>
        </w:rPr>
        <w:t>Code of Conduct for Ministers</w:t>
      </w:r>
      <w:r w:rsidRPr="00C65A43">
        <w:rPr>
          <w:sz w:val="20"/>
        </w:rPr>
        <w:t xml:space="preserve"> [online document], (June 2022) </w:t>
      </w:r>
      <w:hyperlink r:id="rId35" w:history="1">
        <w:r w:rsidRPr="00D53F28">
          <w:rPr>
            <w:rStyle w:val="Hyperlink"/>
            <w:sz w:val="20"/>
          </w:rPr>
          <w:t>https://www.pmc.gov.au/</w:t>
        </w:r>
        <w:r w:rsidR="00C65A43" w:rsidRPr="00D53F28">
          <w:rPr>
            <w:rStyle w:val="Hyperlink"/>
            <w:sz w:val="20"/>
          </w:rPr>
          <w:br/>
        </w:r>
        <w:r w:rsidRPr="00D53F28">
          <w:rPr>
            <w:rStyle w:val="Hyperlink"/>
            <w:sz w:val="20"/>
          </w:rPr>
          <w:t>sites/default/files/publications/code-of-conduct-for-ministers.pdf</w:t>
        </w:r>
      </w:hyperlink>
      <w:r w:rsidRPr="00C65A43">
        <w:rPr>
          <w:sz w:val="20"/>
        </w:rPr>
        <w:t>, accessed 21 September 2022.</w:t>
      </w:r>
    </w:p>
    <w:p w14:paraId="51E8D39F" w14:textId="7990359B" w:rsidR="00C3391B" w:rsidRPr="00C65A43" w:rsidRDefault="00C3391B" w:rsidP="00C3391B">
      <w:pPr>
        <w:rPr>
          <w:sz w:val="20"/>
        </w:rPr>
      </w:pPr>
      <w:r w:rsidRPr="00C65A43">
        <w:rPr>
          <w:sz w:val="20"/>
        </w:rPr>
        <w:t xml:space="preserve">Australian Government Security Vetting Agency, </w:t>
      </w:r>
      <w:r w:rsidRPr="00C65A43">
        <w:rPr>
          <w:i/>
          <w:sz w:val="20"/>
        </w:rPr>
        <w:t>About Security Clearances - the vetting assessment</w:t>
      </w:r>
      <w:r>
        <w:rPr>
          <w:sz w:val="20"/>
        </w:rPr>
        <w:t xml:space="preserve"> [website], (no</w:t>
      </w:r>
      <w:r w:rsidR="00C65A43">
        <w:rPr>
          <w:sz w:val="20"/>
        </w:rPr>
        <w:t> </w:t>
      </w:r>
      <w:r w:rsidRPr="00C65A43">
        <w:rPr>
          <w:sz w:val="20"/>
        </w:rPr>
        <w:t xml:space="preserve">date) </w:t>
      </w:r>
      <w:hyperlink r:id="rId36" w:anchor="eligibility" w:history="1">
        <w:r w:rsidRPr="00C65A43">
          <w:rPr>
            <w:rStyle w:val="Hyperlink"/>
            <w:sz w:val="20"/>
          </w:rPr>
          <w:t>https://www.defence.gov.au/security/clearances/about/vetting-assessment#eligibility</w:t>
        </w:r>
      </w:hyperlink>
      <w:r w:rsidRPr="00C65A43">
        <w:rPr>
          <w:sz w:val="20"/>
        </w:rPr>
        <w:t>, accessed 27 September 2022</w:t>
      </w:r>
    </w:p>
    <w:p w14:paraId="190708F3" w14:textId="1A9BE0EF" w:rsidR="004C0735" w:rsidRPr="00C65A43" w:rsidRDefault="004C0735" w:rsidP="004C0735">
      <w:pPr>
        <w:rPr>
          <w:sz w:val="20"/>
        </w:rPr>
      </w:pPr>
      <w:r w:rsidRPr="00C65A43">
        <w:rPr>
          <w:sz w:val="20"/>
        </w:rPr>
        <w:t xml:space="preserve">Australian Human Rights Commission, </w:t>
      </w:r>
      <w:r w:rsidRPr="00C65A43">
        <w:rPr>
          <w:i/>
          <w:sz w:val="20"/>
        </w:rPr>
        <w:t>On the Record: Guidelines for the prevention of discrimination in employment on the basis of criminal record</w:t>
      </w:r>
      <w:r w:rsidRPr="00C65A43">
        <w:rPr>
          <w:sz w:val="20"/>
        </w:rPr>
        <w:t xml:space="preserve"> (2012) </w:t>
      </w:r>
      <w:hyperlink r:id="rId37" w:history="1">
        <w:r w:rsidRPr="00D53F28">
          <w:rPr>
            <w:rStyle w:val="Hyperlink"/>
            <w:sz w:val="20"/>
          </w:rPr>
          <w:t>https://humanrights.gov.au/sites/default/files/content/human_rights/</w:t>
        </w:r>
        <w:r w:rsidR="00C65A43" w:rsidRPr="00D53F28">
          <w:rPr>
            <w:rStyle w:val="Hyperlink"/>
            <w:sz w:val="20"/>
          </w:rPr>
          <w:br/>
        </w:r>
        <w:r w:rsidRPr="00D53F28">
          <w:rPr>
            <w:rStyle w:val="Hyperlink"/>
            <w:sz w:val="20"/>
          </w:rPr>
          <w:t>criminalrecord/on_the_record/download/otr_guidelines.pdf</w:t>
        </w:r>
      </w:hyperlink>
      <w:r w:rsidRPr="00C65A43">
        <w:rPr>
          <w:sz w:val="20"/>
        </w:rPr>
        <w:t>, accessed 19 August 2022</w:t>
      </w:r>
    </w:p>
    <w:p w14:paraId="16717403" w14:textId="442A5ADB" w:rsidR="00626C59" w:rsidRPr="00C65A43" w:rsidRDefault="00626C59" w:rsidP="00626C59">
      <w:pPr>
        <w:rPr>
          <w:sz w:val="20"/>
        </w:rPr>
      </w:pPr>
      <w:r w:rsidRPr="00C65A43">
        <w:rPr>
          <w:sz w:val="20"/>
        </w:rPr>
        <w:t xml:space="preserve">Australian Human Rights Commission, </w:t>
      </w:r>
      <w:r w:rsidRPr="00C65A43">
        <w:rPr>
          <w:i/>
          <w:sz w:val="20"/>
        </w:rPr>
        <w:t>Set the Standard: Report on the Independent Review into Commonwealth Parliamentary Workplaces</w:t>
      </w:r>
      <w:r w:rsidRPr="00C65A43">
        <w:rPr>
          <w:sz w:val="20"/>
        </w:rPr>
        <w:t xml:space="preserve"> (2021), </w:t>
      </w:r>
      <w:hyperlink r:id="rId38" w:history="1">
        <w:r w:rsidRPr="00D53F28">
          <w:rPr>
            <w:rStyle w:val="Hyperlink"/>
            <w:sz w:val="20"/>
          </w:rPr>
          <w:t>https://humanrights.gov.au/sites/default/files/document/publication/ahrc_set</w:t>
        </w:r>
        <w:r w:rsidR="00C65A43" w:rsidRPr="00D53F28">
          <w:rPr>
            <w:rStyle w:val="Hyperlink"/>
            <w:sz w:val="20"/>
          </w:rPr>
          <w:br/>
        </w:r>
        <w:r w:rsidRPr="00D53F28">
          <w:rPr>
            <w:rStyle w:val="Hyperlink"/>
            <w:sz w:val="20"/>
          </w:rPr>
          <w:t>_the_standard_2021.pdf</w:t>
        </w:r>
      </w:hyperlink>
      <w:r w:rsidRPr="00C65A43">
        <w:rPr>
          <w:sz w:val="20"/>
        </w:rPr>
        <w:t>, accessed 30 September 2022</w:t>
      </w:r>
    </w:p>
    <w:p w14:paraId="5256D83E" w14:textId="77777777" w:rsidR="00626C59" w:rsidRPr="00C65A43" w:rsidRDefault="00626C59" w:rsidP="00626C59">
      <w:pPr>
        <w:rPr>
          <w:sz w:val="20"/>
        </w:rPr>
      </w:pPr>
      <w:r w:rsidRPr="00C65A43">
        <w:rPr>
          <w:sz w:val="20"/>
        </w:rPr>
        <w:t xml:space="preserve">Australian Law Reform Commission, </w:t>
      </w:r>
      <w:r w:rsidRPr="00C65A43">
        <w:rPr>
          <w:i/>
          <w:sz w:val="20"/>
        </w:rPr>
        <w:t>Traditional Rights and Freedoms – Encroachment by Commonwealth Laws</w:t>
      </w:r>
      <w:r w:rsidRPr="00C65A43">
        <w:rPr>
          <w:sz w:val="20"/>
        </w:rPr>
        <w:t>, ALRC Report 129 (2016)</w:t>
      </w:r>
    </w:p>
    <w:p w14:paraId="78D9B4E5" w14:textId="409FB416" w:rsidR="00626C59" w:rsidRPr="00C65A43" w:rsidRDefault="00626C59" w:rsidP="00626C59">
      <w:pPr>
        <w:rPr>
          <w:sz w:val="20"/>
        </w:rPr>
      </w:pPr>
      <w:r w:rsidRPr="00C65A43">
        <w:rPr>
          <w:sz w:val="20"/>
        </w:rPr>
        <w:t xml:space="preserve">Australian National Audit Office, </w:t>
      </w:r>
      <w:r w:rsidRPr="00C65A43">
        <w:rPr>
          <w:i/>
          <w:sz w:val="20"/>
        </w:rPr>
        <w:t>Administration of Staff Employed Under the Members of Parliament (Staff) Act 1984¸</w:t>
      </w:r>
      <w:r w:rsidRPr="00C65A43">
        <w:rPr>
          <w:sz w:val="20"/>
        </w:rPr>
        <w:t xml:space="preserve"> Report No. 15 of 2003-04</w:t>
      </w:r>
      <w:r w:rsidRPr="00C65A43">
        <w:rPr>
          <w:i/>
          <w:sz w:val="20"/>
        </w:rPr>
        <w:t xml:space="preserve"> </w:t>
      </w:r>
      <w:r w:rsidRPr="00C65A43">
        <w:rPr>
          <w:sz w:val="20"/>
        </w:rPr>
        <w:t xml:space="preserve">(2003), </w:t>
      </w:r>
      <w:hyperlink r:id="rId39" w:history="1">
        <w:r w:rsidRPr="00C65A43">
          <w:rPr>
            <w:rStyle w:val="Hyperlink"/>
            <w:sz w:val="20"/>
          </w:rPr>
          <w:t>https://www.anao.gov.au/work/performance-audit/administration-staff-employed-under-members-parliament-staff-act-1984</w:t>
        </w:r>
      </w:hyperlink>
      <w:r w:rsidRPr="00C65A43">
        <w:rPr>
          <w:sz w:val="20"/>
        </w:rPr>
        <w:t>, accessed on 30 September 2022</w:t>
      </w:r>
    </w:p>
    <w:p w14:paraId="3A070487" w14:textId="200DBD7C" w:rsidR="004C0735" w:rsidRPr="00C65A43" w:rsidRDefault="004C0735" w:rsidP="004C0735">
      <w:pPr>
        <w:rPr>
          <w:sz w:val="20"/>
        </w:rPr>
      </w:pPr>
      <w:r w:rsidRPr="00C65A43">
        <w:rPr>
          <w:sz w:val="20"/>
        </w:rPr>
        <w:t xml:space="preserve">Australian National University, </w:t>
      </w:r>
      <w:r w:rsidRPr="00C65A43">
        <w:rPr>
          <w:i/>
          <w:sz w:val="20"/>
        </w:rPr>
        <w:t>Merit-based selection</w:t>
      </w:r>
      <w:r w:rsidRPr="00C65A43">
        <w:rPr>
          <w:sz w:val="20"/>
        </w:rPr>
        <w:t xml:space="preserve"> [website], (not dated) </w:t>
      </w:r>
      <w:hyperlink r:id="rId40" w:history="1">
        <w:r w:rsidRPr="00C65A43">
          <w:rPr>
            <w:rStyle w:val="Hyperlink"/>
            <w:sz w:val="20"/>
          </w:rPr>
          <w:t>https://services.anu.edu.au/human-resources/recruit/merit-based-selection</w:t>
        </w:r>
      </w:hyperlink>
      <w:r w:rsidRPr="00C65A43">
        <w:rPr>
          <w:sz w:val="20"/>
        </w:rPr>
        <w:t>, accessed 9 September 2022</w:t>
      </w:r>
    </w:p>
    <w:p w14:paraId="232ADD96" w14:textId="6C82FD8B" w:rsidR="004C0735" w:rsidRPr="00C65A43" w:rsidRDefault="004C0735" w:rsidP="004C0735">
      <w:pPr>
        <w:rPr>
          <w:sz w:val="20"/>
        </w:rPr>
      </w:pPr>
      <w:r w:rsidRPr="00C65A43">
        <w:rPr>
          <w:sz w:val="20"/>
        </w:rPr>
        <w:t xml:space="preserve">Australian Public Service Commission, </w:t>
      </w:r>
      <w:r w:rsidRPr="00C65A43">
        <w:rPr>
          <w:i/>
          <w:sz w:val="20"/>
        </w:rPr>
        <w:t>APS Employment Data 30 June 2022</w:t>
      </w:r>
      <w:r w:rsidRPr="00C65A43">
        <w:rPr>
          <w:sz w:val="20"/>
        </w:rPr>
        <w:t xml:space="preserve"> [website], (29 August 2022) </w:t>
      </w:r>
      <w:hyperlink r:id="rId41" w:history="1">
        <w:r w:rsidRPr="00C65A43">
          <w:rPr>
            <w:rStyle w:val="Hyperlink"/>
            <w:sz w:val="20"/>
          </w:rPr>
          <w:t>https://www.apsc.gov.au/employment-data/aps-employment-data-30-june-2022</w:t>
        </w:r>
      </w:hyperlink>
      <w:r w:rsidRPr="00C65A43">
        <w:rPr>
          <w:sz w:val="20"/>
        </w:rPr>
        <w:t>, accessed 2 September 2022.</w:t>
      </w:r>
    </w:p>
    <w:p w14:paraId="70BC01D8" w14:textId="7CC4C87A" w:rsidR="00F8067C" w:rsidRPr="00C65A43" w:rsidRDefault="00F8067C" w:rsidP="00F8067C">
      <w:pPr>
        <w:rPr>
          <w:sz w:val="20"/>
        </w:rPr>
      </w:pPr>
      <w:r w:rsidRPr="00C65A43">
        <w:rPr>
          <w:sz w:val="20"/>
        </w:rPr>
        <w:t xml:space="preserve">Australian Public Service Commission, </w:t>
      </w:r>
      <w:r w:rsidRPr="00C65A43">
        <w:rPr>
          <w:i/>
          <w:sz w:val="20"/>
        </w:rPr>
        <w:t>APS Values, Code of Conduct and Employment Principles</w:t>
      </w:r>
      <w:r>
        <w:rPr>
          <w:sz w:val="20"/>
        </w:rPr>
        <w:t xml:space="preserve"> [website], (13</w:t>
      </w:r>
      <w:r w:rsidR="00C65A43">
        <w:rPr>
          <w:sz w:val="20"/>
        </w:rPr>
        <w:t> </w:t>
      </w:r>
      <w:r w:rsidRPr="00C65A43">
        <w:rPr>
          <w:sz w:val="20"/>
        </w:rPr>
        <w:t xml:space="preserve">December 2021) </w:t>
      </w:r>
      <w:hyperlink r:id="rId42" w:history="1">
        <w:r w:rsidRPr="00C65A43">
          <w:rPr>
            <w:rStyle w:val="Hyperlink"/>
            <w:sz w:val="20"/>
          </w:rPr>
          <w:t>https://www.apsc.gov.au/working-aps/integrity/integrity-resources/aps-values-code-conduct-and-employment-principles</w:t>
        </w:r>
      </w:hyperlink>
      <w:r w:rsidRPr="00C65A43">
        <w:rPr>
          <w:sz w:val="20"/>
        </w:rPr>
        <w:t>, accessed 22 September 2022.</w:t>
      </w:r>
    </w:p>
    <w:p w14:paraId="587D1633" w14:textId="0A6CD0F2" w:rsidR="002C1B92" w:rsidRPr="00C65A43" w:rsidRDefault="002C1B92" w:rsidP="00F8067C">
      <w:pPr>
        <w:rPr>
          <w:sz w:val="20"/>
        </w:rPr>
      </w:pPr>
      <w:r w:rsidRPr="00C65A43">
        <w:rPr>
          <w:sz w:val="20"/>
        </w:rPr>
        <w:t xml:space="preserve">Australian Public Service Commission, ‘Chapter 8: Remuneration by gender’, </w:t>
      </w:r>
      <w:r w:rsidRPr="00C65A43">
        <w:rPr>
          <w:i/>
          <w:sz w:val="20"/>
        </w:rPr>
        <w:t xml:space="preserve">Australian Public Service Remuneration Report 2021 </w:t>
      </w:r>
      <w:r w:rsidRPr="00C65A43">
        <w:rPr>
          <w:sz w:val="20"/>
        </w:rPr>
        <w:t xml:space="preserve">[website], (18 August 2021) </w:t>
      </w:r>
      <w:hyperlink r:id="rId43" w:anchor=":~:text=In%202021%2C%20the%20average%20Base,since%202017%20(Figure%208.2)" w:history="1">
        <w:r w:rsidRPr="00D53F28">
          <w:rPr>
            <w:rStyle w:val="Hyperlink"/>
            <w:sz w:val="20"/>
          </w:rPr>
          <w:t>https://www.apsc.gov.au/remuneration-reports/australian-public-service-remuneration-report-2021/chapter-8-remuneration-gender#:~:text=In%202021%2C%20the%20average%</w:t>
        </w:r>
        <w:r w:rsidR="00C65A43" w:rsidRPr="00D53F28">
          <w:rPr>
            <w:rStyle w:val="Hyperlink"/>
            <w:sz w:val="20"/>
          </w:rPr>
          <w:t>20Ba</w:t>
        </w:r>
        <w:r w:rsidR="00C65A43" w:rsidRPr="00D53F28">
          <w:rPr>
            <w:rStyle w:val="Hyperlink"/>
            <w:sz w:val="20"/>
          </w:rPr>
          <w:br/>
          <w:t>se</w:t>
        </w:r>
        <w:r w:rsidRPr="00D53F28">
          <w:rPr>
            <w:rStyle w:val="Hyperlink"/>
            <w:sz w:val="20"/>
          </w:rPr>
          <w:t>,since%202017%20(Figure%208.2)</w:t>
        </w:r>
      </w:hyperlink>
      <w:r w:rsidRPr="00C65A43">
        <w:rPr>
          <w:sz w:val="20"/>
        </w:rPr>
        <w:t xml:space="preserve"> accessed 27 September 2022</w:t>
      </w:r>
    </w:p>
    <w:p w14:paraId="41E1DF6C" w14:textId="3409B360" w:rsidR="00F8067C" w:rsidRPr="00C65A43" w:rsidRDefault="00F8067C" w:rsidP="00F8067C">
      <w:pPr>
        <w:rPr>
          <w:sz w:val="20"/>
        </w:rPr>
      </w:pPr>
      <w:r w:rsidRPr="00C65A43">
        <w:rPr>
          <w:sz w:val="20"/>
        </w:rPr>
        <w:t xml:space="preserve">Australian Public Service Commission, </w:t>
      </w:r>
      <w:r w:rsidRPr="00C65A43">
        <w:rPr>
          <w:i/>
          <w:sz w:val="20"/>
        </w:rPr>
        <w:t xml:space="preserve">Citizenship in the APS </w:t>
      </w:r>
      <w:r w:rsidRPr="00C65A43">
        <w:rPr>
          <w:sz w:val="20"/>
        </w:rPr>
        <w:t xml:space="preserve">[website], (6 May 2021) </w:t>
      </w:r>
      <w:hyperlink r:id="rId44" w:history="1">
        <w:r w:rsidRPr="00D53F28">
          <w:rPr>
            <w:rStyle w:val="Hyperlink"/>
            <w:sz w:val="20"/>
          </w:rPr>
          <w:t>https://www.apsc.gov.au/working-aps/aps-employees-and-managers/guidance-and-information-recruitment/</w:t>
        </w:r>
        <w:r w:rsidR="00C65A43" w:rsidRPr="00D53F28">
          <w:rPr>
            <w:rStyle w:val="Hyperlink"/>
            <w:sz w:val="20"/>
          </w:rPr>
          <w:br/>
        </w:r>
        <w:r w:rsidRPr="00D53F28">
          <w:rPr>
            <w:rStyle w:val="Hyperlink"/>
            <w:sz w:val="20"/>
          </w:rPr>
          <w:t>citizenship-aps</w:t>
        </w:r>
      </w:hyperlink>
      <w:r w:rsidRPr="00C65A43">
        <w:rPr>
          <w:sz w:val="20"/>
        </w:rPr>
        <w:t>, accessed 26 August 2022</w:t>
      </w:r>
    </w:p>
    <w:p w14:paraId="312F5A7A" w14:textId="77777777" w:rsidR="00F8067C" w:rsidRPr="00C65A43" w:rsidRDefault="00F8067C" w:rsidP="00F8067C">
      <w:pPr>
        <w:rPr>
          <w:sz w:val="20"/>
        </w:rPr>
      </w:pPr>
      <w:r w:rsidRPr="00C65A43">
        <w:rPr>
          <w:sz w:val="20"/>
        </w:rPr>
        <w:t xml:space="preserve">Australian Public Service Commission, </w:t>
      </w:r>
      <w:r w:rsidRPr="00C65A43">
        <w:rPr>
          <w:i/>
          <w:sz w:val="20"/>
        </w:rPr>
        <w:t>Conditions of Engagement</w:t>
      </w:r>
      <w:r w:rsidRPr="00C65A43">
        <w:rPr>
          <w:sz w:val="20"/>
        </w:rPr>
        <w:t xml:space="preserve"> [website], (2021) </w:t>
      </w:r>
      <w:hyperlink r:id="rId45" w:history="1">
        <w:r w:rsidRPr="00D53F28">
          <w:rPr>
            <w:rStyle w:val="Hyperlink"/>
            <w:sz w:val="20"/>
          </w:rPr>
          <w:t>https://www.apsc.gov.au/working-aps/aps-employees-and-managers/guidance-and-information-recruitment/conditions-engagement</w:t>
        </w:r>
      </w:hyperlink>
      <w:r w:rsidRPr="00C65A43">
        <w:rPr>
          <w:sz w:val="20"/>
        </w:rPr>
        <w:t>, accessed 5 September 2022</w:t>
      </w:r>
    </w:p>
    <w:p w14:paraId="5A4AD32E" w14:textId="77777777" w:rsidR="0040281E" w:rsidRPr="00C65A43" w:rsidRDefault="0040281E" w:rsidP="0040281E">
      <w:pPr>
        <w:rPr>
          <w:sz w:val="20"/>
        </w:rPr>
      </w:pPr>
      <w:r w:rsidRPr="00C65A43">
        <w:rPr>
          <w:sz w:val="20"/>
        </w:rPr>
        <w:t xml:space="preserve">Australian Public Service Commission </w:t>
      </w:r>
      <w:r w:rsidRPr="00C65A43">
        <w:rPr>
          <w:i/>
          <w:sz w:val="20"/>
        </w:rPr>
        <w:t>Fact sheet: Procedural fairness in breach decision-making</w:t>
      </w:r>
      <w:r w:rsidRPr="00C65A43">
        <w:rPr>
          <w:sz w:val="20"/>
        </w:rPr>
        <w:t xml:space="preserve"> [online document], (2022) </w:t>
      </w:r>
      <w:hyperlink r:id="rId46" w:anchor=":~:text=Procedural%20fairness%20requires%20the%20person,reasonable%20opportunity%20given%20the%20circumstances" w:history="1">
        <w:r w:rsidRPr="00C65A43">
          <w:rPr>
            <w:rStyle w:val="Hyperlink"/>
            <w:sz w:val="20"/>
          </w:rPr>
          <w:t>https://www.apsc.gov.au/fact-sheet/fact-sheet-procedural-fairness-breach-decision-making#:~:text=Procedural%20fairness%20requires%20the%20person,reasonable%20opportunity%20given%20the%20circumstances</w:t>
        </w:r>
      </w:hyperlink>
      <w:r w:rsidRPr="00C65A43">
        <w:rPr>
          <w:sz w:val="20"/>
        </w:rPr>
        <w:t>, accessed 16 September 2022</w:t>
      </w:r>
    </w:p>
    <w:p w14:paraId="085D745C" w14:textId="77777777" w:rsidR="002C1B92" w:rsidRPr="00C65A43" w:rsidRDefault="002C1B92" w:rsidP="002C1B92">
      <w:pPr>
        <w:rPr>
          <w:sz w:val="20"/>
        </w:rPr>
      </w:pPr>
      <w:r w:rsidRPr="00C65A43">
        <w:rPr>
          <w:sz w:val="20"/>
        </w:rPr>
        <w:t xml:space="preserve">Australian Public Service Commission, </w:t>
      </w:r>
      <w:r w:rsidRPr="00C65A43">
        <w:rPr>
          <w:i/>
          <w:sz w:val="20"/>
        </w:rPr>
        <w:t xml:space="preserve">State of the Service Report 2020-21 – Reform in the shadow of COVID </w:t>
      </w:r>
      <w:r w:rsidRPr="00C65A43">
        <w:rPr>
          <w:sz w:val="20"/>
        </w:rPr>
        <w:t xml:space="preserve">[online document], (2021) </w:t>
      </w:r>
      <w:hyperlink r:id="rId47" w:history="1">
        <w:r w:rsidRPr="00C65A43">
          <w:rPr>
            <w:rStyle w:val="Hyperlink"/>
            <w:sz w:val="20"/>
          </w:rPr>
          <w:t>https://www.apsc.gov.au/sites/default/files/2021-11/APSC-State-of-the-Service-Report-202021.pdf</w:t>
        </w:r>
      </w:hyperlink>
      <w:r w:rsidRPr="00C65A43">
        <w:rPr>
          <w:rStyle w:val="Hyperlink"/>
          <w:sz w:val="20"/>
        </w:rPr>
        <w:t>,</w:t>
      </w:r>
      <w:r w:rsidRPr="00C65A43">
        <w:rPr>
          <w:sz w:val="20"/>
        </w:rPr>
        <w:t xml:space="preserve"> accessed 16 September 2022.</w:t>
      </w:r>
    </w:p>
    <w:p w14:paraId="785C1C2B" w14:textId="2CE35651" w:rsidR="00626C59" w:rsidRPr="00C65A43" w:rsidRDefault="004C0735" w:rsidP="00626C59">
      <w:pPr>
        <w:rPr>
          <w:sz w:val="20"/>
        </w:rPr>
      </w:pPr>
      <w:r w:rsidRPr="00C65A43">
        <w:rPr>
          <w:sz w:val="20"/>
        </w:rPr>
        <w:t xml:space="preserve">Australian Public Service Commission, </w:t>
      </w:r>
      <w:r w:rsidRPr="00C65A43">
        <w:rPr>
          <w:i/>
          <w:sz w:val="20"/>
        </w:rPr>
        <w:t xml:space="preserve">Workforce Planning Resources </w:t>
      </w:r>
      <w:r w:rsidRPr="00C65A43">
        <w:rPr>
          <w:sz w:val="20"/>
        </w:rPr>
        <w:t xml:space="preserve">[website] (28 September 2022) </w:t>
      </w:r>
      <w:hyperlink r:id="rId48" w:anchor="aps-workforce-planning" w:history="1">
        <w:r w:rsidRPr="00C65A43">
          <w:rPr>
            <w:rStyle w:val="Hyperlink"/>
            <w:sz w:val="20"/>
          </w:rPr>
          <w:t>https://www.apsc.gov.au/initiatives-and-programs/aps-workforce-strategy-2025/workforce-planning-resources#aps-workforce-planning</w:t>
        </w:r>
      </w:hyperlink>
      <w:r w:rsidRPr="00C65A43">
        <w:rPr>
          <w:sz w:val="20"/>
        </w:rPr>
        <w:t>, accessed 28 September 2022.</w:t>
      </w:r>
    </w:p>
    <w:p w14:paraId="08D459E1" w14:textId="4CCEC636" w:rsidR="00626C59" w:rsidRPr="00C65A43" w:rsidRDefault="004C0735" w:rsidP="00626C59">
      <w:pPr>
        <w:rPr>
          <w:sz w:val="20"/>
        </w:rPr>
      </w:pPr>
      <w:r w:rsidRPr="00C65A43">
        <w:rPr>
          <w:sz w:val="20"/>
        </w:rPr>
        <w:t xml:space="preserve">Bennett, </w:t>
      </w:r>
      <w:r w:rsidR="00800A9D" w:rsidRPr="00C65A43">
        <w:rPr>
          <w:sz w:val="20"/>
        </w:rPr>
        <w:t>Bob</w:t>
      </w:r>
      <w:r w:rsidRPr="00C65A43">
        <w:rPr>
          <w:sz w:val="20"/>
        </w:rPr>
        <w:t xml:space="preserve">, Submission No E31 to Australian Human Rights Commission, </w:t>
      </w:r>
      <w:r w:rsidRPr="00C65A43">
        <w:rPr>
          <w:i/>
          <w:sz w:val="20"/>
        </w:rPr>
        <w:t xml:space="preserve">Independent Review into Commonwealth Parliamentary Workplaces </w:t>
      </w:r>
      <w:r w:rsidRPr="00C65A43">
        <w:rPr>
          <w:sz w:val="20"/>
        </w:rPr>
        <w:t>(30 July 2021)</w:t>
      </w:r>
    </w:p>
    <w:p w14:paraId="3351BF4A" w14:textId="4F963631" w:rsidR="004C0735" w:rsidRPr="00C65A43" w:rsidRDefault="004C0735" w:rsidP="004C0735">
      <w:pPr>
        <w:rPr>
          <w:sz w:val="20"/>
        </w:rPr>
      </w:pPr>
      <w:r w:rsidRPr="00C65A43">
        <w:rPr>
          <w:sz w:val="20"/>
        </w:rPr>
        <w:t xml:space="preserve">Civil Service Commission (UK), </w:t>
      </w:r>
      <w:r w:rsidRPr="00C65A43">
        <w:rPr>
          <w:i/>
          <w:sz w:val="20"/>
        </w:rPr>
        <w:t>Recruitment Principles</w:t>
      </w:r>
      <w:r w:rsidRPr="00C65A43">
        <w:rPr>
          <w:sz w:val="20"/>
        </w:rPr>
        <w:t xml:space="preserve"> [</w:t>
      </w:r>
      <w:r w:rsidR="008602D4">
        <w:rPr>
          <w:sz w:val="20"/>
        </w:rPr>
        <w:t>online document</w:t>
      </w:r>
      <w:r w:rsidRPr="00C65A43">
        <w:rPr>
          <w:sz w:val="20"/>
        </w:rPr>
        <w:t xml:space="preserve">], (April 2018) </w:t>
      </w:r>
      <w:hyperlink r:id="rId49" w:history="1">
        <w:r w:rsidRPr="00D53F28">
          <w:rPr>
            <w:rStyle w:val="Hyperlink"/>
            <w:sz w:val="20"/>
          </w:rPr>
          <w:t>https://civilservicecommission.</w:t>
        </w:r>
        <w:r w:rsidR="008602D4" w:rsidRPr="009D75A3">
          <w:rPr>
            <w:rStyle w:val="Hyperlink"/>
            <w:sz w:val="20"/>
          </w:rPr>
          <w:br/>
          <w:t>independent</w:t>
        </w:r>
        <w:r w:rsidRPr="00D53F28">
          <w:rPr>
            <w:rStyle w:val="Hyperlink"/>
            <w:sz w:val="20"/>
          </w:rPr>
          <w:t>.gov.uk/wp-content/uploads/2019/03/02a_RECRUITMENT-PRINCIPLES-April-2018-FINAL-.pdf</w:t>
        </w:r>
      </w:hyperlink>
      <w:r>
        <w:rPr>
          <w:sz w:val="20"/>
        </w:rPr>
        <w:t>, accessed 10</w:t>
      </w:r>
      <w:r w:rsidR="003A0047">
        <w:rPr>
          <w:sz w:val="20"/>
        </w:rPr>
        <w:t> </w:t>
      </w:r>
      <w:r w:rsidRPr="00C65A43">
        <w:rPr>
          <w:sz w:val="20"/>
        </w:rPr>
        <w:t>September 2022</w:t>
      </w:r>
    </w:p>
    <w:p w14:paraId="6ECA33CF" w14:textId="2239FE00" w:rsidR="00382776" w:rsidRPr="00C65A43" w:rsidRDefault="00382776" w:rsidP="00382776">
      <w:pPr>
        <w:rPr>
          <w:sz w:val="20"/>
        </w:rPr>
      </w:pPr>
      <w:r w:rsidRPr="00C65A43">
        <w:rPr>
          <w:sz w:val="20"/>
        </w:rPr>
        <w:t>Comcare, Submission No 7 to Joint Select Committee on Parliamentary Standards, Parliament of Australia (no date</w:t>
      </w:r>
      <w:r w:rsidR="00EE156C" w:rsidRPr="00C65A43">
        <w:rPr>
          <w:sz w:val="20"/>
        </w:rPr>
        <w:t>)</w:t>
      </w:r>
    </w:p>
    <w:p w14:paraId="1D001186" w14:textId="0CB9C170" w:rsidR="00EE156C" w:rsidRPr="00C65A43" w:rsidRDefault="00EE156C" w:rsidP="00382776">
      <w:pPr>
        <w:rPr>
          <w:sz w:val="20"/>
        </w:rPr>
      </w:pPr>
      <w:r w:rsidRPr="00C65A43">
        <w:rPr>
          <w:sz w:val="20"/>
        </w:rPr>
        <w:t xml:space="preserve">Commonwealth, </w:t>
      </w:r>
      <w:r w:rsidRPr="00C65A43">
        <w:rPr>
          <w:i/>
          <w:sz w:val="20"/>
        </w:rPr>
        <w:t xml:space="preserve">Parliamentary Debates, </w:t>
      </w:r>
      <w:r w:rsidRPr="00C65A43">
        <w:rPr>
          <w:sz w:val="20"/>
        </w:rPr>
        <w:t>House of Representatives, 9 May 1984</w:t>
      </w:r>
    </w:p>
    <w:p w14:paraId="6155D12F" w14:textId="4E4D9FF8" w:rsidR="00452F29" w:rsidRPr="00C65A43" w:rsidRDefault="00452F29" w:rsidP="00382776">
      <w:pPr>
        <w:rPr>
          <w:sz w:val="20"/>
        </w:rPr>
      </w:pPr>
      <w:r w:rsidRPr="00C65A43">
        <w:rPr>
          <w:sz w:val="20"/>
        </w:rPr>
        <w:t xml:space="preserve">Commonwealth, </w:t>
      </w:r>
      <w:r w:rsidRPr="00C65A43">
        <w:rPr>
          <w:i/>
          <w:sz w:val="20"/>
        </w:rPr>
        <w:t>Parliamentary Debates</w:t>
      </w:r>
      <w:r w:rsidR="0096582B" w:rsidRPr="00C65A43">
        <w:rPr>
          <w:sz w:val="20"/>
        </w:rPr>
        <w:t>, Senate, 7 February 1995</w:t>
      </w:r>
    </w:p>
    <w:p w14:paraId="302236C1" w14:textId="52FD8C2D" w:rsidR="0096582B" w:rsidRPr="00C65A43" w:rsidRDefault="0096582B" w:rsidP="00382776">
      <w:pPr>
        <w:rPr>
          <w:sz w:val="20"/>
        </w:rPr>
      </w:pPr>
      <w:r w:rsidRPr="00C65A43">
        <w:rPr>
          <w:sz w:val="20"/>
        </w:rPr>
        <w:t xml:space="preserve">Commonwealth, </w:t>
      </w:r>
      <w:r w:rsidRPr="00C65A43">
        <w:rPr>
          <w:i/>
          <w:sz w:val="20"/>
        </w:rPr>
        <w:t>Parliamentary Debates</w:t>
      </w:r>
      <w:r w:rsidRPr="00C65A43">
        <w:rPr>
          <w:sz w:val="20"/>
        </w:rPr>
        <w:t>, Senate, 14 February 2019</w:t>
      </w:r>
    </w:p>
    <w:p w14:paraId="48618613" w14:textId="54DF8EEF" w:rsidR="00626C59" w:rsidRPr="00C65A43" w:rsidRDefault="00626C59" w:rsidP="00626C59">
      <w:pPr>
        <w:rPr>
          <w:sz w:val="20"/>
        </w:rPr>
      </w:pPr>
      <w:r w:rsidRPr="00C65A43">
        <w:rPr>
          <w:i/>
          <w:sz w:val="20"/>
        </w:rPr>
        <w:t>Commonwealth Members of Parliament Staff Enterprise Agreement 2020-23</w:t>
      </w:r>
      <w:r w:rsidRPr="00C65A43">
        <w:rPr>
          <w:sz w:val="20"/>
        </w:rPr>
        <w:t xml:space="preserve"> [online document], (3 August 2022) </w:t>
      </w:r>
      <w:hyperlink r:id="rId50" w:history="1">
        <w:r w:rsidRPr="00C65A43">
          <w:rPr>
            <w:rStyle w:val="Hyperlink"/>
            <w:sz w:val="20"/>
          </w:rPr>
          <w:t>https://maps.finance.gov.au/sites/default/files/2020-12/MOPS%20Enterprise%20Agreement%202020-23%20FINAL.pdf</w:t>
        </w:r>
      </w:hyperlink>
      <w:r w:rsidRPr="00C65A43">
        <w:rPr>
          <w:sz w:val="20"/>
        </w:rPr>
        <w:t>, accessed 27 September 2022</w:t>
      </w:r>
    </w:p>
    <w:p w14:paraId="17C45BE1" w14:textId="77777777" w:rsidR="0040281E" w:rsidRPr="00C65A43" w:rsidRDefault="0040281E" w:rsidP="0040281E">
      <w:pPr>
        <w:rPr>
          <w:sz w:val="20"/>
        </w:rPr>
      </w:pPr>
      <w:r w:rsidRPr="00C65A43">
        <w:rPr>
          <w:sz w:val="20"/>
        </w:rPr>
        <w:t xml:space="preserve">Commonwealth of Australia, </w:t>
      </w:r>
      <w:r w:rsidRPr="00C65A43">
        <w:rPr>
          <w:i/>
          <w:sz w:val="20"/>
        </w:rPr>
        <w:t>Gazette – FOI</w:t>
      </w:r>
      <w:r w:rsidRPr="00C65A43">
        <w:rPr>
          <w:sz w:val="20"/>
        </w:rPr>
        <w:t xml:space="preserve">, No. FOI22, 31 May 1985, 3, in Trove [online database] </w:t>
      </w:r>
      <w:hyperlink r:id="rId51" w:history="1">
        <w:r w:rsidRPr="00C65A43">
          <w:rPr>
            <w:rStyle w:val="Hyperlink"/>
            <w:sz w:val="20"/>
          </w:rPr>
          <w:t>https://trove.nla.gov.au/newspaper/article/245376240?searchTerm=%22members%20of%20parliament%20(staff)%20Act%201984%22</w:t>
        </w:r>
      </w:hyperlink>
      <w:r w:rsidRPr="00C65A43">
        <w:rPr>
          <w:rStyle w:val="Hyperlink"/>
          <w:sz w:val="20"/>
        </w:rPr>
        <w:t>,</w:t>
      </w:r>
      <w:r w:rsidRPr="00C65A43">
        <w:rPr>
          <w:sz w:val="20"/>
        </w:rPr>
        <w:t xml:space="preserve"> accessed at 20 September 2022</w:t>
      </w:r>
    </w:p>
    <w:p w14:paraId="44658DA1" w14:textId="0E2E2060" w:rsidR="00EF70FF" w:rsidRPr="00C65A43" w:rsidRDefault="00EF70FF" w:rsidP="009B164E">
      <w:pPr>
        <w:rPr>
          <w:sz w:val="20"/>
        </w:rPr>
      </w:pPr>
      <w:r w:rsidRPr="00C65A43">
        <w:rPr>
          <w:i/>
          <w:sz w:val="20"/>
        </w:rPr>
        <w:t>Constitutional Reform and Governance Act 2010</w:t>
      </w:r>
      <w:r w:rsidRPr="00C65A43">
        <w:rPr>
          <w:sz w:val="20"/>
        </w:rPr>
        <w:t xml:space="preserve"> (UK</w:t>
      </w:r>
      <w:r w:rsidR="0021705F" w:rsidRPr="00C65A43">
        <w:rPr>
          <w:sz w:val="20"/>
        </w:rPr>
        <w:t>)</w:t>
      </w:r>
    </w:p>
    <w:p w14:paraId="3743D403" w14:textId="77777777" w:rsidR="002C1B92" w:rsidRPr="00C65A43" w:rsidRDefault="002C1B92" w:rsidP="002C1B92">
      <w:pPr>
        <w:rPr>
          <w:sz w:val="20"/>
        </w:rPr>
      </w:pPr>
      <w:r w:rsidRPr="00C65A43">
        <w:rPr>
          <w:i/>
          <w:sz w:val="20"/>
        </w:rPr>
        <w:t>Cranitch v Commonwealth of Australia</w:t>
      </w:r>
      <w:r w:rsidRPr="00C65A43">
        <w:rPr>
          <w:sz w:val="20"/>
        </w:rPr>
        <w:t xml:space="preserve"> [1996] IRCA 386</w:t>
      </w:r>
    </w:p>
    <w:p w14:paraId="427DFD46" w14:textId="3C01C7B3" w:rsidR="00626C59" w:rsidRPr="00C65A43" w:rsidRDefault="00DC63D3" w:rsidP="009B164E">
      <w:pPr>
        <w:rPr>
          <w:sz w:val="20"/>
        </w:rPr>
      </w:pPr>
      <w:r w:rsidRPr="00C65A43">
        <w:rPr>
          <w:i/>
          <w:sz w:val="20"/>
        </w:rPr>
        <w:t>Criminal Code Act 1995</w:t>
      </w:r>
      <w:r w:rsidRPr="00C65A43">
        <w:rPr>
          <w:sz w:val="20"/>
        </w:rPr>
        <w:t xml:space="preserve"> (Cth)</w:t>
      </w:r>
    </w:p>
    <w:p w14:paraId="78575C8A" w14:textId="77777777" w:rsidR="0040281E" w:rsidRPr="00C65A43" w:rsidRDefault="0040281E" w:rsidP="0040281E">
      <w:pPr>
        <w:rPr>
          <w:sz w:val="20"/>
        </w:rPr>
      </w:pPr>
      <w:r w:rsidRPr="00C65A43">
        <w:rPr>
          <w:sz w:val="20"/>
        </w:rPr>
        <w:t xml:space="preserve">Department of Finance, </w:t>
      </w:r>
      <w:r w:rsidRPr="00C65A43">
        <w:rPr>
          <w:i/>
          <w:sz w:val="20"/>
        </w:rPr>
        <w:t>2020-2021 Annual Report: Ministerial consultants engaged under the Members of Parliament (Staff) Act 1984</w:t>
      </w:r>
      <w:r w:rsidRPr="00C65A43">
        <w:rPr>
          <w:sz w:val="20"/>
        </w:rPr>
        <w:t xml:space="preserve"> [online document], (no date) </w:t>
      </w:r>
      <w:hyperlink r:id="rId52" w:history="1">
        <w:r w:rsidRPr="00C65A43">
          <w:rPr>
            <w:rStyle w:val="Hyperlink"/>
            <w:sz w:val="20"/>
          </w:rPr>
          <w:t>https://www.finance.gov.au/sites/default/files/2021-11/2020-2021-annual-report.pdf</w:t>
        </w:r>
      </w:hyperlink>
      <w:r w:rsidRPr="00C65A43">
        <w:rPr>
          <w:sz w:val="20"/>
        </w:rPr>
        <w:t>, accessed 28 September 2022.</w:t>
      </w:r>
    </w:p>
    <w:p w14:paraId="10B0FB19" w14:textId="184ECEC2" w:rsidR="004C0735" w:rsidRPr="00C65A43" w:rsidRDefault="004C0735" w:rsidP="004C0735">
      <w:pPr>
        <w:rPr>
          <w:sz w:val="20"/>
        </w:rPr>
      </w:pPr>
      <w:r w:rsidRPr="00C65A43">
        <w:rPr>
          <w:sz w:val="20"/>
        </w:rPr>
        <w:t xml:space="preserve">Department of Finance, </w:t>
      </w:r>
      <w:r w:rsidRPr="00C65A43">
        <w:rPr>
          <w:i/>
          <w:sz w:val="20"/>
        </w:rPr>
        <w:t>Ceasing employment</w:t>
      </w:r>
      <w:r w:rsidRPr="00C65A43">
        <w:rPr>
          <w:sz w:val="20"/>
        </w:rPr>
        <w:t xml:space="preserve"> [website], (3 August 2022), </w:t>
      </w:r>
      <w:hyperlink r:id="rId53" w:history="1">
        <w:r w:rsidRPr="00C65A43">
          <w:rPr>
            <w:rStyle w:val="Hyperlink"/>
            <w:sz w:val="20"/>
          </w:rPr>
          <w:t>https://maps.finance.gov.au/pay-and-employment/mops-act-employment/ceasing-employment</w:t>
        </w:r>
      </w:hyperlink>
      <w:r w:rsidRPr="00C65A43">
        <w:rPr>
          <w:sz w:val="20"/>
        </w:rPr>
        <w:t>, accessed 27 September 2022</w:t>
      </w:r>
    </w:p>
    <w:p w14:paraId="44791A99" w14:textId="77777777" w:rsidR="0073724F" w:rsidRPr="00C65A43" w:rsidRDefault="0073724F" w:rsidP="0073724F">
      <w:pPr>
        <w:rPr>
          <w:sz w:val="20"/>
        </w:rPr>
      </w:pPr>
      <w:r w:rsidRPr="00C65A43">
        <w:rPr>
          <w:sz w:val="20"/>
        </w:rPr>
        <w:t xml:space="preserve">Department of Finance, </w:t>
      </w:r>
      <w:r w:rsidRPr="00C65A43">
        <w:rPr>
          <w:i/>
          <w:sz w:val="20"/>
        </w:rPr>
        <w:t xml:space="preserve">Employment instruments and authorisations </w:t>
      </w:r>
      <w:r w:rsidRPr="00C65A43">
        <w:rPr>
          <w:sz w:val="20"/>
        </w:rPr>
        <w:t xml:space="preserve">[website], [9 August 2022) </w:t>
      </w:r>
      <w:hyperlink r:id="rId54" w:history="1">
        <w:r w:rsidRPr="00C65A43">
          <w:rPr>
            <w:rStyle w:val="Hyperlink"/>
            <w:sz w:val="20"/>
          </w:rPr>
          <w:t>https://maps.finance.gov.au/pay-and-employment/mops-act-employment/employment-instruments-and-authorisations</w:t>
        </w:r>
      </w:hyperlink>
      <w:r w:rsidRPr="00C65A43">
        <w:rPr>
          <w:sz w:val="20"/>
        </w:rPr>
        <w:t>, accessed 30 September 2022</w:t>
      </w:r>
    </w:p>
    <w:p w14:paraId="7BCDC5AD" w14:textId="14A11F95" w:rsidR="00F8067C" w:rsidRPr="00C65A43" w:rsidRDefault="00F8067C" w:rsidP="00F8067C">
      <w:pPr>
        <w:rPr>
          <w:sz w:val="20"/>
        </w:rPr>
      </w:pPr>
      <w:r w:rsidRPr="00C65A43">
        <w:rPr>
          <w:sz w:val="20"/>
        </w:rPr>
        <w:t xml:space="preserve">Department of Finance, </w:t>
      </w:r>
      <w:r w:rsidRPr="00C65A43">
        <w:rPr>
          <w:i/>
          <w:sz w:val="20"/>
        </w:rPr>
        <w:t>Form 109: Employing an Ongoing Employe</w:t>
      </w:r>
      <w:r w:rsidRPr="00C65A43">
        <w:rPr>
          <w:sz w:val="20"/>
        </w:rPr>
        <w:t xml:space="preserve">e [online document], (August 2021) </w:t>
      </w:r>
      <w:hyperlink r:id="rId55" w:history="1">
        <w:r w:rsidRPr="00C65A43">
          <w:rPr>
            <w:rStyle w:val="Hyperlink"/>
            <w:sz w:val="20"/>
          </w:rPr>
          <w:t>https://maps.finance.gov.au/sites/default/files/2021-08/form_109_FINAL.pdf</w:t>
        </w:r>
      </w:hyperlink>
      <w:r w:rsidRPr="00C65A43">
        <w:rPr>
          <w:sz w:val="20"/>
        </w:rPr>
        <w:t>, accessed 26 August 2022</w:t>
      </w:r>
    </w:p>
    <w:p w14:paraId="20867506" w14:textId="2A62ABAA" w:rsidR="00F8067C" w:rsidRPr="00C65A43" w:rsidRDefault="00F8067C" w:rsidP="00F8067C">
      <w:pPr>
        <w:rPr>
          <w:sz w:val="20"/>
        </w:rPr>
      </w:pPr>
      <w:r w:rsidRPr="00C65A43">
        <w:rPr>
          <w:sz w:val="20"/>
        </w:rPr>
        <w:t xml:space="preserve">Department of Finance, </w:t>
      </w:r>
      <w:r w:rsidRPr="00C65A43">
        <w:rPr>
          <w:i/>
          <w:sz w:val="20"/>
        </w:rPr>
        <w:t>Guide to Recruiting</w:t>
      </w:r>
      <w:r w:rsidRPr="00C65A43">
        <w:rPr>
          <w:sz w:val="20"/>
        </w:rPr>
        <w:t xml:space="preserve"> [online document], (undated) </w:t>
      </w:r>
      <w:hyperlink r:id="rId56" w:history="1">
        <w:r w:rsidRPr="00C65A43">
          <w:rPr>
            <w:rStyle w:val="Hyperlink"/>
            <w:sz w:val="20"/>
          </w:rPr>
          <w:t>https://maps.finance.gov.au/sites/default/files/2022-06/Guide%20to%20Recruiting.pdf</w:t>
        </w:r>
      </w:hyperlink>
      <w:r w:rsidRPr="00C65A43">
        <w:rPr>
          <w:sz w:val="20"/>
        </w:rPr>
        <w:t>, accessed 16 September 2022</w:t>
      </w:r>
    </w:p>
    <w:p w14:paraId="3CE4BAF9" w14:textId="248BEE67" w:rsidR="0040281E" w:rsidRPr="00C65A43" w:rsidRDefault="0040281E" w:rsidP="0040281E">
      <w:pPr>
        <w:rPr>
          <w:sz w:val="20"/>
        </w:rPr>
      </w:pPr>
      <w:r w:rsidRPr="00C65A43">
        <w:rPr>
          <w:sz w:val="20"/>
        </w:rPr>
        <w:t xml:space="preserve">Department of Finance, </w:t>
      </w:r>
      <w:r w:rsidRPr="00C65A43">
        <w:rPr>
          <w:i/>
          <w:sz w:val="20"/>
        </w:rPr>
        <w:t xml:space="preserve">MoP(S) Act </w:t>
      </w:r>
      <w:r w:rsidR="00534587">
        <w:rPr>
          <w:i/>
          <w:sz w:val="20"/>
        </w:rPr>
        <w:t>E</w:t>
      </w:r>
      <w:r w:rsidR="00534587" w:rsidRPr="00C65A43">
        <w:rPr>
          <w:i/>
          <w:sz w:val="20"/>
        </w:rPr>
        <w:t>mployees</w:t>
      </w:r>
      <w:r w:rsidRPr="00C65A43">
        <w:rPr>
          <w:sz w:val="20"/>
        </w:rPr>
        <w:t xml:space="preserve"> [website], (30 June 2021) </w:t>
      </w:r>
      <w:hyperlink r:id="rId57" w:history="1">
        <w:r w:rsidRPr="00C65A43">
          <w:rPr>
            <w:rStyle w:val="Hyperlink"/>
            <w:sz w:val="20"/>
          </w:rPr>
          <w:t>https://maps.finance.gov.au/federal-elections/mops-act-employees</w:t>
        </w:r>
      </w:hyperlink>
      <w:r w:rsidRPr="00C65A43">
        <w:rPr>
          <w:sz w:val="20"/>
        </w:rPr>
        <w:t>, accessed 27 September 2022</w:t>
      </w:r>
    </w:p>
    <w:p w14:paraId="77670AF0" w14:textId="730EF97F" w:rsidR="00F8067C" w:rsidRPr="00C65A43" w:rsidRDefault="00F8067C" w:rsidP="00F8067C">
      <w:pPr>
        <w:rPr>
          <w:sz w:val="20"/>
        </w:rPr>
      </w:pPr>
      <w:r w:rsidRPr="00C65A43">
        <w:rPr>
          <w:sz w:val="20"/>
        </w:rPr>
        <w:t xml:space="preserve">Department of Finance, </w:t>
      </w:r>
      <w:r w:rsidRPr="00C65A43">
        <w:rPr>
          <w:i/>
          <w:sz w:val="20"/>
        </w:rPr>
        <w:t>National Police Checks</w:t>
      </w:r>
      <w:r w:rsidRPr="00C65A43">
        <w:rPr>
          <w:sz w:val="20"/>
        </w:rPr>
        <w:t xml:space="preserve"> [website], (28 June 2021) </w:t>
      </w:r>
      <w:hyperlink r:id="rId58" w:history="1">
        <w:r w:rsidRPr="00C65A43">
          <w:rPr>
            <w:rStyle w:val="Hyperlink"/>
            <w:sz w:val="20"/>
          </w:rPr>
          <w:t>https://maps.finance.gov.au/pay-and-employment/mops-act-employment/recruitment-and-establishing-positions/national-police-checks</w:t>
        </w:r>
      </w:hyperlink>
      <w:r w:rsidRPr="00C65A43">
        <w:rPr>
          <w:sz w:val="20"/>
        </w:rPr>
        <w:t>, accessed 19 September 2022</w:t>
      </w:r>
    </w:p>
    <w:p w14:paraId="20DD1B9A" w14:textId="7FD12093" w:rsidR="004C0735" w:rsidRPr="00C65A43" w:rsidRDefault="004C0735" w:rsidP="004C0735">
      <w:pPr>
        <w:rPr>
          <w:sz w:val="20"/>
        </w:rPr>
      </w:pPr>
      <w:r w:rsidRPr="00C65A43">
        <w:rPr>
          <w:sz w:val="20"/>
        </w:rPr>
        <w:t xml:space="preserve">Department of Finance, </w:t>
      </w:r>
      <w:r w:rsidRPr="00C65A43">
        <w:rPr>
          <w:i/>
          <w:sz w:val="20"/>
        </w:rPr>
        <w:t xml:space="preserve">Recruiting Staff </w:t>
      </w:r>
      <w:r w:rsidRPr="00C65A43">
        <w:rPr>
          <w:sz w:val="20"/>
        </w:rPr>
        <w:t xml:space="preserve">[website], (9 September 2022), </w:t>
      </w:r>
      <w:hyperlink r:id="rId59" w:history="1">
        <w:r w:rsidRPr="00C65A43">
          <w:rPr>
            <w:rStyle w:val="Hyperlink"/>
            <w:sz w:val="20"/>
          </w:rPr>
          <w:t>https://maps.finance.gov.au/pay-and-employment/mops-act-employment/recruitment-and-establishing-positions/recruiting-staff</w:t>
        </w:r>
      </w:hyperlink>
      <w:r w:rsidRPr="00C65A43">
        <w:rPr>
          <w:sz w:val="20"/>
        </w:rPr>
        <w:t>, accessed 16 September 2022</w:t>
      </w:r>
    </w:p>
    <w:p w14:paraId="121BC3EB" w14:textId="6F4763F5" w:rsidR="00F8067C" w:rsidRPr="00C65A43" w:rsidRDefault="00F8067C" w:rsidP="00F8067C">
      <w:pPr>
        <w:rPr>
          <w:sz w:val="20"/>
        </w:rPr>
      </w:pPr>
      <w:r w:rsidRPr="00C65A43">
        <w:rPr>
          <w:sz w:val="20"/>
        </w:rPr>
        <w:t xml:space="preserve">Department of Finance, </w:t>
      </w:r>
      <w:r w:rsidRPr="00C65A43">
        <w:rPr>
          <w:i/>
          <w:sz w:val="20"/>
        </w:rPr>
        <w:t>Security Clearances for MoP(S) Act Employees</w:t>
      </w:r>
      <w:r w:rsidRPr="00C65A43">
        <w:rPr>
          <w:sz w:val="20"/>
        </w:rPr>
        <w:t xml:space="preserve"> [website], (Undated) </w:t>
      </w:r>
      <w:hyperlink r:id="rId60" w:history="1">
        <w:r w:rsidRPr="00C65A43">
          <w:rPr>
            <w:rStyle w:val="Hyperlink"/>
            <w:sz w:val="20"/>
          </w:rPr>
          <w:t>https://maps.finance.gov.au/sites/default/files/2022-06/MOPS-Employee-Security-Clearances.pdf</w:t>
        </w:r>
      </w:hyperlink>
      <w:r w:rsidRPr="00C65A43">
        <w:rPr>
          <w:sz w:val="20"/>
        </w:rPr>
        <w:t>, accessed 16 September 2022</w:t>
      </w:r>
    </w:p>
    <w:p w14:paraId="7D2A90EF" w14:textId="77777777" w:rsidR="00F8067C" w:rsidRPr="00C65A43" w:rsidRDefault="00F8067C" w:rsidP="00F8067C">
      <w:pPr>
        <w:rPr>
          <w:sz w:val="20"/>
        </w:rPr>
      </w:pPr>
      <w:r w:rsidRPr="00C65A43">
        <w:rPr>
          <w:sz w:val="20"/>
        </w:rPr>
        <w:t xml:space="preserve">Department of Finance, </w:t>
      </w:r>
      <w:r w:rsidRPr="00C65A43">
        <w:rPr>
          <w:i/>
          <w:sz w:val="20"/>
        </w:rPr>
        <w:t>Workplace Health Safety and Wellbeing Policy for Members of Parliament (Staff) Act 1984</w:t>
      </w:r>
      <w:r w:rsidRPr="00C65A43">
        <w:rPr>
          <w:sz w:val="20"/>
        </w:rPr>
        <w:t xml:space="preserve"> [online document], (April 2022) </w:t>
      </w:r>
      <w:hyperlink r:id="rId61" w:history="1">
        <w:r w:rsidRPr="00C65A43">
          <w:rPr>
            <w:rStyle w:val="Hyperlink"/>
            <w:sz w:val="20"/>
          </w:rPr>
          <w:t>https://maps.finance.gov.au/sites/default/files/2022-04/Workplace%20Health%20Safety%20and%20Wellbeing%20Policy.pdf</w:t>
        </w:r>
      </w:hyperlink>
      <w:r w:rsidRPr="00C65A43">
        <w:rPr>
          <w:sz w:val="20"/>
        </w:rPr>
        <w:t>, accessed 16 September 2022</w:t>
      </w:r>
    </w:p>
    <w:p w14:paraId="738E6A18" w14:textId="77777777" w:rsidR="0040281E" w:rsidRPr="00C65A43" w:rsidRDefault="0040281E" w:rsidP="0040281E">
      <w:pPr>
        <w:rPr>
          <w:i/>
          <w:sz w:val="20"/>
        </w:rPr>
      </w:pPr>
      <w:r w:rsidRPr="00C65A43">
        <w:rPr>
          <w:sz w:val="20"/>
        </w:rPr>
        <w:t xml:space="preserve">Department of Finance and Deregulation, </w:t>
      </w:r>
      <w:r w:rsidRPr="00C65A43">
        <w:rPr>
          <w:i/>
          <w:sz w:val="20"/>
        </w:rPr>
        <w:t xml:space="preserve">Members of Parliament (Staff) Act 1984 – Annual Report </w:t>
      </w:r>
      <w:r w:rsidRPr="00C65A43">
        <w:rPr>
          <w:i/>
          <w:sz w:val="20"/>
        </w:rPr>
        <w:br/>
        <w:t>2008-09</w:t>
      </w:r>
      <w:r w:rsidRPr="00C65A43">
        <w:rPr>
          <w:sz w:val="20"/>
        </w:rPr>
        <w:t>, Canberra (24 November 2009)</w:t>
      </w:r>
    </w:p>
    <w:p w14:paraId="56350F5D" w14:textId="77777777" w:rsidR="0040281E" w:rsidRPr="00C65A43" w:rsidRDefault="0040281E" w:rsidP="0040281E">
      <w:pPr>
        <w:rPr>
          <w:sz w:val="20"/>
        </w:rPr>
      </w:pPr>
      <w:r w:rsidRPr="00C65A43">
        <w:rPr>
          <w:sz w:val="20"/>
        </w:rPr>
        <w:t xml:space="preserve">Department of Public Expenditure and Reform, Government of Ireland, </w:t>
      </w:r>
      <w:r w:rsidRPr="00C65A43">
        <w:rPr>
          <w:i/>
          <w:sz w:val="20"/>
        </w:rPr>
        <w:t>Special Advisers to Ministers and Ministers of State of the 33</w:t>
      </w:r>
      <w:r w:rsidRPr="00C65A43">
        <w:rPr>
          <w:i/>
          <w:sz w:val="20"/>
          <w:vertAlign w:val="superscript"/>
        </w:rPr>
        <w:t>rd</w:t>
      </w:r>
      <w:r w:rsidRPr="00C65A43">
        <w:rPr>
          <w:i/>
          <w:sz w:val="20"/>
        </w:rPr>
        <w:t xml:space="preserve"> Dáil</w:t>
      </w:r>
      <w:r w:rsidRPr="00C65A43">
        <w:rPr>
          <w:sz w:val="20"/>
        </w:rPr>
        <w:t xml:space="preserve"> [online document] (14 June 2022), </w:t>
      </w:r>
      <w:hyperlink r:id="rId62" w:history="1">
        <w:r w:rsidRPr="00C65A43">
          <w:rPr>
            <w:rStyle w:val="Hyperlink"/>
            <w:sz w:val="20"/>
          </w:rPr>
          <w:t>https://assets.gov.ie/226945/95b02ef0-fd6a-4f7c-9c97-314deab1e45d.pdf</w:t>
        </w:r>
      </w:hyperlink>
      <w:r w:rsidRPr="00C65A43">
        <w:rPr>
          <w:sz w:val="20"/>
        </w:rPr>
        <w:t>, accessed 13 September 2022.</w:t>
      </w:r>
    </w:p>
    <w:p w14:paraId="61A7DA65" w14:textId="2EFEFFEC" w:rsidR="00626C59" w:rsidRPr="00C65A43" w:rsidRDefault="00626C59" w:rsidP="00626C59">
      <w:pPr>
        <w:rPr>
          <w:sz w:val="20"/>
        </w:rPr>
      </w:pPr>
      <w:r w:rsidRPr="00C65A43">
        <w:rPr>
          <w:sz w:val="20"/>
        </w:rPr>
        <w:t xml:space="preserve">Department of the Prime Minister and Cabinet, </w:t>
      </w:r>
      <w:r w:rsidRPr="00C65A43">
        <w:rPr>
          <w:i/>
          <w:sz w:val="20"/>
        </w:rPr>
        <w:t>Review of the Parliamentary Workplace: Responding to Serious Incidents</w:t>
      </w:r>
      <w:r w:rsidRPr="00C65A43">
        <w:rPr>
          <w:sz w:val="20"/>
        </w:rPr>
        <w:t xml:space="preserve"> (2021), </w:t>
      </w:r>
      <w:hyperlink r:id="rId63" w:history="1">
        <w:r w:rsidRPr="00C65A43">
          <w:rPr>
            <w:rStyle w:val="Hyperlink"/>
            <w:sz w:val="20"/>
          </w:rPr>
          <w:t>https://www.pmc.gov.au/sites/default/files/publications/review-parliamentary-workplace-responding-serious-incidents-final.pdf</w:t>
        </w:r>
      </w:hyperlink>
      <w:r w:rsidRPr="00C65A43">
        <w:rPr>
          <w:sz w:val="20"/>
        </w:rPr>
        <w:t>, accessed 30 September 2022</w:t>
      </w:r>
    </w:p>
    <w:p w14:paraId="77CFC656" w14:textId="4E1D8AEF" w:rsidR="004C0735" w:rsidRPr="00C65A43" w:rsidRDefault="004C0735" w:rsidP="004C0735">
      <w:pPr>
        <w:rPr>
          <w:sz w:val="20"/>
        </w:rPr>
      </w:pPr>
      <w:r w:rsidRPr="00C65A43">
        <w:rPr>
          <w:sz w:val="20"/>
        </w:rPr>
        <w:t xml:space="preserve">Department of the Prime Minister and Cabinet, </w:t>
      </w:r>
      <w:r w:rsidRPr="00C65A43">
        <w:rPr>
          <w:i/>
          <w:sz w:val="20"/>
        </w:rPr>
        <w:t>WGEA Review Report: Review of the Workplace Gender Equality Act 2012, December 2021</w:t>
      </w:r>
      <w:r w:rsidRPr="00C65A43">
        <w:rPr>
          <w:sz w:val="20"/>
        </w:rPr>
        <w:t xml:space="preserve"> </w:t>
      </w:r>
      <w:r w:rsidR="00F8067C" w:rsidRPr="00C65A43">
        <w:rPr>
          <w:sz w:val="20"/>
        </w:rPr>
        <w:t xml:space="preserve">[online document], </w:t>
      </w:r>
      <w:r w:rsidRPr="00C65A43">
        <w:rPr>
          <w:sz w:val="20"/>
        </w:rPr>
        <w:t xml:space="preserve">(2021) </w:t>
      </w:r>
      <w:hyperlink r:id="rId64" w:history="1">
        <w:r w:rsidRPr="00C65A43">
          <w:rPr>
            <w:rStyle w:val="Hyperlink"/>
            <w:sz w:val="20"/>
          </w:rPr>
          <w:t>https://www.pmc.gov.au/sites/default/files/publications/wgea-review-report_1.pdf</w:t>
        </w:r>
      </w:hyperlink>
      <w:r w:rsidRPr="00C65A43">
        <w:rPr>
          <w:sz w:val="20"/>
        </w:rPr>
        <w:t>, accessed 26 September</w:t>
      </w:r>
      <w:r w:rsidR="00F8067C" w:rsidRPr="00C65A43">
        <w:rPr>
          <w:sz w:val="20"/>
        </w:rPr>
        <w:t xml:space="preserve"> 2022</w:t>
      </w:r>
    </w:p>
    <w:p w14:paraId="57FFA632" w14:textId="03B90F26" w:rsidR="00626C59" w:rsidRPr="00C65A43" w:rsidRDefault="00626C59" w:rsidP="00626C59">
      <w:pPr>
        <w:rPr>
          <w:sz w:val="20"/>
        </w:rPr>
      </w:pPr>
      <w:r w:rsidRPr="00C65A43">
        <w:rPr>
          <w:i/>
          <w:sz w:val="20"/>
        </w:rPr>
        <w:t>Disability Discrimination Act 1992</w:t>
      </w:r>
      <w:r w:rsidRPr="00C65A43">
        <w:rPr>
          <w:sz w:val="20"/>
        </w:rPr>
        <w:t xml:space="preserve"> (Cth)</w:t>
      </w:r>
    </w:p>
    <w:p w14:paraId="7A91077B" w14:textId="48FA5299" w:rsidR="00C3391B" w:rsidRPr="00C65A43" w:rsidRDefault="00C3391B" w:rsidP="00C3391B">
      <w:pPr>
        <w:rPr>
          <w:sz w:val="20"/>
        </w:rPr>
      </w:pPr>
      <w:r w:rsidRPr="00C65A43">
        <w:rPr>
          <w:sz w:val="20"/>
        </w:rPr>
        <w:t xml:space="preserve">Diversity Council of Australia, </w:t>
      </w:r>
      <w:r w:rsidRPr="00C65A43">
        <w:rPr>
          <w:i/>
          <w:sz w:val="20"/>
        </w:rPr>
        <w:t>Inclusive Recruitment</w:t>
      </w:r>
      <w:r w:rsidRPr="00C65A43">
        <w:rPr>
          <w:sz w:val="20"/>
        </w:rPr>
        <w:t xml:space="preserve"> [website], (no date) </w:t>
      </w:r>
      <w:hyperlink r:id="rId65" w:history="1">
        <w:r w:rsidRPr="00C65A43">
          <w:rPr>
            <w:rStyle w:val="Hyperlink"/>
            <w:sz w:val="20"/>
          </w:rPr>
          <w:t>https://www.dca.org.au/di-planning/inclusive-recruitment</w:t>
        </w:r>
      </w:hyperlink>
      <w:r w:rsidRPr="00C65A43">
        <w:rPr>
          <w:sz w:val="20"/>
        </w:rPr>
        <w:t>, accessed 20 September 2022</w:t>
      </w:r>
    </w:p>
    <w:p w14:paraId="43C84B48" w14:textId="596F3D91" w:rsidR="0040281E" w:rsidRPr="00C65A43" w:rsidRDefault="004C0735" w:rsidP="004C0735">
      <w:pPr>
        <w:rPr>
          <w:sz w:val="20"/>
        </w:rPr>
      </w:pPr>
      <w:r w:rsidRPr="00C65A43">
        <w:rPr>
          <w:sz w:val="20"/>
        </w:rPr>
        <w:t xml:space="preserve">Donaghey, Tim, </w:t>
      </w:r>
      <w:r w:rsidRPr="00C65A43">
        <w:rPr>
          <w:i/>
          <w:sz w:val="20"/>
        </w:rPr>
        <w:t>Termination of Employment</w:t>
      </w:r>
      <w:r w:rsidRPr="00C65A43">
        <w:rPr>
          <w:sz w:val="20"/>
        </w:rPr>
        <w:t xml:space="preserve"> (2</w:t>
      </w:r>
      <w:r w:rsidRPr="00C65A43">
        <w:rPr>
          <w:sz w:val="20"/>
          <w:vertAlign w:val="superscript"/>
        </w:rPr>
        <w:t>nd</w:t>
      </w:r>
      <w:r w:rsidRPr="00C65A43">
        <w:rPr>
          <w:sz w:val="20"/>
        </w:rPr>
        <w:t xml:space="preserve"> edn., Chatswood, NSW: LexisNexis Butterworths, 2013)</w:t>
      </w:r>
    </w:p>
    <w:p w14:paraId="1C65A0DA" w14:textId="2F9ACB3D" w:rsidR="00652647" w:rsidRDefault="00652647" w:rsidP="0040281E">
      <w:pPr>
        <w:rPr>
          <w:sz w:val="20"/>
        </w:rPr>
      </w:pPr>
      <w:r>
        <w:rPr>
          <w:sz w:val="20"/>
        </w:rPr>
        <w:t xml:space="preserve">Elder, David (ed.), </w:t>
      </w:r>
      <w:r>
        <w:rPr>
          <w:i/>
          <w:sz w:val="20"/>
        </w:rPr>
        <w:t>House of Representatives Practice</w:t>
      </w:r>
      <w:r>
        <w:rPr>
          <w:sz w:val="20"/>
        </w:rPr>
        <w:t xml:space="preserve"> (7</w:t>
      </w:r>
      <w:r w:rsidRPr="00652647">
        <w:rPr>
          <w:sz w:val="20"/>
          <w:vertAlign w:val="superscript"/>
        </w:rPr>
        <w:t>th</w:t>
      </w:r>
      <w:r>
        <w:rPr>
          <w:sz w:val="20"/>
        </w:rPr>
        <w:t xml:space="preserve"> edn., Canberra: Department of the House of Representatives, 2018)</w:t>
      </w:r>
    </w:p>
    <w:p w14:paraId="06645121" w14:textId="75247FBE" w:rsidR="0096582B" w:rsidRPr="00C65A43" w:rsidRDefault="0096582B" w:rsidP="0040281E">
      <w:pPr>
        <w:rPr>
          <w:sz w:val="20"/>
        </w:rPr>
      </w:pPr>
      <w:r w:rsidRPr="00C65A43">
        <w:rPr>
          <w:sz w:val="20"/>
        </w:rPr>
        <w:t xml:space="preserve">Elizabeth Broderick &amp; Co., </w:t>
      </w:r>
      <w:r w:rsidRPr="00C65A43">
        <w:rPr>
          <w:i/>
          <w:sz w:val="20"/>
        </w:rPr>
        <w:t>Leading for Change: Independent Review of Bullying, Sexual Harassment and Sexual Misconduct in NSW Parliamentary Workplaces 2022</w:t>
      </w:r>
      <w:r w:rsidRPr="00C65A43">
        <w:rPr>
          <w:sz w:val="20"/>
        </w:rPr>
        <w:t xml:space="preserve"> [online document], (2022) </w:t>
      </w:r>
      <w:hyperlink r:id="rId66" w:history="1">
        <w:r w:rsidRPr="00C65A43">
          <w:rPr>
            <w:rStyle w:val="Hyperlink"/>
            <w:sz w:val="20"/>
          </w:rPr>
          <w:t>https://www.parliament.nsw.gov.au/about/Documents/Independent%20Broderick%20Report.pdf</w:t>
        </w:r>
      </w:hyperlink>
      <w:r w:rsidRPr="00C65A43">
        <w:rPr>
          <w:sz w:val="20"/>
        </w:rPr>
        <w:t>, accessed 26 September 2022</w:t>
      </w:r>
    </w:p>
    <w:p w14:paraId="2AF074A5" w14:textId="390F608C" w:rsidR="00626C59" w:rsidRPr="00C65A43" w:rsidRDefault="0040281E" w:rsidP="00626C59">
      <w:pPr>
        <w:rPr>
          <w:sz w:val="20"/>
        </w:rPr>
      </w:pPr>
      <w:r w:rsidRPr="00C65A43">
        <w:rPr>
          <w:sz w:val="20"/>
        </w:rPr>
        <w:t>Evidence to Senate Standing Finance and Public Administration Legislation Committee, Parliament of Australia, Canberra, 13 February 2007, 104-109 (Additional Budget Estimates 2007-08)</w:t>
      </w:r>
    </w:p>
    <w:p w14:paraId="43C3B1A6" w14:textId="77777777" w:rsidR="00626C59" w:rsidRPr="00C65A43" w:rsidRDefault="00626C59" w:rsidP="00626C59">
      <w:pPr>
        <w:rPr>
          <w:sz w:val="20"/>
        </w:rPr>
      </w:pPr>
      <w:r w:rsidRPr="00C65A43">
        <w:rPr>
          <w:i/>
          <w:sz w:val="20"/>
        </w:rPr>
        <w:t xml:space="preserve">Fair Work Act 2009 </w:t>
      </w:r>
      <w:r w:rsidRPr="00C65A43">
        <w:rPr>
          <w:sz w:val="20"/>
        </w:rPr>
        <w:t>(Cth)</w:t>
      </w:r>
    </w:p>
    <w:p w14:paraId="600DCEA4" w14:textId="77777777" w:rsidR="0040281E" w:rsidRPr="00C65A43" w:rsidRDefault="0040281E" w:rsidP="0040281E">
      <w:pPr>
        <w:rPr>
          <w:sz w:val="20"/>
        </w:rPr>
      </w:pPr>
      <w:r w:rsidRPr="00C65A43">
        <w:rPr>
          <w:sz w:val="20"/>
        </w:rPr>
        <w:t xml:space="preserve">Fair Work Commission, </w:t>
      </w:r>
      <w:r w:rsidRPr="00C65A43">
        <w:rPr>
          <w:i/>
          <w:sz w:val="20"/>
        </w:rPr>
        <w:t>Unfair dismissals benchbook – Other relevant matters</w:t>
      </w:r>
      <w:r w:rsidRPr="00C65A43">
        <w:rPr>
          <w:sz w:val="20"/>
        </w:rPr>
        <w:t xml:space="preserve"> [website], (no date) </w:t>
      </w:r>
      <w:hyperlink r:id="rId67" w:history="1">
        <w:r w:rsidRPr="00C65A43">
          <w:rPr>
            <w:rStyle w:val="Hyperlink"/>
            <w:sz w:val="20"/>
          </w:rPr>
          <w:t>https://www.fwc.gov.au/other-relevant-matters</w:t>
        </w:r>
      </w:hyperlink>
      <w:r w:rsidRPr="00C65A43">
        <w:rPr>
          <w:sz w:val="20"/>
        </w:rPr>
        <w:t>, accessed 19 September 2022</w:t>
      </w:r>
    </w:p>
    <w:p w14:paraId="458312C2" w14:textId="77777777" w:rsidR="00626C59" w:rsidRPr="00C65A43" w:rsidRDefault="00626C59" w:rsidP="00626C59">
      <w:pPr>
        <w:rPr>
          <w:i/>
          <w:sz w:val="20"/>
        </w:rPr>
      </w:pPr>
      <w:r w:rsidRPr="00C65A43">
        <w:rPr>
          <w:i/>
          <w:sz w:val="20"/>
        </w:rPr>
        <w:t xml:space="preserve">Fair Work Regulations 2009 </w:t>
      </w:r>
      <w:r w:rsidRPr="00C65A43">
        <w:rPr>
          <w:sz w:val="20"/>
        </w:rPr>
        <w:t>(Cth)</w:t>
      </w:r>
    </w:p>
    <w:p w14:paraId="018AE5E5" w14:textId="77777777" w:rsidR="0040281E" w:rsidRPr="00C65A43" w:rsidRDefault="0040281E" w:rsidP="0040281E">
      <w:pPr>
        <w:rPr>
          <w:sz w:val="20"/>
        </w:rPr>
      </w:pPr>
      <w:r w:rsidRPr="00C65A43">
        <w:rPr>
          <w:i/>
          <w:sz w:val="20"/>
        </w:rPr>
        <w:t>Field v Department of Finance</w:t>
      </w:r>
      <w:r w:rsidRPr="00C65A43">
        <w:rPr>
          <w:sz w:val="20"/>
        </w:rPr>
        <w:t xml:space="preserve"> [2022] FWC 1619</w:t>
      </w:r>
    </w:p>
    <w:p w14:paraId="49B0642B" w14:textId="11DC5D98" w:rsidR="00382776" w:rsidRPr="00C65A43" w:rsidRDefault="002C1B92" w:rsidP="00382776">
      <w:pPr>
        <w:rPr>
          <w:sz w:val="20"/>
        </w:rPr>
      </w:pPr>
      <w:r w:rsidRPr="00C65A43">
        <w:rPr>
          <w:sz w:val="20"/>
        </w:rPr>
        <w:t xml:space="preserve">Francis, Debbie, </w:t>
      </w:r>
      <w:r w:rsidRPr="00C65A43">
        <w:rPr>
          <w:i/>
          <w:sz w:val="20"/>
        </w:rPr>
        <w:t>Bullying and Harassment in the New Zealand Parliamentary Workplace</w:t>
      </w:r>
      <w:r w:rsidRPr="00C65A43">
        <w:rPr>
          <w:sz w:val="20"/>
        </w:rPr>
        <w:t xml:space="preserve"> [online document], (May 2019) </w:t>
      </w:r>
      <w:hyperlink r:id="rId68" w:history="1">
        <w:r w:rsidRPr="00C65A43">
          <w:rPr>
            <w:rStyle w:val="Hyperlink"/>
            <w:sz w:val="20"/>
          </w:rPr>
          <w:t>https://www.parliament.nz/media/5739/independent-external-review-into-bullying-and-harassment-in-the-new-zealand-parliamentary-workplace-final-report.pdf</w:t>
        </w:r>
      </w:hyperlink>
      <w:r w:rsidRPr="00C65A43">
        <w:rPr>
          <w:sz w:val="20"/>
        </w:rPr>
        <w:t>, accessed 26 September 2022</w:t>
      </w:r>
    </w:p>
    <w:p w14:paraId="5988E3D5" w14:textId="77777777" w:rsidR="0040281E" w:rsidRPr="00C65A43" w:rsidRDefault="0040281E" w:rsidP="0040281E">
      <w:pPr>
        <w:rPr>
          <w:sz w:val="20"/>
        </w:rPr>
      </w:pPr>
      <w:r w:rsidRPr="00C65A43">
        <w:rPr>
          <w:sz w:val="20"/>
        </w:rPr>
        <w:t xml:space="preserve">Glassdoor, </w:t>
      </w:r>
      <w:r w:rsidRPr="00C65A43">
        <w:rPr>
          <w:i/>
          <w:sz w:val="20"/>
        </w:rPr>
        <w:t>Glassdoor’s Diversity and Inclusion Workplace Survey</w:t>
      </w:r>
      <w:r w:rsidRPr="00C65A43">
        <w:rPr>
          <w:sz w:val="20"/>
        </w:rPr>
        <w:t xml:space="preserve"> [website], (29 September 2020) </w:t>
      </w:r>
      <w:hyperlink r:id="rId69" w:history="1">
        <w:r w:rsidRPr="00C65A43">
          <w:rPr>
            <w:rStyle w:val="Hyperlink"/>
            <w:sz w:val="20"/>
          </w:rPr>
          <w:t>https://www.glassdoor.com/blog/glassdoors-diversity-and-inclusion-workplace-survey/</w:t>
        </w:r>
      </w:hyperlink>
      <w:r w:rsidRPr="00C65A43">
        <w:rPr>
          <w:sz w:val="20"/>
        </w:rPr>
        <w:t>, accessed 20 September 2022</w:t>
      </w:r>
    </w:p>
    <w:p w14:paraId="75C4AF09" w14:textId="20647A31" w:rsidR="00382776" w:rsidRPr="00C65A43" w:rsidRDefault="00382776" w:rsidP="00382776">
      <w:pPr>
        <w:rPr>
          <w:sz w:val="20"/>
        </w:rPr>
      </w:pPr>
      <w:r w:rsidRPr="00C65A43">
        <w:rPr>
          <w:sz w:val="20"/>
        </w:rPr>
        <w:t xml:space="preserve">Gorman MP, Patrick, Submission No E71 to Australian Human Rights Commission, </w:t>
      </w:r>
      <w:r w:rsidRPr="00C65A43">
        <w:rPr>
          <w:i/>
          <w:sz w:val="20"/>
        </w:rPr>
        <w:t xml:space="preserve">Independent Review into Commonwealth Parliamentary Workplaces </w:t>
      </w:r>
      <w:r w:rsidRPr="00C65A43">
        <w:rPr>
          <w:sz w:val="20"/>
        </w:rPr>
        <w:t>(30 July 2021)</w:t>
      </w:r>
    </w:p>
    <w:p w14:paraId="1764F34B" w14:textId="77777777" w:rsidR="004C0735" w:rsidRPr="00C65A43" w:rsidRDefault="004C0735" w:rsidP="004C0735">
      <w:pPr>
        <w:rPr>
          <w:sz w:val="20"/>
        </w:rPr>
      </w:pPr>
      <w:r w:rsidRPr="00C65A43">
        <w:rPr>
          <w:sz w:val="20"/>
        </w:rPr>
        <w:t xml:space="preserve">Governance Institute of Australia, Submission No E55 to Australian Human Rights Commission, </w:t>
      </w:r>
      <w:r w:rsidRPr="00C65A43">
        <w:rPr>
          <w:i/>
          <w:sz w:val="20"/>
        </w:rPr>
        <w:t xml:space="preserve">Independent Review into Commonwealth Parliamentary Workplaces </w:t>
      </w:r>
      <w:r w:rsidRPr="00C65A43">
        <w:rPr>
          <w:sz w:val="20"/>
        </w:rPr>
        <w:t>(29 July 2021)</w:t>
      </w:r>
    </w:p>
    <w:p w14:paraId="7251FE9C" w14:textId="4D7F6A48" w:rsidR="00D94758" w:rsidRPr="00C65A43" w:rsidRDefault="0040281E" w:rsidP="00382776">
      <w:pPr>
        <w:rPr>
          <w:sz w:val="20"/>
        </w:rPr>
      </w:pPr>
      <w:r w:rsidRPr="00C65A43">
        <w:rPr>
          <w:sz w:val="20"/>
        </w:rPr>
        <w:t xml:space="preserve">Government of South Australia, </w:t>
      </w:r>
      <w:r w:rsidRPr="00C65A43">
        <w:rPr>
          <w:i/>
          <w:sz w:val="20"/>
        </w:rPr>
        <w:t xml:space="preserve">Ministerial Code of Conduct </w:t>
      </w:r>
      <w:r w:rsidRPr="00C65A43">
        <w:rPr>
          <w:sz w:val="20"/>
        </w:rPr>
        <w:t xml:space="preserve">[online document], (no date) </w:t>
      </w:r>
      <w:hyperlink r:id="rId70" w:history="1">
        <w:r w:rsidRPr="00C65A43">
          <w:rPr>
            <w:rStyle w:val="Hyperlink"/>
            <w:sz w:val="20"/>
          </w:rPr>
          <w:t>https://www.dpc.sa.gov.au/responsibilities/cabinet-and-executive-council/resources-and-publications/Ministerial-Code-of-Conduct.pdf</w:t>
        </w:r>
      </w:hyperlink>
      <w:r w:rsidRPr="00C65A43">
        <w:rPr>
          <w:sz w:val="20"/>
        </w:rPr>
        <w:t>, accessed 19 September 2022</w:t>
      </w:r>
    </w:p>
    <w:p w14:paraId="3058DA5D" w14:textId="159AE50E" w:rsidR="00D94758" w:rsidRPr="00C65A43" w:rsidRDefault="00D94758" w:rsidP="00D94758">
      <w:pPr>
        <w:rPr>
          <w:sz w:val="20"/>
        </w:rPr>
      </w:pPr>
      <w:r w:rsidRPr="00C65A43">
        <w:rPr>
          <w:sz w:val="20"/>
        </w:rPr>
        <w:t xml:space="preserve">Henderson, Anne, </w:t>
      </w:r>
      <w:r w:rsidRPr="00C65A43">
        <w:rPr>
          <w:i/>
          <w:sz w:val="20"/>
        </w:rPr>
        <w:t>Review of Government Staffing</w:t>
      </w:r>
      <w:r w:rsidRPr="00C65A43">
        <w:rPr>
          <w:sz w:val="20"/>
        </w:rPr>
        <w:t xml:space="preserve"> (24 February 2009)</w:t>
      </w:r>
    </w:p>
    <w:p w14:paraId="00D8172A" w14:textId="4860D255" w:rsidR="004C0735" w:rsidRPr="00C65A43" w:rsidRDefault="004C0735" w:rsidP="004C0735">
      <w:pPr>
        <w:rPr>
          <w:sz w:val="20"/>
        </w:rPr>
      </w:pPr>
      <w:r w:rsidRPr="00C65A43">
        <w:rPr>
          <w:sz w:val="20"/>
        </w:rPr>
        <w:t xml:space="preserve">Holland, Ian, </w:t>
      </w:r>
      <w:r w:rsidRPr="00C65A43">
        <w:rPr>
          <w:i/>
          <w:sz w:val="20"/>
        </w:rPr>
        <w:t xml:space="preserve">Accountability of Ministerial Staff? </w:t>
      </w:r>
      <w:r w:rsidRPr="00C65A43">
        <w:rPr>
          <w:sz w:val="20"/>
        </w:rPr>
        <w:t xml:space="preserve">(Research Paper No. 19, 2001-02, Parliamentary Library, Parliament of Australia, 18 June 2002) </w:t>
      </w:r>
      <w:hyperlink r:id="rId71" w:history="1">
        <w:r w:rsidRPr="00C65A43">
          <w:rPr>
            <w:rStyle w:val="Hyperlink"/>
            <w:sz w:val="20"/>
          </w:rPr>
          <w:t>https://www.aph.gov.au/About_Parliament/Parliamentary_Departments/Parliamentary_Library/pubs/rp/rp0102/02RP19</w:t>
        </w:r>
      </w:hyperlink>
      <w:r w:rsidRPr="00C65A43">
        <w:rPr>
          <w:sz w:val="20"/>
        </w:rPr>
        <w:t>, accessed 12 September 2022</w:t>
      </w:r>
    </w:p>
    <w:p w14:paraId="60D03579" w14:textId="61C8FFAE" w:rsidR="004C0735" w:rsidRPr="00C65A43" w:rsidRDefault="004C0735" w:rsidP="004C0735">
      <w:pPr>
        <w:rPr>
          <w:sz w:val="20"/>
        </w:rPr>
      </w:pPr>
      <w:r w:rsidRPr="00C65A43">
        <w:rPr>
          <w:sz w:val="20"/>
        </w:rPr>
        <w:t xml:space="preserve">Holland, Ian, </w:t>
      </w:r>
      <w:r w:rsidRPr="00C65A43">
        <w:rPr>
          <w:i/>
          <w:sz w:val="20"/>
        </w:rPr>
        <w:t>Members of Parliament (Staff) Act: Background</w:t>
      </w:r>
      <w:r w:rsidRPr="00C65A43">
        <w:rPr>
          <w:sz w:val="20"/>
        </w:rPr>
        <w:t xml:space="preserve"> (Research Paper No. 14, 2002-03, Parliamentary Library, Parliament of Australia, 2002) </w:t>
      </w:r>
      <w:hyperlink r:id="rId72" w:anchor="search=%22library/prspub/NJM76%22" w:history="1">
        <w:r w:rsidRPr="00C65A43">
          <w:rPr>
            <w:rStyle w:val="Hyperlink"/>
            <w:sz w:val="20"/>
          </w:rPr>
          <w:t>https://parlinfo.aph.gov.au/parlInfo/download/library/prspub/NJM76/upload_binary/njm765.pdf;fileType=application%2Fpdf#search=%22library/prspub/NJM76%22</w:t>
        </w:r>
      </w:hyperlink>
      <w:r w:rsidRPr="00C65A43">
        <w:rPr>
          <w:sz w:val="20"/>
        </w:rPr>
        <w:t>, accessed 24 August 2022</w:t>
      </w:r>
    </w:p>
    <w:p w14:paraId="7B3AF920" w14:textId="3811221E" w:rsidR="004C0735" w:rsidRPr="00C65A43" w:rsidRDefault="004C0735" w:rsidP="004C0735">
      <w:pPr>
        <w:rPr>
          <w:sz w:val="20"/>
        </w:rPr>
      </w:pPr>
      <w:r w:rsidRPr="00C65A43">
        <w:rPr>
          <w:sz w:val="20"/>
        </w:rPr>
        <w:t xml:space="preserve">Holland, Ian, </w:t>
      </w:r>
      <w:r w:rsidRPr="00C65A43">
        <w:rPr>
          <w:i/>
          <w:sz w:val="20"/>
        </w:rPr>
        <w:t xml:space="preserve">Members of Parliament (Staff) Act: Employment issues </w:t>
      </w:r>
      <w:r w:rsidRPr="00C65A43">
        <w:rPr>
          <w:sz w:val="20"/>
        </w:rPr>
        <w:t xml:space="preserve">(Research Paper No. 15, 2002-03, Parliamentary Library, Parliament of Australia, 15 October 2002) </w:t>
      </w:r>
      <w:hyperlink r:id="rId73" w:anchor="search=%22Members%20of%20Parliament%20(Staff)%20%20Employment%20Issues%22" w:history="1">
        <w:r w:rsidRPr="00C65A43">
          <w:rPr>
            <w:rStyle w:val="Hyperlink"/>
            <w:sz w:val="20"/>
          </w:rPr>
          <w:t>https://parlinfo.aph.gov.au/parlInfo/download/library/prspub/OJM76/upload_binary/ojm766.pdf;fileType=application%2Fpdf#search=%22Members%20of%20Parliament%20(Staff)%20%20Employment%20Issues%22</w:t>
        </w:r>
      </w:hyperlink>
      <w:r w:rsidRPr="00C65A43">
        <w:rPr>
          <w:sz w:val="20"/>
        </w:rPr>
        <w:t>, accessed 24 August 2022</w:t>
      </w:r>
    </w:p>
    <w:p w14:paraId="3126E706" w14:textId="77777777" w:rsidR="004C0735" w:rsidRPr="00C65A43" w:rsidRDefault="004C0735" w:rsidP="004C0735">
      <w:pPr>
        <w:rPr>
          <w:sz w:val="20"/>
        </w:rPr>
      </w:pPr>
      <w:r w:rsidRPr="00C65A43">
        <w:rPr>
          <w:sz w:val="20"/>
        </w:rPr>
        <w:t xml:space="preserve">Horne, Nicholas, </w:t>
      </w:r>
      <w:r w:rsidRPr="00C65A43">
        <w:rPr>
          <w:i/>
          <w:sz w:val="20"/>
        </w:rPr>
        <w:t>The Members of Parliament Staff Act Framework and Employment Issues</w:t>
      </w:r>
      <w:r w:rsidRPr="00C65A43">
        <w:rPr>
          <w:sz w:val="20"/>
        </w:rPr>
        <w:t xml:space="preserve"> (Research Paper No. 3, 2009-10 (update), Parliamentary Library, Parliament of Australia, 2009), </w:t>
      </w:r>
      <w:hyperlink r:id="rId74" w:history="1">
        <w:r w:rsidRPr="00C65A43">
          <w:rPr>
            <w:rStyle w:val="Hyperlink"/>
            <w:sz w:val="20"/>
          </w:rPr>
          <w:t>https://www.aph.gov.au/binaries/library/pubs/rp/2009-10/10rp03.pdf</w:t>
        </w:r>
      </w:hyperlink>
      <w:r w:rsidRPr="00C65A43">
        <w:rPr>
          <w:sz w:val="20"/>
        </w:rPr>
        <w:t>, accessed 24 August 2022</w:t>
      </w:r>
    </w:p>
    <w:p w14:paraId="03F46923" w14:textId="3D46B5BC" w:rsidR="00626C59" w:rsidRPr="00C65A43" w:rsidRDefault="00452F29" w:rsidP="00626C59">
      <w:pPr>
        <w:rPr>
          <w:sz w:val="20"/>
        </w:rPr>
      </w:pPr>
      <w:r w:rsidRPr="00C65A43">
        <w:rPr>
          <w:sz w:val="20"/>
        </w:rPr>
        <w:t xml:space="preserve">House of Commons Canada, </w:t>
      </w:r>
      <w:r w:rsidRPr="00C65A43">
        <w:rPr>
          <w:i/>
          <w:sz w:val="20"/>
        </w:rPr>
        <w:t>Members’ Allowances and Services</w:t>
      </w:r>
      <w:r w:rsidRPr="00C65A43">
        <w:rPr>
          <w:sz w:val="20"/>
        </w:rPr>
        <w:t xml:space="preserve">, [online document], (15 May 2018), </w:t>
      </w:r>
      <w:hyperlink r:id="rId75" w:history="1">
        <w:r w:rsidRPr="00C65A43">
          <w:rPr>
            <w:rStyle w:val="Hyperlink"/>
            <w:sz w:val="20"/>
          </w:rPr>
          <w:t>https://www.ourcommons.ca/Content/MAS/mas-e.pdf</w:t>
        </w:r>
      </w:hyperlink>
      <w:r w:rsidRPr="00C65A43">
        <w:rPr>
          <w:sz w:val="20"/>
        </w:rPr>
        <w:t>, accessed 23 September 2022.</w:t>
      </w:r>
    </w:p>
    <w:p w14:paraId="76BE3639" w14:textId="18A79994" w:rsidR="004C0735" w:rsidRPr="00C65A43" w:rsidRDefault="004C0735" w:rsidP="004C0735">
      <w:pPr>
        <w:rPr>
          <w:sz w:val="20"/>
        </w:rPr>
      </w:pPr>
      <w:r w:rsidRPr="00C65A43">
        <w:rPr>
          <w:sz w:val="20"/>
        </w:rPr>
        <w:t xml:space="preserve">Independent Broad Based Anti-Corruption Commission and Victorian Ombudsman, </w:t>
      </w:r>
      <w:r w:rsidRPr="00C65A43">
        <w:rPr>
          <w:i/>
          <w:sz w:val="20"/>
        </w:rPr>
        <w:t>Operation Watts: Investigation into allegations of misuse of electorate office and ministerial office staff and resources for branch stacking and other party-related activities</w:t>
      </w:r>
      <w:r w:rsidRPr="00C65A43">
        <w:rPr>
          <w:sz w:val="20"/>
        </w:rPr>
        <w:t xml:space="preserve"> (July 2022) </w:t>
      </w:r>
      <w:hyperlink r:id="rId76" w:history="1">
        <w:r w:rsidRPr="00C65A43">
          <w:rPr>
            <w:rStyle w:val="Hyperlink"/>
            <w:sz w:val="20"/>
          </w:rPr>
          <w:t>https://www.ibac.vic.gov.au/docs/default-source/special-reports/operation-watts-special-report---july-2022.pdf?sfvrsn=ae651f80_2</w:t>
        </w:r>
      </w:hyperlink>
      <w:r w:rsidRPr="00C65A43">
        <w:rPr>
          <w:sz w:val="20"/>
        </w:rPr>
        <w:t>, accessed 28</w:t>
      </w:r>
      <w:r w:rsidR="002C1B92" w:rsidRPr="00C65A43">
        <w:rPr>
          <w:sz w:val="20"/>
        </w:rPr>
        <w:t> </w:t>
      </w:r>
      <w:r w:rsidRPr="00C65A43">
        <w:rPr>
          <w:sz w:val="20"/>
        </w:rPr>
        <w:t>September 2022</w:t>
      </w:r>
    </w:p>
    <w:p w14:paraId="0386F290" w14:textId="77777777" w:rsidR="00626C59" w:rsidRPr="00C65A43" w:rsidRDefault="00626C59" w:rsidP="00626C59">
      <w:pPr>
        <w:rPr>
          <w:sz w:val="20"/>
        </w:rPr>
      </w:pPr>
      <w:r w:rsidRPr="00C65A43">
        <w:rPr>
          <w:i/>
          <w:sz w:val="20"/>
        </w:rPr>
        <w:t xml:space="preserve">Independent Parliamentary Expenses Authority Act 2017 </w:t>
      </w:r>
      <w:r w:rsidRPr="00C65A43">
        <w:rPr>
          <w:sz w:val="20"/>
        </w:rPr>
        <w:t>(Cth)</w:t>
      </w:r>
    </w:p>
    <w:p w14:paraId="4393FE21" w14:textId="293A0E5B" w:rsidR="002C1B92" w:rsidRPr="00C65A43" w:rsidRDefault="005E680E" w:rsidP="002C1B92">
      <w:pPr>
        <w:rPr>
          <w:sz w:val="20"/>
        </w:rPr>
      </w:pPr>
      <w:r w:rsidRPr="00C65A43">
        <w:rPr>
          <w:sz w:val="20"/>
        </w:rPr>
        <w:t xml:space="preserve">Independent Parliamentary Standards Authority (UK), </w:t>
      </w:r>
      <w:r w:rsidRPr="00C65A43">
        <w:rPr>
          <w:i/>
          <w:sz w:val="20"/>
        </w:rPr>
        <w:t>Policy review: Funding for MPs’ staff</w:t>
      </w:r>
      <w:r w:rsidRPr="00C65A43">
        <w:rPr>
          <w:sz w:val="20"/>
        </w:rPr>
        <w:t xml:space="preserve"> [online document], (March 2020), 6, </w:t>
      </w:r>
      <w:hyperlink r:id="rId77" w:history="1">
        <w:r w:rsidRPr="00C65A43">
          <w:rPr>
            <w:rStyle w:val="Hyperlink"/>
            <w:sz w:val="20"/>
          </w:rPr>
          <w:t>https://assets.ctfassets.net/nc7h1cs4q6ic/1Qpj1SkPE2oTGgY3HewrsP/29dce53971c38a9f27c3f1cf2d2f54f5/policy-review-funding-for-mps-staff.pdf</w:t>
        </w:r>
      </w:hyperlink>
      <w:r w:rsidRPr="00C65A43">
        <w:rPr>
          <w:sz w:val="20"/>
        </w:rPr>
        <w:t>, accessed 30 September 2022</w:t>
      </w:r>
    </w:p>
    <w:p w14:paraId="2AAEDEAE" w14:textId="6A853134" w:rsidR="0040281E" w:rsidRPr="00C65A43" w:rsidRDefault="002C1B92" w:rsidP="00626C59">
      <w:pPr>
        <w:rPr>
          <w:sz w:val="20"/>
        </w:rPr>
      </w:pPr>
      <w:r w:rsidRPr="00C65A43">
        <w:rPr>
          <w:i/>
          <w:sz w:val="20"/>
        </w:rPr>
        <w:t>Jeffrey Robert Babb v Commonwealth of Australia (Dept of Administrative Services)</w:t>
      </w:r>
      <w:r w:rsidRPr="00C65A43">
        <w:rPr>
          <w:sz w:val="20"/>
        </w:rPr>
        <w:t xml:space="preserve"> [1997] FCA 932</w:t>
      </w:r>
    </w:p>
    <w:p w14:paraId="322827E4" w14:textId="768033BA" w:rsidR="00626C59" w:rsidRPr="00C65A43" w:rsidRDefault="0040281E" w:rsidP="00626C59">
      <w:pPr>
        <w:rPr>
          <w:sz w:val="20"/>
        </w:rPr>
      </w:pPr>
      <w:r w:rsidRPr="00C65A43">
        <w:rPr>
          <w:sz w:val="20"/>
        </w:rPr>
        <w:t xml:space="preserve">KPMG, </w:t>
      </w:r>
      <w:r w:rsidRPr="00C65A43">
        <w:rPr>
          <w:i/>
          <w:sz w:val="20"/>
        </w:rPr>
        <w:t>Transparency Report 2021</w:t>
      </w:r>
      <w:r w:rsidRPr="00C65A43">
        <w:rPr>
          <w:sz w:val="20"/>
        </w:rPr>
        <w:t xml:space="preserve"> [online document], (2021) </w:t>
      </w:r>
      <w:hyperlink r:id="rId78" w:history="1">
        <w:r w:rsidRPr="00C65A43">
          <w:rPr>
            <w:rStyle w:val="Hyperlink"/>
            <w:sz w:val="20"/>
          </w:rPr>
          <w:t>https://assets.kpmg/content/dam/kpmg/au/</w:t>
        </w:r>
        <w:r w:rsidRPr="00C65A43">
          <w:rPr>
            <w:rStyle w:val="Hyperlink"/>
            <w:sz w:val="20"/>
          </w:rPr>
          <w:br/>
          <w:t>pdf/2021/transparency-report-2021.pdf</w:t>
        </w:r>
      </w:hyperlink>
      <w:r w:rsidRPr="00C65A43">
        <w:rPr>
          <w:sz w:val="20"/>
        </w:rPr>
        <w:t>, accessed 4 August 2022.</w:t>
      </w:r>
    </w:p>
    <w:p w14:paraId="00209036" w14:textId="77777777" w:rsidR="0040281E" w:rsidRPr="00C65A43" w:rsidRDefault="0040281E" w:rsidP="0040281E">
      <w:pPr>
        <w:rPr>
          <w:sz w:val="20"/>
        </w:rPr>
      </w:pPr>
      <w:r w:rsidRPr="00C65A43">
        <w:rPr>
          <w:i/>
          <w:sz w:val="20"/>
        </w:rPr>
        <w:t>Leach v Commonwealth of Australia</w:t>
      </w:r>
      <w:r w:rsidRPr="00C65A43">
        <w:rPr>
          <w:sz w:val="20"/>
        </w:rPr>
        <w:t xml:space="preserve"> [2021] FCA 158</w:t>
      </w:r>
    </w:p>
    <w:p w14:paraId="366ADC99" w14:textId="77777777" w:rsidR="00626C59" w:rsidRPr="00C65A43" w:rsidRDefault="00626C59" w:rsidP="00626C59">
      <w:pPr>
        <w:rPr>
          <w:sz w:val="20"/>
        </w:rPr>
      </w:pPr>
      <w:r w:rsidRPr="00C65A43">
        <w:rPr>
          <w:i/>
          <w:sz w:val="20"/>
        </w:rPr>
        <w:t>Legislation (Exemptions and Other Matters) Regulation 2015</w:t>
      </w:r>
      <w:r w:rsidRPr="00C65A43">
        <w:rPr>
          <w:sz w:val="20"/>
        </w:rPr>
        <w:t xml:space="preserve"> (Cth)</w:t>
      </w:r>
    </w:p>
    <w:p w14:paraId="1580923D" w14:textId="4EDFD09D" w:rsidR="00C44E9F" w:rsidRPr="00C65A43" w:rsidRDefault="00626C59" w:rsidP="00626C59">
      <w:pPr>
        <w:rPr>
          <w:sz w:val="20"/>
        </w:rPr>
      </w:pPr>
      <w:r w:rsidRPr="00C65A43">
        <w:rPr>
          <w:i/>
          <w:sz w:val="20"/>
        </w:rPr>
        <w:t xml:space="preserve">Legislative Assembly (Members’ Staff) Act 1989 </w:t>
      </w:r>
      <w:r w:rsidRPr="00C65A43">
        <w:rPr>
          <w:sz w:val="20"/>
        </w:rPr>
        <w:t>(</w:t>
      </w:r>
      <w:r w:rsidR="00C44E9F">
        <w:rPr>
          <w:sz w:val="20"/>
        </w:rPr>
        <w:t>ACT</w:t>
      </w:r>
      <w:r w:rsidRPr="00C65A43">
        <w:rPr>
          <w:sz w:val="20"/>
        </w:rPr>
        <w:t>)</w:t>
      </w:r>
    </w:p>
    <w:p w14:paraId="0F6E94AC" w14:textId="77777777" w:rsidR="00F8067C" w:rsidRPr="00C65A43" w:rsidRDefault="00F8067C" w:rsidP="00F8067C">
      <w:pPr>
        <w:rPr>
          <w:sz w:val="20"/>
        </w:rPr>
      </w:pPr>
      <w:r w:rsidRPr="00C65A43">
        <w:rPr>
          <w:sz w:val="20"/>
        </w:rPr>
        <w:t xml:space="preserve">Legislative Assembly of Queensland, </w:t>
      </w:r>
      <w:r w:rsidRPr="00C65A43">
        <w:rPr>
          <w:i/>
          <w:sz w:val="20"/>
        </w:rPr>
        <w:t>Code of Ethical Standards together with the Guide to the Code of Ethical Standards and Rules Relating to the Conduct of Members</w:t>
      </w:r>
      <w:r w:rsidRPr="00C65A43">
        <w:rPr>
          <w:sz w:val="20"/>
        </w:rPr>
        <w:t xml:space="preserve"> [online document], (June 2018) </w:t>
      </w:r>
      <w:hyperlink r:id="rId79" w:history="1">
        <w:r w:rsidRPr="00C65A43">
          <w:rPr>
            <w:rStyle w:val="Hyperlink"/>
            <w:sz w:val="20"/>
          </w:rPr>
          <w:t>https://documents.parliament.qld.gov.au/assembly/procedures/CodeOfEthicalStandards.pdf</w:t>
        </w:r>
      </w:hyperlink>
      <w:r w:rsidRPr="00C65A43">
        <w:rPr>
          <w:sz w:val="20"/>
        </w:rPr>
        <w:t>, accessed 16 September 2022.</w:t>
      </w:r>
    </w:p>
    <w:p w14:paraId="477A9B14" w14:textId="4A549908" w:rsidR="00EE156C" w:rsidRPr="00C65A43" w:rsidRDefault="00EE156C" w:rsidP="00F8067C">
      <w:pPr>
        <w:rPr>
          <w:sz w:val="20"/>
        </w:rPr>
      </w:pPr>
      <w:r w:rsidRPr="00C65A43">
        <w:rPr>
          <w:sz w:val="20"/>
        </w:rPr>
        <w:t xml:space="preserve">Legislative Research Service, </w:t>
      </w:r>
      <w:r w:rsidRPr="00C65A43">
        <w:rPr>
          <w:i/>
          <w:sz w:val="20"/>
        </w:rPr>
        <w:t xml:space="preserve">Members of Parliament (Staff) Bill 1984 </w:t>
      </w:r>
      <w:r w:rsidRPr="00C65A43">
        <w:rPr>
          <w:sz w:val="20"/>
        </w:rPr>
        <w:t>(Bills Digest 84/73, Parliamentary Library, Parliament of Australia, 24 May 1984)</w:t>
      </w:r>
    </w:p>
    <w:p w14:paraId="2E69A632" w14:textId="77777777" w:rsidR="0040281E" w:rsidRPr="00C65A43" w:rsidRDefault="0040281E" w:rsidP="0040281E">
      <w:pPr>
        <w:rPr>
          <w:sz w:val="20"/>
        </w:rPr>
      </w:pPr>
      <w:r w:rsidRPr="00C65A43">
        <w:rPr>
          <w:i/>
          <w:sz w:val="20"/>
        </w:rPr>
        <w:t>Lindsay v Department of Finance and Deregulation</w:t>
      </w:r>
      <w:r w:rsidRPr="00C65A43">
        <w:rPr>
          <w:sz w:val="20"/>
        </w:rPr>
        <w:t xml:space="preserve"> [2011] FWA 4078</w:t>
      </w:r>
    </w:p>
    <w:p w14:paraId="72A7D900" w14:textId="545553AA" w:rsidR="00626C59" w:rsidRPr="00C65A43" w:rsidRDefault="00EE156C" w:rsidP="00626C59">
      <w:pPr>
        <w:rPr>
          <w:sz w:val="20"/>
        </w:rPr>
      </w:pPr>
      <w:r w:rsidRPr="00C65A43">
        <w:rPr>
          <w:sz w:val="20"/>
        </w:rPr>
        <w:t xml:space="preserve">Lorenzo, Rocío, et al, </w:t>
      </w:r>
      <w:r w:rsidRPr="00C65A43">
        <w:rPr>
          <w:i/>
          <w:sz w:val="20"/>
        </w:rPr>
        <w:t>How Diverse Leadership Teams Boost Innovation</w:t>
      </w:r>
      <w:r w:rsidRPr="00C65A43">
        <w:rPr>
          <w:sz w:val="20"/>
        </w:rPr>
        <w:t xml:space="preserve">, Boston Consulting Group [website], (23 January 2018) </w:t>
      </w:r>
      <w:hyperlink r:id="rId80" w:history="1">
        <w:r w:rsidRPr="00C65A43">
          <w:rPr>
            <w:rStyle w:val="Hyperlink"/>
            <w:sz w:val="20"/>
          </w:rPr>
          <w:t>https://www.bcg.com/publications/2018/how-diverse-leadership-teams-boost-innovation</w:t>
        </w:r>
      </w:hyperlink>
      <w:r w:rsidRPr="00C65A43">
        <w:rPr>
          <w:sz w:val="20"/>
        </w:rPr>
        <w:t>, accessed 20 September 2022</w:t>
      </w:r>
    </w:p>
    <w:p w14:paraId="67AEB3B9" w14:textId="77777777" w:rsidR="0040281E" w:rsidRPr="00C65A43" w:rsidRDefault="0040281E" w:rsidP="0040281E">
      <w:pPr>
        <w:rPr>
          <w:sz w:val="20"/>
        </w:rPr>
      </w:pPr>
      <w:r w:rsidRPr="00C65A43">
        <w:rPr>
          <w:sz w:val="20"/>
        </w:rPr>
        <w:t xml:space="preserve">Macquarie Dictionary Online, </w:t>
      </w:r>
      <w:r w:rsidRPr="00C65A43">
        <w:rPr>
          <w:i/>
          <w:sz w:val="20"/>
        </w:rPr>
        <w:t>Definition of Merit</w:t>
      </w:r>
      <w:r w:rsidRPr="00C65A43">
        <w:rPr>
          <w:sz w:val="20"/>
        </w:rPr>
        <w:t xml:space="preserve"> [website] (Macquarie Dictionary Publishers, 2016), </w:t>
      </w:r>
      <w:hyperlink r:id="rId81" w:history="1">
        <w:r w:rsidRPr="00C65A43">
          <w:rPr>
            <w:rStyle w:val="Hyperlink"/>
            <w:sz w:val="20"/>
          </w:rPr>
          <w:t>https://www.macquariedictionary.com.au/features/word/search/?search_word_type=Dictionary&amp;word=merit</w:t>
        </w:r>
      </w:hyperlink>
      <w:r w:rsidRPr="00C65A43">
        <w:rPr>
          <w:sz w:val="20"/>
        </w:rPr>
        <w:t>, accessed 21 September 2022.</w:t>
      </w:r>
    </w:p>
    <w:p w14:paraId="4AD9E5D3" w14:textId="77777777" w:rsidR="0040281E" w:rsidRPr="00C65A43" w:rsidRDefault="0040281E" w:rsidP="0040281E">
      <w:pPr>
        <w:rPr>
          <w:sz w:val="20"/>
        </w:rPr>
      </w:pPr>
      <w:r w:rsidRPr="00C65A43">
        <w:rPr>
          <w:i/>
          <w:sz w:val="20"/>
        </w:rPr>
        <w:t>Mammarella v Department of Parliamentary Services</w:t>
      </w:r>
      <w:r w:rsidRPr="00C65A43">
        <w:rPr>
          <w:sz w:val="20"/>
        </w:rPr>
        <w:t xml:space="preserve"> [2019] FWC 6340</w:t>
      </w:r>
    </w:p>
    <w:p w14:paraId="6C94F703" w14:textId="77777777" w:rsidR="004C0735" w:rsidRPr="00C65A43" w:rsidRDefault="004C0735" w:rsidP="004C0735">
      <w:pPr>
        <w:rPr>
          <w:sz w:val="20"/>
        </w:rPr>
      </w:pPr>
      <w:r w:rsidRPr="00C65A43">
        <w:rPr>
          <w:sz w:val="20"/>
        </w:rPr>
        <w:t xml:space="preserve">McKeown, Deidre, and Sloane, Michael, </w:t>
      </w:r>
      <w:r w:rsidRPr="00C65A43">
        <w:rPr>
          <w:i/>
          <w:sz w:val="20"/>
        </w:rPr>
        <w:t>Parliamentary codes of conduct: a review of recent developments</w:t>
      </w:r>
      <w:r w:rsidRPr="00C65A43">
        <w:rPr>
          <w:sz w:val="20"/>
        </w:rPr>
        <w:t xml:space="preserve"> (Research Paper Series, 2021-22, Parliamentary Library, Parliament of Australia, 30 March 2022), </w:t>
      </w:r>
      <w:hyperlink r:id="rId82" w:history="1">
        <w:r w:rsidRPr="00C65A43">
          <w:rPr>
            <w:rStyle w:val="Hyperlink"/>
            <w:sz w:val="20"/>
          </w:rPr>
          <w:t>https://www.aph.gov.au/About_Parliament/Parliamentary_Departments/Parliamentary_Library/pubs/rp/rp2122/ParliamentaryCodesConduct</w:t>
        </w:r>
      </w:hyperlink>
      <w:r w:rsidRPr="00C65A43">
        <w:rPr>
          <w:sz w:val="20"/>
        </w:rPr>
        <w:t>, accessed 20 September 2022</w:t>
      </w:r>
    </w:p>
    <w:p w14:paraId="2F241E02" w14:textId="77777777" w:rsidR="004C0735" w:rsidRPr="00C65A43" w:rsidRDefault="004C0735" w:rsidP="004C0735">
      <w:pPr>
        <w:rPr>
          <w:sz w:val="20"/>
        </w:rPr>
      </w:pPr>
      <w:r w:rsidRPr="00C65A43">
        <w:rPr>
          <w:sz w:val="20"/>
        </w:rPr>
        <w:t>McMillan, John, ‘Parliament and Administrative Law’</w:t>
      </w:r>
      <w:r w:rsidRPr="00C65A43">
        <w:rPr>
          <w:i/>
          <w:sz w:val="20"/>
        </w:rPr>
        <w:t xml:space="preserve"> </w:t>
      </w:r>
      <w:r w:rsidRPr="00C65A43">
        <w:rPr>
          <w:sz w:val="20"/>
        </w:rPr>
        <w:t xml:space="preserve">in Lindell, Geoffrey and Bennett, Robert (eds), </w:t>
      </w:r>
      <w:r w:rsidRPr="00C65A43">
        <w:rPr>
          <w:i/>
          <w:sz w:val="20"/>
        </w:rPr>
        <w:t>Parliament: The Vision in Hindsight</w:t>
      </w:r>
      <w:r w:rsidRPr="00C65A43">
        <w:rPr>
          <w:sz w:val="20"/>
        </w:rPr>
        <w:t xml:space="preserve"> (Annandale, NSW: Federation Press, 2001)</w:t>
      </w:r>
    </w:p>
    <w:p w14:paraId="51521DDC" w14:textId="2C0C628F" w:rsidR="00626C59" w:rsidRPr="00C65A43" w:rsidRDefault="00626C59" w:rsidP="00626C59">
      <w:pPr>
        <w:rPr>
          <w:sz w:val="20"/>
        </w:rPr>
      </w:pPr>
      <w:r w:rsidRPr="00C65A43">
        <w:rPr>
          <w:i/>
          <w:sz w:val="20"/>
        </w:rPr>
        <w:t>Members of Parliament Staff Act 2013</w:t>
      </w:r>
      <w:r w:rsidRPr="00C65A43">
        <w:rPr>
          <w:sz w:val="20"/>
        </w:rPr>
        <w:t xml:space="preserve"> (NSW)</w:t>
      </w:r>
    </w:p>
    <w:p w14:paraId="5D6341CE" w14:textId="77777777" w:rsidR="0040281E" w:rsidRPr="00C65A43" w:rsidRDefault="0040281E" w:rsidP="0040281E">
      <w:pPr>
        <w:rPr>
          <w:sz w:val="20"/>
        </w:rPr>
      </w:pPr>
      <w:r w:rsidRPr="00C65A43">
        <w:rPr>
          <w:i/>
          <w:sz w:val="20"/>
        </w:rPr>
        <w:t>Messenger v Commonwealth of Australia (Represented by the Department of Finance)</w:t>
      </w:r>
      <w:r w:rsidRPr="00C65A43">
        <w:rPr>
          <w:sz w:val="20"/>
        </w:rPr>
        <w:t xml:space="preserve"> [2022] FCA 677</w:t>
      </w:r>
    </w:p>
    <w:p w14:paraId="1337C984" w14:textId="0E78F74C" w:rsidR="00EE156C" w:rsidRPr="00C65A43" w:rsidRDefault="00EE156C" w:rsidP="00626C59">
      <w:pPr>
        <w:rPr>
          <w:i/>
          <w:sz w:val="20"/>
        </w:rPr>
      </w:pPr>
      <w:r w:rsidRPr="00C65A43">
        <w:rPr>
          <w:sz w:val="20"/>
        </w:rPr>
        <w:t>Miller,</w:t>
      </w:r>
      <w:r w:rsidR="00536809" w:rsidRPr="00C65A43">
        <w:rPr>
          <w:sz w:val="20"/>
        </w:rPr>
        <w:t xml:space="preserve"> Beverley,</w:t>
      </w:r>
      <w:r w:rsidRPr="00C65A43">
        <w:rPr>
          <w:sz w:val="20"/>
        </w:rPr>
        <w:t xml:space="preserve"> ‘PS reform Bills introduced’</w:t>
      </w:r>
      <w:r w:rsidRPr="00C65A43">
        <w:rPr>
          <w:i/>
          <w:sz w:val="20"/>
        </w:rPr>
        <w:t>, The Canberra Times</w:t>
      </w:r>
      <w:r w:rsidRPr="00C65A43">
        <w:rPr>
          <w:sz w:val="20"/>
        </w:rPr>
        <w:t>, 10 May 1984, 13, in Trove [online database], accessed 27 September 2022</w:t>
      </w:r>
    </w:p>
    <w:p w14:paraId="7E09444A" w14:textId="7DD14D83" w:rsidR="00D94758" w:rsidRPr="00C65A43" w:rsidRDefault="00626C59" w:rsidP="00626C59">
      <w:pPr>
        <w:rPr>
          <w:sz w:val="20"/>
        </w:rPr>
      </w:pPr>
      <w:r w:rsidRPr="00C65A43">
        <w:rPr>
          <w:i/>
          <w:sz w:val="20"/>
        </w:rPr>
        <w:t>Ministerial and Other Office Holder Staff Act 2010</w:t>
      </w:r>
      <w:r w:rsidRPr="00C65A43">
        <w:rPr>
          <w:sz w:val="20"/>
        </w:rPr>
        <w:t xml:space="preserve"> (Qld)</w:t>
      </w:r>
    </w:p>
    <w:p w14:paraId="1E381FC1" w14:textId="77777777" w:rsidR="00F8067C" w:rsidRPr="00C65A43" w:rsidRDefault="00F8067C" w:rsidP="00F8067C">
      <w:pPr>
        <w:rPr>
          <w:sz w:val="20"/>
        </w:rPr>
      </w:pPr>
      <w:r w:rsidRPr="00C65A43">
        <w:rPr>
          <w:sz w:val="20"/>
        </w:rPr>
        <w:t xml:space="preserve">New South Wales Legislative Council, </w:t>
      </w:r>
      <w:r w:rsidRPr="00C65A43">
        <w:rPr>
          <w:i/>
          <w:sz w:val="20"/>
        </w:rPr>
        <w:t>Members’ Guide 2019</w:t>
      </w:r>
      <w:r w:rsidRPr="00C65A43">
        <w:rPr>
          <w:sz w:val="20"/>
        </w:rPr>
        <w:t xml:space="preserve"> [online document], (2019) </w:t>
      </w:r>
      <w:hyperlink r:id="rId83" w:history="1">
        <w:r w:rsidRPr="00C65A43">
          <w:rPr>
            <w:rStyle w:val="Hyperlink"/>
            <w:sz w:val="20"/>
          </w:rPr>
          <w:t>https://www.parliament.nsw.gov.au/members/Documents/Members%20Guide%202019.pdf</w:t>
        </w:r>
      </w:hyperlink>
      <w:r w:rsidRPr="00C65A43">
        <w:rPr>
          <w:sz w:val="20"/>
        </w:rPr>
        <w:t>, accessed 27 September 2022.</w:t>
      </w:r>
    </w:p>
    <w:p w14:paraId="4C3B606E" w14:textId="4D1B681C" w:rsidR="00800A9D" w:rsidRPr="00C65A43" w:rsidRDefault="00800A9D" w:rsidP="00F8067C">
      <w:pPr>
        <w:rPr>
          <w:sz w:val="20"/>
        </w:rPr>
      </w:pPr>
      <w:r w:rsidRPr="00C65A43">
        <w:rPr>
          <w:sz w:val="20"/>
        </w:rPr>
        <w:t xml:space="preserve">New South Wales Parliamentary Remuneration Tribunal, </w:t>
      </w:r>
      <w:r w:rsidRPr="00C65A43">
        <w:rPr>
          <w:i/>
          <w:sz w:val="20"/>
        </w:rPr>
        <w:t>Annual Report and Determination</w:t>
      </w:r>
      <w:r w:rsidRPr="00C65A43">
        <w:rPr>
          <w:sz w:val="20"/>
        </w:rPr>
        <w:t xml:space="preserve"> [online document] (7 July 2020) </w:t>
      </w:r>
      <w:hyperlink r:id="rId84" w:history="1">
        <w:r w:rsidRPr="00C65A43">
          <w:rPr>
            <w:rStyle w:val="Hyperlink"/>
            <w:sz w:val="20"/>
          </w:rPr>
          <w:t>https://www.remtribunals.nsw.gov.au/sites/default/files/2020-12/2020_annual_determination-prt.pdf</w:t>
        </w:r>
      </w:hyperlink>
      <w:r w:rsidRPr="00C65A43">
        <w:rPr>
          <w:sz w:val="20"/>
        </w:rPr>
        <w:t xml:space="preserve">, accessed 30 September 2022. </w:t>
      </w:r>
    </w:p>
    <w:p w14:paraId="6682F065" w14:textId="77777777" w:rsidR="00F8067C" w:rsidRPr="00C65A43" w:rsidRDefault="00F8067C" w:rsidP="00F8067C">
      <w:pPr>
        <w:rPr>
          <w:sz w:val="20"/>
        </w:rPr>
      </w:pPr>
      <w:r w:rsidRPr="00C65A43">
        <w:rPr>
          <w:sz w:val="20"/>
        </w:rPr>
        <w:t xml:space="preserve">New South Wales Premier and Cabinet, </w:t>
      </w:r>
      <w:r w:rsidRPr="00C65A43">
        <w:rPr>
          <w:i/>
          <w:sz w:val="20"/>
        </w:rPr>
        <w:t xml:space="preserve">Determination by the Premier of the Conditions for Employment for Political Office Holders’ Staff </w:t>
      </w:r>
      <w:r w:rsidRPr="00C65A43">
        <w:rPr>
          <w:sz w:val="20"/>
        </w:rPr>
        <w:t xml:space="preserve">[website], (2022), </w:t>
      </w:r>
      <w:hyperlink r:id="rId85" w:history="1">
        <w:r w:rsidRPr="00C65A43">
          <w:rPr>
            <w:rStyle w:val="Hyperlink"/>
            <w:sz w:val="20"/>
          </w:rPr>
          <w:t>https://publications.dpc.nsw.gov.au/ministers-office-handbook/attachments/attachment-a/</w:t>
        </w:r>
      </w:hyperlink>
      <w:r w:rsidRPr="00C65A43">
        <w:rPr>
          <w:sz w:val="20"/>
        </w:rPr>
        <w:t>, accessed 31 August 2022</w:t>
      </w:r>
    </w:p>
    <w:p w14:paraId="41C7BDCE" w14:textId="77777777" w:rsidR="0040281E" w:rsidRPr="00C65A43" w:rsidRDefault="0040281E" w:rsidP="0040281E">
      <w:pPr>
        <w:rPr>
          <w:sz w:val="20"/>
        </w:rPr>
      </w:pPr>
      <w:r w:rsidRPr="00C65A43">
        <w:rPr>
          <w:sz w:val="20"/>
        </w:rPr>
        <w:t xml:space="preserve">New Zealand Parliament, </w:t>
      </w:r>
      <w:r w:rsidRPr="00C65A43">
        <w:rPr>
          <w:i/>
          <w:sz w:val="20"/>
        </w:rPr>
        <w:t xml:space="preserve">Member’s Guide: Aratiki Mema </w:t>
      </w:r>
      <w:r w:rsidRPr="00C65A43">
        <w:rPr>
          <w:sz w:val="20"/>
        </w:rPr>
        <w:t xml:space="preserve">[online document], (2020) </w:t>
      </w:r>
      <w:hyperlink r:id="rId86" w:history="1">
        <w:r w:rsidRPr="00C65A43">
          <w:rPr>
            <w:rStyle w:val="Hyperlink"/>
            <w:sz w:val="20"/>
          </w:rPr>
          <w:t>https://www.parliament.nz/media/4351/members-guide-20-sept.pdf</w:t>
        </w:r>
      </w:hyperlink>
      <w:r w:rsidRPr="00C65A43">
        <w:rPr>
          <w:sz w:val="20"/>
        </w:rPr>
        <w:t>, accessed 27 September 2022.</w:t>
      </w:r>
    </w:p>
    <w:p w14:paraId="6368C277" w14:textId="26B7D524" w:rsidR="00626C59" w:rsidRPr="00C65A43" w:rsidRDefault="00D94758" w:rsidP="00626C59">
      <w:pPr>
        <w:rPr>
          <w:sz w:val="20"/>
        </w:rPr>
      </w:pPr>
      <w:r w:rsidRPr="00C65A43">
        <w:rPr>
          <w:sz w:val="20"/>
        </w:rPr>
        <w:t xml:space="preserve">Ng, Yee-Fui, </w:t>
      </w:r>
      <w:r w:rsidRPr="00C65A43">
        <w:rPr>
          <w:i/>
          <w:sz w:val="20"/>
        </w:rPr>
        <w:t xml:space="preserve">The rise of political advisors in the Westminster system </w:t>
      </w:r>
      <w:r w:rsidRPr="00C65A43">
        <w:rPr>
          <w:sz w:val="20"/>
        </w:rPr>
        <w:t>(Abingdon, Oxon: Routledge, 2018)</w:t>
      </w:r>
    </w:p>
    <w:p w14:paraId="0A63E116" w14:textId="77777777" w:rsidR="00626C59" w:rsidRPr="00C65A43" w:rsidRDefault="00626C59" w:rsidP="00626C59">
      <w:pPr>
        <w:rPr>
          <w:sz w:val="20"/>
        </w:rPr>
      </w:pPr>
      <w:r w:rsidRPr="00C65A43">
        <w:rPr>
          <w:sz w:val="20"/>
        </w:rPr>
        <w:t xml:space="preserve">O’Dwyer&lt; Kelly and Ellis, Kate, </w:t>
      </w:r>
      <w:r w:rsidRPr="00C65A43">
        <w:rPr>
          <w:i/>
          <w:sz w:val="20"/>
        </w:rPr>
        <w:t>Independent Review of the Parliamentary Business Resources Act 2017 and Independent Parliamentary Expenses Authority Act 2017</w:t>
      </w:r>
      <w:r w:rsidRPr="00C65A43">
        <w:rPr>
          <w:sz w:val="20"/>
        </w:rPr>
        <w:t xml:space="preserve"> [online document], (December 2021) </w:t>
      </w:r>
      <w:hyperlink r:id="rId87" w:history="1">
        <w:r w:rsidRPr="00C65A43">
          <w:rPr>
            <w:rStyle w:val="Hyperlink"/>
            <w:sz w:val="20"/>
          </w:rPr>
          <w:t>https://www.finance.gov.au/sites/default/files/2022-08/Independent%20Review%20on%20the%20Parliamentary%20Business%20Resources%20Act%202017%20and%20the%20Independent%20Parliamentary%20Expenses%20Authority%20Act%202017.pdf</w:t>
        </w:r>
      </w:hyperlink>
      <w:r w:rsidRPr="00C65A43">
        <w:rPr>
          <w:sz w:val="20"/>
        </w:rPr>
        <w:t>, accessed 27 September 2022</w:t>
      </w:r>
    </w:p>
    <w:p w14:paraId="609DDA50" w14:textId="77777777" w:rsidR="004C0735" w:rsidRPr="00C65A43" w:rsidRDefault="004C0735" w:rsidP="004C0735">
      <w:pPr>
        <w:rPr>
          <w:sz w:val="20"/>
        </w:rPr>
      </w:pPr>
      <w:r w:rsidRPr="00C65A43">
        <w:rPr>
          <w:sz w:val="20"/>
        </w:rPr>
        <w:t xml:space="preserve">Office of Parliamentary Counsel, </w:t>
      </w:r>
      <w:r w:rsidRPr="00C65A43">
        <w:rPr>
          <w:i/>
          <w:sz w:val="20"/>
        </w:rPr>
        <w:t>Instruments Handbook</w:t>
      </w:r>
      <w:r w:rsidRPr="00C65A43">
        <w:rPr>
          <w:sz w:val="20"/>
        </w:rPr>
        <w:t>, version 3.3 (June 2008)</w:t>
      </w:r>
    </w:p>
    <w:p w14:paraId="5227BF73" w14:textId="64FA83F8" w:rsidR="00626C59" w:rsidRPr="00C65A43" w:rsidRDefault="00626C59" w:rsidP="009B164E">
      <w:pPr>
        <w:rPr>
          <w:sz w:val="20"/>
        </w:rPr>
      </w:pPr>
      <w:r w:rsidRPr="00C65A43">
        <w:rPr>
          <w:i/>
          <w:sz w:val="20"/>
        </w:rPr>
        <w:t>Ombudsman Act 1976</w:t>
      </w:r>
      <w:r w:rsidRPr="00C65A43">
        <w:rPr>
          <w:sz w:val="20"/>
        </w:rPr>
        <w:t xml:space="preserve"> (Cth)</w:t>
      </w:r>
    </w:p>
    <w:p w14:paraId="4E00A1A3" w14:textId="77777777" w:rsidR="0040281E" w:rsidRPr="00C65A43" w:rsidRDefault="0040281E" w:rsidP="0040281E">
      <w:pPr>
        <w:rPr>
          <w:sz w:val="20"/>
        </w:rPr>
      </w:pPr>
      <w:r w:rsidRPr="00C65A43">
        <w:rPr>
          <w:sz w:val="20"/>
        </w:rPr>
        <w:t xml:space="preserve">Parliament of Australia, </w:t>
      </w:r>
      <w:r w:rsidRPr="00C65A43">
        <w:rPr>
          <w:i/>
          <w:sz w:val="20"/>
        </w:rPr>
        <w:t>Members of Parliament (Staff) Act 1984: Consultants engaged under section 4 of the Act, Report 2006-2007</w:t>
      </w:r>
      <w:r w:rsidRPr="00C65A43">
        <w:rPr>
          <w:sz w:val="20"/>
        </w:rPr>
        <w:t>, Parliamentary Paper No. 168 of 2007, Canberra (11 September 2007)</w:t>
      </w:r>
    </w:p>
    <w:p w14:paraId="55119D4A" w14:textId="77777777" w:rsidR="00F8067C" w:rsidRPr="00C65A43" w:rsidRDefault="00F8067C" w:rsidP="00F8067C">
      <w:pPr>
        <w:rPr>
          <w:sz w:val="20"/>
        </w:rPr>
      </w:pPr>
      <w:r w:rsidRPr="00C65A43">
        <w:rPr>
          <w:sz w:val="20"/>
        </w:rPr>
        <w:t xml:space="preserve">Parliament of Australia, </w:t>
      </w:r>
      <w:r w:rsidRPr="00C65A43">
        <w:rPr>
          <w:i/>
          <w:sz w:val="20"/>
        </w:rPr>
        <w:t>Members of Parliament (Staff) Act 1984 – Report under section 31 for 2021-22</w:t>
      </w:r>
      <w:r w:rsidRPr="00C65A43">
        <w:rPr>
          <w:sz w:val="20"/>
        </w:rPr>
        <w:t>, Parliamentary Paper, Canberra (27 September 2007)</w:t>
      </w:r>
    </w:p>
    <w:p w14:paraId="6FF3794D" w14:textId="77777777" w:rsidR="00F8067C" w:rsidRPr="00C65A43" w:rsidRDefault="00F8067C" w:rsidP="00F8067C">
      <w:pPr>
        <w:rPr>
          <w:sz w:val="20"/>
        </w:rPr>
      </w:pPr>
      <w:r w:rsidRPr="00C65A43">
        <w:rPr>
          <w:sz w:val="20"/>
        </w:rPr>
        <w:t xml:space="preserve">Parliament of Australia, Senate, </w:t>
      </w:r>
      <w:r w:rsidRPr="00C65A43">
        <w:rPr>
          <w:i/>
          <w:sz w:val="20"/>
        </w:rPr>
        <w:t>Parliamentary secretaries - procedural orders and resolutions of the Senate of continuing effect</w:t>
      </w:r>
      <w:r w:rsidRPr="00C65A43">
        <w:rPr>
          <w:sz w:val="20"/>
        </w:rPr>
        <w:t xml:space="preserve"> (2006)</w:t>
      </w:r>
    </w:p>
    <w:p w14:paraId="20272A7E" w14:textId="77777777" w:rsidR="0040281E" w:rsidRPr="00C65A43" w:rsidRDefault="0040281E" w:rsidP="0040281E">
      <w:pPr>
        <w:rPr>
          <w:sz w:val="20"/>
        </w:rPr>
      </w:pPr>
      <w:r w:rsidRPr="00C65A43">
        <w:rPr>
          <w:sz w:val="20"/>
        </w:rPr>
        <w:t xml:space="preserve">Parliament of Australia, </w:t>
      </w:r>
      <w:r w:rsidRPr="00C65A43">
        <w:rPr>
          <w:i/>
          <w:sz w:val="20"/>
        </w:rPr>
        <w:t xml:space="preserve">Senate Journals, </w:t>
      </w:r>
      <w:r w:rsidRPr="00C65A43">
        <w:rPr>
          <w:sz w:val="20"/>
        </w:rPr>
        <w:t>No. 11, 8 September 2022, 263</w:t>
      </w:r>
    </w:p>
    <w:p w14:paraId="1995E710" w14:textId="2BE20F39" w:rsidR="0040281E" w:rsidRPr="00C65A43" w:rsidRDefault="0040281E" w:rsidP="0040281E">
      <w:pPr>
        <w:rPr>
          <w:sz w:val="20"/>
        </w:rPr>
      </w:pPr>
      <w:r w:rsidRPr="00C65A43">
        <w:rPr>
          <w:sz w:val="20"/>
        </w:rPr>
        <w:t xml:space="preserve">Parliament of Australia, </w:t>
      </w:r>
      <w:r w:rsidRPr="00C65A43">
        <w:rPr>
          <w:i/>
          <w:sz w:val="20"/>
        </w:rPr>
        <w:t xml:space="preserve">Votes and Proceedings, </w:t>
      </w:r>
      <w:r w:rsidRPr="00C65A43">
        <w:rPr>
          <w:sz w:val="20"/>
        </w:rPr>
        <w:t>No. 2, 27 July 2022, 58</w:t>
      </w:r>
    </w:p>
    <w:p w14:paraId="36F14C99" w14:textId="4C45CF96" w:rsidR="005E680E" w:rsidRPr="00C65A43" w:rsidRDefault="005E680E" w:rsidP="0040281E">
      <w:pPr>
        <w:rPr>
          <w:sz w:val="20"/>
        </w:rPr>
      </w:pPr>
      <w:r w:rsidRPr="00C65A43">
        <w:rPr>
          <w:i/>
          <w:sz w:val="20"/>
        </w:rPr>
        <w:t>Parliamentary Administration Act 2005</w:t>
      </w:r>
      <w:r w:rsidRPr="00C65A43">
        <w:rPr>
          <w:sz w:val="20"/>
        </w:rPr>
        <w:t xml:space="preserve"> (Vic)</w:t>
      </w:r>
    </w:p>
    <w:p w14:paraId="550B8897" w14:textId="77777777" w:rsidR="009B164E" w:rsidRPr="00C65A43" w:rsidRDefault="009B164E" w:rsidP="009B164E">
      <w:pPr>
        <w:rPr>
          <w:b/>
          <w:sz w:val="20"/>
        </w:rPr>
      </w:pPr>
      <w:r w:rsidRPr="00C65A43">
        <w:rPr>
          <w:i/>
          <w:sz w:val="20"/>
        </w:rPr>
        <w:t>Parliamentary Business Resources Act 2017</w:t>
      </w:r>
      <w:r w:rsidR="002B0DC0" w:rsidRPr="00C65A43">
        <w:rPr>
          <w:i/>
          <w:sz w:val="20"/>
        </w:rPr>
        <w:t xml:space="preserve"> </w:t>
      </w:r>
      <w:r w:rsidR="002B0DC0" w:rsidRPr="00C65A43">
        <w:rPr>
          <w:sz w:val="20"/>
        </w:rPr>
        <w:t>(Cth)</w:t>
      </w:r>
    </w:p>
    <w:p w14:paraId="7F8AD694" w14:textId="1CACE122" w:rsidR="009B164E" w:rsidRPr="00C65A43" w:rsidRDefault="009B164E" w:rsidP="009B164E">
      <w:pPr>
        <w:rPr>
          <w:i/>
          <w:sz w:val="20"/>
        </w:rPr>
      </w:pPr>
      <w:r w:rsidRPr="00C65A43">
        <w:rPr>
          <w:i/>
          <w:sz w:val="20"/>
        </w:rPr>
        <w:t xml:space="preserve">Parliamentary Business Resources (former Prime Ministers) Determination 2017 </w:t>
      </w:r>
      <w:r w:rsidRPr="00C65A43">
        <w:rPr>
          <w:sz w:val="20"/>
        </w:rPr>
        <w:t>(</w:t>
      </w:r>
      <w:r w:rsidR="002B0DC0" w:rsidRPr="00C65A43">
        <w:rPr>
          <w:sz w:val="20"/>
        </w:rPr>
        <w:t>Cth</w:t>
      </w:r>
      <w:r w:rsidRPr="00C65A43">
        <w:rPr>
          <w:sz w:val="20"/>
        </w:rPr>
        <w:t>)</w:t>
      </w:r>
    </w:p>
    <w:p w14:paraId="0C56EA19" w14:textId="68111AAC" w:rsidR="009B164E" w:rsidRPr="00C65A43" w:rsidRDefault="009B164E" w:rsidP="009B164E">
      <w:pPr>
        <w:rPr>
          <w:sz w:val="20"/>
        </w:rPr>
      </w:pPr>
      <w:r w:rsidRPr="00C65A43">
        <w:rPr>
          <w:i/>
          <w:sz w:val="20"/>
        </w:rPr>
        <w:t>Parliamentary Business Resources Regulations 2017</w:t>
      </w:r>
      <w:r w:rsidR="000D2BC6" w:rsidRPr="00C65A43">
        <w:rPr>
          <w:sz w:val="20"/>
        </w:rPr>
        <w:t xml:space="preserve"> (Cth)</w:t>
      </w:r>
    </w:p>
    <w:p w14:paraId="2413DA02" w14:textId="25F7B6C5" w:rsidR="0096582B" w:rsidRPr="00C65A43" w:rsidRDefault="0096582B" w:rsidP="009B164E">
      <w:pPr>
        <w:rPr>
          <w:sz w:val="20"/>
        </w:rPr>
      </w:pPr>
      <w:r w:rsidRPr="00C65A43">
        <w:rPr>
          <w:i/>
          <w:sz w:val="20"/>
        </w:rPr>
        <w:t>Parliamentary Precincts Act 1987</w:t>
      </w:r>
      <w:r w:rsidRPr="00C65A43">
        <w:rPr>
          <w:sz w:val="20"/>
        </w:rPr>
        <w:t xml:space="preserve"> (Cth)</w:t>
      </w:r>
    </w:p>
    <w:p w14:paraId="2B2B6594" w14:textId="4495ED81" w:rsidR="0096582B" w:rsidRPr="00C65A43" w:rsidRDefault="0096582B" w:rsidP="009B164E">
      <w:pPr>
        <w:rPr>
          <w:sz w:val="20"/>
        </w:rPr>
      </w:pPr>
      <w:r w:rsidRPr="00C65A43">
        <w:rPr>
          <w:i/>
          <w:sz w:val="20"/>
        </w:rPr>
        <w:t>Parliamentary Precincts Act 1997</w:t>
      </w:r>
      <w:r w:rsidRPr="00C65A43">
        <w:rPr>
          <w:sz w:val="20"/>
        </w:rPr>
        <w:t xml:space="preserve"> (NSW)</w:t>
      </w:r>
    </w:p>
    <w:p w14:paraId="2C848B47" w14:textId="77777777" w:rsidR="00626C59" w:rsidRPr="00C65A43" w:rsidRDefault="00626C59" w:rsidP="00626C59">
      <w:pPr>
        <w:rPr>
          <w:sz w:val="20"/>
        </w:rPr>
      </w:pPr>
      <w:r w:rsidRPr="00C65A43">
        <w:rPr>
          <w:i/>
          <w:sz w:val="20"/>
        </w:rPr>
        <w:t>Parliamentary Privileges Act 1987</w:t>
      </w:r>
      <w:r w:rsidRPr="00C65A43">
        <w:rPr>
          <w:sz w:val="20"/>
        </w:rPr>
        <w:t xml:space="preserve"> (Cth)</w:t>
      </w:r>
    </w:p>
    <w:p w14:paraId="31B39A75" w14:textId="77777777" w:rsidR="00626C59" w:rsidRPr="00C65A43" w:rsidRDefault="00626C59" w:rsidP="00626C59">
      <w:pPr>
        <w:rPr>
          <w:sz w:val="20"/>
        </w:rPr>
      </w:pPr>
      <w:r w:rsidRPr="00C65A43">
        <w:rPr>
          <w:i/>
          <w:sz w:val="20"/>
        </w:rPr>
        <w:t>Parliamentary Service Act 1988</w:t>
      </w:r>
      <w:r w:rsidRPr="00C65A43">
        <w:rPr>
          <w:sz w:val="20"/>
        </w:rPr>
        <w:t xml:space="preserve"> (Qld)</w:t>
      </w:r>
    </w:p>
    <w:p w14:paraId="47D6F1FE" w14:textId="7B019691" w:rsidR="0073724F" w:rsidRPr="00C65A43" w:rsidRDefault="0073724F" w:rsidP="00626C59">
      <w:pPr>
        <w:rPr>
          <w:sz w:val="20"/>
        </w:rPr>
      </w:pPr>
      <w:r w:rsidRPr="00C65A43">
        <w:rPr>
          <w:i/>
          <w:sz w:val="20"/>
        </w:rPr>
        <w:t xml:space="preserve">Parliamentary Service Act 1999 </w:t>
      </w:r>
      <w:r w:rsidRPr="00C65A43">
        <w:rPr>
          <w:sz w:val="20"/>
        </w:rPr>
        <w:t>(Cth)</w:t>
      </w:r>
    </w:p>
    <w:p w14:paraId="08E87298" w14:textId="77777777" w:rsidR="0040281E" w:rsidRPr="00C65A43" w:rsidRDefault="0040281E" w:rsidP="0040281E">
      <w:pPr>
        <w:rPr>
          <w:sz w:val="20"/>
        </w:rPr>
      </w:pPr>
      <w:r w:rsidRPr="00C65A43">
        <w:rPr>
          <w:sz w:val="20"/>
        </w:rPr>
        <w:t xml:space="preserve">Parliamentary Leadership Taskforce </w:t>
      </w:r>
      <w:r w:rsidRPr="00C65A43">
        <w:rPr>
          <w:i/>
          <w:sz w:val="20"/>
        </w:rPr>
        <w:t>Set the Standard: Implementation Tracker – September 2022</w:t>
      </w:r>
      <w:r w:rsidRPr="00C65A43">
        <w:rPr>
          <w:sz w:val="20"/>
        </w:rPr>
        <w:t xml:space="preserve"> [online document], (12 September 2022) </w:t>
      </w:r>
      <w:hyperlink r:id="rId88" w:history="1">
        <w:r w:rsidRPr="00C65A43">
          <w:rPr>
            <w:rStyle w:val="Hyperlink"/>
            <w:sz w:val="20"/>
          </w:rPr>
          <w:t>https://www.aph.gov.au/-/media/05_About_Parliament/Parliamentary_</w:t>
        </w:r>
        <w:r w:rsidRPr="00C65A43">
          <w:rPr>
            <w:rStyle w:val="Hyperlink"/>
            <w:sz w:val="20"/>
          </w:rPr>
          <w:br/>
          <w:t>Leadership_Taskforce/Implementation_tracker/Implementation_Tracker_-_12_September_2022.</w:t>
        </w:r>
        <w:r w:rsidRPr="00C65A43">
          <w:rPr>
            <w:rStyle w:val="Hyperlink"/>
            <w:sz w:val="20"/>
          </w:rPr>
          <w:br/>
          <w:t>pdf?la=en&amp;hash=B307905768EE4BDD507BF43B83D4D7660AD7A301</w:t>
        </w:r>
      </w:hyperlink>
      <w:r w:rsidRPr="00C65A43">
        <w:rPr>
          <w:sz w:val="20"/>
        </w:rPr>
        <w:t>, accessed 22 September 2022</w:t>
      </w:r>
    </w:p>
    <w:p w14:paraId="7821BAB8" w14:textId="01252D5F" w:rsidR="00626C59" w:rsidRPr="00C65A43" w:rsidRDefault="00626C59" w:rsidP="00626C59">
      <w:pPr>
        <w:rPr>
          <w:sz w:val="20"/>
        </w:rPr>
      </w:pPr>
      <w:r w:rsidRPr="00C65A43">
        <w:rPr>
          <w:i/>
          <w:sz w:val="20"/>
        </w:rPr>
        <w:t xml:space="preserve">Parliamentary Workplace Reform (Set the Standard Measures No. 1) Act 2022 </w:t>
      </w:r>
      <w:r w:rsidRPr="00C65A43">
        <w:rPr>
          <w:sz w:val="20"/>
        </w:rPr>
        <w:t>(Cth)</w:t>
      </w:r>
    </w:p>
    <w:p w14:paraId="3606CFA5" w14:textId="77777777" w:rsidR="00F8067C" w:rsidRPr="00C65A43" w:rsidRDefault="00F8067C" w:rsidP="00F8067C">
      <w:pPr>
        <w:rPr>
          <w:sz w:val="20"/>
        </w:rPr>
      </w:pPr>
      <w:r w:rsidRPr="00C65A43">
        <w:rPr>
          <w:sz w:val="20"/>
        </w:rPr>
        <w:t xml:space="preserve">Pearce, Dennis, </w:t>
      </w:r>
      <w:r w:rsidRPr="00C65A43">
        <w:rPr>
          <w:i/>
          <w:sz w:val="20"/>
        </w:rPr>
        <w:t xml:space="preserve">Statutory Interpretation in Australia </w:t>
      </w:r>
      <w:r w:rsidRPr="00C65A43">
        <w:rPr>
          <w:sz w:val="20"/>
        </w:rPr>
        <w:t>(9</w:t>
      </w:r>
      <w:r w:rsidRPr="00C65A43">
        <w:rPr>
          <w:sz w:val="20"/>
          <w:vertAlign w:val="superscript"/>
        </w:rPr>
        <w:t>th</w:t>
      </w:r>
      <w:r w:rsidRPr="00C65A43">
        <w:rPr>
          <w:sz w:val="20"/>
        </w:rPr>
        <w:t xml:space="preserve"> edn., Chatwood, New South Wales: LexixNexis Butterworths, 2019)</w:t>
      </w:r>
    </w:p>
    <w:p w14:paraId="71C871CC" w14:textId="77777777" w:rsidR="00F8067C" w:rsidRPr="00C65A43" w:rsidRDefault="00F8067C" w:rsidP="00F8067C">
      <w:pPr>
        <w:rPr>
          <w:sz w:val="20"/>
        </w:rPr>
      </w:pPr>
      <w:r w:rsidRPr="00C65A43">
        <w:rPr>
          <w:i/>
          <w:sz w:val="20"/>
        </w:rPr>
        <w:t xml:space="preserve">The Premier’s Ministerial Office Staffing as at 20 January 2022 </w:t>
      </w:r>
      <w:r w:rsidRPr="00C65A43">
        <w:rPr>
          <w:sz w:val="20"/>
        </w:rPr>
        <w:t xml:space="preserve">[online document] (2022) </w:t>
      </w:r>
      <w:hyperlink r:id="rId89" w:history="1">
        <w:r w:rsidRPr="00C65A43">
          <w:rPr>
            <w:rStyle w:val="Hyperlink"/>
            <w:sz w:val="20"/>
          </w:rPr>
          <w:t>https://www.parliament.wa.gov.au/publications/tabledpapers.nsf/displaypaper/4110971a83eb3ad3b261b38c482587f300066644/$file/tp+971+(2022)+-+ministerial+resourcing+report+as+at+20+january+2022.pdf</w:t>
        </w:r>
      </w:hyperlink>
      <w:r w:rsidRPr="00C65A43">
        <w:rPr>
          <w:sz w:val="20"/>
        </w:rPr>
        <w:t>, accessed 13 September 2022.</w:t>
      </w:r>
    </w:p>
    <w:p w14:paraId="2FD24A7F" w14:textId="77777777" w:rsidR="00626C59" w:rsidRPr="00C65A43" w:rsidRDefault="00626C59" w:rsidP="00626C59">
      <w:pPr>
        <w:rPr>
          <w:sz w:val="20"/>
        </w:rPr>
      </w:pPr>
      <w:r w:rsidRPr="00C65A43">
        <w:rPr>
          <w:i/>
          <w:sz w:val="20"/>
        </w:rPr>
        <w:t>Public Administration Act 2004</w:t>
      </w:r>
      <w:r w:rsidRPr="00C65A43">
        <w:rPr>
          <w:sz w:val="20"/>
        </w:rPr>
        <w:t xml:space="preserve"> (Vic)</w:t>
      </w:r>
    </w:p>
    <w:p w14:paraId="12DB2871" w14:textId="77777777" w:rsidR="00626C59" w:rsidRPr="00C65A43" w:rsidRDefault="00626C59" w:rsidP="00626C59">
      <w:pPr>
        <w:rPr>
          <w:sz w:val="20"/>
        </w:rPr>
      </w:pPr>
      <w:r w:rsidRPr="00C65A43">
        <w:rPr>
          <w:i/>
          <w:sz w:val="20"/>
        </w:rPr>
        <w:t>Public Governance, Performance and Accountability Rule 2014</w:t>
      </w:r>
      <w:r w:rsidRPr="00C65A43">
        <w:rPr>
          <w:sz w:val="20"/>
        </w:rPr>
        <w:t xml:space="preserve"> (Cth)</w:t>
      </w:r>
    </w:p>
    <w:p w14:paraId="00B2DAE5" w14:textId="205DAAA6" w:rsidR="005E680E" w:rsidRPr="00C65A43" w:rsidRDefault="005E680E" w:rsidP="00626C59">
      <w:pPr>
        <w:rPr>
          <w:sz w:val="20"/>
        </w:rPr>
      </w:pPr>
      <w:r w:rsidRPr="00C65A43">
        <w:rPr>
          <w:i/>
          <w:sz w:val="20"/>
        </w:rPr>
        <w:t>Public Sector Act 2009</w:t>
      </w:r>
      <w:r w:rsidRPr="00C65A43">
        <w:rPr>
          <w:sz w:val="20"/>
        </w:rPr>
        <w:t xml:space="preserve"> (SA)</w:t>
      </w:r>
    </w:p>
    <w:p w14:paraId="666D7F2A" w14:textId="77777777" w:rsidR="00626C59" w:rsidRPr="00C65A43" w:rsidRDefault="00626C59" w:rsidP="00626C59">
      <w:pPr>
        <w:rPr>
          <w:sz w:val="20"/>
        </w:rPr>
      </w:pPr>
      <w:r w:rsidRPr="00C65A43">
        <w:rPr>
          <w:i/>
          <w:sz w:val="20"/>
        </w:rPr>
        <w:t>Public Sector Employment and Management Act 1993</w:t>
      </w:r>
      <w:r w:rsidRPr="00C65A43">
        <w:rPr>
          <w:sz w:val="20"/>
        </w:rPr>
        <w:t xml:space="preserve"> (NSW)</w:t>
      </w:r>
    </w:p>
    <w:p w14:paraId="4C041E3D" w14:textId="5E1CEE76" w:rsidR="0096582B" w:rsidRPr="00C65A43" w:rsidRDefault="0096582B" w:rsidP="00626C59">
      <w:pPr>
        <w:rPr>
          <w:i/>
          <w:sz w:val="20"/>
        </w:rPr>
      </w:pPr>
      <w:r w:rsidRPr="00C65A43">
        <w:rPr>
          <w:i/>
          <w:sz w:val="20"/>
        </w:rPr>
        <w:t xml:space="preserve">Public Sector Management Act 1994 </w:t>
      </w:r>
      <w:r w:rsidRPr="00C65A43">
        <w:rPr>
          <w:sz w:val="20"/>
        </w:rPr>
        <w:t>(WA)</w:t>
      </w:r>
    </w:p>
    <w:p w14:paraId="70927BBD" w14:textId="77777777" w:rsidR="00626C59" w:rsidRPr="00C65A43" w:rsidRDefault="00626C59" w:rsidP="00626C59">
      <w:pPr>
        <w:rPr>
          <w:sz w:val="20"/>
        </w:rPr>
      </w:pPr>
      <w:r w:rsidRPr="00C65A43">
        <w:rPr>
          <w:i/>
          <w:sz w:val="20"/>
        </w:rPr>
        <w:t>Public Service Act 1999</w:t>
      </w:r>
      <w:r w:rsidRPr="00C65A43">
        <w:rPr>
          <w:sz w:val="20"/>
        </w:rPr>
        <w:t xml:space="preserve"> (Cth)</w:t>
      </w:r>
    </w:p>
    <w:p w14:paraId="68D4F1C6" w14:textId="77777777" w:rsidR="00626C59" w:rsidRPr="00C65A43" w:rsidRDefault="00626C59" w:rsidP="00626C59">
      <w:pPr>
        <w:rPr>
          <w:sz w:val="20"/>
        </w:rPr>
      </w:pPr>
      <w:r w:rsidRPr="00C65A43">
        <w:rPr>
          <w:i/>
          <w:sz w:val="20"/>
        </w:rPr>
        <w:t>Public Service Act 2020</w:t>
      </w:r>
      <w:r w:rsidRPr="00C65A43">
        <w:rPr>
          <w:sz w:val="20"/>
        </w:rPr>
        <w:t xml:space="preserve"> (NZ)</w:t>
      </w:r>
    </w:p>
    <w:p w14:paraId="4D61AC54" w14:textId="77777777" w:rsidR="00626C59" w:rsidRPr="00C65A43" w:rsidRDefault="00626C59" w:rsidP="00626C59">
      <w:pPr>
        <w:rPr>
          <w:i/>
          <w:sz w:val="20"/>
        </w:rPr>
      </w:pPr>
      <w:r w:rsidRPr="00C65A43">
        <w:rPr>
          <w:i/>
          <w:sz w:val="20"/>
        </w:rPr>
        <w:t xml:space="preserve">Public Service Regulations 1999 </w:t>
      </w:r>
      <w:r w:rsidRPr="00C65A43">
        <w:rPr>
          <w:sz w:val="20"/>
        </w:rPr>
        <w:t>(Cth)</w:t>
      </w:r>
    </w:p>
    <w:p w14:paraId="4C7CBF82" w14:textId="5270F725" w:rsidR="00800A9D" w:rsidRPr="00C65A43" w:rsidRDefault="00F8067C" w:rsidP="00382776">
      <w:pPr>
        <w:rPr>
          <w:sz w:val="20"/>
        </w:rPr>
      </w:pPr>
      <w:r w:rsidRPr="00C65A43">
        <w:rPr>
          <w:sz w:val="20"/>
        </w:rPr>
        <w:t xml:space="preserve">PWC, </w:t>
      </w:r>
      <w:r w:rsidRPr="00C65A43">
        <w:rPr>
          <w:i/>
          <w:sz w:val="20"/>
        </w:rPr>
        <w:t>18</w:t>
      </w:r>
      <w:r w:rsidRPr="00C65A43">
        <w:rPr>
          <w:i/>
          <w:sz w:val="20"/>
          <w:vertAlign w:val="superscript"/>
        </w:rPr>
        <w:t>th</w:t>
      </w:r>
      <w:r w:rsidRPr="00C65A43">
        <w:rPr>
          <w:i/>
          <w:sz w:val="20"/>
        </w:rPr>
        <w:t xml:space="preserve"> Annual Global CEO Survey</w:t>
      </w:r>
      <w:r w:rsidRPr="00C65A43">
        <w:rPr>
          <w:sz w:val="20"/>
        </w:rPr>
        <w:t xml:space="preserve"> [website] (January 2015) </w:t>
      </w:r>
      <w:hyperlink r:id="rId90" w:history="1">
        <w:r w:rsidRPr="00C65A43">
          <w:rPr>
            <w:rStyle w:val="Hyperlink"/>
            <w:sz w:val="20"/>
          </w:rPr>
          <w:t>https://www.pwc.com/gx/en/ceo-survey/2015/assets/pwc-18th-annual-global-ceo-survey-jan-2015.pdf</w:t>
        </w:r>
      </w:hyperlink>
      <w:r w:rsidRPr="00C65A43">
        <w:rPr>
          <w:sz w:val="20"/>
        </w:rPr>
        <w:t>, accessed 20 September 2022.</w:t>
      </w:r>
    </w:p>
    <w:p w14:paraId="43B70896" w14:textId="77777777" w:rsidR="00800A9D" w:rsidRPr="00C65A43" w:rsidRDefault="00800A9D" w:rsidP="00800A9D">
      <w:pPr>
        <w:rPr>
          <w:i/>
          <w:sz w:val="20"/>
        </w:rPr>
      </w:pPr>
      <w:r w:rsidRPr="00C65A43">
        <w:rPr>
          <w:sz w:val="20"/>
        </w:rPr>
        <w:t xml:space="preserve">Queensland Independent Remuneration Tribunal, </w:t>
      </w:r>
      <w:r w:rsidRPr="00C65A43">
        <w:rPr>
          <w:i/>
          <w:sz w:val="20"/>
        </w:rPr>
        <w:t>Determination 23/2021 – Additional Staff Member &amp; Remuneration Determination: 2021 Review of the Additional Staffing levels for Cross Bench Members of the 57</w:t>
      </w:r>
      <w:r w:rsidRPr="00C65A43">
        <w:rPr>
          <w:i/>
          <w:sz w:val="20"/>
          <w:vertAlign w:val="superscript"/>
        </w:rPr>
        <w:t>th</w:t>
      </w:r>
      <w:r w:rsidRPr="00C65A43">
        <w:rPr>
          <w:i/>
          <w:sz w:val="20"/>
        </w:rPr>
        <w:t xml:space="preserve"> Parliament</w:t>
      </w:r>
      <w:r w:rsidRPr="00C65A43">
        <w:rPr>
          <w:sz w:val="20"/>
        </w:rPr>
        <w:t xml:space="preserve"> (24 February 2021)</w:t>
      </w:r>
    </w:p>
    <w:p w14:paraId="18E35673" w14:textId="2529D4C2" w:rsidR="00626C59" w:rsidRPr="00C65A43" w:rsidRDefault="00800A9D" w:rsidP="009B164E">
      <w:pPr>
        <w:rPr>
          <w:sz w:val="20"/>
        </w:rPr>
      </w:pPr>
      <w:r w:rsidRPr="00C65A43">
        <w:rPr>
          <w:i/>
          <w:sz w:val="20"/>
        </w:rPr>
        <w:t xml:space="preserve">Queensland Independent Remuneration Tribunal Act 2013 </w:t>
      </w:r>
      <w:r w:rsidRPr="00C65A43">
        <w:rPr>
          <w:sz w:val="20"/>
        </w:rPr>
        <w:t>(Qld)</w:t>
      </w:r>
    </w:p>
    <w:p w14:paraId="56DDD81C" w14:textId="33571FFF" w:rsidR="00626C59" w:rsidRPr="00C65A43" w:rsidRDefault="00626C59" w:rsidP="009B164E">
      <w:pPr>
        <w:rPr>
          <w:sz w:val="20"/>
        </w:rPr>
      </w:pPr>
      <w:r w:rsidRPr="00C65A43">
        <w:rPr>
          <w:i/>
          <w:sz w:val="20"/>
        </w:rPr>
        <w:t>Racial Discrimination Act 1975</w:t>
      </w:r>
      <w:r w:rsidRPr="00C65A43">
        <w:rPr>
          <w:sz w:val="20"/>
        </w:rPr>
        <w:t xml:space="preserve"> (Cth)</w:t>
      </w:r>
    </w:p>
    <w:p w14:paraId="0641001B" w14:textId="77777777" w:rsidR="0040281E" w:rsidRPr="00C65A43" w:rsidRDefault="0040281E" w:rsidP="0040281E">
      <w:pPr>
        <w:rPr>
          <w:sz w:val="20"/>
        </w:rPr>
      </w:pPr>
      <w:r w:rsidRPr="00C65A43">
        <w:rPr>
          <w:i/>
          <w:sz w:val="20"/>
        </w:rPr>
        <w:t>Saeed v Minister for Immigration and Citizenship</w:t>
      </w:r>
      <w:r w:rsidRPr="00C65A43">
        <w:rPr>
          <w:sz w:val="20"/>
        </w:rPr>
        <w:t xml:space="preserve"> (2010) 241 CLR 252</w:t>
      </w:r>
    </w:p>
    <w:p w14:paraId="6B58A4B8" w14:textId="36751196" w:rsidR="009E68A4" w:rsidRPr="00C65A43" w:rsidRDefault="009E68A4" w:rsidP="009E68A4">
      <w:pPr>
        <w:rPr>
          <w:sz w:val="20"/>
        </w:rPr>
      </w:pPr>
      <w:r w:rsidRPr="00C65A43">
        <w:rPr>
          <w:sz w:val="20"/>
        </w:rPr>
        <w:t xml:space="preserve">Safe Work Australia, </w:t>
      </w:r>
      <w:r w:rsidRPr="00C65A43">
        <w:rPr>
          <w:i/>
          <w:sz w:val="20"/>
        </w:rPr>
        <w:t>Model Code of Practice: Managing psychosocial hazards at work</w:t>
      </w:r>
      <w:r w:rsidRPr="00C65A43">
        <w:rPr>
          <w:sz w:val="20"/>
        </w:rPr>
        <w:t xml:space="preserve"> [website], (2022) </w:t>
      </w:r>
      <w:hyperlink r:id="rId91" w:history="1">
        <w:r w:rsidRPr="00C65A43">
          <w:rPr>
            <w:rStyle w:val="Hyperlink"/>
            <w:sz w:val="20"/>
          </w:rPr>
          <w:t>https://www.safeworkaustralia.gov.au/doc/model-code-practice-managing-psychosocial-hazards-work</w:t>
        </w:r>
      </w:hyperlink>
      <w:r w:rsidRPr="00C65A43">
        <w:rPr>
          <w:sz w:val="20"/>
        </w:rPr>
        <w:t>, accessed 23 September 2022</w:t>
      </w:r>
    </w:p>
    <w:p w14:paraId="7EF32205" w14:textId="7CA332F5" w:rsidR="00626C59" w:rsidRPr="00C65A43" w:rsidRDefault="00626C59" w:rsidP="00626C59">
      <w:pPr>
        <w:rPr>
          <w:sz w:val="20"/>
        </w:rPr>
      </w:pPr>
      <w:r w:rsidRPr="00C65A43">
        <w:rPr>
          <w:sz w:val="20"/>
        </w:rPr>
        <w:t xml:space="preserve">Senate Select Committee of a Certain Maritime Incident, </w:t>
      </w:r>
      <w:r w:rsidR="00F354DD" w:rsidRPr="00C65A43">
        <w:rPr>
          <w:sz w:val="20"/>
        </w:rPr>
        <w:t>Parliament of Australia</w:t>
      </w:r>
      <w:r w:rsidRPr="00C65A43">
        <w:rPr>
          <w:sz w:val="20"/>
        </w:rPr>
        <w:t>, (2002)</w:t>
      </w:r>
    </w:p>
    <w:p w14:paraId="28BBDC56" w14:textId="1FE3A3C5" w:rsidR="00626C59" w:rsidRPr="00C65A43" w:rsidRDefault="00626C59" w:rsidP="00626C59">
      <w:pPr>
        <w:rPr>
          <w:sz w:val="20"/>
        </w:rPr>
      </w:pPr>
      <w:r w:rsidRPr="00C65A43">
        <w:rPr>
          <w:sz w:val="20"/>
        </w:rPr>
        <w:t xml:space="preserve">Senate Standing Finance and Public Administration References Committee, </w:t>
      </w:r>
      <w:r w:rsidR="00F354DD" w:rsidRPr="00C65A43">
        <w:rPr>
          <w:sz w:val="20"/>
        </w:rPr>
        <w:t>Parliament of Australia</w:t>
      </w:r>
      <w:r w:rsidRPr="00C65A43">
        <w:rPr>
          <w:sz w:val="20"/>
        </w:rPr>
        <w:t xml:space="preserve">, </w:t>
      </w:r>
      <w:r w:rsidRPr="00C65A43">
        <w:rPr>
          <w:i/>
          <w:sz w:val="20"/>
        </w:rPr>
        <w:t>Staff employed under the Members of Parliament (Staff) Act 1984</w:t>
      </w:r>
      <w:r w:rsidRPr="00C65A43">
        <w:rPr>
          <w:sz w:val="20"/>
        </w:rPr>
        <w:t xml:space="preserve"> (2003)</w:t>
      </w:r>
    </w:p>
    <w:p w14:paraId="4E5D0164" w14:textId="536FD3C5" w:rsidR="00626C59" w:rsidRPr="00C65A43" w:rsidRDefault="00626C59" w:rsidP="00626C59">
      <w:pPr>
        <w:rPr>
          <w:sz w:val="20"/>
        </w:rPr>
      </w:pPr>
      <w:r w:rsidRPr="00C65A43">
        <w:rPr>
          <w:i/>
          <w:sz w:val="20"/>
        </w:rPr>
        <w:t>Sex Discrimination Act 1984</w:t>
      </w:r>
      <w:r w:rsidRPr="00C65A43">
        <w:rPr>
          <w:sz w:val="20"/>
        </w:rPr>
        <w:t xml:space="preserve"> (Cth)</w:t>
      </w:r>
    </w:p>
    <w:p w14:paraId="42B17B5A" w14:textId="77777777" w:rsidR="00626C59" w:rsidRPr="00C65A43" w:rsidRDefault="00626C59" w:rsidP="00626C59">
      <w:pPr>
        <w:rPr>
          <w:sz w:val="20"/>
        </w:rPr>
      </w:pPr>
      <w:r w:rsidRPr="00C65A43">
        <w:rPr>
          <w:i/>
          <w:sz w:val="20"/>
        </w:rPr>
        <w:t>Sex Discrimination and Fair Work (Respect at Work) Amendment Act 2021</w:t>
      </w:r>
      <w:r w:rsidRPr="00C65A43">
        <w:rPr>
          <w:sz w:val="20"/>
        </w:rPr>
        <w:t xml:space="preserve"> (Cth)</w:t>
      </w:r>
    </w:p>
    <w:p w14:paraId="5AFAE11F" w14:textId="6DB8F657" w:rsidR="00F8067C" w:rsidRPr="00C65A43" w:rsidRDefault="00F8067C" w:rsidP="00F8067C">
      <w:pPr>
        <w:rPr>
          <w:sz w:val="20"/>
        </w:rPr>
      </w:pPr>
      <w:r w:rsidRPr="00C65A43">
        <w:rPr>
          <w:sz w:val="20"/>
        </w:rPr>
        <w:t xml:space="preserve">South Australian Government, </w:t>
      </w:r>
      <w:r w:rsidRPr="00C65A43">
        <w:rPr>
          <w:i/>
          <w:sz w:val="20"/>
        </w:rPr>
        <w:t>Directions of the Premier Under Section 10 of the Public Sector Act SA</w:t>
      </w:r>
      <w:r w:rsidRPr="00C65A43">
        <w:rPr>
          <w:sz w:val="20"/>
        </w:rPr>
        <w:t xml:space="preserve"> (2009) [online document], (24 August 2019), </w:t>
      </w:r>
      <w:hyperlink r:id="rId92" w:history="1">
        <w:r w:rsidRPr="00C65A43">
          <w:rPr>
            <w:rStyle w:val="Hyperlink"/>
            <w:sz w:val="20"/>
          </w:rPr>
          <w:t>https://www.publicsector.sa.gov.au/__data/assets/pdf_file/0015/214008/20181002-Direction-of-the-Premier-of-South-Australia-Recruitment.pdf</w:t>
        </w:r>
      </w:hyperlink>
      <w:r w:rsidRPr="00C65A43">
        <w:rPr>
          <w:sz w:val="20"/>
        </w:rPr>
        <w:t>, accessed 1 September 2022</w:t>
      </w:r>
    </w:p>
    <w:p w14:paraId="0DFB917B" w14:textId="190BE56A" w:rsidR="00F8067C" w:rsidRPr="00C65A43" w:rsidRDefault="00F8067C" w:rsidP="00F8067C">
      <w:pPr>
        <w:rPr>
          <w:sz w:val="20"/>
        </w:rPr>
      </w:pPr>
      <w:r w:rsidRPr="00C65A43">
        <w:rPr>
          <w:sz w:val="20"/>
        </w:rPr>
        <w:t xml:space="preserve">South Australian Government, </w:t>
      </w:r>
      <w:r w:rsidRPr="00C65A43">
        <w:rPr>
          <w:i/>
          <w:sz w:val="20"/>
        </w:rPr>
        <w:t>Pre-Employment Declaration Form</w:t>
      </w:r>
      <w:r w:rsidRPr="00C65A43">
        <w:rPr>
          <w:sz w:val="20"/>
        </w:rPr>
        <w:t xml:space="preserve"> [online document], (May 2022), </w:t>
      </w:r>
      <w:hyperlink r:id="rId93" w:history="1">
        <w:r w:rsidRPr="00C65A43">
          <w:rPr>
            <w:rStyle w:val="Hyperlink"/>
            <w:sz w:val="20"/>
          </w:rPr>
          <w:t>https://www.publicsector.sa.gov.au/__data/assets/pdf_file/0003/214077/Pre-Employment-Declaration_240522.pdf</w:t>
        </w:r>
      </w:hyperlink>
      <w:r w:rsidRPr="00C65A43">
        <w:rPr>
          <w:sz w:val="20"/>
        </w:rPr>
        <w:t>, accessed 28 September 2022</w:t>
      </w:r>
    </w:p>
    <w:p w14:paraId="64626F9C" w14:textId="2E9A3C11" w:rsidR="00D94758" w:rsidRPr="00C65A43" w:rsidRDefault="0040281E" w:rsidP="00626C59">
      <w:pPr>
        <w:rPr>
          <w:sz w:val="20"/>
        </w:rPr>
      </w:pPr>
      <w:r w:rsidRPr="00C65A43">
        <w:rPr>
          <w:sz w:val="20"/>
        </w:rPr>
        <w:t xml:space="preserve">Special Minister of State, </w:t>
      </w:r>
      <w:r w:rsidRPr="00C65A43">
        <w:rPr>
          <w:i/>
          <w:sz w:val="20"/>
        </w:rPr>
        <w:t>Ministerial Staff Code of Conduct</w:t>
      </w:r>
      <w:r w:rsidRPr="00C65A43">
        <w:rPr>
          <w:sz w:val="20"/>
        </w:rPr>
        <w:t xml:space="preserve"> [</w:t>
      </w:r>
      <w:r w:rsidR="00A74693" w:rsidRPr="00C65A43">
        <w:rPr>
          <w:sz w:val="20"/>
        </w:rPr>
        <w:t>website</w:t>
      </w:r>
      <w:r w:rsidRPr="00C65A43">
        <w:rPr>
          <w:sz w:val="20"/>
        </w:rPr>
        <w:t xml:space="preserve">], (no date) </w:t>
      </w:r>
      <w:hyperlink r:id="rId94" w:history="1">
        <w:r w:rsidRPr="00C65A43">
          <w:rPr>
            <w:rStyle w:val="Hyperlink"/>
            <w:sz w:val="20"/>
          </w:rPr>
          <w:t>https://www.smos.gov.au/ministerial-staff-code-conduct</w:t>
        </w:r>
      </w:hyperlink>
      <w:r w:rsidRPr="00C65A43">
        <w:rPr>
          <w:sz w:val="20"/>
        </w:rPr>
        <w:t>, accessed 21 September 2022</w:t>
      </w:r>
    </w:p>
    <w:p w14:paraId="3C634C1C" w14:textId="77777777" w:rsidR="00382776" w:rsidRPr="00C65A43" w:rsidRDefault="00382776" w:rsidP="00382776">
      <w:pPr>
        <w:rPr>
          <w:rFonts w:cs="Open Sans"/>
          <w:sz w:val="20"/>
          <w:lang w:val="en-US"/>
        </w:rPr>
      </w:pPr>
      <w:r w:rsidRPr="00C65A43">
        <w:rPr>
          <w:rFonts w:cs="Open Sans"/>
          <w:sz w:val="20"/>
          <w:lang w:val="en-US"/>
        </w:rPr>
        <w:t xml:space="preserve">Thompson, Elaine, ‘Democracy Undermined: Reforms to the Australian Public Service from Whitlam to Hawke’, </w:t>
      </w:r>
      <w:r w:rsidRPr="00C65A43">
        <w:rPr>
          <w:i/>
          <w:sz w:val="20"/>
        </w:rPr>
        <w:t>The Australian Quarterly</w:t>
      </w:r>
      <w:r w:rsidRPr="00C65A43">
        <w:rPr>
          <w:sz w:val="20"/>
        </w:rPr>
        <w:t>,</w:t>
      </w:r>
      <w:r w:rsidRPr="00C65A43">
        <w:rPr>
          <w:rFonts w:cs="Open Sans"/>
          <w:sz w:val="20"/>
          <w:lang w:val="en-US"/>
        </w:rPr>
        <w:t xml:space="preserve"> 63/2 (Winter 1991), 127-142</w:t>
      </w:r>
    </w:p>
    <w:p w14:paraId="6F0ECD02" w14:textId="6059F51F" w:rsidR="00382776" w:rsidRPr="00C65A43" w:rsidRDefault="00382776" w:rsidP="00382776">
      <w:pPr>
        <w:rPr>
          <w:sz w:val="20"/>
        </w:rPr>
      </w:pPr>
      <w:r w:rsidRPr="00C65A43">
        <w:rPr>
          <w:sz w:val="20"/>
        </w:rPr>
        <w:t xml:space="preserve">Tiernan, Anne, Submission No E28 to Australian Human Rights Commission, </w:t>
      </w:r>
      <w:r w:rsidRPr="00C65A43">
        <w:rPr>
          <w:i/>
          <w:sz w:val="20"/>
        </w:rPr>
        <w:t xml:space="preserve">Independent Review into Commonwealth Parliamentary Workplaces </w:t>
      </w:r>
      <w:r w:rsidRPr="00C65A43">
        <w:rPr>
          <w:sz w:val="20"/>
        </w:rPr>
        <w:t>(30 July 2021)</w:t>
      </w:r>
    </w:p>
    <w:p w14:paraId="4EE4AFCB" w14:textId="1EF148B9" w:rsidR="00D94758" w:rsidRPr="00C65A43" w:rsidRDefault="00D94758" w:rsidP="00626C59">
      <w:pPr>
        <w:rPr>
          <w:sz w:val="20"/>
        </w:rPr>
      </w:pPr>
      <w:r w:rsidRPr="00C65A43">
        <w:rPr>
          <w:sz w:val="20"/>
        </w:rPr>
        <w:t xml:space="preserve">Thodey, David, and Department of the Prime Minister and Cabinet, </w:t>
      </w:r>
      <w:r w:rsidRPr="00C65A43">
        <w:rPr>
          <w:i/>
          <w:sz w:val="20"/>
        </w:rPr>
        <w:t>Our Public Service, Our Future,</w:t>
      </w:r>
      <w:r w:rsidRPr="00C65A43">
        <w:rPr>
          <w:sz w:val="20"/>
        </w:rPr>
        <w:t xml:space="preserve"> </w:t>
      </w:r>
      <w:r w:rsidRPr="00C65A43">
        <w:rPr>
          <w:i/>
          <w:sz w:val="20"/>
        </w:rPr>
        <w:t xml:space="preserve">Independent Review of the Australian Public Service </w:t>
      </w:r>
      <w:r w:rsidRPr="00C65A43">
        <w:rPr>
          <w:sz w:val="20"/>
        </w:rPr>
        <w:t xml:space="preserve">(2019) </w:t>
      </w:r>
      <w:hyperlink r:id="rId95" w:history="1">
        <w:r w:rsidRPr="00C65A43">
          <w:rPr>
            <w:rStyle w:val="Hyperlink"/>
            <w:sz w:val="20"/>
          </w:rPr>
          <w:t>https://www.pmc.gov.au/sites/default/files/publications/independent-review-aps.pdf</w:t>
        </w:r>
      </w:hyperlink>
      <w:r w:rsidRPr="00C65A43">
        <w:rPr>
          <w:sz w:val="20"/>
        </w:rPr>
        <w:t>, accessed 15 September 2022</w:t>
      </w:r>
    </w:p>
    <w:p w14:paraId="1934B75F" w14:textId="77777777" w:rsidR="004C0735" w:rsidRPr="00C65A43" w:rsidRDefault="004C0735" w:rsidP="004C0735">
      <w:pPr>
        <w:rPr>
          <w:sz w:val="20"/>
        </w:rPr>
      </w:pPr>
      <w:r w:rsidRPr="00C65A43">
        <w:rPr>
          <w:sz w:val="20"/>
        </w:rPr>
        <w:t xml:space="preserve">UK House of Commons, Research Briefing, </w:t>
      </w:r>
      <w:r w:rsidRPr="00C65A43">
        <w:rPr>
          <w:i/>
          <w:sz w:val="20"/>
        </w:rPr>
        <w:t xml:space="preserve">Speaker’s Conference on the employment of Members’ staff </w:t>
      </w:r>
      <w:r w:rsidRPr="00C65A43">
        <w:rPr>
          <w:sz w:val="20"/>
        </w:rPr>
        <w:t>[website]</w:t>
      </w:r>
      <w:r w:rsidRPr="00C65A43">
        <w:rPr>
          <w:i/>
          <w:sz w:val="20"/>
        </w:rPr>
        <w:t xml:space="preserve">, </w:t>
      </w:r>
      <w:r w:rsidRPr="00C65A43">
        <w:rPr>
          <w:sz w:val="20"/>
        </w:rPr>
        <w:t xml:space="preserve">(27 July 2022) </w:t>
      </w:r>
      <w:hyperlink r:id="rId96" w:history="1">
        <w:r w:rsidRPr="00C65A43">
          <w:rPr>
            <w:rStyle w:val="Hyperlink"/>
            <w:sz w:val="20"/>
          </w:rPr>
          <w:t>https://commonslibrary.parliament.uk/research-briefings/cbp-9572/</w:t>
        </w:r>
      </w:hyperlink>
      <w:r w:rsidRPr="00C65A43">
        <w:rPr>
          <w:rStyle w:val="Hyperlink"/>
          <w:sz w:val="20"/>
        </w:rPr>
        <w:t>,</w:t>
      </w:r>
      <w:r w:rsidRPr="00C65A43">
        <w:rPr>
          <w:sz w:val="20"/>
        </w:rPr>
        <w:t xml:space="preserve"> accessed 22 September 2022</w:t>
      </w:r>
    </w:p>
    <w:p w14:paraId="0807554A" w14:textId="77777777" w:rsidR="00EE156C" w:rsidRPr="00C65A43" w:rsidRDefault="00EE156C" w:rsidP="00EE156C">
      <w:pPr>
        <w:rPr>
          <w:sz w:val="20"/>
        </w:rPr>
      </w:pPr>
      <w:r w:rsidRPr="00C65A43">
        <w:rPr>
          <w:sz w:val="20"/>
        </w:rPr>
        <w:t xml:space="preserve">UK Parliament, </w:t>
      </w:r>
      <w:r w:rsidRPr="00C65A43">
        <w:rPr>
          <w:i/>
          <w:sz w:val="20"/>
        </w:rPr>
        <w:t>House of Commons Staff Handbook – Chapter 19: Disclosing Malpractice or Impropriety (‘Whistleblowing’), Allegations of Dishonesty at Work and Crisis of Conscience</w:t>
      </w:r>
      <w:r w:rsidRPr="00C65A43">
        <w:rPr>
          <w:sz w:val="20"/>
        </w:rPr>
        <w:t xml:space="preserve"> [online document], (April 2021) </w:t>
      </w:r>
      <w:hyperlink r:id="rId97" w:history="1">
        <w:r w:rsidRPr="00C65A43">
          <w:rPr>
            <w:rStyle w:val="Hyperlink"/>
            <w:sz w:val="20"/>
          </w:rPr>
          <w:t>https://www.parliament.uk/contentassets/375c1cca2849461fb61bf02d9cc980ea/chapter-19-final-april-2021.pdf</w:t>
        </w:r>
      </w:hyperlink>
      <w:r w:rsidRPr="00C65A43">
        <w:rPr>
          <w:sz w:val="20"/>
        </w:rPr>
        <w:t>, accessed 23 September 2022</w:t>
      </w:r>
    </w:p>
    <w:p w14:paraId="1C5FA870" w14:textId="77777777" w:rsidR="00EE156C" w:rsidRPr="00C65A43" w:rsidRDefault="00EE156C" w:rsidP="00EE156C">
      <w:pPr>
        <w:rPr>
          <w:sz w:val="20"/>
        </w:rPr>
      </w:pPr>
      <w:r w:rsidRPr="00C65A43">
        <w:rPr>
          <w:sz w:val="20"/>
        </w:rPr>
        <w:t xml:space="preserve">UK Parliament, </w:t>
      </w:r>
      <w:r w:rsidRPr="00C65A43">
        <w:rPr>
          <w:i/>
          <w:sz w:val="20"/>
        </w:rPr>
        <w:t xml:space="preserve">House of Commons Staff Handbook – Chapter 20: Disciplinary Procedures </w:t>
      </w:r>
      <w:r w:rsidRPr="00C65A43">
        <w:rPr>
          <w:sz w:val="20"/>
        </w:rPr>
        <w:t xml:space="preserve">[online document], (March 2021) </w:t>
      </w:r>
      <w:hyperlink r:id="rId98" w:history="1">
        <w:r w:rsidRPr="00C65A43">
          <w:rPr>
            <w:rStyle w:val="Hyperlink"/>
            <w:sz w:val="20"/>
          </w:rPr>
          <w:t>https://www.parliament.uk/contentassets/375c1cca2849461fb61bf02d9cc</w:t>
        </w:r>
        <w:r w:rsidRPr="00C65A43">
          <w:rPr>
            <w:rStyle w:val="Hyperlink"/>
            <w:sz w:val="20"/>
          </w:rPr>
          <w:br/>
          <w:t>980ea/chapter-20-final-march-2021.pdf</w:t>
        </w:r>
      </w:hyperlink>
      <w:r w:rsidRPr="00C65A43">
        <w:rPr>
          <w:sz w:val="20"/>
        </w:rPr>
        <w:t>, accessed 23 September 2022</w:t>
      </w:r>
    </w:p>
    <w:p w14:paraId="286CB5C4" w14:textId="46A34462" w:rsidR="00626C59" w:rsidRPr="00C65A43" w:rsidRDefault="00EE156C" w:rsidP="009B164E">
      <w:pPr>
        <w:rPr>
          <w:sz w:val="20"/>
        </w:rPr>
      </w:pPr>
      <w:r w:rsidRPr="00C65A43">
        <w:rPr>
          <w:sz w:val="20"/>
        </w:rPr>
        <w:t xml:space="preserve">UK Parliament, </w:t>
      </w:r>
      <w:r w:rsidRPr="00C65A43">
        <w:rPr>
          <w:i/>
          <w:sz w:val="20"/>
        </w:rPr>
        <w:t>House of Commons Staff Handbook – Chapter 26: Resignation, retirement, or dismissal</w:t>
      </w:r>
      <w:r w:rsidRPr="00C65A43">
        <w:rPr>
          <w:sz w:val="20"/>
        </w:rPr>
        <w:t xml:space="preserve"> [online document], (April 2021) </w:t>
      </w:r>
      <w:hyperlink r:id="rId99" w:history="1">
        <w:r w:rsidRPr="00C65A43">
          <w:rPr>
            <w:rStyle w:val="Hyperlink"/>
            <w:sz w:val="20"/>
          </w:rPr>
          <w:t>https://www.parliament.uk/contentassets/375c1cca2849461fb61bf02</w:t>
        </w:r>
        <w:r w:rsidRPr="00C65A43">
          <w:rPr>
            <w:rStyle w:val="Hyperlink"/>
            <w:sz w:val="20"/>
          </w:rPr>
          <w:br/>
          <w:t>d9cc980ea/chapter-26-final-pdf-april-2021.pdf</w:t>
        </w:r>
      </w:hyperlink>
      <w:r w:rsidRPr="00C65A43">
        <w:rPr>
          <w:sz w:val="20"/>
        </w:rPr>
        <w:t>, accessed 23 September 2022</w:t>
      </w:r>
    </w:p>
    <w:p w14:paraId="681EC754" w14:textId="77777777" w:rsidR="00382776" w:rsidRPr="00C65A43" w:rsidRDefault="00382776" w:rsidP="00382776">
      <w:pPr>
        <w:rPr>
          <w:sz w:val="20"/>
        </w:rPr>
      </w:pPr>
      <w:r w:rsidRPr="00C65A43">
        <w:rPr>
          <w:sz w:val="20"/>
        </w:rPr>
        <w:t xml:space="preserve">Verspaandonk, Rose, Holland, Ian, and Horne, Nicholas, </w:t>
      </w:r>
      <w:r w:rsidRPr="00C65A43">
        <w:rPr>
          <w:i/>
          <w:sz w:val="20"/>
        </w:rPr>
        <w:t>Chronology of changes in the Australian Public Service 1975-2010</w:t>
      </w:r>
      <w:r w:rsidRPr="00C65A43">
        <w:rPr>
          <w:sz w:val="20"/>
        </w:rPr>
        <w:t xml:space="preserve"> (Background Notes, Parliamentary Library, Parliament of Australia, 11 October 2010), </w:t>
      </w:r>
      <w:hyperlink r:id="rId100" w:history="1">
        <w:r w:rsidRPr="00C65A43">
          <w:rPr>
            <w:rStyle w:val="Hyperlink"/>
            <w:sz w:val="20"/>
          </w:rPr>
          <w:t>https://www.aph.gov.au/About_Parliament/Parliamentary_Departments/Parliamentary_Library/pubs/BN/1011/APSChanges</w:t>
        </w:r>
      </w:hyperlink>
      <w:r w:rsidRPr="00C65A43">
        <w:rPr>
          <w:sz w:val="20"/>
        </w:rPr>
        <w:t>, accessed 27 September 2022</w:t>
      </w:r>
    </w:p>
    <w:p w14:paraId="5B100F2F" w14:textId="28A5812A" w:rsidR="00F8067C" w:rsidRPr="00C65A43" w:rsidRDefault="00F8067C" w:rsidP="00F8067C">
      <w:pPr>
        <w:rPr>
          <w:sz w:val="20"/>
        </w:rPr>
      </w:pPr>
      <w:r w:rsidRPr="00C65A43">
        <w:rPr>
          <w:sz w:val="20"/>
        </w:rPr>
        <w:t xml:space="preserve">Victorian Public Service Commission, </w:t>
      </w:r>
      <w:r w:rsidRPr="00C65A43">
        <w:rPr>
          <w:i/>
          <w:sz w:val="20"/>
        </w:rPr>
        <w:t>Pre-Employment Screening of Misconduct in the Victorian Public Service</w:t>
      </w:r>
      <w:r w:rsidRPr="00C65A43">
        <w:rPr>
          <w:sz w:val="20"/>
        </w:rPr>
        <w:t xml:space="preserve"> [website], </w:t>
      </w:r>
      <w:r w:rsidR="00EE156C" w:rsidRPr="00C65A43">
        <w:rPr>
          <w:sz w:val="20"/>
        </w:rPr>
        <w:t>(</w:t>
      </w:r>
      <w:r w:rsidRPr="00C65A43">
        <w:rPr>
          <w:sz w:val="20"/>
        </w:rPr>
        <w:t>14 October 2020</w:t>
      </w:r>
      <w:r w:rsidR="00EE156C" w:rsidRPr="00C65A43">
        <w:rPr>
          <w:sz w:val="20"/>
        </w:rPr>
        <w:t>)</w:t>
      </w:r>
      <w:r w:rsidRPr="00C65A43">
        <w:rPr>
          <w:sz w:val="20"/>
        </w:rPr>
        <w:t xml:space="preserve">, </w:t>
      </w:r>
      <w:hyperlink r:id="rId101" w:history="1">
        <w:r w:rsidRPr="00C65A43">
          <w:rPr>
            <w:rStyle w:val="Hyperlink"/>
            <w:sz w:val="20"/>
          </w:rPr>
          <w:t>https://vpsc.vic.gov.au/workforce-capability-leadership-and-management/recruitment-in-the-public-sector/pre-employment-and-misconduct-screening/</w:t>
        </w:r>
      </w:hyperlink>
      <w:r w:rsidRPr="00C65A43">
        <w:rPr>
          <w:sz w:val="20"/>
        </w:rPr>
        <w:t>, accessed 28 September 2022</w:t>
      </w:r>
    </w:p>
    <w:p w14:paraId="6E87706E" w14:textId="0C4D3C93" w:rsidR="00626C59" w:rsidRPr="00C65A43" w:rsidRDefault="00EE156C" w:rsidP="009B164E">
      <w:pPr>
        <w:rPr>
          <w:sz w:val="20"/>
        </w:rPr>
      </w:pPr>
      <w:r w:rsidRPr="00C65A43">
        <w:rPr>
          <w:sz w:val="20"/>
        </w:rPr>
        <w:t xml:space="preserve">Victorian Public Sector Commission, </w:t>
      </w:r>
      <w:r w:rsidRPr="00C65A43">
        <w:rPr>
          <w:i/>
          <w:sz w:val="20"/>
        </w:rPr>
        <w:t>Standards for Application of the Victorian Public Sector Employment Principles</w:t>
      </w:r>
      <w:r w:rsidRPr="00C65A43">
        <w:rPr>
          <w:sz w:val="20"/>
        </w:rPr>
        <w:t xml:space="preserve"> [website], (2017) </w:t>
      </w:r>
      <w:hyperlink r:id="rId102" w:history="1">
        <w:r w:rsidRPr="00C65A43">
          <w:rPr>
            <w:rStyle w:val="Hyperlink"/>
            <w:sz w:val="20"/>
          </w:rPr>
          <w:t>https://vpsc.vic.gov.au/ethics-behaviours-culture/employment-principles-and-standards/standards-for-application-of-the-principles/</w:t>
        </w:r>
      </w:hyperlink>
      <w:r w:rsidRPr="00C65A43">
        <w:rPr>
          <w:sz w:val="20"/>
        </w:rPr>
        <w:t>, accessed 9 September 2022</w:t>
      </w:r>
    </w:p>
    <w:p w14:paraId="7C155546" w14:textId="77777777" w:rsidR="00F8067C" w:rsidRPr="00C65A43" w:rsidRDefault="00F8067C" w:rsidP="00F8067C">
      <w:pPr>
        <w:rPr>
          <w:sz w:val="20"/>
        </w:rPr>
      </w:pPr>
      <w:r w:rsidRPr="00C65A43">
        <w:rPr>
          <w:sz w:val="20"/>
        </w:rPr>
        <w:t xml:space="preserve">Walker, Bret, Australian Senate Witnesses – Former Ministers and Ministerial Staff – Opinion to Senate Select Committee of a Certain Maritime Incident, Australian Senate, </w:t>
      </w:r>
      <w:r w:rsidRPr="00C65A43">
        <w:rPr>
          <w:i/>
          <w:sz w:val="20"/>
        </w:rPr>
        <w:t>A Certain Maritime Incident</w:t>
      </w:r>
      <w:r w:rsidRPr="00C65A43">
        <w:rPr>
          <w:sz w:val="20"/>
        </w:rPr>
        <w:t xml:space="preserve"> </w:t>
      </w:r>
      <w:r w:rsidRPr="00C65A43">
        <w:rPr>
          <w:sz w:val="20"/>
        </w:rPr>
        <w:br/>
        <w:t>(16 May 2002).</w:t>
      </w:r>
    </w:p>
    <w:p w14:paraId="78597BB4" w14:textId="77777777" w:rsidR="0040281E" w:rsidRPr="00C65A43" w:rsidRDefault="0040281E" w:rsidP="0040281E">
      <w:pPr>
        <w:rPr>
          <w:sz w:val="20"/>
        </w:rPr>
      </w:pPr>
      <w:r w:rsidRPr="00C65A43">
        <w:rPr>
          <w:i/>
          <w:sz w:val="20"/>
        </w:rPr>
        <w:t>Watkinson v Commonwealth of Australia</w:t>
      </w:r>
      <w:r w:rsidRPr="00C65A43">
        <w:rPr>
          <w:sz w:val="20"/>
        </w:rPr>
        <w:t xml:space="preserve"> [1997] IRCA 8</w:t>
      </w:r>
    </w:p>
    <w:p w14:paraId="1A893846" w14:textId="0460FAD1" w:rsidR="00EE156C" w:rsidRPr="00C65A43" w:rsidRDefault="00EE156C" w:rsidP="00EE156C">
      <w:pPr>
        <w:rPr>
          <w:sz w:val="20"/>
        </w:rPr>
      </w:pPr>
      <w:r w:rsidRPr="00C65A43">
        <w:rPr>
          <w:sz w:val="20"/>
        </w:rPr>
        <w:t xml:space="preserve">Windley, David, and Forbes Human Resources Council, ‘Recruiting for Diversity – Four Steps to Success’, </w:t>
      </w:r>
      <w:r w:rsidRPr="00C65A43">
        <w:rPr>
          <w:i/>
          <w:sz w:val="20"/>
        </w:rPr>
        <w:t>Forbes</w:t>
      </w:r>
      <w:r w:rsidRPr="00C65A43">
        <w:rPr>
          <w:sz w:val="20"/>
        </w:rPr>
        <w:t xml:space="preserve"> [website],</w:t>
      </w:r>
      <w:r w:rsidRPr="00C65A43">
        <w:rPr>
          <w:i/>
          <w:sz w:val="20"/>
        </w:rPr>
        <w:t xml:space="preserve"> </w:t>
      </w:r>
      <w:r w:rsidRPr="00C65A43">
        <w:rPr>
          <w:sz w:val="20"/>
        </w:rPr>
        <w:t xml:space="preserve">(20 September 2021) </w:t>
      </w:r>
      <w:hyperlink r:id="rId103" w:history="1">
        <w:r w:rsidRPr="00C65A43">
          <w:rPr>
            <w:rStyle w:val="Hyperlink"/>
            <w:sz w:val="20"/>
          </w:rPr>
          <w:t>https://www.forbes.com/sites/forbeshumanresourcescouncil/2021/09/20/recruiting-for-diversity-four-steps-to-success/?sh=1118ac9a7fe5</w:t>
        </w:r>
      </w:hyperlink>
      <w:hyperlink r:id="rId104" w:history="1"/>
      <w:r w:rsidRPr="00C65A43">
        <w:rPr>
          <w:sz w:val="20"/>
        </w:rPr>
        <w:t>, accessed 20 September 2022</w:t>
      </w:r>
    </w:p>
    <w:p w14:paraId="23BA964F" w14:textId="1BEB9D0F" w:rsidR="009B164E" w:rsidRPr="00C65A43" w:rsidRDefault="009B164E" w:rsidP="009B164E">
      <w:pPr>
        <w:rPr>
          <w:i/>
          <w:sz w:val="20"/>
        </w:rPr>
      </w:pPr>
      <w:r w:rsidRPr="00C65A43">
        <w:rPr>
          <w:i/>
          <w:sz w:val="20"/>
        </w:rPr>
        <w:t>Work Health and Safety Act 2011</w:t>
      </w:r>
      <w:r w:rsidR="002B0DC0" w:rsidRPr="00C65A43">
        <w:rPr>
          <w:i/>
          <w:sz w:val="20"/>
        </w:rPr>
        <w:t xml:space="preserve"> </w:t>
      </w:r>
      <w:r w:rsidR="002B0DC0" w:rsidRPr="00C65A43">
        <w:rPr>
          <w:sz w:val="20"/>
        </w:rPr>
        <w:t>(Cth)</w:t>
      </w:r>
    </w:p>
    <w:p w14:paraId="0D223028" w14:textId="1AD88550" w:rsidR="00746BF8" w:rsidRPr="00C65A43" w:rsidRDefault="006B28FB" w:rsidP="00EC093F">
      <w:pPr>
        <w:rPr>
          <w:sz w:val="20"/>
        </w:rPr>
      </w:pPr>
      <w:r w:rsidRPr="00C65A43">
        <w:rPr>
          <w:sz w:val="20"/>
        </w:rPr>
        <w:t xml:space="preserve">Workplace Gender Equality Agency, </w:t>
      </w:r>
      <w:r w:rsidRPr="00C65A43">
        <w:rPr>
          <w:i/>
          <w:sz w:val="20"/>
        </w:rPr>
        <w:t xml:space="preserve">Reporting </w:t>
      </w:r>
      <w:r w:rsidRPr="00C65A43">
        <w:rPr>
          <w:sz w:val="20"/>
        </w:rPr>
        <w:t xml:space="preserve">[website], (no date) </w:t>
      </w:r>
      <w:hyperlink r:id="rId105" w:anchor=":~:text=Profile%20(payroll%20aligned)-,Public%20Sector%20Reporting,-Public%20Sector%20reporting" w:history="1">
        <w:r w:rsidRPr="00C65A43">
          <w:rPr>
            <w:rStyle w:val="Hyperlink"/>
            <w:sz w:val="20"/>
          </w:rPr>
          <w:t>https://www.wgea.gov.au/what-we-do/reporting#:~:text=Profile%20(payroll%20aligned)-,Public%20Sector%20Reporting,-Public%20Sector%20reporting</w:t>
        </w:r>
      </w:hyperlink>
      <w:r w:rsidRPr="00C65A43">
        <w:rPr>
          <w:rStyle w:val="Hyperlink"/>
          <w:sz w:val="20"/>
        </w:rPr>
        <w:t>,</w:t>
      </w:r>
      <w:r w:rsidRPr="00C65A43">
        <w:rPr>
          <w:sz w:val="20"/>
        </w:rPr>
        <w:t xml:space="preserve"> accessed 27 September 2022</w:t>
      </w:r>
    </w:p>
    <w:sectPr w:rsidR="00746BF8" w:rsidRPr="00C65A43" w:rsidSect="00E2753F">
      <w:headerReference w:type="default" r:id="rId106"/>
      <w:footerReference w:type="default" r:id="rId107"/>
      <w:headerReference w:type="first" r:id="rId108"/>
      <w:endnotePr>
        <w:numFmt w:val="decimal"/>
      </w:endnotePr>
      <w:pgSz w:w="11906" w:h="16838"/>
      <w:pgMar w:top="1701" w:right="1134" w:bottom="1843" w:left="1134" w:header="9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A34C4" w14:textId="77777777" w:rsidR="000429A6" w:rsidRDefault="000429A6" w:rsidP="00F957C6">
      <w:pPr>
        <w:spacing w:after="0" w:line="240" w:lineRule="auto"/>
      </w:pPr>
      <w:r>
        <w:separator/>
      </w:r>
    </w:p>
  </w:endnote>
  <w:endnote w:type="continuationSeparator" w:id="0">
    <w:p w14:paraId="140E5DF5" w14:textId="77777777" w:rsidR="000429A6" w:rsidRDefault="000429A6" w:rsidP="00F957C6">
      <w:pPr>
        <w:spacing w:after="0" w:line="240" w:lineRule="auto"/>
      </w:pPr>
      <w:r>
        <w:continuationSeparator/>
      </w:r>
    </w:p>
  </w:endnote>
  <w:endnote w:type="continuationNotice" w:id="1">
    <w:p w14:paraId="0D34F914" w14:textId="77777777" w:rsidR="000429A6" w:rsidRDefault="000429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4083F" w14:textId="77777777" w:rsidR="00753EBA" w:rsidRDefault="00753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11638" w14:textId="77777777" w:rsidR="00753EBA" w:rsidRDefault="00753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45FE" w14:textId="3AA0F11D" w:rsidR="00C02D25" w:rsidRPr="00303C55" w:rsidRDefault="00C02D25" w:rsidP="00303C55">
    <w:pPr>
      <w:pStyle w:val="Footer"/>
    </w:pPr>
    <w:r>
      <w:t>Review of the Members of Parliament (Staff) Act 1984 (Cth)</w:t>
    </w:r>
    <w:r>
      <w:ptab w:relativeTo="margin" w:alignment="center" w:leader="none"/>
    </w:r>
    <w:r>
      <w:rPr>
        <w:noProof/>
        <w:lang w:eastAsia="en-AU"/>
      </w:rPr>
      <mc:AlternateContent>
        <mc:Choice Requires="wps">
          <w:drawing>
            <wp:anchor distT="0" distB="0" distL="114300" distR="114300" simplePos="0" relativeHeight="251658244" behindDoc="1" locked="0" layoutInCell="1" allowOverlap="1" wp14:anchorId="229C40A5" wp14:editId="5F68B40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27F66" id="Straight Connector 106"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DA78A40ED96446FEA3A30D5993A1731B"/>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3" behindDoc="0" locked="0" layoutInCell="1" allowOverlap="1" wp14:anchorId="4ECEA829" wp14:editId="69161B43">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CF7FE" id="Straight Connector 10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170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4EC2C" w14:textId="692A5C23" w:rsidR="00C02D25" w:rsidRPr="00285CAF" w:rsidRDefault="00C02D25" w:rsidP="00D10635">
    <w:pPr>
      <w:jc w:val="center"/>
    </w:pPr>
  </w:p>
  <w:p w14:paraId="541534A4" w14:textId="546FC801" w:rsidR="00C02D25" w:rsidRPr="008046D4" w:rsidRDefault="00C02D25" w:rsidP="00D10635">
    <w:pPr>
      <w:pStyle w:val="Header"/>
      <w:rPr>
        <w:rFonts w:ascii="Segoe UI" w:hAnsi="Segoe UI" w:cs="Segoe UI"/>
        <w:color w:val="7F7F7F" w:themeColor="text1" w:themeTint="80"/>
        <w:sz w:val="18"/>
      </w:rPr>
    </w:pPr>
    <w:r>
      <w:rPr>
        <w:color w:val="7F7F7F" w:themeColor="text1" w:themeTint="80"/>
        <w:sz w:val="18"/>
        <w:szCs w:val="18"/>
      </w:rPr>
      <w:t xml:space="preserve">PM&amp;C | </w:t>
    </w:r>
    <w:r w:rsidRPr="00C324B4">
      <w:rPr>
        <w:i/>
        <w:color w:val="7F7F7F" w:themeColor="text1" w:themeTint="80"/>
        <w:sz w:val="18"/>
        <w:szCs w:val="18"/>
      </w:rPr>
      <w:t>Review of the Members of Parliament (Staff) Act 1984 (Cth)</w:t>
    </w:r>
    <w:r w:rsidRPr="008046D4">
      <w:rPr>
        <w:rFonts w:ascii="Segoe UI" w:hAnsi="Segoe UI" w:cs="Segoe UI"/>
        <w:sz w:val="18"/>
      </w:rPr>
      <w:ptab w:relativeTo="margin" w:alignment="center" w:leader="none"/>
    </w:r>
    <w:r>
      <w:ptab w:relativeTo="margin" w:alignment="right" w:leader="none"/>
    </w:r>
    <w:r w:rsidRPr="008046D4">
      <w:rPr>
        <w:rFonts w:ascii="Segoe UI" w:hAnsi="Segoe UI" w:cs="Segoe UI"/>
        <w:color w:val="7F7F7F" w:themeColor="text1" w:themeTint="80"/>
        <w:sz w:val="18"/>
      </w:rPr>
      <w:fldChar w:fldCharType="begin"/>
    </w:r>
    <w:r w:rsidRPr="008046D4">
      <w:rPr>
        <w:rFonts w:ascii="Segoe UI" w:hAnsi="Segoe UI" w:cs="Segoe UI"/>
        <w:color w:val="7F7F7F" w:themeColor="text1" w:themeTint="80"/>
        <w:sz w:val="18"/>
      </w:rPr>
      <w:instrText xml:space="preserve"> PAGE   \* MERGEFORMAT </w:instrText>
    </w:r>
    <w:r w:rsidRPr="008046D4">
      <w:rPr>
        <w:rFonts w:ascii="Segoe UI" w:hAnsi="Segoe UI" w:cs="Segoe UI"/>
        <w:color w:val="7F7F7F" w:themeColor="text1" w:themeTint="80"/>
        <w:sz w:val="18"/>
      </w:rPr>
      <w:fldChar w:fldCharType="separate"/>
    </w:r>
    <w:r w:rsidR="007C64C9">
      <w:rPr>
        <w:rFonts w:ascii="Segoe UI" w:hAnsi="Segoe UI" w:cs="Segoe UI"/>
        <w:noProof/>
        <w:color w:val="7F7F7F" w:themeColor="text1" w:themeTint="80"/>
        <w:sz w:val="18"/>
      </w:rPr>
      <w:t>2</w:t>
    </w:r>
    <w:r w:rsidRPr="008046D4">
      <w:rPr>
        <w:rFonts w:ascii="Segoe UI" w:hAnsi="Segoe UI" w:cs="Segoe UI"/>
        <w:noProof/>
        <w:color w:val="7F7F7F" w:themeColor="text1" w:themeTint="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CFD8C" w14:textId="77777777" w:rsidR="000429A6" w:rsidRDefault="000429A6" w:rsidP="00F957C6">
      <w:pPr>
        <w:spacing w:after="0" w:line="240" w:lineRule="auto"/>
      </w:pPr>
      <w:r>
        <w:separator/>
      </w:r>
    </w:p>
  </w:footnote>
  <w:footnote w:type="continuationSeparator" w:id="0">
    <w:p w14:paraId="2A47BFEC" w14:textId="77777777" w:rsidR="000429A6" w:rsidRDefault="000429A6" w:rsidP="00F957C6">
      <w:pPr>
        <w:spacing w:after="0" w:line="240" w:lineRule="auto"/>
      </w:pPr>
      <w:r>
        <w:continuationSeparator/>
      </w:r>
    </w:p>
  </w:footnote>
  <w:footnote w:type="continuationNotice" w:id="1">
    <w:p w14:paraId="4C4BCC0D" w14:textId="77777777" w:rsidR="000429A6" w:rsidRDefault="000429A6">
      <w:pPr>
        <w:spacing w:after="0" w:line="240" w:lineRule="auto"/>
      </w:pPr>
    </w:p>
  </w:footnote>
  <w:footnote w:id="2">
    <w:p w14:paraId="5EF0CC0B" w14:textId="77777777" w:rsidR="00C02D25" w:rsidRDefault="00C02D25" w:rsidP="00797E13">
      <w:pPr>
        <w:pStyle w:val="FootnoteText"/>
      </w:pPr>
      <w:r>
        <w:rPr>
          <w:rStyle w:val="FootnoteReference"/>
        </w:rPr>
        <w:footnoteRef/>
      </w:r>
      <w:r>
        <w:t xml:space="preserve"> </w:t>
      </w:r>
      <w:r w:rsidRPr="00EC093F">
        <w:t>Australian Human Rights Commission</w:t>
      </w:r>
      <w:r>
        <w:t xml:space="preserve">, </w:t>
      </w:r>
      <w:r w:rsidRPr="00AA3B05" w:rsidDel="00142173">
        <w:rPr>
          <w:i/>
        </w:rPr>
        <w:t>Set the Standard</w:t>
      </w:r>
      <w:r w:rsidRPr="00592C17">
        <w:rPr>
          <w:i/>
        </w:rPr>
        <w:t>: Report on the Independent Review into Commonwealth Parliamentary Workplaces</w:t>
      </w:r>
      <w:r w:rsidRPr="00CC6B50">
        <w:t xml:space="preserve"> </w:t>
      </w:r>
      <w:r>
        <w:t xml:space="preserve">(2021), </w:t>
      </w:r>
      <w:hyperlink r:id="rId1" w:history="1">
        <w:r w:rsidRPr="00AD7E19">
          <w:rPr>
            <w:rStyle w:val="Hyperlink"/>
          </w:rPr>
          <w:t>https://humanrights.gov.au/sites/default/files/document/publication/ahrc_set_the_standard_2021.pdf</w:t>
        </w:r>
      </w:hyperlink>
      <w:r>
        <w:t>, 215, accessed 30 September 2022.</w:t>
      </w:r>
    </w:p>
  </w:footnote>
  <w:footnote w:id="3">
    <w:p w14:paraId="6056FACC" w14:textId="77777777" w:rsidR="00C02D25" w:rsidRDefault="00C02D25" w:rsidP="00D43776">
      <w:pPr>
        <w:pStyle w:val="FootnoteText"/>
      </w:pPr>
      <w:r>
        <w:rPr>
          <w:rStyle w:val="FootnoteReference"/>
        </w:rPr>
        <w:footnoteRef/>
      </w:r>
      <w:r>
        <w:t xml:space="preserve"> Ibid.</w:t>
      </w:r>
    </w:p>
  </w:footnote>
  <w:footnote w:id="4">
    <w:p w14:paraId="03E03DA7" w14:textId="77777777" w:rsidR="00C02D25" w:rsidRPr="00CC5564" w:rsidRDefault="00C02D25">
      <w:pPr>
        <w:pStyle w:val="FootnoteText"/>
        <w:rPr>
          <w:b/>
        </w:rPr>
      </w:pPr>
      <w:r>
        <w:rPr>
          <w:rStyle w:val="FootnoteReference"/>
        </w:rPr>
        <w:footnoteRef/>
      </w:r>
      <w:r>
        <w:t xml:space="preserve"> </w:t>
      </w:r>
      <w:r w:rsidRPr="00CC5564">
        <w:t>Department of the Prime Minister and Cabinet,</w:t>
      </w:r>
      <w:r>
        <w:t xml:space="preserve"> </w:t>
      </w:r>
      <w:r w:rsidRPr="00CC5564">
        <w:rPr>
          <w:i/>
        </w:rPr>
        <w:t>Review of the Members of Parliament (Staff) Act 1984 (Cth) Terms of Reference</w:t>
      </w:r>
      <w:r>
        <w:rPr>
          <w:i/>
        </w:rPr>
        <w:t xml:space="preserve"> </w:t>
      </w:r>
      <w:r>
        <w:t xml:space="preserve">(2022), </w:t>
      </w:r>
      <w:hyperlink r:id="rId2" w:history="1">
        <w:r w:rsidRPr="00801C99">
          <w:rPr>
            <w:rStyle w:val="Hyperlink"/>
          </w:rPr>
          <w:t>https://www.pmc.gov.au/government/review-members-parliament-staff-mops-act-1984-0</w:t>
        </w:r>
      </w:hyperlink>
      <w:r>
        <w:t xml:space="preserve">, 1, accessed 30 September 2022.  </w:t>
      </w:r>
    </w:p>
  </w:footnote>
  <w:footnote w:id="5">
    <w:p w14:paraId="4CA9E577" w14:textId="77777777" w:rsidR="00C02D25" w:rsidRDefault="00C02D25" w:rsidP="00EE3100">
      <w:pPr>
        <w:pStyle w:val="FootnoteText"/>
      </w:pPr>
      <w:r>
        <w:rPr>
          <w:rStyle w:val="FootnoteReference"/>
        </w:rPr>
        <w:footnoteRef/>
      </w:r>
      <w:r>
        <w:t xml:space="preserve"> As at 1 August 2022, supplied by the Department of Finance. </w:t>
      </w:r>
    </w:p>
  </w:footnote>
  <w:footnote w:id="6">
    <w:p w14:paraId="2CD4F01B" w14:textId="14900B5E" w:rsidR="00C02D25" w:rsidRDefault="00C02D25" w:rsidP="007A7449">
      <w:pPr>
        <w:pStyle w:val="FootnoteText"/>
      </w:pPr>
      <w:r>
        <w:rPr>
          <w:rStyle w:val="FootnoteReference"/>
        </w:rPr>
        <w:footnoteRef/>
      </w:r>
      <w:r>
        <w:t xml:space="preserve"> Official residences includes The Lodge and Kirribilli House. As at 1 August 2022 there are 24 predominantly casual staff, supplied by the High Office Support Team, PM&amp;C. Staff are managed by PM&amp;C, </w:t>
      </w:r>
      <w:r w:rsidRPr="00AC3DEE">
        <w:t xml:space="preserve">operate under a separate MoP(S) Act determination and are not covered by the </w:t>
      </w:r>
      <w:r>
        <w:t>EA.</w:t>
      </w:r>
    </w:p>
  </w:footnote>
  <w:footnote w:id="7">
    <w:p w14:paraId="000C088A" w14:textId="77777777" w:rsidR="00C02D25" w:rsidRDefault="00C02D25" w:rsidP="000050E1">
      <w:pPr>
        <w:pStyle w:val="FootnoteText"/>
      </w:pPr>
      <w:r>
        <w:rPr>
          <w:rStyle w:val="FootnoteReference"/>
        </w:rPr>
        <w:footnoteRef/>
      </w:r>
      <w:r>
        <w:t xml:space="preserve"> AHRC, </w:t>
      </w:r>
      <w:r>
        <w:rPr>
          <w:i/>
        </w:rPr>
        <w:t>Set the Standard</w:t>
      </w:r>
      <w:r>
        <w:t>,</w:t>
      </w:r>
      <w:r w:rsidRPr="00EC093F">
        <w:t xml:space="preserve"> </w:t>
      </w:r>
      <w:r>
        <w:t>210.</w:t>
      </w:r>
    </w:p>
  </w:footnote>
  <w:footnote w:id="8">
    <w:p w14:paraId="684C61B1" w14:textId="19D5167F" w:rsidR="00C02D25" w:rsidRDefault="00C02D25" w:rsidP="002E3869">
      <w:pPr>
        <w:pStyle w:val="FootnoteText"/>
      </w:pPr>
      <w:r>
        <w:rPr>
          <w:rStyle w:val="FootnoteReference"/>
        </w:rPr>
        <w:footnoteRef/>
      </w:r>
      <w:r>
        <w:t xml:space="preserve"> </w:t>
      </w:r>
      <w:r w:rsidRPr="00657F3A">
        <w:t>I</w:t>
      </w:r>
      <w:r>
        <w:t>an</w:t>
      </w:r>
      <w:r w:rsidRPr="00657F3A">
        <w:t xml:space="preserve"> Holland, </w:t>
      </w:r>
      <w:r w:rsidRPr="0043304C">
        <w:rPr>
          <w:i/>
        </w:rPr>
        <w:t>Members of Parliament (Staff) Act: Accountability Issues</w:t>
      </w:r>
      <w:r w:rsidRPr="00657F3A">
        <w:t xml:space="preserve"> (Research </w:t>
      </w:r>
      <w:r>
        <w:t>Note</w:t>
      </w:r>
      <w:r w:rsidRPr="00657F3A">
        <w:t xml:space="preserve"> No. </w:t>
      </w:r>
      <w:r>
        <w:t>5</w:t>
      </w:r>
      <w:r w:rsidRPr="00657F3A">
        <w:t>, 2002-03, Parliamentary Library, Parliament</w:t>
      </w:r>
      <w:r>
        <w:t xml:space="preserve"> of Australia, 20 August 2002), 1, </w:t>
      </w:r>
      <w:hyperlink r:id="rId3" w:anchor="search=%22Members%20of%20Parliament%20(Staff)%20%20Employment%20Issues%22" w:history="1">
        <w:r w:rsidRPr="00724218">
          <w:rPr>
            <w:rStyle w:val="Hyperlink"/>
          </w:rPr>
          <w:t>https://parlinfo.aph.gov.au/parlInfo/download/library/prspub/OJM76/upload_binary/ojm766.pdf;fileType=application%2Fpdf#search=%22Members%20of%20Parliament%20(Staff)%20%20Employment%20Issues%22</w:t>
        </w:r>
      </w:hyperlink>
      <w:r w:rsidRPr="00657F3A">
        <w:t>, accessed 24</w:t>
      </w:r>
      <w:r>
        <w:t> </w:t>
      </w:r>
      <w:r w:rsidRPr="00657F3A">
        <w:t>August 2022.</w:t>
      </w:r>
    </w:p>
  </w:footnote>
  <w:footnote w:id="9">
    <w:p w14:paraId="444A22C5" w14:textId="77777777" w:rsidR="00C02D25" w:rsidRDefault="00C02D25" w:rsidP="00795889">
      <w:pPr>
        <w:pStyle w:val="FootnoteText"/>
      </w:pPr>
      <w:r>
        <w:rPr>
          <w:rStyle w:val="FootnoteReference"/>
        </w:rPr>
        <w:footnoteRef/>
      </w:r>
      <w:r>
        <w:t xml:space="preserve"> </w:t>
      </w:r>
      <w:r>
        <w:rPr>
          <w:i/>
        </w:rPr>
        <w:t xml:space="preserve">Public Service Act </w:t>
      </w:r>
      <w:r w:rsidRPr="00495673">
        <w:rPr>
          <w:i/>
        </w:rPr>
        <w:t>1922</w:t>
      </w:r>
      <w:r>
        <w:rPr>
          <w:i/>
        </w:rPr>
        <w:t xml:space="preserve"> </w:t>
      </w:r>
      <w:r>
        <w:t>(Cth) (PS Act), s 48A.</w:t>
      </w:r>
    </w:p>
  </w:footnote>
  <w:footnote w:id="10">
    <w:p w14:paraId="554CC167" w14:textId="21CDD69A" w:rsidR="00C02D25" w:rsidRPr="00FF63C0" w:rsidRDefault="00C02D25" w:rsidP="002E3869">
      <w:pPr>
        <w:pStyle w:val="FootnoteText"/>
      </w:pPr>
      <w:r>
        <w:rPr>
          <w:rStyle w:val="FootnoteReference"/>
        </w:rPr>
        <w:footnoteRef/>
      </w:r>
      <w:r>
        <w:t xml:space="preserve"> Commonwealth, </w:t>
      </w:r>
      <w:r>
        <w:rPr>
          <w:i/>
        </w:rPr>
        <w:t xml:space="preserve">Parliamentary Debates, </w:t>
      </w:r>
      <w:r>
        <w:t>House of Representatives, 9 May 1984</w:t>
      </w:r>
      <w:r w:rsidRPr="00046606">
        <w:t xml:space="preserve">, </w:t>
      </w:r>
      <w:r>
        <w:t>2150 (Mr John Dawkins MP, Minister for Finance and Minister Assisting the Prime Minister for Public Service Matters)</w:t>
      </w:r>
      <w:r w:rsidRPr="00046606">
        <w:t>.</w:t>
      </w:r>
    </w:p>
  </w:footnote>
  <w:footnote w:id="11">
    <w:p w14:paraId="7CA48127" w14:textId="77777777" w:rsidR="00C02D25" w:rsidRDefault="00C02D25" w:rsidP="002E3869">
      <w:pPr>
        <w:pStyle w:val="FootnoteText"/>
      </w:pPr>
      <w:r>
        <w:rPr>
          <w:rStyle w:val="FootnoteReference"/>
        </w:rPr>
        <w:footnoteRef/>
      </w:r>
      <w:r>
        <w:t xml:space="preserve"> </w:t>
      </w:r>
      <w:r w:rsidRPr="009C23E8">
        <w:rPr>
          <w:i/>
        </w:rPr>
        <w:t>Submission 42</w:t>
      </w:r>
      <w:r>
        <w:t>, 2.</w:t>
      </w:r>
    </w:p>
  </w:footnote>
  <w:footnote w:id="12">
    <w:p w14:paraId="4250CF73" w14:textId="5342D535" w:rsidR="00C02D25" w:rsidRDefault="00C02D25" w:rsidP="0053748C">
      <w:pPr>
        <w:pStyle w:val="FootnoteText"/>
      </w:pPr>
      <w:r>
        <w:rPr>
          <w:rStyle w:val="FootnoteReference"/>
        </w:rPr>
        <w:footnoteRef/>
      </w:r>
      <w:r>
        <w:t xml:space="preserve"> Legislative Research Service, </w:t>
      </w:r>
      <w:r>
        <w:rPr>
          <w:i/>
        </w:rPr>
        <w:t xml:space="preserve">Members of Parliament (Staff) Bill 1984 </w:t>
      </w:r>
      <w:r>
        <w:t>(Bills Digest 84/73, Parliamentary Library, Parliament of Australia, 24 May 1984).</w:t>
      </w:r>
    </w:p>
  </w:footnote>
  <w:footnote w:id="13">
    <w:p w14:paraId="31333C1B" w14:textId="6F7FA61F" w:rsidR="00C02D25" w:rsidRPr="00FF63C0" w:rsidRDefault="00C02D25" w:rsidP="0053748C">
      <w:pPr>
        <w:pStyle w:val="FootnoteText"/>
      </w:pPr>
      <w:r>
        <w:rPr>
          <w:rStyle w:val="FootnoteReference"/>
        </w:rPr>
        <w:footnoteRef/>
      </w:r>
      <w:r>
        <w:t xml:space="preserve"> </w:t>
      </w:r>
      <w:r>
        <w:rPr>
          <w:i/>
        </w:rPr>
        <w:t xml:space="preserve">Parliamentary Debates, </w:t>
      </w:r>
      <w:r>
        <w:t>House of Representatives, 9 May 1984 (Mr Dawkins MP).</w:t>
      </w:r>
    </w:p>
  </w:footnote>
  <w:footnote w:id="14">
    <w:p w14:paraId="514F3E89" w14:textId="137995D8" w:rsidR="00C02D25" w:rsidRDefault="00C02D25" w:rsidP="00657F3A">
      <w:pPr>
        <w:pStyle w:val="FootnoteText"/>
      </w:pPr>
      <w:r>
        <w:rPr>
          <w:rStyle w:val="FootnoteReference"/>
        </w:rPr>
        <w:footnoteRef/>
      </w:r>
      <w:r>
        <w:t xml:space="preserve"> </w:t>
      </w:r>
      <w:r>
        <w:rPr>
          <w:rFonts w:cs="Open Sans"/>
          <w:lang w:val="en-US"/>
        </w:rPr>
        <w:t xml:space="preserve">Elaine Thompson, ‘Democracy Undermined: Reforms to the Australian Public Service from Whitlam to Hawke’, </w:t>
      </w:r>
      <w:r w:rsidRPr="004C1B3D">
        <w:rPr>
          <w:i/>
        </w:rPr>
        <w:t>The Australian Quarterly</w:t>
      </w:r>
      <w:r w:rsidRPr="00E50CE0">
        <w:t>,</w:t>
      </w:r>
      <w:r>
        <w:rPr>
          <w:rFonts w:cs="Open Sans"/>
          <w:lang w:val="en-US"/>
        </w:rPr>
        <w:t xml:space="preserve"> 63/2 (1991), </w:t>
      </w:r>
      <w:r w:rsidRPr="000F4373">
        <w:rPr>
          <w:rFonts w:cs="Open Sans"/>
          <w:lang w:val="en-US"/>
        </w:rPr>
        <w:t>129</w:t>
      </w:r>
      <w:r>
        <w:rPr>
          <w:rFonts w:cs="Open Sans"/>
          <w:lang w:val="en-US"/>
        </w:rPr>
        <w:t xml:space="preserve">; </w:t>
      </w:r>
      <w:r w:rsidRPr="00A032E5">
        <w:rPr>
          <w:rFonts w:cs="Open Sans"/>
          <w:lang w:val="en-US"/>
        </w:rPr>
        <w:t>Second Reading Speech,</w:t>
      </w:r>
      <w:r w:rsidRPr="00A032E5">
        <w:t xml:space="preserve"> Public Service Reform Bill 1984 (Cth)</w:t>
      </w:r>
      <w:r w:rsidRPr="00573B60">
        <w:rPr>
          <w:rFonts w:cs="Open Sans"/>
          <w:lang w:val="en-US"/>
        </w:rPr>
        <w:t>.</w:t>
      </w:r>
      <w:r>
        <w:rPr>
          <w:rFonts w:cs="Open Sans"/>
          <w:lang w:val="en-US"/>
        </w:rPr>
        <w:t xml:space="preserve"> </w:t>
      </w:r>
    </w:p>
  </w:footnote>
  <w:footnote w:id="15">
    <w:p w14:paraId="7F014BA4" w14:textId="64F1EF0B" w:rsidR="00C02D25" w:rsidRDefault="00C02D25" w:rsidP="00E835AA">
      <w:pPr>
        <w:pStyle w:val="FootnoteText"/>
      </w:pPr>
      <w:r>
        <w:rPr>
          <w:rStyle w:val="FootnoteReference"/>
        </w:rPr>
        <w:footnoteRef/>
      </w:r>
      <w:r>
        <w:t xml:space="preserve"> Ian </w:t>
      </w:r>
      <w:r w:rsidRPr="0043304C">
        <w:t xml:space="preserve">Holland, </w:t>
      </w:r>
      <w:r w:rsidRPr="0043304C">
        <w:rPr>
          <w:i/>
        </w:rPr>
        <w:t xml:space="preserve">Members of Parliament (Staff) Act: Background </w:t>
      </w:r>
      <w:r w:rsidRPr="0043304C">
        <w:t xml:space="preserve">(Research Paper No. 14, 2002-03, Parliamentary Library, Parliament of Australia, </w:t>
      </w:r>
      <w:r>
        <w:t xml:space="preserve">15 October </w:t>
      </w:r>
      <w:r w:rsidRPr="0043304C">
        <w:t>2002)</w:t>
      </w:r>
      <w:r>
        <w:t>, 1,</w:t>
      </w:r>
      <w:r w:rsidRPr="0043304C">
        <w:t xml:space="preserve"> </w:t>
      </w:r>
      <w:hyperlink r:id="rId4" w:anchor="search=%22library/prspub/NJM76%22" w:history="1">
        <w:r w:rsidRPr="00D53F28">
          <w:rPr>
            <w:rStyle w:val="Hyperlink"/>
          </w:rPr>
          <w:t>https://parlinfo.aph.gov.au/parlInfo/download/library/prspub/NJM76/upload_binary/njm765.pdf;fileType=application%2Fpdf#search=%22library/prspub/NJM76%22</w:t>
        </w:r>
      </w:hyperlink>
      <w:r w:rsidRPr="0043304C">
        <w:t>, accessed 24 August 2022</w:t>
      </w:r>
      <w:r>
        <w:t>.</w:t>
      </w:r>
    </w:p>
  </w:footnote>
  <w:footnote w:id="16">
    <w:p w14:paraId="6FBFD5DA" w14:textId="14D2A086" w:rsidR="00C02D25" w:rsidRDefault="00C02D25">
      <w:pPr>
        <w:pStyle w:val="FootnoteText"/>
      </w:pPr>
      <w:r>
        <w:rPr>
          <w:rStyle w:val="FootnoteReference"/>
        </w:rPr>
        <w:footnoteRef/>
      </w:r>
      <w:r>
        <w:t xml:space="preserve"> </w:t>
      </w:r>
      <w:r w:rsidRPr="00421A82">
        <w:t xml:space="preserve">Senate Select Committee of a Certain Maritime Incident, Australian Senate, </w:t>
      </w:r>
      <w:r w:rsidRPr="00421A82">
        <w:rPr>
          <w:i/>
        </w:rPr>
        <w:t>A Certain Maritime Incident</w:t>
      </w:r>
      <w:r w:rsidRPr="00421A82">
        <w:t xml:space="preserve"> (2002)</w:t>
      </w:r>
      <w:r>
        <w:t>.</w:t>
      </w:r>
    </w:p>
  </w:footnote>
  <w:footnote w:id="17">
    <w:p w14:paraId="2D7BEF07" w14:textId="21A45DCA" w:rsidR="00C02D25" w:rsidRDefault="00C02D25" w:rsidP="00E835AA">
      <w:pPr>
        <w:pStyle w:val="FootnoteText"/>
      </w:pPr>
      <w:r>
        <w:rPr>
          <w:rStyle w:val="FootnoteReference"/>
        </w:rPr>
        <w:footnoteRef/>
      </w:r>
      <w:r>
        <w:t xml:space="preserve"> </w:t>
      </w:r>
      <w:r w:rsidRPr="00421A82">
        <w:t>Senate Standing Finance and Public Administration References Committee</w:t>
      </w:r>
      <w:r>
        <w:t xml:space="preserve"> (</w:t>
      </w:r>
      <w:r w:rsidRPr="00421A82">
        <w:t>Senate</w:t>
      </w:r>
      <w:r>
        <w:t xml:space="preserve"> FPA Committee)</w:t>
      </w:r>
      <w:r w:rsidRPr="00421A82">
        <w:t xml:space="preserve">, </w:t>
      </w:r>
      <w:r>
        <w:t>Parliament of Australia</w:t>
      </w:r>
      <w:r w:rsidRPr="00421A82">
        <w:t>,</w:t>
      </w:r>
      <w:r>
        <w:t xml:space="preserve"> </w:t>
      </w:r>
      <w:r>
        <w:rPr>
          <w:i/>
        </w:rPr>
        <w:t>Staff employed under the Members of Parliament (Staff) Act 1984</w:t>
      </w:r>
      <w:r w:rsidRPr="00421A82">
        <w:t xml:space="preserve"> (</w:t>
      </w:r>
      <w:r>
        <w:t>2003</w:t>
      </w:r>
      <w:r w:rsidRPr="00421A82">
        <w:t>)</w:t>
      </w:r>
      <w:r>
        <w:t>.</w:t>
      </w:r>
    </w:p>
  </w:footnote>
  <w:footnote w:id="18">
    <w:p w14:paraId="068DA980" w14:textId="36DA7B86" w:rsidR="00C02D25" w:rsidRDefault="00C02D25" w:rsidP="00E835AA">
      <w:pPr>
        <w:pStyle w:val="FootnoteText"/>
      </w:pPr>
      <w:r>
        <w:rPr>
          <w:rStyle w:val="FootnoteReference"/>
        </w:rPr>
        <w:footnoteRef/>
      </w:r>
      <w:r>
        <w:t xml:space="preserve"> Australian National Audit Office, </w:t>
      </w:r>
      <w:r>
        <w:rPr>
          <w:i/>
        </w:rPr>
        <w:t>Administration of Staff Employed Under the Members of Parliament (Staff) Act 1984¸</w:t>
      </w:r>
      <w:r>
        <w:t xml:space="preserve"> Report No. 15 of 2003-04</w:t>
      </w:r>
      <w:r>
        <w:rPr>
          <w:i/>
        </w:rPr>
        <w:t xml:space="preserve"> </w:t>
      </w:r>
      <w:r>
        <w:t xml:space="preserve">(2003), </w:t>
      </w:r>
      <w:hyperlink r:id="rId5" w:history="1">
        <w:r w:rsidRPr="00801C99">
          <w:rPr>
            <w:rStyle w:val="Hyperlink"/>
          </w:rPr>
          <w:t>https://www.anao.gov.au/work/performance-audit/administration-staff-employed-under-members-parliament-staff-act-1984</w:t>
        </w:r>
      </w:hyperlink>
      <w:r>
        <w:t>, accessed on 30 September 2022.</w:t>
      </w:r>
    </w:p>
  </w:footnote>
  <w:footnote w:id="19">
    <w:p w14:paraId="03AC51B2" w14:textId="4B27B6BD" w:rsidR="00C02D25" w:rsidRPr="0084078A" w:rsidRDefault="00C02D25" w:rsidP="00E835AA">
      <w:pPr>
        <w:pStyle w:val="FootnoteText"/>
      </w:pPr>
      <w:r>
        <w:rPr>
          <w:rStyle w:val="FootnoteReference"/>
        </w:rPr>
        <w:footnoteRef/>
      </w:r>
      <w:r>
        <w:t xml:space="preserve"> Anne </w:t>
      </w:r>
      <w:r w:rsidRPr="009F0CBF">
        <w:t xml:space="preserve">Henderson, </w:t>
      </w:r>
      <w:r w:rsidRPr="009F0CBF">
        <w:rPr>
          <w:i/>
        </w:rPr>
        <w:t>Review of Government Staffing</w:t>
      </w:r>
      <w:r w:rsidRPr="009F0CBF">
        <w:t xml:space="preserve"> (24 February 2009).</w:t>
      </w:r>
    </w:p>
  </w:footnote>
  <w:footnote w:id="20">
    <w:p w14:paraId="04C6C401" w14:textId="2C9F737B" w:rsidR="00C02D25" w:rsidRPr="00E971ED" w:rsidRDefault="00C02D25" w:rsidP="00E835AA">
      <w:pPr>
        <w:pStyle w:val="FootnoteText"/>
      </w:pPr>
      <w:r>
        <w:rPr>
          <w:rStyle w:val="FootnoteReference"/>
        </w:rPr>
        <w:footnoteRef/>
      </w:r>
      <w:r>
        <w:t xml:space="preserve"> Department of the Prime Minister and Cabinet, </w:t>
      </w:r>
      <w:r w:rsidRPr="005F30F7">
        <w:rPr>
          <w:i/>
        </w:rPr>
        <w:t>Our Public Service, Our Future,</w:t>
      </w:r>
      <w:r>
        <w:t xml:space="preserve"> </w:t>
      </w:r>
      <w:r>
        <w:rPr>
          <w:i/>
        </w:rPr>
        <w:t xml:space="preserve">Independent Review of the Australian Public Service </w:t>
      </w:r>
      <w:r>
        <w:t>(2019)</w:t>
      </w:r>
      <w:r w:rsidRPr="005F30F7">
        <w:t xml:space="preserve"> </w:t>
      </w:r>
      <w:r>
        <w:t xml:space="preserve">35, </w:t>
      </w:r>
      <w:hyperlink r:id="rId6" w:history="1">
        <w:r w:rsidRPr="00AD7E19">
          <w:rPr>
            <w:rStyle w:val="Hyperlink"/>
          </w:rPr>
          <w:t>https://www.pmc.gov.au/sites/default/files/publications/independent-review-aps.pdf</w:t>
        </w:r>
      </w:hyperlink>
      <w:r>
        <w:t xml:space="preserve">, </w:t>
      </w:r>
      <w:r w:rsidRPr="00421A82">
        <w:t xml:space="preserve">accessed </w:t>
      </w:r>
      <w:r>
        <w:t>30 September 2022.</w:t>
      </w:r>
    </w:p>
  </w:footnote>
  <w:footnote w:id="21">
    <w:p w14:paraId="5859FF87" w14:textId="76C04D3D" w:rsidR="00C02D25" w:rsidRDefault="00C02D25" w:rsidP="00E835AA">
      <w:pPr>
        <w:pStyle w:val="FootnoteText"/>
      </w:pPr>
      <w:r>
        <w:rPr>
          <w:rStyle w:val="FootnoteReference"/>
        </w:rPr>
        <w:footnoteRef/>
      </w:r>
      <w:r>
        <w:t xml:space="preserve"> ‘Part V – Reintegration Assessment Committees’ was repealed in 1984. It created a formal assessment panel to determine the level at which public servants seconded to parliamentarian offices would be reintegrated into the Public Service upon completion of their MoP(S) Act engagement. It also extended the operation of the </w:t>
      </w:r>
      <w:r w:rsidRPr="0075181F">
        <w:rPr>
          <w:i/>
        </w:rPr>
        <w:t>Public Service Arbitration Act 1920</w:t>
      </w:r>
      <w:r>
        <w:t xml:space="preserve"> and jurisdiction of the then Conciliation and Arbitration Commission to MoP(S) Act employees, per Explanatory Memorandum.</w:t>
      </w:r>
    </w:p>
  </w:footnote>
  <w:footnote w:id="22">
    <w:p w14:paraId="0FACBB7B" w14:textId="77777777" w:rsidR="00C02D25" w:rsidRPr="00515F62" w:rsidRDefault="00C02D25" w:rsidP="00BC085F">
      <w:pPr>
        <w:pStyle w:val="FootnoteText"/>
        <w:rPr>
          <w:lang w:val="en-US"/>
        </w:rPr>
      </w:pPr>
      <w:r>
        <w:rPr>
          <w:rStyle w:val="FootnoteReference"/>
        </w:rPr>
        <w:footnoteRef/>
      </w:r>
      <w:r>
        <w:t xml:space="preserve"> </w:t>
      </w:r>
      <w:r>
        <w:rPr>
          <w:i/>
          <w:lang w:val="en-US"/>
        </w:rPr>
        <w:t xml:space="preserve">Members of Parliament (Staff) Act 1984 </w:t>
      </w:r>
      <w:r>
        <w:rPr>
          <w:lang w:val="en-US"/>
        </w:rPr>
        <w:t>(Cth) (MoP(S) Act), s 33.</w:t>
      </w:r>
    </w:p>
  </w:footnote>
  <w:footnote w:id="23">
    <w:p w14:paraId="70A12490" w14:textId="07A55DCE" w:rsidR="00C02D25" w:rsidRPr="00B33D13" w:rsidRDefault="00C02D25" w:rsidP="00BC085F">
      <w:pPr>
        <w:pStyle w:val="FootnoteText"/>
      </w:pPr>
      <w:r w:rsidRPr="00B33D13">
        <w:rPr>
          <w:rStyle w:val="FootnoteReference"/>
        </w:rPr>
        <w:footnoteRef/>
      </w:r>
      <w:r w:rsidRPr="00B33D13">
        <w:t xml:space="preserve"> </w:t>
      </w:r>
      <w:r w:rsidRPr="0055271A">
        <w:t>Previous Regulations were made</w:t>
      </w:r>
      <w:r w:rsidRPr="00B33D13">
        <w:t xml:space="preserve"> in 1984 </w:t>
      </w:r>
      <w:r>
        <w:t xml:space="preserve">regarding matters in Part V of the Act, </w:t>
      </w:r>
      <w:r w:rsidRPr="00B33D13">
        <w:t xml:space="preserve">and repealed in 1985. </w:t>
      </w:r>
    </w:p>
  </w:footnote>
  <w:footnote w:id="24">
    <w:p w14:paraId="59CA6CD2" w14:textId="4ACEF493" w:rsidR="00C02D25" w:rsidRPr="002921AB" w:rsidRDefault="00C02D25" w:rsidP="00E835AA">
      <w:pPr>
        <w:pStyle w:val="FootnoteText"/>
      </w:pPr>
      <w:r>
        <w:rPr>
          <w:rStyle w:val="FootnoteReference"/>
        </w:rPr>
        <w:footnoteRef/>
      </w:r>
      <w:r>
        <w:t xml:space="preserve"> A Canberra Times article at the time indicated the consultants would be employed in ‘limited numbers’ and subject to Cabinet approval: Beverley Miller, </w:t>
      </w:r>
      <w:r w:rsidRPr="005F30F7">
        <w:t>‘PS reform Bills introduced’</w:t>
      </w:r>
      <w:r>
        <w:rPr>
          <w:i/>
        </w:rPr>
        <w:t xml:space="preserve">, The </w:t>
      </w:r>
      <w:r w:rsidRPr="005F30F7">
        <w:rPr>
          <w:i/>
        </w:rPr>
        <w:t>Canberra Times</w:t>
      </w:r>
      <w:r>
        <w:t xml:space="preserve">, 10 May 1984, 13, </w:t>
      </w:r>
      <w:r w:rsidRPr="00BE6FE2">
        <w:t>in Trove [online database], accessed 27 September 2022.</w:t>
      </w:r>
    </w:p>
  </w:footnote>
  <w:footnote w:id="25">
    <w:p w14:paraId="45BD9DDD" w14:textId="77777777" w:rsidR="00C02D25" w:rsidRDefault="00C02D25" w:rsidP="00E835AA">
      <w:pPr>
        <w:pStyle w:val="FootnoteText"/>
      </w:pPr>
      <w:r>
        <w:rPr>
          <w:rStyle w:val="FootnoteReference"/>
        </w:rPr>
        <w:footnoteRef/>
      </w:r>
      <w:r>
        <w:t xml:space="preserve"> MoP(S) Act, ss 12-13, 20. </w:t>
      </w:r>
    </w:p>
  </w:footnote>
  <w:footnote w:id="26">
    <w:p w14:paraId="165DFE81" w14:textId="77777777" w:rsidR="00C02D25" w:rsidRDefault="00C02D25" w:rsidP="00E835AA">
      <w:pPr>
        <w:pStyle w:val="FootnoteText"/>
      </w:pPr>
      <w:r>
        <w:rPr>
          <w:rStyle w:val="FootnoteReference"/>
        </w:rPr>
        <w:footnoteRef/>
      </w:r>
      <w:r>
        <w:t xml:space="preserve"> Ibid, ss 14 and 21.</w:t>
      </w:r>
    </w:p>
  </w:footnote>
  <w:footnote w:id="27">
    <w:p w14:paraId="2EF95ED3" w14:textId="77777777" w:rsidR="00C02D25" w:rsidRDefault="00C02D25" w:rsidP="00E835AA">
      <w:pPr>
        <w:pStyle w:val="FootnoteText"/>
      </w:pPr>
      <w:r>
        <w:rPr>
          <w:rStyle w:val="FootnoteReference"/>
        </w:rPr>
        <w:footnoteRef/>
      </w:r>
      <w:r>
        <w:t xml:space="preserve"> Ibid, ss 15 and 22.</w:t>
      </w:r>
    </w:p>
  </w:footnote>
  <w:footnote w:id="28">
    <w:p w14:paraId="2FB794D4" w14:textId="77777777" w:rsidR="00C02D25" w:rsidRDefault="00C02D25" w:rsidP="00E835AA">
      <w:pPr>
        <w:pStyle w:val="FootnoteText"/>
      </w:pPr>
      <w:r>
        <w:rPr>
          <w:rStyle w:val="FootnoteReference"/>
        </w:rPr>
        <w:footnoteRef/>
      </w:r>
      <w:r>
        <w:t xml:space="preserve"> Ibid, ss 16 and 23.</w:t>
      </w:r>
    </w:p>
  </w:footnote>
  <w:footnote w:id="29">
    <w:p w14:paraId="0189A7E9" w14:textId="265E01DD" w:rsidR="00C02D25" w:rsidRPr="00800A24" w:rsidRDefault="00C02D25" w:rsidP="00E835AA">
      <w:pPr>
        <w:pStyle w:val="FootnoteText"/>
      </w:pPr>
      <w:r w:rsidRPr="00800A24">
        <w:rPr>
          <w:rStyle w:val="FootnoteReference"/>
        </w:rPr>
        <w:footnoteRef/>
      </w:r>
      <w:r w:rsidRPr="00800A24">
        <w:t xml:space="preserve"> </w:t>
      </w:r>
      <w:r w:rsidRPr="00800A24">
        <w:rPr>
          <w:i/>
        </w:rPr>
        <w:t xml:space="preserve">Legislation (Exemptions and </w:t>
      </w:r>
      <w:r>
        <w:rPr>
          <w:i/>
        </w:rPr>
        <w:t>Other M</w:t>
      </w:r>
      <w:r w:rsidRPr="00800A24">
        <w:rPr>
          <w:i/>
        </w:rPr>
        <w:t>atters) Regulation 2015</w:t>
      </w:r>
      <w:r w:rsidRPr="00800A24">
        <w:t xml:space="preserve"> (Cth), reg 6, item 10.</w:t>
      </w:r>
    </w:p>
  </w:footnote>
  <w:footnote w:id="30">
    <w:p w14:paraId="18FB59E8" w14:textId="27E01EF8" w:rsidR="00C02D25" w:rsidRPr="00B068DC" w:rsidRDefault="00C02D25" w:rsidP="00E835AA">
      <w:pPr>
        <w:pStyle w:val="FootnoteText"/>
        <w:rPr>
          <w:lang w:val="en-US"/>
        </w:rPr>
      </w:pPr>
      <w:r w:rsidRPr="00800A24">
        <w:rPr>
          <w:rStyle w:val="FootnoteReference"/>
        </w:rPr>
        <w:footnoteRef/>
      </w:r>
      <w:r w:rsidRPr="00800A24">
        <w:t xml:space="preserve"> </w:t>
      </w:r>
      <w:r w:rsidRPr="00800A24">
        <w:rPr>
          <w:lang w:val="en-US"/>
        </w:rPr>
        <w:t xml:space="preserve">This has been the case since 1984. </w:t>
      </w:r>
      <w:r w:rsidRPr="00800A24">
        <w:t>Authorisation is provided by way of a letter authorising the SMOS or any Minister acting in this capacity</w:t>
      </w:r>
      <w:r w:rsidRPr="0059587C">
        <w:t xml:space="preserve">. </w:t>
      </w:r>
      <w:r>
        <w:t>For e</w:t>
      </w:r>
      <w:r w:rsidRPr="0059587C">
        <w:t xml:space="preserve">ach new </w:t>
      </w:r>
      <w:r>
        <w:t>SMOS,</w:t>
      </w:r>
      <w:r w:rsidRPr="0059587C">
        <w:t xml:space="preserve"> the Prime Minister provides a new letter of authorisation</w:t>
      </w:r>
      <w:r>
        <w:t>.</w:t>
      </w:r>
    </w:p>
  </w:footnote>
  <w:footnote w:id="31">
    <w:p w14:paraId="7DB4DEF6" w14:textId="7E2D18C7" w:rsidR="00C02D25" w:rsidRDefault="00C02D25">
      <w:pPr>
        <w:pStyle w:val="FootnoteText"/>
      </w:pPr>
      <w:r>
        <w:rPr>
          <w:rStyle w:val="FootnoteReference"/>
        </w:rPr>
        <w:footnoteRef/>
      </w:r>
      <w:r>
        <w:t xml:space="preserve"> MoP(S) Act, s32; </w:t>
      </w:r>
      <w:r w:rsidRPr="0025694C">
        <w:t xml:space="preserve">Department of </w:t>
      </w:r>
      <w:r>
        <w:t xml:space="preserve">the </w:t>
      </w:r>
      <w:r w:rsidRPr="0025694C">
        <w:t xml:space="preserve">Prime Minister and Cabinet, </w:t>
      </w:r>
      <w:r w:rsidRPr="0025694C">
        <w:rPr>
          <w:i/>
        </w:rPr>
        <w:t>Prime Minister’s Official Establishments Employees Determination 2020-2023</w:t>
      </w:r>
      <w:r w:rsidRPr="0025694C">
        <w:t xml:space="preserve"> (12 October 2020)</w:t>
      </w:r>
      <w:r>
        <w:t xml:space="preserve">.  </w:t>
      </w:r>
    </w:p>
  </w:footnote>
  <w:footnote w:id="32">
    <w:p w14:paraId="1EDA8C3A" w14:textId="77777777" w:rsidR="00C02D25" w:rsidRDefault="00C02D25">
      <w:pPr>
        <w:pStyle w:val="FootnoteText"/>
      </w:pPr>
      <w:r>
        <w:rPr>
          <w:rStyle w:val="FootnoteReference"/>
        </w:rPr>
        <w:footnoteRef/>
      </w:r>
      <w:r>
        <w:t xml:space="preserve"> Information provided by High Office Support Team, PM&amp;C; </w:t>
      </w:r>
      <w:r w:rsidRPr="00BE6FE2">
        <w:rPr>
          <w:i/>
        </w:rPr>
        <w:t>Submission 42</w:t>
      </w:r>
      <w:r>
        <w:t>, 3</w:t>
      </w:r>
      <w:r w:rsidDel="00E64365">
        <w:t>.</w:t>
      </w:r>
    </w:p>
  </w:footnote>
  <w:footnote w:id="33">
    <w:p w14:paraId="41424AE3" w14:textId="4E9090E1" w:rsidR="00C02D25" w:rsidRDefault="00C02D25" w:rsidP="00332255">
      <w:pPr>
        <w:pStyle w:val="FootnoteText"/>
      </w:pPr>
      <w:r>
        <w:rPr>
          <w:rStyle w:val="FootnoteReference"/>
        </w:rPr>
        <w:footnoteRef/>
      </w:r>
      <w:r>
        <w:t xml:space="preserve"> The EA was signed by the Minister for Finance, an employee bargaining representative, and representatives of employees in June 2021.</w:t>
      </w:r>
    </w:p>
  </w:footnote>
  <w:footnote w:id="34">
    <w:p w14:paraId="273FBAB0" w14:textId="6D970E8C" w:rsidR="00C02D25" w:rsidRDefault="00C02D25" w:rsidP="00332255">
      <w:pPr>
        <w:pStyle w:val="FootnoteText"/>
      </w:pPr>
      <w:r>
        <w:rPr>
          <w:rStyle w:val="FootnoteReference"/>
        </w:rPr>
        <w:footnoteRef/>
      </w:r>
      <w:r>
        <w:t xml:space="preserve"> </w:t>
      </w:r>
      <w:r w:rsidRPr="00C220E0">
        <w:rPr>
          <w:i/>
        </w:rPr>
        <w:t>Commonwealth Members of Parliament Staff Enterprise Agreement 2020-23</w:t>
      </w:r>
      <w:r>
        <w:rPr>
          <w:i/>
        </w:rPr>
        <w:t xml:space="preserve"> </w:t>
      </w:r>
      <w:r>
        <w:t>(EA</w:t>
      </w:r>
      <w:r w:rsidRPr="00E26BC6">
        <w:t>) [online document]</w:t>
      </w:r>
      <w:r>
        <w:t>,</w:t>
      </w:r>
      <w:r w:rsidRPr="00E26BC6">
        <w:t xml:space="preserve"> (3 August 2022) </w:t>
      </w:r>
      <w:hyperlink r:id="rId7" w:history="1">
        <w:r w:rsidRPr="00E26BC6">
          <w:rPr>
            <w:rStyle w:val="Hyperlink"/>
          </w:rPr>
          <w:t>https://maps.finance.gov.au/sites/default/files/2020-12/MOPS%20Enterprise%20Agreement%202020-23%20FINAL.pdf</w:t>
        </w:r>
      </w:hyperlink>
      <w:r>
        <w:t xml:space="preserve">, accessed 27 September 2022. The Review notes the EA may need to be varied as a consequence of any amendment to the MoP(S) Act. </w:t>
      </w:r>
    </w:p>
  </w:footnote>
  <w:footnote w:id="35">
    <w:p w14:paraId="52E9ABB5" w14:textId="77777777" w:rsidR="00C02D25" w:rsidRDefault="00C02D25" w:rsidP="00E835AA">
      <w:pPr>
        <w:pStyle w:val="FootnoteText"/>
      </w:pPr>
      <w:r>
        <w:rPr>
          <w:rStyle w:val="FootnoteReference"/>
        </w:rPr>
        <w:footnoteRef/>
      </w:r>
      <w:r>
        <w:t xml:space="preserve"> By position: Electorate Officer A, B and C.</w:t>
      </w:r>
    </w:p>
  </w:footnote>
  <w:footnote w:id="36">
    <w:p w14:paraId="696D1A50" w14:textId="77777777" w:rsidR="00C02D25" w:rsidRDefault="00C02D25" w:rsidP="00E835AA">
      <w:pPr>
        <w:pStyle w:val="FootnoteText"/>
      </w:pPr>
      <w:r>
        <w:rPr>
          <w:rStyle w:val="FootnoteReference"/>
        </w:rPr>
        <w:footnoteRef/>
      </w:r>
      <w:r>
        <w:t>By position: Senior Staff (Principal Adviser, Chief of Staff, Senior Adviser, Senior Media Adviser), Government and Non-Government (Adviser, Media Adviser, Assistant Adviser, Executive Assistant/ Office Manager, Secretary/Administrative Assistant).</w:t>
      </w:r>
    </w:p>
  </w:footnote>
  <w:footnote w:id="37">
    <w:p w14:paraId="19976DEB" w14:textId="77777777" w:rsidR="00C02D25" w:rsidRDefault="00C02D25" w:rsidP="00E835AA">
      <w:pPr>
        <w:pStyle w:val="FootnoteText"/>
      </w:pPr>
      <w:r>
        <w:rPr>
          <w:rStyle w:val="FootnoteReference"/>
        </w:rPr>
        <w:footnoteRef/>
      </w:r>
      <w:r>
        <w:t xml:space="preserve"> The Act requires a written employment agreement: MoP(S) Act, ss 13 and 20.</w:t>
      </w:r>
    </w:p>
  </w:footnote>
  <w:footnote w:id="38">
    <w:p w14:paraId="616097B3" w14:textId="77777777" w:rsidR="00C02D25" w:rsidRPr="00B12FF5" w:rsidRDefault="00C02D25" w:rsidP="00E835AA">
      <w:pPr>
        <w:pStyle w:val="FootnoteText"/>
        <w:rPr>
          <w:lang w:val="en-US"/>
        </w:rPr>
      </w:pPr>
      <w:r>
        <w:rPr>
          <w:rStyle w:val="FootnoteReference"/>
        </w:rPr>
        <w:footnoteRef/>
      </w:r>
      <w:r>
        <w:t xml:space="preserve"> MaPS has indicated IFAs are not common.</w:t>
      </w:r>
    </w:p>
  </w:footnote>
  <w:footnote w:id="39">
    <w:p w14:paraId="51A8AB3B" w14:textId="3DEF17A8" w:rsidR="00C02D25" w:rsidRDefault="00C02D25" w:rsidP="00E835AA">
      <w:pPr>
        <w:pStyle w:val="FootnoteText"/>
      </w:pPr>
      <w:r>
        <w:rPr>
          <w:rStyle w:val="FootnoteReference"/>
        </w:rPr>
        <w:footnoteRef/>
      </w:r>
      <w:r>
        <w:t xml:space="preserve"> AHRC, </w:t>
      </w:r>
      <w:r>
        <w:rPr>
          <w:i/>
        </w:rPr>
        <w:t xml:space="preserve">Set the </w:t>
      </w:r>
      <w:r w:rsidRPr="00BE6FE2">
        <w:rPr>
          <w:i/>
        </w:rPr>
        <w:t>Standard</w:t>
      </w:r>
      <w:r>
        <w:t>, 23 (</w:t>
      </w:r>
      <w:r w:rsidRPr="00BE6FE2">
        <w:t>Recommendation</w:t>
      </w:r>
      <w:r>
        <w:t xml:space="preserve"> 17(a) and (b)).</w:t>
      </w:r>
    </w:p>
  </w:footnote>
  <w:footnote w:id="40">
    <w:p w14:paraId="4EBDE447" w14:textId="076C8ABC" w:rsidR="00C02D25" w:rsidRDefault="00C02D25" w:rsidP="00E835AA">
      <w:pPr>
        <w:pStyle w:val="FootnoteText"/>
      </w:pPr>
      <w:r>
        <w:rPr>
          <w:rStyle w:val="FootnoteReference"/>
        </w:rPr>
        <w:footnoteRef/>
      </w:r>
      <w:r>
        <w:t xml:space="preserve"> Ibid, Recommendation 17(c).</w:t>
      </w:r>
    </w:p>
  </w:footnote>
  <w:footnote w:id="41">
    <w:p w14:paraId="65EB5C92" w14:textId="2C200E8A" w:rsidR="00C02D25" w:rsidRDefault="00C02D25" w:rsidP="00E835AA">
      <w:pPr>
        <w:pStyle w:val="FootnoteText"/>
      </w:pPr>
      <w:r>
        <w:rPr>
          <w:rStyle w:val="FootnoteReference"/>
        </w:rPr>
        <w:footnoteRef/>
      </w:r>
      <w:r>
        <w:t xml:space="preserve"> Ibid, 26 (Recommendation 24).</w:t>
      </w:r>
    </w:p>
  </w:footnote>
  <w:footnote w:id="42">
    <w:p w14:paraId="114B32A5" w14:textId="77777777" w:rsidR="00C02D25" w:rsidRDefault="00C02D25">
      <w:pPr>
        <w:pStyle w:val="FootnoteText"/>
      </w:pPr>
      <w:r>
        <w:rPr>
          <w:rStyle w:val="FootnoteReference"/>
        </w:rPr>
        <w:footnoteRef/>
      </w:r>
      <w:r>
        <w:t xml:space="preserve"> This does not include personal staff employed in official residences under the MoP(S) Act.</w:t>
      </w:r>
    </w:p>
  </w:footnote>
  <w:footnote w:id="43">
    <w:p w14:paraId="0CE2A31C" w14:textId="07905403" w:rsidR="00C02D25" w:rsidRDefault="00C02D25" w:rsidP="001A1F03">
      <w:pPr>
        <w:pStyle w:val="FootnoteText"/>
      </w:pPr>
      <w:r>
        <w:rPr>
          <w:rStyle w:val="FootnoteReference"/>
        </w:rPr>
        <w:footnoteRef/>
      </w:r>
      <w:r>
        <w:t xml:space="preserve"> MoP(S) Act, ss 13 and 20.</w:t>
      </w:r>
    </w:p>
  </w:footnote>
  <w:footnote w:id="44">
    <w:p w14:paraId="6D98215E" w14:textId="353883A2" w:rsidR="00C02D25" w:rsidRDefault="00C02D25" w:rsidP="001A1F03">
      <w:pPr>
        <w:pStyle w:val="FootnoteText"/>
      </w:pPr>
      <w:r>
        <w:rPr>
          <w:rStyle w:val="FootnoteReference"/>
        </w:rPr>
        <w:footnoteRef/>
      </w:r>
      <w:r>
        <w:t xml:space="preserve"> The standing determination for electorate staffing is: </w:t>
      </w:r>
      <w:r w:rsidRPr="00B81582">
        <w:t xml:space="preserve">Special Minister of State (Cth), </w:t>
      </w:r>
      <w:r w:rsidRPr="00B81582">
        <w:rPr>
          <w:i/>
        </w:rPr>
        <w:t>Determination 2016/15: Employment of Electorate Officers</w:t>
      </w:r>
      <w:r w:rsidRPr="00B81582">
        <w:t xml:space="preserve"> (2016)</w:t>
      </w:r>
      <w:r>
        <w:t>.</w:t>
      </w:r>
    </w:p>
  </w:footnote>
  <w:footnote w:id="45">
    <w:p w14:paraId="0044F5D5" w14:textId="2DFEF296" w:rsidR="00C02D25" w:rsidRPr="00E26BC6" w:rsidRDefault="00C02D25" w:rsidP="001A1F03">
      <w:pPr>
        <w:pStyle w:val="FootnoteText"/>
        <w:rPr>
          <w:highlight w:val="yellow"/>
        </w:rPr>
      </w:pPr>
      <w:r w:rsidRPr="00E31427">
        <w:rPr>
          <w:rStyle w:val="FootnoteReference"/>
        </w:rPr>
        <w:footnoteRef/>
      </w:r>
      <w:r w:rsidRPr="00E31427">
        <w:t xml:space="preserve"> </w:t>
      </w:r>
      <w:r>
        <w:t>Ibid</w:t>
      </w:r>
      <w:r w:rsidRPr="00E31427">
        <w:t>, items 3 and 9.</w:t>
      </w:r>
    </w:p>
  </w:footnote>
  <w:footnote w:id="46">
    <w:p w14:paraId="7097A865" w14:textId="28AD3B56" w:rsidR="00C02D25" w:rsidRDefault="00C02D25" w:rsidP="001A1F03">
      <w:pPr>
        <w:pStyle w:val="FootnoteText"/>
      </w:pPr>
      <w:r w:rsidRPr="00E31427">
        <w:rPr>
          <w:rStyle w:val="FootnoteReference"/>
        </w:rPr>
        <w:footnoteRef/>
      </w:r>
      <w:r w:rsidRPr="00E31427">
        <w:t xml:space="preserve"> Ibid, items 4 and 5.</w:t>
      </w:r>
    </w:p>
  </w:footnote>
  <w:footnote w:id="47">
    <w:p w14:paraId="0524177E" w14:textId="6F5C2687" w:rsidR="00C02D25" w:rsidRDefault="00C02D25" w:rsidP="001A1F03">
      <w:pPr>
        <w:pStyle w:val="FootnoteText"/>
      </w:pPr>
      <w:r>
        <w:rPr>
          <w:rStyle w:val="FootnoteReference"/>
        </w:rPr>
        <w:footnoteRef/>
      </w:r>
      <w:r>
        <w:t xml:space="preserve"> Either CBAA (Electorate Officer C; Electorate Officer B; 2 x Electorate Officer A) or BBBA (3 x Electorate Officer B; Electorate Officer A).  In a five or six position </w:t>
      </w:r>
      <w:r w:rsidRPr="00DD60AB">
        <w:t>electorate office</w:t>
      </w:r>
      <w:r w:rsidRPr="00684002">
        <w:t xml:space="preserve">, there is provision for one additional Electorate Officer B position per office. </w:t>
      </w:r>
      <w:r w:rsidRPr="00573CCA">
        <w:rPr>
          <w:i/>
        </w:rPr>
        <w:t>Determination 2016/15</w:t>
      </w:r>
      <w:r>
        <w:t>.</w:t>
      </w:r>
    </w:p>
  </w:footnote>
  <w:footnote w:id="48">
    <w:p w14:paraId="54A5F4BE" w14:textId="77777777" w:rsidR="00C02D25" w:rsidRDefault="00C02D25" w:rsidP="001A1F03">
      <w:pPr>
        <w:pStyle w:val="FootnoteText"/>
      </w:pPr>
      <w:r>
        <w:rPr>
          <w:rStyle w:val="FootnoteReference"/>
        </w:rPr>
        <w:footnoteRef/>
      </w:r>
      <w:r>
        <w:t xml:space="preserve"> </w:t>
      </w:r>
      <w:r w:rsidRPr="00E31427">
        <w:rPr>
          <w:i/>
        </w:rPr>
        <w:t>Determination 2016/15.</w:t>
      </w:r>
    </w:p>
  </w:footnote>
  <w:footnote w:id="49">
    <w:p w14:paraId="7DAB1129" w14:textId="77777777" w:rsidR="00C02D25" w:rsidRDefault="00C02D25" w:rsidP="001A1F03">
      <w:pPr>
        <w:pStyle w:val="FootnoteText"/>
      </w:pPr>
      <w:r>
        <w:rPr>
          <w:rStyle w:val="FootnoteReference"/>
        </w:rPr>
        <w:footnoteRef/>
      </w:r>
      <w:r>
        <w:t xml:space="preserve"> Electorate Officer A, B and C. Electorate Officer C is the highest classification. </w:t>
      </w:r>
      <w:r w:rsidRPr="00E31427">
        <w:t xml:space="preserve">See </w:t>
      </w:r>
      <w:r w:rsidRPr="00E31427">
        <w:rPr>
          <w:i/>
        </w:rPr>
        <w:t>Determination 2016/15.</w:t>
      </w:r>
    </w:p>
  </w:footnote>
  <w:footnote w:id="50">
    <w:p w14:paraId="26BE4091" w14:textId="18CA19BA" w:rsidR="00C02D25" w:rsidRDefault="00C02D25" w:rsidP="001A1F03">
      <w:pPr>
        <w:pStyle w:val="FootnoteText"/>
      </w:pPr>
      <w:r>
        <w:rPr>
          <w:rStyle w:val="FootnoteReference"/>
        </w:rPr>
        <w:footnoteRef/>
      </w:r>
      <w:r>
        <w:t xml:space="preserve"> See Section 6.5.1.</w:t>
      </w:r>
    </w:p>
  </w:footnote>
  <w:footnote w:id="51">
    <w:p w14:paraId="6BBFB917" w14:textId="77777777" w:rsidR="00C02D25" w:rsidRDefault="00C02D25" w:rsidP="001A1F03">
      <w:pPr>
        <w:pStyle w:val="FootnoteText"/>
      </w:pPr>
      <w:r>
        <w:rPr>
          <w:rStyle w:val="FootnoteReference"/>
        </w:rPr>
        <w:footnoteRef/>
      </w:r>
      <w:r>
        <w:t xml:space="preserve"> MoP(S) Act, s 16(2).</w:t>
      </w:r>
    </w:p>
  </w:footnote>
  <w:footnote w:id="52">
    <w:p w14:paraId="352C8CF6" w14:textId="1FCD3CF1" w:rsidR="00C02D25" w:rsidRDefault="00C02D25" w:rsidP="001A1F03">
      <w:pPr>
        <w:pStyle w:val="FootnoteText"/>
      </w:pPr>
      <w:r>
        <w:rPr>
          <w:rStyle w:val="FootnoteReference"/>
        </w:rPr>
        <w:footnoteRef/>
      </w:r>
      <w:r>
        <w:t xml:space="preserve"> Ibid, sub-s 13(1).</w:t>
      </w:r>
    </w:p>
  </w:footnote>
  <w:footnote w:id="53">
    <w:p w14:paraId="09287889" w14:textId="02436CB0" w:rsidR="00C02D25" w:rsidRDefault="00C02D25" w:rsidP="001A1F03">
      <w:pPr>
        <w:pStyle w:val="FootnoteText"/>
      </w:pPr>
      <w:r>
        <w:rPr>
          <w:rStyle w:val="FootnoteReference"/>
        </w:rPr>
        <w:footnoteRef/>
      </w:r>
      <w:r>
        <w:t xml:space="preserve"> Ibid, sub-s 13(2).</w:t>
      </w:r>
    </w:p>
  </w:footnote>
  <w:footnote w:id="54">
    <w:p w14:paraId="70A4D7F7" w14:textId="1C49B2FD" w:rsidR="00C02D25" w:rsidRPr="00415571" w:rsidRDefault="00C02D25" w:rsidP="001A1F03">
      <w:pPr>
        <w:pStyle w:val="FootnoteText"/>
        <w:rPr>
          <w:lang w:val="en-US"/>
        </w:rPr>
      </w:pPr>
      <w:r>
        <w:rPr>
          <w:rStyle w:val="FootnoteReference"/>
        </w:rPr>
        <w:footnoteRef/>
      </w:r>
      <w:r>
        <w:t xml:space="preserve"> </w:t>
      </w:r>
      <w:r>
        <w:rPr>
          <w:vertAlign w:val="superscript"/>
        </w:rPr>
        <w:t xml:space="preserve"> </w:t>
      </w:r>
      <w:r>
        <w:rPr>
          <w:lang w:val="en-US"/>
        </w:rPr>
        <w:t>Ibid, s 3.</w:t>
      </w:r>
    </w:p>
  </w:footnote>
  <w:footnote w:id="55">
    <w:p w14:paraId="7EFE0168" w14:textId="52645326" w:rsidR="00C02D25" w:rsidRDefault="00C02D25" w:rsidP="001A1F03">
      <w:pPr>
        <w:pStyle w:val="FootnoteText"/>
      </w:pPr>
      <w:r>
        <w:rPr>
          <w:rStyle w:val="FootnoteReference"/>
        </w:rPr>
        <w:footnoteRef/>
      </w:r>
      <w:r>
        <w:t xml:space="preserve"> The </w:t>
      </w:r>
      <w:r w:rsidRPr="00E50CE0">
        <w:rPr>
          <w:i/>
        </w:rPr>
        <w:t>Parliamentary Business Resources Regulations 2017</w:t>
      </w:r>
      <w:r>
        <w:t xml:space="preserve"> (Cth) (PBR Regulations) defines a ‘minority party’ as one which is not the Government or the Opposition, and which has at least five members in the Parliament.</w:t>
      </w:r>
    </w:p>
  </w:footnote>
  <w:footnote w:id="56">
    <w:p w14:paraId="7188FB86" w14:textId="28683826" w:rsidR="00C02D25" w:rsidRDefault="00C02D25">
      <w:pPr>
        <w:pStyle w:val="FootnoteText"/>
      </w:pPr>
      <w:r w:rsidRPr="00B94644">
        <w:rPr>
          <w:rStyle w:val="FootnoteReference"/>
        </w:rPr>
        <w:footnoteRef/>
      </w:r>
      <w:r w:rsidRPr="00B94644">
        <w:t xml:space="preserve"> </w:t>
      </w:r>
      <w:r>
        <w:t>The</w:t>
      </w:r>
      <w:r w:rsidRPr="00B94644">
        <w:t xml:space="preserve"> </w:t>
      </w:r>
      <w:r w:rsidRPr="00F00B78">
        <w:t>High Office Support Team in PM&amp;C provides operational support for Official Establishments.</w:t>
      </w:r>
    </w:p>
  </w:footnote>
  <w:footnote w:id="57">
    <w:p w14:paraId="2F26308D" w14:textId="77777777" w:rsidR="00C02D25" w:rsidRDefault="00C02D25" w:rsidP="001A1F03">
      <w:pPr>
        <w:pStyle w:val="FootnoteText"/>
      </w:pPr>
      <w:r>
        <w:rPr>
          <w:rStyle w:val="FootnoteReference"/>
        </w:rPr>
        <w:footnoteRef/>
      </w:r>
      <w:r>
        <w:t xml:space="preserve"> MoP(S) Act, s 16(2).</w:t>
      </w:r>
    </w:p>
  </w:footnote>
  <w:footnote w:id="58">
    <w:p w14:paraId="67216836" w14:textId="6DD6BE54" w:rsidR="00C02D25" w:rsidRDefault="00C02D25" w:rsidP="001A1F03">
      <w:pPr>
        <w:pStyle w:val="FootnoteText"/>
      </w:pPr>
      <w:r>
        <w:rPr>
          <w:rStyle w:val="FootnoteReference"/>
        </w:rPr>
        <w:footnoteRef/>
      </w:r>
      <w:r>
        <w:t xml:space="preserve"> Ibid, sub-ss 16(1)-(2).</w:t>
      </w:r>
    </w:p>
  </w:footnote>
  <w:footnote w:id="59">
    <w:p w14:paraId="07A7DB67" w14:textId="5455E01F" w:rsidR="00C02D25" w:rsidRPr="008C650F" w:rsidRDefault="00C02D25" w:rsidP="001A1F03">
      <w:pPr>
        <w:pStyle w:val="FootnoteText"/>
        <w:rPr>
          <w:u w:val="single"/>
          <w:lang w:val="en-US"/>
        </w:rPr>
      </w:pPr>
      <w:r>
        <w:rPr>
          <w:rStyle w:val="FootnoteReference"/>
        </w:rPr>
        <w:footnoteRef/>
      </w:r>
      <w:r>
        <w:t xml:space="preserve"> The Ministerial Staff Code of Conduct notes e</w:t>
      </w:r>
      <w:r w:rsidRPr="00BD6D9D">
        <w:t xml:space="preserve">lectorate officers for </w:t>
      </w:r>
      <w:r>
        <w:t>m</w:t>
      </w:r>
      <w:r w:rsidRPr="00BD6D9D">
        <w:t xml:space="preserve">inisters are covered by the Ministerial Staff Code of Conduct in recognition of the role they play assisting </w:t>
      </w:r>
      <w:r>
        <w:t>m</w:t>
      </w:r>
      <w:r w:rsidRPr="00BD6D9D">
        <w:t>inisters to perform their duties</w:t>
      </w:r>
      <w:r>
        <w:t xml:space="preserve"> (see: Special Minister of State, </w:t>
      </w:r>
      <w:r w:rsidRPr="00A72129">
        <w:rPr>
          <w:i/>
        </w:rPr>
        <w:t>Ministerial Staff Code of Conduct</w:t>
      </w:r>
      <w:r w:rsidRPr="00035969">
        <w:t xml:space="preserve"> </w:t>
      </w:r>
      <w:r>
        <w:t xml:space="preserve">[website], (no date) </w:t>
      </w:r>
      <w:hyperlink r:id="rId8" w:history="1">
        <w:r w:rsidRPr="0048288D">
          <w:rPr>
            <w:rStyle w:val="Hyperlink"/>
          </w:rPr>
          <w:t>https://www.smos.gov.au/ministerial-staff-code-conduct</w:t>
        </w:r>
      </w:hyperlink>
      <w:r>
        <w:t>, accessed 21 September 2022).</w:t>
      </w:r>
    </w:p>
  </w:footnote>
  <w:footnote w:id="60">
    <w:p w14:paraId="4D98B497" w14:textId="77777777" w:rsidR="00C02D25" w:rsidRDefault="00C02D25">
      <w:pPr>
        <w:pStyle w:val="FootnoteText"/>
      </w:pPr>
      <w:r>
        <w:rPr>
          <w:rStyle w:val="FootnoteReference"/>
        </w:rPr>
        <w:footnoteRef/>
      </w:r>
      <w:r>
        <w:t xml:space="preserve"> </w:t>
      </w:r>
      <w:r w:rsidRPr="00E26BC6">
        <w:rPr>
          <w:i/>
        </w:rPr>
        <w:t>Submission 5</w:t>
      </w:r>
      <w:r>
        <w:t xml:space="preserve">, 1; </w:t>
      </w:r>
      <w:r w:rsidRPr="00E26BC6">
        <w:rPr>
          <w:i/>
        </w:rPr>
        <w:t>Submission 10</w:t>
      </w:r>
      <w:r>
        <w:t>, 2.</w:t>
      </w:r>
    </w:p>
  </w:footnote>
  <w:footnote w:id="61">
    <w:p w14:paraId="7654EB34" w14:textId="77777777" w:rsidR="00C02D25" w:rsidRDefault="00C02D25">
      <w:pPr>
        <w:pStyle w:val="FootnoteText"/>
      </w:pPr>
      <w:r>
        <w:rPr>
          <w:rStyle w:val="FootnoteReference"/>
        </w:rPr>
        <w:footnoteRef/>
      </w:r>
      <w:r>
        <w:t xml:space="preserve"> </w:t>
      </w:r>
      <w:r w:rsidRPr="00E26BC6">
        <w:rPr>
          <w:i/>
        </w:rPr>
        <w:t>Submission 10</w:t>
      </w:r>
      <w:r>
        <w:t>, 3.</w:t>
      </w:r>
    </w:p>
  </w:footnote>
  <w:footnote w:id="62">
    <w:p w14:paraId="32D02EBD" w14:textId="548DCBF0" w:rsidR="00C02D25" w:rsidRDefault="00C02D25">
      <w:pPr>
        <w:pStyle w:val="FootnoteText"/>
      </w:pPr>
      <w:r w:rsidRPr="002911AD">
        <w:rPr>
          <w:rStyle w:val="FootnoteReference"/>
        </w:rPr>
        <w:footnoteRef/>
      </w:r>
      <w:r w:rsidRPr="002911AD">
        <w:t xml:space="preserve"> </w:t>
      </w:r>
      <w:r w:rsidRPr="002911AD">
        <w:rPr>
          <w:i/>
        </w:rPr>
        <w:t>Submission 42</w:t>
      </w:r>
      <w:r w:rsidRPr="002911AD">
        <w:t>.</w:t>
      </w:r>
    </w:p>
  </w:footnote>
  <w:footnote w:id="63">
    <w:p w14:paraId="779DE472" w14:textId="610CFF5E" w:rsidR="00C02D25" w:rsidRDefault="00C02D25" w:rsidP="001A1F03">
      <w:pPr>
        <w:pStyle w:val="FootnoteText"/>
      </w:pPr>
      <w:r>
        <w:rPr>
          <w:rStyle w:val="FootnoteReference"/>
        </w:rPr>
        <w:footnoteRef/>
      </w:r>
      <w:r>
        <w:t xml:space="preserve"> Senate FPA</w:t>
      </w:r>
      <w:r w:rsidRPr="00503837">
        <w:t xml:space="preserve"> Committee</w:t>
      </w:r>
      <w:r>
        <w:t xml:space="preserve">, </w:t>
      </w:r>
      <w:r>
        <w:rPr>
          <w:i/>
        </w:rPr>
        <w:t>Staff employed under the Members of Parliament (Staff) Act 1984,</w:t>
      </w:r>
      <w:r>
        <w:t xml:space="preserve"> xx (Recommendation 4).</w:t>
      </w:r>
    </w:p>
  </w:footnote>
  <w:footnote w:id="64">
    <w:p w14:paraId="7F51D6CE" w14:textId="77777777" w:rsidR="00C02D25" w:rsidRDefault="00C02D25" w:rsidP="00B94644">
      <w:pPr>
        <w:pStyle w:val="FootnoteText"/>
      </w:pPr>
      <w:r>
        <w:rPr>
          <w:rStyle w:val="FootnoteReference"/>
        </w:rPr>
        <w:footnoteRef/>
      </w:r>
      <w:r>
        <w:t xml:space="preserve"> A</w:t>
      </w:r>
      <w:r w:rsidRPr="002B0311">
        <w:t>lthough referred to by various other nomenclature. For example, personal staff are referred to as Ministerial Officers and Parliamentary Advisers (</w:t>
      </w:r>
      <w:r>
        <w:t>Vic</w:t>
      </w:r>
      <w:r w:rsidRPr="002B0311">
        <w:t>); Staff of Political Office Holders, Staff of Members of Parliament and Staff of Special Office Holders (NSW); Government Office Holders and Other Office Holders (SA); Ministerial Staff and Other Office Holder Staff (</w:t>
      </w:r>
      <w:r>
        <w:t>Qld).</w:t>
      </w:r>
    </w:p>
  </w:footnote>
  <w:footnote w:id="65">
    <w:p w14:paraId="01AAA489" w14:textId="0E63749A" w:rsidR="00C02D25" w:rsidRDefault="00C02D25" w:rsidP="001A1F03">
      <w:pPr>
        <w:pStyle w:val="FootnoteText"/>
      </w:pPr>
      <w:r>
        <w:rPr>
          <w:rStyle w:val="FootnoteReference"/>
        </w:rPr>
        <w:footnoteRef/>
      </w:r>
      <w:r>
        <w:t xml:space="preserve"> This category includes Parliamentary Secretaries.</w:t>
      </w:r>
    </w:p>
  </w:footnote>
  <w:footnote w:id="66">
    <w:p w14:paraId="0A76CD73" w14:textId="23E4098D" w:rsidR="00C02D25" w:rsidRDefault="00C02D25" w:rsidP="001A1F03">
      <w:pPr>
        <w:pStyle w:val="FootnoteText"/>
      </w:pPr>
      <w:r>
        <w:rPr>
          <w:rStyle w:val="FootnoteReference"/>
        </w:rPr>
        <w:footnoteRef/>
      </w:r>
      <w:r>
        <w:t xml:space="preserve"> Senate FPA Committee, </w:t>
      </w:r>
      <w:r>
        <w:rPr>
          <w:i/>
        </w:rPr>
        <w:t xml:space="preserve">Staff employed under the MoP(S) </w:t>
      </w:r>
      <w:r w:rsidRPr="007C78A2">
        <w:rPr>
          <w:i/>
        </w:rPr>
        <w:t>Act</w:t>
      </w:r>
      <w:r>
        <w:t>, xx (</w:t>
      </w:r>
      <w:r w:rsidRPr="007C78A2">
        <w:t>Recommendation</w:t>
      </w:r>
      <w:r>
        <w:t xml:space="preserve"> 4).</w:t>
      </w:r>
    </w:p>
  </w:footnote>
  <w:footnote w:id="67">
    <w:p w14:paraId="0AB478AB" w14:textId="77777777" w:rsidR="00C02D25" w:rsidRPr="00594B7C" w:rsidRDefault="00C02D25">
      <w:pPr>
        <w:pStyle w:val="FootnoteText"/>
      </w:pPr>
      <w:r w:rsidRPr="00594B7C">
        <w:rPr>
          <w:rStyle w:val="FootnoteReference"/>
        </w:rPr>
        <w:footnoteRef/>
      </w:r>
      <w:r w:rsidRPr="00594B7C">
        <w:t xml:space="preserve"> </w:t>
      </w:r>
      <w:r w:rsidRPr="00A87318">
        <w:rPr>
          <w:i/>
        </w:rPr>
        <w:t>Submission 42</w:t>
      </w:r>
      <w:r w:rsidRPr="00594B7C">
        <w:t>, 7</w:t>
      </w:r>
      <w:r>
        <w:t>,</w:t>
      </w:r>
      <w:r w:rsidRPr="00594B7C">
        <w:t xml:space="preserve"> also raises this issue.</w:t>
      </w:r>
    </w:p>
  </w:footnote>
  <w:footnote w:id="68">
    <w:p w14:paraId="4885F1F5" w14:textId="34DA03FF" w:rsidR="00C02D25" w:rsidRPr="00594B7C" w:rsidRDefault="00C02D25" w:rsidP="00DB62B7">
      <w:pPr>
        <w:pStyle w:val="FootnoteText"/>
        <w:rPr>
          <w:lang w:val="en-US"/>
        </w:rPr>
      </w:pPr>
      <w:r w:rsidRPr="00594B7C">
        <w:rPr>
          <w:rStyle w:val="FootnoteReference"/>
        </w:rPr>
        <w:footnoteRef/>
      </w:r>
      <w:r w:rsidRPr="00594B7C">
        <w:t xml:space="preserve"> The </w:t>
      </w:r>
      <w:r w:rsidRPr="00594B7C">
        <w:rPr>
          <w:lang w:val="en-US"/>
        </w:rPr>
        <w:t>MaPS website sets out the full range of services it has been set up to deliver, including advice on work health and safety (early intervention, compensable and non-compensable claims and workplace rehabilitation services); Delivery of professional development; Comcar; Policy advice in relation to non-travel expenses under the</w:t>
      </w:r>
      <w:r>
        <w:rPr>
          <w:lang w:val="en-US"/>
        </w:rPr>
        <w:t xml:space="preserve"> </w:t>
      </w:r>
      <w:r w:rsidRPr="00594B7C">
        <w:rPr>
          <w:lang w:val="en-US"/>
        </w:rPr>
        <w:t xml:space="preserve">PBR Act. </w:t>
      </w:r>
    </w:p>
  </w:footnote>
  <w:footnote w:id="69">
    <w:p w14:paraId="55A01747" w14:textId="77777777" w:rsidR="00C02D25" w:rsidRDefault="00C02D25" w:rsidP="00DB62B7">
      <w:pPr>
        <w:pStyle w:val="FootnoteText"/>
      </w:pPr>
      <w:r w:rsidRPr="00594B7C">
        <w:rPr>
          <w:rStyle w:val="FootnoteReference"/>
        </w:rPr>
        <w:footnoteRef/>
      </w:r>
      <w:r w:rsidRPr="00594B7C">
        <w:t xml:space="preserve"> AHRC, </w:t>
      </w:r>
      <w:r w:rsidRPr="00594B7C">
        <w:rPr>
          <w:i/>
        </w:rPr>
        <w:t>Set the Standard</w:t>
      </w:r>
      <w:r w:rsidRPr="00594B7C">
        <w:t>, 178.</w:t>
      </w:r>
    </w:p>
  </w:footnote>
  <w:footnote w:id="70">
    <w:p w14:paraId="03E2D0C9" w14:textId="77777777" w:rsidR="00C02D25" w:rsidRDefault="00C02D25" w:rsidP="00DB62B7">
      <w:pPr>
        <w:pStyle w:val="FootnoteText"/>
      </w:pPr>
      <w:r>
        <w:rPr>
          <w:rStyle w:val="FootnoteReference"/>
        </w:rPr>
        <w:footnoteRef/>
      </w:r>
      <w:r>
        <w:t xml:space="preserve"> Ministerial staff were</w:t>
      </w:r>
      <w:r w:rsidRPr="00535F62">
        <w:t xml:space="preserve"> </w:t>
      </w:r>
      <w:r>
        <w:t xml:space="preserve">previously </w:t>
      </w:r>
      <w:r w:rsidRPr="00535F62">
        <w:t xml:space="preserve">employed by the Director-General of the Premier’s Department as ‘special temporary employees’ under the </w:t>
      </w:r>
      <w:r w:rsidRPr="001D2915">
        <w:rPr>
          <w:i/>
        </w:rPr>
        <w:t xml:space="preserve">Public Sector Employment and Management Act </w:t>
      </w:r>
      <w:r>
        <w:rPr>
          <w:i/>
        </w:rPr>
        <w:t>1993</w:t>
      </w:r>
      <w:r w:rsidRPr="007C78A2">
        <w:t xml:space="preserve"> (NSW).</w:t>
      </w:r>
    </w:p>
  </w:footnote>
  <w:footnote w:id="71">
    <w:p w14:paraId="2F706A4A" w14:textId="77777777" w:rsidR="00C02D25" w:rsidRDefault="00C02D25" w:rsidP="00DB62B7">
      <w:pPr>
        <w:pStyle w:val="FootnoteText"/>
      </w:pPr>
      <w:r>
        <w:rPr>
          <w:rStyle w:val="FootnoteReference"/>
        </w:rPr>
        <w:footnoteRef/>
      </w:r>
      <w:r>
        <w:t xml:space="preserve"> </w:t>
      </w:r>
      <w:r w:rsidRPr="00142173">
        <w:rPr>
          <w:i/>
        </w:rPr>
        <w:t>Set the Standard</w:t>
      </w:r>
      <w:r>
        <w:t xml:space="preserve"> recommended the establishment of the OPSC (Recommendation 11), to provide centralised human resources support to parliamentarians and MoP(S) Act employees - with a focus on policy development, training, advice and support, and education.</w:t>
      </w:r>
    </w:p>
  </w:footnote>
  <w:footnote w:id="72">
    <w:p w14:paraId="5225AA38" w14:textId="77777777" w:rsidR="00C02D25" w:rsidRDefault="00C02D25">
      <w:pPr>
        <w:pStyle w:val="FootnoteText"/>
      </w:pPr>
      <w:r>
        <w:rPr>
          <w:rStyle w:val="FootnoteReference"/>
        </w:rPr>
        <w:footnoteRef/>
      </w:r>
      <w:r>
        <w:t xml:space="preserve"> Including </w:t>
      </w:r>
      <w:r w:rsidRPr="00223BBA">
        <w:rPr>
          <w:i/>
        </w:rPr>
        <w:t>Submission 42</w:t>
      </w:r>
      <w:r>
        <w:t>, 6.</w:t>
      </w:r>
    </w:p>
  </w:footnote>
  <w:footnote w:id="73">
    <w:p w14:paraId="09FFF52C" w14:textId="77777777" w:rsidR="00C02D25" w:rsidRDefault="00C02D25">
      <w:pPr>
        <w:pStyle w:val="FootnoteText"/>
      </w:pPr>
      <w:r>
        <w:rPr>
          <w:rStyle w:val="FootnoteReference"/>
        </w:rPr>
        <w:footnoteRef/>
      </w:r>
      <w:r>
        <w:t xml:space="preserve"> MoP(S) Act, s 32.</w:t>
      </w:r>
    </w:p>
  </w:footnote>
  <w:footnote w:id="74">
    <w:p w14:paraId="3B6D4FC2" w14:textId="7413D28B" w:rsidR="00C02D25" w:rsidRDefault="00C02D25" w:rsidP="00090EAA">
      <w:pPr>
        <w:pStyle w:val="FootnoteText"/>
      </w:pPr>
      <w:r>
        <w:rPr>
          <w:rStyle w:val="FootnoteReference"/>
        </w:rPr>
        <w:footnoteRef/>
      </w:r>
      <w:r>
        <w:t xml:space="preserve"> Department of the Prime Minister and Cabinet, </w:t>
      </w:r>
      <w:r>
        <w:rPr>
          <w:i/>
        </w:rPr>
        <w:t>Review of the Parliamentary Workplace: Responding to Serious Incidents</w:t>
      </w:r>
      <w:r w:rsidRPr="00223BBA">
        <w:t xml:space="preserve"> </w:t>
      </w:r>
      <w:r>
        <w:t xml:space="preserve">(2021) 21, </w:t>
      </w:r>
      <w:hyperlink r:id="rId9" w:history="1">
        <w:r w:rsidRPr="00AD7E19">
          <w:rPr>
            <w:rStyle w:val="Hyperlink"/>
          </w:rPr>
          <w:t>https://www.pmc.gov.au/sites/default/files/publications/review-parliamentary-workplace-responding-serious-incidents-final.pdf</w:t>
        </w:r>
      </w:hyperlink>
      <w:r>
        <w:t>, accessed 30 September 2022.</w:t>
      </w:r>
    </w:p>
  </w:footnote>
  <w:footnote w:id="75">
    <w:p w14:paraId="6B9996D9" w14:textId="77777777" w:rsidR="00C02D25" w:rsidRDefault="00C02D25" w:rsidP="00090EAA">
      <w:pPr>
        <w:pStyle w:val="FootnoteText"/>
      </w:pPr>
      <w:r>
        <w:rPr>
          <w:rStyle w:val="FootnoteReference"/>
        </w:rPr>
        <w:footnoteRef/>
      </w:r>
      <w:r>
        <w:t xml:space="preserve"> AHRC, </w:t>
      </w:r>
      <w:r w:rsidRPr="00142173">
        <w:rPr>
          <w:i/>
        </w:rPr>
        <w:t>Set the Standard</w:t>
      </w:r>
      <w:r>
        <w:t>, 54.</w:t>
      </w:r>
    </w:p>
  </w:footnote>
  <w:footnote w:id="76">
    <w:p w14:paraId="7E3CE6B5" w14:textId="77777777" w:rsidR="00C02D25" w:rsidRDefault="00C02D25" w:rsidP="00090EAA">
      <w:pPr>
        <w:pStyle w:val="FootnoteText"/>
      </w:pPr>
      <w:r>
        <w:rPr>
          <w:rStyle w:val="FootnoteReference"/>
        </w:rPr>
        <w:footnoteRef/>
      </w:r>
      <w:r>
        <w:t xml:space="preserve"> </w:t>
      </w:r>
      <w:r w:rsidRPr="00223BBA">
        <w:t>Ibid</w:t>
      </w:r>
      <w:r>
        <w:t>, 55.</w:t>
      </w:r>
    </w:p>
  </w:footnote>
  <w:footnote w:id="77">
    <w:p w14:paraId="016BB2E8" w14:textId="73C99D57" w:rsidR="00C02D25" w:rsidRDefault="00C02D25" w:rsidP="00090EAA">
      <w:pPr>
        <w:pStyle w:val="FootnoteText"/>
      </w:pPr>
      <w:r>
        <w:rPr>
          <w:rStyle w:val="FootnoteReference"/>
        </w:rPr>
        <w:footnoteRef/>
      </w:r>
      <w:r>
        <w:t xml:space="preserve"> PM&amp;C, </w:t>
      </w:r>
      <w:r>
        <w:rPr>
          <w:i/>
        </w:rPr>
        <w:t>Responding to Serious Incidents</w:t>
      </w:r>
      <w:r>
        <w:t>, 6, 20, and 81.</w:t>
      </w:r>
    </w:p>
  </w:footnote>
  <w:footnote w:id="78">
    <w:p w14:paraId="1BBB1938" w14:textId="77777777" w:rsidR="00C02D25" w:rsidRPr="00B036CD" w:rsidRDefault="00C02D25">
      <w:pPr>
        <w:pStyle w:val="FootnoteText"/>
      </w:pPr>
      <w:r>
        <w:rPr>
          <w:rStyle w:val="FootnoteReference"/>
        </w:rPr>
        <w:footnoteRef/>
      </w:r>
      <w:r>
        <w:t xml:space="preserve"> AHRC, </w:t>
      </w:r>
      <w:r>
        <w:rPr>
          <w:i/>
        </w:rPr>
        <w:t>Set the Standard,</w:t>
      </w:r>
      <w:r>
        <w:t xml:space="preserve"> 100 and 256.</w:t>
      </w:r>
    </w:p>
  </w:footnote>
  <w:footnote w:id="79">
    <w:p w14:paraId="73C32FE4" w14:textId="77777777" w:rsidR="00C02D25" w:rsidRDefault="00C02D25">
      <w:pPr>
        <w:pStyle w:val="FootnoteText"/>
      </w:pPr>
      <w:r w:rsidRPr="00767C21">
        <w:rPr>
          <w:rStyle w:val="FootnoteReference"/>
        </w:rPr>
        <w:footnoteRef/>
      </w:r>
      <w:r w:rsidRPr="00767C21">
        <w:t xml:space="preserve"> </w:t>
      </w:r>
      <w:r w:rsidRPr="00767C21">
        <w:rPr>
          <w:i/>
        </w:rPr>
        <w:t>Submission 42</w:t>
      </w:r>
      <w:r w:rsidRPr="00767C21">
        <w:t>, Attachment A acknowledges the operation of each office differs particularly in relation to the roles and responsibilities of individual staff.</w:t>
      </w:r>
    </w:p>
  </w:footnote>
  <w:footnote w:id="80">
    <w:p w14:paraId="22112C2A" w14:textId="22731DD6" w:rsidR="00C02D25" w:rsidRDefault="00C02D25" w:rsidP="00090EAA">
      <w:pPr>
        <w:pStyle w:val="FootnoteText"/>
      </w:pPr>
      <w:r>
        <w:rPr>
          <w:rStyle w:val="FootnoteReference"/>
        </w:rPr>
        <w:footnoteRef/>
      </w:r>
      <w:r>
        <w:t xml:space="preserve"> Enterprise Agreement, Pt D, cl 30.</w:t>
      </w:r>
    </w:p>
  </w:footnote>
  <w:footnote w:id="81">
    <w:p w14:paraId="07D7F98A" w14:textId="460DCA39" w:rsidR="00C02D25" w:rsidRDefault="00C02D25" w:rsidP="00090EAA">
      <w:pPr>
        <w:pStyle w:val="FootnoteText"/>
      </w:pPr>
      <w:r>
        <w:rPr>
          <w:rStyle w:val="FootnoteReference"/>
        </w:rPr>
        <w:footnoteRef/>
      </w:r>
      <w:r>
        <w:t xml:space="preserve"> Ibid, cl 31.1, 32 and 33.</w:t>
      </w:r>
    </w:p>
  </w:footnote>
  <w:footnote w:id="82">
    <w:p w14:paraId="4C62983B" w14:textId="6AAEE949" w:rsidR="00C02D25" w:rsidRDefault="00C02D25">
      <w:pPr>
        <w:pStyle w:val="FootnoteText"/>
      </w:pPr>
      <w:r>
        <w:rPr>
          <w:rStyle w:val="FootnoteReference"/>
        </w:rPr>
        <w:footnoteRef/>
      </w:r>
      <w:r>
        <w:t xml:space="preserve"> </w:t>
      </w:r>
      <w:r w:rsidRPr="00AA28E0">
        <w:t xml:space="preserve">K O’Dwyer and K Ellis, </w:t>
      </w:r>
      <w:r w:rsidRPr="00846DBC">
        <w:rPr>
          <w:i/>
        </w:rPr>
        <w:t>Independent Review of the Parliamentary Business Resources Act 2017 and Independent Parliamentary Expenses Authority Act 2017</w:t>
      </w:r>
      <w:r w:rsidRPr="00AA28E0">
        <w:t xml:space="preserve"> (December 2021) </w:t>
      </w:r>
      <w:hyperlink r:id="rId10" w:history="1">
        <w:r w:rsidRPr="006B5BAA">
          <w:rPr>
            <w:rStyle w:val="Hyperlink"/>
          </w:rPr>
          <w:t>https://www.finance.gov.au/sites/default/files/2022-08/Independent%20Review%20on%20the%20Parliamentary%20Business%20Resources%20Act%202017%20and%20the%20Independent%20Parliamentary%20Expenses%20Authority%20Act%202017.pdf</w:t>
        </w:r>
      </w:hyperlink>
      <w:r w:rsidRPr="00AA28E0">
        <w:t>,</w:t>
      </w:r>
      <w:r>
        <w:t xml:space="preserve"> </w:t>
      </w:r>
      <w:r w:rsidRPr="00AA28E0">
        <w:t>accessed 27 September 2022</w:t>
      </w:r>
      <w:r>
        <w:t>.</w:t>
      </w:r>
    </w:p>
  </w:footnote>
  <w:footnote w:id="83">
    <w:p w14:paraId="7D76FE06" w14:textId="3388CF8F" w:rsidR="00C02D25" w:rsidRDefault="00C02D25">
      <w:pPr>
        <w:pStyle w:val="FootnoteText"/>
      </w:pPr>
      <w:r>
        <w:rPr>
          <w:rStyle w:val="FootnoteReference"/>
        </w:rPr>
        <w:footnoteRef/>
      </w:r>
      <w:r>
        <w:t xml:space="preserve"> Ibid, Recommendation 14; Each administering agency has different delivery arrangements including websites, intranets, help desks, paper and web-based forms.</w:t>
      </w:r>
    </w:p>
  </w:footnote>
  <w:footnote w:id="84">
    <w:p w14:paraId="483932F7" w14:textId="3156F16E" w:rsidR="00C02D25" w:rsidRDefault="00C02D25">
      <w:pPr>
        <w:pStyle w:val="FootnoteText"/>
      </w:pPr>
      <w:r>
        <w:rPr>
          <w:rStyle w:val="FootnoteReference"/>
        </w:rPr>
        <w:footnoteRef/>
      </w:r>
      <w:r>
        <w:t xml:space="preserve"> Ibid, Recommendations 16, 17, 21, 22, </w:t>
      </w:r>
      <w:r w:rsidRPr="001916A0">
        <w:t>and 28</w:t>
      </w:r>
      <w:r>
        <w:t>.</w:t>
      </w:r>
    </w:p>
  </w:footnote>
  <w:footnote w:id="85">
    <w:p w14:paraId="2345396C" w14:textId="3AF88500" w:rsidR="00C02D25" w:rsidRPr="00AF52C1" w:rsidRDefault="00C02D25" w:rsidP="00AF52C1">
      <w:pPr>
        <w:pStyle w:val="FootnoteText"/>
      </w:pPr>
      <w:r w:rsidRPr="00AF52C1">
        <w:rPr>
          <w:vertAlign w:val="superscript"/>
        </w:rPr>
        <w:footnoteRef/>
      </w:r>
      <w:r>
        <w:t xml:space="preserve"> </w:t>
      </w:r>
      <w:r w:rsidRPr="00EA442B">
        <w:t>Note, the number of actual employees versus staffing allocation may differ – for example, if not all</w:t>
      </w:r>
      <w:r>
        <w:t xml:space="preserve"> allocated</w:t>
      </w:r>
      <w:r w:rsidRPr="00EA442B">
        <w:t xml:space="preserve"> positions are filled or if one position is filled by two or more part-time employees.</w:t>
      </w:r>
    </w:p>
  </w:footnote>
  <w:footnote w:id="86">
    <w:p w14:paraId="3CA2907F" w14:textId="5473B239" w:rsidR="00C02D25" w:rsidRDefault="00C02D25">
      <w:pPr>
        <w:pStyle w:val="FootnoteText"/>
      </w:pPr>
      <w:r>
        <w:rPr>
          <w:rStyle w:val="FootnoteReference"/>
        </w:rPr>
        <w:footnoteRef/>
      </w:r>
      <w:r>
        <w:t xml:space="preserve"> The determination instruments do not contain personal information regarding terms of employment.</w:t>
      </w:r>
    </w:p>
  </w:footnote>
  <w:footnote w:id="87">
    <w:p w14:paraId="75E90279" w14:textId="3AD6E30F" w:rsidR="00C02D25" w:rsidRDefault="00C02D25">
      <w:pPr>
        <w:pStyle w:val="FootnoteText"/>
      </w:pPr>
      <w:r>
        <w:rPr>
          <w:rStyle w:val="FootnoteReference"/>
        </w:rPr>
        <w:footnoteRef/>
      </w:r>
      <w:r>
        <w:t xml:space="preserve"> The determination instruments contain personal information relating to terms and conditions of employment and is not required to be published; </w:t>
      </w:r>
      <w:r w:rsidRPr="00800A24">
        <w:rPr>
          <w:i/>
        </w:rPr>
        <w:t xml:space="preserve">Legislative Instruments (Exemptions and </w:t>
      </w:r>
      <w:r>
        <w:rPr>
          <w:i/>
        </w:rPr>
        <w:t>O</w:t>
      </w:r>
      <w:r w:rsidRPr="00800A24">
        <w:rPr>
          <w:i/>
        </w:rPr>
        <w:t xml:space="preserve">ther </w:t>
      </w:r>
      <w:r>
        <w:rPr>
          <w:i/>
        </w:rPr>
        <w:t>M</w:t>
      </w:r>
      <w:r w:rsidRPr="00800A24">
        <w:rPr>
          <w:i/>
        </w:rPr>
        <w:t>atters) Regulation 2015 (Cth)</w:t>
      </w:r>
      <w:r w:rsidRPr="00800A24">
        <w:t xml:space="preserve">, reg 6, item 10. </w:t>
      </w:r>
    </w:p>
  </w:footnote>
  <w:footnote w:id="88">
    <w:p w14:paraId="5DD4F69F" w14:textId="77777777" w:rsidR="00C02D25" w:rsidRPr="00147B6C" w:rsidRDefault="00C02D25" w:rsidP="00EA5215">
      <w:pPr>
        <w:pStyle w:val="FootnoteText"/>
      </w:pPr>
      <w:r w:rsidRPr="00147B6C">
        <w:rPr>
          <w:rStyle w:val="FootnoteReference"/>
        </w:rPr>
        <w:footnoteRef/>
      </w:r>
      <w:r w:rsidRPr="00147B6C">
        <w:t xml:space="preserve"> MoP(S) Act, ss 13, 19 and 20. </w:t>
      </w:r>
    </w:p>
  </w:footnote>
  <w:footnote w:id="89">
    <w:p w14:paraId="4E062201" w14:textId="1990133D" w:rsidR="00C02D25" w:rsidRPr="007C0033" w:rsidRDefault="00C02D25" w:rsidP="00EA5215">
      <w:pPr>
        <w:pStyle w:val="FootnoteText"/>
      </w:pPr>
      <w:r w:rsidRPr="007C0033">
        <w:rPr>
          <w:rStyle w:val="FootnoteReference"/>
        </w:rPr>
        <w:footnoteRef/>
      </w:r>
      <w:r>
        <w:t xml:space="preserve"> Evidence to Senate Standing Finance and Public Administration Legislation Committee, Parliament of Australia, Canberra</w:t>
      </w:r>
      <w:r w:rsidRPr="007C0033">
        <w:t xml:space="preserve">, </w:t>
      </w:r>
      <w:r>
        <w:t>13 February 2007, 104-109 (</w:t>
      </w:r>
      <w:r w:rsidRPr="007C0033">
        <w:t>Add</w:t>
      </w:r>
      <w:r>
        <w:t>itional Budget Estimates 2007-08).</w:t>
      </w:r>
    </w:p>
  </w:footnote>
  <w:footnote w:id="90">
    <w:p w14:paraId="5C535DF3" w14:textId="77777777" w:rsidR="00C02D25" w:rsidRPr="007C0033" w:rsidRDefault="00C02D25" w:rsidP="00EA5215">
      <w:pPr>
        <w:pStyle w:val="FootnoteText"/>
      </w:pPr>
      <w:r w:rsidRPr="007C0033">
        <w:rPr>
          <w:rStyle w:val="FootnoteReference"/>
        </w:rPr>
        <w:footnoteRef/>
      </w:r>
      <w:r w:rsidRPr="007C0033">
        <w:t xml:space="preserve"> An additional Electorate Officer A position was provided to all parliamentarians in early 2007.</w:t>
      </w:r>
    </w:p>
  </w:footnote>
  <w:footnote w:id="91">
    <w:p w14:paraId="0548081A" w14:textId="26D4EA9D" w:rsidR="00C02D25" w:rsidRDefault="00C02D25" w:rsidP="00EA5215">
      <w:pPr>
        <w:pStyle w:val="FootnoteText"/>
      </w:pPr>
      <w:r w:rsidRPr="007C0033">
        <w:rPr>
          <w:rStyle w:val="FootnoteReference"/>
        </w:rPr>
        <w:footnoteRef/>
      </w:r>
      <w:r w:rsidRPr="007C0033">
        <w:t xml:space="preserve"> </w:t>
      </w:r>
      <w:r>
        <w:t>Evidence to Senate Standing Finance and Public Administration Legislation Committee, Parliament of Australia, Canberra</w:t>
      </w:r>
      <w:r w:rsidRPr="007C0033">
        <w:t xml:space="preserve">, </w:t>
      </w:r>
      <w:r>
        <w:t>13 February 2007, 104-109 (</w:t>
      </w:r>
      <w:r w:rsidRPr="007C0033">
        <w:t>Add</w:t>
      </w:r>
      <w:r>
        <w:t>itional Budget Estimates 2007-08).</w:t>
      </w:r>
    </w:p>
  </w:footnote>
  <w:footnote w:id="92">
    <w:p w14:paraId="376B723C" w14:textId="4A4E2885" w:rsidR="00C02D25" w:rsidRPr="00B3006B" w:rsidRDefault="00C02D25" w:rsidP="00875720">
      <w:pPr>
        <w:pStyle w:val="FootnoteText"/>
      </w:pPr>
      <w:r w:rsidRPr="00B3006B">
        <w:rPr>
          <w:rStyle w:val="FootnoteReference"/>
        </w:rPr>
        <w:footnoteRef/>
      </w:r>
      <w:r w:rsidRPr="00B3006B">
        <w:t xml:space="preserve"> The number of </w:t>
      </w:r>
      <w:r>
        <w:t>s</w:t>
      </w:r>
      <w:r w:rsidRPr="00B3006B">
        <w:t xml:space="preserve">enators increased from 64 to 76 in 1984, and number of </w:t>
      </w:r>
      <w:r>
        <w:t>m</w:t>
      </w:r>
      <w:r w:rsidRPr="00B3006B">
        <w:t xml:space="preserve">embers increased from 125 in 1983 to 148 in 1984, 150 in 2001, and 151 in 2022. </w:t>
      </w:r>
    </w:p>
  </w:footnote>
  <w:footnote w:id="93">
    <w:p w14:paraId="652B244E" w14:textId="33754032" w:rsidR="00C02D25" w:rsidRDefault="00C02D25">
      <w:pPr>
        <w:pStyle w:val="FootnoteText"/>
      </w:pPr>
      <w:r>
        <w:rPr>
          <w:rStyle w:val="FootnoteReference"/>
        </w:rPr>
        <w:footnoteRef/>
      </w:r>
      <w:r>
        <w:t xml:space="preserve"> Note, the increase in members in 1984 increased the number of electorates and had a correlating reduction in the average number of voting constituents in each member’s electorate: David Elder (ed.), </w:t>
      </w:r>
      <w:r>
        <w:rPr>
          <w:i/>
        </w:rPr>
        <w:t>House of Representatives Practice</w:t>
      </w:r>
      <w:r>
        <w:t xml:space="preserve"> (7</w:t>
      </w:r>
      <w:r w:rsidRPr="00332BE2">
        <w:rPr>
          <w:vertAlign w:val="superscript"/>
        </w:rPr>
        <w:t>th</w:t>
      </w:r>
      <w:r>
        <w:t xml:space="preserve"> edn., Canberra: Department of the House of Representatives, 2018) 89.</w:t>
      </w:r>
    </w:p>
  </w:footnote>
  <w:footnote w:id="94">
    <w:p w14:paraId="300A48C1" w14:textId="77777777" w:rsidR="00C02D25" w:rsidRPr="00B3006B" w:rsidRDefault="00C02D25" w:rsidP="00EA5215">
      <w:pPr>
        <w:pStyle w:val="FootnoteText"/>
      </w:pPr>
      <w:r w:rsidRPr="00B3006B">
        <w:rPr>
          <w:rStyle w:val="FootnoteReference"/>
        </w:rPr>
        <w:footnoteRef/>
      </w:r>
      <w:r w:rsidRPr="00B3006B">
        <w:t xml:space="preserve"> </w:t>
      </w:r>
      <w:r w:rsidRPr="00B3006B">
        <w:rPr>
          <w:i/>
        </w:rPr>
        <w:t>Submission 42</w:t>
      </w:r>
      <w:r w:rsidRPr="00B3006B">
        <w:t>.</w:t>
      </w:r>
    </w:p>
  </w:footnote>
  <w:footnote w:id="95">
    <w:p w14:paraId="1595EF9B" w14:textId="4D1D35BF" w:rsidR="00C02D25" w:rsidRDefault="00C02D25" w:rsidP="00EA5215">
      <w:pPr>
        <w:pStyle w:val="FootnoteText"/>
      </w:pPr>
      <w:r w:rsidRPr="00B3006B">
        <w:rPr>
          <w:rStyle w:val="FootnoteReference"/>
        </w:rPr>
        <w:footnoteRef/>
      </w:r>
      <w:r w:rsidRPr="00B3006B">
        <w:t xml:space="preserve"> The ratio has been 21 per cent since 1995, see</w:t>
      </w:r>
      <w:r>
        <w:t>:</w:t>
      </w:r>
      <w:r w:rsidRPr="00B3006B">
        <w:t xml:space="preserve"> Henderson, </w:t>
      </w:r>
      <w:r>
        <w:rPr>
          <w:i/>
        </w:rPr>
        <w:t xml:space="preserve">Review of Government Staffing, </w:t>
      </w:r>
      <w:r w:rsidRPr="00B3006B">
        <w:t>26.</w:t>
      </w:r>
    </w:p>
  </w:footnote>
  <w:footnote w:id="96">
    <w:p w14:paraId="3415B878" w14:textId="6EE0E73B" w:rsidR="00C02D25" w:rsidRDefault="00C02D25" w:rsidP="00EA5215">
      <w:pPr>
        <w:pStyle w:val="FootnoteText"/>
      </w:pPr>
      <w:r>
        <w:rPr>
          <w:rStyle w:val="FootnoteReference"/>
        </w:rPr>
        <w:footnoteRef/>
      </w:r>
      <w:r>
        <w:t xml:space="preserve"> Finance has confirmed this is three per cent for the Australian Greens, since acquiring minor party status from 1 July 2008. This is consistent with the percentage allocation to the Australian Democrats when they were a minor party.</w:t>
      </w:r>
    </w:p>
  </w:footnote>
  <w:footnote w:id="97">
    <w:p w14:paraId="1592DEDB" w14:textId="438164FA" w:rsidR="00C02D25" w:rsidRDefault="00C02D25">
      <w:pPr>
        <w:pStyle w:val="FootnoteText"/>
      </w:pPr>
      <w:r>
        <w:rPr>
          <w:rStyle w:val="FootnoteReference"/>
        </w:rPr>
        <w:footnoteRef/>
      </w:r>
      <w:r>
        <w:t xml:space="preserve"> Source data provided by Department of Finance.</w:t>
      </w:r>
    </w:p>
  </w:footnote>
  <w:footnote w:id="98">
    <w:p w14:paraId="40529F0C" w14:textId="77777777" w:rsidR="00C02D25" w:rsidRDefault="00C02D25" w:rsidP="00EA5215">
      <w:pPr>
        <w:pStyle w:val="FootnoteText"/>
      </w:pPr>
      <w:r>
        <w:rPr>
          <w:rStyle w:val="FootnoteReference"/>
        </w:rPr>
        <w:footnoteRef/>
      </w:r>
      <w:r>
        <w:t xml:space="preserve"> </w:t>
      </w:r>
      <w:r w:rsidRPr="004B775A">
        <w:t xml:space="preserve">Henderson, </w:t>
      </w:r>
      <w:r w:rsidRPr="004B775A">
        <w:rPr>
          <w:i/>
        </w:rPr>
        <w:t xml:space="preserve">Review of Government </w:t>
      </w:r>
      <w:r w:rsidRPr="00281E0F">
        <w:rPr>
          <w:i/>
        </w:rPr>
        <w:t>Staffing</w:t>
      </w:r>
      <w:r w:rsidRPr="004B775A">
        <w:t>, 20.</w:t>
      </w:r>
    </w:p>
  </w:footnote>
  <w:footnote w:id="99">
    <w:p w14:paraId="3CAC65D4" w14:textId="77777777" w:rsidR="00C02D25" w:rsidRDefault="00C02D25" w:rsidP="0061372D">
      <w:pPr>
        <w:pStyle w:val="FootnoteText"/>
      </w:pPr>
      <w:r>
        <w:rPr>
          <w:rStyle w:val="FootnoteReference"/>
        </w:rPr>
        <w:footnoteRef/>
      </w:r>
      <w:r>
        <w:t xml:space="preserve"> </w:t>
      </w:r>
      <w:r w:rsidRPr="00197FD4">
        <w:rPr>
          <w:i/>
        </w:rPr>
        <w:t>Submission 30</w:t>
      </w:r>
      <w:r>
        <w:t>.</w:t>
      </w:r>
    </w:p>
  </w:footnote>
  <w:footnote w:id="100">
    <w:p w14:paraId="5C8A2FD6" w14:textId="411C53B9" w:rsidR="00C02D25" w:rsidRPr="002729F3" w:rsidRDefault="00C02D25" w:rsidP="00A72598">
      <w:pPr>
        <w:pStyle w:val="FootnoteText"/>
      </w:pPr>
      <w:r w:rsidRPr="002729F3">
        <w:rPr>
          <w:rStyle w:val="FootnoteReference"/>
        </w:rPr>
        <w:footnoteRef/>
      </w:r>
      <w:r w:rsidRPr="002729F3">
        <w:t xml:space="preserve"> </w:t>
      </w:r>
      <w:r>
        <w:t xml:space="preserve">Governance Institute of Australia, </w:t>
      </w:r>
      <w:r w:rsidRPr="002729F3">
        <w:t>Submission</w:t>
      </w:r>
      <w:r>
        <w:t xml:space="preserve"> No E55 </w:t>
      </w:r>
      <w:r w:rsidRPr="002729F3">
        <w:t xml:space="preserve">to </w:t>
      </w:r>
      <w:r>
        <w:t xml:space="preserve">Australian Human Rights Commission, </w:t>
      </w:r>
      <w:r>
        <w:rPr>
          <w:i/>
        </w:rPr>
        <w:t xml:space="preserve">Independent Review into Commonwealth Parliamentary Workplaces </w:t>
      </w:r>
      <w:r>
        <w:t>(29 July 2021).</w:t>
      </w:r>
    </w:p>
  </w:footnote>
  <w:footnote w:id="101">
    <w:p w14:paraId="6503DABA" w14:textId="48F84A8D" w:rsidR="00C02D25" w:rsidRPr="002729F3" w:rsidRDefault="00C02D25" w:rsidP="00A72598">
      <w:pPr>
        <w:pStyle w:val="FootnoteText"/>
      </w:pPr>
      <w:r w:rsidRPr="002729F3">
        <w:rPr>
          <w:rStyle w:val="FootnoteReference"/>
        </w:rPr>
        <w:footnoteRef/>
      </w:r>
      <w:r w:rsidRPr="002729F3">
        <w:t xml:space="preserve"> </w:t>
      </w:r>
      <w:r>
        <w:t xml:space="preserve">Patrick Gorman MP, </w:t>
      </w:r>
      <w:r w:rsidRPr="002729F3">
        <w:t>Submission</w:t>
      </w:r>
      <w:r>
        <w:t xml:space="preserve"> to the </w:t>
      </w:r>
      <w:r>
        <w:rPr>
          <w:i/>
        </w:rPr>
        <w:t>Independent Review into Commonwealth Parliamentary Workplaces</w:t>
      </w:r>
      <w:r>
        <w:t>.</w:t>
      </w:r>
    </w:p>
  </w:footnote>
  <w:footnote w:id="102">
    <w:p w14:paraId="1B4A260D" w14:textId="77777777" w:rsidR="00C02D25" w:rsidRDefault="00C02D25" w:rsidP="00B506C8">
      <w:pPr>
        <w:pStyle w:val="FootnoteText"/>
      </w:pPr>
      <w:r w:rsidRPr="002729F3">
        <w:rPr>
          <w:rStyle w:val="FootnoteReference"/>
        </w:rPr>
        <w:footnoteRef/>
      </w:r>
      <w:r w:rsidRPr="002729F3">
        <w:t xml:space="preserve"> See: AHRC, </w:t>
      </w:r>
      <w:r w:rsidRPr="002729F3">
        <w:rPr>
          <w:i/>
        </w:rPr>
        <w:t xml:space="preserve">Set the Standard, </w:t>
      </w:r>
      <w:r w:rsidRPr="002729F3">
        <w:t>Section 4.2(i).</w:t>
      </w:r>
    </w:p>
  </w:footnote>
  <w:footnote w:id="103">
    <w:p w14:paraId="6E77347A" w14:textId="77777777" w:rsidR="00C02D25" w:rsidRDefault="00C02D25" w:rsidP="007A13BF">
      <w:pPr>
        <w:pStyle w:val="FootnoteText"/>
      </w:pPr>
      <w:r>
        <w:rPr>
          <w:rStyle w:val="FootnoteReference"/>
        </w:rPr>
        <w:footnoteRef/>
      </w:r>
      <w:r>
        <w:t xml:space="preserve"> Horne, </w:t>
      </w:r>
      <w:r>
        <w:rPr>
          <w:i/>
        </w:rPr>
        <w:t>MoP(S)</w:t>
      </w:r>
      <w:r>
        <w:t xml:space="preserve"> </w:t>
      </w:r>
      <w:r>
        <w:rPr>
          <w:i/>
        </w:rPr>
        <w:t xml:space="preserve">Act Framework and Employment Issues, </w:t>
      </w:r>
      <w:r>
        <w:t>8.</w:t>
      </w:r>
    </w:p>
  </w:footnote>
  <w:footnote w:id="104">
    <w:p w14:paraId="6E251571" w14:textId="37A3B17D" w:rsidR="00C02D25" w:rsidRDefault="00C02D25" w:rsidP="007A13BF">
      <w:pPr>
        <w:pStyle w:val="FootnoteText"/>
      </w:pPr>
      <w:r>
        <w:rPr>
          <w:rStyle w:val="FootnoteReference"/>
        </w:rPr>
        <w:footnoteRef/>
      </w:r>
      <w:r>
        <w:t xml:space="preserve"> Henderson, </w:t>
      </w:r>
      <w:r>
        <w:rPr>
          <w:i/>
        </w:rPr>
        <w:t>Review of Government Staffing</w:t>
      </w:r>
      <w:r>
        <w:t>.</w:t>
      </w:r>
    </w:p>
  </w:footnote>
  <w:footnote w:id="105">
    <w:p w14:paraId="1FB48A43" w14:textId="77777777" w:rsidR="00C02D25" w:rsidRPr="0030262A" w:rsidRDefault="00C02D25" w:rsidP="00506BA8">
      <w:pPr>
        <w:pStyle w:val="FootnoteText"/>
      </w:pPr>
      <w:r w:rsidRPr="0030262A">
        <w:rPr>
          <w:rStyle w:val="FootnoteReference"/>
        </w:rPr>
        <w:footnoteRef/>
      </w:r>
      <w:r w:rsidRPr="0030262A">
        <w:t xml:space="preserve"> Parliament of Australia, </w:t>
      </w:r>
      <w:r w:rsidRPr="0030262A">
        <w:rPr>
          <w:i/>
        </w:rPr>
        <w:t xml:space="preserve">Votes and Proceedings, </w:t>
      </w:r>
      <w:r w:rsidRPr="0030262A">
        <w:t>No. 2, 27 July 2022, 58.</w:t>
      </w:r>
    </w:p>
  </w:footnote>
  <w:footnote w:id="106">
    <w:p w14:paraId="6C28E9B4" w14:textId="77777777" w:rsidR="00C02D25" w:rsidRPr="00CC786C" w:rsidRDefault="00C02D25" w:rsidP="00506BA8">
      <w:pPr>
        <w:pStyle w:val="FootnoteText"/>
      </w:pPr>
      <w:r w:rsidRPr="0030262A">
        <w:rPr>
          <w:rStyle w:val="FootnoteReference"/>
        </w:rPr>
        <w:footnoteRef/>
      </w:r>
      <w:r w:rsidRPr="0030262A">
        <w:t xml:space="preserve"> Parliament of Australia, </w:t>
      </w:r>
      <w:r w:rsidRPr="0030262A">
        <w:rPr>
          <w:i/>
        </w:rPr>
        <w:t xml:space="preserve">Senate Journals, </w:t>
      </w:r>
      <w:r w:rsidRPr="0030262A">
        <w:t>No. 11, 8 September 2022, 263.</w:t>
      </w:r>
    </w:p>
  </w:footnote>
  <w:footnote w:id="107">
    <w:p w14:paraId="789A9586" w14:textId="77777777" w:rsidR="00C02D25" w:rsidRDefault="00C02D25" w:rsidP="00506BA8">
      <w:pPr>
        <w:pStyle w:val="FootnoteText"/>
      </w:pPr>
      <w:r>
        <w:rPr>
          <w:rStyle w:val="FootnoteReference"/>
        </w:rPr>
        <w:footnoteRef/>
      </w:r>
      <w:r>
        <w:t xml:space="preserve"> AHRC, </w:t>
      </w:r>
      <w:r w:rsidRPr="00142173">
        <w:rPr>
          <w:i/>
        </w:rPr>
        <w:t>Set the Standard</w:t>
      </w:r>
      <w:r>
        <w:t>, Recommendation 27.</w:t>
      </w:r>
    </w:p>
  </w:footnote>
  <w:footnote w:id="108">
    <w:p w14:paraId="4C80C6FC" w14:textId="6C4BD529" w:rsidR="00C02D25" w:rsidRPr="00797E13" w:rsidRDefault="00C02D25" w:rsidP="00373C8B">
      <w:pPr>
        <w:pStyle w:val="FootnoteText"/>
      </w:pPr>
      <w:r w:rsidRPr="00797E13">
        <w:rPr>
          <w:rStyle w:val="FootnoteReference"/>
        </w:rPr>
        <w:footnoteRef/>
      </w:r>
      <w:r w:rsidRPr="00797E13">
        <w:t xml:space="preserve"> </w:t>
      </w:r>
      <w:r>
        <w:t>Bob</w:t>
      </w:r>
      <w:r w:rsidRPr="00797E13">
        <w:t xml:space="preserve"> Bennett</w:t>
      </w:r>
      <w:r>
        <w:t xml:space="preserve">, </w:t>
      </w:r>
      <w:r w:rsidRPr="002729F3">
        <w:t>Submission</w:t>
      </w:r>
      <w:r>
        <w:t xml:space="preserve"> to the </w:t>
      </w:r>
      <w:r>
        <w:rPr>
          <w:i/>
        </w:rPr>
        <w:t>Independent Review into Commonwealth Parliamentary Workplaces</w:t>
      </w:r>
      <w:r>
        <w:t>.</w:t>
      </w:r>
    </w:p>
  </w:footnote>
  <w:footnote w:id="109">
    <w:p w14:paraId="5DB71F65" w14:textId="3EB2B1E3" w:rsidR="00C02D25" w:rsidRDefault="00C02D25" w:rsidP="00D75A0A">
      <w:pPr>
        <w:pStyle w:val="FootnoteText"/>
      </w:pPr>
      <w:r w:rsidRPr="00797E13">
        <w:rPr>
          <w:rStyle w:val="FootnoteReference"/>
        </w:rPr>
        <w:footnoteRef/>
      </w:r>
      <w:r w:rsidRPr="00797E13">
        <w:t xml:space="preserve"> </w:t>
      </w:r>
      <w:r>
        <w:t xml:space="preserve">Patrick Gorman MP, </w:t>
      </w:r>
      <w:r w:rsidRPr="002729F3">
        <w:t>Submission</w:t>
      </w:r>
      <w:r>
        <w:t xml:space="preserve"> </w:t>
      </w:r>
      <w:r w:rsidRPr="002729F3">
        <w:t xml:space="preserve">to </w:t>
      </w:r>
      <w:r>
        <w:t xml:space="preserve">the </w:t>
      </w:r>
      <w:r>
        <w:rPr>
          <w:i/>
        </w:rPr>
        <w:t>Independent Review into Commonwealth Parliamentary Workplaces</w:t>
      </w:r>
      <w:r w:rsidRPr="00797E13">
        <w:t>.</w:t>
      </w:r>
      <w:r>
        <w:t xml:space="preserve"> </w:t>
      </w:r>
    </w:p>
  </w:footnote>
  <w:footnote w:id="110">
    <w:p w14:paraId="0A9F2E12" w14:textId="71181CDC" w:rsidR="00C02D25" w:rsidRPr="002729F3" w:rsidRDefault="00C02D25" w:rsidP="004653C8">
      <w:pPr>
        <w:pStyle w:val="FootnoteText"/>
      </w:pPr>
      <w:r w:rsidRPr="002729F3">
        <w:rPr>
          <w:rStyle w:val="FootnoteReference"/>
        </w:rPr>
        <w:footnoteRef/>
      </w:r>
      <w:r w:rsidRPr="002729F3">
        <w:t xml:space="preserve"> Personal staff are allocated to the leaders of non-government parties</w:t>
      </w:r>
      <w:r w:rsidRPr="002729F3">
        <w:rPr>
          <w:i/>
        </w:rPr>
        <w:t>.</w:t>
      </w:r>
    </w:p>
  </w:footnote>
  <w:footnote w:id="111">
    <w:p w14:paraId="522D06F5" w14:textId="13715B79" w:rsidR="00C02D25" w:rsidRDefault="00C02D25" w:rsidP="000338CD">
      <w:pPr>
        <w:pStyle w:val="FootnoteText"/>
      </w:pPr>
      <w:r w:rsidRPr="002729F3">
        <w:rPr>
          <w:rStyle w:val="FootnoteReference"/>
        </w:rPr>
        <w:footnoteRef/>
      </w:r>
      <w:r>
        <w:t xml:space="preserve"> Anne Tiernan, </w:t>
      </w:r>
      <w:r w:rsidRPr="002729F3">
        <w:t>Submission</w:t>
      </w:r>
      <w:r>
        <w:t xml:space="preserve"> No E28</w:t>
      </w:r>
      <w:r w:rsidRPr="002729F3">
        <w:t xml:space="preserve"> to </w:t>
      </w:r>
      <w:r>
        <w:t xml:space="preserve">Australian Human Rights Commission, </w:t>
      </w:r>
      <w:r>
        <w:rPr>
          <w:i/>
        </w:rPr>
        <w:t xml:space="preserve">Independent Review into Commonwealth Parliamentary Workplaces </w:t>
      </w:r>
      <w:r>
        <w:t>(30 July 2021)</w:t>
      </w:r>
      <w:r w:rsidRPr="002729F3">
        <w:t>.</w:t>
      </w:r>
    </w:p>
  </w:footnote>
  <w:footnote w:id="112">
    <w:p w14:paraId="3B7F2B41" w14:textId="5396DC1C" w:rsidR="00C02D25" w:rsidRDefault="00C02D25">
      <w:pPr>
        <w:pStyle w:val="FootnoteText"/>
      </w:pPr>
      <w:r>
        <w:rPr>
          <w:rStyle w:val="FootnoteReference"/>
        </w:rPr>
        <w:footnoteRef/>
      </w:r>
      <w:r>
        <w:t xml:space="preserve"> </w:t>
      </w:r>
      <w:r w:rsidRPr="00800A9D">
        <w:t>New South Wales Parliamentary Remuneration Tribunal, Annual Report and Det</w:t>
      </w:r>
      <w:r>
        <w:t>ermination [online document] (7 </w:t>
      </w:r>
      <w:r w:rsidRPr="00800A9D">
        <w:t>July 2020)</w:t>
      </w:r>
      <w:r>
        <w:t>, 22,</w:t>
      </w:r>
      <w:r w:rsidRPr="00800A9D">
        <w:t xml:space="preserve"> </w:t>
      </w:r>
      <w:hyperlink r:id="rId11" w:history="1">
        <w:r w:rsidRPr="00D53F28">
          <w:rPr>
            <w:rStyle w:val="Hyperlink"/>
          </w:rPr>
          <w:t>https://www.remtribunals.nsw.gov.au/sites/default/files/2020-12/2020_annual_determination-prt.pdf</w:t>
        </w:r>
      </w:hyperlink>
      <w:r w:rsidRPr="00800A9D">
        <w:t>, accessed 30 September 2022.</w:t>
      </w:r>
    </w:p>
  </w:footnote>
  <w:footnote w:id="113">
    <w:p w14:paraId="71BD90B0" w14:textId="720AB47A" w:rsidR="00C02D25" w:rsidRDefault="00C02D25">
      <w:pPr>
        <w:pStyle w:val="FootnoteText"/>
      </w:pPr>
      <w:r>
        <w:rPr>
          <w:rStyle w:val="FootnoteReference"/>
        </w:rPr>
        <w:footnoteRef/>
      </w:r>
      <w:r>
        <w:t xml:space="preserve"> Ibid, 25.</w:t>
      </w:r>
    </w:p>
  </w:footnote>
  <w:footnote w:id="114">
    <w:p w14:paraId="31727278" w14:textId="1D523D58" w:rsidR="00C02D25" w:rsidRDefault="00C02D25">
      <w:pPr>
        <w:pStyle w:val="FootnoteText"/>
      </w:pPr>
      <w:r>
        <w:rPr>
          <w:rStyle w:val="FootnoteReference"/>
        </w:rPr>
        <w:footnoteRef/>
      </w:r>
      <w:r>
        <w:t xml:space="preserve"> Ibid.</w:t>
      </w:r>
    </w:p>
  </w:footnote>
  <w:footnote w:id="115">
    <w:p w14:paraId="6A037330" w14:textId="0356B8C8" w:rsidR="00C02D25" w:rsidRDefault="00C02D25">
      <w:pPr>
        <w:pStyle w:val="FootnoteText"/>
      </w:pPr>
      <w:r>
        <w:rPr>
          <w:rStyle w:val="FootnoteReference"/>
        </w:rPr>
        <w:footnoteRef/>
      </w:r>
      <w:r>
        <w:t xml:space="preserve"> Ibid, 21.</w:t>
      </w:r>
    </w:p>
  </w:footnote>
  <w:footnote w:id="116">
    <w:p w14:paraId="3E0E80CC" w14:textId="3B0BB17D" w:rsidR="00C02D25" w:rsidRDefault="00C02D25">
      <w:pPr>
        <w:pStyle w:val="FootnoteText"/>
      </w:pPr>
      <w:r>
        <w:rPr>
          <w:rStyle w:val="FootnoteReference"/>
        </w:rPr>
        <w:footnoteRef/>
      </w:r>
      <w:r>
        <w:t xml:space="preserve"> Ibid, 22.</w:t>
      </w:r>
    </w:p>
  </w:footnote>
  <w:footnote w:id="117">
    <w:p w14:paraId="5C8B52AA" w14:textId="4AAA7FEB" w:rsidR="00C02D25" w:rsidRDefault="00C02D25">
      <w:pPr>
        <w:pStyle w:val="FootnoteText"/>
      </w:pPr>
      <w:r>
        <w:rPr>
          <w:rStyle w:val="FootnoteReference"/>
        </w:rPr>
        <w:footnoteRef/>
      </w:r>
      <w:r>
        <w:t xml:space="preserve"> </w:t>
      </w:r>
      <w:r w:rsidRPr="00E9415B">
        <w:rPr>
          <w:i/>
        </w:rPr>
        <w:t>Ministerial and Other Office Holder Staff Act 2010</w:t>
      </w:r>
      <w:r>
        <w:rPr>
          <w:i/>
        </w:rPr>
        <w:t xml:space="preserve"> </w:t>
      </w:r>
      <w:r>
        <w:t>(Qld), s 9,</w:t>
      </w:r>
      <w:r w:rsidRPr="005C0C7F">
        <w:t xml:space="preserve"> </w:t>
      </w:r>
      <w:r>
        <w:t>note 1.</w:t>
      </w:r>
    </w:p>
  </w:footnote>
  <w:footnote w:id="118">
    <w:p w14:paraId="166292F5" w14:textId="4DE9CCC1" w:rsidR="00C02D25" w:rsidRPr="0059668A" w:rsidRDefault="00C02D25">
      <w:pPr>
        <w:pStyle w:val="FootnoteText"/>
      </w:pPr>
      <w:r>
        <w:rPr>
          <w:rStyle w:val="FootnoteReference"/>
        </w:rPr>
        <w:footnoteRef/>
      </w:r>
      <w:r>
        <w:t xml:space="preserve"> </w:t>
      </w:r>
      <w:r w:rsidRPr="0002141F">
        <w:t>Ibid</w:t>
      </w:r>
      <w:r>
        <w:t>, s 9,</w:t>
      </w:r>
      <w:r w:rsidRPr="005C0C7F">
        <w:t xml:space="preserve"> </w:t>
      </w:r>
      <w:r>
        <w:t>note 2.</w:t>
      </w:r>
    </w:p>
  </w:footnote>
  <w:footnote w:id="119">
    <w:p w14:paraId="5223D4FD" w14:textId="54381851" w:rsidR="00C02D25" w:rsidRDefault="00C02D25">
      <w:pPr>
        <w:pStyle w:val="FootnoteText"/>
      </w:pPr>
      <w:r>
        <w:rPr>
          <w:rStyle w:val="FootnoteReference"/>
        </w:rPr>
        <w:footnoteRef/>
      </w:r>
      <w:r>
        <w:t xml:space="preserve"> </w:t>
      </w:r>
      <w:r w:rsidRPr="00C4375C">
        <w:rPr>
          <w:i/>
        </w:rPr>
        <w:t>Queensland Independent Remuneration Tribunal Act 2013</w:t>
      </w:r>
      <w:r>
        <w:rPr>
          <w:i/>
        </w:rPr>
        <w:t xml:space="preserve"> </w:t>
      </w:r>
      <w:r w:rsidRPr="00B401BB">
        <w:t>(Qld),</w:t>
      </w:r>
      <w:r>
        <w:t xml:space="preserve"> s 31G.</w:t>
      </w:r>
    </w:p>
  </w:footnote>
  <w:footnote w:id="120">
    <w:p w14:paraId="15E51C4F" w14:textId="4815493E" w:rsidR="00C02D25" w:rsidRDefault="00C02D25">
      <w:pPr>
        <w:pStyle w:val="FootnoteText"/>
      </w:pPr>
      <w:r>
        <w:rPr>
          <w:rStyle w:val="FootnoteReference"/>
        </w:rPr>
        <w:footnoteRef/>
      </w:r>
      <w:r>
        <w:t xml:space="preserve"> Queensland Independent Remuneration Tribunal, </w:t>
      </w:r>
      <w:r w:rsidRPr="00875D43">
        <w:rPr>
          <w:i/>
        </w:rPr>
        <w:t>Determination 23/2021 – Additional Staff Member &amp; Remuneration Determination: 2021 Review of the Additional Staffing levels for Cross Bench Members of the 57</w:t>
      </w:r>
      <w:r w:rsidRPr="00875D43">
        <w:rPr>
          <w:i/>
          <w:vertAlign w:val="superscript"/>
        </w:rPr>
        <w:t>th</w:t>
      </w:r>
      <w:r w:rsidRPr="00875D43">
        <w:rPr>
          <w:i/>
        </w:rPr>
        <w:t xml:space="preserve"> Parliament</w:t>
      </w:r>
      <w:r>
        <w:t xml:space="preserve"> (24 February 2021), 2.</w:t>
      </w:r>
    </w:p>
  </w:footnote>
  <w:footnote w:id="121">
    <w:p w14:paraId="5099B281" w14:textId="41AD4506" w:rsidR="00C02D25" w:rsidRDefault="00C02D25">
      <w:pPr>
        <w:pStyle w:val="FootnoteText"/>
      </w:pPr>
      <w:r>
        <w:rPr>
          <w:rStyle w:val="FootnoteReference"/>
        </w:rPr>
        <w:footnoteRef/>
      </w:r>
      <w:r>
        <w:t xml:space="preserve"> Ibid, 3.</w:t>
      </w:r>
    </w:p>
  </w:footnote>
  <w:footnote w:id="122">
    <w:p w14:paraId="75762E9B" w14:textId="77777777" w:rsidR="005912FA" w:rsidRDefault="005912FA" w:rsidP="00E6267F">
      <w:pPr>
        <w:pStyle w:val="FootnoteText"/>
      </w:pPr>
      <w:r>
        <w:rPr>
          <w:rStyle w:val="FootnoteReference"/>
        </w:rPr>
        <w:footnoteRef/>
      </w:r>
      <w:r>
        <w:t xml:space="preserve"> Ibid.</w:t>
      </w:r>
    </w:p>
  </w:footnote>
  <w:footnote w:id="123">
    <w:p w14:paraId="121DD217" w14:textId="1E64DDC9" w:rsidR="00C02D25" w:rsidRDefault="00C02D25" w:rsidP="00E6620E">
      <w:pPr>
        <w:pStyle w:val="FootnoteText"/>
      </w:pPr>
      <w:r>
        <w:rPr>
          <w:rStyle w:val="FootnoteReference"/>
        </w:rPr>
        <w:footnoteRef/>
      </w:r>
      <w:r>
        <w:t xml:space="preserve"> Independent Parliamentary Standards Authority (UK), </w:t>
      </w:r>
      <w:r w:rsidRPr="00255D92">
        <w:rPr>
          <w:i/>
        </w:rPr>
        <w:t>Policy review: Funding for MPs’ staff</w:t>
      </w:r>
      <w:r>
        <w:t xml:space="preserve"> [online document], (March 2020), 6, </w:t>
      </w:r>
      <w:hyperlink r:id="rId12" w:history="1">
        <w:r w:rsidRPr="00D53F28">
          <w:rPr>
            <w:rStyle w:val="Hyperlink"/>
          </w:rPr>
          <w:t>https://assets.ctfassets.net/nc7h1cs4q6ic/1Qpj1SkPE2oTGgY3HewrsP/29dce53971c38a9f27c3f1cf2</w:t>
        </w:r>
        <w:r w:rsidRPr="00D53F28">
          <w:rPr>
            <w:rStyle w:val="Hyperlink"/>
          </w:rPr>
          <w:br/>
          <w:t>d2f54f5/policy-review-funding-for-mps-staff.pdf</w:t>
        </w:r>
      </w:hyperlink>
      <w:r>
        <w:t>, accessed 30 September 2022.</w:t>
      </w:r>
    </w:p>
  </w:footnote>
  <w:footnote w:id="124">
    <w:p w14:paraId="63E4E900" w14:textId="1DE3CB70" w:rsidR="00C02D25" w:rsidRDefault="00C02D25">
      <w:pPr>
        <w:pStyle w:val="FootnoteText"/>
      </w:pPr>
      <w:r>
        <w:rPr>
          <w:rStyle w:val="FootnoteReference"/>
        </w:rPr>
        <w:footnoteRef/>
      </w:r>
      <w:r>
        <w:t xml:space="preserve"> Ibid.</w:t>
      </w:r>
    </w:p>
  </w:footnote>
  <w:footnote w:id="125">
    <w:p w14:paraId="2A60D570" w14:textId="03719336" w:rsidR="00C02D25" w:rsidRDefault="00C02D25">
      <w:pPr>
        <w:pStyle w:val="FootnoteText"/>
      </w:pPr>
      <w:r>
        <w:rPr>
          <w:rStyle w:val="FootnoteReference"/>
        </w:rPr>
        <w:footnoteRef/>
      </w:r>
      <w:r>
        <w:t xml:space="preserve"> Ibid, 7.</w:t>
      </w:r>
    </w:p>
  </w:footnote>
  <w:footnote w:id="126">
    <w:p w14:paraId="1FAAD60C" w14:textId="7BBC9112" w:rsidR="00C02D25" w:rsidRDefault="00C02D25">
      <w:pPr>
        <w:pStyle w:val="FootnoteText"/>
      </w:pPr>
      <w:r>
        <w:rPr>
          <w:rStyle w:val="FootnoteReference"/>
        </w:rPr>
        <w:footnoteRef/>
      </w:r>
      <w:r>
        <w:t xml:space="preserve"> Electorate staffing allocation powers are usually delegated to the SMOS. </w:t>
      </w:r>
    </w:p>
  </w:footnote>
  <w:footnote w:id="127">
    <w:p w14:paraId="27FEF314" w14:textId="14D1C3C4" w:rsidR="00C02D25" w:rsidRDefault="00C02D25" w:rsidP="006671E8">
      <w:pPr>
        <w:pStyle w:val="FootnoteText"/>
      </w:pPr>
      <w:r>
        <w:rPr>
          <w:rStyle w:val="FootnoteReference"/>
        </w:rPr>
        <w:footnoteRef/>
      </w:r>
      <w:r>
        <w:t xml:space="preserve"> MoP(S) Act, s 12. </w:t>
      </w:r>
    </w:p>
  </w:footnote>
  <w:footnote w:id="128">
    <w:p w14:paraId="21A96831" w14:textId="4736EB8A" w:rsidR="00C02D25" w:rsidRDefault="00C02D25">
      <w:pPr>
        <w:pStyle w:val="FootnoteText"/>
      </w:pPr>
      <w:r>
        <w:rPr>
          <w:rStyle w:val="FootnoteReference"/>
        </w:rPr>
        <w:footnoteRef/>
      </w:r>
      <w:r>
        <w:t xml:space="preserve"> ‘Must not exceed 1% of all employees in the public service’; </w:t>
      </w:r>
      <w:r w:rsidRPr="0002141F">
        <w:rPr>
          <w:i/>
        </w:rPr>
        <w:t>Public Sector Act 2009</w:t>
      </w:r>
      <w:r>
        <w:t xml:space="preserve"> (SA), s 71.</w:t>
      </w:r>
    </w:p>
  </w:footnote>
  <w:footnote w:id="129">
    <w:p w14:paraId="490E581E" w14:textId="20A2F45D" w:rsidR="00C02D25" w:rsidRPr="000B5DB9" w:rsidRDefault="00C02D25">
      <w:pPr>
        <w:pStyle w:val="FootnoteText"/>
      </w:pPr>
      <w:r>
        <w:rPr>
          <w:rStyle w:val="FootnoteReference"/>
        </w:rPr>
        <w:footnoteRef/>
      </w:r>
      <w:r>
        <w:t xml:space="preserve"> </w:t>
      </w:r>
      <w:r w:rsidRPr="00877709">
        <w:t>For example: only 1 member = 1 adviser; Between 1 &lt; 6 members = 2 advisers (+ extra adviser for each 2 further elected members); Between 5 &lt; 12 members = 1 adviser (+ 1 extra adviser for each 2 further elected member); More than 11 members = 1 adviser for each 2 members. For independents: 1 Parliamentary adviser is allocated</w:t>
      </w:r>
      <w:r>
        <w:t xml:space="preserve">; </w:t>
      </w:r>
      <w:r w:rsidRPr="0002141F">
        <w:rPr>
          <w:i/>
        </w:rPr>
        <w:t>Public Administration Act 2004</w:t>
      </w:r>
      <w:r>
        <w:rPr>
          <w:i/>
        </w:rPr>
        <w:t xml:space="preserve"> </w:t>
      </w:r>
      <w:r>
        <w:t xml:space="preserve">(Vic), s 99. </w:t>
      </w:r>
    </w:p>
  </w:footnote>
  <w:footnote w:id="130">
    <w:p w14:paraId="29CC65DA" w14:textId="729C587D" w:rsidR="00C02D25" w:rsidRDefault="00C02D25">
      <w:pPr>
        <w:pStyle w:val="FootnoteText"/>
      </w:pPr>
      <w:r>
        <w:rPr>
          <w:rStyle w:val="FootnoteReference"/>
        </w:rPr>
        <w:footnoteRef/>
      </w:r>
      <w:r>
        <w:t xml:space="preserve"> </w:t>
      </w:r>
      <w:r w:rsidRPr="00C37908">
        <w:rPr>
          <w:i/>
        </w:rPr>
        <w:t>Members of Parliament Staff Act 2013</w:t>
      </w:r>
      <w:r>
        <w:t xml:space="preserve"> (NSW), s 18; </w:t>
      </w:r>
      <w:r w:rsidRPr="00D1559B">
        <w:rPr>
          <w:i/>
        </w:rPr>
        <w:t>Queensland Independent Remuneration Tribunal Act 2013</w:t>
      </w:r>
      <w:r>
        <w:t xml:space="preserve"> (Qld), subdivision 3 of Part 3.</w:t>
      </w:r>
    </w:p>
  </w:footnote>
  <w:footnote w:id="131">
    <w:p w14:paraId="25ACA977" w14:textId="6B2CA4F1" w:rsidR="00C02D25" w:rsidRDefault="00C02D25" w:rsidP="000A1958">
      <w:pPr>
        <w:pStyle w:val="FootnoteText"/>
      </w:pPr>
      <w:r>
        <w:rPr>
          <w:rStyle w:val="FootnoteReference"/>
        </w:rPr>
        <w:footnoteRef/>
      </w:r>
      <w:r>
        <w:t xml:space="preserve"> </w:t>
      </w:r>
      <w:r w:rsidRPr="00E81004">
        <w:rPr>
          <w:i/>
        </w:rPr>
        <w:t>Parliamentary Service Act 1988</w:t>
      </w:r>
      <w:r w:rsidRPr="00565BEF" w:rsidDel="00565BEF">
        <w:t xml:space="preserve"> </w:t>
      </w:r>
      <w:r>
        <w:t>(Qld), ss 6, 8.</w:t>
      </w:r>
    </w:p>
  </w:footnote>
  <w:footnote w:id="132">
    <w:p w14:paraId="63348ABB" w14:textId="77777777" w:rsidR="00C02D25" w:rsidRDefault="00C02D25" w:rsidP="00AA6089">
      <w:pPr>
        <w:pStyle w:val="FootnoteText"/>
      </w:pPr>
      <w:r>
        <w:rPr>
          <w:rStyle w:val="FootnoteReference"/>
        </w:rPr>
        <w:footnoteRef/>
      </w:r>
      <w:r>
        <w:t xml:space="preserve"> The Review heard a number of calls for increases in salaries for electorate staff. Remuneration is important in the context of the ability to attract suitable staff, and payment to adequately reflect the requirements of the role.</w:t>
      </w:r>
    </w:p>
  </w:footnote>
  <w:footnote w:id="133">
    <w:p w14:paraId="3172485E" w14:textId="02F37E20" w:rsidR="00C02D25" w:rsidRDefault="00C02D25" w:rsidP="00A5586C">
      <w:pPr>
        <w:pStyle w:val="FootnoteText"/>
      </w:pPr>
      <w:r>
        <w:rPr>
          <w:rStyle w:val="FootnoteReference"/>
        </w:rPr>
        <w:footnoteRef/>
      </w:r>
      <w:r>
        <w:t xml:space="preserve"> </w:t>
      </w:r>
      <w:r w:rsidRPr="00E9225D">
        <w:rPr>
          <w:i/>
        </w:rPr>
        <w:t>Parliamentary Business Resources Act 2017</w:t>
      </w:r>
      <w:r w:rsidRPr="00E9225D">
        <w:t xml:space="preserve"> (Cth)</w:t>
      </w:r>
      <w:r>
        <w:t xml:space="preserve"> (PBR Act</w:t>
      </w:r>
      <w:r w:rsidRPr="00E9225D">
        <w:t>), s 62.</w:t>
      </w:r>
    </w:p>
  </w:footnote>
  <w:footnote w:id="134">
    <w:p w14:paraId="159B0788" w14:textId="2927A43B" w:rsidR="00C02D25" w:rsidRPr="00F343D6" w:rsidRDefault="00C02D25" w:rsidP="009857A6">
      <w:pPr>
        <w:pStyle w:val="FootnoteText"/>
      </w:pPr>
      <w:r>
        <w:rPr>
          <w:rStyle w:val="FootnoteReference"/>
        </w:rPr>
        <w:footnoteRef/>
      </w:r>
      <w:r>
        <w:t xml:space="preserve"> </w:t>
      </w:r>
      <w:r w:rsidRPr="00B0024C">
        <w:t>D</w:t>
      </w:r>
      <w:r>
        <w:t>ennis</w:t>
      </w:r>
      <w:r w:rsidRPr="00B0024C">
        <w:t xml:space="preserve"> Pearce, </w:t>
      </w:r>
      <w:r w:rsidRPr="00B0024C">
        <w:rPr>
          <w:i/>
        </w:rPr>
        <w:t xml:space="preserve">Statutory Interpretation in Australia </w:t>
      </w:r>
      <w:r w:rsidRPr="00B0024C">
        <w:t>(9</w:t>
      </w:r>
      <w:r w:rsidRPr="00B0024C">
        <w:rPr>
          <w:vertAlign w:val="superscript"/>
        </w:rPr>
        <w:t>th</w:t>
      </w:r>
      <w:r w:rsidRPr="00B0024C">
        <w:t xml:space="preserve"> ed</w:t>
      </w:r>
      <w:r>
        <w:t>n.</w:t>
      </w:r>
      <w:r w:rsidRPr="00B0024C">
        <w:t>,</w:t>
      </w:r>
      <w:r>
        <w:t xml:space="preserve"> Chatswood, New South Wales: LexixNexis Butterworths</w:t>
      </w:r>
      <w:r w:rsidRPr="00B0024C">
        <w:t>, 2019), 192.</w:t>
      </w:r>
    </w:p>
  </w:footnote>
  <w:footnote w:id="135">
    <w:p w14:paraId="777C9A1C" w14:textId="7A4F129D" w:rsidR="00C02D25" w:rsidRPr="00A71C8F" w:rsidRDefault="00C02D25" w:rsidP="009857A6">
      <w:pPr>
        <w:pStyle w:val="FootnoteText"/>
        <w:rPr>
          <w:lang w:val="en-US"/>
        </w:rPr>
      </w:pPr>
      <w:r>
        <w:rPr>
          <w:rStyle w:val="FootnoteReference"/>
        </w:rPr>
        <w:footnoteRef/>
      </w:r>
      <w:r>
        <w:t xml:space="preserve"> Parliament of Australia, </w:t>
      </w:r>
      <w:r w:rsidRPr="00D3522F">
        <w:rPr>
          <w:i/>
        </w:rPr>
        <w:t>Members of Parliament (Staff) Act 1984: Consultants engaged under section 4 of the Act, Report 2006-2007</w:t>
      </w:r>
      <w:r>
        <w:t>, Parliamentary Paper No. 168 of 2007, Canberra (11 September 2007).</w:t>
      </w:r>
    </w:p>
  </w:footnote>
  <w:footnote w:id="136">
    <w:p w14:paraId="0984F294" w14:textId="6FBBF940" w:rsidR="00C02D25" w:rsidRDefault="00C02D25">
      <w:pPr>
        <w:pStyle w:val="FootnoteText"/>
      </w:pPr>
      <w:r>
        <w:rPr>
          <w:rStyle w:val="FootnoteReference"/>
        </w:rPr>
        <w:footnoteRef/>
      </w:r>
      <w:r>
        <w:t xml:space="preserve"> Determination instruments containing personal information relating to terms and conditions of employment are not required to be published; </w:t>
      </w:r>
      <w:r w:rsidRPr="00800A24">
        <w:rPr>
          <w:i/>
        </w:rPr>
        <w:t xml:space="preserve">Legislative Instruments (Exemptions and </w:t>
      </w:r>
      <w:r>
        <w:rPr>
          <w:i/>
        </w:rPr>
        <w:t>O</w:t>
      </w:r>
      <w:r w:rsidRPr="00800A24">
        <w:rPr>
          <w:i/>
        </w:rPr>
        <w:t xml:space="preserve">ther </w:t>
      </w:r>
      <w:r>
        <w:rPr>
          <w:i/>
        </w:rPr>
        <w:t>M</w:t>
      </w:r>
      <w:r w:rsidRPr="00800A24">
        <w:rPr>
          <w:i/>
        </w:rPr>
        <w:t>atters) Regulation 2015 (Cth)</w:t>
      </w:r>
      <w:r w:rsidRPr="00800A24">
        <w:t>, reg 6, item 10.</w:t>
      </w:r>
    </w:p>
  </w:footnote>
  <w:footnote w:id="137">
    <w:p w14:paraId="21EBAACE" w14:textId="77777777" w:rsidR="00C02D25" w:rsidRDefault="00C02D25" w:rsidP="000D4579">
      <w:pPr>
        <w:pStyle w:val="FootnoteText"/>
      </w:pPr>
      <w:r>
        <w:rPr>
          <w:rStyle w:val="FootnoteReference"/>
        </w:rPr>
        <w:footnoteRef/>
      </w:r>
      <w:r>
        <w:t xml:space="preserve"> Department of Finance, </w:t>
      </w:r>
      <w:r>
        <w:rPr>
          <w:i/>
        </w:rPr>
        <w:t xml:space="preserve">Employment instruments and authorisations </w:t>
      </w:r>
      <w:r>
        <w:t xml:space="preserve">[website], [9 August 2022) </w:t>
      </w:r>
      <w:hyperlink r:id="rId13" w:history="1">
        <w:r w:rsidRPr="00D53F28">
          <w:rPr>
            <w:rStyle w:val="Hyperlink"/>
          </w:rPr>
          <w:t>https://maps.finance.gov.au/pay-and-employment/mops-act-employment/employment-instruments-and-authorisations</w:t>
        </w:r>
      </w:hyperlink>
      <w:r>
        <w:t>, accessed 30 September 2022.</w:t>
      </w:r>
    </w:p>
  </w:footnote>
  <w:footnote w:id="138">
    <w:p w14:paraId="59E39C9A" w14:textId="77777777" w:rsidR="00C02D25" w:rsidRDefault="00C02D25" w:rsidP="003A6AD7">
      <w:pPr>
        <w:pStyle w:val="FootnoteText"/>
      </w:pPr>
      <w:r>
        <w:rPr>
          <w:rStyle w:val="FootnoteReference"/>
        </w:rPr>
        <w:footnoteRef/>
      </w:r>
      <w:r>
        <w:t xml:space="preserve"> Office of Parliamentary Counsel, </w:t>
      </w:r>
      <w:r w:rsidRPr="00BC01BD">
        <w:rPr>
          <w:i/>
        </w:rPr>
        <w:t>Instruments Handbook</w:t>
      </w:r>
      <w:r>
        <w:t>, version 3.3 (June 2008).</w:t>
      </w:r>
    </w:p>
  </w:footnote>
  <w:footnote w:id="139">
    <w:p w14:paraId="00FB3C20" w14:textId="666C3300" w:rsidR="00C02D25" w:rsidRDefault="00C02D25">
      <w:pPr>
        <w:pStyle w:val="FootnoteText"/>
      </w:pPr>
      <w:r>
        <w:rPr>
          <w:rStyle w:val="FootnoteReference"/>
        </w:rPr>
        <w:footnoteRef/>
      </w:r>
      <w:r>
        <w:t xml:space="preserve"> Australian Government Solicitor, </w:t>
      </w:r>
      <w:r w:rsidRPr="00ED2C8E">
        <w:rPr>
          <w:i/>
        </w:rPr>
        <w:t>Express law No. 244 – Acts and Instruments (Framework Reform) Act 2015 to commence on 5 March</w:t>
      </w:r>
      <w:r>
        <w:t xml:space="preserve"> (4 March 2016), </w:t>
      </w:r>
      <w:hyperlink r:id="rId14" w:history="1">
        <w:r w:rsidRPr="00727F1D">
          <w:rPr>
            <w:rStyle w:val="Hyperlink"/>
          </w:rPr>
          <w:t>https://www.ags.gov.au/publications/express-law/el244</w:t>
        </w:r>
      </w:hyperlink>
      <w:r>
        <w:t>, last accessed 30 September 2022</w:t>
      </w:r>
    </w:p>
  </w:footnote>
  <w:footnote w:id="140">
    <w:p w14:paraId="3A83EAEF" w14:textId="77777777" w:rsidR="00C02D25" w:rsidRDefault="00C02D25" w:rsidP="00775971">
      <w:pPr>
        <w:pStyle w:val="FootnoteText"/>
      </w:pPr>
      <w:r>
        <w:rPr>
          <w:rStyle w:val="FootnoteReference"/>
        </w:rPr>
        <w:footnoteRef/>
      </w:r>
      <w:r>
        <w:t xml:space="preserve"> Office of Parliamentary Counsel, </w:t>
      </w:r>
      <w:r w:rsidRPr="00BC01BD">
        <w:rPr>
          <w:i/>
        </w:rPr>
        <w:t>Instruments Handbook</w:t>
      </w:r>
      <w:r>
        <w:t>, version 3.3 (June 2008).</w:t>
      </w:r>
    </w:p>
  </w:footnote>
  <w:footnote w:id="141">
    <w:p w14:paraId="69D9AB46" w14:textId="4E534F30" w:rsidR="00C02D25" w:rsidRPr="004E0D82" w:rsidRDefault="00C02D25">
      <w:pPr>
        <w:pStyle w:val="FootnoteText"/>
        <w:rPr>
          <w:i/>
        </w:rPr>
      </w:pPr>
      <w:r w:rsidRPr="00B82865">
        <w:rPr>
          <w:rStyle w:val="FootnoteReference"/>
        </w:rPr>
        <w:footnoteRef/>
      </w:r>
      <w:r w:rsidRPr="00B82865">
        <w:t xml:space="preserve"> </w:t>
      </w:r>
      <w:r w:rsidRPr="00C60368">
        <w:t xml:space="preserve">In the Australian Capital Territory, the prohibition against parliamentarians employing immediate family members is prescribed in equivalent legislation </w:t>
      </w:r>
      <w:r w:rsidRPr="00C60368">
        <w:rPr>
          <w:i/>
        </w:rPr>
        <w:t xml:space="preserve">Legislative Assembly (Members’ Staff) Act 1989 </w:t>
      </w:r>
      <w:r w:rsidRPr="00C60368">
        <w:t>(ACT), sub-s 5(2).</w:t>
      </w:r>
      <w:r>
        <w:t xml:space="preserve"> </w:t>
      </w:r>
    </w:p>
  </w:footnote>
  <w:footnote w:id="142">
    <w:p w14:paraId="5E8C7DAF" w14:textId="5A5081ED" w:rsidR="00C02D25" w:rsidRDefault="00C02D25">
      <w:pPr>
        <w:pStyle w:val="FootnoteText"/>
      </w:pPr>
      <w:r>
        <w:rPr>
          <w:rStyle w:val="FootnoteReference"/>
        </w:rPr>
        <w:footnoteRef/>
      </w:r>
      <w:r>
        <w:t xml:space="preserve"> PBR Act, s 49.</w:t>
      </w:r>
    </w:p>
  </w:footnote>
  <w:footnote w:id="143">
    <w:p w14:paraId="4EBE99EF" w14:textId="5497C6B0" w:rsidR="00C02D25" w:rsidRPr="00D14662" w:rsidRDefault="00C02D25" w:rsidP="008E7921">
      <w:pPr>
        <w:pStyle w:val="FootnoteText"/>
        <w:rPr>
          <w:i/>
        </w:rPr>
      </w:pPr>
      <w:r>
        <w:rPr>
          <w:rStyle w:val="FootnoteReference"/>
        </w:rPr>
        <w:footnoteRef/>
      </w:r>
      <w:r>
        <w:t xml:space="preserve"> </w:t>
      </w:r>
      <w:r w:rsidRPr="005C27A8">
        <w:t>Minister for Finance (Cth)</w:t>
      </w:r>
      <w:r w:rsidRPr="005C27A8">
        <w:rPr>
          <w:i/>
        </w:rPr>
        <w:t xml:space="preserve">, Determination 2020/15: </w:t>
      </w:r>
      <w:r>
        <w:rPr>
          <w:i/>
        </w:rPr>
        <w:t xml:space="preserve">Staff Travel and Relief Staff Arrangements </w:t>
      </w:r>
      <w:r w:rsidRPr="005C27A8">
        <w:t>(29 June 2020).</w:t>
      </w:r>
    </w:p>
  </w:footnote>
  <w:footnote w:id="144">
    <w:p w14:paraId="01244D3B" w14:textId="698E1A8A" w:rsidR="00C02D25" w:rsidRDefault="00C02D25" w:rsidP="008E7921">
      <w:pPr>
        <w:pStyle w:val="FootnoteText"/>
      </w:pPr>
      <w:r w:rsidRPr="00FE3555">
        <w:rPr>
          <w:rStyle w:val="FootnoteReference"/>
        </w:rPr>
        <w:footnoteRef/>
      </w:r>
      <w:r w:rsidRPr="00FE3555">
        <w:t xml:space="preserve"> The IPEA submission (</w:t>
      </w:r>
      <w:r w:rsidRPr="00FE3555">
        <w:rPr>
          <w:i/>
        </w:rPr>
        <w:t>Submission 27</w:t>
      </w:r>
      <w:r w:rsidRPr="00FE3555">
        <w:t>) sets out further details.</w:t>
      </w:r>
      <w:r>
        <w:t xml:space="preserve"> </w:t>
      </w:r>
      <w:r w:rsidRPr="00FE3555">
        <w:t>For example, the MoP(S) Act refers to parliamentarian ‘allowances’ and ‘entitlements’, whereas the PBR Act refers to ‘expenses’; there is no definition for employees travelling on ‘official business’ in the EA; changing the requirement for MoP(S) Act staff to be ‘directed to travel for official business’; and clarifying arrangements for pre and post- employment travel.</w:t>
      </w:r>
    </w:p>
  </w:footnote>
  <w:footnote w:id="145">
    <w:p w14:paraId="68B37705" w14:textId="5BBF35AD" w:rsidR="00C02D25" w:rsidRDefault="00C02D25" w:rsidP="00630363">
      <w:pPr>
        <w:pStyle w:val="FootnoteText"/>
      </w:pPr>
      <w:r>
        <w:rPr>
          <w:rStyle w:val="FootnoteReference"/>
        </w:rPr>
        <w:footnoteRef/>
      </w:r>
      <w:r w:rsidRPr="006856F9">
        <w:t xml:space="preserve"> </w:t>
      </w:r>
      <w:r>
        <w:t xml:space="preserve">Department of Finance, </w:t>
      </w:r>
      <w:r w:rsidRPr="006856F9">
        <w:rPr>
          <w:i/>
        </w:rPr>
        <w:t>Recruiting Staff</w:t>
      </w:r>
      <w:r>
        <w:rPr>
          <w:i/>
        </w:rPr>
        <w:t xml:space="preserve"> </w:t>
      </w:r>
      <w:r>
        <w:t xml:space="preserve">[website], (9 September 2022), </w:t>
      </w:r>
      <w:hyperlink r:id="rId15" w:history="1">
        <w:r w:rsidRPr="00AD7E19">
          <w:rPr>
            <w:rStyle w:val="Hyperlink"/>
          </w:rPr>
          <w:t>https://maps.finance.gov.au/pay-and-employment/mops-act-employment/recruitment-and-establishing-positions/recruiting-staff</w:t>
        </w:r>
      </w:hyperlink>
      <w:r>
        <w:t>, accessed 16 September 2022.</w:t>
      </w:r>
    </w:p>
  </w:footnote>
  <w:footnote w:id="146">
    <w:p w14:paraId="47E9E990" w14:textId="77777777" w:rsidR="00C02D25" w:rsidRDefault="00C02D25" w:rsidP="00D772CA">
      <w:pPr>
        <w:pStyle w:val="FootnoteText"/>
      </w:pPr>
      <w:r>
        <w:rPr>
          <w:rStyle w:val="FootnoteReference"/>
        </w:rPr>
        <w:footnoteRef/>
      </w:r>
      <w:r>
        <w:t xml:space="preserve"> AHRC</w:t>
      </w:r>
      <w:r w:rsidRPr="00EC093F">
        <w:t xml:space="preserve">, </w:t>
      </w:r>
      <w:r w:rsidRPr="00AA3B05" w:rsidDel="00142173">
        <w:rPr>
          <w:i/>
        </w:rPr>
        <w:t>Set the Standard</w:t>
      </w:r>
      <w:r>
        <w:t>, 191.</w:t>
      </w:r>
    </w:p>
  </w:footnote>
  <w:footnote w:id="147">
    <w:p w14:paraId="73B20A15" w14:textId="739FD218" w:rsidR="00C02D25" w:rsidRPr="004F18C0" w:rsidRDefault="00C02D25" w:rsidP="008170C5">
      <w:pPr>
        <w:pStyle w:val="FootnoteText"/>
      </w:pPr>
      <w:r w:rsidRPr="004F18C0">
        <w:rPr>
          <w:rStyle w:val="FootnoteReference"/>
        </w:rPr>
        <w:footnoteRef/>
      </w:r>
      <w:r w:rsidRPr="004F18C0">
        <w:t xml:space="preserve"> The Review considers this two-step articulation aligns with Recommendation 12 of </w:t>
      </w:r>
      <w:r w:rsidRPr="00DB4D16">
        <w:rPr>
          <w:i/>
        </w:rPr>
        <w:t>Set the Standard</w:t>
      </w:r>
      <w:r w:rsidRPr="004F18C0">
        <w:t>, which calls for the establishment of standards and processes to professionalise management practices for MoP(S) Act employees. Recommendation 12 also outlines the need for priority consideration of office composition and staffing, role clarity and expectations, management of misconduct, and best practice respectful workplace behaviours</w:t>
      </w:r>
      <w:r>
        <w:t>:</w:t>
      </w:r>
      <w:r w:rsidRPr="004F18C0">
        <w:t xml:space="preserve"> AHRC</w:t>
      </w:r>
      <w:r w:rsidRPr="00022CF4">
        <w:rPr>
          <w:i/>
        </w:rPr>
        <w:t>,</w:t>
      </w:r>
      <w:r w:rsidRPr="004F18C0">
        <w:t xml:space="preserve"> </w:t>
      </w:r>
      <w:r w:rsidRPr="004F18C0">
        <w:rPr>
          <w:i/>
        </w:rPr>
        <w:t>Set the Standard,</w:t>
      </w:r>
      <w:r w:rsidRPr="004F18C0">
        <w:t xml:space="preserve"> 22.</w:t>
      </w:r>
    </w:p>
  </w:footnote>
  <w:footnote w:id="148">
    <w:p w14:paraId="1039C07E" w14:textId="77777777" w:rsidR="00C02D25" w:rsidRDefault="00C02D25">
      <w:pPr>
        <w:pStyle w:val="FootnoteText"/>
      </w:pPr>
      <w:r w:rsidRPr="004F18C0">
        <w:rPr>
          <w:rStyle w:val="FootnoteReference"/>
        </w:rPr>
        <w:footnoteRef/>
      </w:r>
      <w:r w:rsidRPr="004F18C0">
        <w:t xml:space="preserve"> </w:t>
      </w:r>
      <w:r w:rsidRPr="005C27A8">
        <w:rPr>
          <w:i/>
        </w:rPr>
        <w:t>Submission 47</w:t>
      </w:r>
      <w:r w:rsidRPr="00022CF4">
        <w:t>.</w:t>
      </w:r>
    </w:p>
  </w:footnote>
  <w:footnote w:id="149">
    <w:p w14:paraId="2660E3E4" w14:textId="523FD1CE" w:rsidR="00C02D25" w:rsidRDefault="00C02D25" w:rsidP="00017B93">
      <w:pPr>
        <w:pStyle w:val="FootnoteText"/>
      </w:pPr>
      <w:r>
        <w:rPr>
          <w:rStyle w:val="FootnoteReference"/>
        </w:rPr>
        <w:footnoteRef/>
      </w:r>
      <w:r>
        <w:t xml:space="preserve"> Safe Work Australia</w:t>
      </w:r>
      <w:r w:rsidRPr="0007483E">
        <w:rPr>
          <w:i/>
        </w:rPr>
        <w:t xml:space="preserve">, </w:t>
      </w:r>
      <w:r w:rsidRPr="004F3104">
        <w:rPr>
          <w:i/>
        </w:rPr>
        <w:t>Model Code of Practice: Managing psychosocial hazards at work</w:t>
      </w:r>
      <w:r>
        <w:t xml:space="preserve"> [website], (2022) </w:t>
      </w:r>
      <w:hyperlink r:id="rId16" w:history="1">
        <w:r w:rsidRPr="0048288D">
          <w:rPr>
            <w:rStyle w:val="Hyperlink"/>
          </w:rPr>
          <w:t>https://www.safeworkaustralia.gov.au/doc/model-code-practice-managing-psychosocial-hazards-work</w:t>
        </w:r>
      </w:hyperlink>
      <w:r w:rsidRPr="0007483E">
        <w:t>, accessed 23 September 2022</w:t>
      </w:r>
      <w:r>
        <w:t>.</w:t>
      </w:r>
    </w:p>
  </w:footnote>
  <w:footnote w:id="150">
    <w:p w14:paraId="08E6E3F5" w14:textId="77777777" w:rsidR="00C02D25" w:rsidRDefault="00C02D25" w:rsidP="00955B68">
      <w:pPr>
        <w:pStyle w:val="FootnoteText"/>
      </w:pPr>
      <w:r>
        <w:rPr>
          <w:rStyle w:val="FootnoteReference"/>
        </w:rPr>
        <w:footnoteRef/>
      </w:r>
      <w:r>
        <w:t xml:space="preserve"> 77 per cent of survey respondents thought position duties/job descriptions would have a positive or substantial positive impact on improving accountability</w:t>
      </w:r>
      <w:r w:rsidRPr="00423286">
        <w:t>.</w:t>
      </w:r>
    </w:p>
  </w:footnote>
  <w:footnote w:id="151">
    <w:p w14:paraId="45B40AB3" w14:textId="459122FC" w:rsidR="00C02D25" w:rsidRDefault="00C02D25" w:rsidP="00F9691E">
      <w:pPr>
        <w:pStyle w:val="FootnoteText"/>
      </w:pPr>
      <w:r>
        <w:rPr>
          <w:rStyle w:val="FootnoteReference"/>
        </w:rPr>
        <w:footnoteRef/>
      </w:r>
      <w:r>
        <w:t xml:space="preserve"> There is a strong statistical correlation between the diversity of management teams and innovation and enhanced business performance. See: Rocío</w:t>
      </w:r>
      <w:r w:rsidRPr="00DA4638">
        <w:t xml:space="preserve"> Lorenzo, </w:t>
      </w:r>
      <w:r>
        <w:t xml:space="preserve">et al, </w:t>
      </w:r>
      <w:r w:rsidRPr="00B12140">
        <w:rPr>
          <w:i/>
        </w:rPr>
        <w:t>How Diverse Leadership Teams Boost Innovation</w:t>
      </w:r>
      <w:r>
        <w:t>, Boston Consulting Group [website], (23 January 2018</w:t>
      </w:r>
      <w:r w:rsidRPr="00237352">
        <w:t>)</w:t>
      </w:r>
      <w:r>
        <w:t xml:space="preserve">, </w:t>
      </w:r>
      <w:hyperlink r:id="rId17" w:history="1">
        <w:r w:rsidRPr="00AD7E19">
          <w:rPr>
            <w:rStyle w:val="Hyperlink"/>
          </w:rPr>
          <w:t>https://www.bcg.com/publications/2018/how-diverse-leadership-teams-boost-innovation</w:t>
        </w:r>
      </w:hyperlink>
      <w:r>
        <w:t xml:space="preserve">, accessed 20 September 2022; Glassdoor, </w:t>
      </w:r>
      <w:r w:rsidRPr="00B12140">
        <w:rPr>
          <w:i/>
        </w:rPr>
        <w:t>Glassdoor’s Diversity and Inclusion Workplace Survey</w:t>
      </w:r>
      <w:r>
        <w:t xml:space="preserve"> [website], (29 September 2020) </w:t>
      </w:r>
      <w:hyperlink r:id="rId18" w:history="1">
        <w:r w:rsidRPr="00AD7E19">
          <w:rPr>
            <w:rStyle w:val="Hyperlink"/>
          </w:rPr>
          <w:t>https://www.glassdoor.com/blog/glassdoors-diversity-and-inclusion-workplace-survey/</w:t>
        </w:r>
      </w:hyperlink>
      <w:r>
        <w:t xml:space="preserve">, accessed: 20 September 2022; PWC, </w:t>
      </w:r>
      <w:r w:rsidRPr="00B12140">
        <w:rPr>
          <w:i/>
        </w:rPr>
        <w:t>18</w:t>
      </w:r>
      <w:r w:rsidRPr="00B12140">
        <w:rPr>
          <w:i/>
          <w:vertAlign w:val="superscript"/>
        </w:rPr>
        <w:t>th</w:t>
      </w:r>
      <w:r w:rsidRPr="00B12140">
        <w:rPr>
          <w:i/>
        </w:rPr>
        <w:t xml:space="preserve"> Annual Global CEO Survey</w:t>
      </w:r>
      <w:r>
        <w:t xml:space="preserve"> [website] (January 2015) </w:t>
      </w:r>
      <w:hyperlink r:id="rId19" w:history="1">
        <w:r w:rsidRPr="00AD7E19">
          <w:rPr>
            <w:rStyle w:val="Hyperlink"/>
          </w:rPr>
          <w:t>https://www.pwc.com/gx/en/ceo-survey/2015/assets/pwc-18th-annual-global-ceo-survey-jan-2015.pdf</w:t>
        </w:r>
      </w:hyperlink>
      <w:r>
        <w:t>, accessed 20 September 2022.</w:t>
      </w:r>
    </w:p>
  </w:footnote>
  <w:footnote w:id="152">
    <w:p w14:paraId="270B40C8" w14:textId="7E13595E" w:rsidR="00C02D25" w:rsidRDefault="00C02D25" w:rsidP="00F9691E">
      <w:pPr>
        <w:pStyle w:val="FootnoteText"/>
      </w:pPr>
      <w:r w:rsidRPr="00C717DE">
        <w:rPr>
          <w:rStyle w:val="FootnoteReference"/>
        </w:rPr>
        <w:footnoteRef/>
      </w:r>
      <w:r w:rsidRPr="00C717DE">
        <w:t xml:space="preserve"> </w:t>
      </w:r>
      <w:r w:rsidRPr="00237352">
        <w:t xml:space="preserve">AHRC, </w:t>
      </w:r>
      <w:r w:rsidRPr="00237352" w:rsidDel="00142173">
        <w:rPr>
          <w:i/>
        </w:rPr>
        <w:t>Set the Standard</w:t>
      </w:r>
      <w:r w:rsidRPr="00237352">
        <w:t>,</w:t>
      </w:r>
      <w:r w:rsidRPr="00C717DE">
        <w:t xml:space="preserve"> 162</w:t>
      </w:r>
      <w:r>
        <w:t>.</w:t>
      </w:r>
    </w:p>
  </w:footnote>
  <w:footnote w:id="153">
    <w:p w14:paraId="75C104A1" w14:textId="1552DA3E" w:rsidR="00C02D25" w:rsidRDefault="00C02D25" w:rsidP="00241F5D">
      <w:pPr>
        <w:pStyle w:val="FootnoteText"/>
      </w:pPr>
      <w:r>
        <w:rPr>
          <w:rStyle w:val="FootnoteReference"/>
        </w:rPr>
        <w:footnoteRef/>
      </w:r>
      <w:r>
        <w:t xml:space="preserve"> See: Diversity Council of Australia, </w:t>
      </w:r>
      <w:r w:rsidRPr="0007483E">
        <w:rPr>
          <w:i/>
        </w:rPr>
        <w:t>Inclusive Recruitment</w:t>
      </w:r>
      <w:r>
        <w:t xml:space="preserve"> [website], (no date), </w:t>
      </w:r>
      <w:hyperlink r:id="rId20" w:history="1">
        <w:r w:rsidRPr="00AD7E19">
          <w:rPr>
            <w:rStyle w:val="Hyperlink"/>
          </w:rPr>
          <w:t>https://www.dca.org.au/di-planning/inclusive-recruitment</w:t>
        </w:r>
      </w:hyperlink>
      <w:r>
        <w:t>, accessed 20 September 2022; David Windley and Forbes Human Resources Council, ‘</w:t>
      </w:r>
      <w:r w:rsidRPr="00DA4638">
        <w:t>Recruiting for Diversity – Four Steps to Success</w:t>
      </w:r>
      <w:r>
        <w:t xml:space="preserve">’, </w:t>
      </w:r>
      <w:r>
        <w:rPr>
          <w:i/>
        </w:rPr>
        <w:t xml:space="preserve">Forbes </w:t>
      </w:r>
      <w:r>
        <w:t>[website],</w:t>
      </w:r>
      <w:r>
        <w:rPr>
          <w:i/>
        </w:rPr>
        <w:t xml:space="preserve"> </w:t>
      </w:r>
      <w:r>
        <w:t xml:space="preserve">(20 September 2021), </w:t>
      </w:r>
      <w:hyperlink r:id="rId21" w:history="1">
        <w:r w:rsidRPr="00AD7E19">
          <w:rPr>
            <w:rStyle w:val="Hyperlink"/>
          </w:rPr>
          <w:t>https://www.forbes.com/sites/forbeshumanresourcescouncil/2021/09/20/recruiting-for-diversity-four-steps-to-success/?sh=1118ac9a7fe5</w:t>
        </w:r>
      </w:hyperlink>
      <w:r>
        <w:t>, accessed 20 September 2022.</w:t>
      </w:r>
    </w:p>
  </w:footnote>
  <w:footnote w:id="154">
    <w:p w14:paraId="08DB9BBD" w14:textId="668479CD" w:rsidR="00C02D25" w:rsidRDefault="00C02D25" w:rsidP="00706DE4">
      <w:pPr>
        <w:pStyle w:val="FootnoteText"/>
      </w:pPr>
      <w:r>
        <w:rPr>
          <w:rStyle w:val="FootnoteReference"/>
        </w:rPr>
        <w:footnoteRef/>
      </w:r>
      <w:r>
        <w:t xml:space="preserve"> </w:t>
      </w:r>
      <w:r w:rsidRPr="00EB20EB">
        <w:t>Enterprise Agreement</w:t>
      </w:r>
      <w:r>
        <w:t>, cls 12-13.</w:t>
      </w:r>
    </w:p>
  </w:footnote>
  <w:footnote w:id="155">
    <w:p w14:paraId="6BF24FE3" w14:textId="77777777" w:rsidR="00C02D25" w:rsidRDefault="00C02D25" w:rsidP="00706DE4">
      <w:pPr>
        <w:pStyle w:val="FootnoteText"/>
      </w:pPr>
      <w:r>
        <w:rPr>
          <w:rStyle w:val="FootnoteReference"/>
        </w:rPr>
        <w:footnoteRef/>
      </w:r>
      <w:r>
        <w:t xml:space="preserve"> AHRC</w:t>
      </w:r>
      <w:r w:rsidRPr="00EC093F">
        <w:t xml:space="preserve">, </w:t>
      </w:r>
      <w:r w:rsidRPr="00142173">
        <w:rPr>
          <w:i/>
        </w:rPr>
        <w:t>Set the Standard</w:t>
      </w:r>
      <w:r>
        <w:t>, 172.</w:t>
      </w:r>
    </w:p>
  </w:footnote>
  <w:footnote w:id="156">
    <w:p w14:paraId="26E9E360" w14:textId="4939E1A4" w:rsidR="00C02D25" w:rsidRDefault="00C02D25">
      <w:pPr>
        <w:pStyle w:val="FootnoteText"/>
      </w:pPr>
      <w:r>
        <w:rPr>
          <w:rStyle w:val="FootnoteReference"/>
        </w:rPr>
        <w:footnoteRef/>
      </w:r>
      <w:r>
        <w:t xml:space="preserve"> </w:t>
      </w:r>
      <w:r w:rsidRPr="005C27A8">
        <w:t xml:space="preserve">This option would align with </w:t>
      </w:r>
      <w:r w:rsidRPr="00695476">
        <w:rPr>
          <w:i/>
        </w:rPr>
        <w:t>Set the Standard</w:t>
      </w:r>
      <w:r w:rsidRPr="005C27A8">
        <w:t xml:space="preserve"> findings and </w:t>
      </w:r>
      <w:r>
        <w:t>R</w:t>
      </w:r>
      <w:r w:rsidRPr="005C27A8">
        <w:t xml:space="preserve">ecommendations 5 and 6, as well as a </w:t>
      </w:r>
      <w:r>
        <w:t>R</w:t>
      </w:r>
      <w:r w:rsidRPr="005C27A8">
        <w:t>ecommendations including 9, 12, 17, and 24 which reflect diversity, equality and inclusion principles</w:t>
      </w:r>
      <w:r>
        <w:t>.</w:t>
      </w:r>
    </w:p>
  </w:footnote>
  <w:footnote w:id="157">
    <w:p w14:paraId="0CD04803" w14:textId="188A0AC2" w:rsidR="00C02D25" w:rsidRDefault="00C02D25">
      <w:pPr>
        <w:pStyle w:val="FootnoteText"/>
      </w:pPr>
      <w:r>
        <w:rPr>
          <w:rStyle w:val="FootnoteReference"/>
        </w:rPr>
        <w:footnoteRef/>
      </w:r>
      <w:r>
        <w:t xml:space="preserve"> </w:t>
      </w:r>
      <w:r w:rsidRPr="005C27A8">
        <w:rPr>
          <w:i/>
        </w:rPr>
        <w:t>Submission 10</w:t>
      </w:r>
      <w:r>
        <w:t>, 1.</w:t>
      </w:r>
    </w:p>
  </w:footnote>
  <w:footnote w:id="158">
    <w:p w14:paraId="2D674F17" w14:textId="34A2B19C" w:rsidR="00C02D25" w:rsidRDefault="00C02D25" w:rsidP="003B1E6E">
      <w:pPr>
        <w:pStyle w:val="FootnoteText"/>
      </w:pPr>
      <w:r>
        <w:rPr>
          <w:rStyle w:val="FootnoteReference"/>
        </w:rPr>
        <w:footnoteRef/>
      </w:r>
      <w:r>
        <w:t xml:space="preserve"> Macquarie Dictionary Online, </w:t>
      </w:r>
      <w:r w:rsidRPr="00081C95">
        <w:rPr>
          <w:i/>
        </w:rPr>
        <w:t xml:space="preserve">Definition of </w:t>
      </w:r>
      <w:r>
        <w:rPr>
          <w:i/>
        </w:rPr>
        <w:t>Merit</w:t>
      </w:r>
      <w:r>
        <w:t xml:space="preserve"> [website] (Macquarie Dictionary Publishers, 2016),</w:t>
      </w:r>
      <w:r w:rsidRPr="00B12140">
        <w:t xml:space="preserve"> </w:t>
      </w:r>
      <w:hyperlink r:id="rId22" w:history="1">
        <w:r w:rsidRPr="00AD7E19">
          <w:rPr>
            <w:rStyle w:val="Hyperlink"/>
          </w:rPr>
          <w:t>https://www.macquariedictionary.com.au/features/word/search/?search_word_type=Dictionary&amp;word=merit</w:t>
        </w:r>
      </w:hyperlink>
      <w:r>
        <w:t>, accessed 21 September 2022.</w:t>
      </w:r>
    </w:p>
  </w:footnote>
  <w:footnote w:id="159">
    <w:p w14:paraId="6F520171" w14:textId="77777777" w:rsidR="00C02D25" w:rsidRDefault="00C02D25" w:rsidP="00D76D54">
      <w:pPr>
        <w:pStyle w:val="FootnoteText"/>
      </w:pPr>
      <w:r>
        <w:rPr>
          <w:rStyle w:val="FootnoteReference"/>
        </w:rPr>
        <w:footnoteRef/>
      </w:r>
      <w:r>
        <w:t xml:space="preserve"> The survey allowed respondents to make multiples selections on recruitment methods.</w:t>
      </w:r>
    </w:p>
  </w:footnote>
  <w:footnote w:id="160">
    <w:p w14:paraId="380E2EF5" w14:textId="77777777" w:rsidR="00C02D25" w:rsidRDefault="00C02D25" w:rsidP="00D76D54">
      <w:pPr>
        <w:pStyle w:val="FootnoteText"/>
      </w:pPr>
      <w:r>
        <w:rPr>
          <w:rStyle w:val="FootnoteReference"/>
        </w:rPr>
        <w:footnoteRef/>
      </w:r>
      <w:r>
        <w:t xml:space="preserve"> AHRC</w:t>
      </w:r>
      <w:r w:rsidRPr="00EC093F">
        <w:t xml:space="preserve">, </w:t>
      </w:r>
      <w:r w:rsidRPr="00AA3B05" w:rsidDel="00142173">
        <w:rPr>
          <w:i/>
        </w:rPr>
        <w:t>Set the Standard</w:t>
      </w:r>
      <w:r>
        <w:t>, 132.</w:t>
      </w:r>
    </w:p>
  </w:footnote>
  <w:footnote w:id="161">
    <w:p w14:paraId="132C3DDB" w14:textId="77777777" w:rsidR="00C02D25" w:rsidRDefault="00C02D25" w:rsidP="00D76D54">
      <w:pPr>
        <w:pStyle w:val="FootnoteText"/>
      </w:pPr>
      <w:r>
        <w:rPr>
          <w:rStyle w:val="FootnoteReference"/>
        </w:rPr>
        <w:footnoteRef/>
      </w:r>
      <w:r>
        <w:t xml:space="preserve"> AHRC</w:t>
      </w:r>
      <w:r w:rsidRPr="00EC093F">
        <w:t xml:space="preserve">, </w:t>
      </w:r>
      <w:r w:rsidRPr="00AA3B05" w:rsidDel="00142173">
        <w:rPr>
          <w:i/>
        </w:rPr>
        <w:t>Set the Standard</w:t>
      </w:r>
      <w:r>
        <w:t>, 82.</w:t>
      </w:r>
    </w:p>
  </w:footnote>
  <w:footnote w:id="162">
    <w:p w14:paraId="234DADA9" w14:textId="51ABF356" w:rsidR="00C02D25" w:rsidRDefault="00C02D25">
      <w:pPr>
        <w:pStyle w:val="FootnoteText"/>
      </w:pPr>
      <w:r>
        <w:rPr>
          <w:rStyle w:val="FootnoteReference"/>
        </w:rPr>
        <w:footnoteRef/>
      </w:r>
      <w:r>
        <w:t xml:space="preserve"> </w:t>
      </w:r>
      <w:r w:rsidRPr="003B1E6E">
        <w:t xml:space="preserve">Workforce data </w:t>
      </w:r>
      <w:r>
        <w:t>indicates</w:t>
      </w:r>
      <w:r w:rsidRPr="003B1E6E">
        <w:t xml:space="preserve"> the percentage of the </w:t>
      </w:r>
      <w:r>
        <w:t>MoP</w:t>
      </w:r>
      <w:r w:rsidRPr="003B1E6E">
        <w:t xml:space="preserve">(S) Act workforce below 30 years </w:t>
      </w:r>
      <w:r>
        <w:t xml:space="preserve">is double that of </w:t>
      </w:r>
      <w:r w:rsidRPr="003B1E6E">
        <w:t>the APS</w:t>
      </w:r>
      <w:r>
        <w:t> </w:t>
      </w:r>
      <w:r w:rsidRPr="003B1E6E">
        <w:t>as of June 2022 (29 per cent to 14</w:t>
      </w:r>
      <w:r>
        <w:t> </w:t>
      </w:r>
      <w:r w:rsidRPr="003B1E6E">
        <w:t>per cent).</w:t>
      </w:r>
      <w:r w:rsidRPr="0043250A">
        <w:t xml:space="preserve"> </w:t>
      </w:r>
      <w:r>
        <w:t xml:space="preserve">Data on MoP(S) Act staff provided by the Department of Finance. </w:t>
      </w:r>
      <w:r w:rsidRPr="00B26A4C">
        <w:t>APS</w:t>
      </w:r>
      <w:r>
        <w:t xml:space="preserve"> employment </w:t>
      </w:r>
      <w:r w:rsidRPr="00B26A4C">
        <w:t>data is available</w:t>
      </w:r>
      <w:r>
        <w:t xml:space="preserve"> at: Australian Public Service Commission, </w:t>
      </w:r>
      <w:r>
        <w:rPr>
          <w:i/>
        </w:rPr>
        <w:t>APS Employment Data 30 June 2022</w:t>
      </w:r>
      <w:r>
        <w:t xml:space="preserve"> [website], (29 August 2022) </w:t>
      </w:r>
      <w:hyperlink r:id="rId23" w:history="1">
        <w:r w:rsidRPr="00AD7E19">
          <w:rPr>
            <w:rStyle w:val="Hyperlink"/>
          </w:rPr>
          <w:t>https://www.apsc.gov.au/employment-data/aps-employment-data-30-june-2022</w:t>
        </w:r>
      </w:hyperlink>
      <w:r>
        <w:t>, accessed 2 September 2022.</w:t>
      </w:r>
    </w:p>
  </w:footnote>
  <w:footnote w:id="163">
    <w:p w14:paraId="760C0196" w14:textId="782F15AC" w:rsidR="00C02D25" w:rsidRDefault="00C02D25" w:rsidP="0053445B">
      <w:pPr>
        <w:pStyle w:val="FootnoteText"/>
      </w:pPr>
      <w:r>
        <w:rPr>
          <w:rStyle w:val="FootnoteReference"/>
        </w:rPr>
        <w:footnoteRef/>
      </w:r>
      <w:r>
        <w:t xml:space="preserve"> </w:t>
      </w:r>
      <w:r w:rsidRPr="00417F2E">
        <w:t>PS Act,</w:t>
      </w:r>
      <w:r>
        <w:t xml:space="preserve"> s 10A.</w:t>
      </w:r>
    </w:p>
  </w:footnote>
  <w:footnote w:id="164">
    <w:p w14:paraId="45A5C57D" w14:textId="77777777" w:rsidR="00C02D25" w:rsidRDefault="00C02D25" w:rsidP="0053445B">
      <w:pPr>
        <w:pStyle w:val="FootnoteText"/>
      </w:pPr>
      <w:r>
        <w:rPr>
          <w:rStyle w:val="FootnoteReference"/>
        </w:rPr>
        <w:footnoteRef/>
      </w:r>
      <w:r>
        <w:t xml:space="preserve"> </w:t>
      </w:r>
      <w:r w:rsidRPr="00E4075F">
        <w:rPr>
          <w:i/>
        </w:rPr>
        <w:t>Public Administration Act 2004</w:t>
      </w:r>
      <w:r>
        <w:t xml:space="preserve"> (Vic), s 64.</w:t>
      </w:r>
    </w:p>
  </w:footnote>
  <w:footnote w:id="165">
    <w:p w14:paraId="039618C4" w14:textId="77777777" w:rsidR="00C02D25" w:rsidRDefault="00C02D25" w:rsidP="0053445B">
      <w:pPr>
        <w:pStyle w:val="FootnoteText"/>
      </w:pPr>
      <w:r>
        <w:rPr>
          <w:rStyle w:val="FootnoteReference"/>
        </w:rPr>
        <w:footnoteRef/>
      </w:r>
      <w:r>
        <w:t xml:space="preserve"> Victorian Public Sector Commission, </w:t>
      </w:r>
      <w:r w:rsidRPr="00E4075F">
        <w:rPr>
          <w:i/>
        </w:rPr>
        <w:t>Standards for Application of the Victorian Public Sector Employment Principles</w:t>
      </w:r>
      <w:r>
        <w:t xml:space="preserve"> [website], (2017) </w:t>
      </w:r>
      <w:hyperlink r:id="rId24" w:history="1">
        <w:r w:rsidRPr="00AD7E19">
          <w:rPr>
            <w:rStyle w:val="Hyperlink"/>
          </w:rPr>
          <w:t>https://vpsc.vic.gov.au/ethics-behaviours-culture/employment-principles-and-standards/standards-for-application-of-the-principles/</w:t>
        </w:r>
      </w:hyperlink>
      <w:r>
        <w:t>, accessed 9 September 2022.</w:t>
      </w:r>
    </w:p>
  </w:footnote>
  <w:footnote w:id="166">
    <w:p w14:paraId="3040CE34" w14:textId="77777777" w:rsidR="00C02D25" w:rsidRDefault="00C02D25" w:rsidP="0053445B">
      <w:pPr>
        <w:pStyle w:val="FootnoteText"/>
      </w:pPr>
      <w:r>
        <w:rPr>
          <w:rStyle w:val="FootnoteReference"/>
        </w:rPr>
        <w:footnoteRef/>
      </w:r>
      <w:r>
        <w:t xml:space="preserve"> Australian National University, </w:t>
      </w:r>
      <w:r w:rsidRPr="00E4075F">
        <w:rPr>
          <w:i/>
        </w:rPr>
        <w:t>Merit-based selection</w:t>
      </w:r>
      <w:r>
        <w:t xml:space="preserve"> [website] (not dated) </w:t>
      </w:r>
      <w:hyperlink r:id="rId25" w:history="1">
        <w:r w:rsidRPr="00AD7E19">
          <w:rPr>
            <w:rStyle w:val="Hyperlink"/>
          </w:rPr>
          <w:t>https://services.anu.edu.au/human-resources/recruit/merit-based-selection</w:t>
        </w:r>
      </w:hyperlink>
      <w:r>
        <w:t>, accessed 9 September 2022.</w:t>
      </w:r>
    </w:p>
  </w:footnote>
  <w:footnote w:id="167">
    <w:p w14:paraId="413360CE" w14:textId="77777777" w:rsidR="00C02D25" w:rsidRDefault="00C02D25" w:rsidP="0053445B">
      <w:pPr>
        <w:pStyle w:val="FootnoteText"/>
      </w:pPr>
      <w:r>
        <w:rPr>
          <w:rStyle w:val="FootnoteReference"/>
        </w:rPr>
        <w:footnoteRef/>
      </w:r>
      <w:r>
        <w:t xml:space="preserve"> </w:t>
      </w:r>
      <w:r w:rsidRPr="00BC1033">
        <w:rPr>
          <w:i/>
        </w:rPr>
        <w:t>Constitutional Reform and Governance Act 2010</w:t>
      </w:r>
      <w:r>
        <w:t xml:space="preserve"> (UK), s 10.</w:t>
      </w:r>
    </w:p>
  </w:footnote>
  <w:footnote w:id="168">
    <w:p w14:paraId="6B15965A" w14:textId="77777777" w:rsidR="00C02D25" w:rsidRDefault="00C02D25" w:rsidP="0053445B">
      <w:pPr>
        <w:pStyle w:val="FootnoteText"/>
      </w:pPr>
      <w:r>
        <w:rPr>
          <w:rStyle w:val="FootnoteReference"/>
        </w:rPr>
        <w:footnoteRef/>
      </w:r>
      <w:r>
        <w:t xml:space="preserve"> Civil Service Commission (UK), </w:t>
      </w:r>
      <w:r w:rsidRPr="00342E7A">
        <w:rPr>
          <w:i/>
        </w:rPr>
        <w:t>Recruitment Principles</w:t>
      </w:r>
      <w:r>
        <w:t xml:space="preserve"> [website], (April 2018) </w:t>
      </w:r>
      <w:hyperlink r:id="rId26" w:history="1">
        <w:r w:rsidRPr="00AD7E19">
          <w:rPr>
            <w:rStyle w:val="Hyperlink"/>
          </w:rPr>
          <w:t>https://civilservicecommission.independent.gov.uk/wp-content/uploads/2019/03/02a_RECRUITMENT-PRINCIPLES-April-2018-FINAL-.pdf</w:t>
        </w:r>
      </w:hyperlink>
      <w:r>
        <w:t>, accessed 10 September 2022.</w:t>
      </w:r>
    </w:p>
  </w:footnote>
  <w:footnote w:id="169">
    <w:p w14:paraId="3635DA88" w14:textId="77777777" w:rsidR="00C02D25" w:rsidRDefault="00C02D25" w:rsidP="00A72A1C">
      <w:pPr>
        <w:pStyle w:val="FootnoteText"/>
      </w:pPr>
      <w:r>
        <w:rPr>
          <w:rStyle w:val="FootnoteReference"/>
        </w:rPr>
        <w:footnoteRef/>
      </w:r>
      <w:r>
        <w:t xml:space="preserve"> See: </w:t>
      </w:r>
      <w:r w:rsidRPr="00342E7A">
        <w:rPr>
          <w:i/>
        </w:rPr>
        <w:t>Members of Parliament Staff Act 2013</w:t>
      </w:r>
      <w:r w:rsidRPr="00342E7A">
        <w:t xml:space="preserve"> (NSW)</w:t>
      </w:r>
      <w:r>
        <w:t>, Pt 2;</w:t>
      </w:r>
      <w:r>
        <w:rPr>
          <w:i/>
        </w:rPr>
        <w:t xml:space="preserve"> </w:t>
      </w:r>
      <w:r w:rsidRPr="00342E7A">
        <w:rPr>
          <w:i/>
        </w:rPr>
        <w:t>Ministerial and Other Office Holder Staff Act 2010</w:t>
      </w:r>
      <w:r>
        <w:t xml:space="preserve"> (Qld). </w:t>
      </w:r>
      <w:r w:rsidRPr="00A12550">
        <w:t>The Review also considered legislation for public servants that include parliamentary staff as a subset but then explicitly exclude them from merit recruitment requirements</w:t>
      </w:r>
      <w:r w:rsidRPr="00A72A1C">
        <w:t xml:space="preserve"> </w:t>
      </w:r>
      <w:r>
        <w:t xml:space="preserve">See: </w:t>
      </w:r>
      <w:r w:rsidRPr="00342E7A">
        <w:rPr>
          <w:i/>
        </w:rPr>
        <w:t>Public Service Act 2020</w:t>
      </w:r>
      <w:r>
        <w:t xml:space="preserve"> (NZ), s 70; </w:t>
      </w:r>
      <w:r w:rsidRPr="00342E7A">
        <w:rPr>
          <w:i/>
        </w:rPr>
        <w:t>Constitutional Reform and Governance Act 2010</w:t>
      </w:r>
      <w:r>
        <w:rPr>
          <w:i/>
        </w:rPr>
        <w:t xml:space="preserve"> </w:t>
      </w:r>
      <w:r>
        <w:t>(UK)</w:t>
      </w:r>
      <w:r w:rsidRPr="00342E7A">
        <w:rPr>
          <w:i/>
        </w:rPr>
        <w:t>,</w:t>
      </w:r>
      <w:r>
        <w:t xml:space="preserve"> s 10(3).</w:t>
      </w:r>
    </w:p>
  </w:footnote>
  <w:footnote w:id="170">
    <w:p w14:paraId="4B0D532B" w14:textId="60220843" w:rsidR="00C02D25" w:rsidRDefault="00C02D25">
      <w:pPr>
        <w:pStyle w:val="FootnoteText"/>
      </w:pPr>
      <w:r>
        <w:rPr>
          <w:rStyle w:val="FootnoteReference"/>
        </w:rPr>
        <w:footnoteRef/>
      </w:r>
      <w:r>
        <w:t xml:space="preserve"> </w:t>
      </w:r>
      <w:r w:rsidRPr="005C27A8">
        <w:rPr>
          <w:i/>
        </w:rPr>
        <w:t>Submission</w:t>
      </w:r>
      <w:r>
        <w:rPr>
          <w:i/>
        </w:rPr>
        <w:t xml:space="preserve"> 30</w:t>
      </w:r>
      <w:r>
        <w:t>, 3.</w:t>
      </w:r>
    </w:p>
  </w:footnote>
  <w:footnote w:id="171">
    <w:p w14:paraId="593C8890" w14:textId="17BFC32E" w:rsidR="00C02D25" w:rsidRDefault="00C02D25">
      <w:pPr>
        <w:pStyle w:val="FootnoteText"/>
      </w:pPr>
      <w:r>
        <w:rPr>
          <w:rStyle w:val="FootnoteReference"/>
        </w:rPr>
        <w:footnoteRef/>
      </w:r>
      <w:r>
        <w:t xml:space="preserve"> New Zealand Parliament, </w:t>
      </w:r>
      <w:r w:rsidRPr="00722978">
        <w:rPr>
          <w:i/>
        </w:rPr>
        <w:t>Member’s Guide: Aratiki Mema</w:t>
      </w:r>
      <w:r>
        <w:t xml:space="preserve"> [online document], (2020), </w:t>
      </w:r>
      <w:hyperlink r:id="rId27" w:history="1">
        <w:r w:rsidRPr="00AD7E19">
          <w:rPr>
            <w:rStyle w:val="Hyperlink"/>
          </w:rPr>
          <w:t>https://www.parliament.nz/media/4351/members-guide-20-sept.pdf</w:t>
        </w:r>
      </w:hyperlink>
      <w:r>
        <w:t>, accessed 27 September 2022, 23.</w:t>
      </w:r>
    </w:p>
  </w:footnote>
  <w:footnote w:id="172">
    <w:p w14:paraId="024FE464" w14:textId="61E4C856" w:rsidR="00C02D25" w:rsidRDefault="00C02D25" w:rsidP="00D76D54">
      <w:pPr>
        <w:pStyle w:val="FootnoteText"/>
      </w:pPr>
      <w:r>
        <w:rPr>
          <w:rStyle w:val="FootnoteReference"/>
        </w:rPr>
        <w:footnoteRef/>
      </w:r>
      <w:r>
        <w:t xml:space="preserve"> Debbie Francis, </w:t>
      </w:r>
      <w:r>
        <w:rPr>
          <w:i/>
        </w:rPr>
        <w:t>Bullying and Harassment in the New Zealand Parliamentary Workplace</w:t>
      </w:r>
      <w:r>
        <w:t xml:space="preserve"> [online document], (May 2019), 78-79, </w:t>
      </w:r>
      <w:hyperlink r:id="rId28" w:history="1">
        <w:r w:rsidRPr="00EF103E">
          <w:rPr>
            <w:rStyle w:val="Hyperlink"/>
          </w:rPr>
          <w:t>https://www.parliament.nz/media/5739/independent-external-review-into-bullying-and-harassment-in-the-new-zealand-parliamentary-workplace-final-report.pdf</w:t>
        </w:r>
      </w:hyperlink>
      <w:r>
        <w:t>, accessed 26 September 2022.</w:t>
      </w:r>
    </w:p>
  </w:footnote>
  <w:footnote w:id="173">
    <w:p w14:paraId="4DF98F44" w14:textId="06C6B6BD" w:rsidR="00C02D25" w:rsidRDefault="00C02D25" w:rsidP="00C72D83">
      <w:pPr>
        <w:pStyle w:val="FootnoteText"/>
      </w:pPr>
      <w:r>
        <w:rPr>
          <w:rStyle w:val="FootnoteReference"/>
        </w:rPr>
        <w:footnoteRef/>
      </w:r>
      <w:r>
        <w:t xml:space="preserve"> </w:t>
      </w:r>
      <w:r w:rsidRPr="00DC63D3">
        <w:rPr>
          <w:i/>
        </w:rPr>
        <w:t>Criminal Code Act 1995</w:t>
      </w:r>
      <w:r w:rsidRPr="00DC63D3">
        <w:t xml:space="preserve"> (Cth)</w:t>
      </w:r>
      <w:r>
        <w:t>, pt 7.4.</w:t>
      </w:r>
    </w:p>
  </w:footnote>
  <w:footnote w:id="174">
    <w:p w14:paraId="79FA13B8" w14:textId="77777777" w:rsidR="00C02D25" w:rsidRDefault="00C02D25">
      <w:pPr>
        <w:pStyle w:val="FootnoteText"/>
      </w:pPr>
      <w:r>
        <w:rPr>
          <w:rStyle w:val="FootnoteReference"/>
        </w:rPr>
        <w:footnoteRef/>
      </w:r>
      <w:r>
        <w:t xml:space="preserve"> Department of Finance, </w:t>
      </w:r>
      <w:r w:rsidRPr="00343D9C">
        <w:rPr>
          <w:i/>
        </w:rPr>
        <w:t>Security Clearances for MoP(S) Act Employees</w:t>
      </w:r>
      <w:r>
        <w:t xml:space="preserve"> [website], (Undated) </w:t>
      </w:r>
      <w:hyperlink r:id="rId29" w:history="1">
        <w:r w:rsidRPr="00AD7E19">
          <w:rPr>
            <w:rStyle w:val="Hyperlink"/>
          </w:rPr>
          <w:t>https://maps.finance.gov.au/sites/default/files/2022-06/MOPS-Employee-Security-Clearances.pdf</w:t>
        </w:r>
      </w:hyperlink>
      <w:r>
        <w:t>, accessed 16 September 2022.</w:t>
      </w:r>
    </w:p>
  </w:footnote>
  <w:footnote w:id="175">
    <w:p w14:paraId="09D37FE5" w14:textId="77777777" w:rsidR="00C02D25" w:rsidRDefault="00C02D25" w:rsidP="00BA4C11">
      <w:pPr>
        <w:pStyle w:val="FootnoteText"/>
      </w:pPr>
      <w:r>
        <w:rPr>
          <w:rStyle w:val="FootnoteReference"/>
        </w:rPr>
        <w:footnoteRef/>
      </w:r>
      <w:r>
        <w:t xml:space="preserve"> Department of Finance, </w:t>
      </w:r>
      <w:r w:rsidRPr="00343D9C">
        <w:rPr>
          <w:i/>
        </w:rPr>
        <w:t>Form 109: Employing an Ongoing Employe</w:t>
      </w:r>
      <w:r w:rsidRPr="00343D9C">
        <w:t>e [website], (August 2021)</w:t>
      </w:r>
      <w:r>
        <w:t xml:space="preserve"> </w:t>
      </w:r>
      <w:hyperlink r:id="rId30" w:history="1">
        <w:r w:rsidRPr="00AD7E19">
          <w:rPr>
            <w:rStyle w:val="Hyperlink"/>
          </w:rPr>
          <w:t>https://maps.finance.gov.au/sites/default/files/2021-08/form_109_FINAL.pdf</w:t>
        </w:r>
      </w:hyperlink>
      <w:r>
        <w:t>, accessed 26 August 2022.</w:t>
      </w:r>
    </w:p>
  </w:footnote>
  <w:footnote w:id="176">
    <w:p w14:paraId="11DE2606" w14:textId="77777777" w:rsidR="00C02D25" w:rsidRDefault="00C02D25" w:rsidP="0047153F">
      <w:pPr>
        <w:pStyle w:val="FootnoteText"/>
      </w:pPr>
      <w:r>
        <w:rPr>
          <w:rStyle w:val="FootnoteReference"/>
        </w:rPr>
        <w:footnoteRef/>
      </w:r>
      <w:r>
        <w:t xml:space="preserve"> Department of Finance, </w:t>
      </w:r>
      <w:r w:rsidRPr="00535D2C">
        <w:rPr>
          <w:i/>
        </w:rPr>
        <w:t>National Police Checks</w:t>
      </w:r>
      <w:r>
        <w:t xml:space="preserve"> [website], (28 June 2021) </w:t>
      </w:r>
      <w:hyperlink r:id="rId31" w:history="1">
        <w:r w:rsidRPr="00AD7E19">
          <w:rPr>
            <w:rStyle w:val="Hyperlink"/>
          </w:rPr>
          <w:t>https://maps.finance.gov.au/pay-and-employment/mops-act-employment/recruitment-and-establishing-positions/national-police-checks</w:t>
        </w:r>
      </w:hyperlink>
      <w:r>
        <w:t>, accessed 19 September 2022.</w:t>
      </w:r>
    </w:p>
  </w:footnote>
  <w:footnote w:id="177">
    <w:p w14:paraId="12655FA4" w14:textId="7440AF2C" w:rsidR="00C02D25" w:rsidRDefault="00C02D25" w:rsidP="0047153F">
      <w:pPr>
        <w:pStyle w:val="FootnoteText"/>
      </w:pPr>
      <w:r>
        <w:rPr>
          <w:rStyle w:val="FootnoteReference"/>
        </w:rPr>
        <w:footnoteRef/>
      </w:r>
      <w:r>
        <w:t xml:space="preserve"> Australian Federal Police, </w:t>
      </w:r>
      <w:r w:rsidRPr="0086318E">
        <w:rPr>
          <w:i/>
        </w:rPr>
        <w:t>Frequently Asked Questions</w:t>
      </w:r>
      <w:r>
        <w:t xml:space="preserve"> [website], (no date), </w:t>
      </w:r>
      <w:hyperlink r:id="rId32" w:history="1">
        <w:r w:rsidRPr="00AD7E19">
          <w:rPr>
            <w:rStyle w:val="Hyperlink"/>
          </w:rPr>
          <w:t>https://www.afp.gov.au/what-we-do/services/criminal-records/frequently-asked-questions</w:t>
        </w:r>
      </w:hyperlink>
      <w:r>
        <w:t>, accessed 23 September 2022 (see: ‘What will be included on my National Police Certificate?’).</w:t>
      </w:r>
    </w:p>
  </w:footnote>
  <w:footnote w:id="178">
    <w:p w14:paraId="5612D78A" w14:textId="1B3CA054" w:rsidR="00C02D25" w:rsidRDefault="00C02D25">
      <w:pPr>
        <w:pStyle w:val="FootnoteText"/>
      </w:pPr>
      <w:r>
        <w:rPr>
          <w:rStyle w:val="FootnoteReference"/>
        </w:rPr>
        <w:footnoteRef/>
      </w:r>
      <w:r>
        <w:t xml:space="preserve"> </w:t>
      </w:r>
      <w:r w:rsidRPr="00431752">
        <w:t>The Department of Finance provided the Review with data on MoP(S) Act employees (</w:t>
      </w:r>
      <w:r w:rsidRPr="00A03D23">
        <w:t>23 August 2022</w:t>
      </w:r>
      <w:r w:rsidRPr="00431752">
        <w:t>)</w:t>
      </w:r>
      <w:r>
        <w:t>.</w:t>
      </w:r>
    </w:p>
  </w:footnote>
  <w:footnote w:id="179">
    <w:p w14:paraId="2BE3B57B" w14:textId="610AE55E" w:rsidR="00C02D25" w:rsidRDefault="00C02D25" w:rsidP="0047153F">
      <w:pPr>
        <w:pStyle w:val="FootnoteText"/>
      </w:pPr>
      <w:r>
        <w:rPr>
          <w:rStyle w:val="FootnoteReference"/>
        </w:rPr>
        <w:footnoteRef/>
      </w:r>
      <w:r>
        <w:t xml:space="preserve"> Department of Finance, </w:t>
      </w:r>
      <w:r w:rsidRPr="0086318E">
        <w:rPr>
          <w:i/>
        </w:rPr>
        <w:t>Guide to Recruiting</w:t>
      </w:r>
      <w:r>
        <w:t xml:space="preserve"> [online document], (undated) </w:t>
      </w:r>
      <w:hyperlink r:id="rId33" w:history="1">
        <w:r w:rsidRPr="00AD7E19">
          <w:rPr>
            <w:rStyle w:val="Hyperlink"/>
          </w:rPr>
          <w:t>https://maps.finance.gov.au/</w:t>
        </w:r>
        <w:r w:rsidRPr="00D53F28">
          <w:rPr>
            <w:rStyle w:val="Hyperlink"/>
          </w:rPr>
          <w:br/>
        </w:r>
        <w:r w:rsidRPr="00AD7E19">
          <w:rPr>
            <w:rStyle w:val="Hyperlink"/>
          </w:rPr>
          <w:t>sites/default/files/2022-06/Guide%20to%20Recruiting.pdf</w:t>
        </w:r>
      </w:hyperlink>
      <w:r>
        <w:t>, accessed 16 September 2022, 3-4 (Part 3(1b)).</w:t>
      </w:r>
    </w:p>
  </w:footnote>
  <w:footnote w:id="180">
    <w:p w14:paraId="59B5FC2F" w14:textId="1E5FCC45" w:rsidR="00C02D25" w:rsidRDefault="00C02D25" w:rsidP="0047153F">
      <w:pPr>
        <w:pStyle w:val="FootnoteText"/>
      </w:pPr>
      <w:r>
        <w:rPr>
          <w:rStyle w:val="FootnoteReference"/>
        </w:rPr>
        <w:footnoteRef/>
      </w:r>
      <w:r>
        <w:t xml:space="preserve"> Ibid, 4 (pt 3 (3)).</w:t>
      </w:r>
    </w:p>
  </w:footnote>
  <w:footnote w:id="181">
    <w:p w14:paraId="3598825F" w14:textId="74F3323A" w:rsidR="00C02D25" w:rsidRDefault="00C02D25" w:rsidP="003F3225">
      <w:pPr>
        <w:pStyle w:val="FootnoteText"/>
      </w:pPr>
      <w:r>
        <w:rPr>
          <w:rStyle w:val="FootnoteReference"/>
        </w:rPr>
        <w:footnoteRef/>
      </w:r>
      <w:r>
        <w:t xml:space="preserve"> </w:t>
      </w:r>
      <w:r w:rsidRPr="008B5890">
        <w:t>S</w:t>
      </w:r>
      <w:r>
        <w:t xml:space="preserve">outh </w:t>
      </w:r>
      <w:r w:rsidRPr="008B5890">
        <w:t>A</w:t>
      </w:r>
      <w:r>
        <w:t xml:space="preserve">ustralian Government, </w:t>
      </w:r>
      <w:r w:rsidRPr="00EC1B8C">
        <w:rPr>
          <w:i/>
        </w:rPr>
        <w:t>Pre-Employment Declaration Form</w:t>
      </w:r>
      <w:r>
        <w:t xml:space="preserve"> [website]</w:t>
      </w:r>
      <w:r w:rsidRPr="009C1A2A">
        <w:t xml:space="preserve">, </w:t>
      </w:r>
      <w:r>
        <w:t>(</w:t>
      </w:r>
      <w:r w:rsidRPr="009C1A2A">
        <w:t>May 2022</w:t>
      </w:r>
      <w:r>
        <w:t>)</w:t>
      </w:r>
      <w:r w:rsidRPr="009C1A2A">
        <w:t xml:space="preserve">, </w:t>
      </w:r>
      <w:hyperlink r:id="rId34" w:history="1">
        <w:r w:rsidRPr="00872D73">
          <w:rPr>
            <w:rStyle w:val="Hyperlink"/>
          </w:rPr>
          <w:t>https://www.publicsector.sa.gov.au/__data/assets/pdf_file/0003/214077/Pre-Employment-Declaration_240522.pdf</w:t>
        </w:r>
      </w:hyperlink>
      <w:r>
        <w:t>, a</w:t>
      </w:r>
      <w:r w:rsidRPr="009C1A2A">
        <w:t xml:space="preserve">ccessed </w:t>
      </w:r>
      <w:r>
        <w:t>28 September 20</w:t>
      </w:r>
      <w:r w:rsidRPr="009C1A2A">
        <w:t>22</w:t>
      </w:r>
      <w:r>
        <w:t>.</w:t>
      </w:r>
    </w:p>
  </w:footnote>
  <w:footnote w:id="182">
    <w:p w14:paraId="36CE548C" w14:textId="7BBB57D6" w:rsidR="00C02D25" w:rsidRDefault="00C02D25">
      <w:pPr>
        <w:pStyle w:val="FootnoteText"/>
      </w:pPr>
      <w:r>
        <w:rPr>
          <w:rStyle w:val="FootnoteReference"/>
        </w:rPr>
        <w:footnoteRef/>
      </w:r>
      <w:r>
        <w:t xml:space="preserve"> Victorian Public Service Commission, </w:t>
      </w:r>
      <w:r w:rsidRPr="0007483E">
        <w:rPr>
          <w:i/>
        </w:rPr>
        <w:t xml:space="preserve">Pre-Employment Screening of Misconduct in the Victorian Public Service </w:t>
      </w:r>
      <w:r>
        <w:t xml:space="preserve">[website], (14 October 2020), </w:t>
      </w:r>
      <w:hyperlink r:id="rId35" w:history="1">
        <w:r w:rsidRPr="00740646">
          <w:rPr>
            <w:rStyle w:val="Hyperlink"/>
          </w:rPr>
          <w:t>https://vpsc.vic.gov.au/workforce-capability-leadership-and-management/recruitment-in-the-public-sector/pre-employment-and-misconduct-screening/</w:t>
        </w:r>
      </w:hyperlink>
      <w:r>
        <w:t>, accessed 28 September 2022.</w:t>
      </w:r>
    </w:p>
  </w:footnote>
  <w:footnote w:id="183">
    <w:p w14:paraId="248E5720" w14:textId="0B0B826F" w:rsidR="00C02D25" w:rsidRPr="00446D8E" w:rsidRDefault="00C02D25">
      <w:pPr>
        <w:pStyle w:val="FootnoteText"/>
      </w:pPr>
      <w:r>
        <w:rPr>
          <w:rStyle w:val="FootnoteReference"/>
        </w:rPr>
        <w:footnoteRef/>
      </w:r>
      <w:r>
        <w:t xml:space="preserve"> </w:t>
      </w:r>
      <w:r w:rsidRPr="008B5890">
        <w:t>For example</w:t>
      </w:r>
      <w:r>
        <w:t>:</w:t>
      </w:r>
      <w:r w:rsidRPr="008B5890">
        <w:t xml:space="preserve"> NSW Premier and Cabinet</w:t>
      </w:r>
      <w:r>
        <w:t>,</w:t>
      </w:r>
      <w:r w:rsidRPr="008B5890">
        <w:t xml:space="preserve"> Determination by the Premier of the Conditions for Employment for Political Office Holders’ Staff</w:t>
      </w:r>
      <w:r>
        <w:t>,</w:t>
      </w:r>
      <w:r w:rsidRPr="008B5890">
        <w:t xml:space="preserve"> </w:t>
      </w:r>
      <w:r>
        <w:t>[website]</w:t>
      </w:r>
      <w:r w:rsidRPr="008B5890">
        <w:t>,</w:t>
      </w:r>
      <w:r>
        <w:t xml:space="preserve"> (2022),</w:t>
      </w:r>
      <w:r w:rsidRPr="008B5890">
        <w:t xml:space="preserve"> </w:t>
      </w:r>
      <w:hyperlink r:id="rId36" w:history="1">
        <w:r w:rsidRPr="00DF363D">
          <w:rPr>
            <w:rStyle w:val="Hyperlink"/>
          </w:rPr>
          <w:t>https://publications.dpc.nsw.gov.au/ministers-office-handbook/attachments/attachment-a/</w:t>
        </w:r>
      </w:hyperlink>
      <w:r>
        <w:t>, accessed</w:t>
      </w:r>
      <w:r w:rsidRPr="008B5890">
        <w:t xml:space="preserve"> 31</w:t>
      </w:r>
      <w:r>
        <w:t xml:space="preserve"> August 20</w:t>
      </w:r>
      <w:r w:rsidRPr="008B5890">
        <w:t>22</w:t>
      </w:r>
      <w:r>
        <w:t>;</w:t>
      </w:r>
      <w:r w:rsidRPr="008B5890">
        <w:t xml:space="preserve"> S</w:t>
      </w:r>
      <w:r>
        <w:t xml:space="preserve">outh </w:t>
      </w:r>
      <w:r w:rsidRPr="008B5890">
        <w:t>A</w:t>
      </w:r>
      <w:r>
        <w:t>ustralian</w:t>
      </w:r>
      <w:r w:rsidRPr="008B5890">
        <w:t xml:space="preserve"> Government, </w:t>
      </w:r>
      <w:r w:rsidRPr="0007483E">
        <w:rPr>
          <w:i/>
        </w:rPr>
        <w:t xml:space="preserve">Directions of the Premier Under Section 10 of the Public Sector Act </w:t>
      </w:r>
      <w:r>
        <w:rPr>
          <w:i/>
        </w:rPr>
        <w:t>(</w:t>
      </w:r>
      <w:r w:rsidRPr="0007483E">
        <w:rPr>
          <w:i/>
        </w:rPr>
        <w:t>SA</w:t>
      </w:r>
      <w:r>
        <w:rPr>
          <w:i/>
        </w:rPr>
        <w:t>)</w:t>
      </w:r>
      <w:r w:rsidRPr="0007483E">
        <w:rPr>
          <w:i/>
        </w:rPr>
        <w:t xml:space="preserve"> (2009)</w:t>
      </w:r>
      <w:r>
        <w:t xml:space="preserve"> [website]</w:t>
      </w:r>
      <w:r w:rsidRPr="008B5890">
        <w:t xml:space="preserve">, </w:t>
      </w:r>
      <w:r>
        <w:t>(</w:t>
      </w:r>
      <w:r w:rsidRPr="008B5890">
        <w:t>24</w:t>
      </w:r>
      <w:r>
        <w:t xml:space="preserve"> August 2019), </w:t>
      </w:r>
      <w:hyperlink r:id="rId37" w:history="1">
        <w:r w:rsidRPr="00DF363D">
          <w:rPr>
            <w:rStyle w:val="Hyperlink"/>
          </w:rPr>
          <w:t>https://www.publicsector.sa.gov.au/__data/assets/pdf_file/0015/214008/20181002-Direction-of-the-Premier-of-South-Australia-Recruitment.pdf</w:t>
        </w:r>
      </w:hyperlink>
      <w:r>
        <w:t>, accessed 1 September 20</w:t>
      </w:r>
      <w:r w:rsidRPr="008B5890">
        <w:t>22</w:t>
      </w:r>
      <w:r>
        <w:t xml:space="preserve">; </w:t>
      </w:r>
      <w:r>
        <w:rPr>
          <w:i/>
        </w:rPr>
        <w:t xml:space="preserve">Ministerial and Other Office Holder Staff Act 2010 </w:t>
      </w:r>
      <w:r w:rsidRPr="00EC1B8C">
        <w:t>(</w:t>
      </w:r>
      <w:r>
        <w:t>Qld</w:t>
      </w:r>
      <w:r w:rsidRPr="00EC1B8C">
        <w:t>)</w:t>
      </w:r>
      <w:r>
        <w:t>.</w:t>
      </w:r>
    </w:p>
  </w:footnote>
  <w:footnote w:id="184">
    <w:p w14:paraId="03B13F6B" w14:textId="72F904EC" w:rsidR="00C02D25" w:rsidRDefault="00C02D25">
      <w:pPr>
        <w:pStyle w:val="FootnoteText"/>
      </w:pPr>
      <w:r>
        <w:rPr>
          <w:rStyle w:val="FootnoteReference"/>
        </w:rPr>
        <w:footnoteRef/>
      </w:r>
      <w:r>
        <w:t xml:space="preserve"> For example: </w:t>
      </w:r>
      <w:r w:rsidRPr="008B5890">
        <w:t>SA</w:t>
      </w:r>
      <w:r>
        <w:t xml:space="preserve"> Government, </w:t>
      </w:r>
      <w:r>
        <w:rPr>
          <w:i/>
        </w:rPr>
        <w:t>Pre-Employment Declaration Form</w:t>
      </w:r>
      <w:r>
        <w:t xml:space="preserve">. </w:t>
      </w:r>
    </w:p>
  </w:footnote>
  <w:footnote w:id="185">
    <w:p w14:paraId="41DAA8B7" w14:textId="283D8CC3" w:rsidR="00C02D25" w:rsidRPr="009C1A2A" w:rsidRDefault="00C02D25">
      <w:pPr>
        <w:pStyle w:val="FootnoteText"/>
      </w:pPr>
      <w:r>
        <w:rPr>
          <w:rStyle w:val="FootnoteReference"/>
        </w:rPr>
        <w:footnoteRef/>
      </w:r>
      <w:r>
        <w:t xml:space="preserve"> For </w:t>
      </w:r>
      <w:r w:rsidRPr="009C1A2A">
        <w:t>example</w:t>
      </w:r>
      <w:r>
        <w:t>:</w:t>
      </w:r>
      <w:r w:rsidRPr="009C1A2A">
        <w:t xml:space="preserve"> NSW, </w:t>
      </w:r>
      <w:r>
        <w:t>Queensland.</w:t>
      </w:r>
    </w:p>
  </w:footnote>
  <w:footnote w:id="186">
    <w:p w14:paraId="7C873AD6" w14:textId="3F2E2FFB" w:rsidR="00C02D25" w:rsidRDefault="00C02D25">
      <w:pPr>
        <w:pStyle w:val="FootnoteText"/>
      </w:pPr>
      <w:r w:rsidRPr="009C1A2A">
        <w:rPr>
          <w:rStyle w:val="FootnoteReference"/>
        </w:rPr>
        <w:footnoteRef/>
      </w:r>
      <w:r w:rsidRPr="009C1A2A">
        <w:t xml:space="preserve"> For example</w:t>
      </w:r>
      <w:r>
        <w:t>:</w:t>
      </w:r>
      <w:r w:rsidRPr="009C1A2A">
        <w:t xml:space="preserve"> </w:t>
      </w:r>
      <w:r>
        <w:t>Queensland.</w:t>
      </w:r>
    </w:p>
  </w:footnote>
  <w:footnote w:id="187">
    <w:p w14:paraId="6AE91315" w14:textId="1E82081D" w:rsidR="00C02D25" w:rsidRDefault="00C02D25">
      <w:pPr>
        <w:pStyle w:val="FootnoteText"/>
      </w:pPr>
      <w:r>
        <w:rPr>
          <w:rStyle w:val="FootnoteReference"/>
        </w:rPr>
        <w:footnoteRef/>
      </w:r>
      <w:r>
        <w:t xml:space="preserve"> Sub-section 13I(7) of the </w:t>
      </w:r>
      <w:r w:rsidRPr="00F3277F">
        <w:rPr>
          <w:i/>
        </w:rPr>
        <w:t>Ministerial and Other Office Holder Staff Act 2010</w:t>
      </w:r>
      <w:r>
        <w:rPr>
          <w:i/>
        </w:rPr>
        <w:t xml:space="preserve"> </w:t>
      </w:r>
      <w:r w:rsidRPr="00F3277F">
        <w:t>(Qld)</w:t>
      </w:r>
      <w:r>
        <w:rPr>
          <w:i/>
        </w:rPr>
        <w:t xml:space="preserve"> </w:t>
      </w:r>
      <w:r>
        <w:t>defines a relevant offence as an indictable offence or a disqualifying offence that is not an indictable offence.</w:t>
      </w:r>
    </w:p>
  </w:footnote>
  <w:footnote w:id="188">
    <w:p w14:paraId="0A8E09D6" w14:textId="21C759A7" w:rsidR="00C02D25" w:rsidRDefault="00C02D25" w:rsidP="009A386C">
      <w:pPr>
        <w:pStyle w:val="FootnoteText"/>
      </w:pPr>
      <w:r>
        <w:rPr>
          <w:rStyle w:val="FootnoteReference"/>
        </w:rPr>
        <w:footnoteRef/>
      </w:r>
      <w:r>
        <w:t xml:space="preserve"> Australian Human Rights Commission, </w:t>
      </w:r>
      <w:r w:rsidRPr="0016672F">
        <w:rPr>
          <w:i/>
        </w:rPr>
        <w:t>On the Record, Guidelines for the prevention of discrimination in employment on the basis of criminal record</w:t>
      </w:r>
      <w:r>
        <w:t xml:space="preserve"> (2012), 20 (Section 5.1), </w:t>
      </w:r>
      <w:hyperlink r:id="rId38" w:history="1">
        <w:r w:rsidRPr="00AD7E19">
          <w:rPr>
            <w:rStyle w:val="Hyperlink"/>
          </w:rPr>
          <w:t>https://humanrights.gov.au/sites/default/</w:t>
        </w:r>
        <w:r w:rsidRPr="00D53F28">
          <w:rPr>
            <w:rStyle w:val="Hyperlink"/>
          </w:rPr>
          <w:br/>
        </w:r>
        <w:r w:rsidRPr="00AD7E19">
          <w:rPr>
            <w:rStyle w:val="Hyperlink"/>
          </w:rPr>
          <w:t>files/content/human_rights/criminalrecord/on_the_record/download/otr_guidelines.pdf</w:t>
        </w:r>
      </w:hyperlink>
      <w:r>
        <w:t>, accessed 19 August 2022.</w:t>
      </w:r>
    </w:p>
  </w:footnote>
  <w:footnote w:id="189">
    <w:p w14:paraId="061C1E4D" w14:textId="77777777" w:rsidR="00C02D25" w:rsidRDefault="00C02D25">
      <w:pPr>
        <w:pStyle w:val="FootnoteText"/>
      </w:pPr>
      <w:r>
        <w:rPr>
          <w:rStyle w:val="FootnoteReference"/>
        </w:rPr>
        <w:footnoteRef/>
      </w:r>
      <w:r>
        <w:t xml:space="preserve">In relation to the APS, the APS Commission advises agencies to undertake police checks where a role requires the handling of public money, access to sensitive information or holding a position of trust, such as working with vulnerable people like children. Australian Public Service Commission, </w:t>
      </w:r>
      <w:r w:rsidRPr="00F3277F">
        <w:rPr>
          <w:i/>
        </w:rPr>
        <w:t>Conditions of Engagement</w:t>
      </w:r>
      <w:r>
        <w:t xml:space="preserve"> [website], (2021) </w:t>
      </w:r>
      <w:hyperlink r:id="rId39" w:history="1">
        <w:r w:rsidRPr="00AD7E19">
          <w:rPr>
            <w:rStyle w:val="Hyperlink"/>
          </w:rPr>
          <w:t>https://www.apsc.gov.au/working-aps/aps-employees-and-managers/guidance-and-information-recruitment/conditions-engagement</w:t>
        </w:r>
      </w:hyperlink>
      <w:r>
        <w:t>, accessed 5 September 2022.</w:t>
      </w:r>
    </w:p>
  </w:footnote>
  <w:footnote w:id="190">
    <w:p w14:paraId="7FC3355A" w14:textId="77777777" w:rsidR="00C02D25" w:rsidRDefault="00C02D25">
      <w:pPr>
        <w:pStyle w:val="FootnoteText"/>
      </w:pPr>
      <w:r>
        <w:rPr>
          <w:rStyle w:val="FootnoteReference"/>
        </w:rPr>
        <w:footnoteRef/>
      </w:r>
      <w:r>
        <w:t xml:space="preserve"> Finance, </w:t>
      </w:r>
      <w:r w:rsidRPr="0016672F">
        <w:rPr>
          <w:i/>
        </w:rPr>
        <w:t>Security Clearances for MoP(S) Act Employees</w:t>
      </w:r>
      <w:r>
        <w:t>.</w:t>
      </w:r>
    </w:p>
  </w:footnote>
  <w:footnote w:id="191">
    <w:p w14:paraId="7EE2C589" w14:textId="4CF7426E" w:rsidR="00C02D25" w:rsidRDefault="00C02D25">
      <w:pPr>
        <w:pStyle w:val="FootnoteText"/>
      </w:pPr>
      <w:r>
        <w:rPr>
          <w:rStyle w:val="FootnoteReference"/>
        </w:rPr>
        <w:footnoteRef/>
      </w:r>
      <w:r>
        <w:t xml:space="preserve"> Australian Government Security Vetting Agency, </w:t>
      </w:r>
      <w:r w:rsidRPr="00C316D8">
        <w:rPr>
          <w:i/>
        </w:rPr>
        <w:t>About Security Clearances - the vetting assessment</w:t>
      </w:r>
      <w:r>
        <w:t xml:space="preserve"> [website], (no date) </w:t>
      </w:r>
      <w:hyperlink r:id="rId40" w:anchor="eligibility" w:history="1">
        <w:r w:rsidRPr="0076733F">
          <w:rPr>
            <w:rStyle w:val="Hyperlink"/>
          </w:rPr>
          <w:t>https://www.defence.gov.au/security/clearances/about/vetting-assessment#eligibility</w:t>
        </w:r>
      </w:hyperlink>
      <w:r>
        <w:t>, accessed 27 September 2022.</w:t>
      </w:r>
    </w:p>
  </w:footnote>
  <w:footnote w:id="192">
    <w:p w14:paraId="5CC1251C" w14:textId="5D8AAE8D" w:rsidR="00C02D25" w:rsidRDefault="00C02D25" w:rsidP="00D76D54">
      <w:pPr>
        <w:pStyle w:val="FootnoteText"/>
      </w:pPr>
      <w:r>
        <w:rPr>
          <w:rStyle w:val="FootnoteReference"/>
        </w:rPr>
        <w:footnoteRef/>
      </w:r>
      <w:r>
        <w:t xml:space="preserve"> The </w:t>
      </w:r>
      <w:r w:rsidRPr="0016672F">
        <w:t>ACT Legislative Assembly</w:t>
      </w:r>
      <w:r>
        <w:t xml:space="preserve">, </w:t>
      </w:r>
      <w:r w:rsidRPr="0016672F">
        <w:t>NSW Parliament</w:t>
      </w:r>
      <w:r>
        <w:t xml:space="preserve">, and the </w:t>
      </w:r>
      <w:r w:rsidRPr="0016672F">
        <w:t>WA Parliament</w:t>
      </w:r>
      <w:r>
        <w:t xml:space="preserve"> all require proof of Australian citizenship, permanent residency or naturalisation as a condition of ongoing engagement.</w:t>
      </w:r>
    </w:p>
  </w:footnote>
  <w:footnote w:id="193">
    <w:p w14:paraId="78B98540" w14:textId="77777777" w:rsidR="00C02D25" w:rsidRDefault="00C02D25" w:rsidP="00D76D54">
      <w:pPr>
        <w:pStyle w:val="FootnoteText"/>
      </w:pPr>
      <w:r>
        <w:rPr>
          <w:rStyle w:val="FootnoteReference"/>
        </w:rPr>
        <w:footnoteRef/>
      </w:r>
      <w:r>
        <w:t xml:space="preserve"> Australian Public Service Commission, </w:t>
      </w:r>
      <w:r w:rsidRPr="0016672F">
        <w:rPr>
          <w:i/>
        </w:rPr>
        <w:t>Citizenship in the APS</w:t>
      </w:r>
      <w:r>
        <w:rPr>
          <w:i/>
        </w:rPr>
        <w:t xml:space="preserve"> </w:t>
      </w:r>
      <w:r>
        <w:t xml:space="preserve">[website], (6 May 2021) </w:t>
      </w:r>
      <w:hyperlink r:id="rId41" w:history="1">
        <w:r w:rsidRPr="00AD7E19">
          <w:rPr>
            <w:rStyle w:val="Hyperlink"/>
          </w:rPr>
          <w:t>https://www.apsc.gov.au/working-aps/aps-employees-and-managers/guidance-and-information-recruitment/citizenship-aps</w:t>
        </w:r>
      </w:hyperlink>
      <w:r>
        <w:t>, accessed 26 August 2022.</w:t>
      </w:r>
    </w:p>
  </w:footnote>
  <w:footnote w:id="194">
    <w:p w14:paraId="0039DF8A" w14:textId="77777777" w:rsidR="00C02D25" w:rsidRDefault="00C02D25" w:rsidP="004F75BC">
      <w:pPr>
        <w:pStyle w:val="FootnoteText"/>
      </w:pPr>
      <w:r>
        <w:rPr>
          <w:rStyle w:val="FootnoteReference"/>
        </w:rPr>
        <w:footnoteRef/>
      </w:r>
      <w:r>
        <w:t xml:space="preserve"> </w:t>
      </w:r>
      <w:r w:rsidRPr="00DC63D3">
        <w:t>Enterprise Agreement</w:t>
      </w:r>
      <w:r>
        <w:t>, cl 8.</w:t>
      </w:r>
    </w:p>
  </w:footnote>
  <w:footnote w:id="195">
    <w:p w14:paraId="47416B34" w14:textId="1F9F3E12" w:rsidR="00C02D25" w:rsidRDefault="00C02D25">
      <w:pPr>
        <w:pStyle w:val="FootnoteText"/>
      </w:pPr>
      <w:r>
        <w:rPr>
          <w:rStyle w:val="FootnoteReference"/>
        </w:rPr>
        <w:footnoteRef/>
      </w:r>
      <w:r>
        <w:t xml:space="preserve"> Department of Finance, </w:t>
      </w:r>
      <w:r w:rsidRPr="00A85CEB">
        <w:rPr>
          <w:i/>
        </w:rPr>
        <w:t>Workplace Health Safety and Wellbeing Policy for Members of Parliament (Staff) Act 1984</w:t>
      </w:r>
      <w:r>
        <w:t xml:space="preserve"> [online document], (April 2022)</w:t>
      </w:r>
      <w:r w:rsidRPr="0016672F">
        <w:t xml:space="preserve"> </w:t>
      </w:r>
      <w:r>
        <w:t>section 2.3,</w:t>
      </w:r>
      <w:r w:rsidRPr="0016672F">
        <w:t xml:space="preserve"> </w:t>
      </w:r>
      <w:hyperlink r:id="rId42" w:history="1">
        <w:r w:rsidRPr="00AD7E19">
          <w:rPr>
            <w:rStyle w:val="Hyperlink"/>
          </w:rPr>
          <w:t>https://maps.finance.gov.au/sites/default/files/2022-04/Workplace%20Health%20Safety%20and%20Wellbeing%20Policy.pdf</w:t>
        </w:r>
      </w:hyperlink>
      <w:r>
        <w:t>, accessed 16 September 2022.</w:t>
      </w:r>
    </w:p>
  </w:footnote>
  <w:footnote w:id="196">
    <w:p w14:paraId="33BA7AF7" w14:textId="77777777" w:rsidR="00C02D25" w:rsidRDefault="00C02D25">
      <w:pPr>
        <w:pStyle w:val="FootnoteText"/>
      </w:pPr>
      <w:r>
        <w:rPr>
          <w:rStyle w:val="FootnoteReference"/>
        </w:rPr>
        <w:footnoteRef/>
      </w:r>
      <w:r>
        <w:t xml:space="preserve"> Ibid, Section 4.2.</w:t>
      </w:r>
    </w:p>
  </w:footnote>
  <w:footnote w:id="197">
    <w:p w14:paraId="140C2C20" w14:textId="77777777" w:rsidR="00C02D25" w:rsidRDefault="00C02D25">
      <w:pPr>
        <w:pStyle w:val="FootnoteText"/>
      </w:pPr>
      <w:r>
        <w:rPr>
          <w:rStyle w:val="FootnoteReference"/>
        </w:rPr>
        <w:footnoteRef/>
      </w:r>
      <w:r>
        <w:t xml:space="preserve"> </w:t>
      </w:r>
      <w:r w:rsidRPr="002F40BE">
        <w:rPr>
          <w:i/>
        </w:rPr>
        <w:t>Fair Work Act 2009</w:t>
      </w:r>
      <w:r w:rsidRPr="00676636">
        <w:rPr>
          <w:rStyle w:val="Hyperlink"/>
          <w:color w:val="auto"/>
          <w:u w:val="none"/>
        </w:rPr>
        <w:t xml:space="preserve"> (Cth) (FW Act)</w:t>
      </w:r>
      <w:r>
        <w:t>, s 66B.</w:t>
      </w:r>
    </w:p>
  </w:footnote>
  <w:footnote w:id="198">
    <w:p w14:paraId="32058BA9" w14:textId="77777777" w:rsidR="00C02D25" w:rsidRDefault="00C02D25">
      <w:pPr>
        <w:pStyle w:val="FootnoteText"/>
      </w:pPr>
      <w:r>
        <w:rPr>
          <w:rStyle w:val="FootnoteReference"/>
        </w:rPr>
        <w:footnoteRef/>
      </w:r>
      <w:r>
        <w:t xml:space="preserve"> Ibid, s 66C.</w:t>
      </w:r>
    </w:p>
  </w:footnote>
  <w:footnote w:id="199">
    <w:p w14:paraId="19CBA98A" w14:textId="3ABFE2F8" w:rsidR="00C02D25" w:rsidRDefault="00C02D25" w:rsidP="005A6FD0">
      <w:pPr>
        <w:pStyle w:val="FootnoteText"/>
      </w:pPr>
      <w:r>
        <w:rPr>
          <w:rStyle w:val="FootnoteReference"/>
        </w:rPr>
        <w:footnoteRef/>
      </w:r>
      <w:r>
        <w:t xml:space="preserve"> </w:t>
      </w:r>
      <w:r>
        <w:rPr>
          <w:i/>
        </w:rPr>
        <w:t xml:space="preserve">Submission 34, </w:t>
      </w:r>
      <w:r w:rsidRPr="00D45965">
        <w:t>2</w:t>
      </w:r>
      <w:r>
        <w:rPr>
          <w:i/>
        </w:rPr>
        <w:t>.</w:t>
      </w:r>
    </w:p>
  </w:footnote>
  <w:footnote w:id="200">
    <w:p w14:paraId="3533D020" w14:textId="14E28200" w:rsidR="00C02D25" w:rsidRDefault="00C02D25" w:rsidP="005A6FD0">
      <w:pPr>
        <w:pStyle w:val="FootnoteText"/>
      </w:pPr>
      <w:r>
        <w:rPr>
          <w:rStyle w:val="FootnoteReference"/>
        </w:rPr>
        <w:footnoteRef/>
      </w:r>
      <w:r>
        <w:t xml:space="preserve"> </w:t>
      </w:r>
      <w:r w:rsidRPr="004B5E82">
        <w:rPr>
          <w:i/>
        </w:rPr>
        <w:t>Submission 30</w:t>
      </w:r>
      <w:r>
        <w:rPr>
          <w:i/>
        </w:rPr>
        <w:t xml:space="preserve">, </w:t>
      </w:r>
      <w:r>
        <w:t xml:space="preserve">3; </w:t>
      </w:r>
      <w:r w:rsidRPr="004B5E82">
        <w:rPr>
          <w:i/>
        </w:rPr>
        <w:t>Submission 5</w:t>
      </w:r>
      <w:r>
        <w:t xml:space="preserve">. </w:t>
      </w:r>
    </w:p>
  </w:footnote>
  <w:footnote w:id="201">
    <w:p w14:paraId="1FC42FEC" w14:textId="49CC099D" w:rsidR="00C02D25" w:rsidRDefault="00C02D25" w:rsidP="005A6FD0">
      <w:pPr>
        <w:pStyle w:val="FootnoteText"/>
      </w:pPr>
      <w:r>
        <w:rPr>
          <w:rStyle w:val="FootnoteReference"/>
        </w:rPr>
        <w:footnoteRef/>
      </w:r>
      <w:r>
        <w:t xml:space="preserve"> </w:t>
      </w:r>
      <w:r w:rsidRPr="004B5E82">
        <w:rPr>
          <w:i/>
        </w:rPr>
        <w:t>Submission 30</w:t>
      </w:r>
      <w:r>
        <w:rPr>
          <w:i/>
        </w:rPr>
        <w:t xml:space="preserve">, </w:t>
      </w:r>
      <w:r>
        <w:t>3;</w:t>
      </w:r>
      <w:r w:rsidRPr="00BC6AC5">
        <w:t xml:space="preserve"> </w:t>
      </w:r>
      <w:r w:rsidRPr="004B5E82">
        <w:rPr>
          <w:i/>
        </w:rPr>
        <w:t>Submission 5</w:t>
      </w:r>
      <w:r>
        <w:t>.</w:t>
      </w:r>
    </w:p>
  </w:footnote>
  <w:footnote w:id="202">
    <w:p w14:paraId="446F3179" w14:textId="77777777" w:rsidR="00C02D25" w:rsidRDefault="00C02D25" w:rsidP="005A6FD0">
      <w:pPr>
        <w:pStyle w:val="FootnoteText"/>
      </w:pPr>
      <w:r>
        <w:rPr>
          <w:rStyle w:val="FootnoteReference"/>
        </w:rPr>
        <w:footnoteRef/>
      </w:r>
      <w:r>
        <w:t xml:space="preserve"> </w:t>
      </w:r>
      <w:r w:rsidRPr="00DE117B">
        <w:rPr>
          <w:i/>
        </w:rPr>
        <w:t>Submission</w:t>
      </w:r>
      <w:r>
        <w:t xml:space="preserve"> </w:t>
      </w:r>
      <w:r w:rsidRPr="00E6483D">
        <w:rPr>
          <w:i/>
        </w:rPr>
        <w:t>27</w:t>
      </w:r>
      <w:r>
        <w:t>.</w:t>
      </w:r>
    </w:p>
  </w:footnote>
  <w:footnote w:id="203">
    <w:p w14:paraId="78C9C665" w14:textId="6FD193E2" w:rsidR="00C02D25" w:rsidRDefault="00C02D25" w:rsidP="005A6FD0">
      <w:pPr>
        <w:pStyle w:val="FootnoteText"/>
      </w:pPr>
      <w:r>
        <w:rPr>
          <w:rStyle w:val="FootnoteReference"/>
        </w:rPr>
        <w:footnoteRef/>
      </w:r>
      <w:r>
        <w:t xml:space="preserve"> </w:t>
      </w:r>
      <w:r w:rsidRPr="00A72129">
        <w:rPr>
          <w:i/>
        </w:rPr>
        <w:t>Submission 34</w:t>
      </w:r>
      <w:r>
        <w:rPr>
          <w:i/>
        </w:rPr>
        <w:t xml:space="preserve">, </w:t>
      </w:r>
      <w:r>
        <w:t>2.</w:t>
      </w:r>
    </w:p>
  </w:footnote>
  <w:footnote w:id="204">
    <w:p w14:paraId="6FCD0FEB" w14:textId="0DF2D974" w:rsidR="00C02D25" w:rsidRDefault="00C02D25" w:rsidP="00DA0F0A">
      <w:pPr>
        <w:pStyle w:val="FootnoteText"/>
      </w:pPr>
      <w:r>
        <w:rPr>
          <w:rStyle w:val="FootnoteReference"/>
        </w:rPr>
        <w:footnoteRef/>
      </w:r>
      <w:r>
        <w:t xml:space="preserve"> Deidre McKeown and Michael Sloane, </w:t>
      </w:r>
      <w:r w:rsidRPr="00D86B35">
        <w:rPr>
          <w:i/>
        </w:rPr>
        <w:t>Parliamentary codes of conduct: a review of recent developments</w:t>
      </w:r>
      <w:r>
        <w:t xml:space="preserve"> (Research Paper Series, 2021-22, Parliamentary Library, Parliament of Australia, 30 March 2022), 5, </w:t>
      </w:r>
      <w:hyperlink r:id="rId43" w:history="1">
        <w:r w:rsidRPr="00AD7E19">
          <w:rPr>
            <w:rStyle w:val="Hyperlink"/>
          </w:rPr>
          <w:t>https://www.aph.gov.au/About_Parliament/Parliamentary_Departments/Parliamentary_Library/pubs/rp/rp2122/ParliamentaryCodesConduct</w:t>
        </w:r>
      </w:hyperlink>
      <w:r>
        <w:t xml:space="preserve">, </w:t>
      </w:r>
      <w:r w:rsidRPr="00017B93">
        <w:t>accessed 26 September 2022</w:t>
      </w:r>
      <w:r>
        <w:t>.</w:t>
      </w:r>
    </w:p>
  </w:footnote>
  <w:footnote w:id="205">
    <w:p w14:paraId="28E894B2" w14:textId="77777777" w:rsidR="00C02D25" w:rsidRDefault="00C02D25">
      <w:pPr>
        <w:pStyle w:val="FootnoteText"/>
      </w:pPr>
      <w:r>
        <w:rPr>
          <w:rStyle w:val="FootnoteReference"/>
        </w:rPr>
        <w:footnoteRef/>
      </w:r>
      <w:r>
        <w:t xml:space="preserve"> Ibid, 8.</w:t>
      </w:r>
    </w:p>
  </w:footnote>
  <w:footnote w:id="206">
    <w:p w14:paraId="7D9D40E9" w14:textId="3D5BFF6D" w:rsidR="00C02D25" w:rsidRDefault="00C02D25" w:rsidP="00CE4C54">
      <w:pPr>
        <w:pStyle w:val="FootnoteText"/>
      </w:pPr>
      <w:r>
        <w:rPr>
          <w:rStyle w:val="FootnoteReference"/>
        </w:rPr>
        <w:footnoteRef/>
      </w:r>
      <w:r>
        <w:t xml:space="preserve"> Australian Government, </w:t>
      </w:r>
      <w:r w:rsidRPr="00A72129">
        <w:rPr>
          <w:i/>
        </w:rPr>
        <w:t>Code of Conduct for Ministers</w:t>
      </w:r>
      <w:r>
        <w:t xml:space="preserve"> [online document], (June 2022) </w:t>
      </w:r>
      <w:hyperlink r:id="rId44" w:history="1">
        <w:r w:rsidRPr="00FC780A">
          <w:rPr>
            <w:rStyle w:val="Hyperlink"/>
          </w:rPr>
          <w:t>https://www.pmc.gov.au/</w:t>
        </w:r>
        <w:r w:rsidRPr="00D53F28">
          <w:rPr>
            <w:rStyle w:val="Hyperlink"/>
          </w:rPr>
          <w:br/>
        </w:r>
        <w:r w:rsidRPr="00FC780A">
          <w:rPr>
            <w:rStyle w:val="Hyperlink"/>
          </w:rPr>
          <w:t>sites/default/files/publications/code-of-conduct-for-ministers.pdf</w:t>
        </w:r>
      </w:hyperlink>
      <w:r>
        <w:t>, accessed 21 September 2022, 4</w:t>
      </w:r>
      <w:r w:rsidRPr="00A72129">
        <w:t>.</w:t>
      </w:r>
    </w:p>
  </w:footnote>
  <w:footnote w:id="207">
    <w:p w14:paraId="14D01918" w14:textId="77777777" w:rsidR="00C02D25" w:rsidRDefault="00C02D25" w:rsidP="00CE4C54">
      <w:pPr>
        <w:pStyle w:val="FootnoteText"/>
      </w:pPr>
      <w:r>
        <w:rPr>
          <w:rStyle w:val="FootnoteReference"/>
        </w:rPr>
        <w:footnoteRef/>
      </w:r>
      <w:r>
        <w:t xml:space="preserve"> Special Minister of State, </w:t>
      </w:r>
      <w:r w:rsidRPr="00A72129">
        <w:rPr>
          <w:i/>
        </w:rPr>
        <w:t>Ministerial Staff Code of Conduct</w:t>
      </w:r>
      <w:r>
        <w:t xml:space="preserve"> [online document], (no date) </w:t>
      </w:r>
      <w:hyperlink r:id="rId45" w:history="1">
        <w:r w:rsidRPr="00FC780A">
          <w:rPr>
            <w:rStyle w:val="Hyperlink"/>
          </w:rPr>
          <w:t>https://www.smos.gov.au/ministerial-staff-code-conduct</w:t>
        </w:r>
      </w:hyperlink>
      <w:r>
        <w:t>, accessed 21 September 2022.</w:t>
      </w:r>
    </w:p>
  </w:footnote>
  <w:footnote w:id="208">
    <w:p w14:paraId="0E5F574F" w14:textId="3DB6552F" w:rsidR="00C02D25" w:rsidRDefault="00C02D25" w:rsidP="00CE4C54">
      <w:pPr>
        <w:pStyle w:val="FootnoteText"/>
      </w:pPr>
      <w:r>
        <w:rPr>
          <w:rStyle w:val="FootnoteReference"/>
        </w:rPr>
        <w:footnoteRef/>
      </w:r>
      <w:r>
        <w:t xml:space="preserve"> South Australia: </w:t>
      </w:r>
      <w:r w:rsidRPr="004B5E82">
        <w:rPr>
          <w:i/>
        </w:rPr>
        <w:t>Public Sector Act 2009</w:t>
      </w:r>
      <w:r>
        <w:rPr>
          <w:i/>
        </w:rPr>
        <w:t xml:space="preserve"> </w:t>
      </w:r>
      <w:r>
        <w:t xml:space="preserve">(SA) </w:t>
      </w:r>
      <w:r w:rsidRPr="00017B93">
        <w:t>(Part 3</w:t>
      </w:r>
      <w:r>
        <w:t xml:space="preserve">); Victoria: </w:t>
      </w:r>
      <w:r w:rsidRPr="004B5E82">
        <w:rPr>
          <w:i/>
        </w:rPr>
        <w:t>Public Administration Act 2004</w:t>
      </w:r>
      <w:r>
        <w:rPr>
          <w:i/>
        </w:rPr>
        <w:t xml:space="preserve"> </w:t>
      </w:r>
      <w:r>
        <w:t xml:space="preserve">(Vic) </w:t>
      </w:r>
      <w:r w:rsidRPr="00017B93">
        <w:t>(</w:t>
      </w:r>
      <w:r>
        <w:t>Pt</w:t>
      </w:r>
      <w:r w:rsidRPr="00017B93">
        <w:t xml:space="preserve"> 2)</w:t>
      </w:r>
      <w:r>
        <w:t xml:space="preserve">; Western Australia: </w:t>
      </w:r>
      <w:r w:rsidRPr="004B5E82">
        <w:rPr>
          <w:i/>
        </w:rPr>
        <w:t>Public Sector Management Act 1994</w:t>
      </w:r>
      <w:r>
        <w:rPr>
          <w:i/>
        </w:rPr>
        <w:t xml:space="preserve"> </w:t>
      </w:r>
      <w:r w:rsidRPr="004B5E82">
        <w:t>(WA</w:t>
      </w:r>
      <w:r>
        <w:t xml:space="preserve">) </w:t>
      </w:r>
      <w:r w:rsidRPr="00017B93">
        <w:t>(</w:t>
      </w:r>
      <w:r>
        <w:t>Pt</w:t>
      </w:r>
      <w:r w:rsidRPr="00017B93">
        <w:t xml:space="preserve"> 2)</w:t>
      </w:r>
      <w:r>
        <w:t>.</w:t>
      </w:r>
    </w:p>
  </w:footnote>
  <w:footnote w:id="209">
    <w:p w14:paraId="7AA51DE7" w14:textId="5164770F" w:rsidR="00C02D25" w:rsidRPr="009D07C7" w:rsidRDefault="00C02D25" w:rsidP="00CE4C54">
      <w:pPr>
        <w:pStyle w:val="FootnoteText"/>
      </w:pPr>
      <w:r>
        <w:rPr>
          <w:rStyle w:val="FootnoteReference"/>
        </w:rPr>
        <w:footnoteRef/>
      </w:r>
      <w:r>
        <w:t xml:space="preserve"> Queensland’s </w:t>
      </w:r>
      <w:r>
        <w:rPr>
          <w:i/>
        </w:rPr>
        <w:t xml:space="preserve">Ministerial and other Office Holder Staff Act 2010 </w:t>
      </w:r>
      <w:r w:rsidRPr="004B5E82">
        <w:t>(</w:t>
      </w:r>
      <w:r>
        <w:t>Qld</w:t>
      </w:r>
      <w:r w:rsidRPr="004B5E82">
        <w:t>)</w:t>
      </w:r>
      <w:r>
        <w:rPr>
          <w:i/>
        </w:rPr>
        <w:t xml:space="preserve"> </w:t>
      </w:r>
      <w:r w:rsidRPr="004B5E82">
        <w:t>(</w:t>
      </w:r>
      <w:r>
        <w:t>Pt</w:t>
      </w:r>
      <w:r w:rsidRPr="004B5E82">
        <w:t xml:space="preserve"> 3 Div 2)</w:t>
      </w:r>
      <w:r>
        <w:rPr>
          <w:i/>
        </w:rPr>
        <w:t xml:space="preserve"> </w:t>
      </w:r>
      <w:r>
        <w:t>is an exception. It</w:t>
      </w:r>
      <w:r>
        <w:rPr>
          <w:i/>
        </w:rPr>
        <w:t xml:space="preserve"> </w:t>
      </w:r>
      <w:r>
        <w:t xml:space="preserve">applies principles to particular parliamentary staff (ministers and office holders). s18 provides that these principles and values are intended to guide staff members in their work performance and personal conduct and are not of themselves legally enforceable. </w:t>
      </w:r>
    </w:p>
  </w:footnote>
  <w:footnote w:id="210">
    <w:p w14:paraId="2B792D91" w14:textId="15BDEE6F" w:rsidR="00C02D25" w:rsidRPr="001D5A39" w:rsidRDefault="00C02D25" w:rsidP="00030FF1">
      <w:pPr>
        <w:pStyle w:val="FootnoteText"/>
        <w:rPr>
          <w:i/>
        </w:rPr>
      </w:pPr>
      <w:r>
        <w:rPr>
          <w:rStyle w:val="FootnoteReference"/>
        </w:rPr>
        <w:footnoteRef/>
      </w:r>
      <w:r>
        <w:t xml:space="preserve"> ss 10, 10A and 13 respectively in the PS Act</w:t>
      </w:r>
      <w:r w:rsidRPr="004B5E82">
        <w:t xml:space="preserve"> </w:t>
      </w:r>
      <w:r>
        <w:t xml:space="preserve">and </w:t>
      </w:r>
      <w:r>
        <w:rPr>
          <w:i/>
        </w:rPr>
        <w:t xml:space="preserve">Parliamentary Service Act 1999 </w:t>
      </w:r>
      <w:r w:rsidRPr="004B5E82">
        <w:t>(Cth).</w:t>
      </w:r>
    </w:p>
  </w:footnote>
  <w:footnote w:id="211">
    <w:p w14:paraId="62D5D6E2" w14:textId="77777777" w:rsidR="00C02D25" w:rsidRDefault="00C02D25" w:rsidP="00030FF1">
      <w:pPr>
        <w:pStyle w:val="FootnoteText"/>
      </w:pPr>
      <w:r>
        <w:rPr>
          <w:rStyle w:val="FootnoteReference"/>
        </w:rPr>
        <w:footnoteRef/>
      </w:r>
      <w:r>
        <w:t xml:space="preserve"> Australian Public Service Commission, </w:t>
      </w:r>
      <w:r>
        <w:rPr>
          <w:i/>
        </w:rPr>
        <w:t>APS Values, Code of Conduct and Employment Principles</w:t>
      </w:r>
      <w:r>
        <w:t xml:space="preserve"> [website], (13 December 2021) </w:t>
      </w:r>
      <w:hyperlink r:id="rId46" w:history="1">
        <w:r w:rsidRPr="00FC780A">
          <w:rPr>
            <w:rStyle w:val="Hyperlink"/>
          </w:rPr>
          <w:t>https://www.apsc.gov.au/working-aps/integrity/integrity-resources/aps-values-code-conduct-and-employment-principles</w:t>
        </w:r>
      </w:hyperlink>
      <w:r>
        <w:t>, accessed 22 September 2022.</w:t>
      </w:r>
    </w:p>
  </w:footnote>
  <w:footnote w:id="212">
    <w:p w14:paraId="40A199AF" w14:textId="77777777" w:rsidR="00C02D25" w:rsidRDefault="00C02D25" w:rsidP="00030FF1">
      <w:pPr>
        <w:pStyle w:val="FootnoteText"/>
      </w:pPr>
      <w:r>
        <w:rPr>
          <w:rStyle w:val="FootnoteReference"/>
        </w:rPr>
        <w:footnoteRef/>
      </w:r>
      <w:r>
        <w:t xml:space="preserve"> Ibid.</w:t>
      </w:r>
    </w:p>
  </w:footnote>
  <w:footnote w:id="213">
    <w:p w14:paraId="1291928A" w14:textId="41E71637" w:rsidR="00C02D25" w:rsidRDefault="00C02D25" w:rsidP="00CE4C54">
      <w:pPr>
        <w:pStyle w:val="FootnoteText"/>
      </w:pPr>
      <w:r>
        <w:rPr>
          <w:rStyle w:val="FootnoteReference"/>
        </w:rPr>
        <w:footnoteRef/>
      </w:r>
      <w:r>
        <w:t xml:space="preserve"> </w:t>
      </w:r>
      <w:r w:rsidRPr="00EF4883">
        <w:t>PS Act</w:t>
      </w:r>
      <w:r>
        <w:rPr>
          <w:i/>
        </w:rPr>
        <w:t xml:space="preserve">, </w:t>
      </w:r>
      <w:r>
        <w:t xml:space="preserve">s 10A; </w:t>
      </w:r>
      <w:r>
        <w:rPr>
          <w:i/>
        </w:rPr>
        <w:t>Parliamentary Service Act</w:t>
      </w:r>
      <w:r>
        <w:t xml:space="preserve">, </w:t>
      </w:r>
      <w:r w:rsidRPr="004B5E82">
        <w:t>s</w:t>
      </w:r>
      <w:r>
        <w:t xml:space="preserve"> </w:t>
      </w:r>
      <w:r w:rsidRPr="004B5E82">
        <w:t>10A</w:t>
      </w:r>
      <w:r>
        <w:rPr>
          <w:i/>
        </w:rPr>
        <w:t>.</w:t>
      </w:r>
    </w:p>
  </w:footnote>
  <w:footnote w:id="214">
    <w:p w14:paraId="75AF61F1" w14:textId="77777777" w:rsidR="00C02D25" w:rsidRDefault="00C02D25" w:rsidP="00494534">
      <w:pPr>
        <w:pStyle w:val="FootnoteText"/>
      </w:pPr>
      <w:r>
        <w:rPr>
          <w:rStyle w:val="FootnoteReference"/>
        </w:rPr>
        <w:footnoteRef/>
      </w:r>
      <w:r>
        <w:t xml:space="preserve"> AHRC, </w:t>
      </w:r>
      <w:r w:rsidRPr="00142173">
        <w:rPr>
          <w:i/>
        </w:rPr>
        <w:t>Set the Standard</w:t>
      </w:r>
      <w:r>
        <w:t>, 193.</w:t>
      </w:r>
    </w:p>
  </w:footnote>
  <w:footnote w:id="215">
    <w:p w14:paraId="644D4206" w14:textId="7A884D4A" w:rsidR="00C02D25" w:rsidRDefault="00C02D25" w:rsidP="00A601F9">
      <w:pPr>
        <w:pStyle w:val="FootnoteText"/>
      </w:pPr>
      <w:r>
        <w:rPr>
          <w:rStyle w:val="FootnoteReference"/>
        </w:rPr>
        <w:footnoteRef/>
      </w:r>
      <w:r>
        <w:t xml:space="preserve"> Ibid, 87: ‘</w:t>
      </w:r>
      <w:r w:rsidRPr="00372DD0">
        <w:t>a key concern raised by participants was that people who engaged in misconduct in these workplaces – particularly, but not exclusively, those in senior or ‘high-value roles</w:t>
      </w:r>
      <w:r>
        <w:t>’</w:t>
      </w:r>
      <w:r w:rsidRPr="00372DD0">
        <w:t xml:space="preserve"> – were rewarded for, or in spite of, engaging in misconduct</w:t>
      </w:r>
      <w:r>
        <w:t>’.</w:t>
      </w:r>
    </w:p>
  </w:footnote>
  <w:footnote w:id="216">
    <w:p w14:paraId="02EADA8B" w14:textId="77777777" w:rsidR="00C02D25" w:rsidRPr="00983325" w:rsidRDefault="00C02D25">
      <w:pPr>
        <w:pStyle w:val="FootnoteText"/>
      </w:pPr>
      <w:r>
        <w:rPr>
          <w:rStyle w:val="FootnoteReference"/>
        </w:rPr>
        <w:footnoteRef/>
      </w:r>
      <w:r>
        <w:t xml:space="preserve"> Ibid, section 4.2.</w:t>
      </w:r>
    </w:p>
  </w:footnote>
  <w:footnote w:id="217">
    <w:p w14:paraId="06CEAB5D" w14:textId="77777777" w:rsidR="00C02D25" w:rsidRPr="00854A2C" w:rsidRDefault="00C02D25">
      <w:pPr>
        <w:pStyle w:val="FootnoteText"/>
        <w:rPr>
          <w:i/>
        </w:rPr>
      </w:pPr>
      <w:r>
        <w:rPr>
          <w:rStyle w:val="FootnoteReference"/>
        </w:rPr>
        <w:footnoteRef/>
      </w:r>
      <w:r>
        <w:t xml:space="preserve"> </w:t>
      </w:r>
      <w:r w:rsidRPr="00A72129">
        <w:t>Ibid</w:t>
      </w:r>
      <w:r>
        <w:rPr>
          <w:i/>
        </w:rPr>
        <w:t>,</w:t>
      </w:r>
      <w:r>
        <w:t xml:space="preserve"> 214</w:t>
      </w:r>
      <w:r w:rsidRPr="00A72129">
        <w:t xml:space="preserve">, </w:t>
      </w:r>
      <w:r>
        <w:t>(</w:t>
      </w:r>
      <w:r w:rsidRPr="00A72129">
        <w:t>Recommendation 14</w:t>
      </w:r>
      <w:r>
        <w:t>).</w:t>
      </w:r>
    </w:p>
  </w:footnote>
  <w:footnote w:id="218">
    <w:p w14:paraId="4190D05A" w14:textId="4090AFA0" w:rsidR="00C02D25" w:rsidRPr="00854A2C" w:rsidRDefault="00C02D25">
      <w:pPr>
        <w:pStyle w:val="FootnoteText"/>
      </w:pPr>
      <w:r>
        <w:rPr>
          <w:rStyle w:val="FootnoteReference"/>
        </w:rPr>
        <w:footnoteRef/>
      </w:r>
      <w:r>
        <w:t xml:space="preserve"> </w:t>
      </w:r>
      <w:r w:rsidRPr="00A72129">
        <w:t>Ibid</w:t>
      </w:r>
      <w:r>
        <w:t>, 214</w:t>
      </w:r>
      <w:r>
        <w:rPr>
          <w:i/>
        </w:rPr>
        <w:t xml:space="preserve"> </w:t>
      </w:r>
      <w:r>
        <w:t>(Recommendations 12, 13, and 14).</w:t>
      </w:r>
    </w:p>
  </w:footnote>
  <w:footnote w:id="219">
    <w:p w14:paraId="6B95D4B1" w14:textId="09BC1722" w:rsidR="00C02D25" w:rsidRDefault="00C02D25">
      <w:pPr>
        <w:pStyle w:val="FootnoteText"/>
      </w:pPr>
      <w:r>
        <w:rPr>
          <w:rStyle w:val="FootnoteReference"/>
        </w:rPr>
        <w:footnoteRef/>
      </w:r>
      <w:r>
        <w:t xml:space="preserve"> Ibid, 232.</w:t>
      </w:r>
    </w:p>
  </w:footnote>
  <w:footnote w:id="220">
    <w:p w14:paraId="6E0D6A35" w14:textId="77777777" w:rsidR="00C02D25" w:rsidRPr="00F57019" w:rsidRDefault="00C02D25">
      <w:pPr>
        <w:pStyle w:val="FootnoteText"/>
      </w:pPr>
      <w:r>
        <w:rPr>
          <w:rStyle w:val="FootnoteReference"/>
        </w:rPr>
        <w:footnoteRef/>
      </w:r>
      <w:r>
        <w:t xml:space="preserve"> AHRC, </w:t>
      </w:r>
      <w:r>
        <w:rPr>
          <w:i/>
        </w:rPr>
        <w:t>Set the Standard</w:t>
      </w:r>
      <w:r>
        <w:t>, 252</w:t>
      </w:r>
      <w:r>
        <w:rPr>
          <w:i/>
        </w:rPr>
        <w:t xml:space="preserve"> </w:t>
      </w:r>
      <w:r w:rsidRPr="00A72129">
        <w:t>(</w:t>
      </w:r>
      <w:r>
        <w:t>Recommendation 21).</w:t>
      </w:r>
    </w:p>
  </w:footnote>
  <w:footnote w:id="221">
    <w:p w14:paraId="13B06047" w14:textId="7749DE97" w:rsidR="00C02D25" w:rsidRDefault="00C02D25">
      <w:pPr>
        <w:pStyle w:val="FootnoteText"/>
      </w:pPr>
      <w:r w:rsidRPr="00DB3C93">
        <w:rPr>
          <w:rStyle w:val="FootnoteReference"/>
        </w:rPr>
        <w:footnoteRef/>
      </w:r>
      <w:r w:rsidRPr="00DB3C93">
        <w:t xml:space="preserve"> </w:t>
      </w:r>
      <w:r>
        <w:t>Parliament of Australia,</w:t>
      </w:r>
      <w:r w:rsidRPr="00DB3C93">
        <w:t xml:space="preserve"> </w:t>
      </w:r>
      <w:r w:rsidRPr="00DB3C93">
        <w:rPr>
          <w:i/>
        </w:rPr>
        <w:t>Journals of the Senate</w:t>
      </w:r>
      <w:r>
        <w:rPr>
          <w:i/>
        </w:rPr>
        <w:t>,</w:t>
      </w:r>
      <w:r w:rsidRPr="00DB3C93">
        <w:rPr>
          <w:i/>
        </w:rPr>
        <w:t xml:space="preserve"> </w:t>
      </w:r>
      <w:r w:rsidRPr="00EF4883">
        <w:t>No. 2</w:t>
      </w:r>
      <w:r w:rsidRPr="00DB3C93">
        <w:t>, 27 July 2022, 100</w:t>
      </w:r>
      <w:r>
        <w:t>-</w:t>
      </w:r>
      <w:r w:rsidRPr="00DB3C93">
        <w:t>102.</w:t>
      </w:r>
    </w:p>
  </w:footnote>
  <w:footnote w:id="222">
    <w:p w14:paraId="706A425B" w14:textId="0D0E0C34" w:rsidR="00C02D25" w:rsidRDefault="00C02D25" w:rsidP="00A601F9">
      <w:pPr>
        <w:pStyle w:val="FootnoteText"/>
      </w:pPr>
      <w:r w:rsidRPr="00DB3C93">
        <w:rPr>
          <w:rStyle w:val="FootnoteReference"/>
        </w:rPr>
        <w:footnoteRef/>
      </w:r>
      <w:r w:rsidRPr="00DB3C93">
        <w:t xml:space="preserve"> Commonwealth, </w:t>
      </w:r>
      <w:r w:rsidRPr="00DB3C93">
        <w:rPr>
          <w:i/>
        </w:rPr>
        <w:t>Parliamentary Debates</w:t>
      </w:r>
      <w:r w:rsidRPr="00DB3C93">
        <w:t>, Senate, 7 February 1995, 610 (</w:t>
      </w:r>
      <w:r>
        <w:t xml:space="preserve">Senator </w:t>
      </w:r>
      <w:r w:rsidRPr="00DB3C93">
        <w:t>Bob McMullan).</w:t>
      </w:r>
    </w:p>
  </w:footnote>
  <w:footnote w:id="223">
    <w:p w14:paraId="37809099" w14:textId="6F14D400" w:rsidR="00C02D25" w:rsidRDefault="00C02D25">
      <w:pPr>
        <w:pStyle w:val="FootnoteText"/>
      </w:pPr>
      <w:r>
        <w:rPr>
          <w:rStyle w:val="FootnoteReference"/>
        </w:rPr>
        <w:footnoteRef/>
      </w:r>
      <w:r>
        <w:t xml:space="preserve"> David Thodey and Department of the Prime Minister and Cabinet, </w:t>
      </w:r>
      <w:r w:rsidRPr="005F30F7">
        <w:rPr>
          <w:i/>
        </w:rPr>
        <w:t>Our Public Service, Our Future,</w:t>
      </w:r>
      <w:r>
        <w:t xml:space="preserve"> </w:t>
      </w:r>
      <w:r>
        <w:rPr>
          <w:i/>
        </w:rPr>
        <w:t xml:space="preserve">Independent Review of the Australian Public Service </w:t>
      </w:r>
      <w:r>
        <w:t>(2019)</w:t>
      </w:r>
      <w:r w:rsidRPr="005F30F7">
        <w:t xml:space="preserve"> </w:t>
      </w:r>
      <w:r>
        <w:t xml:space="preserve">134, </w:t>
      </w:r>
      <w:hyperlink r:id="rId47" w:history="1">
        <w:r w:rsidRPr="00AD7E19">
          <w:rPr>
            <w:rStyle w:val="Hyperlink"/>
          </w:rPr>
          <w:t>https://www.pmc.gov.au/sites/default/files/publications/</w:t>
        </w:r>
        <w:r w:rsidRPr="00D53F28">
          <w:rPr>
            <w:rStyle w:val="Hyperlink"/>
          </w:rPr>
          <w:br/>
        </w:r>
        <w:r w:rsidRPr="00AD7E19">
          <w:rPr>
            <w:rStyle w:val="Hyperlink"/>
          </w:rPr>
          <w:t>independent-review-aps.pdf</w:t>
        </w:r>
      </w:hyperlink>
      <w:r>
        <w:t xml:space="preserve">, </w:t>
      </w:r>
      <w:r w:rsidRPr="00DB3C93">
        <w:t xml:space="preserve">accessed </w:t>
      </w:r>
      <w:r>
        <w:t>21 September 2022.</w:t>
      </w:r>
    </w:p>
  </w:footnote>
  <w:footnote w:id="224">
    <w:p w14:paraId="5A381B04" w14:textId="77777777" w:rsidR="00C02D25" w:rsidRDefault="00C02D25" w:rsidP="00703E23">
      <w:pPr>
        <w:pStyle w:val="FootnoteText"/>
      </w:pPr>
      <w:r>
        <w:rPr>
          <w:rStyle w:val="FootnoteReference"/>
        </w:rPr>
        <w:footnoteRef/>
      </w:r>
      <w:r>
        <w:t xml:space="preserve"> SMOS, </w:t>
      </w:r>
      <w:r w:rsidRPr="004F3104">
        <w:rPr>
          <w:i/>
        </w:rPr>
        <w:t>Ministerial Staff Code of Conduct</w:t>
      </w:r>
      <w:r w:rsidRPr="004F3104">
        <w:t xml:space="preserve">, </w:t>
      </w:r>
      <w:r>
        <w:t>paras 12 and 14.</w:t>
      </w:r>
    </w:p>
  </w:footnote>
  <w:footnote w:id="225">
    <w:p w14:paraId="357155B3" w14:textId="77777777" w:rsidR="00C02D25" w:rsidRDefault="00C02D25" w:rsidP="0062134C">
      <w:pPr>
        <w:pStyle w:val="FootnoteText"/>
      </w:pPr>
      <w:r>
        <w:rPr>
          <w:rStyle w:val="FootnoteReference"/>
        </w:rPr>
        <w:footnoteRef/>
      </w:r>
      <w:r>
        <w:t xml:space="preserve"> Senate FPA Committee,</w:t>
      </w:r>
      <w:r w:rsidRPr="001D23F5">
        <w:rPr>
          <w:i/>
        </w:rPr>
        <w:t xml:space="preserve"> </w:t>
      </w:r>
      <w:r>
        <w:rPr>
          <w:i/>
        </w:rPr>
        <w:t xml:space="preserve">Staff employed under the MoP(S) </w:t>
      </w:r>
      <w:r w:rsidRPr="007C78A2">
        <w:rPr>
          <w:i/>
        </w:rPr>
        <w:t>Act</w:t>
      </w:r>
      <w:r>
        <w:t>, 2.</w:t>
      </w:r>
    </w:p>
  </w:footnote>
  <w:footnote w:id="226">
    <w:p w14:paraId="57F1876C" w14:textId="77777777" w:rsidR="00C02D25" w:rsidRDefault="00C02D25">
      <w:pPr>
        <w:pStyle w:val="FootnoteText"/>
      </w:pPr>
      <w:r>
        <w:rPr>
          <w:rStyle w:val="FootnoteReference"/>
        </w:rPr>
        <w:footnoteRef/>
      </w:r>
      <w:r>
        <w:t xml:space="preserve"> Ibid, 19 (Recommendation 1).</w:t>
      </w:r>
    </w:p>
  </w:footnote>
  <w:footnote w:id="227">
    <w:p w14:paraId="67E51A71" w14:textId="77777777" w:rsidR="00C02D25" w:rsidRDefault="00C02D25" w:rsidP="00063EE0">
      <w:pPr>
        <w:pStyle w:val="FootnoteText"/>
      </w:pPr>
      <w:r>
        <w:rPr>
          <w:rStyle w:val="FootnoteReference"/>
        </w:rPr>
        <w:footnoteRef/>
      </w:r>
      <w:r>
        <w:t xml:space="preserve"> Ibid, 40 (Recommendation 2).</w:t>
      </w:r>
    </w:p>
  </w:footnote>
  <w:footnote w:id="228">
    <w:p w14:paraId="5B344395" w14:textId="77777777" w:rsidR="00C02D25" w:rsidRDefault="00C02D25">
      <w:pPr>
        <w:pStyle w:val="FootnoteText"/>
      </w:pPr>
      <w:r>
        <w:rPr>
          <w:rStyle w:val="FootnoteReference"/>
        </w:rPr>
        <w:footnoteRef/>
      </w:r>
      <w:r>
        <w:t xml:space="preserve"> Ibid, 42 (Recommendation 4).</w:t>
      </w:r>
    </w:p>
  </w:footnote>
  <w:footnote w:id="229">
    <w:p w14:paraId="247C5A41" w14:textId="141B56AB" w:rsidR="00C02D25" w:rsidRDefault="00C02D25">
      <w:pPr>
        <w:pStyle w:val="FootnoteText"/>
      </w:pPr>
      <w:r>
        <w:rPr>
          <w:rStyle w:val="FootnoteReference"/>
        </w:rPr>
        <w:footnoteRef/>
      </w:r>
      <w:r>
        <w:t xml:space="preserve"> </w:t>
      </w:r>
      <w:r w:rsidRPr="00672FA2">
        <w:t>The Senate is empowered to request any person to appear before parliamentary committees</w:t>
      </w:r>
      <w:r w:rsidRPr="00EF4883">
        <w:t>. Executive privilege, public interest immunity or constitutional convention cannot shield ministerial staff from appearing before a committee. Rather, the application of any privileges and immunities is assessed</w:t>
      </w:r>
      <w:r>
        <w:t xml:space="preserve"> on a case-by-case basis. See: Ian </w:t>
      </w:r>
      <w:r w:rsidRPr="00EF4883">
        <w:t xml:space="preserve">Holland, </w:t>
      </w:r>
      <w:r w:rsidRPr="00EF4883">
        <w:rPr>
          <w:i/>
        </w:rPr>
        <w:t>Accountability of Ministerial Staff?</w:t>
      </w:r>
      <w:r w:rsidRPr="00EF4883">
        <w:t xml:space="preserve"> (Research Paper No. 19, 2001-02, Parliamentary Library, Parliament of Australia, 18 June 2002) </w:t>
      </w:r>
      <w:hyperlink r:id="rId48" w:history="1">
        <w:r w:rsidRPr="0076733F">
          <w:rPr>
            <w:rStyle w:val="Hyperlink"/>
          </w:rPr>
          <w:t>https://www.aph.gov.au/About_Parliament/Parliamentary_Departments/Parliamentary_</w:t>
        </w:r>
        <w:r w:rsidRPr="00D53F28">
          <w:rPr>
            <w:rStyle w:val="Hyperlink"/>
          </w:rPr>
          <w:t>Libr</w:t>
        </w:r>
        <w:r w:rsidRPr="00D53F28">
          <w:rPr>
            <w:rStyle w:val="Hyperlink"/>
          </w:rPr>
          <w:br/>
          <w:t>ary</w:t>
        </w:r>
        <w:r w:rsidRPr="0076733F">
          <w:rPr>
            <w:rStyle w:val="Hyperlink"/>
          </w:rPr>
          <w:t>/pubs/rp/rp0102/02RP19</w:t>
        </w:r>
      </w:hyperlink>
      <w:r>
        <w:t xml:space="preserve">, accessed 23 September 2022; Yee-Fui </w:t>
      </w:r>
      <w:r w:rsidRPr="00EF4883">
        <w:t xml:space="preserve">Ng, </w:t>
      </w:r>
      <w:r>
        <w:t>Ministerial Advisers in the Australian System of Responsible Government, 123 and 125; John</w:t>
      </w:r>
      <w:r w:rsidRPr="00EF4883">
        <w:t xml:space="preserve"> McMillan, ‘Parliament and Administrative Law’ in </w:t>
      </w:r>
      <w:r>
        <w:t>Geoffrey</w:t>
      </w:r>
      <w:r w:rsidRPr="00EF4883">
        <w:t xml:space="preserve"> Lindell and </w:t>
      </w:r>
      <w:r>
        <w:t>Robert</w:t>
      </w:r>
      <w:r w:rsidRPr="00EF4883">
        <w:t xml:space="preserve"> Bennett (eds), </w:t>
      </w:r>
      <w:r>
        <w:t>Parliament: The Vision in Hindsight</w:t>
      </w:r>
      <w:r w:rsidRPr="00EF4883">
        <w:t xml:space="preserve"> (Annandale, NSW: F</w:t>
      </w:r>
      <w:r>
        <w:t>ederation Press, 2001) 369-372; Bret</w:t>
      </w:r>
      <w:r w:rsidRPr="00EF4883">
        <w:t xml:space="preserve"> Walker</w:t>
      </w:r>
      <w:r>
        <w:t> SC</w:t>
      </w:r>
      <w:r w:rsidRPr="00EF4883">
        <w:t>, Australian Senate Witnesses – Former Ministers and Ministerial Staff – Opinion to Senate Select Committee of a Certain Maritime Incident, Australian Senate, A Certain Maritime Incident (16 May 2002).</w:t>
      </w:r>
    </w:p>
  </w:footnote>
  <w:footnote w:id="230">
    <w:p w14:paraId="5D551934" w14:textId="77777777" w:rsidR="00C02D25" w:rsidRDefault="00C02D25">
      <w:pPr>
        <w:pStyle w:val="FootnoteText"/>
      </w:pPr>
      <w:r>
        <w:rPr>
          <w:rStyle w:val="FootnoteReference"/>
        </w:rPr>
        <w:footnoteRef/>
      </w:r>
      <w:r>
        <w:t xml:space="preserve"> </w:t>
      </w:r>
      <w:r w:rsidRPr="00197FD4">
        <w:rPr>
          <w:i/>
        </w:rPr>
        <w:t>Submission 42</w:t>
      </w:r>
      <w:r>
        <w:rPr>
          <w:i/>
        </w:rPr>
        <w:t xml:space="preserve"> </w:t>
      </w:r>
      <w:r>
        <w:t>from the Department of Finance raised the issue of empowering parliamentarians to impose sanctions for failure to meet terms and conditions. While a separate process is underway regarding codes of conduct, the Review has not considered sanctions in this context either.</w:t>
      </w:r>
    </w:p>
  </w:footnote>
  <w:footnote w:id="231">
    <w:p w14:paraId="14ED6AA2" w14:textId="430C74DE" w:rsidR="00C02D25" w:rsidRDefault="00C02D25" w:rsidP="00EE791A">
      <w:pPr>
        <w:pStyle w:val="FootnoteText"/>
      </w:pPr>
      <w:r>
        <w:rPr>
          <w:rStyle w:val="FootnoteReference"/>
        </w:rPr>
        <w:footnoteRef/>
      </w:r>
      <w:r>
        <w:t xml:space="preserve"> </w:t>
      </w:r>
      <w:r w:rsidRPr="000614BB">
        <w:rPr>
          <w:i/>
        </w:rPr>
        <w:t>Determination 2016/15</w:t>
      </w:r>
      <w:r>
        <w:t>.</w:t>
      </w:r>
    </w:p>
  </w:footnote>
  <w:footnote w:id="232">
    <w:p w14:paraId="43569145" w14:textId="77777777" w:rsidR="00C02D25" w:rsidRDefault="00C02D25" w:rsidP="001745BA">
      <w:pPr>
        <w:pStyle w:val="FootnoteText"/>
      </w:pPr>
      <w:r>
        <w:rPr>
          <w:rStyle w:val="FootnoteReference"/>
        </w:rPr>
        <w:footnoteRef/>
      </w:r>
      <w:r>
        <w:t xml:space="preserve"> </w:t>
      </w:r>
      <w:r w:rsidRPr="00A85CEB">
        <w:rPr>
          <w:i/>
        </w:rPr>
        <w:t>Submission 28</w:t>
      </w:r>
      <w:r>
        <w:t xml:space="preserve">. </w:t>
      </w:r>
    </w:p>
  </w:footnote>
  <w:footnote w:id="233">
    <w:p w14:paraId="6B0FDD4E" w14:textId="77777777" w:rsidR="00C02D25" w:rsidRDefault="00C02D25" w:rsidP="00EE791A">
      <w:pPr>
        <w:pStyle w:val="FootnoteText"/>
      </w:pPr>
      <w:r>
        <w:rPr>
          <w:rStyle w:val="FootnoteReference"/>
        </w:rPr>
        <w:footnoteRef/>
      </w:r>
      <w:r>
        <w:t xml:space="preserve"> Ibid.</w:t>
      </w:r>
    </w:p>
  </w:footnote>
  <w:footnote w:id="234">
    <w:p w14:paraId="5AA9DFFD" w14:textId="7B40D850" w:rsidR="00C02D25" w:rsidRDefault="00C02D25" w:rsidP="001745BA">
      <w:pPr>
        <w:pStyle w:val="FootnoteText"/>
      </w:pPr>
      <w:r>
        <w:rPr>
          <w:rStyle w:val="FootnoteReference"/>
        </w:rPr>
        <w:footnoteRef/>
      </w:r>
      <w:r>
        <w:t xml:space="preserve"> </w:t>
      </w:r>
      <w:r w:rsidRPr="00A85CEB">
        <w:rPr>
          <w:i/>
        </w:rPr>
        <w:t>Submission 10</w:t>
      </w:r>
      <w:r>
        <w:rPr>
          <w:i/>
        </w:rPr>
        <w:t>,</w:t>
      </w:r>
      <w:r w:rsidRPr="005E680E">
        <w:t xml:space="preserve"> 8</w:t>
      </w:r>
      <w:r>
        <w:t xml:space="preserve">; </w:t>
      </w:r>
      <w:r w:rsidRPr="00A85CEB">
        <w:rPr>
          <w:i/>
        </w:rPr>
        <w:t>Submission 29</w:t>
      </w:r>
      <w:r>
        <w:rPr>
          <w:i/>
        </w:rPr>
        <w:t xml:space="preserve">, </w:t>
      </w:r>
      <w:r w:rsidRPr="005E680E">
        <w:t>6</w:t>
      </w:r>
      <w:r>
        <w:t>.</w:t>
      </w:r>
    </w:p>
  </w:footnote>
  <w:footnote w:id="235">
    <w:p w14:paraId="4202C10E" w14:textId="36CD1790" w:rsidR="00C02D25" w:rsidRDefault="00C02D25" w:rsidP="001745BA">
      <w:pPr>
        <w:pStyle w:val="FootnoteText"/>
      </w:pPr>
      <w:r>
        <w:rPr>
          <w:rStyle w:val="FootnoteReference"/>
        </w:rPr>
        <w:footnoteRef/>
      </w:r>
      <w:r>
        <w:t xml:space="preserve"> The Ministerial Staff Code of Conduct requires ministerial staff to also comply with the Lobbying Code of Conduct, which prevents them from engaging in lobbying activities relating to any matter that they had official dealings with in their last 12 months of employment as ministerial staff. </w:t>
      </w:r>
    </w:p>
  </w:footnote>
  <w:footnote w:id="236">
    <w:p w14:paraId="7EB50F3F" w14:textId="77777777" w:rsidR="00C02D25" w:rsidRDefault="00C02D25" w:rsidP="001745BA">
      <w:pPr>
        <w:pStyle w:val="FootnoteText"/>
      </w:pPr>
      <w:r>
        <w:rPr>
          <w:rStyle w:val="FootnoteReference"/>
        </w:rPr>
        <w:footnoteRef/>
      </w:r>
      <w:r>
        <w:t xml:space="preserve"> </w:t>
      </w:r>
      <w:r w:rsidRPr="00197FD4">
        <w:rPr>
          <w:i/>
        </w:rPr>
        <w:t>Parliamentary Administration Act</w:t>
      </w:r>
      <w:r>
        <w:rPr>
          <w:i/>
        </w:rPr>
        <w:t xml:space="preserve"> 2005</w:t>
      </w:r>
      <w:r>
        <w:t xml:space="preserve"> (Vic), s 30(5).</w:t>
      </w:r>
    </w:p>
  </w:footnote>
  <w:footnote w:id="237">
    <w:p w14:paraId="0316E9F0" w14:textId="77777777" w:rsidR="00C02D25" w:rsidRDefault="00C02D25" w:rsidP="001745BA">
      <w:pPr>
        <w:pStyle w:val="FootnoteText"/>
      </w:pPr>
      <w:r>
        <w:rPr>
          <w:rStyle w:val="FootnoteReference"/>
        </w:rPr>
        <w:footnoteRef/>
      </w:r>
      <w:r>
        <w:t xml:space="preserve"> Ibid, s 30(6).</w:t>
      </w:r>
    </w:p>
  </w:footnote>
  <w:footnote w:id="238">
    <w:p w14:paraId="21194E04" w14:textId="3EB39983" w:rsidR="00C02D25" w:rsidRDefault="00C02D25" w:rsidP="001745BA">
      <w:pPr>
        <w:pStyle w:val="FootnoteText"/>
      </w:pPr>
      <w:r>
        <w:rPr>
          <w:rStyle w:val="FootnoteReference"/>
        </w:rPr>
        <w:footnoteRef/>
      </w:r>
      <w:r>
        <w:t xml:space="preserve"> Independent Broad Based Anti-Corruption Commission and Victorian </w:t>
      </w:r>
      <w:r w:rsidRPr="007A7C13">
        <w:t>Ombudsman,</w:t>
      </w:r>
      <w:r>
        <w:t xml:space="preserve"> </w:t>
      </w:r>
      <w:r w:rsidRPr="007A7C13">
        <w:rPr>
          <w:i/>
        </w:rPr>
        <w:t>Operation Watts: Investigation into allegations of misuse of electorate office and ministerial office staff and resources for branch stacking and other party-related activities</w:t>
      </w:r>
      <w:r>
        <w:t xml:space="preserve"> (</w:t>
      </w:r>
      <w:r w:rsidRPr="007A7C13">
        <w:t>July 2022</w:t>
      </w:r>
      <w:r>
        <w:t xml:space="preserve">) </w:t>
      </w:r>
      <w:r w:rsidRPr="007A7C13">
        <w:t>200</w:t>
      </w:r>
      <w:r>
        <w:t>,</w:t>
      </w:r>
      <w:r w:rsidRPr="007A7C13">
        <w:t xml:space="preserve"> </w:t>
      </w:r>
      <w:hyperlink r:id="rId49" w:history="1">
        <w:r w:rsidRPr="0048288D">
          <w:rPr>
            <w:rStyle w:val="Hyperlink"/>
          </w:rPr>
          <w:t>https://www.ibac.vic.gov.au/docs/default-source/special-reports/operation-watts-special-report---july-2022.pdf?sfvrsn=ae651f80_2</w:t>
        </w:r>
      </w:hyperlink>
      <w:r>
        <w:t>, accessed 28 September 2022, (</w:t>
      </w:r>
      <w:r w:rsidRPr="007A7C13">
        <w:t>Recommendation 7</w:t>
      </w:r>
      <w:r>
        <w:t>)</w:t>
      </w:r>
      <w:r w:rsidRPr="007A7C13">
        <w:t>.</w:t>
      </w:r>
    </w:p>
  </w:footnote>
  <w:footnote w:id="239">
    <w:p w14:paraId="62D2C146" w14:textId="77777777" w:rsidR="00C02D25" w:rsidRPr="00197FD4" w:rsidRDefault="00C02D25" w:rsidP="001745BA">
      <w:pPr>
        <w:pStyle w:val="FootnoteText"/>
        <w:rPr>
          <w:highlight w:val="yellow"/>
        </w:rPr>
      </w:pPr>
      <w:r w:rsidRPr="007A7C13">
        <w:rPr>
          <w:rStyle w:val="FootnoteReference"/>
        </w:rPr>
        <w:footnoteRef/>
      </w:r>
      <w:r w:rsidRPr="007A7C13">
        <w:t xml:space="preserve"> </w:t>
      </w:r>
      <w:r>
        <w:t xml:space="preserve">Government of South Australia, </w:t>
      </w:r>
      <w:r>
        <w:rPr>
          <w:i/>
        </w:rPr>
        <w:t xml:space="preserve">Ministerial Code of Conduct </w:t>
      </w:r>
      <w:r>
        <w:t xml:space="preserve">[online document] (no date) </w:t>
      </w:r>
      <w:hyperlink r:id="rId50" w:history="1">
        <w:r w:rsidRPr="007A7C13">
          <w:rPr>
            <w:rStyle w:val="Hyperlink"/>
          </w:rPr>
          <w:t>https://www.dpc.sa.gov.au/responsibilities/cabinet-and-executive-council/resources-and-publications/Ministerial-Code-of-Conduct.pdf</w:t>
        </w:r>
      </w:hyperlink>
      <w:r>
        <w:t>, accessed 19 September 2022.</w:t>
      </w:r>
    </w:p>
  </w:footnote>
  <w:footnote w:id="240">
    <w:p w14:paraId="4A4D98C2" w14:textId="77777777" w:rsidR="00C02D25" w:rsidRDefault="00C02D25" w:rsidP="001745BA">
      <w:pPr>
        <w:pStyle w:val="FootnoteText"/>
      </w:pPr>
      <w:r w:rsidRPr="00273B4B">
        <w:rPr>
          <w:rStyle w:val="FootnoteReference"/>
        </w:rPr>
        <w:footnoteRef/>
      </w:r>
      <w:r w:rsidRPr="00273B4B">
        <w:t xml:space="preserve"> </w:t>
      </w:r>
      <w:r>
        <w:t xml:space="preserve">New South Wales Legislative Council, </w:t>
      </w:r>
      <w:r>
        <w:rPr>
          <w:i/>
        </w:rPr>
        <w:t>Members’ Guide 2019</w:t>
      </w:r>
      <w:r>
        <w:t xml:space="preserve"> [online document], (2019) </w:t>
      </w:r>
      <w:hyperlink r:id="rId51" w:history="1">
        <w:r w:rsidRPr="00FC780A">
          <w:rPr>
            <w:rStyle w:val="Hyperlink"/>
          </w:rPr>
          <w:t>https://www.parliament.nsw.gov.au/members/Documents/Members%20Guide%202019.pdf</w:t>
        </w:r>
      </w:hyperlink>
      <w:r>
        <w:t>, accessed 27 September 2022.</w:t>
      </w:r>
    </w:p>
  </w:footnote>
  <w:footnote w:id="241">
    <w:p w14:paraId="1DEA2DC2" w14:textId="45D8114F" w:rsidR="00C02D25" w:rsidRPr="00EF6DB4" w:rsidRDefault="00C02D25">
      <w:pPr>
        <w:pStyle w:val="FootnoteText"/>
      </w:pPr>
      <w:r>
        <w:rPr>
          <w:rStyle w:val="FootnoteReference"/>
        </w:rPr>
        <w:footnoteRef/>
      </w:r>
      <w:r>
        <w:t xml:space="preserve"> AHRC, </w:t>
      </w:r>
      <w:r>
        <w:rPr>
          <w:i/>
        </w:rPr>
        <w:t xml:space="preserve">Set the Standard, </w:t>
      </w:r>
      <w:r>
        <w:t>214 (Recommendation 14).</w:t>
      </w:r>
    </w:p>
  </w:footnote>
  <w:footnote w:id="242">
    <w:p w14:paraId="3BEA38CE" w14:textId="77777777" w:rsidR="00C02D25" w:rsidRDefault="00C02D25" w:rsidP="00A601F9">
      <w:pPr>
        <w:pStyle w:val="FootnoteText"/>
      </w:pPr>
      <w:r>
        <w:rPr>
          <w:rStyle w:val="FootnoteReference"/>
        </w:rPr>
        <w:footnoteRef/>
      </w:r>
      <w:r>
        <w:t xml:space="preserve"> </w:t>
      </w:r>
      <w:r w:rsidRPr="00FA3040">
        <w:rPr>
          <w:i/>
        </w:rPr>
        <w:t>Sex Discrimination and Fair Work (Respect at Work) Amendment Act 2021</w:t>
      </w:r>
      <w:r>
        <w:t xml:space="preserve"> (Cth), sch 1, ss 32-37, 40.</w:t>
      </w:r>
    </w:p>
  </w:footnote>
  <w:footnote w:id="243">
    <w:p w14:paraId="55EE06D2" w14:textId="00DF41E8" w:rsidR="00C02D25" w:rsidRDefault="00C02D25">
      <w:pPr>
        <w:pStyle w:val="FootnoteText"/>
      </w:pPr>
      <w:r>
        <w:rPr>
          <w:rStyle w:val="FootnoteReference"/>
        </w:rPr>
        <w:footnoteRef/>
      </w:r>
      <w:r>
        <w:t xml:space="preserve"> </w:t>
      </w:r>
      <w:r w:rsidRPr="00D84AD5">
        <w:rPr>
          <w:i/>
        </w:rPr>
        <w:t>Parliamentary Workplace Reform (Set the Standard Measures No. 1) Act 2022</w:t>
      </w:r>
      <w:r>
        <w:rPr>
          <w:i/>
        </w:rPr>
        <w:t>.</w:t>
      </w:r>
    </w:p>
  </w:footnote>
  <w:footnote w:id="244">
    <w:p w14:paraId="2391FBB2" w14:textId="77777777" w:rsidR="00C02D25" w:rsidRDefault="00C02D25">
      <w:pPr>
        <w:pStyle w:val="FootnoteText"/>
      </w:pPr>
      <w:r>
        <w:rPr>
          <w:rStyle w:val="FootnoteReference"/>
        </w:rPr>
        <w:footnoteRef/>
      </w:r>
      <w:r>
        <w:t xml:space="preserve"> </w:t>
      </w:r>
      <w:r>
        <w:rPr>
          <w:i/>
        </w:rPr>
        <w:t>S</w:t>
      </w:r>
      <w:r w:rsidRPr="009C453B">
        <w:rPr>
          <w:i/>
        </w:rPr>
        <w:t>ubmission 26</w:t>
      </w:r>
      <w:r>
        <w:t>.</w:t>
      </w:r>
    </w:p>
  </w:footnote>
  <w:footnote w:id="245">
    <w:p w14:paraId="3271B2BB" w14:textId="75B6DAD9" w:rsidR="00C02D25" w:rsidRDefault="00C02D25" w:rsidP="00A601F9">
      <w:pPr>
        <w:pStyle w:val="FootnoteText"/>
      </w:pPr>
      <w:r>
        <w:rPr>
          <w:rStyle w:val="FootnoteReference"/>
        </w:rPr>
        <w:footnoteRef/>
      </w:r>
      <w:r>
        <w:t xml:space="preserve"> McKeown and Sloane, </w:t>
      </w:r>
      <w:r w:rsidRPr="00FA3040">
        <w:rPr>
          <w:i/>
        </w:rPr>
        <w:t>Parliamentary codes of conduct: a review of recent developments</w:t>
      </w:r>
      <w:r>
        <w:rPr>
          <w:i/>
        </w:rPr>
        <w:t xml:space="preserve">, </w:t>
      </w:r>
      <w:r>
        <w:t>12.</w:t>
      </w:r>
    </w:p>
  </w:footnote>
  <w:footnote w:id="246">
    <w:p w14:paraId="4EE28C52" w14:textId="584FEC90" w:rsidR="00C02D25" w:rsidRPr="00A26E09" w:rsidRDefault="00C02D25" w:rsidP="00A601F9">
      <w:pPr>
        <w:pStyle w:val="FootnoteText"/>
      </w:pPr>
      <w:r>
        <w:rPr>
          <w:rStyle w:val="FootnoteReference"/>
        </w:rPr>
        <w:footnoteRef/>
      </w:r>
      <w:r>
        <w:t xml:space="preserve"> For instance, the Queensland Code of Ethical standards requires parliamentarians to show ‘respect for persons’. The guide to the code provides that </w:t>
      </w:r>
      <w:r>
        <w:rPr>
          <w:i/>
        </w:rPr>
        <w:t>‘</w:t>
      </w:r>
      <w:r w:rsidRPr="00A26E09">
        <w:rPr>
          <w:i/>
        </w:rPr>
        <w:t>Parliamentary Service policies and procedures outline the requirements of employers/supervisors in regard to human resource issues, including employment discrimination, sexual harassment, workplace harassment and workplace health and safety</w:t>
      </w:r>
      <w:r>
        <w:rPr>
          <w:i/>
        </w:rPr>
        <w:t xml:space="preserve">.’ </w:t>
      </w:r>
      <w:r w:rsidRPr="009C453B">
        <w:t>(</w:t>
      </w:r>
      <w:r w:rsidRPr="00FA3040">
        <w:t xml:space="preserve">Legislative Assembly of </w:t>
      </w:r>
      <w:r>
        <w:t>Queensland</w:t>
      </w:r>
      <w:r w:rsidRPr="00FA3040">
        <w:t>,</w:t>
      </w:r>
      <w:r>
        <w:t xml:space="preserve"> </w:t>
      </w:r>
      <w:r w:rsidRPr="007028A5">
        <w:rPr>
          <w:i/>
        </w:rPr>
        <w:t>Code of Ethical Standards together with the Guide to the Code of Ethical Standards and Rules Relating to the Conduct of Members</w:t>
      </w:r>
      <w:r w:rsidRPr="00FA3040">
        <w:t xml:space="preserve"> [online document], (June 2018)</w:t>
      </w:r>
      <w:r>
        <w:t xml:space="preserve"> </w:t>
      </w:r>
      <w:hyperlink r:id="rId52" w:history="1">
        <w:r w:rsidRPr="0048288D">
          <w:rPr>
            <w:rStyle w:val="Hyperlink"/>
          </w:rPr>
          <w:t>https://documents.parliament.qld.gov.au/assembly/procedures/</w:t>
        </w:r>
        <w:r w:rsidRPr="0076733F">
          <w:rPr>
            <w:rStyle w:val="Hyperlink"/>
          </w:rPr>
          <w:t>CodeOfEthical</w:t>
        </w:r>
        <w:r w:rsidRPr="0076733F">
          <w:rPr>
            <w:rStyle w:val="Hyperlink"/>
          </w:rPr>
          <w:br/>
          <w:t>Standards</w:t>
        </w:r>
        <w:r w:rsidRPr="0048288D">
          <w:rPr>
            <w:rStyle w:val="Hyperlink"/>
          </w:rPr>
          <w:t>.pdf</w:t>
        </w:r>
      </w:hyperlink>
      <w:r w:rsidRPr="00FA3040">
        <w:t xml:space="preserve">, </w:t>
      </w:r>
      <w:r w:rsidRPr="00DB38A9">
        <w:t xml:space="preserve">accessed </w:t>
      </w:r>
      <w:r>
        <w:t xml:space="preserve">16 September 2022.) The South Australian Ministerial Code of Conduct requires ministers to comply with all applicable laws, and includes as an Appendix the legislation that applies to Members of Parliament: Government of SA, </w:t>
      </w:r>
      <w:r>
        <w:rPr>
          <w:i/>
        </w:rPr>
        <w:t>Ministerial Code of Conduct</w:t>
      </w:r>
      <w:r>
        <w:t>.</w:t>
      </w:r>
    </w:p>
  </w:footnote>
  <w:footnote w:id="247">
    <w:p w14:paraId="642DFE34" w14:textId="22DD3656" w:rsidR="00C02D25" w:rsidRDefault="00C02D25" w:rsidP="00A601F9">
      <w:pPr>
        <w:pStyle w:val="FootnoteText"/>
      </w:pPr>
      <w:r>
        <w:rPr>
          <w:rStyle w:val="FootnoteReference"/>
        </w:rPr>
        <w:footnoteRef/>
      </w:r>
      <w:r>
        <w:t xml:space="preserve"> McKeown and Sloane, </w:t>
      </w:r>
      <w:r w:rsidRPr="00712878">
        <w:rPr>
          <w:i/>
        </w:rPr>
        <w:t>Parliamentary codes of conduct: a review of recent developments</w:t>
      </w:r>
      <w:r>
        <w:rPr>
          <w:i/>
        </w:rPr>
        <w:t xml:space="preserve">, </w:t>
      </w:r>
      <w:r>
        <w:t>12.</w:t>
      </w:r>
    </w:p>
  </w:footnote>
  <w:footnote w:id="248">
    <w:p w14:paraId="537DF79E" w14:textId="0B36845F" w:rsidR="00C02D25" w:rsidRDefault="00C02D25" w:rsidP="00A601F9">
      <w:pPr>
        <w:pStyle w:val="FootnoteText"/>
      </w:pPr>
      <w:r>
        <w:rPr>
          <w:rStyle w:val="FootnoteReference"/>
        </w:rPr>
        <w:footnoteRef/>
      </w:r>
      <w:r>
        <w:t xml:space="preserve"> NSW Legislative Council, </w:t>
      </w:r>
      <w:r>
        <w:rPr>
          <w:i/>
        </w:rPr>
        <w:t xml:space="preserve">Members Guide 2019, </w:t>
      </w:r>
      <w:r>
        <w:t>66.</w:t>
      </w:r>
    </w:p>
  </w:footnote>
  <w:footnote w:id="249">
    <w:p w14:paraId="2291435D" w14:textId="2965D5BB" w:rsidR="00C02D25" w:rsidRDefault="00C02D25" w:rsidP="00A601F9">
      <w:pPr>
        <w:pStyle w:val="FootnoteText"/>
      </w:pPr>
      <w:r>
        <w:rPr>
          <w:rStyle w:val="FootnoteReference"/>
        </w:rPr>
        <w:footnoteRef/>
      </w:r>
      <w:r>
        <w:t xml:space="preserve"> Comcare, Submission No 7 to Joint Select Committee on Parliamentary Standards, Parliament of Australia (no date).</w:t>
      </w:r>
    </w:p>
  </w:footnote>
  <w:footnote w:id="250">
    <w:p w14:paraId="39D20DE5" w14:textId="0513DE11" w:rsidR="00C02D25" w:rsidRDefault="00C02D25" w:rsidP="00A601F9">
      <w:pPr>
        <w:pStyle w:val="FootnoteText"/>
      </w:pPr>
      <w:r>
        <w:rPr>
          <w:rStyle w:val="FootnoteReference"/>
        </w:rPr>
        <w:footnoteRef/>
      </w:r>
      <w:r>
        <w:t xml:space="preserve"> Ibid, 2.</w:t>
      </w:r>
    </w:p>
  </w:footnote>
  <w:footnote w:id="251">
    <w:p w14:paraId="4A6BCC21" w14:textId="77777777" w:rsidR="00C02D25" w:rsidRDefault="00C02D25" w:rsidP="001B3CBE">
      <w:pPr>
        <w:pStyle w:val="FootnoteText"/>
      </w:pPr>
      <w:r>
        <w:rPr>
          <w:rStyle w:val="FootnoteReference"/>
        </w:rPr>
        <w:footnoteRef/>
      </w:r>
      <w:r>
        <w:t xml:space="preserve"> AHRC, </w:t>
      </w:r>
      <w:r>
        <w:rPr>
          <w:i/>
        </w:rPr>
        <w:t>Set the Standard</w:t>
      </w:r>
      <w:r>
        <w:t>, 236.</w:t>
      </w:r>
    </w:p>
  </w:footnote>
  <w:footnote w:id="252">
    <w:p w14:paraId="2482E1D6" w14:textId="77777777" w:rsidR="00C02D25" w:rsidRDefault="00C02D25" w:rsidP="001745BA">
      <w:pPr>
        <w:pStyle w:val="FootnoteText"/>
      </w:pPr>
      <w:r>
        <w:rPr>
          <w:rStyle w:val="FootnoteReference"/>
        </w:rPr>
        <w:footnoteRef/>
      </w:r>
      <w:r>
        <w:t xml:space="preserve"> </w:t>
      </w:r>
      <w:r w:rsidRPr="00712878">
        <w:t>MoP(S) Act,</w:t>
      </w:r>
      <w:r>
        <w:rPr>
          <w:i/>
        </w:rPr>
        <w:t xml:space="preserve"> </w:t>
      </w:r>
      <w:r>
        <w:t>s 31.</w:t>
      </w:r>
    </w:p>
  </w:footnote>
  <w:footnote w:id="253">
    <w:p w14:paraId="4C1E8C08" w14:textId="67962DBC" w:rsidR="00C02D25" w:rsidRDefault="00C02D25">
      <w:pPr>
        <w:pStyle w:val="FootnoteText"/>
      </w:pPr>
      <w:r>
        <w:rPr>
          <w:rStyle w:val="FootnoteReference"/>
        </w:rPr>
        <w:footnoteRef/>
      </w:r>
      <w:r>
        <w:t xml:space="preserve"> Parliament of Australia, </w:t>
      </w:r>
      <w:r w:rsidRPr="00D3522F">
        <w:rPr>
          <w:i/>
        </w:rPr>
        <w:t>Members of Parliament (Staff) Act 1984: Consultants engaged under section 4 of the Act, Report 2006-2007</w:t>
      </w:r>
      <w:r>
        <w:t>, Parliamentary Paper No. 168 of 2007, Canberra (11 September 2007), 4.</w:t>
      </w:r>
    </w:p>
  </w:footnote>
  <w:footnote w:id="254">
    <w:p w14:paraId="4AEEFF13" w14:textId="40270ED9" w:rsidR="00C02D25" w:rsidRDefault="00C02D25" w:rsidP="001745BA">
      <w:pPr>
        <w:pStyle w:val="FootnoteText"/>
      </w:pPr>
      <w:r>
        <w:rPr>
          <w:rStyle w:val="FootnoteReference"/>
        </w:rPr>
        <w:footnoteRef/>
      </w:r>
      <w:r>
        <w:t xml:space="preserve"> </w:t>
      </w:r>
      <w:r w:rsidRPr="00712878">
        <w:rPr>
          <w:i/>
        </w:rPr>
        <w:t>Submission 43</w:t>
      </w:r>
      <w:r>
        <w:rPr>
          <w:i/>
        </w:rPr>
        <w:t>, 8</w:t>
      </w:r>
      <w:r w:rsidRPr="00712878">
        <w:rPr>
          <w:i/>
        </w:rPr>
        <w:t>.</w:t>
      </w:r>
    </w:p>
  </w:footnote>
  <w:footnote w:id="255">
    <w:p w14:paraId="4DBC5285" w14:textId="77777777" w:rsidR="00C02D25" w:rsidRPr="00C25748" w:rsidRDefault="00C02D25" w:rsidP="004F6BB7">
      <w:pPr>
        <w:pStyle w:val="FootnoteText"/>
      </w:pPr>
      <w:r>
        <w:rPr>
          <w:rStyle w:val="FootnoteReference"/>
        </w:rPr>
        <w:footnoteRef/>
      </w:r>
      <w:r>
        <w:t xml:space="preserve"> AHRC, </w:t>
      </w:r>
      <w:r>
        <w:rPr>
          <w:i/>
        </w:rPr>
        <w:t>Set the Standard</w:t>
      </w:r>
      <w:r>
        <w:t>, 21</w:t>
      </w:r>
      <w:r>
        <w:rPr>
          <w:i/>
        </w:rPr>
        <w:t xml:space="preserve"> </w:t>
      </w:r>
      <w:r>
        <w:t>(Recommendation 7).</w:t>
      </w:r>
    </w:p>
  </w:footnote>
  <w:footnote w:id="256">
    <w:p w14:paraId="4CB69141" w14:textId="428D9358" w:rsidR="00C02D25" w:rsidRDefault="00C02D25" w:rsidP="004F6BB7">
      <w:pPr>
        <w:pStyle w:val="FootnoteText"/>
      </w:pPr>
      <w:r>
        <w:rPr>
          <w:rStyle w:val="FootnoteReference"/>
        </w:rPr>
        <w:footnoteRef/>
      </w:r>
      <w:r>
        <w:t xml:space="preserve"> Ibid, 189 (also see Recommendation 19).</w:t>
      </w:r>
    </w:p>
  </w:footnote>
  <w:footnote w:id="257">
    <w:p w14:paraId="12EF5BC2" w14:textId="46153813" w:rsidR="00C02D25" w:rsidRDefault="00C02D25" w:rsidP="001745BA">
      <w:pPr>
        <w:pStyle w:val="FootnoteText"/>
      </w:pPr>
      <w:r>
        <w:rPr>
          <w:rStyle w:val="FootnoteReference"/>
        </w:rPr>
        <w:footnoteRef/>
      </w:r>
      <w:r>
        <w:t xml:space="preserve"> </w:t>
      </w:r>
      <w:r w:rsidRPr="00712878">
        <w:rPr>
          <w:i/>
        </w:rPr>
        <w:t>Submission 24</w:t>
      </w:r>
      <w:r>
        <w:rPr>
          <w:i/>
        </w:rPr>
        <w:t xml:space="preserve">, </w:t>
      </w:r>
      <w:r>
        <w:t>12</w:t>
      </w:r>
      <w:r>
        <w:rPr>
          <w:i/>
        </w:rPr>
        <w:t>.</w:t>
      </w:r>
    </w:p>
  </w:footnote>
  <w:footnote w:id="258">
    <w:p w14:paraId="039FDF99" w14:textId="77777777" w:rsidR="00C02D25" w:rsidRDefault="00C02D25" w:rsidP="001745BA">
      <w:pPr>
        <w:pStyle w:val="FootnoteText"/>
      </w:pPr>
      <w:r>
        <w:rPr>
          <w:rStyle w:val="FootnoteReference"/>
        </w:rPr>
        <w:footnoteRef/>
      </w:r>
      <w:r>
        <w:t xml:space="preserve"> </w:t>
      </w:r>
      <w:r w:rsidRPr="00712878">
        <w:rPr>
          <w:i/>
        </w:rPr>
        <w:t>Submission 5</w:t>
      </w:r>
      <w:r w:rsidRPr="001F56AE">
        <w:rPr>
          <w:i/>
        </w:rPr>
        <w:t xml:space="preserve">; </w:t>
      </w:r>
      <w:r w:rsidRPr="00712878">
        <w:rPr>
          <w:i/>
        </w:rPr>
        <w:t>Submission 10</w:t>
      </w:r>
      <w:r>
        <w:t>.</w:t>
      </w:r>
    </w:p>
  </w:footnote>
  <w:footnote w:id="259">
    <w:p w14:paraId="275193F3" w14:textId="77777777" w:rsidR="00C02D25" w:rsidRDefault="00C02D25" w:rsidP="001745BA">
      <w:pPr>
        <w:pStyle w:val="FootnoteText"/>
      </w:pPr>
      <w:r>
        <w:rPr>
          <w:rStyle w:val="FootnoteReference"/>
        </w:rPr>
        <w:footnoteRef/>
      </w:r>
      <w:r>
        <w:t xml:space="preserve"> </w:t>
      </w:r>
      <w:r w:rsidRPr="00712878">
        <w:rPr>
          <w:i/>
        </w:rPr>
        <w:t>Submission 10</w:t>
      </w:r>
      <w:r w:rsidRPr="00F373DB">
        <w:t>.</w:t>
      </w:r>
    </w:p>
  </w:footnote>
  <w:footnote w:id="260">
    <w:p w14:paraId="7FA5A0EC" w14:textId="69117ACA" w:rsidR="00C02D25" w:rsidRDefault="00C02D25" w:rsidP="001E1CBB">
      <w:pPr>
        <w:pStyle w:val="FootnoteText"/>
      </w:pPr>
      <w:r>
        <w:rPr>
          <w:rStyle w:val="FootnoteReference"/>
        </w:rPr>
        <w:footnoteRef/>
      </w:r>
      <w:r>
        <w:t xml:space="preserve"> </w:t>
      </w:r>
      <w:r w:rsidRPr="00712878">
        <w:rPr>
          <w:i/>
        </w:rPr>
        <w:t>Submission 30</w:t>
      </w:r>
      <w:r>
        <w:rPr>
          <w:i/>
        </w:rPr>
        <w:t xml:space="preserve">, </w:t>
      </w:r>
      <w:r>
        <w:t>3.</w:t>
      </w:r>
    </w:p>
  </w:footnote>
  <w:footnote w:id="261">
    <w:p w14:paraId="101B8129" w14:textId="0F6FC173" w:rsidR="00C02D25" w:rsidRDefault="00C02D25" w:rsidP="001745BA">
      <w:pPr>
        <w:pStyle w:val="FootnoteText"/>
      </w:pPr>
      <w:r>
        <w:rPr>
          <w:rStyle w:val="FootnoteReference"/>
        </w:rPr>
        <w:footnoteRef/>
      </w:r>
      <w:r>
        <w:t xml:space="preserve"> </w:t>
      </w:r>
      <w:r w:rsidRPr="007028A5">
        <w:t>Ibid</w:t>
      </w:r>
      <w:r>
        <w:rPr>
          <w:i/>
        </w:rPr>
        <w:t xml:space="preserve">, </w:t>
      </w:r>
      <w:r>
        <w:t>3</w:t>
      </w:r>
      <w:r w:rsidRPr="001F56AE">
        <w:rPr>
          <w:i/>
        </w:rPr>
        <w:t>.</w:t>
      </w:r>
    </w:p>
  </w:footnote>
  <w:footnote w:id="262">
    <w:p w14:paraId="0A36CC74" w14:textId="0D1899D7" w:rsidR="00C02D25" w:rsidRDefault="00C02D25" w:rsidP="001745BA">
      <w:pPr>
        <w:pStyle w:val="FootnoteText"/>
      </w:pPr>
      <w:r>
        <w:rPr>
          <w:rStyle w:val="FootnoteReference"/>
        </w:rPr>
        <w:footnoteRef/>
      </w:r>
      <w:r>
        <w:t xml:space="preserve"> For instance, in NSW, the Department of Parliamentary Services oversees the arrangements for Members’ Staff and the Department of Premier and Cabinet support Ministerial Staff. In Victoria Electorate Office staff are employed, via delegation, by the Secretary of the Department of Parliamentary Services and Ministerial office Staff are employed by the Premier.</w:t>
      </w:r>
    </w:p>
  </w:footnote>
  <w:footnote w:id="263">
    <w:p w14:paraId="64024C66" w14:textId="29748854" w:rsidR="00C02D25" w:rsidRDefault="00C02D25">
      <w:pPr>
        <w:pStyle w:val="FootnoteText"/>
      </w:pPr>
      <w:r>
        <w:rPr>
          <w:rStyle w:val="FootnoteReference"/>
        </w:rPr>
        <w:footnoteRef/>
      </w:r>
      <w:r>
        <w:t xml:space="preserve"> </w:t>
      </w:r>
      <w:r w:rsidRPr="00266E4C">
        <w:rPr>
          <w:i/>
        </w:rPr>
        <w:t>Ministerial and Other Office Holder Staff Act 2010</w:t>
      </w:r>
      <w:r>
        <w:t xml:space="preserve"> (Qld), s 34.</w:t>
      </w:r>
    </w:p>
  </w:footnote>
  <w:footnote w:id="264">
    <w:p w14:paraId="02DE5656" w14:textId="5B4332C4" w:rsidR="00C02D25" w:rsidRDefault="00C02D25">
      <w:pPr>
        <w:pStyle w:val="FootnoteText"/>
      </w:pPr>
      <w:r>
        <w:rPr>
          <w:rStyle w:val="FootnoteReference"/>
        </w:rPr>
        <w:footnoteRef/>
      </w:r>
      <w:r>
        <w:t xml:space="preserve"> </w:t>
      </w:r>
      <w:r w:rsidRPr="001218EC">
        <w:rPr>
          <w:i/>
        </w:rPr>
        <w:t>Parliamentary Service Act 1988</w:t>
      </w:r>
      <w:r>
        <w:t xml:space="preserve"> (Qld), s 10.</w:t>
      </w:r>
    </w:p>
  </w:footnote>
  <w:footnote w:id="265">
    <w:p w14:paraId="734E2759" w14:textId="29D3AAFC" w:rsidR="00C02D25" w:rsidRDefault="00C02D25" w:rsidP="001745BA">
      <w:pPr>
        <w:pStyle w:val="FootnoteText"/>
      </w:pPr>
      <w:r>
        <w:rPr>
          <w:rStyle w:val="FootnoteReference"/>
        </w:rPr>
        <w:footnoteRef/>
      </w:r>
      <w:r>
        <w:t xml:space="preserve"> See </w:t>
      </w:r>
      <w:r w:rsidRPr="008350DD">
        <w:t>the report tabled in th</w:t>
      </w:r>
      <w:r>
        <w:t>e Western Australian P</w:t>
      </w:r>
      <w:r w:rsidRPr="008350DD">
        <w:t>arliament</w:t>
      </w:r>
      <w:r w:rsidRPr="00EE3965">
        <w:t xml:space="preserve"> </w:t>
      </w:r>
      <w:r>
        <w:t>(</w:t>
      </w:r>
      <w:r w:rsidRPr="008350DD">
        <w:rPr>
          <w:i/>
        </w:rPr>
        <w:t>The Premier’s Ministerial Office Staffing as at 20 January 2022</w:t>
      </w:r>
      <w:r w:rsidRPr="008350DD">
        <w:t xml:space="preserve"> [online document] (2022) </w:t>
      </w:r>
      <w:hyperlink r:id="rId53" w:history="1">
        <w:r w:rsidRPr="00FC780A">
          <w:rPr>
            <w:rStyle w:val="Hyperlink"/>
          </w:rPr>
          <w:t>https://www.parliament.wa.gov.au/publications/tabledpapers.nsf/</w:t>
        </w:r>
        <w:r w:rsidRPr="00D53F28">
          <w:rPr>
            <w:rStyle w:val="Hyperlink"/>
          </w:rPr>
          <w:br/>
        </w:r>
        <w:r w:rsidRPr="00FC780A">
          <w:rPr>
            <w:rStyle w:val="Hyperlink"/>
          </w:rPr>
          <w:t>displaypaper/4110971a83eb3ad3b261b38c482587f300066644/$file/tp+971+(2022)+-+ministerial+resourcing+report+as+at+20+january+2022.pdf</w:t>
        </w:r>
      </w:hyperlink>
      <w:r w:rsidRPr="008350DD">
        <w:t xml:space="preserve">, </w:t>
      </w:r>
      <w:r w:rsidRPr="009A76FD">
        <w:t>accessed 13</w:t>
      </w:r>
      <w:r>
        <w:t> </w:t>
      </w:r>
      <w:r w:rsidRPr="009A76FD">
        <w:t>September 2022</w:t>
      </w:r>
      <w:r>
        <w:t>)</w:t>
      </w:r>
      <w:r w:rsidRPr="009A76FD">
        <w:t xml:space="preserve"> and the </w:t>
      </w:r>
      <w:r>
        <w:t>report published in</w:t>
      </w:r>
      <w:r w:rsidRPr="008350DD">
        <w:t xml:space="preserve"> Ireland </w:t>
      </w:r>
      <w:r>
        <w:t xml:space="preserve">(Department of Public Expenditure and Reform, Government of Ireland, </w:t>
      </w:r>
      <w:r w:rsidRPr="008350DD">
        <w:rPr>
          <w:i/>
        </w:rPr>
        <w:t>Special Advisers to Ministers and Ministers of State of the 33</w:t>
      </w:r>
      <w:r w:rsidRPr="008350DD">
        <w:rPr>
          <w:i/>
          <w:vertAlign w:val="superscript"/>
        </w:rPr>
        <w:t>rd</w:t>
      </w:r>
      <w:r w:rsidRPr="008350DD">
        <w:rPr>
          <w:i/>
        </w:rPr>
        <w:t xml:space="preserve"> Dáil</w:t>
      </w:r>
      <w:r>
        <w:t xml:space="preserve"> [online document], (14 June 2022), </w:t>
      </w:r>
      <w:hyperlink r:id="rId54" w:history="1">
        <w:r w:rsidRPr="0048288D">
          <w:rPr>
            <w:rStyle w:val="Hyperlink"/>
          </w:rPr>
          <w:t>https://assets.gov.ie/226945/95b02ef0-fd6a-4f7c-9c97-314deab1e45d.pdf</w:t>
        </w:r>
      </w:hyperlink>
      <w:r>
        <w:t xml:space="preserve">, </w:t>
      </w:r>
      <w:r w:rsidRPr="009A76FD">
        <w:t>accessed 13 September 2022</w:t>
      </w:r>
      <w:r>
        <w:t>).</w:t>
      </w:r>
    </w:p>
  </w:footnote>
  <w:footnote w:id="266">
    <w:p w14:paraId="18487DCA" w14:textId="4D4ADCA9" w:rsidR="00C02D25" w:rsidRDefault="00C02D25">
      <w:pPr>
        <w:pStyle w:val="FootnoteText"/>
      </w:pPr>
      <w:r>
        <w:rPr>
          <w:rStyle w:val="FootnoteReference"/>
        </w:rPr>
        <w:footnoteRef/>
      </w:r>
      <w:r>
        <w:t xml:space="preserve"> Australian Government, </w:t>
      </w:r>
      <w:r>
        <w:rPr>
          <w:i/>
        </w:rPr>
        <w:t xml:space="preserve">Directory </w:t>
      </w:r>
      <w:r>
        <w:t xml:space="preserve">[website], </w:t>
      </w:r>
      <w:hyperlink r:id="rId55" w:history="1">
        <w:r w:rsidRPr="00FC780A">
          <w:rPr>
            <w:rStyle w:val="Hyperlink"/>
          </w:rPr>
          <w:t>https://www.directory.gov.au</w:t>
        </w:r>
      </w:hyperlink>
      <w:r>
        <w:rPr>
          <w:rStyle w:val="Hyperlink"/>
        </w:rPr>
        <w:t>,</w:t>
      </w:r>
      <w:r>
        <w:t xml:space="preserve"> accessed 26 September 2022. </w:t>
      </w:r>
    </w:p>
  </w:footnote>
  <w:footnote w:id="267">
    <w:p w14:paraId="300E7CFC" w14:textId="4EA85083" w:rsidR="00C02D25" w:rsidRDefault="00C02D25" w:rsidP="00785168">
      <w:pPr>
        <w:pStyle w:val="FootnoteText"/>
      </w:pPr>
      <w:r>
        <w:rPr>
          <w:rStyle w:val="FootnoteReference"/>
        </w:rPr>
        <w:footnoteRef/>
      </w:r>
      <w:r>
        <w:t xml:space="preserve"> </w:t>
      </w:r>
      <w:r w:rsidRPr="008350DD">
        <w:rPr>
          <w:i/>
        </w:rPr>
        <w:t>Public Governance, Performance and Accountability Rule 2014</w:t>
      </w:r>
      <w:r>
        <w:t>,</w:t>
      </w:r>
      <w:r w:rsidRPr="008350DD">
        <w:t xml:space="preserve"> </w:t>
      </w:r>
      <w:r>
        <w:t>r 17CA.</w:t>
      </w:r>
    </w:p>
  </w:footnote>
  <w:footnote w:id="268">
    <w:p w14:paraId="36DD97C7" w14:textId="77777777" w:rsidR="00C02D25" w:rsidRDefault="00C02D25" w:rsidP="00785168">
      <w:pPr>
        <w:pStyle w:val="FootnoteText"/>
      </w:pPr>
      <w:r>
        <w:rPr>
          <w:rStyle w:val="FootnoteReference"/>
        </w:rPr>
        <w:footnoteRef/>
      </w:r>
      <w:r>
        <w:t xml:space="preserve"> Ibid, r 17AG.</w:t>
      </w:r>
    </w:p>
  </w:footnote>
  <w:footnote w:id="269">
    <w:p w14:paraId="6E148B07" w14:textId="7AFE70F2" w:rsidR="00C02D25" w:rsidRDefault="00C02D25" w:rsidP="00785168">
      <w:pPr>
        <w:pStyle w:val="FootnoteText"/>
      </w:pPr>
      <w:r>
        <w:rPr>
          <w:rStyle w:val="FootnoteReference"/>
        </w:rPr>
        <w:footnoteRef/>
      </w:r>
      <w:r>
        <w:t xml:space="preserve"> KPMG, </w:t>
      </w:r>
      <w:r>
        <w:rPr>
          <w:i/>
        </w:rPr>
        <w:t>Our Impact</w:t>
      </w:r>
      <w:r w:rsidRPr="005425BB">
        <w:rPr>
          <w:i/>
        </w:rPr>
        <w:t xml:space="preserve"> Report 2021</w:t>
      </w:r>
      <w:r w:rsidRPr="005425BB">
        <w:t xml:space="preserve"> </w:t>
      </w:r>
      <w:r>
        <w:t xml:space="preserve">[online document], (2021) </w:t>
      </w:r>
      <w:hyperlink r:id="rId56" w:history="1">
        <w:r w:rsidRPr="0048288D">
          <w:rPr>
            <w:rStyle w:val="Hyperlink"/>
          </w:rPr>
          <w:t>https://assets.kpmg/content/dam/kpmg/au/pdf/2021/transparency-report-2021.pdf</w:t>
        </w:r>
      </w:hyperlink>
      <w:r>
        <w:t xml:space="preserve">, </w:t>
      </w:r>
      <w:r w:rsidRPr="001668E6">
        <w:t xml:space="preserve">accessed </w:t>
      </w:r>
      <w:r>
        <w:t xml:space="preserve">4 August 2022. </w:t>
      </w:r>
    </w:p>
  </w:footnote>
  <w:footnote w:id="270">
    <w:p w14:paraId="25266E4D" w14:textId="46F73309" w:rsidR="00C02D25" w:rsidRDefault="00C02D25" w:rsidP="001745BA">
      <w:pPr>
        <w:pStyle w:val="FootnoteText"/>
      </w:pPr>
      <w:r>
        <w:rPr>
          <w:rStyle w:val="FootnoteReference"/>
        </w:rPr>
        <w:footnoteRef/>
      </w:r>
      <w:r>
        <w:t xml:space="preserve"> Department of the Prime Minister and Cabinet, </w:t>
      </w:r>
      <w:r>
        <w:rPr>
          <w:i/>
        </w:rPr>
        <w:t>WGEA Review Report: Review of the Workplace Gender Equality Act 2012, December 2021</w:t>
      </w:r>
      <w:r>
        <w:t xml:space="preserve"> (2021) 5, </w:t>
      </w:r>
      <w:hyperlink r:id="rId57" w:history="1">
        <w:r w:rsidRPr="0048288D">
          <w:rPr>
            <w:rStyle w:val="Hyperlink"/>
          </w:rPr>
          <w:t>https://www.pmc.gov.au/sites/default/files/publications/wgea-review-report_1.pdf</w:t>
        </w:r>
      </w:hyperlink>
      <w:r>
        <w:t xml:space="preserve">, </w:t>
      </w:r>
      <w:r w:rsidRPr="001668E6">
        <w:t>accessed 27 September</w:t>
      </w:r>
      <w:r>
        <w:t xml:space="preserve"> 2022.</w:t>
      </w:r>
    </w:p>
  </w:footnote>
  <w:footnote w:id="271">
    <w:p w14:paraId="4E624308" w14:textId="65F69C96" w:rsidR="00C02D25" w:rsidRDefault="00C02D25">
      <w:pPr>
        <w:pStyle w:val="FootnoteText"/>
      </w:pPr>
      <w:r>
        <w:rPr>
          <w:rStyle w:val="FootnoteReference"/>
        </w:rPr>
        <w:footnoteRef/>
      </w:r>
      <w:r>
        <w:t xml:space="preserve"> Workplace Gender Equality Agency, </w:t>
      </w:r>
      <w:r>
        <w:rPr>
          <w:i/>
        </w:rPr>
        <w:t xml:space="preserve">Reporting </w:t>
      </w:r>
      <w:r>
        <w:t xml:space="preserve">[website], </w:t>
      </w:r>
      <w:hyperlink r:id="rId58" w:anchor=":~:text=Profile%20(payroll%20aligned)-,Public%20Sector%20Reporting,-Public%20Sector%20reporting" w:history="1">
        <w:r w:rsidRPr="00FC780A">
          <w:rPr>
            <w:rStyle w:val="Hyperlink"/>
          </w:rPr>
          <w:t>https://www.wgea.gov.au/what-we-do/reporting#:~:text=Profile%20(payroll%20aligned)-,Public%20Sector%20Reporting,-Public%20Sector%20reporting</w:t>
        </w:r>
      </w:hyperlink>
      <w:r>
        <w:rPr>
          <w:rStyle w:val="Hyperlink"/>
        </w:rPr>
        <w:t>,</w:t>
      </w:r>
      <w:r>
        <w:t xml:space="preserve"> accessed 27 September 2022.</w:t>
      </w:r>
    </w:p>
  </w:footnote>
  <w:footnote w:id="272">
    <w:p w14:paraId="2AB2798D" w14:textId="7ABC7F34" w:rsidR="00C02D25" w:rsidRDefault="00C02D25" w:rsidP="001745BA">
      <w:pPr>
        <w:pStyle w:val="FootnoteText"/>
      </w:pPr>
      <w:r>
        <w:rPr>
          <w:rStyle w:val="FootnoteReference"/>
        </w:rPr>
        <w:footnoteRef/>
      </w:r>
      <w:r>
        <w:t xml:space="preserve"> PM&amp;C, </w:t>
      </w:r>
      <w:r>
        <w:rPr>
          <w:i/>
        </w:rPr>
        <w:t>Review of the Workplace Gender Equality Act 2012</w:t>
      </w:r>
      <w:r w:rsidRPr="00800FE4">
        <w:t>, 6</w:t>
      </w:r>
      <w:r>
        <w:t>.</w:t>
      </w:r>
    </w:p>
  </w:footnote>
  <w:footnote w:id="273">
    <w:p w14:paraId="1BEDE26D" w14:textId="0CCDCBFE" w:rsidR="00C02D25" w:rsidRDefault="00C02D25" w:rsidP="001745BA">
      <w:pPr>
        <w:pStyle w:val="FootnoteText"/>
      </w:pPr>
      <w:r>
        <w:rPr>
          <w:rStyle w:val="FootnoteReference"/>
        </w:rPr>
        <w:footnoteRef/>
      </w:r>
      <w:r w:rsidRPr="00EE3965">
        <w:t xml:space="preserve"> See:</w:t>
      </w:r>
      <w:r>
        <w:t xml:space="preserve"> Workplace Gender Equality Agency, </w:t>
      </w:r>
      <w:r>
        <w:rPr>
          <w:i/>
        </w:rPr>
        <w:t>Annual Report 2019-20</w:t>
      </w:r>
      <w:r>
        <w:t xml:space="preserve"> [online document], (2020),</w:t>
      </w:r>
      <w:r w:rsidRPr="00EE3965">
        <w:t xml:space="preserve"> </w:t>
      </w:r>
      <w:r>
        <w:t xml:space="preserve">58-61 (Appendix 1: Non-compliant organisations), </w:t>
      </w:r>
      <w:hyperlink r:id="rId59" w:history="1">
        <w:r w:rsidRPr="00EE3965">
          <w:rPr>
            <w:rStyle w:val="Hyperlink"/>
          </w:rPr>
          <w:t>https://www.transparency.gov.au/annual-reports/workplace-gender-equality-agency/reporting-year/2019-20-33</w:t>
        </w:r>
      </w:hyperlink>
      <w:r>
        <w:rPr>
          <w:rStyle w:val="Hyperlink"/>
        </w:rPr>
        <w:t>,</w:t>
      </w:r>
      <w:r w:rsidRPr="00EE3965">
        <w:t xml:space="preserve"> accessed</w:t>
      </w:r>
      <w:r>
        <w:t xml:space="preserve"> 27 September 2022.</w:t>
      </w:r>
      <w:r w:rsidRPr="001F56AE">
        <w:rPr>
          <w:highlight w:val="yellow"/>
        </w:rPr>
        <w:t xml:space="preserve"> </w:t>
      </w:r>
    </w:p>
  </w:footnote>
  <w:footnote w:id="274">
    <w:p w14:paraId="10143F06" w14:textId="2E434757" w:rsidR="00C02D25" w:rsidRDefault="00C02D25" w:rsidP="001745BA">
      <w:pPr>
        <w:pStyle w:val="FootnoteText"/>
      </w:pPr>
      <w:r>
        <w:rPr>
          <w:rStyle w:val="FootnoteReference"/>
        </w:rPr>
        <w:footnoteRef/>
      </w:r>
      <w:r>
        <w:t xml:space="preserve"> </w:t>
      </w:r>
      <w:r w:rsidRPr="00597BE2">
        <w:t>Department of Finance and Deregulation,</w:t>
      </w:r>
      <w:r>
        <w:t xml:space="preserve"> </w:t>
      </w:r>
      <w:r w:rsidRPr="00597BE2">
        <w:rPr>
          <w:i/>
        </w:rPr>
        <w:t>Members of Parliament (Staff) Act 1984 – Annual Report 2008-09</w:t>
      </w:r>
      <w:r>
        <w:t>, (24 </w:t>
      </w:r>
      <w:r w:rsidRPr="00597BE2">
        <w:t>November 2009</w:t>
      </w:r>
      <w:r>
        <w:t>) 1</w:t>
      </w:r>
      <w:r w:rsidRPr="00EE3965">
        <w:t>.</w:t>
      </w:r>
    </w:p>
  </w:footnote>
  <w:footnote w:id="275">
    <w:p w14:paraId="0A4E6703" w14:textId="77777777" w:rsidR="00C02D25" w:rsidRDefault="00C02D25" w:rsidP="001745BA">
      <w:pPr>
        <w:pStyle w:val="FootnoteText"/>
      </w:pPr>
      <w:r>
        <w:rPr>
          <w:rStyle w:val="FootnoteReference"/>
        </w:rPr>
        <w:footnoteRef/>
      </w:r>
      <w:r>
        <w:t xml:space="preserve"> AHRC, </w:t>
      </w:r>
      <w:r w:rsidRPr="00142173">
        <w:rPr>
          <w:i/>
        </w:rPr>
        <w:t>Set the Standard</w:t>
      </w:r>
      <w:r>
        <w:t>, 189.</w:t>
      </w:r>
    </w:p>
  </w:footnote>
  <w:footnote w:id="276">
    <w:p w14:paraId="7CD29EC0" w14:textId="77777777" w:rsidR="00C02D25" w:rsidRDefault="00C02D25" w:rsidP="001745BA">
      <w:pPr>
        <w:pStyle w:val="FootnoteText"/>
      </w:pPr>
      <w:r>
        <w:rPr>
          <w:rStyle w:val="FootnoteReference"/>
        </w:rPr>
        <w:footnoteRef/>
      </w:r>
      <w:r>
        <w:t xml:space="preserve"> </w:t>
      </w:r>
      <w:r w:rsidRPr="00AC7B4A">
        <w:rPr>
          <w:i/>
        </w:rPr>
        <w:t>Submission 10</w:t>
      </w:r>
      <w:r w:rsidRPr="00AC7B4A">
        <w:t xml:space="preserve">; </w:t>
      </w:r>
      <w:r w:rsidRPr="00AC7B4A">
        <w:rPr>
          <w:i/>
        </w:rPr>
        <w:t>Submission 5</w:t>
      </w:r>
      <w:r>
        <w:t>.</w:t>
      </w:r>
    </w:p>
  </w:footnote>
  <w:footnote w:id="277">
    <w:p w14:paraId="37212296" w14:textId="77777777" w:rsidR="00C02D25" w:rsidRDefault="00C02D25" w:rsidP="001745BA">
      <w:pPr>
        <w:pStyle w:val="FootnoteText"/>
      </w:pPr>
      <w:r>
        <w:rPr>
          <w:rStyle w:val="FootnoteReference"/>
        </w:rPr>
        <w:footnoteRef/>
      </w:r>
      <w:r>
        <w:t xml:space="preserve"> Department of Finance and Deregulation, </w:t>
      </w:r>
      <w:r w:rsidRPr="00AC7B4A">
        <w:rPr>
          <w:i/>
        </w:rPr>
        <w:t>MoP(S) Act – Annual Report 2008-09</w:t>
      </w:r>
      <w:r w:rsidRPr="00AC7B4A">
        <w:t>, 43</w:t>
      </w:r>
      <w:r>
        <w:t>.</w:t>
      </w:r>
    </w:p>
  </w:footnote>
  <w:footnote w:id="278">
    <w:p w14:paraId="0D38B1A2" w14:textId="77777777" w:rsidR="00C02D25" w:rsidRDefault="00C02D25" w:rsidP="001745BA">
      <w:pPr>
        <w:pStyle w:val="FootnoteText"/>
      </w:pPr>
      <w:r w:rsidRPr="00565E26">
        <w:rPr>
          <w:rStyle w:val="FootnoteReference"/>
        </w:rPr>
        <w:footnoteRef/>
      </w:r>
      <w:r w:rsidRPr="00565E26">
        <w:t xml:space="preserve"> Ib</w:t>
      </w:r>
      <w:r>
        <w:t>id, 43.</w:t>
      </w:r>
    </w:p>
  </w:footnote>
  <w:footnote w:id="279">
    <w:p w14:paraId="53033EDC" w14:textId="3AB3496C" w:rsidR="00C02D25" w:rsidRDefault="00C02D25" w:rsidP="001745BA">
      <w:pPr>
        <w:pStyle w:val="FootnoteText"/>
      </w:pPr>
      <w:r>
        <w:rPr>
          <w:rStyle w:val="FootnoteReference"/>
        </w:rPr>
        <w:footnoteRef/>
      </w:r>
      <w:r>
        <w:t xml:space="preserve"> Australian Public Service Commission, ‘Chapter 8: Remuneration by gender’, </w:t>
      </w:r>
      <w:r>
        <w:rPr>
          <w:i/>
        </w:rPr>
        <w:t xml:space="preserve">Australian Public Service Remuneration Report 2021 </w:t>
      </w:r>
      <w:r>
        <w:t xml:space="preserve">[website], (18 August 2021) </w:t>
      </w:r>
      <w:hyperlink r:id="rId60" w:anchor=":~:text=In%202021%2C%20the%20average%20Base,since%202017%20(Figure%208.2)" w:history="1">
        <w:r w:rsidRPr="00FC780A">
          <w:rPr>
            <w:rStyle w:val="Hyperlink"/>
          </w:rPr>
          <w:t>https://www.apsc.gov.au/remuneration-reports/australian-public-service-remuneration-report-2021/chapter-8-remuneration-gender#:~:text=In%202021</w:t>
        </w:r>
        <w:r w:rsidRPr="0048288D">
          <w:rPr>
            <w:rStyle w:val="Hyperlink"/>
          </w:rPr>
          <w:br/>
        </w:r>
        <w:r w:rsidRPr="00FC780A">
          <w:rPr>
            <w:rStyle w:val="Hyperlink"/>
          </w:rPr>
          <w:t>%2C%20the%20average%20Base,since%202017%20(Figure%208.2)</w:t>
        </w:r>
      </w:hyperlink>
      <w:r>
        <w:rPr>
          <w:rStyle w:val="Hyperlink"/>
        </w:rPr>
        <w:t>,</w:t>
      </w:r>
      <w:r>
        <w:t xml:space="preserve"> accessed 27 September 2022</w:t>
      </w:r>
      <w:r w:rsidRPr="00D85613">
        <w:t>.</w:t>
      </w:r>
    </w:p>
  </w:footnote>
  <w:footnote w:id="280">
    <w:p w14:paraId="1DA7D42F" w14:textId="579C5DED" w:rsidR="00C02D25" w:rsidRDefault="00C02D25" w:rsidP="001745BA">
      <w:pPr>
        <w:pStyle w:val="FootnoteText"/>
      </w:pPr>
      <w:r>
        <w:rPr>
          <w:rStyle w:val="FootnoteReference"/>
        </w:rPr>
        <w:footnoteRef/>
      </w:r>
      <w:r>
        <w:t xml:space="preserve"> Australian Public Service Commission, </w:t>
      </w:r>
      <w:r>
        <w:rPr>
          <w:i/>
        </w:rPr>
        <w:t xml:space="preserve">State of the Service Report 2020-21 – Reform in the shadow of COVID </w:t>
      </w:r>
      <w:r>
        <w:t xml:space="preserve">[online document] (2021) </w:t>
      </w:r>
      <w:hyperlink r:id="rId61" w:history="1">
        <w:r w:rsidRPr="00FC780A">
          <w:rPr>
            <w:rStyle w:val="Hyperlink"/>
          </w:rPr>
          <w:t>https://www.apsc.gov.au/sites/default/files/2021-11/APSC-State-of-the-Service-Report-202021.pdf</w:t>
        </w:r>
      </w:hyperlink>
      <w:r>
        <w:rPr>
          <w:rStyle w:val="Hyperlink"/>
        </w:rPr>
        <w:t>,</w:t>
      </w:r>
      <w:r>
        <w:t xml:space="preserve"> accessed 16 September 2022.</w:t>
      </w:r>
    </w:p>
  </w:footnote>
  <w:footnote w:id="281">
    <w:p w14:paraId="4A83D954" w14:textId="77777777" w:rsidR="00C02D25" w:rsidRPr="00CC363C" w:rsidRDefault="00C02D25">
      <w:pPr>
        <w:pStyle w:val="FootnoteText"/>
      </w:pPr>
      <w:r>
        <w:rPr>
          <w:rStyle w:val="FootnoteReference"/>
        </w:rPr>
        <w:footnoteRef/>
      </w:r>
      <w:r>
        <w:t xml:space="preserve"> AHRC, </w:t>
      </w:r>
      <w:r>
        <w:rPr>
          <w:i/>
        </w:rPr>
        <w:t>Set the Standard</w:t>
      </w:r>
      <w:r>
        <w:t>, 187.</w:t>
      </w:r>
    </w:p>
  </w:footnote>
  <w:footnote w:id="282">
    <w:p w14:paraId="3F354594" w14:textId="3DCEA0C1" w:rsidR="00C02D25" w:rsidRDefault="00C02D25">
      <w:pPr>
        <w:pStyle w:val="FootnoteText"/>
      </w:pPr>
      <w:r>
        <w:rPr>
          <w:rStyle w:val="FootnoteReference"/>
        </w:rPr>
        <w:footnoteRef/>
      </w:r>
      <w:r>
        <w:t xml:space="preserve"> </w:t>
      </w:r>
      <w:r>
        <w:rPr>
          <w:i/>
        </w:rPr>
        <w:t xml:space="preserve">Independent Parliamentary Expenses Authority Act 2017 </w:t>
      </w:r>
      <w:r>
        <w:t xml:space="preserve">(Cth), s 12; </w:t>
      </w:r>
      <w:r>
        <w:rPr>
          <w:i/>
        </w:rPr>
        <w:t>PBR Act</w:t>
      </w:r>
      <w:r>
        <w:t>,</w:t>
      </w:r>
      <w:r>
        <w:rPr>
          <w:i/>
        </w:rPr>
        <w:t xml:space="preserve"> </w:t>
      </w:r>
      <w:r>
        <w:t>s 37.</w:t>
      </w:r>
    </w:p>
  </w:footnote>
  <w:footnote w:id="283">
    <w:p w14:paraId="79BB2557" w14:textId="50F62D28" w:rsidR="00C02D25" w:rsidRDefault="00C02D25">
      <w:pPr>
        <w:pStyle w:val="FootnoteText"/>
      </w:pPr>
      <w:r>
        <w:rPr>
          <w:rStyle w:val="FootnoteReference"/>
        </w:rPr>
        <w:footnoteRef/>
      </w:r>
      <w:r>
        <w:t xml:space="preserve"> </w:t>
      </w:r>
      <w:r w:rsidRPr="006E0B33">
        <w:rPr>
          <w:i/>
        </w:rPr>
        <w:t>Ombudsman Act 1976</w:t>
      </w:r>
      <w:r w:rsidRPr="006E0B33">
        <w:t xml:space="preserve"> (Cth)</w:t>
      </w:r>
      <w:r w:rsidRPr="006E0B33">
        <w:rPr>
          <w:i/>
        </w:rPr>
        <w:t>,</w:t>
      </w:r>
      <w:r w:rsidRPr="006E0B33">
        <w:t xml:space="preserve"> div 2.</w:t>
      </w:r>
    </w:p>
  </w:footnote>
  <w:footnote w:id="284">
    <w:p w14:paraId="1B946DFF" w14:textId="307AEB6E" w:rsidR="00C02D25" w:rsidRDefault="00C02D25" w:rsidP="00117317">
      <w:pPr>
        <w:pStyle w:val="FootnoteText"/>
      </w:pPr>
      <w:r>
        <w:rPr>
          <w:rStyle w:val="FootnoteReference"/>
        </w:rPr>
        <w:footnoteRef/>
      </w:r>
      <w:r>
        <w:t xml:space="preserve"> This data, provided by the Department of Finance, is current as of 9 September 2022. These figures are not inclusive of MoP(S) Act employees who are employed on a casual basis, nor those employed by entities that are administered by the Prime Minister and Cabinet portfolio, such as those who work for former Prime </w:t>
      </w:r>
      <w:r w:rsidRPr="00364612">
        <w:t>Ministers</w:t>
      </w:r>
      <w:r>
        <w:t>. This period also encapsulates a federal election period, which necessarily raises the number of terminations outside ‘usual’ circumstances.</w:t>
      </w:r>
    </w:p>
  </w:footnote>
  <w:footnote w:id="285">
    <w:p w14:paraId="284C9EFD" w14:textId="77777777" w:rsidR="00C02D25" w:rsidRDefault="00C02D25" w:rsidP="00117317">
      <w:pPr>
        <w:pStyle w:val="FootnoteText"/>
      </w:pPr>
      <w:r>
        <w:rPr>
          <w:rStyle w:val="FootnoteReference"/>
        </w:rPr>
        <w:footnoteRef/>
      </w:r>
      <w:r>
        <w:rPr>
          <w:i/>
        </w:rPr>
        <w:t xml:space="preserve"> </w:t>
      </w:r>
      <w:r>
        <w:t xml:space="preserve">AHRC, </w:t>
      </w:r>
      <w:r w:rsidRPr="00142173">
        <w:rPr>
          <w:i/>
        </w:rPr>
        <w:t>Set the Standard</w:t>
      </w:r>
      <w:r>
        <w:t>, 166.</w:t>
      </w:r>
    </w:p>
  </w:footnote>
  <w:footnote w:id="286">
    <w:p w14:paraId="714AF4B4" w14:textId="77777777" w:rsidR="00C02D25" w:rsidRDefault="00C02D25" w:rsidP="0080387B">
      <w:pPr>
        <w:pStyle w:val="FootnoteText"/>
      </w:pPr>
      <w:r>
        <w:rPr>
          <w:rStyle w:val="FootnoteReference"/>
        </w:rPr>
        <w:footnoteRef/>
      </w:r>
      <w:r>
        <w:t xml:space="preserve"> Data provided by the Department of Finance.</w:t>
      </w:r>
    </w:p>
  </w:footnote>
  <w:footnote w:id="287">
    <w:p w14:paraId="18A8C6F9" w14:textId="77777777" w:rsidR="00C02D25" w:rsidRPr="001F20C8" w:rsidRDefault="00C02D25" w:rsidP="00117317">
      <w:pPr>
        <w:pStyle w:val="FootnoteText"/>
      </w:pPr>
      <w:r>
        <w:rPr>
          <w:rStyle w:val="FootnoteReference"/>
        </w:rPr>
        <w:footnoteRef/>
      </w:r>
      <w:r>
        <w:t xml:space="preserve"> This figure is not inclusive of employees who were automatically terminated but were subsequently re-engaged </w:t>
      </w:r>
      <w:r w:rsidRPr="001F20C8">
        <w:t xml:space="preserve">under the </w:t>
      </w:r>
      <w:r>
        <w:t>MoP(S)</w:t>
      </w:r>
      <w:r w:rsidRPr="001F20C8">
        <w:t xml:space="preserve"> Act.</w:t>
      </w:r>
    </w:p>
  </w:footnote>
  <w:footnote w:id="288">
    <w:p w14:paraId="1DE5FE99" w14:textId="04B3B312" w:rsidR="00C02D25" w:rsidRPr="00DB1EF1" w:rsidRDefault="00C02D25" w:rsidP="00117317">
      <w:pPr>
        <w:pStyle w:val="FootnoteText"/>
      </w:pPr>
      <w:r w:rsidRPr="00DB1EF1">
        <w:rPr>
          <w:rStyle w:val="FootnoteReference"/>
        </w:rPr>
        <w:footnoteRef/>
      </w:r>
      <w:r w:rsidRPr="00DB1EF1">
        <w:t xml:space="preserve"> </w:t>
      </w:r>
      <w:r>
        <w:t xml:space="preserve">AHRC, </w:t>
      </w:r>
      <w:r>
        <w:rPr>
          <w:i/>
        </w:rPr>
        <w:t>Set the Standard</w:t>
      </w:r>
      <w:r>
        <w:t xml:space="preserve">, </w:t>
      </w:r>
      <w:r w:rsidRPr="00890C90">
        <w:t>215</w:t>
      </w:r>
      <w:r>
        <w:t xml:space="preserve"> (Recommendations 15, 16 and 17).</w:t>
      </w:r>
    </w:p>
  </w:footnote>
  <w:footnote w:id="289">
    <w:p w14:paraId="1B64F9A4" w14:textId="77777777" w:rsidR="00C02D25" w:rsidRPr="00DB1EF1" w:rsidRDefault="00C02D25" w:rsidP="00117317">
      <w:pPr>
        <w:pStyle w:val="FootnoteText"/>
      </w:pPr>
      <w:r w:rsidRPr="00DB1EF1">
        <w:rPr>
          <w:rStyle w:val="FootnoteReference"/>
        </w:rPr>
        <w:footnoteRef/>
      </w:r>
      <w:r w:rsidRPr="00DB1EF1">
        <w:t xml:space="preserve"> </w:t>
      </w:r>
      <w:r>
        <w:rPr>
          <w:i/>
        </w:rPr>
        <w:t>Ibid</w:t>
      </w:r>
      <w:r>
        <w:t xml:space="preserve"> (Recommendations 15 and 16).</w:t>
      </w:r>
    </w:p>
  </w:footnote>
  <w:footnote w:id="290">
    <w:p w14:paraId="0BC9DC0D" w14:textId="77777777" w:rsidR="00C02D25" w:rsidRDefault="00C02D25" w:rsidP="0055271A">
      <w:pPr>
        <w:pStyle w:val="FootnoteText"/>
      </w:pPr>
      <w:r>
        <w:rPr>
          <w:rStyle w:val="FootnoteReference"/>
        </w:rPr>
        <w:footnoteRef/>
      </w:r>
      <w:r w:rsidRPr="005B643A" w:rsidDel="00B95CDA">
        <w:t xml:space="preserve"> </w:t>
      </w:r>
      <w:r>
        <w:t xml:space="preserve">See: </w:t>
      </w:r>
      <w:r w:rsidRPr="00430E36">
        <w:rPr>
          <w:i/>
        </w:rPr>
        <w:t>Age Discrimination Act 2004</w:t>
      </w:r>
      <w:r>
        <w:t xml:space="preserve">; </w:t>
      </w:r>
      <w:r w:rsidRPr="00430E36">
        <w:rPr>
          <w:i/>
        </w:rPr>
        <w:t>Disability Discrimination Act 1992</w:t>
      </w:r>
      <w:r>
        <w:t xml:space="preserve">; </w:t>
      </w:r>
      <w:r w:rsidRPr="00430E36">
        <w:rPr>
          <w:i/>
        </w:rPr>
        <w:t>Racial Discrimination Act 1975</w:t>
      </w:r>
      <w:r>
        <w:t>;</w:t>
      </w:r>
      <w:r w:rsidRPr="00127CAF">
        <w:t xml:space="preserve"> </w:t>
      </w:r>
      <w:r w:rsidRPr="00430E36">
        <w:rPr>
          <w:i/>
        </w:rPr>
        <w:t>Sex Discrimination Act 1984</w:t>
      </w:r>
      <w:r>
        <w:t>.</w:t>
      </w:r>
    </w:p>
  </w:footnote>
  <w:footnote w:id="291">
    <w:p w14:paraId="5A0B9F89" w14:textId="63D42463" w:rsidR="00C02D25" w:rsidRDefault="00C02D25" w:rsidP="00117317">
      <w:pPr>
        <w:pStyle w:val="FootnoteText"/>
      </w:pPr>
      <w:r>
        <w:rPr>
          <w:rStyle w:val="FootnoteReference"/>
        </w:rPr>
        <w:footnoteRef/>
      </w:r>
      <w:r>
        <w:t xml:space="preserve"> The </w:t>
      </w:r>
      <w:r>
        <w:rPr>
          <w:i/>
        </w:rPr>
        <w:t>Work Health and Safety</w:t>
      </w:r>
      <w:r>
        <w:t xml:space="preserve"> </w:t>
      </w:r>
      <w:r w:rsidRPr="00890C90">
        <w:rPr>
          <w:i/>
        </w:rPr>
        <w:t>Act</w:t>
      </w:r>
      <w:r>
        <w:rPr>
          <w:i/>
        </w:rPr>
        <w:t xml:space="preserve"> </w:t>
      </w:r>
      <w:r w:rsidRPr="00890C90">
        <w:rPr>
          <w:i/>
        </w:rPr>
        <w:t>2011</w:t>
      </w:r>
      <w:r>
        <w:t xml:space="preserve"> (Cth) provides that conduct by officers is taken to be conduct of the Commonwealth, and that the Commonwealth is liable for breaches of the Act or contraventions of WHS civil penalty provisions. According to the PWR Act’s Explanatory Memorandum, the purpose of the amendments was to reinforce parliamentarians ‘have a clear duty to exercise due diligence to ensure the Commonwealth complies with its duties and obligations to MoP(S) Act employees, including to ensure the health and safety of those employees’.</w:t>
      </w:r>
    </w:p>
  </w:footnote>
  <w:footnote w:id="292">
    <w:p w14:paraId="0AF4292F" w14:textId="77777777" w:rsidR="00C02D25" w:rsidRDefault="00C02D25" w:rsidP="00117317">
      <w:pPr>
        <w:pStyle w:val="FootnoteText"/>
      </w:pPr>
      <w:r>
        <w:rPr>
          <w:rStyle w:val="FootnoteReference"/>
        </w:rPr>
        <w:footnoteRef/>
      </w:r>
      <w:r>
        <w:t xml:space="preserve"> AHRC, </w:t>
      </w:r>
      <w:r w:rsidRPr="00142173">
        <w:rPr>
          <w:i/>
        </w:rPr>
        <w:t>Set the Standard</w:t>
      </w:r>
      <w:r>
        <w:t>, 23 (Recommendation 17(a)).</w:t>
      </w:r>
    </w:p>
  </w:footnote>
  <w:footnote w:id="293">
    <w:p w14:paraId="53DC9E74" w14:textId="553BAFB7" w:rsidR="00C02D25" w:rsidRDefault="00C02D25" w:rsidP="00117317">
      <w:pPr>
        <w:pStyle w:val="FootnoteText"/>
      </w:pPr>
      <w:r>
        <w:rPr>
          <w:rStyle w:val="FootnoteReference"/>
        </w:rPr>
        <w:footnoteRef/>
      </w:r>
      <w:r>
        <w:t xml:space="preserve"> Australian Government, ‘End employment’, </w:t>
      </w:r>
      <w:r>
        <w:rPr>
          <w:i/>
        </w:rPr>
        <w:t>Business.gov.au</w:t>
      </w:r>
      <w:r>
        <w:t xml:space="preserve"> [website], (2022) </w:t>
      </w:r>
      <w:hyperlink r:id="rId62" w:history="1">
        <w:r w:rsidRPr="00407751">
          <w:rPr>
            <w:rStyle w:val="Hyperlink"/>
          </w:rPr>
          <w:t>https://business.gov.au/people/employees/end-employment</w:t>
        </w:r>
      </w:hyperlink>
      <w:r>
        <w:t>, accessed 22 September 2022).</w:t>
      </w:r>
    </w:p>
  </w:footnote>
  <w:footnote w:id="294">
    <w:p w14:paraId="0F4EEF05" w14:textId="4E98347D" w:rsidR="00C02D25" w:rsidRDefault="00C02D25" w:rsidP="00117317">
      <w:pPr>
        <w:pStyle w:val="FootnoteText"/>
      </w:pPr>
      <w:r>
        <w:rPr>
          <w:rStyle w:val="FootnoteReference"/>
        </w:rPr>
        <w:footnoteRef/>
      </w:r>
      <w:r>
        <w:t xml:space="preserve"> Tim</w:t>
      </w:r>
      <w:r w:rsidRPr="008D2906">
        <w:t xml:space="preserve"> Don</w:t>
      </w:r>
      <w:r>
        <w:t xml:space="preserve">aghey, </w:t>
      </w:r>
      <w:r>
        <w:rPr>
          <w:i/>
        </w:rPr>
        <w:t>Termination of Employment</w:t>
      </w:r>
      <w:r>
        <w:t xml:space="preserve"> (2</w:t>
      </w:r>
      <w:r w:rsidRPr="008D2906">
        <w:rPr>
          <w:vertAlign w:val="superscript"/>
        </w:rPr>
        <w:t>nd</w:t>
      </w:r>
      <w:r>
        <w:t xml:space="preserve"> edn., Chatswood NSW: LexisNexis Butterworths, 2013), 188.</w:t>
      </w:r>
    </w:p>
  </w:footnote>
  <w:footnote w:id="295">
    <w:p w14:paraId="62344790" w14:textId="77777777" w:rsidR="00C02D25" w:rsidRDefault="00C02D25" w:rsidP="00117317">
      <w:pPr>
        <w:pStyle w:val="FootnoteText"/>
      </w:pPr>
      <w:r>
        <w:rPr>
          <w:rStyle w:val="FootnoteReference"/>
        </w:rPr>
        <w:footnoteRef/>
      </w:r>
      <w:r>
        <w:t xml:space="preserve"> </w:t>
      </w:r>
      <w:r w:rsidRPr="000F7759">
        <w:rPr>
          <w:i/>
        </w:rPr>
        <w:t>Fair Work Regulations 2009</w:t>
      </w:r>
      <w:r>
        <w:rPr>
          <w:i/>
        </w:rPr>
        <w:t xml:space="preserve"> </w:t>
      </w:r>
      <w:r>
        <w:t>(</w:t>
      </w:r>
      <w:r w:rsidRPr="005F78C6">
        <w:t>FW Regulations</w:t>
      </w:r>
      <w:r>
        <w:t>), reg 1.07(2).</w:t>
      </w:r>
    </w:p>
  </w:footnote>
  <w:footnote w:id="296">
    <w:p w14:paraId="0AAA5AB9" w14:textId="77777777" w:rsidR="00C02D25" w:rsidRDefault="00C02D25" w:rsidP="00117317">
      <w:pPr>
        <w:pStyle w:val="FootnoteText"/>
      </w:pPr>
      <w:r>
        <w:rPr>
          <w:rStyle w:val="FootnoteReference"/>
        </w:rPr>
        <w:footnoteRef/>
      </w:r>
      <w:r>
        <w:t xml:space="preserve"> </w:t>
      </w:r>
      <w:r w:rsidRPr="005F78C6">
        <w:t>FW</w:t>
      </w:r>
      <w:r>
        <w:t xml:space="preserve"> Regulations, reg 1.07(3).</w:t>
      </w:r>
    </w:p>
  </w:footnote>
  <w:footnote w:id="297">
    <w:p w14:paraId="446724E7" w14:textId="38EECF32" w:rsidR="00C02D25" w:rsidRDefault="00C02D25" w:rsidP="00117317">
      <w:pPr>
        <w:pStyle w:val="FootnoteText"/>
      </w:pPr>
      <w:r>
        <w:rPr>
          <w:rStyle w:val="FootnoteReference"/>
        </w:rPr>
        <w:footnoteRef/>
      </w:r>
      <w:r>
        <w:t xml:space="preserve"> Enterprise Agreement, cls 61.4 and 62.1.</w:t>
      </w:r>
    </w:p>
  </w:footnote>
  <w:footnote w:id="298">
    <w:p w14:paraId="43FF8683" w14:textId="0B1624BD" w:rsidR="00C02D25" w:rsidRDefault="00C02D25" w:rsidP="00117317">
      <w:pPr>
        <w:pStyle w:val="FootnoteText"/>
      </w:pPr>
      <w:r>
        <w:rPr>
          <w:rStyle w:val="FootnoteReference"/>
        </w:rPr>
        <w:footnoteRef/>
      </w:r>
      <w:r>
        <w:t xml:space="preserve"> FW Act, Pt 3-1, sub-ss 338(1)(a) and (2)(b).</w:t>
      </w:r>
    </w:p>
  </w:footnote>
  <w:footnote w:id="299">
    <w:p w14:paraId="3CD82C34" w14:textId="77777777" w:rsidR="00C02D25" w:rsidRDefault="00C02D25">
      <w:pPr>
        <w:pStyle w:val="FootnoteText"/>
      </w:pPr>
      <w:r>
        <w:rPr>
          <w:rStyle w:val="FootnoteReference"/>
        </w:rPr>
        <w:footnoteRef/>
      </w:r>
      <w:r>
        <w:t xml:space="preserve"> FW Act, ss 340 and 341.</w:t>
      </w:r>
    </w:p>
  </w:footnote>
  <w:footnote w:id="300">
    <w:p w14:paraId="4C248DD9" w14:textId="77777777" w:rsidR="00C02D25" w:rsidRDefault="00C02D25">
      <w:pPr>
        <w:pStyle w:val="FootnoteText"/>
      </w:pPr>
      <w:r>
        <w:rPr>
          <w:rStyle w:val="FootnoteReference"/>
        </w:rPr>
        <w:footnoteRef/>
      </w:r>
      <w:r>
        <w:t xml:space="preserve"> FW Act, s 351.</w:t>
      </w:r>
    </w:p>
  </w:footnote>
  <w:footnote w:id="301">
    <w:p w14:paraId="31629832" w14:textId="77777777" w:rsidR="00C02D25" w:rsidRDefault="00C02D25" w:rsidP="00117317">
      <w:pPr>
        <w:pStyle w:val="FootnoteText"/>
      </w:pPr>
      <w:r>
        <w:rPr>
          <w:rStyle w:val="FootnoteReference"/>
        </w:rPr>
        <w:footnoteRef/>
      </w:r>
      <w:r>
        <w:t xml:space="preserve"> FW Act, s 385.</w:t>
      </w:r>
    </w:p>
  </w:footnote>
  <w:footnote w:id="302">
    <w:p w14:paraId="2E759241" w14:textId="77777777" w:rsidR="00C02D25" w:rsidRDefault="00C02D25" w:rsidP="00117317">
      <w:pPr>
        <w:pStyle w:val="FootnoteText"/>
      </w:pPr>
      <w:r>
        <w:rPr>
          <w:rStyle w:val="FootnoteReference"/>
        </w:rPr>
        <w:footnoteRef/>
      </w:r>
      <w:r>
        <w:t xml:space="preserve"> FW Act, sub-s 385(d).</w:t>
      </w:r>
    </w:p>
  </w:footnote>
  <w:footnote w:id="303">
    <w:p w14:paraId="6F788427" w14:textId="000A3537" w:rsidR="00C02D25" w:rsidRPr="00D83CD8" w:rsidRDefault="00C02D25">
      <w:pPr>
        <w:pStyle w:val="FootnoteText"/>
      </w:pPr>
      <w:r>
        <w:rPr>
          <w:rStyle w:val="FootnoteReference"/>
        </w:rPr>
        <w:footnoteRef/>
      </w:r>
      <w:r>
        <w:t xml:space="preserve"> Fair Work Commission, </w:t>
      </w:r>
      <w:r w:rsidRPr="00346191">
        <w:rPr>
          <w:i/>
        </w:rPr>
        <w:t>Unfair Dismissals Benchbook</w:t>
      </w:r>
      <w:r>
        <w:rPr>
          <w:i/>
        </w:rPr>
        <w:t xml:space="preserve"> </w:t>
      </w:r>
      <w:r w:rsidRPr="005F78C6">
        <w:t>[online document]</w:t>
      </w:r>
      <w:r>
        <w:t xml:space="preserve">, (2021), 31-32, </w:t>
      </w:r>
      <w:hyperlink r:id="rId63" w:history="1">
        <w:r w:rsidRPr="00407751">
          <w:rPr>
            <w:rStyle w:val="Hyperlink"/>
          </w:rPr>
          <w:t>https://www.fwc.gov.au/documents/documents/benchbookresources/unfairdismissals/unfair-dismissals-benchbook.pdf</w:t>
        </w:r>
      </w:hyperlink>
      <w:r>
        <w:t>, accessed 26 September 2022.</w:t>
      </w:r>
    </w:p>
  </w:footnote>
  <w:footnote w:id="304">
    <w:p w14:paraId="7D72C360" w14:textId="77777777" w:rsidR="00C02D25" w:rsidRDefault="00C02D25" w:rsidP="00117317">
      <w:pPr>
        <w:pStyle w:val="FootnoteText"/>
      </w:pPr>
      <w:r>
        <w:rPr>
          <w:rStyle w:val="FootnoteReference"/>
        </w:rPr>
        <w:footnoteRef/>
      </w:r>
      <w:r>
        <w:t xml:space="preserve"> FW Act, sub-s 386(1)(b).</w:t>
      </w:r>
    </w:p>
  </w:footnote>
  <w:footnote w:id="305">
    <w:p w14:paraId="36BE39C7" w14:textId="66608A9A" w:rsidR="00C02D25" w:rsidRDefault="00C02D25" w:rsidP="00DC2D4B">
      <w:pPr>
        <w:pStyle w:val="FootnoteText"/>
      </w:pPr>
      <w:r>
        <w:rPr>
          <w:rStyle w:val="FootnoteReference"/>
        </w:rPr>
        <w:footnoteRef/>
      </w:r>
      <w:r>
        <w:t xml:space="preserve"> Fair Work Ombudsman, </w:t>
      </w:r>
      <w:r w:rsidRPr="00346191">
        <w:rPr>
          <w:i/>
        </w:rPr>
        <w:t>Unfair Dismissals</w:t>
      </w:r>
      <w:r>
        <w:t xml:space="preserve"> [website], (no date) </w:t>
      </w:r>
      <w:hyperlink r:id="rId64" w:history="1">
        <w:r w:rsidRPr="00407751">
          <w:rPr>
            <w:rStyle w:val="Hyperlink"/>
          </w:rPr>
          <w:t>https://www.fairwork.gov.au/ending-employment/unfair-dismissal</w:t>
        </w:r>
      </w:hyperlink>
      <w:r>
        <w:rPr>
          <w:rStyle w:val="Hyperlink"/>
        </w:rPr>
        <w:t>,</w:t>
      </w:r>
      <w:r>
        <w:t xml:space="preserve"> accessed 26 September 2022.</w:t>
      </w:r>
    </w:p>
  </w:footnote>
  <w:footnote w:id="306">
    <w:p w14:paraId="3ABB6388" w14:textId="44DA6965" w:rsidR="00C02D25" w:rsidRDefault="00C02D25" w:rsidP="00117317">
      <w:pPr>
        <w:pStyle w:val="FootnoteText"/>
      </w:pPr>
      <w:r>
        <w:rPr>
          <w:rStyle w:val="FootnoteReference"/>
        </w:rPr>
        <w:footnoteRef/>
      </w:r>
      <w:r>
        <w:t xml:space="preserve"> Fair Work Commission, </w:t>
      </w:r>
      <w:r w:rsidRPr="00346191">
        <w:rPr>
          <w:i/>
        </w:rPr>
        <w:t>Unfair Dismissals Benchbook</w:t>
      </w:r>
      <w:r>
        <w:rPr>
          <w:i/>
        </w:rPr>
        <w:t xml:space="preserve">, </w:t>
      </w:r>
      <w:r>
        <w:t>131.</w:t>
      </w:r>
    </w:p>
  </w:footnote>
  <w:footnote w:id="307">
    <w:p w14:paraId="41E622E3" w14:textId="77777777" w:rsidR="00C02D25" w:rsidRDefault="00C02D25" w:rsidP="00117317">
      <w:pPr>
        <w:pStyle w:val="FootnoteText"/>
      </w:pPr>
      <w:r>
        <w:rPr>
          <w:rStyle w:val="FootnoteReference"/>
        </w:rPr>
        <w:footnoteRef/>
      </w:r>
      <w:r>
        <w:t xml:space="preserve"> FW Act, s 117.</w:t>
      </w:r>
    </w:p>
  </w:footnote>
  <w:footnote w:id="308">
    <w:p w14:paraId="34D52712" w14:textId="77777777" w:rsidR="00C02D25" w:rsidRDefault="00C02D25">
      <w:pPr>
        <w:pStyle w:val="FootnoteText"/>
      </w:pPr>
      <w:r>
        <w:rPr>
          <w:rStyle w:val="FootnoteReference"/>
        </w:rPr>
        <w:footnoteRef/>
      </w:r>
      <w:r>
        <w:t xml:space="preserve"> </w:t>
      </w:r>
      <w:r w:rsidRPr="00C52874">
        <w:rPr>
          <w:i/>
        </w:rPr>
        <w:t>Submission 42</w:t>
      </w:r>
      <w:r>
        <w:t>, 6.</w:t>
      </w:r>
    </w:p>
  </w:footnote>
  <w:footnote w:id="309">
    <w:p w14:paraId="7048B7C0" w14:textId="0978CE57" w:rsidR="00C02D25" w:rsidRDefault="00C02D25" w:rsidP="00117317">
      <w:pPr>
        <w:pStyle w:val="FootnoteText"/>
      </w:pPr>
      <w:r>
        <w:rPr>
          <w:rStyle w:val="FootnoteReference"/>
        </w:rPr>
        <w:footnoteRef/>
      </w:r>
      <w:r>
        <w:t xml:space="preserve"> AHRC, </w:t>
      </w:r>
      <w:r>
        <w:rPr>
          <w:i/>
        </w:rPr>
        <w:t>Set the Standard</w:t>
      </w:r>
      <w:r>
        <w:t xml:space="preserve">, 206; Elizabeth Broderick &amp; Co., </w:t>
      </w:r>
      <w:r w:rsidRPr="00346191">
        <w:rPr>
          <w:i/>
        </w:rPr>
        <w:t>Leading for Change: Independent Review of Bullying, Sexual Harassment and Sexual Misconduct in NSW Parliamentary Workplaces 2022</w:t>
      </w:r>
      <w:r>
        <w:t xml:space="preserve"> [online document], (2022), 18-19, </w:t>
      </w:r>
      <w:hyperlink r:id="rId65" w:history="1">
        <w:r w:rsidRPr="00407751">
          <w:rPr>
            <w:rStyle w:val="Hyperlink"/>
          </w:rPr>
          <w:t>https://www.parliament.nsw.gov.au/about/Documents/Independent%20Broderick%20Report.pdf</w:t>
        </w:r>
      </w:hyperlink>
      <w:r>
        <w:t>, accessed 26 September 2022; Gemma White QC</w:t>
      </w:r>
      <w:r w:rsidRPr="00C52874">
        <w:t xml:space="preserve"> </w:t>
      </w:r>
      <w:r>
        <w:t xml:space="preserve">, </w:t>
      </w:r>
      <w:r w:rsidRPr="00346191">
        <w:rPr>
          <w:i/>
        </w:rPr>
        <w:t>Bullying and Harassment of MPs’ Parliamentary Staff – Independent Inquiry Report</w:t>
      </w:r>
      <w:r>
        <w:t xml:space="preserve"> [online document], (2019) </w:t>
      </w:r>
      <w:hyperlink r:id="rId66" w:history="1">
        <w:r w:rsidRPr="00407751">
          <w:rPr>
            <w:rStyle w:val="Hyperlink"/>
          </w:rPr>
          <w:t>https://www.parliament.uk/globalassets/documents/Conduct-in-Parliament/GWQC-Inquiry-Report-11-July-2019_.pdf</w:t>
        </w:r>
      </w:hyperlink>
      <w:r>
        <w:t>, 29, accessed 26 September 2022.</w:t>
      </w:r>
    </w:p>
  </w:footnote>
  <w:footnote w:id="310">
    <w:p w14:paraId="30BE3544" w14:textId="77777777" w:rsidR="00C02D25" w:rsidRDefault="00C02D25" w:rsidP="00117317">
      <w:pPr>
        <w:pStyle w:val="FootnoteText"/>
      </w:pPr>
      <w:r>
        <w:rPr>
          <w:rStyle w:val="FootnoteReference"/>
        </w:rPr>
        <w:footnoteRef/>
      </w:r>
      <w:r>
        <w:t xml:space="preserve"> AHRC, </w:t>
      </w:r>
      <w:r>
        <w:rPr>
          <w:i/>
        </w:rPr>
        <w:t>Set the Standard</w:t>
      </w:r>
      <w:r>
        <w:t>, 206.</w:t>
      </w:r>
    </w:p>
  </w:footnote>
  <w:footnote w:id="311">
    <w:p w14:paraId="0C0E3691" w14:textId="77777777" w:rsidR="00C02D25" w:rsidRDefault="00C02D25">
      <w:pPr>
        <w:pStyle w:val="FootnoteText"/>
      </w:pPr>
      <w:r>
        <w:rPr>
          <w:rStyle w:val="FootnoteReference"/>
        </w:rPr>
        <w:footnoteRef/>
      </w:r>
      <w:r>
        <w:t xml:space="preserve"> </w:t>
      </w:r>
      <w:r w:rsidRPr="00012210">
        <w:rPr>
          <w:i/>
        </w:rPr>
        <w:t>Submission 30</w:t>
      </w:r>
      <w:r>
        <w:t>, 3.</w:t>
      </w:r>
    </w:p>
  </w:footnote>
  <w:footnote w:id="312">
    <w:p w14:paraId="3B6D04D4" w14:textId="77777777" w:rsidR="00C02D25" w:rsidRDefault="00C02D25" w:rsidP="006F06DF">
      <w:pPr>
        <w:pStyle w:val="FootnoteText"/>
      </w:pPr>
      <w:r>
        <w:rPr>
          <w:rStyle w:val="FootnoteReference"/>
        </w:rPr>
        <w:footnoteRef/>
      </w:r>
      <w:r>
        <w:t xml:space="preserve"> </w:t>
      </w:r>
      <w:r w:rsidRPr="004D2593">
        <w:rPr>
          <w:i/>
        </w:rPr>
        <w:t>Submission 10</w:t>
      </w:r>
      <w:r>
        <w:t>, 10.</w:t>
      </w:r>
    </w:p>
  </w:footnote>
  <w:footnote w:id="313">
    <w:p w14:paraId="5184AAA0" w14:textId="428C2C4C" w:rsidR="00C02D25" w:rsidRDefault="00C02D25" w:rsidP="00117317">
      <w:pPr>
        <w:pStyle w:val="FootnoteText"/>
      </w:pPr>
      <w:r>
        <w:rPr>
          <w:rStyle w:val="FootnoteReference"/>
        </w:rPr>
        <w:footnoteRef/>
      </w:r>
      <w:r>
        <w:t xml:space="preserve"> AHRC, </w:t>
      </w:r>
      <w:r>
        <w:rPr>
          <w:i/>
        </w:rPr>
        <w:t>Set the Standard</w:t>
      </w:r>
      <w:r>
        <w:t>, 16.</w:t>
      </w:r>
    </w:p>
  </w:footnote>
  <w:footnote w:id="314">
    <w:p w14:paraId="375958DC" w14:textId="2B67A29A" w:rsidR="00C02D25" w:rsidRPr="00225E82" w:rsidRDefault="00C02D25" w:rsidP="00117317">
      <w:pPr>
        <w:pStyle w:val="FootnoteText"/>
      </w:pPr>
      <w:r>
        <w:rPr>
          <w:rStyle w:val="FootnoteReference"/>
        </w:rPr>
        <w:footnoteRef/>
      </w:r>
      <w:r>
        <w:t xml:space="preserve"> </w:t>
      </w:r>
      <w:r>
        <w:rPr>
          <w:i/>
        </w:rPr>
        <w:t>Work Health and Safety</w:t>
      </w:r>
      <w:r w:rsidRPr="000850EB">
        <w:rPr>
          <w:i/>
        </w:rPr>
        <w:t xml:space="preserve"> Act</w:t>
      </w:r>
      <w:r>
        <w:rPr>
          <w:i/>
        </w:rPr>
        <w:t xml:space="preserve"> 2011 </w:t>
      </w:r>
      <w:r>
        <w:t>(Cth), s 19.</w:t>
      </w:r>
    </w:p>
  </w:footnote>
  <w:footnote w:id="315">
    <w:p w14:paraId="79B2CAE2" w14:textId="0D0D878C" w:rsidR="00C02D25" w:rsidRDefault="00C02D25" w:rsidP="00117317">
      <w:pPr>
        <w:pStyle w:val="FootnoteText"/>
      </w:pPr>
      <w:r>
        <w:rPr>
          <w:rStyle w:val="FootnoteReference"/>
        </w:rPr>
        <w:footnoteRef/>
      </w:r>
      <w:r>
        <w:t xml:space="preserve"> </w:t>
      </w:r>
      <w:r w:rsidRPr="004D2593">
        <w:rPr>
          <w:i/>
        </w:rPr>
        <w:t>Submission 5</w:t>
      </w:r>
      <w:r>
        <w:t>, 8.</w:t>
      </w:r>
    </w:p>
  </w:footnote>
  <w:footnote w:id="316">
    <w:p w14:paraId="5B1E2D92" w14:textId="51686BF9" w:rsidR="00C02D25" w:rsidRDefault="00C02D25" w:rsidP="00117317">
      <w:pPr>
        <w:pStyle w:val="FootnoteText"/>
      </w:pPr>
      <w:r>
        <w:rPr>
          <w:rStyle w:val="FootnoteReference"/>
        </w:rPr>
        <w:footnoteRef/>
      </w:r>
      <w:r>
        <w:t xml:space="preserve"> </w:t>
      </w:r>
      <w:r w:rsidRPr="004D2593">
        <w:rPr>
          <w:i/>
        </w:rPr>
        <w:t>Submission 10</w:t>
      </w:r>
      <w:r>
        <w:t>, 12.</w:t>
      </w:r>
    </w:p>
  </w:footnote>
  <w:footnote w:id="317">
    <w:p w14:paraId="2FC7226A" w14:textId="4F37B07E" w:rsidR="00C02D25" w:rsidRPr="00D93E7B" w:rsidRDefault="00C02D25">
      <w:pPr>
        <w:pStyle w:val="FootnoteText"/>
      </w:pPr>
      <w:r>
        <w:rPr>
          <w:rStyle w:val="FootnoteReference"/>
        </w:rPr>
        <w:footnoteRef/>
      </w:r>
      <w:r>
        <w:t xml:space="preserve"> House of Commons Canada, </w:t>
      </w:r>
      <w:r>
        <w:rPr>
          <w:i/>
        </w:rPr>
        <w:t>Members’ Allowances and Services</w:t>
      </w:r>
      <w:r>
        <w:t xml:space="preserve">, [online document], (15 May 2018), cl 8.4, </w:t>
      </w:r>
      <w:hyperlink r:id="rId67" w:history="1">
        <w:r w:rsidRPr="00D53F28">
          <w:rPr>
            <w:rStyle w:val="Hyperlink"/>
          </w:rPr>
          <w:t>https://www.ourcommons.ca/Content/MAS/mas-e.pdf</w:t>
        </w:r>
      </w:hyperlink>
      <w:r>
        <w:t>, accessed 23 September 2022.</w:t>
      </w:r>
    </w:p>
  </w:footnote>
  <w:footnote w:id="318">
    <w:p w14:paraId="05801753" w14:textId="25CF754B" w:rsidR="00C02D25" w:rsidRDefault="00C02D25" w:rsidP="00D93E7B">
      <w:pPr>
        <w:pStyle w:val="FootnoteText"/>
      </w:pPr>
      <w:r>
        <w:rPr>
          <w:rStyle w:val="FootnoteReference"/>
        </w:rPr>
        <w:footnoteRef/>
      </w:r>
      <w:r>
        <w:t xml:space="preserve"> UK Parliament, </w:t>
      </w:r>
      <w:r w:rsidRPr="00E615BC">
        <w:rPr>
          <w:i/>
        </w:rPr>
        <w:t>House of Commons Staff Handbook – Chapter 26: Resignation, retirement, or dismissal</w:t>
      </w:r>
      <w:r>
        <w:t xml:space="preserve"> [online document] (April 2021), para 3.5, </w:t>
      </w:r>
      <w:hyperlink r:id="rId68" w:history="1">
        <w:r w:rsidRPr="00EF103E">
          <w:rPr>
            <w:rStyle w:val="Hyperlink"/>
          </w:rPr>
          <w:t>https://www.parliament.uk/contentassets/375c1cca2849461fb61bf02d9cc980ea/</w:t>
        </w:r>
        <w:r w:rsidRPr="00D53F28">
          <w:rPr>
            <w:rStyle w:val="Hyperlink"/>
          </w:rPr>
          <w:br/>
        </w:r>
        <w:r w:rsidRPr="00EF103E">
          <w:rPr>
            <w:rStyle w:val="Hyperlink"/>
          </w:rPr>
          <w:t>chapter-26-final-pdf-april-2021.pdf</w:t>
        </w:r>
      </w:hyperlink>
      <w:r>
        <w:t>, accessed 23 September 2022.</w:t>
      </w:r>
    </w:p>
  </w:footnote>
  <w:footnote w:id="319">
    <w:p w14:paraId="1E0B8453" w14:textId="77777777" w:rsidR="00C02D25" w:rsidRDefault="00C02D25">
      <w:pPr>
        <w:pStyle w:val="FootnoteText"/>
      </w:pPr>
      <w:r>
        <w:rPr>
          <w:rStyle w:val="FootnoteReference"/>
        </w:rPr>
        <w:footnoteRef/>
      </w:r>
      <w:r>
        <w:t xml:space="preserve"> </w:t>
      </w:r>
      <w:r w:rsidRPr="004D2593">
        <w:rPr>
          <w:i/>
        </w:rPr>
        <w:t xml:space="preserve">Submission </w:t>
      </w:r>
      <w:r>
        <w:rPr>
          <w:i/>
        </w:rPr>
        <w:t>42</w:t>
      </w:r>
      <w:r>
        <w:t>, 3.</w:t>
      </w:r>
    </w:p>
  </w:footnote>
  <w:footnote w:id="320">
    <w:p w14:paraId="3AE02E55" w14:textId="77777777" w:rsidR="00C02D25" w:rsidRDefault="00C02D25" w:rsidP="00117317">
      <w:pPr>
        <w:pStyle w:val="FootnoteText"/>
      </w:pPr>
      <w:r>
        <w:rPr>
          <w:rStyle w:val="FootnoteReference"/>
        </w:rPr>
        <w:footnoteRef/>
      </w:r>
      <w:r>
        <w:t xml:space="preserve"> AHRC, </w:t>
      </w:r>
      <w:r>
        <w:rPr>
          <w:i/>
        </w:rPr>
        <w:t>Set the Standard</w:t>
      </w:r>
      <w:r>
        <w:t>, 207.</w:t>
      </w:r>
    </w:p>
  </w:footnote>
  <w:footnote w:id="321">
    <w:p w14:paraId="455E45F9" w14:textId="77777777" w:rsidR="00C02D25" w:rsidRDefault="00C02D25" w:rsidP="00117317">
      <w:pPr>
        <w:pStyle w:val="FootnoteText"/>
      </w:pPr>
      <w:r>
        <w:rPr>
          <w:rStyle w:val="FootnoteReference"/>
        </w:rPr>
        <w:footnoteRef/>
      </w:r>
      <w:r>
        <w:t xml:space="preserve"> </w:t>
      </w:r>
      <w:r w:rsidRPr="004C7E82">
        <w:rPr>
          <w:i/>
        </w:rPr>
        <w:t>Submission 10</w:t>
      </w:r>
      <w:r>
        <w:t>, 5.</w:t>
      </w:r>
    </w:p>
  </w:footnote>
  <w:footnote w:id="322">
    <w:p w14:paraId="4CAF4C28" w14:textId="77777777" w:rsidR="00C02D25" w:rsidRPr="00C0150C" w:rsidRDefault="00C02D25">
      <w:pPr>
        <w:pStyle w:val="FootnoteText"/>
      </w:pPr>
      <w:r>
        <w:rPr>
          <w:rStyle w:val="FootnoteReference"/>
        </w:rPr>
        <w:footnoteRef/>
      </w:r>
      <w:r>
        <w:t xml:space="preserve"> </w:t>
      </w:r>
      <w:r>
        <w:rPr>
          <w:i/>
        </w:rPr>
        <w:t>Parliamentary Service Act 1988</w:t>
      </w:r>
      <w:r>
        <w:t xml:space="preserve"> (Cth), sub-s 42(2).</w:t>
      </w:r>
    </w:p>
  </w:footnote>
  <w:footnote w:id="323">
    <w:p w14:paraId="0FC848F3" w14:textId="77777777" w:rsidR="00C02D25" w:rsidRPr="004C7E82" w:rsidRDefault="00C02D25">
      <w:pPr>
        <w:pStyle w:val="FootnoteText"/>
      </w:pPr>
      <w:r>
        <w:rPr>
          <w:rStyle w:val="FootnoteReference"/>
        </w:rPr>
        <w:footnoteRef/>
      </w:r>
      <w:r>
        <w:t xml:space="preserve"> AHRC, </w:t>
      </w:r>
      <w:r>
        <w:rPr>
          <w:i/>
        </w:rPr>
        <w:t xml:space="preserve">Set the Standard, </w:t>
      </w:r>
      <w:r>
        <w:t>23 (Recommendation 16).</w:t>
      </w:r>
    </w:p>
  </w:footnote>
  <w:footnote w:id="324">
    <w:p w14:paraId="11A341DC" w14:textId="0AD33699" w:rsidR="00C02D25" w:rsidRDefault="00C02D25" w:rsidP="00117317">
      <w:pPr>
        <w:pStyle w:val="FootnoteText"/>
      </w:pPr>
      <w:r>
        <w:rPr>
          <w:rStyle w:val="FootnoteReference"/>
        </w:rPr>
        <w:footnoteRef/>
      </w:r>
      <w:r>
        <w:t xml:space="preserve"> </w:t>
      </w:r>
      <w:r w:rsidRPr="0073724F">
        <w:t>PS Act</w:t>
      </w:r>
      <w:r>
        <w:t xml:space="preserve">, s 29; </w:t>
      </w:r>
      <w:r>
        <w:rPr>
          <w:i/>
        </w:rPr>
        <w:t>Parliamentary Service Act 1999</w:t>
      </w:r>
      <w:r>
        <w:t xml:space="preserve"> (Qld), s 29.</w:t>
      </w:r>
    </w:p>
  </w:footnote>
  <w:footnote w:id="325">
    <w:p w14:paraId="3F225583" w14:textId="77777777" w:rsidR="00C02D25" w:rsidRDefault="00C02D25" w:rsidP="00117317">
      <w:pPr>
        <w:pStyle w:val="FootnoteText"/>
      </w:pPr>
      <w:r>
        <w:rPr>
          <w:rStyle w:val="FootnoteReference"/>
        </w:rPr>
        <w:footnoteRef/>
      </w:r>
      <w:r>
        <w:t xml:space="preserve"> </w:t>
      </w:r>
      <w:r w:rsidRPr="00791A7C">
        <w:rPr>
          <w:i/>
        </w:rPr>
        <w:t>Mammarella v Department of Parliamentary Services</w:t>
      </w:r>
      <w:r>
        <w:t xml:space="preserve"> [2019] FWC 6340 (Harper-Greenwell C, 11 September 2019) para 61.</w:t>
      </w:r>
    </w:p>
  </w:footnote>
  <w:footnote w:id="326">
    <w:p w14:paraId="23374C19" w14:textId="0B77AD68" w:rsidR="00C02D25" w:rsidRPr="00C32925" w:rsidRDefault="00C02D25" w:rsidP="00B84623">
      <w:pPr>
        <w:pStyle w:val="FootnoteText"/>
      </w:pPr>
      <w:r>
        <w:rPr>
          <w:rStyle w:val="FootnoteReference"/>
        </w:rPr>
        <w:footnoteRef/>
      </w:r>
      <w:r>
        <w:t xml:space="preserve"> Australian Law Reform Commission, </w:t>
      </w:r>
      <w:r>
        <w:rPr>
          <w:i/>
        </w:rPr>
        <w:t>Traditional Rights and Freedoms – Encroachment by Commonwealth Laws</w:t>
      </w:r>
      <w:r>
        <w:t>, ALRC Report 129 (2016), para 14.11.</w:t>
      </w:r>
    </w:p>
  </w:footnote>
  <w:footnote w:id="327">
    <w:p w14:paraId="1B6F15D4" w14:textId="09004B3F" w:rsidR="00C02D25" w:rsidRDefault="00C02D25" w:rsidP="00B84623">
      <w:pPr>
        <w:pStyle w:val="FootnoteText"/>
      </w:pPr>
      <w:r>
        <w:rPr>
          <w:rStyle w:val="FootnoteReference"/>
        </w:rPr>
        <w:footnoteRef/>
      </w:r>
      <w:r>
        <w:t xml:space="preserve"> Fair Work Commission, </w:t>
      </w:r>
      <w:r w:rsidRPr="00D652DC">
        <w:rPr>
          <w:i/>
        </w:rPr>
        <w:t>Unfair dismissals benchbook – Other relevant matters</w:t>
      </w:r>
      <w:r w:rsidRPr="00D652DC">
        <w:t xml:space="preserve"> [website], (no date) </w:t>
      </w:r>
      <w:hyperlink r:id="rId69" w:history="1">
        <w:r w:rsidRPr="00EF103E">
          <w:rPr>
            <w:rStyle w:val="Hyperlink"/>
          </w:rPr>
          <w:t>https://www.fwc.gov.au/other-relevant-matters</w:t>
        </w:r>
      </w:hyperlink>
      <w:r w:rsidRPr="00D652DC">
        <w:t>, accessed 19 September 2022</w:t>
      </w:r>
      <w:r>
        <w:t>.</w:t>
      </w:r>
    </w:p>
  </w:footnote>
  <w:footnote w:id="328">
    <w:p w14:paraId="167FA010" w14:textId="327E26A8" w:rsidR="00C02D25" w:rsidRDefault="00C02D25">
      <w:pPr>
        <w:pStyle w:val="FootnoteText"/>
      </w:pPr>
      <w:r>
        <w:rPr>
          <w:rStyle w:val="FootnoteReference"/>
        </w:rPr>
        <w:footnoteRef/>
      </w:r>
      <w:r>
        <w:t xml:space="preserve"> ALRC, </w:t>
      </w:r>
      <w:r>
        <w:rPr>
          <w:i/>
        </w:rPr>
        <w:t>Traditional Rights and Freedoms – Encroachment by Commonwealth Laws</w:t>
      </w:r>
      <w:r>
        <w:t>, paras 14.18-19.</w:t>
      </w:r>
    </w:p>
  </w:footnote>
  <w:footnote w:id="329">
    <w:p w14:paraId="392C553D" w14:textId="77777777" w:rsidR="00C02D25" w:rsidRDefault="00C02D25" w:rsidP="004A0EB0">
      <w:pPr>
        <w:pStyle w:val="FootnoteText"/>
      </w:pPr>
      <w:r>
        <w:rPr>
          <w:rStyle w:val="FootnoteReference"/>
        </w:rPr>
        <w:footnoteRef/>
      </w:r>
      <w:r>
        <w:t xml:space="preserve"> Ibid, paras 14.23-26.</w:t>
      </w:r>
    </w:p>
  </w:footnote>
  <w:footnote w:id="330">
    <w:p w14:paraId="74CECD50" w14:textId="77777777" w:rsidR="00C02D25" w:rsidRDefault="00C02D25">
      <w:pPr>
        <w:pStyle w:val="FootnoteText"/>
      </w:pPr>
      <w:r>
        <w:rPr>
          <w:rStyle w:val="FootnoteReference"/>
        </w:rPr>
        <w:footnoteRef/>
      </w:r>
      <w:r>
        <w:t xml:space="preserve"> Ibid, para 14.21.</w:t>
      </w:r>
    </w:p>
  </w:footnote>
  <w:footnote w:id="331">
    <w:p w14:paraId="3CA77331" w14:textId="140AF7EF" w:rsidR="00C02D25" w:rsidRPr="0093049F" w:rsidRDefault="00C02D25">
      <w:pPr>
        <w:pStyle w:val="FootnoteText"/>
      </w:pPr>
      <w:r>
        <w:rPr>
          <w:rStyle w:val="FootnoteReference"/>
        </w:rPr>
        <w:footnoteRef/>
      </w:r>
      <w:r>
        <w:t xml:space="preserve"> Australian Public Service Commission, </w:t>
      </w:r>
      <w:r w:rsidRPr="0096582B">
        <w:rPr>
          <w:i/>
        </w:rPr>
        <w:t>Fact sheet: Procedural fairness in breach decision-making</w:t>
      </w:r>
      <w:r>
        <w:t xml:space="preserve"> [online document], (2022) </w:t>
      </w:r>
      <w:hyperlink r:id="rId70" w:anchor=":~:text=Procedural%20fairness%20requires%20the%20person,reasonable%20opportunity%20given%20the%20circumstances" w:history="1">
        <w:r w:rsidRPr="00EF103E">
          <w:rPr>
            <w:rStyle w:val="Hyperlink"/>
          </w:rPr>
          <w:t>https://www.apsc.gov.au/fact-sheet/fact-sheet-procedural-fairness-breach-decision-making#:~:text=Procedural%20fairness%20requires%20the%20person,reasonable%20opportunity%20given%20the%20circumstances</w:t>
        </w:r>
      </w:hyperlink>
      <w:r>
        <w:t>, accessed 16 September 2022.</w:t>
      </w:r>
    </w:p>
  </w:footnote>
  <w:footnote w:id="332">
    <w:p w14:paraId="7EFB05D3" w14:textId="77777777" w:rsidR="00C02D25" w:rsidRDefault="00C02D25">
      <w:pPr>
        <w:pStyle w:val="FootnoteText"/>
      </w:pPr>
      <w:r>
        <w:rPr>
          <w:rStyle w:val="FootnoteReference"/>
        </w:rPr>
        <w:footnoteRef/>
      </w:r>
      <w:r>
        <w:t xml:space="preserve"> Ibid.</w:t>
      </w:r>
    </w:p>
  </w:footnote>
  <w:footnote w:id="333">
    <w:p w14:paraId="7F1B667C" w14:textId="7A0E7BB6" w:rsidR="00C02D25" w:rsidRDefault="00C02D25">
      <w:pPr>
        <w:pStyle w:val="FootnoteText"/>
      </w:pPr>
      <w:r>
        <w:rPr>
          <w:rStyle w:val="FootnoteReference"/>
        </w:rPr>
        <w:footnoteRef/>
      </w:r>
      <w:r>
        <w:t xml:space="preserve"> </w:t>
      </w:r>
      <w:r w:rsidRPr="009978FF">
        <w:rPr>
          <w:i/>
        </w:rPr>
        <w:t>Field v Department of Finance</w:t>
      </w:r>
      <w:r w:rsidRPr="00ED085C">
        <w:t xml:space="preserve"> [2022] FWC 1619</w:t>
      </w:r>
      <w:r>
        <w:t xml:space="preserve"> (‘</w:t>
      </w:r>
      <w:r w:rsidRPr="002974BC">
        <w:rPr>
          <w:i/>
        </w:rPr>
        <w:t>Field’</w:t>
      </w:r>
      <w:r>
        <w:t>)</w:t>
      </w:r>
      <w:r w:rsidRPr="00ED085C">
        <w:t>;</w:t>
      </w:r>
      <w:r>
        <w:t xml:space="preserve"> </w:t>
      </w:r>
      <w:r w:rsidRPr="009978FF">
        <w:rPr>
          <w:i/>
        </w:rPr>
        <w:t>Messenger v Commonwealth of Australia (Represented by the Department of Finance)</w:t>
      </w:r>
      <w:r w:rsidRPr="00ED085C">
        <w:t xml:space="preserve"> [2022] FCA 677</w:t>
      </w:r>
      <w:r>
        <w:t xml:space="preserve"> (‘</w:t>
      </w:r>
      <w:r w:rsidRPr="002974BC">
        <w:rPr>
          <w:i/>
        </w:rPr>
        <w:t>Messenger’</w:t>
      </w:r>
      <w:r>
        <w:t>)</w:t>
      </w:r>
      <w:r w:rsidRPr="00ED085C">
        <w:t>;</w:t>
      </w:r>
      <w:r>
        <w:t xml:space="preserve"> </w:t>
      </w:r>
      <w:r w:rsidRPr="009978FF">
        <w:rPr>
          <w:i/>
        </w:rPr>
        <w:t>Lindsay v Department of Finance and Deregulation</w:t>
      </w:r>
      <w:r>
        <w:t xml:space="preserve"> [2011] FWA 4078 (‘</w:t>
      </w:r>
      <w:r>
        <w:rPr>
          <w:i/>
        </w:rPr>
        <w:t>Lindsay</w:t>
      </w:r>
      <w:r>
        <w:t xml:space="preserve">’); </w:t>
      </w:r>
      <w:r w:rsidRPr="009978FF">
        <w:rPr>
          <w:i/>
        </w:rPr>
        <w:t>Andrew Dempster v Commonwealth</w:t>
      </w:r>
      <w:r>
        <w:t xml:space="preserve"> [2004] NSWCIMC 75 (‘</w:t>
      </w:r>
      <w:r>
        <w:rPr>
          <w:i/>
        </w:rPr>
        <w:t>Dempster</w:t>
      </w:r>
      <w:r>
        <w:t xml:space="preserve">’); </w:t>
      </w:r>
      <w:r w:rsidRPr="009978FF">
        <w:rPr>
          <w:i/>
        </w:rPr>
        <w:t>Watkinson v Commonwealth of Australia</w:t>
      </w:r>
      <w:r>
        <w:t xml:space="preserve"> [1997] IRCA 8 (‘</w:t>
      </w:r>
      <w:r>
        <w:rPr>
          <w:i/>
        </w:rPr>
        <w:t>Watkinson</w:t>
      </w:r>
      <w:r>
        <w:t>’).</w:t>
      </w:r>
    </w:p>
  </w:footnote>
  <w:footnote w:id="334">
    <w:p w14:paraId="5937A68B" w14:textId="563E80D1" w:rsidR="00C02D25" w:rsidRDefault="00C02D25">
      <w:pPr>
        <w:pStyle w:val="FootnoteText"/>
      </w:pPr>
      <w:r>
        <w:rPr>
          <w:rStyle w:val="FootnoteReference"/>
        </w:rPr>
        <w:footnoteRef/>
      </w:r>
      <w:r>
        <w:t xml:space="preserve"> </w:t>
      </w:r>
      <w:r w:rsidRPr="009978FF">
        <w:rPr>
          <w:i/>
        </w:rPr>
        <w:t>Field</w:t>
      </w:r>
      <w:r w:rsidRPr="00ED085C">
        <w:t>;</w:t>
      </w:r>
      <w:r>
        <w:t xml:space="preserve"> </w:t>
      </w:r>
      <w:r w:rsidRPr="009978FF">
        <w:rPr>
          <w:i/>
        </w:rPr>
        <w:t>Messenger</w:t>
      </w:r>
      <w:r>
        <w:rPr>
          <w:i/>
        </w:rPr>
        <w:t>;</w:t>
      </w:r>
      <w:r>
        <w:t xml:space="preserve"> </w:t>
      </w:r>
      <w:r w:rsidRPr="009978FF">
        <w:rPr>
          <w:i/>
        </w:rPr>
        <w:t>Ashby v Commonwealth of Australia (No 4)</w:t>
      </w:r>
      <w:r>
        <w:t xml:space="preserve"> [2012] FCA 1411; </w:t>
      </w:r>
      <w:r w:rsidRPr="009978FF">
        <w:rPr>
          <w:i/>
        </w:rPr>
        <w:t>Lindsay v Department of Finance and Deregulation</w:t>
      </w:r>
      <w:r>
        <w:t xml:space="preserve"> [2011] FWA 4078; </w:t>
      </w:r>
      <w:r w:rsidRPr="009978FF">
        <w:rPr>
          <w:i/>
        </w:rPr>
        <w:t>Jeffrey Robert Babb v Commonwealth of Australia (Dept of Administrative Services)</w:t>
      </w:r>
      <w:r>
        <w:t xml:space="preserve"> [1997] FCA 932; </w:t>
      </w:r>
      <w:r w:rsidRPr="009978FF">
        <w:rPr>
          <w:i/>
        </w:rPr>
        <w:t>Cranitch v Commonwealth of Australia</w:t>
      </w:r>
      <w:r>
        <w:t xml:space="preserve"> [1996] IRCA 386.</w:t>
      </w:r>
    </w:p>
  </w:footnote>
  <w:footnote w:id="335">
    <w:p w14:paraId="46FD1A4E" w14:textId="5E8F06D0" w:rsidR="00C02D25" w:rsidRDefault="00C02D25">
      <w:pPr>
        <w:pStyle w:val="FootnoteText"/>
      </w:pPr>
      <w:r>
        <w:rPr>
          <w:rStyle w:val="FootnoteReference"/>
        </w:rPr>
        <w:footnoteRef/>
      </w:r>
      <w:r>
        <w:t xml:space="preserve"> </w:t>
      </w:r>
      <w:r w:rsidRPr="009978FF">
        <w:rPr>
          <w:i/>
        </w:rPr>
        <w:t>Messenger</w:t>
      </w:r>
      <w:r w:rsidRPr="00ED085C">
        <w:t>;</w:t>
      </w:r>
      <w:r>
        <w:t xml:space="preserve"> </w:t>
      </w:r>
      <w:r w:rsidRPr="009978FF">
        <w:rPr>
          <w:i/>
        </w:rPr>
        <w:t>Leach v Commonwealth of Australia</w:t>
      </w:r>
      <w:r>
        <w:t xml:space="preserve"> [2021] FCA 158.</w:t>
      </w:r>
    </w:p>
  </w:footnote>
  <w:footnote w:id="336">
    <w:p w14:paraId="76E70D2E" w14:textId="77777777" w:rsidR="00C02D25" w:rsidRDefault="00C02D25" w:rsidP="00366C0B">
      <w:pPr>
        <w:pStyle w:val="FootnoteText"/>
      </w:pPr>
      <w:r>
        <w:rPr>
          <w:rStyle w:val="FootnoteReference"/>
        </w:rPr>
        <w:footnoteRef/>
      </w:r>
      <w:r>
        <w:t xml:space="preserve"> </w:t>
      </w:r>
      <w:r>
        <w:rPr>
          <w:i/>
        </w:rPr>
        <w:t>Parliamentary Precincts Act 1987</w:t>
      </w:r>
      <w:r>
        <w:t xml:space="preserve"> (Cth), s 6.</w:t>
      </w:r>
    </w:p>
  </w:footnote>
  <w:footnote w:id="337">
    <w:p w14:paraId="18F19EAA" w14:textId="267E754B" w:rsidR="00C02D25" w:rsidRDefault="00C02D25">
      <w:pPr>
        <w:pStyle w:val="FootnoteText"/>
      </w:pPr>
      <w:r>
        <w:rPr>
          <w:rStyle w:val="FootnoteReference"/>
        </w:rPr>
        <w:footnoteRef/>
      </w:r>
      <w:r>
        <w:t xml:space="preserve"> </w:t>
      </w:r>
      <w:r w:rsidRPr="0084522F">
        <w:t xml:space="preserve">Commonwealth, </w:t>
      </w:r>
      <w:r>
        <w:rPr>
          <w:i/>
        </w:rPr>
        <w:t>Parliamentary Debates</w:t>
      </w:r>
      <w:r w:rsidRPr="0084522F">
        <w:t>, Senate, 14 February 2019, 397</w:t>
      </w:r>
      <w:r>
        <w:t xml:space="preserve"> (Senator Scott Ryan, President of the Senate).</w:t>
      </w:r>
    </w:p>
  </w:footnote>
  <w:footnote w:id="338">
    <w:p w14:paraId="7F784E60" w14:textId="77777777" w:rsidR="00C02D25" w:rsidRDefault="00C02D25" w:rsidP="00117317">
      <w:pPr>
        <w:pStyle w:val="FootnoteText"/>
      </w:pPr>
      <w:r>
        <w:rPr>
          <w:rStyle w:val="FootnoteReference"/>
        </w:rPr>
        <w:footnoteRef/>
      </w:r>
      <w:r>
        <w:t xml:space="preserve"> </w:t>
      </w:r>
      <w:r>
        <w:rPr>
          <w:i/>
        </w:rPr>
        <w:t>Parliamentary Precincts Act 1997</w:t>
      </w:r>
      <w:r>
        <w:t xml:space="preserve"> (NSW), ss 18-19.</w:t>
      </w:r>
    </w:p>
  </w:footnote>
  <w:footnote w:id="339">
    <w:p w14:paraId="4563AD17" w14:textId="77777777" w:rsidR="00C02D25" w:rsidRPr="00CD024B" w:rsidRDefault="00C02D25">
      <w:pPr>
        <w:pStyle w:val="FootnoteText"/>
      </w:pPr>
      <w:r>
        <w:rPr>
          <w:rStyle w:val="FootnoteReference"/>
        </w:rPr>
        <w:footnoteRef/>
      </w:r>
      <w:r>
        <w:t xml:space="preserve"> </w:t>
      </w:r>
      <w:r>
        <w:rPr>
          <w:i/>
        </w:rPr>
        <w:t xml:space="preserve">Parliamentary Service Act 1988 </w:t>
      </w:r>
      <w:r>
        <w:t>(Qld), s 41.</w:t>
      </w:r>
    </w:p>
  </w:footnote>
  <w:footnote w:id="340">
    <w:p w14:paraId="7EB152F0" w14:textId="77777777" w:rsidR="00C02D25" w:rsidRPr="003906B2" w:rsidRDefault="00C02D25">
      <w:pPr>
        <w:pStyle w:val="FootnoteText"/>
      </w:pPr>
      <w:r>
        <w:rPr>
          <w:rStyle w:val="FootnoteReference"/>
        </w:rPr>
        <w:footnoteRef/>
      </w:r>
      <w:r>
        <w:t xml:space="preserve"> </w:t>
      </w:r>
      <w:r>
        <w:rPr>
          <w:i/>
        </w:rPr>
        <w:t xml:space="preserve">Public Sector Management Act 1994 </w:t>
      </w:r>
      <w:r>
        <w:t>(WA), sub-s 8(1) and 8(2).</w:t>
      </w:r>
    </w:p>
  </w:footnote>
  <w:footnote w:id="341">
    <w:p w14:paraId="73C7C270" w14:textId="100216E0" w:rsidR="00C02D25" w:rsidRPr="006B265F" w:rsidRDefault="00C02D25">
      <w:pPr>
        <w:pStyle w:val="FootnoteText"/>
      </w:pPr>
      <w:r>
        <w:rPr>
          <w:rStyle w:val="FootnoteReference"/>
        </w:rPr>
        <w:footnoteRef/>
      </w:r>
      <w:r>
        <w:t xml:space="preserve"> </w:t>
      </w:r>
      <w:r w:rsidRPr="00452489">
        <w:t xml:space="preserve">UK Parliament, </w:t>
      </w:r>
      <w:r w:rsidRPr="00452489">
        <w:rPr>
          <w:i/>
        </w:rPr>
        <w:t>House of Commons Staff Handbook – Chapter 19: Disclosing Malpractice or Impropriety (‘Whistleblowing’), Allegations of Dishonesty at Work and Crisis of Conscience</w:t>
      </w:r>
      <w:r w:rsidRPr="00452489">
        <w:t xml:space="preserve"> [</w:t>
      </w:r>
      <w:r>
        <w:t>online document], (April 2021)</w:t>
      </w:r>
      <w:r w:rsidRPr="00452489">
        <w:t xml:space="preserve"> </w:t>
      </w:r>
      <w:r>
        <w:t xml:space="preserve">para 3.11, </w:t>
      </w:r>
      <w:hyperlink r:id="rId71" w:history="1">
        <w:r w:rsidRPr="00EF103E">
          <w:rPr>
            <w:rStyle w:val="Hyperlink"/>
          </w:rPr>
          <w:t>https://www.parliament.uk/contentassets/375c1cca2849461fb61bf02d9cc980ea/chapter-19-final-april-2021.pdf</w:t>
        </w:r>
      </w:hyperlink>
      <w:r w:rsidRPr="00452489">
        <w:t>,</w:t>
      </w:r>
      <w:r>
        <w:t xml:space="preserve"> accessed </w:t>
      </w:r>
      <w:r w:rsidRPr="00452489">
        <w:t>23</w:t>
      </w:r>
      <w:r>
        <w:t xml:space="preserve"> September 2022.</w:t>
      </w:r>
    </w:p>
  </w:footnote>
  <w:footnote w:id="342">
    <w:p w14:paraId="517B2943" w14:textId="2A103149" w:rsidR="00C02D25" w:rsidRPr="006B265F" w:rsidRDefault="00C02D25">
      <w:pPr>
        <w:pStyle w:val="FootnoteText"/>
      </w:pPr>
      <w:r>
        <w:rPr>
          <w:rStyle w:val="FootnoteReference"/>
        </w:rPr>
        <w:footnoteRef/>
      </w:r>
      <w:r>
        <w:t xml:space="preserve"> UK Parliament, </w:t>
      </w:r>
      <w:r w:rsidRPr="00E615BC">
        <w:rPr>
          <w:i/>
        </w:rPr>
        <w:t>House of Commons Sta</w:t>
      </w:r>
      <w:r>
        <w:rPr>
          <w:i/>
        </w:rPr>
        <w:t>ff Handbook – Chapter 20</w:t>
      </w:r>
      <w:r w:rsidRPr="00E615BC">
        <w:rPr>
          <w:i/>
        </w:rPr>
        <w:t xml:space="preserve">: </w:t>
      </w:r>
      <w:r>
        <w:rPr>
          <w:i/>
        </w:rPr>
        <w:t xml:space="preserve">Disciplinary Procedures </w:t>
      </w:r>
      <w:r>
        <w:t xml:space="preserve">[online document], (March 2021) para 8.13, </w:t>
      </w:r>
      <w:hyperlink r:id="rId72" w:history="1">
        <w:r w:rsidRPr="00EF103E">
          <w:rPr>
            <w:rStyle w:val="Hyperlink"/>
          </w:rPr>
          <w:t>https://www.parliament.uk/contentassets/375c1cca2849461fb61bf02d9cc980ea/chapter-20-final-march-2021.pdf</w:t>
        </w:r>
      </w:hyperlink>
      <w:r>
        <w:t>, accessed 23 September 2022.</w:t>
      </w:r>
    </w:p>
  </w:footnote>
  <w:footnote w:id="343">
    <w:p w14:paraId="7CEAE2CD" w14:textId="77777777" w:rsidR="00C02D25" w:rsidRPr="00F92637" w:rsidRDefault="00C02D25" w:rsidP="00117317">
      <w:pPr>
        <w:pStyle w:val="FootnoteText"/>
      </w:pPr>
      <w:r>
        <w:rPr>
          <w:rStyle w:val="FootnoteReference"/>
        </w:rPr>
        <w:footnoteRef/>
      </w:r>
      <w:r>
        <w:t xml:space="preserve"> </w:t>
      </w:r>
      <w:r w:rsidRPr="0037505B">
        <w:t>PS</w:t>
      </w:r>
      <w:r>
        <w:t xml:space="preserve"> Act, s 28.</w:t>
      </w:r>
    </w:p>
  </w:footnote>
  <w:footnote w:id="344">
    <w:p w14:paraId="5A0BCF27" w14:textId="77777777" w:rsidR="00C02D25" w:rsidRDefault="00C02D25" w:rsidP="00117317">
      <w:pPr>
        <w:pStyle w:val="FootnoteText"/>
      </w:pPr>
      <w:r>
        <w:rPr>
          <w:rStyle w:val="FootnoteReference"/>
        </w:rPr>
        <w:footnoteRef/>
      </w:r>
      <w:r>
        <w:t xml:space="preserve"> </w:t>
      </w:r>
      <w:r w:rsidRPr="00B233EE">
        <w:rPr>
          <w:i/>
        </w:rPr>
        <w:t>Public Service Regulations 1999</w:t>
      </w:r>
      <w:r>
        <w:t xml:space="preserve"> (PS Regulations), reg 3.10(1).</w:t>
      </w:r>
    </w:p>
  </w:footnote>
  <w:footnote w:id="345">
    <w:p w14:paraId="1216EE9A" w14:textId="44AC42BC" w:rsidR="00C02D25" w:rsidRDefault="00C02D25" w:rsidP="00117317">
      <w:pPr>
        <w:pStyle w:val="FootnoteText"/>
      </w:pPr>
      <w:r>
        <w:rPr>
          <w:rStyle w:val="FootnoteReference"/>
        </w:rPr>
        <w:footnoteRef/>
      </w:r>
      <w:r>
        <w:t xml:space="preserve"> Ibid, reg 3.10(2)-(3).</w:t>
      </w:r>
    </w:p>
  </w:footnote>
  <w:footnote w:id="346">
    <w:p w14:paraId="14CC3ED9" w14:textId="12F6786A" w:rsidR="00C02D25" w:rsidRDefault="00C02D25" w:rsidP="00117317">
      <w:pPr>
        <w:pStyle w:val="FootnoteText"/>
      </w:pPr>
      <w:r>
        <w:rPr>
          <w:rStyle w:val="FootnoteReference"/>
        </w:rPr>
        <w:footnoteRef/>
      </w:r>
      <w:r>
        <w:t xml:space="preserve"> Ibid, reg 3.10(4)-(5).</w:t>
      </w:r>
    </w:p>
  </w:footnote>
  <w:footnote w:id="347">
    <w:p w14:paraId="12575E99" w14:textId="7DFCA8D9" w:rsidR="00C02D25" w:rsidRDefault="00C02D25">
      <w:pPr>
        <w:pStyle w:val="FootnoteText"/>
      </w:pPr>
      <w:r>
        <w:rPr>
          <w:rStyle w:val="FootnoteReference"/>
        </w:rPr>
        <w:footnoteRef/>
      </w:r>
      <w:r>
        <w:t xml:space="preserve"> See: Elizabeth Broderick &amp; Co., </w:t>
      </w:r>
      <w:r w:rsidRPr="00452489">
        <w:rPr>
          <w:i/>
        </w:rPr>
        <w:t>Leading for Change</w:t>
      </w:r>
      <w:r>
        <w:t>, 22.</w:t>
      </w:r>
    </w:p>
  </w:footnote>
  <w:footnote w:id="348">
    <w:p w14:paraId="3CD4C290" w14:textId="53A2A1AF" w:rsidR="00C02D25" w:rsidRPr="004502DD" w:rsidRDefault="00C02D25">
      <w:pPr>
        <w:pStyle w:val="FootnoteText"/>
      </w:pPr>
      <w:r>
        <w:rPr>
          <w:rStyle w:val="FootnoteReference"/>
        </w:rPr>
        <w:footnoteRef/>
      </w:r>
      <w:r>
        <w:t xml:space="preserve"> Parliamentary Leadership Taskforce </w:t>
      </w:r>
      <w:r w:rsidRPr="005E43A5">
        <w:rPr>
          <w:i/>
        </w:rPr>
        <w:t>Set the Standard: Implementation Tracker – September 2022</w:t>
      </w:r>
      <w:r>
        <w:t xml:space="preserve"> [online document], (12 September 2022) </w:t>
      </w:r>
      <w:hyperlink r:id="rId73" w:history="1">
        <w:r w:rsidRPr="00EF103E">
          <w:rPr>
            <w:rStyle w:val="Hyperlink"/>
          </w:rPr>
          <w:t>https://www.aph.gov.au/-/media/05_About_Parliament/Parliamentary_</w:t>
        </w:r>
        <w:r w:rsidRPr="00D53F28">
          <w:rPr>
            <w:rStyle w:val="Hyperlink"/>
          </w:rPr>
          <w:t>Leader</w:t>
        </w:r>
        <w:r w:rsidRPr="00D53F28">
          <w:rPr>
            <w:rStyle w:val="Hyperlink"/>
          </w:rPr>
          <w:br/>
          <w:t>ship</w:t>
        </w:r>
        <w:r w:rsidRPr="00EF103E">
          <w:rPr>
            <w:rStyle w:val="Hyperlink"/>
          </w:rPr>
          <w:t>_Taskforce/Implementation_tracker/Implementation_Tracker_-_12_September_2022.pdf?la=en&amp;hash=</w:t>
        </w:r>
        <w:r w:rsidRPr="00D53F28">
          <w:rPr>
            <w:rStyle w:val="Hyperlink"/>
          </w:rPr>
          <w:br/>
        </w:r>
        <w:r w:rsidRPr="00EF103E">
          <w:rPr>
            <w:rStyle w:val="Hyperlink"/>
          </w:rPr>
          <w:t>B307905768EE4BDD507BF43B83D4D7660AD7A301</w:t>
        </w:r>
      </w:hyperlink>
      <w:r>
        <w:t>, accessed 22 September 2022.</w:t>
      </w:r>
    </w:p>
  </w:footnote>
  <w:footnote w:id="349">
    <w:p w14:paraId="4938E3E1" w14:textId="77777777" w:rsidR="00C02D25" w:rsidRDefault="00C02D25" w:rsidP="00117317">
      <w:pPr>
        <w:pStyle w:val="FootnoteText"/>
      </w:pPr>
      <w:r>
        <w:rPr>
          <w:rStyle w:val="FootnoteReference"/>
        </w:rPr>
        <w:footnoteRef/>
      </w:r>
      <w:r>
        <w:t xml:space="preserve"> Subsection 16(1) applies to an ‘office-holder’ (as opposed to a ‘relevant office-holder’, which is defined by section 3 as either an office-holder, a former Prime Minister or a person in respect of whom a determination by the Prime Minister under section 12 is in force).</w:t>
      </w:r>
    </w:p>
  </w:footnote>
  <w:footnote w:id="350">
    <w:p w14:paraId="268B1937" w14:textId="77777777" w:rsidR="00C02D25" w:rsidRDefault="00C02D25" w:rsidP="00117317">
      <w:pPr>
        <w:pStyle w:val="FootnoteText"/>
      </w:pPr>
      <w:r>
        <w:rPr>
          <w:rStyle w:val="FootnoteReference"/>
        </w:rPr>
        <w:footnoteRef/>
      </w:r>
      <w:r>
        <w:t xml:space="preserve"> A ‘relevant office-holder’ is defined under section 3 of the MoP(S) Act as the office of: a Minister, the Leader of the Opposition in the Senate, the Leader of the Opposition in the House of Representatives, the Deputy Leader of the Opposition in the Senate, the Deputy Leader of the Opposition in the House of Representatives, and the leader or deputy leader in either House of Parliament of a recognised political party.</w:t>
      </w:r>
    </w:p>
  </w:footnote>
  <w:footnote w:id="351">
    <w:p w14:paraId="41530ABA" w14:textId="77777777" w:rsidR="00C02D25" w:rsidRDefault="00C02D25" w:rsidP="00117317">
      <w:pPr>
        <w:pStyle w:val="FootnoteText"/>
      </w:pPr>
      <w:r>
        <w:rPr>
          <w:rStyle w:val="FootnoteReference"/>
        </w:rPr>
        <w:footnoteRef/>
      </w:r>
      <w:r>
        <w:t xml:space="preserve"> MoP(S) Act, sub-s 16(2)(a)-(c).</w:t>
      </w:r>
    </w:p>
  </w:footnote>
  <w:footnote w:id="352">
    <w:p w14:paraId="6C2A4011" w14:textId="77777777" w:rsidR="00C02D25" w:rsidRDefault="00C02D25" w:rsidP="00DE1B14">
      <w:pPr>
        <w:pStyle w:val="FootnoteText"/>
      </w:pPr>
      <w:r>
        <w:rPr>
          <w:rStyle w:val="FootnoteReference"/>
        </w:rPr>
        <w:footnoteRef/>
      </w:r>
      <w:r>
        <w:t xml:space="preserve"> Data provided by the Department of Finance.</w:t>
      </w:r>
    </w:p>
  </w:footnote>
  <w:footnote w:id="353">
    <w:p w14:paraId="13C19382" w14:textId="77777777" w:rsidR="00C02D25" w:rsidRDefault="00C02D25" w:rsidP="00117317">
      <w:pPr>
        <w:pStyle w:val="FootnoteText"/>
      </w:pPr>
      <w:r>
        <w:rPr>
          <w:rStyle w:val="FootnoteReference"/>
        </w:rPr>
        <w:footnoteRef/>
      </w:r>
      <w:r>
        <w:t xml:space="preserve"> This figure is likely to be higher given that a) the statistics do not count employees who were automatically terminated and then subsequently re-engaged, and b) a number of cessations are yet to be categorised by Finance.</w:t>
      </w:r>
    </w:p>
  </w:footnote>
  <w:footnote w:id="354">
    <w:p w14:paraId="04449F72" w14:textId="77777777" w:rsidR="00C02D25" w:rsidRDefault="00C02D25" w:rsidP="00117317">
      <w:pPr>
        <w:pStyle w:val="FootnoteText"/>
      </w:pPr>
      <w:r>
        <w:rPr>
          <w:rStyle w:val="FootnoteReference"/>
        </w:rPr>
        <w:footnoteRef/>
      </w:r>
      <w:r>
        <w:t xml:space="preserve"> </w:t>
      </w:r>
      <w:r w:rsidRPr="00B233EE">
        <w:rPr>
          <w:i/>
        </w:rPr>
        <w:t>Submission 10</w:t>
      </w:r>
      <w:r>
        <w:t>, 11.</w:t>
      </w:r>
    </w:p>
  </w:footnote>
  <w:footnote w:id="355">
    <w:p w14:paraId="57A59B40" w14:textId="77777777" w:rsidR="00C02D25" w:rsidRDefault="00C02D25" w:rsidP="00117317">
      <w:pPr>
        <w:pStyle w:val="FootnoteText"/>
      </w:pPr>
      <w:r>
        <w:rPr>
          <w:rStyle w:val="FootnoteReference"/>
        </w:rPr>
        <w:footnoteRef/>
      </w:r>
      <w:r>
        <w:t xml:space="preserve"> Ibid, 11.</w:t>
      </w:r>
    </w:p>
  </w:footnote>
  <w:footnote w:id="356">
    <w:p w14:paraId="0741C0FE" w14:textId="1203939A" w:rsidR="00C02D25" w:rsidRDefault="00C02D25">
      <w:pPr>
        <w:pStyle w:val="FootnoteText"/>
      </w:pPr>
      <w:r>
        <w:rPr>
          <w:rStyle w:val="FootnoteReference"/>
        </w:rPr>
        <w:footnoteRef/>
      </w:r>
      <w:r>
        <w:t xml:space="preserve"> </w:t>
      </w:r>
      <w:r w:rsidRPr="00EA5A89">
        <w:t xml:space="preserve">Francis, </w:t>
      </w:r>
      <w:r w:rsidRPr="002974BC">
        <w:rPr>
          <w:i/>
        </w:rPr>
        <w:t>Bullying and Harassment in the New Zealand Parliamentary Workplace</w:t>
      </w:r>
      <w:r>
        <w:t>, 92 (Recommendation 40).</w:t>
      </w:r>
      <w:r w:rsidRPr="00DE2958">
        <w:t xml:space="preserve"> </w:t>
      </w:r>
    </w:p>
  </w:footnote>
  <w:footnote w:id="357">
    <w:p w14:paraId="02BB50A0" w14:textId="77777777" w:rsidR="00C02D25" w:rsidRDefault="00C02D25" w:rsidP="0055702B">
      <w:pPr>
        <w:pStyle w:val="FootnoteText"/>
      </w:pPr>
      <w:r>
        <w:rPr>
          <w:rStyle w:val="FootnoteReference"/>
        </w:rPr>
        <w:footnoteRef/>
      </w:r>
      <w:r>
        <w:t xml:space="preserve"> </w:t>
      </w:r>
      <w:r w:rsidRPr="00154E70">
        <w:rPr>
          <w:i/>
        </w:rPr>
        <w:t xml:space="preserve">Members of Parliament (Staff) Act </w:t>
      </w:r>
      <w:r>
        <w:rPr>
          <w:i/>
        </w:rPr>
        <w:t xml:space="preserve">1984 </w:t>
      </w:r>
      <w:r w:rsidRPr="00154E70">
        <w:rPr>
          <w:i/>
        </w:rPr>
        <w:t>(</w:t>
      </w:r>
      <w:r>
        <w:t xml:space="preserve">Cth), </w:t>
      </w:r>
      <w:r>
        <w:rPr>
          <w:i/>
        </w:rPr>
        <w:t xml:space="preserve">Direction 2019/6: </w:t>
      </w:r>
      <w:r w:rsidRPr="00154E70">
        <w:rPr>
          <w:i/>
        </w:rPr>
        <w:t xml:space="preserve">Direction </w:t>
      </w:r>
      <w:r>
        <w:rPr>
          <w:i/>
        </w:rPr>
        <w:t xml:space="preserve">to Defer the Termination of Employment </w:t>
      </w:r>
      <w:r w:rsidRPr="00154E70">
        <w:t>(9 April 2019)</w:t>
      </w:r>
      <w:r>
        <w:t>.</w:t>
      </w:r>
    </w:p>
  </w:footnote>
  <w:footnote w:id="358">
    <w:p w14:paraId="24F3C390" w14:textId="77777777" w:rsidR="00C02D25" w:rsidRDefault="00C02D25" w:rsidP="004458CB">
      <w:pPr>
        <w:pStyle w:val="FootnoteText"/>
      </w:pPr>
      <w:r>
        <w:rPr>
          <w:rStyle w:val="FootnoteReference"/>
        </w:rPr>
        <w:footnoteRef/>
      </w:r>
      <w:r>
        <w:t xml:space="preserve"> </w:t>
      </w:r>
      <w:r w:rsidRPr="00154E70">
        <w:rPr>
          <w:i/>
        </w:rPr>
        <w:t>Submission 42</w:t>
      </w:r>
      <w:r>
        <w:t>, 7; Information provided by Department of Finance.</w:t>
      </w:r>
    </w:p>
  </w:footnote>
  <w:footnote w:id="359">
    <w:p w14:paraId="07358668" w14:textId="77777777" w:rsidR="00C02D25" w:rsidRDefault="00C02D25" w:rsidP="0055702B">
      <w:pPr>
        <w:pStyle w:val="FootnoteText"/>
      </w:pPr>
      <w:r>
        <w:rPr>
          <w:rStyle w:val="FootnoteReference"/>
        </w:rPr>
        <w:footnoteRef/>
      </w:r>
      <w:r>
        <w:t xml:space="preserve"> FW Act, sub-s 117(3).</w:t>
      </w:r>
    </w:p>
  </w:footnote>
  <w:footnote w:id="360">
    <w:p w14:paraId="2B71F65C" w14:textId="5A963620" w:rsidR="00C02D25" w:rsidRPr="00672499" w:rsidRDefault="00C02D25" w:rsidP="0055702B">
      <w:pPr>
        <w:pStyle w:val="FootnoteText"/>
      </w:pPr>
      <w:r>
        <w:rPr>
          <w:rStyle w:val="FootnoteReference"/>
        </w:rPr>
        <w:footnoteRef/>
      </w:r>
      <w:r>
        <w:t xml:space="preserve"> </w:t>
      </w:r>
      <w:r>
        <w:rPr>
          <w:i/>
        </w:rPr>
        <w:t>Public Sector Management Act 1994</w:t>
      </w:r>
      <w:r>
        <w:t xml:space="preserve"> (WA).</w:t>
      </w:r>
    </w:p>
  </w:footnote>
  <w:footnote w:id="361">
    <w:p w14:paraId="4E04F233" w14:textId="77777777" w:rsidR="00C02D25" w:rsidRDefault="00C02D25" w:rsidP="0055702B">
      <w:pPr>
        <w:pStyle w:val="FootnoteText"/>
      </w:pPr>
      <w:r>
        <w:rPr>
          <w:rStyle w:val="FootnoteReference"/>
        </w:rPr>
        <w:footnoteRef/>
      </w:r>
      <w:r>
        <w:t xml:space="preserve"> </w:t>
      </w:r>
      <w:r>
        <w:rPr>
          <w:i/>
        </w:rPr>
        <w:t>Submission 42</w:t>
      </w:r>
      <w:r>
        <w:t>, 7.</w:t>
      </w:r>
    </w:p>
  </w:footnote>
  <w:footnote w:id="362">
    <w:p w14:paraId="2ECC7302" w14:textId="77777777" w:rsidR="00C02D25" w:rsidRDefault="00C02D25" w:rsidP="00117317">
      <w:pPr>
        <w:pStyle w:val="FootnoteText"/>
      </w:pPr>
      <w:r>
        <w:rPr>
          <w:rStyle w:val="FootnoteReference"/>
        </w:rPr>
        <w:footnoteRef/>
      </w:r>
      <w:r>
        <w:t xml:space="preserve"> Enterprise Agreement, cl 62.1.</w:t>
      </w:r>
    </w:p>
  </w:footnote>
  <w:footnote w:id="363">
    <w:p w14:paraId="7464DD74" w14:textId="77777777" w:rsidR="00C02D25" w:rsidRDefault="00C02D25" w:rsidP="00117317">
      <w:pPr>
        <w:pStyle w:val="FootnoteText"/>
      </w:pPr>
      <w:r>
        <w:rPr>
          <w:rStyle w:val="FootnoteReference"/>
        </w:rPr>
        <w:footnoteRef/>
      </w:r>
      <w:r>
        <w:t xml:space="preserve"> Ibid, cl 62.1.</w:t>
      </w:r>
    </w:p>
  </w:footnote>
  <w:footnote w:id="364">
    <w:p w14:paraId="5C90A127" w14:textId="77777777" w:rsidR="00C02D25" w:rsidRDefault="00C02D25" w:rsidP="00117317">
      <w:pPr>
        <w:pStyle w:val="FootnoteText"/>
      </w:pPr>
      <w:r>
        <w:rPr>
          <w:rStyle w:val="FootnoteReference"/>
        </w:rPr>
        <w:footnoteRef/>
      </w:r>
      <w:r>
        <w:t xml:space="preserve"> Ibid, cl 62.2.</w:t>
      </w:r>
    </w:p>
  </w:footnote>
  <w:footnote w:id="365">
    <w:p w14:paraId="3383324E" w14:textId="77777777" w:rsidR="00C02D25" w:rsidRDefault="00C02D25" w:rsidP="00117317">
      <w:pPr>
        <w:pStyle w:val="FootnoteText"/>
      </w:pPr>
      <w:r>
        <w:rPr>
          <w:rStyle w:val="FootnoteReference"/>
        </w:rPr>
        <w:footnoteRef/>
      </w:r>
      <w:r>
        <w:t xml:space="preserve"> Clause 51.4 states that employees that were previously employed by a State or Territory parliamentarian on a basis equivalent to ongoing or non-ongoing employment under the MoP(S) Act immediately prior to employment may have that service recognised for the purpose of calculating severance benefits. To utilise this benefit, employees must apply to Finance within one month of commencing employment under the MoP(S) Act to have their service recognised.</w:t>
      </w:r>
    </w:p>
  </w:footnote>
  <w:footnote w:id="366">
    <w:p w14:paraId="4B2DABB5" w14:textId="77777777" w:rsidR="00C02D25" w:rsidRDefault="00C02D25" w:rsidP="00117317">
      <w:pPr>
        <w:pStyle w:val="FootnoteText"/>
      </w:pPr>
      <w:r>
        <w:rPr>
          <w:rStyle w:val="FootnoteReference"/>
        </w:rPr>
        <w:footnoteRef/>
      </w:r>
      <w:r>
        <w:t xml:space="preserve"> Enterprise Agreement, cl 62.3.</w:t>
      </w:r>
    </w:p>
  </w:footnote>
  <w:footnote w:id="367">
    <w:p w14:paraId="322122A2" w14:textId="77777777" w:rsidR="00C02D25" w:rsidRDefault="00C02D25" w:rsidP="00117317">
      <w:pPr>
        <w:pStyle w:val="FootnoteText"/>
      </w:pPr>
      <w:r>
        <w:rPr>
          <w:rStyle w:val="FootnoteReference"/>
        </w:rPr>
        <w:footnoteRef/>
      </w:r>
      <w:r>
        <w:t xml:space="preserve"> Ibid, cl 64.1.</w:t>
      </w:r>
    </w:p>
  </w:footnote>
  <w:footnote w:id="368">
    <w:p w14:paraId="3C3A7F90" w14:textId="77777777" w:rsidR="00C02D25" w:rsidRDefault="00C02D25" w:rsidP="00117317">
      <w:pPr>
        <w:pStyle w:val="FootnoteText"/>
      </w:pPr>
      <w:r>
        <w:rPr>
          <w:rStyle w:val="FootnoteReference"/>
        </w:rPr>
        <w:footnoteRef/>
      </w:r>
      <w:r>
        <w:t xml:space="preserve"> Ibid, cl 64.2.</w:t>
      </w:r>
    </w:p>
  </w:footnote>
  <w:footnote w:id="369">
    <w:p w14:paraId="2B3C8191" w14:textId="55C2B48E" w:rsidR="00C02D25" w:rsidRPr="00EF392E" w:rsidRDefault="00C02D25">
      <w:pPr>
        <w:pStyle w:val="FootnoteText"/>
      </w:pPr>
      <w:r>
        <w:rPr>
          <w:rStyle w:val="FootnoteReference"/>
        </w:rPr>
        <w:footnoteRef/>
      </w:r>
      <w:r>
        <w:t xml:space="preserve"> Department of Finance, </w:t>
      </w:r>
      <w:r>
        <w:rPr>
          <w:i/>
        </w:rPr>
        <w:t>Ceasing employment</w:t>
      </w:r>
      <w:r>
        <w:t xml:space="preserve"> [website], (3 August 2022) </w:t>
      </w:r>
      <w:hyperlink r:id="rId74" w:history="1">
        <w:r w:rsidRPr="00AD7E19">
          <w:rPr>
            <w:rStyle w:val="Hyperlink"/>
          </w:rPr>
          <w:t>https://maps.finance.gov.au/pay-and-employment/mops-act-employment/ceasing-employment</w:t>
        </w:r>
      </w:hyperlink>
      <w:r>
        <w:t>, accessed 27 September 2022.</w:t>
      </w:r>
    </w:p>
  </w:footnote>
  <w:footnote w:id="370">
    <w:p w14:paraId="4B4371BD" w14:textId="77777777" w:rsidR="00C02D25" w:rsidRDefault="00C02D25" w:rsidP="00117317">
      <w:pPr>
        <w:pStyle w:val="FootnoteText"/>
      </w:pPr>
      <w:r>
        <w:rPr>
          <w:rStyle w:val="FootnoteReference"/>
        </w:rPr>
        <w:footnoteRef/>
      </w:r>
      <w:r>
        <w:t xml:space="preserve"> Francis, </w:t>
      </w:r>
      <w:r>
        <w:rPr>
          <w:i/>
        </w:rPr>
        <w:t>Bullying and Harassment in the New Zealand Parliamentary Workplace</w:t>
      </w:r>
      <w:r>
        <w:t>, 85 (Recommendation 63).</w:t>
      </w:r>
    </w:p>
  </w:footnote>
  <w:footnote w:id="371">
    <w:p w14:paraId="756F463C" w14:textId="77777777" w:rsidR="00C02D25" w:rsidRDefault="00C02D25" w:rsidP="00D444B4">
      <w:pPr>
        <w:pStyle w:val="FootnoteText"/>
      </w:pPr>
      <w:r>
        <w:rPr>
          <w:rStyle w:val="FootnoteReference"/>
        </w:rPr>
        <w:footnoteRef/>
      </w:r>
      <w:r>
        <w:t xml:space="preserve"> AHRC</w:t>
      </w:r>
      <w:r w:rsidRPr="002B0DC0">
        <w:rPr>
          <w:shd w:val="clear" w:color="auto" w:fill="FFFFFF" w:themeFill="background1"/>
        </w:rPr>
        <w:t xml:space="preserve">, </w:t>
      </w:r>
      <w:r w:rsidRPr="002B0DC0">
        <w:rPr>
          <w:i/>
          <w:shd w:val="clear" w:color="auto" w:fill="FFFFFF" w:themeFill="background1"/>
        </w:rPr>
        <w:t>Set the Standard</w:t>
      </w:r>
      <w:r w:rsidRPr="002B0DC0">
        <w:rPr>
          <w:shd w:val="clear" w:color="auto" w:fill="FFFFFF" w:themeFill="background1"/>
        </w:rPr>
        <w:t>, 19 (Recommendation 3).</w:t>
      </w:r>
    </w:p>
  </w:footnote>
  <w:footnote w:id="372">
    <w:p w14:paraId="48E65F30" w14:textId="4C5B6653" w:rsidR="00C02D25" w:rsidRDefault="00C02D25">
      <w:pPr>
        <w:pStyle w:val="FootnoteText"/>
      </w:pPr>
      <w:r>
        <w:rPr>
          <w:rStyle w:val="FootnoteReference"/>
        </w:rPr>
        <w:footnoteRef/>
      </w:r>
      <w:r>
        <w:t xml:space="preserve"> </w:t>
      </w:r>
      <w:r w:rsidRPr="00FD5B9B">
        <w:t xml:space="preserve">Department of the Prime Minister and Cabinet, </w:t>
      </w:r>
      <w:r w:rsidRPr="00FD5B9B">
        <w:rPr>
          <w:i/>
        </w:rPr>
        <w:t>Review of the Members of Parliament (Staff) Act 1984 (Cth) Terms of Reference</w:t>
      </w:r>
      <w:r w:rsidRPr="00FD5B9B">
        <w:t xml:space="preserve"> (2022), </w:t>
      </w:r>
      <w:hyperlink r:id="rId75" w:history="1">
        <w:r w:rsidRPr="00CC6A51">
          <w:rPr>
            <w:rStyle w:val="Hyperlink"/>
          </w:rPr>
          <w:t>https://www.pmc.gov.au/government/review-members-parliament-staff-mops-act-1984-0</w:t>
        </w:r>
      </w:hyperlink>
      <w:r w:rsidRPr="00FD5B9B">
        <w:t>, 1, accessed 30 September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E74F6" w14:textId="77777777" w:rsidR="00753EBA" w:rsidRDefault="00753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A9CB" w14:textId="77777777" w:rsidR="00C02D25" w:rsidRDefault="00C02D25" w:rsidP="00303C55">
    <w:pPr>
      <w:pStyle w:val="Header"/>
      <w:ind w:left="1134"/>
      <w:rPr>
        <w:noProof/>
        <w:lang w:eastAsia="en-AU"/>
      </w:rPr>
    </w:pPr>
    <w:r w:rsidRPr="00285CAF">
      <w:rPr>
        <w:noProof/>
        <w:lang w:eastAsia="en-AU"/>
      </w:rPr>
      <mc:AlternateContent>
        <mc:Choice Requires="wps">
          <w:drawing>
            <wp:anchor distT="0" distB="0" distL="114300" distR="114300" simplePos="0" relativeHeight="251658241" behindDoc="1" locked="0" layoutInCell="1" allowOverlap="1" wp14:anchorId="3764FDB4" wp14:editId="3865A9CC">
              <wp:simplePos x="0" y="0"/>
              <wp:positionH relativeFrom="column">
                <wp:posOffset>6220460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581219" id="Straight Connector 3"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page" from="489.8pt,54.5pt" to="537.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" strokecolor="black [3200]" strokeweight=".5pt">
              <v:stroke joinstyle="miter"/>
              <w10:wrap anchory="page"/>
            </v:line>
          </w:pict>
        </mc:Fallback>
      </mc:AlternateContent>
    </w:r>
  </w:p>
  <w:p w14:paraId="6F7D9467" w14:textId="77777777" w:rsidR="00C02D25" w:rsidRDefault="00C02D25" w:rsidP="00303C55">
    <w:pPr>
      <w:pStyle w:val="Header"/>
      <w:ind w:left="1134"/>
    </w:pPr>
    <w:r>
      <w:rPr>
        <w:noProof/>
        <w:lang w:eastAsia="en-AU"/>
      </w:rPr>
      <w:drawing>
        <wp:anchor distT="0" distB="0" distL="114300" distR="114300" simplePos="0" relativeHeight="251658240" behindDoc="1" locked="0" layoutInCell="1" allowOverlap="1" wp14:anchorId="2F2FD4EC" wp14:editId="59082518">
          <wp:simplePos x="0" y="0"/>
          <wp:positionH relativeFrom="column">
            <wp:posOffset>-313690</wp:posOffset>
          </wp:positionH>
          <wp:positionV relativeFrom="page">
            <wp:posOffset>184150</wp:posOffset>
          </wp:positionV>
          <wp:extent cx="3600000" cy="806400"/>
          <wp:effectExtent l="0" t="0" r="0" b="0"/>
          <wp:wrapNone/>
          <wp:docPr id="29" name="Picture 29" descr="Australian Government Coat of Arms. 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C_Logo_Primary_RGB_Black_Logo.png"/>
                  <pic:cNvPicPr/>
                </pic:nvPicPr>
                <pic:blipFill rotWithShape="1">
                  <a:blip r:embed="rId1">
                    <a:extLst>
                      <a:ext uri="{28A0092B-C50C-407E-A947-70E740481C1C}">
                        <a14:useLocalDpi xmlns:a14="http://schemas.microsoft.com/office/drawing/2010/main" val="0"/>
                      </a:ext>
                    </a:extLst>
                  </a:blip>
                  <a:srcRect b="20176"/>
                  <a:stretch/>
                </pic:blipFill>
                <pic:spPr bwMode="auto">
                  <a:xfrm>
                    <a:off x="0" y="0"/>
                    <a:ext cx="3600000" cy="8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33472" w14:textId="77777777" w:rsidR="00C02D25" w:rsidRDefault="00C02D25" w:rsidP="00303C55">
    <w:pPr>
      <w:pStyle w:val="Header"/>
      <w:ind w:left="1134"/>
    </w:pPr>
  </w:p>
  <w:p w14:paraId="58EFCB29" w14:textId="77777777" w:rsidR="00C02D25" w:rsidRDefault="00C02D25" w:rsidP="00303C55">
    <w:pPr>
      <w:pStyle w:val="Header"/>
      <w:ind w:left="1134"/>
    </w:pPr>
  </w:p>
  <w:p w14:paraId="0251C442" w14:textId="77777777" w:rsidR="00C02D25" w:rsidRDefault="00C02D25" w:rsidP="00303C55">
    <w:pPr>
      <w:pStyle w:val="Header"/>
      <w:ind w:left="1134"/>
    </w:pPr>
  </w:p>
  <w:p w14:paraId="15E2BBB8" w14:textId="77777777" w:rsidR="00C02D25" w:rsidRDefault="00C02D25" w:rsidP="00303C55">
    <w:pPr>
      <w:pStyle w:val="Header"/>
      <w:ind w:left="1134"/>
    </w:pPr>
  </w:p>
  <w:p w14:paraId="36484DF9" w14:textId="77777777" w:rsidR="00C02D25" w:rsidRDefault="00C02D25" w:rsidP="00303C55">
    <w:pPr>
      <w:pStyle w:val="Header"/>
      <w:ind w:left="1134"/>
    </w:pPr>
  </w:p>
  <w:p w14:paraId="0EE428EB" w14:textId="77777777" w:rsidR="00C02D25" w:rsidRDefault="00C02D25" w:rsidP="00303C55">
    <w:pPr>
      <w:pStyle w:val="Header"/>
      <w:ind w:left="1134"/>
    </w:pPr>
  </w:p>
  <w:p w14:paraId="62028294" w14:textId="72753822" w:rsidR="00C02D25" w:rsidRPr="00285CAF" w:rsidRDefault="00C02D25" w:rsidP="00303C55">
    <w:pPr>
      <w:pStyle w:val="Header"/>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CC6C" w14:textId="77777777" w:rsidR="00C02D25" w:rsidRDefault="00C02D25" w:rsidP="00303C55">
    <w:pPr>
      <w:pStyle w:val="Header"/>
      <w:jc w:val="center"/>
    </w:pPr>
    <w:r>
      <w:rPr>
        <w:noProof/>
        <w:lang w:eastAsia="en-AU"/>
      </w:rPr>
      <mc:AlternateContent>
        <mc:Choice Requires="wps">
          <w:drawing>
            <wp:anchor distT="0" distB="0" distL="114300" distR="114300" simplePos="0" relativeHeight="251658242" behindDoc="1" locked="0" layoutInCell="1" allowOverlap="1" wp14:anchorId="2883EEE0" wp14:editId="686FC317">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C41D0" id="Straight Connector 102"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9F08736772864C65A9378CCFB1107422"/>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0A89" w14:textId="369BFC72" w:rsidR="00C02D25" w:rsidRPr="00D10635" w:rsidRDefault="00C02D25" w:rsidP="00D10635">
    <w:pPr>
      <w:jc w:val="center"/>
    </w:pPr>
    <w:r>
      <w:rPr>
        <w:noProof/>
        <w:lang w:eastAsia="en-AU"/>
      </w:rPr>
      <mc:AlternateContent>
        <mc:Choice Requires="wps">
          <w:drawing>
            <wp:anchor distT="0" distB="0" distL="114300" distR="114300" simplePos="0" relativeHeight="251658246" behindDoc="1" locked="0" layoutInCell="1" allowOverlap="1" wp14:anchorId="1020C889" wp14:editId="54B9F886">
              <wp:simplePos x="0" y="0"/>
              <wp:positionH relativeFrom="column">
                <wp:posOffset>6221730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16563B" id="Straight Connector 4" o:spid="_x0000_s1026" style="position:absolute;z-index:-2516582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89.9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" strokecolor="black [3200]" strokeweight=".5pt">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EF297" w14:textId="77777777" w:rsidR="00C02D25" w:rsidRDefault="00C02D25" w:rsidP="00303C55">
    <w:pPr>
      <w:pStyle w:val="Header"/>
      <w:jc w:val="center"/>
    </w:pPr>
    <w:r>
      <w:rPr>
        <w:noProof/>
        <w:lang w:eastAsia="en-AU"/>
      </w:rPr>
      <mc:AlternateContent>
        <mc:Choice Requires="wps">
          <w:drawing>
            <wp:anchor distT="0" distB="0" distL="114300" distR="114300" simplePos="0" relativeHeight="251658245" behindDoc="1" locked="0" layoutInCell="1" allowOverlap="1" wp14:anchorId="7D8014D4" wp14:editId="35ABF54A">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E259F" id="Straight Connector 108"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2771EE94252449DA90C78E6457284D0A"/>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5AA"/>
    <w:multiLevelType w:val="hybridMultilevel"/>
    <w:tmpl w:val="AA76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F4881"/>
    <w:multiLevelType w:val="hybridMultilevel"/>
    <w:tmpl w:val="6A887022"/>
    <w:lvl w:ilvl="0" w:tplc="EE1A22B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5F65178"/>
    <w:multiLevelType w:val="hybridMultilevel"/>
    <w:tmpl w:val="7A6E2A24"/>
    <w:lvl w:ilvl="0" w:tplc="7DD84890">
      <w:start w:val="1"/>
      <w:numFmt w:val="bullet"/>
      <w:pStyle w:val="BOXBulletedLis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61D39C6"/>
    <w:multiLevelType w:val="hybridMultilevel"/>
    <w:tmpl w:val="243A21D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4E1B58"/>
    <w:multiLevelType w:val="hybridMultilevel"/>
    <w:tmpl w:val="58E6F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0170E"/>
    <w:multiLevelType w:val="hybridMultilevel"/>
    <w:tmpl w:val="68040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57447"/>
    <w:multiLevelType w:val="hybridMultilevel"/>
    <w:tmpl w:val="357A196E"/>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7" w15:restartNumberingAfterBreak="0">
    <w:nsid w:val="0FAF6F03"/>
    <w:multiLevelType w:val="hybridMultilevel"/>
    <w:tmpl w:val="F542A2B0"/>
    <w:lvl w:ilvl="0" w:tplc="FA4E2F1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9" w15:restartNumberingAfterBreak="0">
    <w:nsid w:val="16031F1F"/>
    <w:multiLevelType w:val="hybridMultilevel"/>
    <w:tmpl w:val="2C68F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F33BBA"/>
    <w:multiLevelType w:val="hybridMultilevel"/>
    <w:tmpl w:val="C6B214D4"/>
    <w:lvl w:ilvl="0" w:tplc="8460E7C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57477C"/>
    <w:multiLevelType w:val="hybridMultilevel"/>
    <w:tmpl w:val="2B3C2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507AC4"/>
    <w:multiLevelType w:val="hybridMultilevel"/>
    <w:tmpl w:val="864231E2"/>
    <w:lvl w:ilvl="0" w:tplc="8764996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20452B24"/>
    <w:multiLevelType w:val="hybridMultilevel"/>
    <w:tmpl w:val="8DA8D3C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4" w15:restartNumberingAfterBreak="0">
    <w:nsid w:val="248C3AB5"/>
    <w:multiLevelType w:val="hybridMultilevel"/>
    <w:tmpl w:val="DC3C731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2BC43551"/>
    <w:multiLevelType w:val="hybridMultilevel"/>
    <w:tmpl w:val="5B2C1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32730C"/>
    <w:multiLevelType w:val="multilevel"/>
    <w:tmpl w:val="6A48BF4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551CC8"/>
    <w:multiLevelType w:val="hybridMultilevel"/>
    <w:tmpl w:val="90EC55B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7F2E19"/>
    <w:multiLevelType w:val="hybridMultilevel"/>
    <w:tmpl w:val="5676666C"/>
    <w:lvl w:ilvl="0" w:tplc="E31A13F8">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4B07267"/>
    <w:multiLevelType w:val="hybridMultilevel"/>
    <w:tmpl w:val="5EC2C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A16F84"/>
    <w:multiLevelType w:val="multilevel"/>
    <w:tmpl w:val="05E0A1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EDE1797"/>
    <w:multiLevelType w:val="hybridMultilevel"/>
    <w:tmpl w:val="CCCE8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77D1C"/>
    <w:multiLevelType w:val="hybridMultilevel"/>
    <w:tmpl w:val="05E0A15A"/>
    <w:styleLink w:val="Style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2A3853"/>
    <w:multiLevelType w:val="hybridMultilevel"/>
    <w:tmpl w:val="7B107360"/>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4" w15:restartNumberingAfterBreak="0">
    <w:nsid w:val="4CBF09CC"/>
    <w:multiLevelType w:val="hybridMultilevel"/>
    <w:tmpl w:val="0A68B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564E2A"/>
    <w:multiLevelType w:val="hybridMultilevel"/>
    <w:tmpl w:val="E100444A"/>
    <w:lvl w:ilvl="0" w:tplc="E2882C2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F41C9A"/>
    <w:multiLevelType w:val="hybridMultilevel"/>
    <w:tmpl w:val="DA104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EB052C"/>
    <w:multiLevelType w:val="hybridMultilevel"/>
    <w:tmpl w:val="C4A2F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4058AF"/>
    <w:multiLevelType w:val="hybridMultilevel"/>
    <w:tmpl w:val="EDAA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0155B0"/>
    <w:multiLevelType w:val="hybridMultilevel"/>
    <w:tmpl w:val="F3C6B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4C7231"/>
    <w:multiLevelType w:val="hybridMultilevel"/>
    <w:tmpl w:val="00B2F6D0"/>
    <w:lvl w:ilvl="0" w:tplc="5E988194">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594D2790"/>
    <w:multiLevelType w:val="hybridMultilevel"/>
    <w:tmpl w:val="1742AE12"/>
    <w:lvl w:ilvl="0" w:tplc="49EC4072">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5D526886"/>
    <w:multiLevelType w:val="hybridMultilevel"/>
    <w:tmpl w:val="433CD358"/>
    <w:styleLink w:val="Style2"/>
    <w:lvl w:ilvl="0" w:tplc="4E0CB812">
      <w:start w:val="3"/>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B108BA"/>
    <w:multiLevelType w:val="hybridMultilevel"/>
    <w:tmpl w:val="EC6EBC0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DF6477"/>
    <w:multiLevelType w:val="hybridMultilevel"/>
    <w:tmpl w:val="CC78A8E4"/>
    <w:lvl w:ilvl="0" w:tplc="0C090015">
      <w:start w:val="1"/>
      <w:numFmt w:val="upperLetter"/>
      <w:lvlText w:val="%1."/>
      <w:lvlJc w:val="left"/>
      <w:pPr>
        <w:ind w:left="587" w:hanging="360"/>
      </w:p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5" w15:restartNumberingAfterBreak="0">
    <w:nsid w:val="5F2841E5"/>
    <w:multiLevelType w:val="hybridMultilevel"/>
    <w:tmpl w:val="4F003308"/>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6" w15:restartNumberingAfterBreak="0">
    <w:nsid w:val="622B65FB"/>
    <w:multiLevelType w:val="hybridMultilevel"/>
    <w:tmpl w:val="54F4A87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7" w15:restartNumberingAfterBreak="0">
    <w:nsid w:val="6414111B"/>
    <w:multiLevelType w:val="hybridMultilevel"/>
    <w:tmpl w:val="CC103AC8"/>
    <w:lvl w:ilvl="0" w:tplc="4F806B2A">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5694615"/>
    <w:multiLevelType w:val="hybridMultilevel"/>
    <w:tmpl w:val="9A542228"/>
    <w:lvl w:ilvl="0" w:tplc="85F819FA">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60C3426"/>
    <w:multiLevelType w:val="hybridMultilevel"/>
    <w:tmpl w:val="BC70B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9A1753"/>
    <w:multiLevelType w:val="hybridMultilevel"/>
    <w:tmpl w:val="3CA277CE"/>
    <w:lvl w:ilvl="0" w:tplc="898424C4">
      <w:start w:val="1"/>
      <w:numFmt w:val="bullet"/>
      <w:lvlText w:val=""/>
      <w:lvlJc w:val="left"/>
      <w:pPr>
        <w:ind w:left="644"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1" w15:restartNumberingAfterBreak="0">
    <w:nsid w:val="6DB05646"/>
    <w:multiLevelType w:val="hybridMultilevel"/>
    <w:tmpl w:val="FCDC2F22"/>
    <w:lvl w:ilvl="0" w:tplc="F17A644A">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6F375F84"/>
    <w:multiLevelType w:val="hybridMultilevel"/>
    <w:tmpl w:val="2898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611A55"/>
    <w:multiLevelType w:val="hybridMultilevel"/>
    <w:tmpl w:val="E51E46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63549A"/>
    <w:multiLevelType w:val="hybridMultilevel"/>
    <w:tmpl w:val="CB0282C6"/>
    <w:lvl w:ilvl="0" w:tplc="0C090015">
      <w:start w:val="1"/>
      <w:numFmt w:val="upperLetter"/>
      <w:lvlText w:val="%1."/>
      <w:lvlJc w:val="left"/>
      <w:pPr>
        <w:ind w:left="587" w:hanging="360"/>
      </w:p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5" w15:restartNumberingAfterBreak="0">
    <w:nsid w:val="76573A48"/>
    <w:multiLevelType w:val="hybridMultilevel"/>
    <w:tmpl w:val="253E27D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6" w15:restartNumberingAfterBreak="0">
    <w:nsid w:val="7BD01F69"/>
    <w:multiLevelType w:val="hybridMultilevel"/>
    <w:tmpl w:val="6BA63FD4"/>
    <w:lvl w:ilvl="0" w:tplc="70329FCC">
      <w:start w:val="1"/>
      <w:numFmt w:val="bullet"/>
      <w:pStyle w:val="BulletedList-Level1"/>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7E637C12"/>
    <w:multiLevelType w:val="hybridMultilevel"/>
    <w:tmpl w:val="3224F41C"/>
    <w:lvl w:ilvl="0" w:tplc="46163BB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8" w15:restartNumberingAfterBreak="0">
    <w:nsid w:val="7F7D332A"/>
    <w:multiLevelType w:val="hybridMultilevel"/>
    <w:tmpl w:val="22F45716"/>
    <w:lvl w:ilvl="0" w:tplc="0C090015">
      <w:start w:val="1"/>
      <w:numFmt w:val="upperLetter"/>
      <w:lvlText w:val="%1."/>
      <w:lvlJc w:val="left"/>
      <w:pPr>
        <w:ind w:left="587" w:hanging="360"/>
      </w:p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num w:numId="1">
    <w:abstractNumId w:val="10"/>
  </w:num>
  <w:num w:numId="2">
    <w:abstractNumId w:val="8"/>
  </w:num>
  <w:num w:numId="3">
    <w:abstractNumId w:val="12"/>
  </w:num>
  <w:num w:numId="4">
    <w:abstractNumId w:val="7"/>
  </w:num>
  <w:num w:numId="5">
    <w:abstractNumId w:val="0"/>
  </w:num>
  <w:num w:numId="6">
    <w:abstractNumId w:val="11"/>
  </w:num>
  <w:num w:numId="7">
    <w:abstractNumId w:val="5"/>
  </w:num>
  <w:num w:numId="8">
    <w:abstractNumId w:val="22"/>
  </w:num>
  <w:num w:numId="9">
    <w:abstractNumId w:val="32"/>
  </w:num>
  <w:num w:numId="10">
    <w:abstractNumId w:val="20"/>
  </w:num>
  <w:num w:numId="11">
    <w:abstractNumId w:val="19"/>
  </w:num>
  <w:num w:numId="12">
    <w:abstractNumId w:val="27"/>
  </w:num>
  <w:num w:numId="13">
    <w:abstractNumId w:val="21"/>
  </w:num>
  <w:num w:numId="14">
    <w:abstractNumId w:val="23"/>
  </w:num>
  <w:num w:numId="15">
    <w:abstractNumId w:val="28"/>
  </w:num>
  <w:num w:numId="16">
    <w:abstractNumId w:val="43"/>
  </w:num>
  <w:num w:numId="17">
    <w:abstractNumId w:val="9"/>
  </w:num>
  <w:num w:numId="18">
    <w:abstractNumId w:val="4"/>
  </w:num>
  <w:num w:numId="19">
    <w:abstractNumId w:val="15"/>
  </w:num>
  <w:num w:numId="20">
    <w:abstractNumId w:val="26"/>
  </w:num>
  <w:num w:numId="21">
    <w:abstractNumId w:val="24"/>
  </w:num>
  <w:num w:numId="22">
    <w:abstractNumId w:val="29"/>
  </w:num>
  <w:num w:numId="23">
    <w:abstractNumId w:val="39"/>
  </w:num>
  <w:num w:numId="24">
    <w:abstractNumId w:val="40"/>
  </w:num>
  <w:num w:numId="25">
    <w:abstractNumId w:val="42"/>
  </w:num>
  <w:num w:numId="26">
    <w:abstractNumId w:val="2"/>
  </w:num>
  <w:num w:numId="27">
    <w:abstractNumId w:val="6"/>
  </w:num>
  <w:num w:numId="28">
    <w:abstractNumId w:val="18"/>
  </w:num>
  <w:num w:numId="29">
    <w:abstractNumId w:val="13"/>
  </w:num>
  <w:num w:numId="30">
    <w:abstractNumId w:val="33"/>
  </w:num>
  <w:num w:numId="31">
    <w:abstractNumId w:val="17"/>
  </w:num>
  <w:num w:numId="32">
    <w:abstractNumId w:val="3"/>
  </w:num>
  <w:num w:numId="33">
    <w:abstractNumId w:val="34"/>
  </w:num>
  <w:num w:numId="34">
    <w:abstractNumId w:val="48"/>
  </w:num>
  <w:num w:numId="35">
    <w:abstractNumId w:val="44"/>
  </w:num>
  <w:num w:numId="36">
    <w:abstractNumId w:val="41"/>
  </w:num>
  <w:num w:numId="37">
    <w:abstractNumId w:val="16"/>
  </w:num>
  <w:num w:numId="38">
    <w:abstractNumId w:val="38"/>
  </w:num>
  <w:num w:numId="39">
    <w:abstractNumId w:val="47"/>
  </w:num>
  <w:num w:numId="40">
    <w:abstractNumId w:val="37"/>
  </w:num>
  <w:num w:numId="41">
    <w:abstractNumId w:val="31"/>
  </w:num>
  <w:num w:numId="42">
    <w:abstractNumId w:val="25"/>
  </w:num>
  <w:num w:numId="43">
    <w:abstractNumId w:val="1"/>
  </w:num>
  <w:num w:numId="44">
    <w:abstractNumId w:val="36"/>
  </w:num>
  <w:num w:numId="45">
    <w:abstractNumId w:val="35"/>
  </w:num>
  <w:num w:numId="46">
    <w:abstractNumId w:val="45"/>
  </w:num>
  <w:num w:numId="47">
    <w:abstractNumId w:val="14"/>
  </w:num>
  <w:num w:numId="48">
    <w:abstractNumId w:val="30"/>
  </w:num>
  <w:num w:numId="49">
    <w:abstractNumId w:val="4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32"/>
    <w:rsid w:val="000000F3"/>
    <w:rsid w:val="000011E2"/>
    <w:rsid w:val="000013C1"/>
    <w:rsid w:val="00001529"/>
    <w:rsid w:val="0000178E"/>
    <w:rsid w:val="000017C3"/>
    <w:rsid w:val="000018FA"/>
    <w:rsid w:val="00001CBB"/>
    <w:rsid w:val="00002173"/>
    <w:rsid w:val="00002224"/>
    <w:rsid w:val="00002323"/>
    <w:rsid w:val="0000252D"/>
    <w:rsid w:val="00002718"/>
    <w:rsid w:val="00002D02"/>
    <w:rsid w:val="0000314C"/>
    <w:rsid w:val="0000315E"/>
    <w:rsid w:val="00003519"/>
    <w:rsid w:val="000037F1"/>
    <w:rsid w:val="00003837"/>
    <w:rsid w:val="0000433F"/>
    <w:rsid w:val="00004569"/>
    <w:rsid w:val="00004BBA"/>
    <w:rsid w:val="00004C50"/>
    <w:rsid w:val="00004DE3"/>
    <w:rsid w:val="000050E1"/>
    <w:rsid w:val="00005284"/>
    <w:rsid w:val="00005366"/>
    <w:rsid w:val="00005B7D"/>
    <w:rsid w:val="0000640B"/>
    <w:rsid w:val="00006524"/>
    <w:rsid w:val="0000677A"/>
    <w:rsid w:val="00006865"/>
    <w:rsid w:val="0000686D"/>
    <w:rsid w:val="00006F07"/>
    <w:rsid w:val="00006FB5"/>
    <w:rsid w:val="0000733B"/>
    <w:rsid w:val="000073A3"/>
    <w:rsid w:val="000073FD"/>
    <w:rsid w:val="0000747A"/>
    <w:rsid w:val="000102D3"/>
    <w:rsid w:val="000109BB"/>
    <w:rsid w:val="00010E83"/>
    <w:rsid w:val="0001101F"/>
    <w:rsid w:val="000110F4"/>
    <w:rsid w:val="000113C6"/>
    <w:rsid w:val="00011975"/>
    <w:rsid w:val="00011CAF"/>
    <w:rsid w:val="00011FC0"/>
    <w:rsid w:val="00012042"/>
    <w:rsid w:val="00012210"/>
    <w:rsid w:val="00012243"/>
    <w:rsid w:val="000122C6"/>
    <w:rsid w:val="00012721"/>
    <w:rsid w:val="00012843"/>
    <w:rsid w:val="00012F14"/>
    <w:rsid w:val="00013335"/>
    <w:rsid w:val="00013481"/>
    <w:rsid w:val="000136FD"/>
    <w:rsid w:val="000139C3"/>
    <w:rsid w:val="000139D8"/>
    <w:rsid w:val="00013E1A"/>
    <w:rsid w:val="00014107"/>
    <w:rsid w:val="00014417"/>
    <w:rsid w:val="000147EB"/>
    <w:rsid w:val="00014DF9"/>
    <w:rsid w:val="00014E06"/>
    <w:rsid w:val="00015358"/>
    <w:rsid w:val="00015500"/>
    <w:rsid w:val="000155EA"/>
    <w:rsid w:val="00015728"/>
    <w:rsid w:val="0001585F"/>
    <w:rsid w:val="00015A43"/>
    <w:rsid w:val="00015CB4"/>
    <w:rsid w:val="00015D53"/>
    <w:rsid w:val="00015E98"/>
    <w:rsid w:val="0001653C"/>
    <w:rsid w:val="000165DA"/>
    <w:rsid w:val="0001661D"/>
    <w:rsid w:val="00016A36"/>
    <w:rsid w:val="00016CB0"/>
    <w:rsid w:val="00017048"/>
    <w:rsid w:val="00017187"/>
    <w:rsid w:val="000179C1"/>
    <w:rsid w:val="00017A25"/>
    <w:rsid w:val="00017A32"/>
    <w:rsid w:val="00017B93"/>
    <w:rsid w:val="00017D54"/>
    <w:rsid w:val="00017DAD"/>
    <w:rsid w:val="00017F3A"/>
    <w:rsid w:val="000201C2"/>
    <w:rsid w:val="0002062F"/>
    <w:rsid w:val="000206B4"/>
    <w:rsid w:val="00020943"/>
    <w:rsid w:val="00020A11"/>
    <w:rsid w:val="00020D6B"/>
    <w:rsid w:val="0002116B"/>
    <w:rsid w:val="0002141F"/>
    <w:rsid w:val="00021B3D"/>
    <w:rsid w:val="00021B6B"/>
    <w:rsid w:val="00021C78"/>
    <w:rsid w:val="0002203F"/>
    <w:rsid w:val="000220B1"/>
    <w:rsid w:val="00022161"/>
    <w:rsid w:val="00022225"/>
    <w:rsid w:val="00022385"/>
    <w:rsid w:val="00022484"/>
    <w:rsid w:val="000225F2"/>
    <w:rsid w:val="00022CF4"/>
    <w:rsid w:val="00023306"/>
    <w:rsid w:val="0002331B"/>
    <w:rsid w:val="0002335B"/>
    <w:rsid w:val="00023581"/>
    <w:rsid w:val="000238DA"/>
    <w:rsid w:val="00023B73"/>
    <w:rsid w:val="00023D28"/>
    <w:rsid w:val="00023D4F"/>
    <w:rsid w:val="00023DE8"/>
    <w:rsid w:val="00024009"/>
    <w:rsid w:val="000241E7"/>
    <w:rsid w:val="00024438"/>
    <w:rsid w:val="000247C3"/>
    <w:rsid w:val="00024EAF"/>
    <w:rsid w:val="00025146"/>
    <w:rsid w:val="00025253"/>
    <w:rsid w:val="0002597F"/>
    <w:rsid w:val="00025A6E"/>
    <w:rsid w:val="00025BA6"/>
    <w:rsid w:val="00025D0A"/>
    <w:rsid w:val="00026575"/>
    <w:rsid w:val="000266C9"/>
    <w:rsid w:val="00026A0C"/>
    <w:rsid w:val="00026A5D"/>
    <w:rsid w:val="00026CA9"/>
    <w:rsid w:val="00026CB0"/>
    <w:rsid w:val="00026DED"/>
    <w:rsid w:val="00026EBD"/>
    <w:rsid w:val="00027038"/>
    <w:rsid w:val="00027121"/>
    <w:rsid w:val="00027AB0"/>
    <w:rsid w:val="00027C8A"/>
    <w:rsid w:val="00027E2E"/>
    <w:rsid w:val="00027F1D"/>
    <w:rsid w:val="0003013B"/>
    <w:rsid w:val="000302AF"/>
    <w:rsid w:val="000304AF"/>
    <w:rsid w:val="00030502"/>
    <w:rsid w:val="0003083A"/>
    <w:rsid w:val="00030FF1"/>
    <w:rsid w:val="0003154E"/>
    <w:rsid w:val="00031B1E"/>
    <w:rsid w:val="00031DAE"/>
    <w:rsid w:val="00032445"/>
    <w:rsid w:val="00032650"/>
    <w:rsid w:val="00032C3A"/>
    <w:rsid w:val="00032CEF"/>
    <w:rsid w:val="00033206"/>
    <w:rsid w:val="00033677"/>
    <w:rsid w:val="0003387B"/>
    <w:rsid w:val="000338CD"/>
    <w:rsid w:val="00033C54"/>
    <w:rsid w:val="00033D6F"/>
    <w:rsid w:val="00033E30"/>
    <w:rsid w:val="00034008"/>
    <w:rsid w:val="0003409C"/>
    <w:rsid w:val="0003420C"/>
    <w:rsid w:val="000343F1"/>
    <w:rsid w:val="00034737"/>
    <w:rsid w:val="00034DE7"/>
    <w:rsid w:val="000351DD"/>
    <w:rsid w:val="000352AB"/>
    <w:rsid w:val="0003559B"/>
    <w:rsid w:val="00035969"/>
    <w:rsid w:val="00035C9F"/>
    <w:rsid w:val="00035F83"/>
    <w:rsid w:val="00035FD2"/>
    <w:rsid w:val="00035FF9"/>
    <w:rsid w:val="00036320"/>
    <w:rsid w:val="000363DA"/>
    <w:rsid w:val="00036604"/>
    <w:rsid w:val="00036978"/>
    <w:rsid w:val="00036A2B"/>
    <w:rsid w:val="00036A57"/>
    <w:rsid w:val="00036CDB"/>
    <w:rsid w:val="00036F73"/>
    <w:rsid w:val="00036FEF"/>
    <w:rsid w:val="00037093"/>
    <w:rsid w:val="000371FA"/>
    <w:rsid w:val="000372B0"/>
    <w:rsid w:val="0003736E"/>
    <w:rsid w:val="00037450"/>
    <w:rsid w:val="00037513"/>
    <w:rsid w:val="00037C5A"/>
    <w:rsid w:val="00037CC2"/>
    <w:rsid w:val="0004094E"/>
    <w:rsid w:val="00040A73"/>
    <w:rsid w:val="00040D30"/>
    <w:rsid w:val="00040D9F"/>
    <w:rsid w:val="00040F08"/>
    <w:rsid w:val="00041433"/>
    <w:rsid w:val="00041646"/>
    <w:rsid w:val="00041686"/>
    <w:rsid w:val="000416A5"/>
    <w:rsid w:val="00041947"/>
    <w:rsid w:val="00041E21"/>
    <w:rsid w:val="00041E6E"/>
    <w:rsid w:val="00041EF5"/>
    <w:rsid w:val="00041FBE"/>
    <w:rsid w:val="000422E9"/>
    <w:rsid w:val="000429A6"/>
    <w:rsid w:val="00042AC5"/>
    <w:rsid w:val="00042ADB"/>
    <w:rsid w:val="00042D92"/>
    <w:rsid w:val="00042EF6"/>
    <w:rsid w:val="00043168"/>
    <w:rsid w:val="000440A2"/>
    <w:rsid w:val="0004434D"/>
    <w:rsid w:val="0004461F"/>
    <w:rsid w:val="000446FC"/>
    <w:rsid w:val="00044890"/>
    <w:rsid w:val="000448C5"/>
    <w:rsid w:val="00044AD4"/>
    <w:rsid w:val="00044F46"/>
    <w:rsid w:val="0004573C"/>
    <w:rsid w:val="0004586B"/>
    <w:rsid w:val="00045BFF"/>
    <w:rsid w:val="00046606"/>
    <w:rsid w:val="00046A38"/>
    <w:rsid w:val="00046AE6"/>
    <w:rsid w:val="000471E4"/>
    <w:rsid w:val="0004762D"/>
    <w:rsid w:val="000476B8"/>
    <w:rsid w:val="000476CF"/>
    <w:rsid w:val="00047AFA"/>
    <w:rsid w:val="0005012A"/>
    <w:rsid w:val="00050992"/>
    <w:rsid w:val="00050A7D"/>
    <w:rsid w:val="00050B29"/>
    <w:rsid w:val="000512A3"/>
    <w:rsid w:val="00051570"/>
    <w:rsid w:val="000515BB"/>
    <w:rsid w:val="00051BDA"/>
    <w:rsid w:val="00051F59"/>
    <w:rsid w:val="000523C3"/>
    <w:rsid w:val="00052AEC"/>
    <w:rsid w:val="00052B84"/>
    <w:rsid w:val="00052CAD"/>
    <w:rsid w:val="00052F5B"/>
    <w:rsid w:val="00053017"/>
    <w:rsid w:val="00053403"/>
    <w:rsid w:val="000535FA"/>
    <w:rsid w:val="000536B4"/>
    <w:rsid w:val="00053D8B"/>
    <w:rsid w:val="00053ED6"/>
    <w:rsid w:val="00054046"/>
    <w:rsid w:val="00054052"/>
    <w:rsid w:val="000544E6"/>
    <w:rsid w:val="00054B91"/>
    <w:rsid w:val="00054C58"/>
    <w:rsid w:val="00055835"/>
    <w:rsid w:val="00055BC1"/>
    <w:rsid w:val="00055E11"/>
    <w:rsid w:val="00055FB0"/>
    <w:rsid w:val="000560E8"/>
    <w:rsid w:val="000562D9"/>
    <w:rsid w:val="000566A6"/>
    <w:rsid w:val="000567A3"/>
    <w:rsid w:val="00057079"/>
    <w:rsid w:val="0005711A"/>
    <w:rsid w:val="000577A9"/>
    <w:rsid w:val="000579DB"/>
    <w:rsid w:val="00057BCF"/>
    <w:rsid w:val="00060740"/>
    <w:rsid w:val="00061174"/>
    <w:rsid w:val="0006129A"/>
    <w:rsid w:val="000612C4"/>
    <w:rsid w:val="00061456"/>
    <w:rsid w:val="0006149A"/>
    <w:rsid w:val="000614BB"/>
    <w:rsid w:val="0006206E"/>
    <w:rsid w:val="000623EB"/>
    <w:rsid w:val="00062494"/>
    <w:rsid w:val="00062674"/>
    <w:rsid w:val="000629BD"/>
    <w:rsid w:val="00062C20"/>
    <w:rsid w:val="000632DC"/>
    <w:rsid w:val="0006345F"/>
    <w:rsid w:val="000638A6"/>
    <w:rsid w:val="00063907"/>
    <w:rsid w:val="00063D24"/>
    <w:rsid w:val="00063ED2"/>
    <w:rsid w:val="00063EE0"/>
    <w:rsid w:val="00064157"/>
    <w:rsid w:val="000643AE"/>
    <w:rsid w:val="000644D3"/>
    <w:rsid w:val="00064AE4"/>
    <w:rsid w:val="00064E2A"/>
    <w:rsid w:val="00064E31"/>
    <w:rsid w:val="000652E6"/>
    <w:rsid w:val="000657A1"/>
    <w:rsid w:val="00065C84"/>
    <w:rsid w:val="00065D79"/>
    <w:rsid w:val="0006606C"/>
    <w:rsid w:val="00066159"/>
    <w:rsid w:val="0006627F"/>
    <w:rsid w:val="0006672F"/>
    <w:rsid w:val="00066C83"/>
    <w:rsid w:val="00066EFF"/>
    <w:rsid w:val="00067C06"/>
    <w:rsid w:val="00067D44"/>
    <w:rsid w:val="00067D60"/>
    <w:rsid w:val="00067E2C"/>
    <w:rsid w:val="00067F9D"/>
    <w:rsid w:val="0007009F"/>
    <w:rsid w:val="000700CD"/>
    <w:rsid w:val="00070908"/>
    <w:rsid w:val="0007096D"/>
    <w:rsid w:val="00071760"/>
    <w:rsid w:val="000720A3"/>
    <w:rsid w:val="000720C4"/>
    <w:rsid w:val="000724A2"/>
    <w:rsid w:val="00072912"/>
    <w:rsid w:val="00072951"/>
    <w:rsid w:val="00072F0B"/>
    <w:rsid w:val="00072F12"/>
    <w:rsid w:val="0007349B"/>
    <w:rsid w:val="000737AC"/>
    <w:rsid w:val="000738A2"/>
    <w:rsid w:val="00073B57"/>
    <w:rsid w:val="00073D4F"/>
    <w:rsid w:val="0007483E"/>
    <w:rsid w:val="00074905"/>
    <w:rsid w:val="00074919"/>
    <w:rsid w:val="00074EFE"/>
    <w:rsid w:val="0007509B"/>
    <w:rsid w:val="0007519F"/>
    <w:rsid w:val="00075516"/>
    <w:rsid w:val="000755AA"/>
    <w:rsid w:val="0007562F"/>
    <w:rsid w:val="00076183"/>
    <w:rsid w:val="000762D0"/>
    <w:rsid w:val="0007640F"/>
    <w:rsid w:val="000766A1"/>
    <w:rsid w:val="000766EC"/>
    <w:rsid w:val="00076BBC"/>
    <w:rsid w:val="00076C1E"/>
    <w:rsid w:val="000772D1"/>
    <w:rsid w:val="00077C7D"/>
    <w:rsid w:val="00077DFE"/>
    <w:rsid w:val="00080048"/>
    <w:rsid w:val="00080840"/>
    <w:rsid w:val="00080CF6"/>
    <w:rsid w:val="00080F41"/>
    <w:rsid w:val="00081438"/>
    <w:rsid w:val="00081A14"/>
    <w:rsid w:val="00081C95"/>
    <w:rsid w:val="00081E3F"/>
    <w:rsid w:val="00082040"/>
    <w:rsid w:val="00082761"/>
    <w:rsid w:val="00082B02"/>
    <w:rsid w:val="00082C16"/>
    <w:rsid w:val="00082E17"/>
    <w:rsid w:val="00082E2A"/>
    <w:rsid w:val="00083399"/>
    <w:rsid w:val="00083423"/>
    <w:rsid w:val="0008360E"/>
    <w:rsid w:val="0008380D"/>
    <w:rsid w:val="000839C4"/>
    <w:rsid w:val="00083D8E"/>
    <w:rsid w:val="00083ECA"/>
    <w:rsid w:val="000840CE"/>
    <w:rsid w:val="00084612"/>
    <w:rsid w:val="000846AF"/>
    <w:rsid w:val="000847F5"/>
    <w:rsid w:val="000849DC"/>
    <w:rsid w:val="00084A03"/>
    <w:rsid w:val="000850EB"/>
    <w:rsid w:val="00085346"/>
    <w:rsid w:val="00085456"/>
    <w:rsid w:val="00085700"/>
    <w:rsid w:val="00085AAF"/>
    <w:rsid w:val="00086012"/>
    <w:rsid w:val="00086205"/>
    <w:rsid w:val="000868BA"/>
    <w:rsid w:val="00086A09"/>
    <w:rsid w:val="00086B46"/>
    <w:rsid w:val="00087195"/>
    <w:rsid w:val="000875DA"/>
    <w:rsid w:val="0008798E"/>
    <w:rsid w:val="00087FF8"/>
    <w:rsid w:val="0009015D"/>
    <w:rsid w:val="000901C5"/>
    <w:rsid w:val="00090756"/>
    <w:rsid w:val="00090A09"/>
    <w:rsid w:val="00090C85"/>
    <w:rsid w:val="00090EAA"/>
    <w:rsid w:val="000911FE"/>
    <w:rsid w:val="000913AA"/>
    <w:rsid w:val="00091691"/>
    <w:rsid w:val="000917DB"/>
    <w:rsid w:val="00091920"/>
    <w:rsid w:val="00091925"/>
    <w:rsid w:val="00091C80"/>
    <w:rsid w:val="00091D90"/>
    <w:rsid w:val="00091EB3"/>
    <w:rsid w:val="00091F09"/>
    <w:rsid w:val="00091FE0"/>
    <w:rsid w:val="00092005"/>
    <w:rsid w:val="000920EC"/>
    <w:rsid w:val="000926D0"/>
    <w:rsid w:val="0009272C"/>
    <w:rsid w:val="00093583"/>
    <w:rsid w:val="000935FE"/>
    <w:rsid w:val="00093BE9"/>
    <w:rsid w:val="00093DEC"/>
    <w:rsid w:val="0009404C"/>
    <w:rsid w:val="0009414F"/>
    <w:rsid w:val="00094A84"/>
    <w:rsid w:val="00094E91"/>
    <w:rsid w:val="000959B9"/>
    <w:rsid w:val="000959E5"/>
    <w:rsid w:val="00095A65"/>
    <w:rsid w:val="00095C02"/>
    <w:rsid w:val="00095F78"/>
    <w:rsid w:val="00096051"/>
    <w:rsid w:val="000960DF"/>
    <w:rsid w:val="00096144"/>
    <w:rsid w:val="000963AA"/>
    <w:rsid w:val="00096400"/>
    <w:rsid w:val="000969B8"/>
    <w:rsid w:val="00096B44"/>
    <w:rsid w:val="00096B6B"/>
    <w:rsid w:val="00097055"/>
    <w:rsid w:val="00097142"/>
    <w:rsid w:val="00097204"/>
    <w:rsid w:val="00097420"/>
    <w:rsid w:val="000975FF"/>
    <w:rsid w:val="000979B9"/>
    <w:rsid w:val="000A0754"/>
    <w:rsid w:val="000A0A81"/>
    <w:rsid w:val="000A0C46"/>
    <w:rsid w:val="000A0F47"/>
    <w:rsid w:val="000A1958"/>
    <w:rsid w:val="000A1B85"/>
    <w:rsid w:val="000A1DA9"/>
    <w:rsid w:val="000A2107"/>
    <w:rsid w:val="000A22C5"/>
    <w:rsid w:val="000A25E4"/>
    <w:rsid w:val="000A26E2"/>
    <w:rsid w:val="000A2741"/>
    <w:rsid w:val="000A2789"/>
    <w:rsid w:val="000A27B1"/>
    <w:rsid w:val="000A2890"/>
    <w:rsid w:val="000A2953"/>
    <w:rsid w:val="000A2E15"/>
    <w:rsid w:val="000A2E54"/>
    <w:rsid w:val="000A2E60"/>
    <w:rsid w:val="000A2EFE"/>
    <w:rsid w:val="000A3240"/>
    <w:rsid w:val="000A366F"/>
    <w:rsid w:val="000A3CE6"/>
    <w:rsid w:val="000A3F95"/>
    <w:rsid w:val="000A43C6"/>
    <w:rsid w:val="000A44A4"/>
    <w:rsid w:val="000A44D1"/>
    <w:rsid w:val="000A465B"/>
    <w:rsid w:val="000A4C0D"/>
    <w:rsid w:val="000A4DE6"/>
    <w:rsid w:val="000A4EA9"/>
    <w:rsid w:val="000A51FE"/>
    <w:rsid w:val="000A5589"/>
    <w:rsid w:val="000A572E"/>
    <w:rsid w:val="000A58A5"/>
    <w:rsid w:val="000A629B"/>
    <w:rsid w:val="000A65C9"/>
    <w:rsid w:val="000A6823"/>
    <w:rsid w:val="000A6979"/>
    <w:rsid w:val="000A734C"/>
    <w:rsid w:val="000A7C37"/>
    <w:rsid w:val="000A7ECC"/>
    <w:rsid w:val="000B015E"/>
    <w:rsid w:val="000B03C9"/>
    <w:rsid w:val="000B086E"/>
    <w:rsid w:val="000B08E1"/>
    <w:rsid w:val="000B0A94"/>
    <w:rsid w:val="000B0ACD"/>
    <w:rsid w:val="000B0C19"/>
    <w:rsid w:val="000B0D2F"/>
    <w:rsid w:val="000B1061"/>
    <w:rsid w:val="000B196F"/>
    <w:rsid w:val="000B1A1B"/>
    <w:rsid w:val="000B1D52"/>
    <w:rsid w:val="000B1E0B"/>
    <w:rsid w:val="000B204C"/>
    <w:rsid w:val="000B2130"/>
    <w:rsid w:val="000B2177"/>
    <w:rsid w:val="000B239E"/>
    <w:rsid w:val="000B23F7"/>
    <w:rsid w:val="000B24A8"/>
    <w:rsid w:val="000B2726"/>
    <w:rsid w:val="000B2F2E"/>
    <w:rsid w:val="000B3226"/>
    <w:rsid w:val="000B3417"/>
    <w:rsid w:val="000B36A1"/>
    <w:rsid w:val="000B3948"/>
    <w:rsid w:val="000B3FBF"/>
    <w:rsid w:val="000B4102"/>
    <w:rsid w:val="000B467F"/>
    <w:rsid w:val="000B4A44"/>
    <w:rsid w:val="000B4AD9"/>
    <w:rsid w:val="000B5017"/>
    <w:rsid w:val="000B53BF"/>
    <w:rsid w:val="000B5C4F"/>
    <w:rsid w:val="000B5C7C"/>
    <w:rsid w:val="000B5D01"/>
    <w:rsid w:val="000B5DB9"/>
    <w:rsid w:val="000B6666"/>
    <w:rsid w:val="000B66E3"/>
    <w:rsid w:val="000B6884"/>
    <w:rsid w:val="000B6C0B"/>
    <w:rsid w:val="000B6DDF"/>
    <w:rsid w:val="000B706D"/>
    <w:rsid w:val="000B73C3"/>
    <w:rsid w:val="000B74C7"/>
    <w:rsid w:val="000B7529"/>
    <w:rsid w:val="000B765F"/>
    <w:rsid w:val="000B7750"/>
    <w:rsid w:val="000C04D3"/>
    <w:rsid w:val="000C0BAB"/>
    <w:rsid w:val="000C0CF2"/>
    <w:rsid w:val="000C1242"/>
    <w:rsid w:val="000C140A"/>
    <w:rsid w:val="000C173B"/>
    <w:rsid w:val="000C1C45"/>
    <w:rsid w:val="000C22E9"/>
    <w:rsid w:val="000C27D0"/>
    <w:rsid w:val="000C27FD"/>
    <w:rsid w:val="000C2948"/>
    <w:rsid w:val="000C2B15"/>
    <w:rsid w:val="000C3197"/>
    <w:rsid w:val="000C3C50"/>
    <w:rsid w:val="000C411B"/>
    <w:rsid w:val="000C429B"/>
    <w:rsid w:val="000C4397"/>
    <w:rsid w:val="000C4898"/>
    <w:rsid w:val="000C4AAC"/>
    <w:rsid w:val="000C4AE1"/>
    <w:rsid w:val="000C4B12"/>
    <w:rsid w:val="000C4CFB"/>
    <w:rsid w:val="000C4E87"/>
    <w:rsid w:val="000C52DE"/>
    <w:rsid w:val="000C535F"/>
    <w:rsid w:val="000C59E6"/>
    <w:rsid w:val="000C5A31"/>
    <w:rsid w:val="000C5D55"/>
    <w:rsid w:val="000C5F8F"/>
    <w:rsid w:val="000C64EA"/>
    <w:rsid w:val="000C6535"/>
    <w:rsid w:val="000C6669"/>
    <w:rsid w:val="000C66E5"/>
    <w:rsid w:val="000C6A2E"/>
    <w:rsid w:val="000C6A87"/>
    <w:rsid w:val="000C6A88"/>
    <w:rsid w:val="000C6F43"/>
    <w:rsid w:val="000C7050"/>
    <w:rsid w:val="000C7475"/>
    <w:rsid w:val="000C75E8"/>
    <w:rsid w:val="000C7638"/>
    <w:rsid w:val="000C7A95"/>
    <w:rsid w:val="000C7BBF"/>
    <w:rsid w:val="000C7C73"/>
    <w:rsid w:val="000D05DA"/>
    <w:rsid w:val="000D0B66"/>
    <w:rsid w:val="000D0BE2"/>
    <w:rsid w:val="000D136C"/>
    <w:rsid w:val="000D13C0"/>
    <w:rsid w:val="000D17FC"/>
    <w:rsid w:val="000D1815"/>
    <w:rsid w:val="000D2086"/>
    <w:rsid w:val="000D2343"/>
    <w:rsid w:val="000D26AD"/>
    <w:rsid w:val="000D29E1"/>
    <w:rsid w:val="000D2BC6"/>
    <w:rsid w:val="000D2D05"/>
    <w:rsid w:val="000D2E3F"/>
    <w:rsid w:val="000D2ED7"/>
    <w:rsid w:val="000D32FE"/>
    <w:rsid w:val="000D355F"/>
    <w:rsid w:val="000D3C53"/>
    <w:rsid w:val="000D40E0"/>
    <w:rsid w:val="000D4176"/>
    <w:rsid w:val="000D4579"/>
    <w:rsid w:val="000D467D"/>
    <w:rsid w:val="000D47A3"/>
    <w:rsid w:val="000D47C9"/>
    <w:rsid w:val="000D4D9B"/>
    <w:rsid w:val="000D5071"/>
    <w:rsid w:val="000D5322"/>
    <w:rsid w:val="000D55A7"/>
    <w:rsid w:val="000D5640"/>
    <w:rsid w:val="000D5B06"/>
    <w:rsid w:val="000D5E40"/>
    <w:rsid w:val="000D6170"/>
    <w:rsid w:val="000D6171"/>
    <w:rsid w:val="000D6B45"/>
    <w:rsid w:val="000D6DCA"/>
    <w:rsid w:val="000D749D"/>
    <w:rsid w:val="000D750C"/>
    <w:rsid w:val="000D755F"/>
    <w:rsid w:val="000D7D89"/>
    <w:rsid w:val="000E05CA"/>
    <w:rsid w:val="000E064D"/>
    <w:rsid w:val="000E0759"/>
    <w:rsid w:val="000E0FCB"/>
    <w:rsid w:val="000E1B83"/>
    <w:rsid w:val="000E20EC"/>
    <w:rsid w:val="000E2251"/>
    <w:rsid w:val="000E253B"/>
    <w:rsid w:val="000E2542"/>
    <w:rsid w:val="000E301C"/>
    <w:rsid w:val="000E3134"/>
    <w:rsid w:val="000E3668"/>
    <w:rsid w:val="000E3725"/>
    <w:rsid w:val="000E375A"/>
    <w:rsid w:val="000E386C"/>
    <w:rsid w:val="000E3C43"/>
    <w:rsid w:val="000E3E01"/>
    <w:rsid w:val="000E438B"/>
    <w:rsid w:val="000E43F1"/>
    <w:rsid w:val="000E53E8"/>
    <w:rsid w:val="000E5A80"/>
    <w:rsid w:val="000E610E"/>
    <w:rsid w:val="000E623F"/>
    <w:rsid w:val="000E6713"/>
    <w:rsid w:val="000E6B28"/>
    <w:rsid w:val="000E6E3F"/>
    <w:rsid w:val="000E7413"/>
    <w:rsid w:val="000E7748"/>
    <w:rsid w:val="000E79A1"/>
    <w:rsid w:val="000E7B12"/>
    <w:rsid w:val="000E7F65"/>
    <w:rsid w:val="000F0112"/>
    <w:rsid w:val="000F0244"/>
    <w:rsid w:val="000F04C5"/>
    <w:rsid w:val="000F05AA"/>
    <w:rsid w:val="000F061E"/>
    <w:rsid w:val="000F0C96"/>
    <w:rsid w:val="000F0D81"/>
    <w:rsid w:val="000F0E26"/>
    <w:rsid w:val="000F121E"/>
    <w:rsid w:val="000F17E1"/>
    <w:rsid w:val="000F195C"/>
    <w:rsid w:val="000F19DD"/>
    <w:rsid w:val="000F1A91"/>
    <w:rsid w:val="000F1A9F"/>
    <w:rsid w:val="000F1AE2"/>
    <w:rsid w:val="000F1E94"/>
    <w:rsid w:val="000F1FED"/>
    <w:rsid w:val="000F20EA"/>
    <w:rsid w:val="000F2107"/>
    <w:rsid w:val="000F23EF"/>
    <w:rsid w:val="000F242A"/>
    <w:rsid w:val="000F2857"/>
    <w:rsid w:val="000F2C64"/>
    <w:rsid w:val="000F2D76"/>
    <w:rsid w:val="000F3181"/>
    <w:rsid w:val="000F36C1"/>
    <w:rsid w:val="000F3827"/>
    <w:rsid w:val="000F3A80"/>
    <w:rsid w:val="000F3C06"/>
    <w:rsid w:val="000F42AD"/>
    <w:rsid w:val="000F4ACF"/>
    <w:rsid w:val="000F4C43"/>
    <w:rsid w:val="000F4E7B"/>
    <w:rsid w:val="000F4F2A"/>
    <w:rsid w:val="000F4F69"/>
    <w:rsid w:val="000F50E8"/>
    <w:rsid w:val="000F5217"/>
    <w:rsid w:val="000F5616"/>
    <w:rsid w:val="000F56E9"/>
    <w:rsid w:val="000F5C52"/>
    <w:rsid w:val="000F5DAF"/>
    <w:rsid w:val="000F6A8E"/>
    <w:rsid w:val="000F6AA2"/>
    <w:rsid w:val="000F7304"/>
    <w:rsid w:val="000F752D"/>
    <w:rsid w:val="000F7593"/>
    <w:rsid w:val="000F76B0"/>
    <w:rsid w:val="000F7759"/>
    <w:rsid w:val="000F79BD"/>
    <w:rsid w:val="000F7BD0"/>
    <w:rsid w:val="000F7DE0"/>
    <w:rsid w:val="001000FD"/>
    <w:rsid w:val="00100610"/>
    <w:rsid w:val="00100624"/>
    <w:rsid w:val="00100648"/>
    <w:rsid w:val="001007A9"/>
    <w:rsid w:val="00100999"/>
    <w:rsid w:val="00100F98"/>
    <w:rsid w:val="001010BE"/>
    <w:rsid w:val="00101376"/>
    <w:rsid w:val="0010157E"/>
    <w:rsid w:val="0010171E"/>
    <w:rsid w:val="001017CF"/>
    <w:rsid w:val="001018E8"/>
    <w:rsid w:val="00101B70"/>
    <w:rsid w:val="00102652"/>
    <w:rsid w:val="00102889"/>
    <w:rsid w:val="00102947"/>
    <w:rsid w:val="00103377"/>
    <w:rsid w:val="00103A0A"/>
    <w:rsid w:val="00103B31"/>
    <w:rsid w:val="00103BEE"/>
    <w:rsid w:val="00103D9D"/>
    <w:rsid w:val="0010462F"/>
    <w:rsid w:val="00104D7A"/>
    <w:rsid w:val="00105154"/>
    <w:rsid w:val="0010576C"/>
    <w:rsid w:val="001058CB"/>
    <w:rsid w:val="00105A44"/>
    <w:rsid w:val="00105A63"/>
    <w:rsid w:val="00105B37"/>
    <w:rsid w:val="001066EC"/>
    <w:rsid w:val="00106753"/>
    <w:rsid w:val="00106B62"/>
    <w:rsid w:val="0010721C"/>
    <w:rsid w:val="00107320"/>
    <w:rsid w:val="001078AE"/>
    <w:rsid w:val="00107908"/>
    <w:rsid w:val="0010791F"/>
    <w:rsid w:val="00107ADB"/>
    <w:rsid w:val="00107B8F"/>
    <w:rsid w:val="00107E92"/>
    <w:rsid w:val="00110009"/>
    <w:rsid w:val="00110148"/>
    <w:rsid w:val="00110294"/>
    <w:rsid w:val="001107BC"/>
    <w:rsid w:val="00110C02"/>
    <w:rsid w:val="00110E4E"/>
    <w:rsid w:val="00110F09"/>
    <w:rsid w:val="00110F51"/>
    <w:rsid w:val="0011102A"/>
    <w:rsid w:val="0011106F"/>
    <w:rsid w:val="00111178"/>
    <w:rsid w:val="001111B1"/>
    <w:rsid w:val="00111718"/>
    <w:rsid w:val="00111998"/>
    <w:rsid w:val="00111AD4"/>
    <w:rsid w:val="00111FF3"/>
    <w:rsid w:val="001121C7"/>
    <w:rsid w:val="001128FA"/>
    <w:rsid w:val="0011291E"/>
    <w:rsid w:val="00112B39"/>
    <w:rsid w:val="00112B66"/>
    <w:rsid w:val="00112BFE"/>
    <w:rsid w:val="00112C97"/>
    <w:rsid w:val="00112CB3"/>
    <w:rsid w:val="00112F39"/>
    <w:rsid w:val="00112F72"/>
    <w:rsid w:val="00113113"/>
    <w:rsid w:val="001132EE"/>
    <w:rsid w:val="00113419"/>
    <w:rsid w:val="00113625"/>
    <w:rsid w:val="001137F1"/>
    <w:rsid w:val="001139D2"/>
    <w:rsid w:val="00113EC8"/>
    <w:rsid w:val="001140E0"/>
    <w:rsid w:val="00114300"/>
    <w:rsid w:val="0011441A"/>
    <w:rsid w:val="001145AE"/>
    <w:rsid w:val="00114679"/>
    <w:rsid w:val="0011479E"/>
    <w:rsid w:val="001147D8"/>
    <w:rsid w:val="00114863"/>
    <w:rsid w:val="00114961"/>
    <w:rsid w:val="001149AF"/>
    <w:rsid w:val="00114CFD"/>
    <w:rsid w:val="0011526F"/>
    <w:rsid w:val="0011569C"/>
    <w:rsid w:val="001156CA"/>
    <w:rsid w:val="00115BE0"/>
    <w:rsid w:val="0011602A"/>
    <w:rsid w:val="0011607F"/>
    <w:rsid w:val="001165D7"/>
    <w:rsid w:val="001166FA"/>
    <w:rsid w:val="00116AD9"/>
    <w:rsid w:val="00116B1E"/>
    <w:rsid w:val="00116CFF"/>
    <w:rsid w:val="00117317"/>
    <w:rsid w:val="0011752A"/>
    <w:rsid w:val="001178F8"/>
    <w:rsid w:val="00117A61"/>
    <w:rsid w:val="00117A77"/>
    <w:rsid w:val="00117AE1"/>
    <w:rsid w:val="00117E71"/>
    <w:rsid w:val="001204CE"/>
    <w:rsid w:val="00120632"/>
    <w:rsid w:val="00120C62"/>
    <w:rsid w:val="00120D58"/>
    <w:rsid w:val="00121403"/>
    <w:rsid w:val="00121671"/>
    <w:rsid w:val="00121709"/>
    <w:rsid w:val="001217AE"/>
    <w:rsid w:val="001218EC"/>
    <w:rsid w:val="00121957"/>
    <w:rsid w:val="00121A41"/>
    <w:rsid w:val="00121CDE"/>
    <w:rsid w:val="00122124"/>
    <w:rsid w:val="0012229B"/>
    <w:rsid w:val="00122396"/>
    <w:rsid w:val="00122495"/>
    <w:rsid w:val="001226FD"/>
    <w:rsid w:val="00122850"/>
    <w:rsid w:val="00122A67"/>
    <w:rsid w:val="00122D09"/>
    <w:rsid w:val="00123219"/>
    <w:rsid w:val="00123559"/>
    <w:rsid w:val="00123C13"/>
    <w:rsid w:val="00123CD1"/>
    <w:rsid w:val="0012405F"/>
    <w:rsid w:val="00124066"/>
    <w:rsid w:val="00124208"/>
    <w:rsid w:val="00124443"/>
    <w:rsid w:val="001244E9"/>
    <w:rsid w:val="00124728"/>
    <w:rsid w:val="00124922"/>
    <w:rsid w:val="00124CCB"/>
    <w:rsid w:val="00124E98"/>
    <w:rsid w:val="00125066"/>
    <w:rsid w:val="001251B8"/>
    <w:rsid w:val="0012599F"/>
    <w:rsid w:val="00125A0A"/>
    <w:rsid w:val="001260F2"/>
    <w:rsid w:val="00126123"/>
    <w:rsid w:val="0012621A"/>
    <w:rsid w:val="0012654E"/>
    <w:rsid w:val="00126957"/>
    <w:rsid w:val="0012696F"/>
    <w:rsid w:val="00126B89"/>
    <w:rsid w:val="00126CC1"/>
    <w:rsid w:val="001270AD"/>
    <w:rsid w:val="0012714E"/>
    <w:rsid w:val="0012726A"/>
    <w:rsid w:val="001273C4"/>
    <w:rsid w:val="00127ABB"/>
    <w:rsid w:val="001302DE"/>
    <w:rsid w:val="0013048C"/>
    <w:rsid w:val="00130B2C"/>
    <w:rsid w:val="00130CB6"/>
    <w:rsid w:val="00131265"/>
    <w:rsid w:val="0013154E"/>
    <w:rsid w:val="001318F5"/>
    <w:rsid w:val="00131924"/>
    <w:rsid w:val="00131B64"/>
    <w:rsid w:val="00131D60"/>
    <w:rsid w:val="00132541"/>
    <w:rsid w:val="0013297A"/>
    <w:rsid w:val="00132A7C"/>
    <w:rsid w:val="0013318B"/>
    <w:rsid w:val="00133843"/>
    <w:rsid w:val="001341BC"/>
    <w:rsid w:val="00134386"/>
    <w:rsid w:val="00134650"/>
    <w:rsid w:val="00134A27"/>
    <w:rsid w:val="00134DB6"/>
    <w:rsid w:val="00135495"/>
    <w:rsid w:val="00135559"/>
    <w:rsid w:val="00135C34"/>
    <w:rsid w:val="00135CAD"/>
    <w:rsid w:val="00135E51"/>
    <w:rsid w:val="001363C6"/>
    <w:rsid w:val="00136621"/>
    <w:rsid w:val="00136872"/>
    <w:rsid w:val="001368D6"/>
    <w:rsid w:val="0013706A"/>
    <w:rsid w:val="001370BB"/>
    <w:rsid w:val="001370D2"/>
    <w:rsid w:val="00137297"/>
    <w:rsid w:val="001373DD"/>
    <w:rsid w:val="0013791E"/>
    <w:rsid w:val="00137924"/>
    <w:rsid w:val="00137CF3"/>
    <w:rsid w:val="00140023"/>
    <w:rsid w:val="001406BE"/>
    <w:rsid w:val="00140A5C"/>
    <w:rsid w:val="00140AF0"/>
    <w:rsid w:val="00140E1E"/>
    <w:rsid w:val="00140F24"/>
    <w:rsid w:val="00140F4B"/>
    <w:rsid w:val="00141163"/>
    <w:rsid w:val="0014127C"/>
    <w:rsid w:val="0014134B"/>
    <w:rsid w:val="001413BB"/>
    <w:rsid w:val="00141813"/>
    <w:rsid w:val="00141864"/>
    <w:rsid w:val="00141B76"/>
    <w:rsid w:val="00141C33"/>
    <w:rsid w:val="00141F9C"/>
    <w:rsid w:val="00142173"/>
    <w:rsid w:val="00142252"/>
    <w:rsid w:val="00142605"/>
    <w:rsid w:val="001427AE"/>
    <w:rsid w:val="00142AB9"/>
    <w:rsid w:val="00142C13"/>
    <w:rsid w:val="0014310F"/>
    <w:rsid w:val="0014315D"/>
    <w:rsid w:val="001435FD"/>
    <w:rsid w:val="00143739"/>
    <w:rsid w:val="00143A91"/>
    <w:rsid w:val="00143BEC"/>
    <w:rsid w:val="00143E95"/>
    <w:rsid w:val="00143F91"/>
    <w:rsid w:val="00144168"/>
    <w:rsid w:val="0014468E"/>
    <w:rsid w:val="001449CB"/>
    <w:rsid w:val="00144C0C"/>
    <w:rsid w:val="00144EF8"/>
    <w:rsid w:val="0014518D"/>
    <w:rsid w:val="00145248"/>
    <w:rsid w:val="00145A89"/>
    <w:rsid w:val="00145CE6"/>
    <w:rsid w:val="0014603D"/>
    <w:rsid w:val="0014669C"/>
    <w:rsid w:val="001468D9"/>
    <w:rsid w:val="00146E4E"/>
    <w:rsid w:val="001476C4"/>
    <w:rsid w:val="00147917"/>
    <w:rsid w:val="00147B48"/>
    <w:rsid w:val="00147B6C"/>
    <w:rsid w:val="001500F3"/>
    <w:rsid w:val="00150563"/>
    <w:rsid w:val="001508C3"/>
    <w:rsid w:val="00150D4C"/>
    <w:rsid w:val="00151286"/>
    <w:rsid w:val="001513F1"/>
    <w:rsid w:val="0015141A"/>
    <w:rsid w:val="001515B5"/>
    <w:rsid w:val="00151801"/>
    <w:rsid w:val="00151A17"/>
    <w:rsid w:val="00151F6C"/>
    <w:rsid w:val="0015205A"/>
    <w:rsid w:val="00152983"/>
    <w:rsid w:val="00152C81"/>
    <w:rsid w:val="00153062"/>
    <w:rsid w:val="00153083"/>
    <w:rsid w:val="00153126"/>
    <w:rsid w:val="001531BA"/>
    <w:rsid w:val="001533AE"/>
    <w:rsid w:val="001533C8"/>
    <w:rsid w:val="001535BC"/>
    <w:rsid w:val="001538F3"/>
    <w:rsid w:val="00153973"/>
    <w:rsid w:val="00153FE4"/>
    <w:rsid w:val="0015457A"/>
    <w:rsid w:val="0015464F"/>
    <w:rsid w:val="00154727"/>
    <w:rsid w:val="00154790"/>
    <w:rsid w:val="00154E11"/>
    <w:rsid w:val="00154E70"/>
    <w:rsid w:val="001550FB"/>
    <w:rsid w:val="0015521D"/>
    <w:rsid w:val="00155496"/>
    <w:rsid w:val="0015551B"/>
    <w:rsid w:val="001557A3"/>
    <w:rsid w:val="0015592F"/>
    <w:rsid w:val="00155979"/>
    <w:rsid w:val="00155E97"/>
    <w:rsid w:val="00156461"/>
    <w:rsid w:val="00156502"/>
    <w:rsid w:val="00156846"/>
    <w:rsid w:val="0015686F"/>
    <w:rsid w:val="00156F11"/>
    <w:rsid w:val="001577A1"/>
    <w:rsid w:val="00157C43"/>
    <w:rsid w:val="00157E04"/>
    <w:rsid w:val="00157EE9"/>
    <w:rsid w:val="00160192"/>
    <w:rsid w:val="0016023F"/>
    <w:rsid w:val="001603F7"/>
    <w:rsid w:val="00160518"/>
    <w:rsid w:val="00160A03"/>
    <w:rsid w:val="00160ABD"/>
    <w:rsid w:val="00160D14"/>
    <w:rsid w:val="00160E9C"/>
    <w:rsid w:val="00161222"/>
    <w:rsid w:val="00161AED"/>
    <w:rsid w:val="00161C08"/>
    <w:rsid w:val="00161D02"/>
    <w:rsid w:val="00161D36"/>
    <w:rsid w:val="0016211F"/>
    <w:rsid w:val="0016212C"/>
    <w:rsid w:val="001623D4"/>
    <w:rsid w:val="0016265E"/>
    <w:rsid w:val="001627CD"/>
    <w:rsid w:val="00163183"/>
    <w:rsid w:val="001632BA"/>
    <w:rsid w:val="001638D3"/>
    <w:rsid w:val="00163A67"/>
    <w:rsid w:val="00163B1F"/>
    <w:rsid w:val="001644EE"/>
    <w:rsid w:val="00164594"/>
    <w:rsid w:val="001646AE"/>
    <w:rsid w:val="00164BEC"/>
    <w:rsid w:val="00164D0C"/>
    <w:rsid w:val="00164E26"/>
    <w:rsid w:val="001653D6"/>
    <w:rsid w:val="001655EC"/>
    <w:rsid w:val="00165748"/>
    <w:rsid w:val="0016575D"/>
    <w:rsid w:val="0016577F"/>
    <w:rsid w:val="00165AFA"/>
    <w:rsid w:val="001663F4"/>
    <w:rsid w:val="00166473"/>
    <w:rsid w:val="0016672F"/>
    <w:rsid w:val="001667BC"/>
    <w:rsid w:val="001668E6"/>
    <w:rsid w:val="00166A42"/>
    <w:rsid w:val="00167192"/>
    <w:rsid w:val="001672D6"/>
    <w:rsid w:val="00167331"/>
    <w:rsid w:val="001674F2"/>
    <w:rsid w:val="00167623"/>
    <w:rsid w:val="0016767F"/>
    <w:rsid w:val="00167AA5"/>
    <w:rsid w:val="00167B51"/>
    <w:rsid w:val="00167B88"/>
    <w:rsid w:val="00170062"/>
    <w:rsid w:val="0017010C"/>
    <w:rsid w:val="001702CD"/>
    <w:rsid w:val="00170328"/>
    <w:rsid w:val="00170ADC"/>
    <w:rsid w:val="00170CCC"/>
    <w:rsid w:val="00170F49"/>
    <w:rsid w:val="00171579"/>
    <w:rsid w:val="001719DB"/>
    <w:rsid w:val="001722A9"/>
    <w:rsid w:val="0017259D"/>
    <w:rsid w:val="001726A5"/>
    <w:rsid w:val="00172992"/>
    <w:rsid w:val="001738DC"/>
    <w:rsid w:val="00173992"/>
    <w:rsid w:val="00173CC1"/>
    <w:rsid w:val="00173EF9"/>
    <w:rsid w:val="0017448B"/>
    <w:rsid w:val="00174524"/>
    <w:rsid w:val="001745BA"/>
    <w:rsid w:val="001747AA"/>
    <w:rsid w:val="00175576"/>
    <w:rsid w:val="0017566F"/>
    <w:rsid w:val="0017586B"/>
    <w:rsid w:val="00175F8E"/>
    <w:rsid w:val="001764B0"/>
    <w:rsid w:val="00176547"/>
    <w:rsid w:val="00176A07"/>
    <w:rsid w:val="00176C56"/>
    <w:rsid w:val="00176FFD"/>
    <w:rsid w:val="001772A5"/>
    <w:rsid w:val="0017767D"/>
    <w:rsid w:val="001778D1"/>
    <w:rsid w:val="00177CB6"/>
    <w:rsid w:val="00177D71"/>
    <w:rsid w:val="001805DF"/>
    <w:rsid w:val="00180650"/>
    <w:rsid w:val="00180B1B"/>
    <w:rsid w:val="00180FB5"/>
    <w:rsid w:val="00180FE6"/>
    <w:rsid w:val="001810D2"/>
    <w:rsid w:val="0018163F"/>
    <w:rsid w:val="00181DA9"/>
    <w:rsid w:val="001827E9"/>
    <w:rsid w:val="00182925"/>
    <w:rsid w:val="00182C07"/>
    <w:rsid w:val="00183220"/>
    <w:rsid w:val="001837C7"/>
    <w:rsid w:val="00183921"/>
    <w:rsid w:val="00183A30"/>
    <w:rsid w:val="00183B38"/>
    <w:rsid w:val="00184016"/>
    <w:rsid w:val="00184048"/>
    <w:rsid w:val="001842F2"/>
    <w:rsid w:val="00184563"/>
    <w:rsid w:val="00184C38"/>
    <w:rsid w:val="00184E36"/>
    <w:rsid w:val="00184EE1"/>
    <w:rsid w:val="00185165"/>
    <w:rsid w:val="001858B1"/>
    <w:rsid w:val="001858F2"/>
    <w:rsid w:val="0018592A"/>
    <w:rsid w:val="00185956"/>
    <w:rsid w:val="00185E22"/>
    <w:rsid w:val="00185F19"/>
    <w:rsid w:val="00186266"/>
    <w:rsid w:val="001862B7"/>
    <w:rsid w:val="001866BF"/>
    <w:rsid w:val="001868BF"/>
    <w:rsid w:val="00186943"/>
    <w:rsid w:val="00186C80"/>
    <w:rsid w:val="00186D9A"/>
    <w:rsid w:val="00187166"/>
    <w:rsid w:val="00187542"/>
    <w:rsid w:val="001878C3"/>
    <w:rsid w:val="00187CE0"/>
    <w:rsid w:val="00190053"/>
    <w:rsid w:val="00190D56"/>
    <w:rsid w:val="00190D71"/>
    <w:rsid w:val="00190D9A"/>
    <w:rsid w:val="00190DBB"/>
    <w:rsid w:val="00190F9E"/>
    <w:rsid w:val="001910E6"/>
    <w:rsid w:val="00191144"/>
    <w:rsid w:val="001914A4"/>
    <w:rsid w:val="001916A0"/>
    <w:rsid w:val="0019192E"/>
    <w:rsid w:val="00192098"/>
    <w:rsid w:val="001920BA"/>
    <w:rsid w:val="00192245"/>
    <w:rsid w:val="001922A6"/>
    <w:rsid w:val="00192561"/>
    <w:rsid w:val="001926FA"/>
    <w:rsid w:val="00192807"/>
    <w:rsid w:val="00192D30"/>
    <w:rsid w:val="00192DEA"/>
    <w:rsid w:val="00192FA5"/>
    <w:rsid w:val="001933E1"/>
    <w:rsid w:val="00193552"/>
    <w:rsid w:val="001936C2"/>
    <w:rsid w:val="00193905"/>
    <w:rsid w:val="0019414F"/>
    <w:rsid w:val="001941D6"/>
    <w:rsid w:val="0019422F"/>
    <w:rsid w:val="00194310"/>
    <w:rsid w:val="001945AF"/>
    <w:rsid w:val="001945D0"/>
    <w:rsid w:val="001948FA"/>
    <w:rsid w:val="00194C40"/>
    <w:rsid w:val="00194D15"/>
    <w:rsid w:val="00195123"/>
    <w:rsid w:val="001951B7"/>
    <w:rsid w:val="0019578C"/>
    <w:rsid w:val="001959EC"/>
    <w:rsid w:val="0019620B"/>
    <w:rsid w:val="00196346"/>
    <w:rsid w:val="00196423"/>
    <w:rsid w:val="0019643B"/>
    <w:rsid w:val="0019666E"/>
    <w:rsid w:val="001968A8"/>
    <w:rsid w:val="00196A2C"/>
    <w:rsid w:val="00196BA0"/>
    <w:rsid w:val="00196C65"/>
    <w:rsid w:val="00196D61"/>
    <w:rsid w:val="001974B0"/>
    <w:rsid w:val="001977E7"/>
    <w:rsid w:val="00197A75"/>
    <w:rsid w:val="00197FD4"/>
    <w:rsid w:val="001A0336"/>
    <w:rsid w:val="001A05DF"/>
    <w:rsid w:val="001A065B"/>
    <w:rsid w:val="001A08F4"/>
    <w:rsid w:val="001A0D01"/>
    <w:rsid w:val="001A0E72"/>
    <w:rsid w:val="001A10B2"/>
    <w:rsid w:val="001A10CD"/>
    <w:rsid w:val="001A130A"/>
    <w:rsid w:val="001A1761"/>
    <w:rsid w:val="001A1810"/>
    <w:rsid w:val="001A1863"/>
    <w:rsid w:val="001A186D"/>
    <w:rsid w:val="001A1C73"/>
    <w:rsid w:val="001A1F03"/>
    <w:rsid w:val="001A228E"/>
    <w:rsid w:val="001A232B"/>
    <w:rsid w:val="001A24B1"/>
    <w:rsid w:val="001A2D5D"/>
    <w:rsid w:val="001A2D70"/>
    <w:rsid w:val="001A3665"/>
    <w:rsid w:val="001A3A4E"/>
    <w:rsid w:val="001A3DF2"/>
    <w:rsid w:val="001A402B"/>
    <w:rsid w:val="001A40FA"/>
    <w:rsid w:val="001A4156"/>
    <w:rsid w:val="001A4786"/>
    <w:rsid w:val="001A4E94"/>
    <w:rsid w:val="001A4EA4"/>
    <w:rsid w:val="001A4F87"/>
    <w:rsid w:val="001A51E6"/>
    <w:rsid w:val="001A59E5"/>
    <w:rsid w:val="001A5B85"/>
    <w:rsid w:val="001A62E2"/>
    <w:rsid w:val="001A65CE"/>
    <w:rsid w:val="001A6A36"/>
    <w:rsid w:val="001A6A65"/>
    <w:rsid w:val="001A6E74"/>
    <w:rsid w:val="001A6F26"/>
    <w:rsid w:val="001A6F78"/>
    <w:rsid w:val="001A72A6"/>
    <w:rsid w:val="001A7395"/>
    <w:rsid w:val="001A73AF"/>
    <w:rsid w:val="001A73D8"/>
    <w:rsid w:val="001A7513"/>
    <w:rsid w:val="001A7619"/>
    <w:rsid w:val="001A7769"/>
    <w:rsid w:val="001A785D"/>
    <w:rsid w:val="001A7CAD"/>
    <w:rsid w:val="001A7D9C"/>
    <w:rsid w:val="001B041E"/>
    <w:rsid w:val="001B06B8"/>
    <w:rsid w:val="001B0841"/>
    <w:rsid w:val="001B0861"/>
    <w:rsid w:val="001B0B1B"/>
    <w:rsid w:val="001B0D18"/>
    <w:rsid w:val="001B0D2E"/>
    <w:rsid w:val="001B1A22"/>
    <w:rsid w:val="001B1DAF"/>
    <w:rsid w:val="001B1E15"/>
    <w:rsid w:val="001B259E"/>
    <w:rsid w:val="001B25A7"/>
    <w:rsid w:val="001B26D2"/>
    <w:rsid w:val="001B28E7"/>
    <w:rsid w:val="001B2ED3"/>
    <w:rsid w:val="001B2FB5"/>
    <w:rsid w:val="001B3B1A"/>
    <w:rsid w:val="001B3CBE"/>
    <w:rsid w:val="001B40EF"/>
    <w:rsid w:val="001B49F2"/>
    <w:rsid w:val="001B4C1E"/>
    <w:rsid w:val="001B4CB9"/>
    <w:rsid w:val="001B4CC2"/>
    <w:rsid w:val="001B5398"/>
    <w:rsid w:val="001B5489"/>
    <w:rsid w:val="001B56B7"/>
    <w:rsid w:val="001B5B99"/>
    <w:rsid w:val="001B6195"/>
    <w:rsid w:val="001B6E61"/>
    <w:rsid w:val="001B6F34"/>
    <w:rsid w:val="001B6FC8"/>
    <w:rsid w:val="001B7178"/>
    <w:rsid w:val="001B7299"/>
    <w:rsid w:val="001B77D2"/>
    <w:rsid w:val="001B7B2B"/>
    <w:rsid w:val="001B7F1C"/>
    <w:rsid w:val="001C10CF"/>
    <w:rsid w:val="001C10F2"/>
    <w:rsid w:val="001C1246"/>
    <w:rsid w:val="001C1C0C"/>
    <w:rsid w:val="001C2588"/>
    <w:rsid w:val="001C27DA"/>
    <w:rsid w:val="001C2ED4"/>
    <w:rsid w:val="001C2F1B"/>
    <w:rsid w:val="001C318F"/>
    <w:rsid w:val="001C3592"/>
    <w:rsid w:val="001C3944"/>
    <w:rsid w:val="001C39C6"/>
    <w:rsid w:val="001C3E46"/>
    <w:rsid w:val="001C3E56"/>
    <w:rsid w:val="001C4025"/>
    <w:rsid w:val="001C43F9"/>
    <w:rsid w:val="001C4444"/>
    <w:rsid w:val="001C49AF"/>
    <w:rsid w:val="001C4AAA"/>
    <w:rsid w:val="001C5330"/>
    <w:rsid w:val="001C537E"/>
    <w:rsid w:val="001C55A1"/>
    <w:rsid w:val="001C5645"/>
    <w:rsid w:val="001C5992"/>
    <w:rsid w:val="001C5BD3"/>
    <w:rsid w:val="001C62C4"/>
    <w:rsid w:val="001C630A"/>
    <w:rsid w:val="001C6B83"/>
    <w:rsid w:val="001C6D7B"/>
    <w:rsid w:val="001C6F9E"/>
    <w:rsid w:val="001C7842"/>
    <w:rsid w:val="001C7884"/>
    <w:rsid w:val="001C7C98"/>
    <w:rsid w:val="001C7F23"/>
    <w:rsid w:val="001D0087"/>
    <w:rsid w:val="001D07C3"/>
    <w:rsid w:val="001D0853"/>
    <w:rsid w:val="001D08AB"/>
    <w:rsid w:val="001D0CA9"/>
    <w:rsid w:val="001D0D48"/>
    <w:rsid w:val="001D0E1F"/>
    <w:rsid w:val="001D13F6"/>
    <w:rsid w:val="001D1AAF"/>
    <w:rsid w:val="001D1B1E"/>
    <w:rsid w:val="001D23F5"/>
    <w:rsid w:val="001D24AE"/>
    <w:rsid w:val="001D2741"/>
    <w:rsid w:val="001D2A7F"/>
    <w:rsid w:val="001D2C47"/>
    <w:rsid w:val="001D3251"/>
    <w:rsid w:val="001D3951"/>
    <w:rsid w:val="001D3EDC"/>
    <w:rsid w:val="001D3F38"/>
    <w:rsid w:val="001D4376"/>
    <w:rsid w:val="001D4C60"/>
    <w:rsid w:val="001D4D92"/>
    <w:rsid w:val="001D4F08"/>
    <w:rsid w:val="001D5138"/>
    <w:rsid w:val="001D524D"/>
    <w:rsid w:val="001D5390"/>
    <w:rsid w:val="001D57EC"/>
    <w:rsid w:val="001D5A24"/>
    <w:rsid w:val="001D5A39"/>
    <w:rsid w:val="001D5D78"/>
    <w:rsid w:val="001D5ED6"/>
    <w:rsid w:val="001D612C"/>
    <w:rsid w:val="001D62A3"/>
    <w:rsid w:val="001D7008"/>
    <w:rsid w:val="001D7027"/>
    <w:rsid w:val="001D7536"/>
    <w:rsid w:val="001D788A"/>
    <w:rsid w:val="001D7C73"/>
    <w:rsid w:val="001D7D88"/>
    <w:rsid w:val="001D7F08"/>
    <w:rsid w:val="001E0006"/>
    <w:rsid w:val="001E0655"/>
    <w:rsid w:val="001E07DA"/>
    <w:rsid w:val="001E0D0A"/>
    <w:rsid w:val="001E0DB4"/>
    <w:rsid w:val="001E14C6"/>
    <w:rsid w:val="001E14EF"/>
    <w:rsid w:val="001E1640"/>
    <w:rsid w:val="001E1BC3"/>
    <w:rsid w:val="001E1C23"/>
    <w:rsid w:val="001E1CBB"/>
    <w:rsid w:val="001E2069"/>
    <w:rsid w:val="001E2677"/>
    <w:rsid w:val="001E26A0"/>
    <w:rsid w:val="001E28A2"/>
    <w:rsid w:val="001E2A04"/>
    <w:rsid w:val="001E2A3E"/>
    <w:rsid w:val="001E2F81"/>
    <w:rsid w:val="001E37F6"/>
    <w:rsid w:val="001E3991"/>
    <w:rsid w:val="001E4028"/>
    <w:rsid w:val="001E424E"/>
    <w:rsid w:val="001E4417"/>
    <w:rsid w:val="001E4BDF"/>
    <w:rsid w:val="001E4FB7"/>
    <w:rsid w:val="001E5125"/>
    <w:rsid w:val="001E5385"/>
    <w:rsid w:val="001E59EA"/>
    <w:rsid w:val="001E60C8"/>
    <w:rsid w:val="001E610B"/>
    <w:rsid w:val="001E61B5"/>
    <w:rsid w:val="001E66F2"/>
    <w:rsid w:val="001E704E"/>
    <w:rsid w:val="001E73D0"/>
    <w:rsid w:val="001E761A"/>
    <w:rsid w:val="001E7C46"/>
    <w:rsid w:val="001F0206"/>
    <w:rsid w:val="001F0519"/>
    <w:rsid w:val="001F09A3"/>
    <w:rsid w:val="001F0A29"/>
    <w:rsid w:val="001F0A87"/>
    <w:rsid w:val="001F0FD6"/>
    <w:rsid w:val="001F17D1"/>
    <w:rsid w:val="001F22ED"/>
    <w:rsid w:val="001F298B"/>
    <w:rsid w:val="001F2BEE"/>
    <w:rsid w:val="001F2F7C"/>
    <w:rsid w:val="001F3523"/>
    <w:rsid w:val="001F3594"/>
    <w:rsid w:val="001F3782"/>
    <w:rsid w:val="001F38F4"/>
    <w:rsid w:val="001F3998"/>
    <w:rsid w:val="001F3C50"/>
    <w:rsid w:val="001F3F0F"/>
    <w:rsid w:val="001F3F57"/>
    <w:rsid w:val="001F3F6E"/>
    <w:rsid w:val="001F41FA"/>
    <w:rsid w:val="001F4439"/>
    <w:rsid w:val="001F49A7"/>
    <w:rsid w:val="001F4A02"/>
    <w:rsid w:val="001F4E6F"/>
    <w:rsid w:val="001F4F41"/>
    <w:rsid w:val="001F539B"/>
    <w:rsid w:val="001F54B7"/>
    <w:rsid w:val="001F56AE"/>
    <w:rsid w:val="001F5909"/>
    <w:rsid w:val="001F59A6"/>
    <w:rsid w:val="001F5D01"/>
    <w:rsid w:val="001F5E70"/>
    <w:rsid w:val="001F6C19"/>
    <w:rsid w:val="001F6DC6"/>
    <w:rsid w:val="001F77C1"/>
    <w:rsid w:val="001F7ACC"/>
    <w:rsid w:val="001F7DAC"/>
    <w:rsid w:val="001F7ED5"/>
    <w:rsid w:val="001F7F09"/>
    <w:rsid w:val="0020016D"/>
    <w:rsid w:val="00200409"/>
    <w:rsid w:val="002005E9"/>
    <w:rsid w:val="00200747"/>
    <w:rsid w:val="002009CA"/>
    <w:rsid w:val="00200E2A"/>
    <w:rsid w:val="00200E8B"/>
    <w:rsid w:val="002011D9"/>
    <w:rsid w:val="002016E1"/>
    <w:rsid w:val="0020197E"/>
    <w:rsid w:val="0020198A"/>
    <w:rsid w:val="00201A33"/>
    <w:rsid w:val="00201CC8"/>
    <w:rsid w:val="00202276"/>
    <w:rsid w:val="00202783"/>
    <w:rsid w:val="00202A72"/>
    <w:rsid w:val="00202E6D"/>
    <w:rsid w:val="00202EF0"/>
    <w:rsid w:val="002030AF"/>
    <w:rsid w:val="00203286"/>
    <w:rsid w:val="0020356D"/>
    <w:rsid w:val="00203E66"/>
    <w:rsid w:val="00204019"/>
    <w:rsid w:val="002046A5"/>
    <w:rsid w:val="00204887"/>
    <w:rsid w:val="00204AC4"/>
    <w:rsid w:val="00204C10"/>
    <w:rsid w:val="00204CCD"/>
    <w:rsid w:val="00204D78"/>
    <w:rsid w:val="00204E93"/>
    <w:rsid w:val="00205014"/>
    <w:rsid w:val="002058D0"/>
    <w:rsid w:val="00205E3F"/>
    <w:rsid w:val="00206025"/>
    <w:rsid w:val="0020623D"/>
    <w:rsid w:val="0020633B"/>
    <w:rsid w:val="002064CC"/>
    <w:rsid w:val="0020657C"/>
    <w:rsid w:val="002065FD"/>
    <w:rsid w:val="002066AC"/>
    <w:rsid w:val="00206869"/>
    <w:rsid w:val="00206E9D"/>
    <w:rsid w:val="00206FE1"/>
    <w:rsid w:val="00207168"/>
    <w:rsid w:val="00207173"/>
    <w:rsid w:val="002071AD"/>
    <w:rsid w:val="00207359"/>
    <w:rsid w:val="00207C75"/>
    <w:rsid w:val="002102F2"/>
    <w:rsid w:val="0021043F"/>
    <w:rsid w:val="002104E6"/>
    <w:rsid w:val="002105CF"/>
    <w:rsid w:val="00210B78"/>
    <w:rsid w:val="0021101D"/>
    <w:rsid w:val="002110CD"/>
    <w:rsid w:val="00211193"/>
    <w:rsid w:val="0021126A"/>
    <w:rsid w:val="002116A7"/>
    <w:rsid w:val="0021170A"/>
    <w:rsid w:val="00211762"/>
    <w:rsid w:val="0021181D"/>
    <w:rsid w:val="00211845"/>
    <w:rsid w:val="00212708"/>
    <w:rsid w:val="00212749"/>
    <w:rsid w:val="002129D0"/>
    <w:rsid w:val="0021312E"/>
    <w:rsid w:val="00213753"/>
    <w:rsid w:val="00213B7B"/>
    <w:rsid w:val="00213BA0"/>
    <w:rsid w:val="00213BF4"/>
    <w:rsid w:val="00213CE0"/>
    <w:rsid w:val="002142B4"/>
    <w:rsid w:val="00214519"/>
    <w:rsid w:val="0021451D"/>
    <w:rsid w:val="00214AF9"/>
    <w:rsid w:val="0021506F"/>
    <w:rsid w:val="0021532D"/>
    <w:rsid w:val="002158F1"/>
    <w:rsid w:val="0021597C"/>
    <w:rsid w:val="002159FD"/>
    <w:rsid w:val="00215DA7"/>
    <w:rsid w:val="002160DA"/>
    <w:rsid w:val="00216286"/>
    <w:rsid w:val="002162AE"/>
    <w:rsid w:val="002165C7"/>
    <w:rsid w:val="0021697F"/>
    <w:rsid w:val="00216AD2"/>
    <w:rsid w:val="00216E22"/>
    <w:rsid w:val="00216E99"/>
    <w:rsid w:val="0021705F"/>
    <w:rsid w:val="002172BD"/>
    <w:rsid w:val="00217418"/>
    <w:rsid w:val="002174C7"/>
    <w:rsid w:val="00217898"/>
    <w:rsid w:val="00217983"/>
    <w:rsid w:val="00217B8B"/>
    <w:rsid w:val="00220477"/>
    <w:rsid w:val="00220605"/>
    <w:rsid w:val="0022082F"/>
    <w:rsid w:val="00220D40"/>
    <w:rsid w:val="00220D47"/>
    <w:rsid w:val="00220DDA"/>
    <w:rsid w:val="002211E2"/>
    <w:rsid w:val="0022135F"/>
    <w:rsid w:val="0022198B"/>
    <w:rsid w:val="00221BF8"/>
    <w:rsid w:val="00221E72"/>
    <w:rsid w:val="00221E8C"/>
    <w:rsid w:val="00222007"/>
    <w:rsid w:val="00222210"/>
    <w:rsid w:val="002225D9"/>
    <w:rsid w:val="00222622"/>
    <w:rsid w:val="00222CBC"/>
    <w:rsid w:val="00222FA2"/>
    <w:rsid w:val="002233FD"/>
    <w:rsid w:val="0022344A"/>
    <w:rsid w:val="002235DD"/>
    <w:rsid w:val="00223BBA"/>
    <w:rsid w:val="00223DF1"/>
    <w:rsid w:val="0022402F"/>
    <w:rsid w:val="00224500"/>
    <w:rsid w:val="00224653"/>
    <w:rsid w:val="00224822"/>
    <w:rsid w:val="00224874"/>
    <w:rsid w:val="0022587A"/>
    <w:rsid w:val="00225F56"/>
    <w:rsid w:val="002263FA"/>
    <w:rsid w:val="002269D5"/>
    <w:rsid w:val="00226AEC"/>
    <w:rsid w:val="00226BE4"/>
    <w:rsid w:val="00226F42"/>
    <w:rsid w:val="00226F75"/>
    <w:rsid w:val="00227092"/>
    <w:rsid w:val="002270E2"/>
    <w:rsid w:val="00227812"/>
    <w:rsid w:val="002279E2"/>
    <w:rsid w:val="00227CFF"/>
    <w:rsid w:val="00227DB5"/>
    <w:rsid w:val="00230051"/>
    <w:rsid w:val="002300C4"/>
    <w:rsid w:val="00230120"/>
    <w:rsid w:val="00230965"/>
    <w:rsid w:val="00230A56"/>
    <w:rsid w:val="00230C2D"/>
    <w:rsid w:val="00230E82"/>
    <w:rsid w:val="00230F84"/>
    <w:rsid w:val="00231005"/>
    <w:rsid w:val="0023155D"/>
    <w:rsid w:val="002316DD"/>
    <w:rsid w:val="00231AAD"/>
    <w:rsid w:val="00231DCA"/>
    <w:rsid w:val="00231E7C"/>
    <w:rsid w:val="00231F61"/>
    <w:rsid w:val="00231F7F"/>
    <w:rsid w:val="002320F9"/>
    <w:rsid w:val="0023266B"/>
    <w:rsid w:val="002327E0"/>
    <w:rsid w:val="00232F26"/>
    <w:rsid w:val="00232FF8"/>
    <w:rsid w:val="002333F5"/>
    <w:rsid w:val="00233511"/>
    <w:rsid w:val="00233647"/>
    <w:rsid w:val="00233765"/>
    <w:rsid w:val="0023388E"/>
    <w:rsid w:val="00233C08"/>
    <w:rsid w:val="00234184"/>
    <w:rsid w:val="00234615"/>
    <w:rsid w:val="002348A2"/>
    <w:rsid w:val="00234CB8"/>
    <w:rsid w:val="0023548C"/>
    <w:rsid w:val="00235580"/>
    <w:rsid w:val="002356BC"/>
    <w:rsid w:val="00235CE7"/>
    <w:rsid w:val="0023653A"/>
    <w:rsid w:val="00236BCF"/>
    <w:rsid w:val="00236E1F"/>
    <w:rsid w:val="00236E45"/>
    <w:rsid w:val="00237058"/>
    <w:rsid w:val="00237081"/>
    <w:rsid w:val="002370EC"/>
    <w:rsid w:val="00237352"/>
    <w:rsid w:val="002377C3"/>
    <w:rsid w:val="00237CBD"/>
    <w:rsid w:val="002405EE"/>
    <w:rsid w:val="00240874"/>
    <w:rsid w:val="00240A16"/>
    <w:rsid w:val="002412ED"/>
    <w:rsid w:val="002416EA"/>
    <w:rsid w:val="00241706"/>
    <w:rsid w:val="00241CF6"/>
    <w:rsid w:val="00241F5D"/>
    <w:rsid w:val="0024249A"/>
    <w:rsid w:val="00242771"/>
    <w:rsid w:val="002428EF"/>
    <w:rsid w:val="00242A98"/>
    <w:rsid w:val="00242C67"/>
    <w:rsid w:val="00242EC0"/>
    <w:rsid w:val="002432AA"/>
    <w:rsid w:val="00243660"/>
    <w:rsid w:val="00244459"/>
    <w:rsid w:val="002444B5"/>
    <w:rsid w:val="00244EBA"/>
    <w:rsid w:val="00244FC9"/>
    <w:rsid w:val="00245264"/>
    <w:rsid w:val="00245555"/>
    <w:rsid w:val="00245BE6"/>
    <w:rsid w:val="00245D91"/>
    <w:rsid w:val="00245DA7"/>
    <w:rsid w:val="002463CF"/>
    <w:rsid w:val="00246465"/>
    <w:rsid w:val="00246B3F"/>
    <w:rsid w:val="00246C1A"/>
    <w:rsid w:val="00246CE1"/>
    <w:rsid w:val="00246D32"/>
    <w:rsid w:val="00247078"/>
    <w:rsid w:val="00247814"/>
    <w:rsid w:val="00247AA6"/>
    <w:rsid w:val="00247E0A"/>
    <w:rsid w:val="00247E4E"/>
    <w:rsid w:val="0025015F"/>
    <w:rsid w:val="00250221"/>
    <w:rsid w:val="00250923"/>
    <w:rsid w:val="00251307"/>
    <w:rsid w:val="0025153F"/>
    <w:rsid w:val="002518EE"/>
    <w:rsid w:val="00251C0F"/>
    <w:rsid w:val="00251FBD"/>
    <w:rsid w:val="002520FC"/>
    <w:rsid w:val="0025262D"/>
    <w:rsid w:val="00252682"/>
    <w:rsid w:val="00252B3D"/>
    <w:rsid w:val="00252B82"/>
    <w:rsid w:val="00252E19"/>
    <w:rsid w:val="00252E4B"/>
    <w:rsid w:val="00252F57"/>
    <w:rsid w:val="0025303A"/>
    <w:rsid w:val="0025311E"/>
    <w:rsid w:val="00253621"/>
    <w:rsid w:val="0025380D"/>
    <w:rsid w:val="00253CCC"/>
    <w:rsid w:val="002540F2"/>
    <w:rsid w:val="002541C3"/>
    <w:rsid w:val="0025467E"/>
    <w:rsid w:val="00254D2C"/>
    <w:rsid w:val="0025532F"/>
    <w:rsid w:val="00255693"/>
    <w:rsid w:val="002557F4"/>
    <w:rsid w:val="00255A83"/>
    <w:rsid w:val="00255D92"/>
    <w:rsid w:val="00255E6C"/>
    <w:rsid w:val="00256218"/>
    <w:rsid w:val="00256419"/>
    <w:rsid w:val="002564CF"/>
    <w:rsid w:val="0025694C"/>
    <w:rsid w:val="00256EA3"/>
    <w:rsid w:val="0025747D"/>
    <w:rsid w:val="00257BF4"/>
    <w:rsid w:val="00260418"/>
    <w:rsid w:val="00260A8C"/>
    <w:rsid w:val="00260EDF"/>
    <w:rsid w:val="00261145"/>
    <w:rsid w:val="0026117B"/>
    <w:rsid w:val="002614FB"/>
    <w:rsid w:val="002618A7"/>
    <w:rsid w:val="00261A2B"/>
    <w:rsid w:val="00261CEF"/>
    <w:rsid w:val="00261D76"/>
    <w:rsid w:val="00262954"/>
    <w:rsid w:val="002629B5"/>
    <w:rsid w:val="00262FD7"/>
    <w:rsid w:val="00263241"/>
    <w:rsid w:val="00263327"/>
    <w:rsid w:val="00263401"/>
    <w:rsid w:val="00263605"/>
    <w:rsid w:val="00263668"/>
    <w:rsid w:val="0026377B"/>
    <w:rsid w:val="002637E5"/>
    <w:rsid w:val="00263D13"/>
    <w:rsid w:val="00263FF0"/>
    <w:rsid w:val="00264204"/>
    <w:rsid w:val="002643A9"/>
    <w:rsid w:val="002643E9"/>
    <w:rsid w:val="002645E0"/>
    <w:rsid w:val="0026463C"/>
    <w:rsid w:val="00264C7B"/>
    <w:rsid w:val="0026514D"/>
    <w:rsid w:val="00265AD7"/>
    <w:rsid w:val="00266488"/>
    <w:rsid w:val="00266642"/>
    <w:rsid w:val="00266C11"/>
    <w:rsid w:val="00266CCC"/>
    <w:rsid w:val="00266E4C"/>
    <w:rsid w:val="00267518"/>
    <w:rsid w:val="0026766D"/>
    <w:rsid w:val="00267B47"/>
    <w:rsid w:val="00267F9E"/>
    <w:rsid w:val="00270485"/>
    <w:rsid w:val="00270C0D"/>
    <w:rsid w:val="00270D9B"/>
    <w:rsid w:val="00271290"/>
    <w:rsid w:val="002714F1"/>
    <w:rsid w:val="00271987"/>
    <w:rsid w:val="0027218C"/>
    <w:rsid w:val="00272272"/>
    <w:rsid w:val="00272559"/>
    <w:rsid w:val="002725C7"/>
    <w:rsid w:val="00272753"/>
    <w:rsid w:val="002729F3"/>
    <w:rsid w:val="00272CBE"/>
    <w:rsid w:val="002730BB"/>
    <w:rsid w:val="00273486"/>
    <w:rsid w:val="00273A47"/>
    <w:rsid w:val="00273B4B"/>
    <w:rsid w:val="00273C8E"/>
    <w:rsid w:val="002745E5"/>
    <w:rsid w:val="00274B93"/>
    <w:rsid w:val="00274D42"/>
    <w:rsid w:val="00275100"/>
    <w:rsid w:val="00275103"/>
    <w:rsid w:val="002751A5"/>
    <w:rsid w:val="00275213"/>
    <w:rsid w:val="002758C7"/>
    <w:rsid w:val="002758DE"/>
    <w:rsid w:val="00275C9B"/>
    <w:rsid w:val="00275D41"/>
    <w:rsid w:val="002765EA"/>
    <w:rsid w:val="00276722"/>
    <w:rsid w:val="00276E33"/>
    <w:rsid w:val="00277524"/>
    <w:rsid w:val="00277A7E"/>
    <w:rsid w:val="00277D35"/>
    <w:rsid w:val="00277DE1"/>
    <w:rsid w:val="00277DF3"/>
    <w:rsid w:val="00280390"/>
    <w:rsid w:val="00280E0B"/>
    <w:rsid w:val="00281126"/>
    <w:rsid w:val="002811DF"/>
    <w:rsid w:val="002812DF"/>
    <w:rsid w:val="00281701"/>
    <w:rsid w:val="002818FC"/>
    <w:rsid w:val="00282136"/>
    <w:rsid w:val="00282356"/>
    <w:rsid w:val="00282524"/>
    <w:rsid w:val="00282E6F"/>
    <w:rsid w:val="00283049"/>
    <w:rsid w:val="00283292"/>
    <w:rsid w:val="00283621"/>
    <w:rsid w:val="00283690"/>
    <w:rsid w:val="00283AA0"/>
    <w:rsid w:val="00283C75"/>
    <w:rsid w:val="00284085"/>
    <w:rsid w:val="0028437C"/>
    <w:rsid w:val="00284681"/>
    <w:rsid w:val="00284BCC"/>
    <w:rsid w:val="00284C2A"/>
    <w:rsid w:val="00285067"/>
    <w:rsid w:val="00285129"/>
    <w:rsid w:val="002851A5"/>
    <w:rsid w:val="002854F9"/>
    <w:rsid w:val="00285681"/>
    <w:rsid w:val="00285687"/>
    <w:rsid w:val="00285B29"/>
    <w:rsid w:val="00285CAF"/>
    <w:rsid w:val="0028606C"/>
    <w:rsid w:val="002862D3"/>
    <w:rsid w:val="0028677A"/>
    <w:rsid w:val="002867BE"/>
    <w:rsid w:val="00286994"/>
    <w:rsid w:val="00286B46"/>
    <w:rsid w:val="00286CB7"/>
    <w:rsid w:val="00286FC2"/>
    <w:rsid w:val="00287F42"/>
    <w:rsid w:val="00290283"/>
    <w:rsid w:val="002902E1"/>
    <w:rsid w:val="002903BD"/>
    <w:rsid w:val="0029044E"/>
    <w:rsid w:val="002908E7"/>
    <w:rsid w:val="00290AF3"/>
    <w:rsid w:val="002911AD"/>
    <w:rsid w:val="00291382"/>
    <w:rsid w:val="002918FA"/>
    <w:rsid w:val="002919BB"/>
    <w:rsid w:val="00291ED2"/>
    <w:rsid w:val="0029244B"/>
    <w:rsid w:val="00292B31"/>
    <w:rsid w:val="00293458"/>
    <w:rsid w:val="0029360D"/>
    <w:rsid w:val="0029414D"/>
    <w:rsid w:val="00294418"/>
    <w:rsid w:val="002944C4"/>
    <w:rsid w:val="00294EA4"/>
    <w:rsid w:val="00294EF5"/>
    <w:rsid w:val="002950C0"/>
    <w:rsid w:val="0029535F"/>
    <w:rsid w:val="002955CD"/>
    <w:rsid w:val="00295B6A"/>
    <w:rsid w:val="002961C4"/>
    <w:rsid w:val="00296268"/>
    <w:rsid w:val="002962E5"/>
    <w:rsid w:val="002964BB"/>
    <w:rsid w:val="002965DC"/>
    <w:rsid w:val="00296699"/>
    <w:rsid w:val="002967BF"/>
    <w:rsid w:val="00296DFF"/>
    <w:rsid w:val="00296ECC"/>
    <w:rsid w:val="002974BC"/>
    <w:rsid w:val="002974E8"/>
    <w:rsid w:val="0029768C"/>
    <w:rsid w:val="002976AF"/>
    <w:rsid w:val="00297709"/>
    <w:rsid w:val="0029774E"/>
    <w:rsid w:val="00297A59"/>
    <w:rsid w:val="002A02A1"/>
    <w:rsid w:val="002A0805"/>
    <w:rsid w:val="002A0854"/>
    <w:rsid w:val="002A08EC"/>
    <w:rsid w:val="002A0B7F"/>
    <w:rsid w:val="002A19DD"/>
    <w:rsid w:val="002A1BE1"/>
    <w:rsid w:val="002A1E09"/>
    <w:rsid w:val="002A2304"/>
    <w:rsid w:val="002A2386"/>
    <w:rsid w:val="002A243D"/>
    <w:rsid w:val="002A271B"/>
    <w:rsid w:val="002A2AAB"/>
    <w:rsid w:val="002A2C9A"/>
    <w:rsid w:val="002A2CB2"/>
    <w:rsid w:val="002A347F"/>
    <w:rsid w:val="002A36AF"/>
    <w:rsid w:val="002A3726"/>
    <w:rsid w:val="002A3949"/>
    <w:rsid w:val="002A3B21"/>
    <w:rsid w:val="002A3B38"/>
    <w:rsid w:val="002A41BB"/>
    <w:rsid w:val="002A4398"/>
    <w:rsid w:val="002A4422"/>
    <w:rsid w:val="002A4E74"/>
    <w:rsid w:val="002A53D7"/>
    <w:rsid w:val="002A5572"/>
    <w:rsid w:val="002A5B06"/>
    <w:rsid w:val="002A6278"/>
    <w:rsid w:val="002A62FA"/>
    <w:rsid w:val="002A686F"/>
    <w:rsid w:val="002A708F"/>
    <w:rsid w:val="002A715C"/>
    <w:rsid w:val="002A7556"/>
    <w:rsid w:val="002A7939"/>
    <w:rsid w:val="002A7AEF"/>
    <w:rsid w:val="002A7BD2"/>
    <w:rsid w:val="002A7EB8"/>
    <w:rsid w:val="002A7ECE"/>
    <w:rsid w:val="002B05B3"/>
    <w:rsid w:val="002B0881"/>
    <w:rsid w:val="002B0B95"/>
    <w:rsid w:val="002B0DC0"/>
    <w:rsid w:val="002B1559"/>
    <w:rsid w:val="002B1724"/>
    <w:rsid w:val="002B1CD2"/>
    <w:rsid w:val="002B1FBE"/>
    <w:rsid w:val="002B2221"/>
    <w:rsid w:val="002B232B"/>
    <w:rsid w:val="002B2B25"/>
    <w:rsid w:val="002B2DAA"/>
    <w:rsid w:val="002B2E3F"/>
    <w:rsid w:val="002B2EE9"/>
    <w:rsid w:val="002B2F10"/>
    <w:rsid w:val="002B3A94"/>
    <w:rsid w:val="002B3B8D"/>
    <w:rsid w:val="002B3EBB"/>
    <w:rsid w:val="002B4099"/>
    <w:rsid w:val="002B4185"/>
    <w:rsid w:val="002B43EF"/>
    <w:rsid w:val="002B4489"/>
    <w:rsid w:val="002B45F5"/>
    <w:rsid w:val="002B4BA2"/>
    <w:rsid w:val="002B4CEE"/>
    <w:rsid w:val="002B5136"/>
    <w:rsid w:val="002B518E"/>
    <w:rsid w:val="002B55D1"/>
    <w:rsid w:val="002B577F"/>
    <w:rsid w:val="002B5BF7"/>
    <w:rsid w:val="002B5CFB"/>
    <w:rsid w:val="002B661A"/>
    <w:rsid w:val="002B68DD"/>
    <w:rsid w:val="002B6A64"/>
    <w:rsid w:val="002B6D0C"/>
    <w:rsid w:val="002B75C9"/>
    <w:rsid w:val="002B78CD"/>
    <w:rsid w:val="002B7910"/>
    <w:rsid w:val="002B7C2A"/>
    <w:rsid w:val="002B7D77"/>
    <w:rsid w:val="002B7D94"/>
    <w:rsid w:val="002B7F4C"/>
    <w:rsid w:val="002C0354"/>
    <w:rsid w:val="002C046C"/>
    <w:rsid w:val="002C0512"/>
    <w:rsid w:val="002C0714"/>
    <w:rsid w:val="002C0CCA"/>
    <w:rsid w:val="002C0D22"/>
    <w:rsid w:val="002C114E"/>
    <w:rsid w:val="002C1318"/>
    <w:rsid w:val="002C19FB"/>
    <w:rsid w:val="002C1AA9"/>
    <w:rsid w:val="002C1B92"/>
    <w:rsid w:val="002C1DD5"/>
    <w:rsid w:val="002C1F1A"/>
    <w:rsid w:val="002C1FD6"/>
    <w:rsid w:val="002C2031"/>
    <w:rsid w:val="002C2526"/>
    <w:rsid w:val="002C2617"/>
    <w:rsid w:val="002C2864"/>
    <w:rsid w:val="002C2B0D"/>
    <w:rsid w:val="002C2DC3"/>
    <w:rsid w:val="002C2FD7"/>
    <w:rsid w:val="002C3249"/>
    <w:rsid w:val="002C3622"/>
    <w:rsid w:val="002C3A0C"/>
    <w:rsid w:val="002C4A10"/>
    <w:rsid w:val="002C4E6E"/>
    <w:rsid w:val="002C51B0"/>
    <w:rsid w:val="002C52B2"/>
    <w:rsid w:val="002C5475"/>
    <w:rsid w:val="002C554C"/>
    <w:rsid w:val="002C5834"/>
    <w:rsid w:val="002C5A41"/>
    <w:rsid w:val="002C5B20"/>
    <w:rsid w:val="002C5FA9"/>
    <w:rsid w:val="002C66EA"/>
    <w:rsid w:val="002C6776"/>
    <w:rsid w:val="002C68B7"/>
    <w:rsid w:val="002C6A83"/>
    <w:rsid w:val="002C6B02"/>
    <w:rsid w:val="002C6F5C"/>
    <w:rsid w:val="002C7056"/>
    <w:rsid w:val="002C7253"/>
    <w:rsid w:val="002C736D"/>
    <w:rsid w:val="002C7583"/>
    <w:rsid w:val="002C7924"/>
    <w:rsid w:val="002C7A05"/>
    <w:rsid w:val="002C7A59"/>
    <w:rsid w:val="002C7AE4"/>
    <w:rsid w:val="002C7DB9"/>
    <w:rsid w:val="002C7DF1"/>
    <w:rsid w:val="002C7FF9"/>
    <w:rsid w:val="002D0042"/>
    <w:rsid w:val="002D0079"/>
    <w:rsid w:val="002D0E2D"/>
    <w:rsid w:val="002D1121"/>
    <w:rsid w:val="002D1324"/>
    <w:rsid w:val="002D16C3"/>
    <w:rsid w:val="002D1A9D"/>
    <w:rsid w:val="002D1B50"/>
    <w:rsid w:val="002D2437"/>
    <w:rsid w:val="002D24AE"/>
    <w:rsid w:val="002D25BE"/>
    <w:rsid w:val="002D2789"/>
    <w:rsid w:val="002D2D29"/>
    <w:rsid w:val="002D2F1F"/>
    <w:rsid w:val="002D33DA"/>
    <w:rsid w:val="002D3B11"/>
    <w:rsid w:val="002D3E9C"/>
    <w:rsid w:val="002D3ED8"/>
    <w:rsid w:val="002D40B1"/>
    <w:rsid w:val="002D41D8"/>
    <w:rsid w:val="002D473F"/>
    <w:rsid w:val="002D54CA"/>
    <w:rsid w:val="002D582D"/>
    <w:rsid w:val="002D5914"/>
    <w:rsid w:val="002D5AF7"/>
    <w:rsid w:val="002D5E31"/>
    <w:rsid w:val="002D6128"/>
    <w:rsid w:val="002D62B0"/>
    <w:rsid w:val="002D635D"/>
    <w:rsid w:val="002D660D"/>
    <w:rsid w:val="002D66A6"/>
    <w:rsid w:val="002D6B19"/>
    <w:rsid w:val="002D6B3D"/>
    <w:rsid w:val="002D6E6C"/>
    <w:rsid w:val="002D6FB5"/>
    <w:rsid w:val="002D748F"/>
    <w:rsid w:val="002D7639"/>
    <w:rsid w:val="002D7902"/>
    <w:rsid w:val="002D7DA2"/>
    <w:rsid w:val="002D7F47"/>
    <w:rsid w:val="002E0AAA"/>
    <w:rsid w:val="002E0B81"/>
    <w:rsid w:val="002E0D3A"/>
    <w:rsid w:val="002E0FE8"/>
    <w:rsid w:val="002E1267"/>
    <w:rsid w:val="002E15FF"/>
    <w:rsid w:val="002E1927"/>
    <w:rsid w:val="002E193F"/>
    <w:rsid w:val="002E1DEB"/>
    <w:rsid w:val="002E1E31"/>
    <w:rsid w:val="002E2398"/>
    <w:rsid w:val="002E2AED"/>
    <w:rsid w:val="002E2D0B"/>
    <w:rsid w:val="002E2EF9"/>
    <w:rsid w:val="002E3137"/>
    <w:rsid w:val="002E31E9"/>
    <w:rsid w:val="002E3869"/>
    <w:rsid w:val="002E386A"/>
    <w:rsid w:val="002E3C1B"/>
    <w:rsid w:val="002E3F3D"/>
    <w:rsid w:val="002E402E"/>
    <w:rsid w:val="002E42D1"/>
    <w:rsid w:val="002E4359"/>
    <w:rsid w:val="002E43CD"/>
    <w:rsid w:val="002E4525"/>
    <w:rsid w:val="002E4718"/>
    <w:rsid w:val="002E47D7"/>
    <w:rsid w:val="002E492A"/>
    <w:rsid w:val="002E520F"/>
    <w:rsid w:val="002E539C"/>
    <w:rsid w:val="002E54FE"/>
    <w:rsid w:val="002E5FAF"/>
    <w:rsid w:val="002E6559"/>
    <w:rsid w:val="002E65D5"/>
    <w:rsid w:val="002E68EF"/>
    <w:rsid w:val="002E6E4D"/>
    <w:rsid w:val="002E73A1"/>
    <w:rsid w:val="002E7408"/>
    <w:rsid w:val="002E74DA"/>
    <w:rsid w:val="002E7573"/>
    <w:rsid w:val="002E77BF"/>
    <w:rsid w:val="002E77C0"/>
    <w:rsid w:val="002E7872"/>
    <w:rsid w:val="002E7DD3"/>
    <w:rsid w:val="002F0008"/>
    <w:rsid w:val="002F015D"/>
    <w:rsid w:val="002F07D8"/>
    <w:rsid w:val="002F0856"/>
    <w:rsid w:val="002F08F3"/>
    <w:rsid w:val="002F096D"/>
    <w:rsid w:val="002F0ABB"/>
    <w:rsid w:val="002F0CE3"/>
    <w:rsid w:val="002F0E1C"/>
    <w:rsid w:val="002F14E0"/>
    <w:rsid w:val="002F1F19"/>
    <w:rsid w:val="002F2059"/>
    <w:rsid w:val="002F24AA"/>
    <w:rsid w:val="002F266C"/>
    <w:rsid w:val="002F27EC"/>
    <w:rsid w:val="002F29EC"/>
    <w:rsid w:val="002F2F10"/>
    <w:rsid w:val="002F34E6"/>
    <w:rsid w:val="002F39AA"/>
    <w:rsid w:val="002F3C03"/>
    <w:rsid w:val="002F40BE"/>
    <w:rsid w:val="002F465D"/>
    <w:rsid w:val="002F46BA"/>
    <w:rsid w:val="002F4ADA"/>
    <w:rsid w:val="002F4DD8"/>
    <w:rsid w:val="002F4E1D"/>
    <w:rsid w:val="002F4E4F"/>
    <w:rsid w:val="002F532D"/>
    <w:rsid w:val="002F5743"/>
    <w:rsid w:val="002F5D32"/>
    <w:rsid w:val="002F5E9E"/>
    <w:rsid w:val="002F6150"/>
    <w:rsid w:val="002F62F7"/>
    <w:rsid w:val="002F6591"/>
    <w:rsid w:val="002F6EB6"/>
    <w:rsid w:val="002F6F83"/>
    <w:rsid w:val="002F7151"/>
    <w:rsid w:val="002F71EE"/>
    <w:rsid w:val="002F72F1"/>
    <w:rsid w:val="002F7359"/>
    <w:rsid w:val="002F75F6"/>
    <w:rsid w:val="002F7B32"/>
    <w:rsid w:val="002F7C54"/>
    <w:rsid w:val="002F7EB3"/>
    <w:rsid w:val="00300004"/>
    <w:rsid w:val="003000EA"/>
    <w:rsid w:val="003004C0"/>
    <w:rsid w:val="00301149"/>
    <w:rsid w:val="0030129B"/>
    <w:rsid w:val="0030141B"/>
    <w:rsid w:val="0030151C"/>
    <w:rsid w:val="00301AF5"/>
    <w:rsid w:val="00301BE1"/>
    <w:rsid w:val="00301E13"/>
    <w:rsid w:val="003020D6"/>
    <w:rsid w:val="00302469"/>
    <w:rsid w:val="0030262A"/>
    <w:rsid w:val="003026B4"/>
    <w:rsid w:val="00302817"/>
    <w:rsid w:val="00303025"/>
    <w:rsid w:val="00303520"/>
    <w:rsid w:val="00303830"/>
    <w:rsid w:val="00303947"/>
    <w:rsid w:val="00303AC1"/>
    <w:rsid w:val="00303C55"/>
    <w:rsid w:val="00303DF7"/>
    <w:rsid w:val="00303E54"/>
    <w:rsid w:val="0030472B"/>
    <w:rsid w:val="00304AE2"/>
    <w:rsid w:val="00304CAE"/>
    <w:rsid w:val="00305068"/>
    <w:rsid w:val="00305571"/>
    <w:rsid w:val="003055C9"/>
    <w:rsid w:val="003059BD"/>
    <w:rsid w:val="00306B06"/>
    <w:rsid w:val="00306D2C"/>
    <w:rsid w:val="00306EE7"/>
    <w:rsid w:val="00306F38"/>
    <w:rsid w:val="00306FD6"/>
    <w:rsid w:val="003077CB"/>
    <w:rsid w:val="00310007"/>
    <w:rsid w:val="00310418"/>
    <w:rsid w:val="00310BD5"/>
    <w:rsid w:val="00310C7B"/>
    <w:rsid w:val="00310EBA"/>
    <w:rsid w:val="003112FD"/>
    <w:rsid w:val="003118F1"/>
    <w:rsid w:val="003119B3"/>
    <w:rsid w:val="00311C2D"/>
    <w:rsid w:val="00311E68"/>
    <w:rsid w:val="00312008"/>
    <w:rsid w:val="00312059"/>
    <w:rsid w:val="003121D4"/>
    <w:rsid w:val="0031263D"/>
    <w:rsid w:val="003126DE"/>
    <w:rsid w:val="003127AC"/>
    <w:rsid w:val="003127F7"/>
    <w:rsid w:val="00312E9D"/>
    <w:rsid w:val="0031316D"/>
    <w:rsid w:val="00313453"/>
    <w:rsid w:val="00313574"/>
    <w:rsid w:val="003136F4"/>
    <w:rsid w:val="00313781"/>
    <w:rsid w:val="00313BAC"/>
    <w:rsid w:val="00313CF3"/>
    <w:rsid w:val="00314351"/>
    <w:rsid w:val="0031452B"/>
    <w:rsid w:val="0031544C"/>
    <w:rsid w:val="00315504"/>
    <w:rsid w:val="00315C09"/>
    <w:rsid w:val="00315C0C"/>
    <w:rsid w:val="00315FAC"/>
    <w:rsid w:val="003160BE"/>
    <w:rsid w:val="003162EB"/>
    <w:rsid w:val="00316315"/>
    <w:rsid w:val="00316559"/>
    <w:rsid w:val="003167AC"/>
    <w:rsid w:val="00316E2E"/>
    <w:rsid w:val="00316F69"/>
    <w:rsid w:val="0031758C"/>
    <w:rsid w:val="0031772C"/>
    <w:rsid w:val="00317BA0"/>
    <w:rsid w:val="00317ED6"/>
    <w:rsid w:val="00317EDC"/>
    <w:rsid w:val="0032010E"/>
    <w:rsid w:val="00320598"/>
    <w:rsid w:val="00320928"/>
    <w:rsid w:val="00320B15"/>
    <w:rsid w:val="00320C97"/>
    <w:rsid w:val="003214BD"/>
    <w:rsid w:val="0032175A"/>
    <w:rsid w:val="0032198B"/>
    <w:rsid w:val="00321DCB"/>
    <w:rsid w:val="00322252"/>
    <w:rsid w:val="0032249C"/>
    <w:rsid w:val="003224A7"/>
    <w:rsid w:val="0032293C"/>
    <w:rsid w:val="003229DF"/>
    <w:rsid w:val="00322B95"/>
    <w:rsid w:val="00322BD3"/>
    <w:rsid w:val="00322EB9"/>
    <w:rsid w:val="003234D3"/>
    <w:rsid w:val="00323845"/>
    <w:rsid w:val="003239CF"/>
    <w:rsid w:val="00323C50"/>
    <w:rsid w:val="00323DB4"/>
    <w:rsid w:val="00324017"/>
    <w:rsid w:val="00324592"/>
    <w:rsid w:val="003247FB"/>
    <w:rsid w:val="00325564"/>
    <w:rsid w:val="00325897"/>
    <w:rsid w:val="00325A45"/>
    <w:rsid w:val="00325A55"/>
    <w:rsid w:val="00325AD2"/>
    <w:rsid w:val="00325FE8"/>
    <w:rsid w:val="00326B54"/>
    <w:rsid w:val="00327006"/>
    <w:rsid w:val="003272EE"/>
    <w:rsid w:val="00327308"/>
    <w:rsid w:val="003274DC"/>
    <w:rsid w:val="00327A8F"/>
    <w:rsid w:val="00327AF9"/>
    <w:rsid w:val="00327D57"/>
    <w:rsid w:val="00327E77"/>
    <w:rsid w:val="0033062D"/>
    <w:rsid w:val="00330661"/>
    <w:rsid w:val="0033075B"/>
    <w:rsid w:val="00330878"/>
    <w:rsid w:val="00330F72"/>
    <w:rsid w:val="00331013"/>
    <w:rsid w:val="00331139"/>
    <w:rsid w:val="00331D95"/>
    <w:rsid w:val="00331DFD"/>
    <w:rsid w:val="00331EA7"/>
    <w:rsid w:val="00331ED1"/>
    <w:rsid w:val="0033208B"/>
    <w:rsid w:val="00332093"/>
    <w:rsid w:val="00332255"/>
    <w:rsid w:val="00332350"/>
    <w:rsid w:val="003323CC"/>
    <w:rsid w:val="00332567"/>
    <w:rsid w:val="00332604"/>
    <w:rsid w:val="00332F41"/>
    <w:rsid w:val="00332F5B"/>
    <w:rsid w:val="003331F4"/>
    <w:rsid w:val="003332A9"/>
    <w:rsid w:val="00333871"/>
    <w:rsid w:val="0033396B"/>
    <w:rsid w:val="00333C86"/>
    <w:rsid w:val="00334563"/>
    <w:rsid w:val="0033495E"/>
    <w:rsid w:val="00334BE9"/>
    <w:rsid w:val="00334CF0"/>
    <w:rsid w:val="003350E4"/>
    <w:rsid w:val="003351B0"/>
    <w:rsid w:val="003354CD"/>
    <w:rsid w:val="00335682"/>
    <w:rsid w:val="00335C4E"/>
    <w:rsid w:val="00335E75"/>
    <w:rsid w:val="00335EEA"/>
    <w:rsid w:val="00336370"/>
    <w:rsid w:val="0033639F"/>
    <w:rsid w:val="003369C0"/>
    <w:rsid w:val="00336A0F"/>
    <w:rsid w:val="00336CF8"/>
    <w:rsid w:val="00336D17"/>
    <w:rsid w:val="003371EE"/>
    <w:rsid w:val="00337385"/>
    <w:rsid w:val="003377A0"/>
    <w:rsid w:val="00337A4A"/>
    <w:rsid w:val="00337C5E"/>
    <w:rsid w:val="0034000B"/>
    <w:rsid w:val="00340380"/>
    <w:rsid w:val="00340559"/>
    <w:rsid w:val="003418A3"/>
    <w:rsid w:val="003418AD"/>
    <w:rsid w:val="0034191E"/>
    <w:rsid w:val="00341C66"/>
    <w:rsid w:val="00341D9C"/>
    <w:rsid w:val="00341E8B"/>
    <w:rsid w:val="00341F1D"/>
    <w:rsid w:val="00342155"/>
    <w:rsid w:val="0034255D"/>
    <w:rsid w:val="00342936"/>
    <w:rsid w:val="00342C5B"/>
    <w:rsid w:val="00342DD4"/>
    <w:rsid w:val="00342DD9"/>
    <w:rsid w:val="00342E7A"/>
    <w:rsid w:val="003434F7"/>
    <w:rsid w:val="003436CE"/>
    <w:rsid w:val="00343896"/>
    <w:rsid w:val="00343977"/>
    <w:rsid w:val="00343B99"/>
    <w:rsid w:val="00343BA1"/>
    <w:rsid w:val="00343C64"/>
    <w:rsid w:val="00343D9C"/>
    <w:rsid w:val="00343DF8"/>
    <w:rsid w:val="00343ED2"/>
    <w:rsid w:val="00343FF5"/>
    <w:rsid w:val="00344229"/>
    <w:rsid w:val="003444A7"/>
    <w:rsid w:val="00344564"/>
    <w:rsid w:val="00344D46"/>
    <w:rsid w:val="00345350"/>
    <w:rsid w:val="003453D5"/>
    <w:rsid w:val="00345590"/>
    <w:rsid w:val="00345BA9"/>
    <w:rsid w:val="00345DAA"/>
    <w:rsid w:val="00346191"/>
    <w:rsid w:val="00346268"/>
    <w:rsid w:val="00346316"/>
    <w:rsid w:val="00346390"/>
    <w:rsid w:val="00346570"/>
    <w:rsid w:val="003467CB"/>
    <w:rsid w:val="00346A43"/>
    <w:rsid w:val="00346BF9"/>
    <w:rsid w:val="00346F88"/>
    <w:rsid w:val="00346FA5"/>
    <w:rsid w:val="00347001"/>
    <w:rsid w:val="00347654"/>
    <w:rsid w:val="0034773C"/>
    <w:rsid w:val="00350337"/>
    <w:rsid w:val="00350939"/>
    <w:rsid w:val="003511C6"/>
    <w:rsid w:val="00351A91"/>
    <w:rsid w:val="00351A97"/>
    <w:rsid w:val="00351E63"/>
    <w:rsid w:val="003526A2"/>
    <w:rsid w:val="00352C99"/>
    <w:rsid w:val="0035308E"/>
    <w:rsid w:val="003530C0"/>
    <w:rsid w:val="00353321"/>
    <w:rsid w:val="00353825"/>
    <w:rsid w:val="00353A3F"/>
    <w:rsid w:val="00353A8B"/>
    <w:rsid w:val="00353BCD"/>
    <w:rsid w:val="00353E5E"/>
    <w:rsid w:val="00354093"/>
    <w:rsid w:val="00354173"/>
    <w:rsid w:val="0035480F"/>
    <w:rsid w:val="00354C20"/>
    <w:rsid w:val="00354D60"/>
    <w:rsid w:val="00354E18"/>
    <w:rsid w:val="00354F64"/>
    <w:rsid w:val="00354FF6"/>
    <w:rsid w:val="0035538E"/>
    <w:rsid w:val="003553F7"/>
    <w:rsid w:val="00355715"/>
    <w:rsid w:val="00355946"/>
    <w:rsid w:val="003561AD"/>
    <w:rsid w:val="003562AB"/>
    <w:rsid w:val="003563D1"/>
    <w:rsid w:val="00356663"/>
    <w:rsid w:val="003567E8"/>
    <w:rsid w:val="00356AE2"/>
    <w:rsid w:val="00356DF7"/>
    <w:rsid w:val="0035747B"/>
    <w:rsid w:val="00357500"/>
    <w:rsid w:val="00357647"/>
    <w:rsid w:val="0035786B"/>
    <w:rsid w:val="003604C2"/>
    <w:rsid w:val="003606E2"/>
    <w:rsid w:val="00360987"/>
    <w:rsid w:val="00360A66"/>
    <w:rsid w:val="00360BB0"/>
    <w:rsid w:val="00360E6F"/>
    <w:rsid w:val="003612E8"/>
    <w:rsid w:val="00361377"/>
    <w:rsid w:val="00361733"/>
    <w:rsid w:val="003619AE"/>
    <w:rsid w:val="003619B1"/>
    <w:rsid w:val="00361FD7"/>
    <w:rsid w:val="00362450"/>
    <w:rsid w:val="00362B5D"/>
    <w:rsid w:val="00362E02"/>
    <w:rsid w:val="00363757"/>
    <w:rsid w:val="00363883"/>
    <w:rsid w:val="00363AFD"/>
    <w:rsid w:val="00363B0D"/>
    <w:rsid w:val="003640E8"/>
    <w:rsid w:val="003643A1"/>
    <w:rsid w:val="0036446F"/>
    <w:rsid w:val="00364510"/>
    <w:rsid w:val="00364561"/>
    <w:rsid w:val="00364612"/>
    <w:rsid w:val="0036482A"/>
    <w:rsid w:val="00364836"/>
    <w:rsid w:val="00364B44"/>
    <w:rsid w:val="00364FA7"/>
    <w:rsid w:val="00365129"/>
    <w:rsid w:val="00365435"/>
    <w:rsid w:val="00365A76"/>
    <w:rsid w:val="00365BBC"/>
    <w:rsid w:val="00365DCC"/>
    <w:rsid w:val="003660EC"/>
    <w:rsid w:val="0036645C"/>
    <w:rsid w:val="0036668A"/>
    <w:rsid w:val="00366931"/>
    <w:rsid w:val="00366C0B"/>
    <w:rsid w:val="00366DAA"/>
    <w:rsid w:val="003672FB"/>
    <w:rsid w:val="0036743E"/>
    <w:rsid w:val="003676E7"/>
    <w:rsid w:val="00367AE0"/>
    <w:rsid w:val="00367B2F"/>
    <w:rsid w:val="00367BBD"/>
    <w:rsid w:val="00367BC8"/>
    <w:rsid w:val="00367E0C"/>
    <w:rsid w:val="003702DA"/>
    <w:rsid w:val="00370369"/>
    <w:rsid w:val="0037051A"/>
    <w:rsid w:val="00370762"/>
    <w:rsid w:val="00370DDB"/>
    <w:rsid w:val="00370F3B"/>
    <w:rsid w:val="00371129"/>
    <w:rsid w:val="00371162"/>
    <w:rsid w:val="003719B7"/>
    <w:rsid w:val="00372387"/>
    <w:rsid w:val="00372707"/>
    <w:rsid w:val="00372E48"/>
    <w:rsid w:val="00372E73"/>
    <w:rsid w:val="00372FCB"/>
    <w:rsid w:val="00373148"/>
    <w:rsid w:val="003731CB"/>
    <w:rsid w:val="003735FA"/>
    <w:rsid w:val="00373BF3"/>
    <w:rsid w:val="00373C8B"/>
    <w:rsid w:val="00373CF4"/>
    <w:rsid w:val="00373D63"/>
    <w:rsid w:val="00374114"/>
    <w:rsid w:val="003741CE"/>
    <w:rsid w:val="00374326"/>
    <w:rsid w:val="00374327"/>
    <w:rsid w:val="0037465A"/>
    <w:rsid w:val="0037486C"/>
    <w:rsid w:val="00374C32"/>
    <w:rsid w:val="00374D2A"/>
    <w:rsid w:val="00374E53"/>
    <w:rsid w:val="00375053"/>
    <w:rsid w:val="0037505B"/>
    <w:rsid w:val="0037508C"/>
    <w:rsid w:val="00375372"/>
    <w:rsid w:val="003753BE"/>
    <w:rsid w:val="00375412"/>
    <w:rsid w:val="00375565"/>
    <w:rsid w:val="003755A5"/>
    <w:rsid w:val="003756B2"/>
    <w:rsid w:val="00375880"/>
    <w:rsid w:val="00375979"/>
    <w:rsid w:val="00375A5D"/>
    <w:rsid w:val="0037608C"/>
    <w:rsid w:val="003760A4"/>
    <w:rsid w:val="00376484"/>
    <w:rsid w:val="00376FE6"/>
    <w:rsid w:val="0037704A"/>
    <w:rsid w:val="00377848"/>
    <w:rsid w:val="00377CA5"/>
    <w:rsid w:val="00377D4B"/>
    <w:rsid w:val="00377D7F"/>
    <w:rsid w:val="00380AFE"/>
    <w:rsid w:val="00380E18"/>
    <w:rsid w:val="00381999"/>
    <w:rsid w:val="00381A31"/>
    <w:rsid w:val="00381E89"/>
    <w:rsid w:val="00381F2B"/>
    <w:rsid w:val="00381FE1"/>
    <w:rsid w:val="00382336"/>
    <w:rsid w:val="00382776"/>
    <w:rsid w:val="00382851"/>
    <w:rsid w:val="00382B6D"/>
    <w:rsid w:val="00382CC2"/>
    <w:rsid w:val="00382F60"/>
    <w:rsid w:val="00383162"/>
    <w:rsid w:val="00383899"/>
    <w:rsid w:val="003841DD"/>
    <w:rsid w:val="00384266"/>
    <w:rsid w:val="003843A7"/>
    <w:rsid w:val="00384400"/>
    <w:rsid w:val="0038450B"/>
    <w:rsid w:val="00384AFE"/>
    <w:rsid w:val="00384B5D"/>
    <w:rsid w:val="00384BE3"/>
    <w:rsid w:val="00384EFE"/>
    <w:rsid w:val="0038522D"/>
    <w:rsid w:val="00385259"/>
    <w:rsid w:val="00385501"/>
    <w:rsid w:val="00385A45"/>
    <w:rsid w:val="00385BD5"/>
    <w:rsid w:val="00385DC1"/>
    <w:rsid w:val="003864A1"/>
    <w:rsid w:val="00386E28"/>
    <w:rsid w:val="00386FB3"/>
    <w:rsid w:val="00387367"/>
    <w:rsid w:val="003877A8"/>
    <w:rsid w:val="00390358"/>
    <w:rsid w:val="003903A4"/>
    <w:rsid w:val="0039042F"/>
    <w:rsid w:val="003906B2"/>
    <w:rsid w:val="00390A46"/>
    <w:rsid w:val="00390A5A"/>
    <w:rsid w:val="00390DE5"/>
    <w:rsid w:val="00390F99"/>
    <w:rsid w:val="0039164E"/>
    <w:rsid w:val="003916EF"/>
    <w:rsid w:val="00391C38"/>
    <w:rsid w:val="00391CC2"/>
    <w:rsid w:val="00391FC6"/>
    <w:rsid w:val="00392121"/>
    <w:rsid w:val="00392253"/>
    <w:rsid w:val="00392433"/>
    <w:rsid w:val="0039269B"/>
    <w:rsid w:val="00392D65"/>
    <w:rsid w:val="003932D1"/>
    <w:rsid w:val="003933D4"/>
    <w:rsid w:val="00393462"/>
    <w:rsid w:val="003935A2"/>
    <w:rsid w:val="003937B3"/>
    <w:rsid w:val="003941A0"/>
    <w:rsid w:val="0039425E"/>
    <w:rsid w:val="00394421"/>
    <w:rsid w:val="003945F7"/>
    <w:rsid w:val="0039477E"/>
    <w:rsid w:val="00394C0B"/>
    <w:rsid w:val="00394C7D"/>
    <w:rsid w:val="00394D8E"/>
    <w:rsid w:val="00394EA5"/>
    <w:rsid w:val="00395223"/>
    <w:rsid w:val="003956BC"/>
    <w:rsid w:val="00395D81"/>
    <w:rsid w:val="0039613D"/>
    <w:rsid w:val="00396197"/>
    <w:rsid w:val="00397765"/>
    <w:rsid w:val="0039776D"/>
    <w:rsid w:val="0039793F"/>
    <w:rsid w:val="003979EB"/>
    <w:rsid w:val="00397FE4"/>
    <w:rsid w:val="003A0047"/>
    <w:rsid w:val="003A0301"/>
    <w:rsid w:val="003A0912"/>
    <w:rsid w:val="003A09DA"/>
    <w:rsid w:val="003A1230"/>
    <w:rsid w:val="003A13CD"/>
    <w:rsid w:val="003A1455"/>
    <w:rsid w:val="003A1565"/>
    <w:rsid w:val="003A18D0"/>
    <w:rsid w:val="003A21DE"/>
    <w:rsid w:val="003A227F"/>
    <w:rsid w:val="003A25D0"/>
    <w:rsid w:val="003A25FA"/>
    <w:rsid w:val="003A2623"/>
    <w:rsid w:val="003A2993"/>
    <w:rsid w:val="003A2A67"/>
    <w:rsid w:val="003A2BFC"/>
    <w:rsid w:val="003A32D7"/>
    <w:rsid w:val="003A36B5"/>
    <w:rsid w:val="003A376F"/>
    <w:rsid w:val="003A38E7"/>
    <w:rsid w:val="003A3C25"/>
    <w:rsid w:val="003A3D13"/>
    <w:rsid w:val="003A3DC0"/>
    <w:rsid w:val="003A40C1"/>
    <w:rsid w:val="003A4353"/>
    <w:rsid w:val="003A4679"/>
    <w:rsid w:val="003A4AF1"/>
    <w:rsid w:val="003A5077"/>
    <w:rsid w:val="003A5368"/>
    <w:rsid w:val="003A5407"/>
    <w:rsid w:val="003A5433"/>
    <w:rsid w:val="003A55F8"/>
    <w:rsid w:val="003A5736"/>
    <w:rsid w:val="003A57D7"/>
    <w:rsid w:val="003A5833"/>
    <w:rsid w:val="003A5CC6"/>
    <w:rsid w:val="003A5D13"/>
    <w:rsid w:val="003A5D62"/>
    <w:rsid w:val="003A5D90"/>
    <w:rsid w:val="003A5FD6"/>
    <w:rsid w:val="003A6048"/>
    <w:rsid w:val="003A615B"/>
    <w:rsid w:val="003A6423"/>
    <w:rsid w:val="003A65E6"/>
    <w:rsid w:val="003A662A"/>
    <w:rsid w:val="003A6AD7"/>
    <w:rsid w:val="003A6B5B"/>
    <w:rsid w:val="003A73BE"/>
    <w:rsid w:val="003A76F3"/>
    <w:rsid w:val="003A7A87"/>
    <w:rsid w:val="003A7C86"/>
    <w:rsid w:val="003B03C4"/>
    <w:rsid w:val="003B0A51"/>
    <w:rsid w:val="003B0C55"/>
    <w:rsid w:val="003B1096"/>
    <w:rsid w:val="003B1443"/>
    <w:rsid w:val="003B154F"/>
    <w:rsid w:val="003B156A"/>
    <w:rsid w:val="003B176F"/>
    <w:rsid w:val="003B17AA"/>
    <w:rsid w:val="003B182F"/>
    <w:rsid w:val="003B18DC"/>
    <w:rsid w:val="003B18EE"/>
    <w:rsid w:val="003B1B76"/>
    <w:rsid w:val="003B1E48"/>
    <w:rsid w:val="003B1E57"/>
    <w:rsid w:val="003B1E6E"/>
    <w:rsid w:val="003B1ECA"/>
    <w:rsid w:val="003B20C0"/>
    <w:rsid w:val="003B210D"/>
    <w:rsid w:val="003B2C59"/>
    <w:rsid w:val="003B31C8"/>
    <w:rsid w:val="003B329A"/>
    <w:rsid w:val="003B34B4"/>
    <w:rsid w:val="003B3592"/>
    <w:rsid w:val="003B3688"/>
    <w:rsid w:val="003B36E4"/>
    <w:rsid w:val="003B37D6"/>
    <w:rsid w:val="003B3B37"/>
    <w:rsid w:val="003B3E19"/>
    <w:rsid w:val="003B3EF8"/>
    <w:rsid w:val="003B4643"/>
    <w:rsid w:val="003B4987"/>
    <w:rsid w:val="003B4FA7"/>
    <w:rsid w:val="003B556E"/>
    <w:rsid w:val="003B55FA"/>
    <w:rsid w:val="003B57D0"/>
    <w:rsid w:val="003B5C4F"/>
    <w:rsid w:val="003B6477"/>
    <w:rsid w:val="003B66E7"/>
    <w:rsid w:val="003B6782"/>
    <w:rsid w:val="003B68FA"/>
    <w:rsid w:val="003B718F"/>
    <w:rsid w:val="003B7433"/>
    <w:rsid w:val="003B779C"/>
    <w:rsid w:val="003B7967"/>
    <w:rsid w:val="003B79AA"/>
    <w:rsid w:val="003B7A57"/>
    <w:rsid w:val="003B7CAF"/>
    <w:rsid w:val="003C0261"/>
    <w:rsid w:val="003C0352"/>
    <w:rsid w:val="003C07AD"/>
    <w:rsid w:val="003C07B4"/>
    <w:rsid w:val="003C0825"/>
    <w:rsid w:val="003C12D7"/>
    <w:rsid w:val="003C1A95"/>
    <w:rsid w:val="003C23A1"/>
    <w:rsid w:val="003C24E6"/>
    <w:rsid w:val="003C29BF"/>
    <w:rsid w:val="003C2B7B"/>
    <w:rsid w:val="003C3884"/>
    <w:rsid w:val="003C3A1F"/>
    <w:rsid w:val="003C3F9C"/>
    <w:rsid w:val="003C416F"/>
    <w:rsid w:val="003C4332"/>
    <w:rsid w:val="003C449B"/>
    <w:rsid w:val="003C4580"/>
    <w:rsid w:val="003C4BF7"/>
    <w:rsid w:val="003C4E75"/>
    <w:rsid w:val="003C5069"/>
    <w:rsid w:val="003C51CD"/>
    <w:rsid w:val="003C5649"/>
    <w:rsid w:val="003C57D8"/>
    <w:rsid w:val="003C58F3"/>
    <w:rsid w:val="003C5AC7"/>
    <w:rsid w:val="003C5B10"/>
    <w:rsid w:val="003C6241"/>
    <w:rsid w:val="003C62BE"/>
    <w:rsid w:val="003C699D"/>
    <w:rsid w:val="003C6A1B"/>
    <w:rsid w:val="003C6C1E"/>
    <w:rsid w:val="003C6D6F"/>
    <w:rsid w:val="003C6E62"/>
    <w:rsid w:val="003C6ED9"/>
    <w:rsid w:val="003C700D"/>
    <w:rsid w:val="003C7727"/>
    <w:rsid w:val="003C7F66"/>
    <w:rsid w:val="003D0903"/>
    <w:rsid w:val="003D09F3"/>
    <w:rsid w:val="003D1305"/>
    <w:rsid w:val="003D130F"/>
    <w:rsid w:val="003D193A"/>
    <w:rsid w:val="003D20C9"/>
    <w:rsid w:val="003D243C"/>
    <w:rsid w:val="003D28AE"/>
    <w:rsid w:val="003D2A93"/>
    <w:rsid w:val="003D2B9F"/>
    <w:rsid w:val="003D2D10"/>
    <w:rsid w:val="003D2D1D"/>
    <w:rsid w:val="003D2D44"/>
    <w:rsid w:val="003D2D5E"/>
    <w:rsid w:val="003D3263"/>
    <w:rsid w:val="003D35C7"/>
    <w:rsid w:val="003D379D"/>
    <w:rsid w:val="003D3AD7"/>
    <w:rsid w:val="003D43F4"/>
    <w:rsid w:val="003D5BAD"/>
    <w:rsid w:val="003D5FCC"/>
    <w:rsid w:val="003D6035"/>
    <w:rsid w:val="003D614D"/>
    <w:rsid w:val="003D6349"/>
    <w:rsid w:val="003D65A1"/>
    <w:rsid w:val="003D676D"/>
    <w:rsid w:val="003D6867"/>
    <w:rsid w:val="003D6E48"/>
    <w:rsid w:val="003D70E3"/>
    <w:rsid w:val="003D7AC5"/>
    <w:rsid w:val="003D7EC3"/>
    <w:rsid w:val="003D7EE0"/>
    <w:rsid w:val="003E01B4"/>
    <w:rsid w:val="003E096C"/>
    <w:rsid w:val="003E0B45"/>
    <w:rsid w:val="003E0EFD"/>
    <w:rsid w:val="003E1017"/>
    <w:rsid w:val="003E1328"/>
    <w:rsid w:val="003E16BE"/>
    <w:rsid w:val="003E18DF"/>
    <w:rsid w:val="003E1A83"/>
    <w:rsid w:val="003E1E0A"/>
    <w:rsid w:val="003E1F98"/>
    <w:rsid w:val="003E2235"/>
    <w:rsid w:val="003E2328"/>
    <w:rsid w:val="003E2985"/>
    <w:rsid w:val="003E3636"/>
    <w:rsid w:val="003E3889"/>
    <w:rsid w:val="003E3957"/>
    <w:rsid w:val="003E497D"/>
    <w:rsid w:val="003E4C5B"/>
    <w:rsid w:val="003E4CA5"/>
    <w:rsid w:val="003E4EAF"/>
    <w:rsid w:val="003E5086"/>
    <w:rsid w:val="003E5174"/>
    <w:rsid w:val="003E5223"/>
    <w:rsid w:val="003E58C4"/>
    <w:rsid w:val="003E6228"/>
    <w:rsid w:val="003E6CDE"/>
    <w:rsid w:val="003E71AE"/>
    <w:rsid w:val="003E7229"/>
    <w:rsid w:val="003E72FD"/>
    <w:rsid w:val="003E75DD"/>
    <w:rsid w:val="003E769A"/>
    <w:rsid w:val="003E7A49"/>
    <w:rsid w:val="003F041A"/>
    <w:rsid w:val="003F07A4"/>
    <w:rsid w:val="003F08FE"/>
    <w:rsid w:val="003F0EE1"/>
    <w:rsid w:val="003F0FAC"/>
    <w:rsid w:val="003F1108"/>
    <w:rsid w:val="003F17F6"/>
    <w:rsid w:val="003F1820"/>
    <w:rsid w:val="003F1CBE"/>
    <w:rsid w:val="003F1D6E"/>
    <w:rsid w:val="003F1F28"/>
    <w:rsid w:val="003F22DD"/>
    <w:rsid w:val="003F23E9"/>
    <w:rsid w:val="003F26AA"/>
    <w:rsid w:val="003F2886"/>
    <w:rsid w:val="003F29FF"/>
    <w:rsid w:val="003F2AFF"/>
    <w:rsid w:val="003F2BB4"/>
    <w:rsid w:val="003F3225"/>
    <w:rsid w:val="003F3572"/>
    <w:rsid w:val="003F3A35"/>
    <w:rsid w:val="003F4417"/>
    <w:rsid w:val="003F494F"/>
    <w:rsid w:val="003F49DB"/>
    <w:rsid w:val="003F49ED"/>
    <w:rsid w:val="003F4DC1"/>
    <w:rsid w:val="003F4DD3"/>
    <w:rsid w:val="003F4E5D"/>
    <w:rsid w:val="003F4FF2"/>
    <w:rsid w:val="003F5015"/>
    <w:rsid w:val="003F5041"/>
    <w:rsid w:val="003F5868"/>
    <w:rsid w:val="003F5875"/>
    <w:rsid w:val="003F5D89"/>
    <w:rsid w:val="003F5ECD"/>
    <w:rsid w:val="003F6120"/>
    <w:rsid w:val="003F660B"/>
    <w:rsid w:val="003F6699"/>
    <w:rsid w:val="003F6A16"/>
    <w:rsid w:val="003F744F"/>
    <w:rsid w:val="003F78FC"/>
    <w:rsid w:val="003F7952"/>
    <w:rsid w:val="003F79BF"/>
    <w:rsid w:val="003F7B66"/>
    <w:rsid w:val="004011BC"/>
    <w:rsid w:val="004014E2"/>
    <w:rsid w:val="00401527"/>
    <w:rsid w:val="00402082"/>
    <w:rsid w:val="0040230B"/>
    <w:rsid w:val="00402330"/>
    <w:rsid w:val="00402492"/>
    <w:rsid w:val="0040251C"/>
    <w:rsid w:val="004025C8"/>
    <w:rsid w:val="0040281E"/>
    <w:rsid w:val="0040282F"/>
    <w:rsid w:val="004028FD"/>
    <w:rsid w:val="00402A8C"/>
    <w:rsid w:val="00402AEA"/>
    <w:rsid w:val="00403866"/>
    <w:rsid w:val="0040389D"/>
    <w:rsid w:val="004038BC"/>
    <w:rsid w:val="00403E78"/>
    <w:rsid w:val="004041AE"/>
    <w:rsid w:val="004046E9"/>
    <w:rsid w:val="00404933"/>
    <w:rsid w:val="00404A13"/>
    <w:rsid w:val="00405298"/>
    <w:rsid w:val="00405FDD"/>
    <w:rsid w:val="00406065"/>
    <w:rsid w:val="0040639D"/>
    <w:rsid w:val="0040694D"/>
    <w:rsid w:val="00406CB6"/>
    <w:rsid w:val="00406FB2"/>
    <w:rsid w:val="004070EB"/>
    <w:rsid w:val="004075B2"/>
    <w:rsid w:val="00407A6A"/>
    <w:rsid w:val="00407E40"/>
    <w:rsid w:val="0041067A"/>
    <w:rsid w:val="00410B0F"/>
    <w:rsid w:val="00410C37"/>
    <w:rsid w:val="00410F19"/>
    <w:rsid w:val="00411390"/>
    <w:rsid w:val="00411399"/>
    <w:rsid w:val="004114B6"/>
    <w:rsid w:val="004114F9"/>
    <w:rsid w:val="004116ED"/>
    <w:rsid w:val="0041181E"/>
    <w:rsid w:val="004118B4"/>
    <w:rsid w:val="00411BC2"/>
    <w:rsid w:val="00411D7B"/>
    <w:rsid w:val="004121C6"/>
    <w:rsid w:val="004122BB"/>
    <w:rsid w:val="004122EF"/>
    <w:rsid w:val="0041237B"/>
    <w:rsid w:val="004128C7"/>
    <w:rsid w:val="004140B3"/>
    <w:rsid w:val="00414FCA"/>
    <w:rsid w:val="00414FF2"/>
    <w:rsid w:val="004150A5"/>
    <w:rsid w:val="004156D2"/>
    <w:rsid w:val="004157FB"/>
    <w:rsid w:val="0041583F"/>
    <w:rsid w:val="00415B1C"/>
    <w:rsid w:val="00415B64"/>
    <w:rsid w:val="00415C28"/>
    <w:rsid w:val="00415D94"/>
    <w:rsid w:val="004162E9"/>
    <w:rsid w:val="0041647F"/>
    <w:rsid w:val="004165C0"/>
    <w:rsid w:val="00416626"/>
    <w:rsid w:val="00416958"/>
    <w:rsid w:val="00416BEB"/>
    <w:rsid w:val="0041712A"/>
    <w:rsid w:val="004179C0"/>
    <w:rsid w:val="00417F2E"/>
    <w:rsid w:val="004202CB"/>
    <w:rsid w:val="004203A3"/>
    <w:rsid w:val="00420B8D"/>
    <w:rsid w:val="00420E9C"/>
    <w:rsid w:val="00421101"/>
    <w:rsid w:val="00421116"/>
    <w:rsid w:val="00421A82"/>
    <w:rsid w:val="00421A98"/>
    <w:rsid w:val="00422113"/>
    <w:rsid w:val="00422169"/>
    <w:rsid w:val="00422196"/>
    <w:rsid w:val="004224A3"/>
    <w:rsid w:val="00422AA1"/>
    <w:rsid w:val="00422D91"/>
    <w:rsid w:val="00422E46"/>
    <w:rsid w:val="0042301F"/>
    <w:rsid w:val="00423286"/>
    <w:rsid w:val="00423326"/>
    <w:rsid w:val="00423774"/>
    <w:rsid w:val="00423CD0"/>
    <w:rsid w:val="00423CDD"/>
    <w:rsid w:val="00423E9C"/>
    <w:rsid w:val="00423F88"/>
    <w:rsid w:val="004243EE"/>
    <w:rsid w:val="004244B9"/>
    <w:rsid w:val="0042469E"/>
    <w:rsid w:val="004247B8"/>
    <w:rsid w:val="00424C76"/>
    <w:rsid w:val="00424F80"/>
    <w:rsid w:val="00425295"/>
    <w:rsid w:val="00425964"/>
    <w:rsid w:val="00425A67"/>
    <w:rsid w:val="00425DA1"/>
    <w:rsid w:val="00425F3B"/>
    <w:rsid w:val="004261C0"/>
    <w:rsid w:val="004262B0"/>
    <w:rsid w:val="004262B6"/>
    <w:rsid w:val="0042637C"/>
    <w:rsid w:val="00426399"/>
    <w:rsid w:val="0042646D"/>
    <w:rsid w:val="004265FD"/>
    <w:rsid w:val="00426C8E"/>
    <w:rsid w:val="00426CAA"/>
    <w:rsid w:val="00426EF9"/>
    <w:rsid w:val="004270AE"/>
    <w:rsid w:val="00427485"/>
    <w:rsid w:val="004279D2"/>
    <w:rsid w:val="00427A2B"/>
    <w:rsid w:val="00427E29"/>
    <w:rsid w:val="00427EC2"/>
    <w:rsid w:val="00427F07"/>
    <w:rsid w:val="00427F82"/>
    <w:rsid w:val="00430231"/>
    <w:rsid w:val="0043046A"/>
    <w:rsid w:val="004304FD"/>
    <w:rsid w:val="004307BF"/>
    <w:rsid w:val="00430A75"/>
    <w:rsid w:val="00430BFA"/>
    <w:rsid w:val="00430E87"/>
    <w:rsid w:val="004310D4"/>
    <w:rsid w:val="0043112D"/>
    <w:rsid w:val="0043126C"/>
    <w:rsid w:val="0043145E"/>
    <w:rsid w:val="00431752"/>
    <w:rsid w:val="00431B89"/>
    <w:rsid w:val="00431C15"/>
    <w:rsid w:val="00431F14"/>
    <w:rsid w:val="0043204D"/>
    <w:rsid w:val="00432218"/>
    <w:rsid w:val="0043250A"/>
    <w:rsid w:val="00432632"/>
    <w:rsid w:val="00432882"/>
    <w:rsid w:val="00432901"/>
    <w:rsid w:val="00432B55"/>
    <w:rsid w:val="00432D2D"/>
    <w:rsid w:val="00432EB9"/>
    <w:rsid w:val="0043304C"/>
    <w:rsid w:val="004337C6"/>
    <w:rsid w:val="00433CCF"/>
    <w:rsid w:val="00433EB5"/>
    <w:rsid w:val="0043471C"/>
    <w:rsid w:val="0043483A"/>
    <w:rsid w:val="0043487E"/>
    <w:rsid w:val="00434930"/>
    <w:rsid w:val="0043496C"/>
    <w:rsid w:val="00434AFA"/>
    <w:rsid w:val="00435022"/>
    <w:rsid w:val="00435093"/>
    <w:rsid w:val="004353F1"/>
    <w:rsid w:val="004358CA"/>
    <w:rsid w:val="00435992"/>
    <w:rsid w:val="00435A14"/>
    <w:rsid w:val="004360F1"/>
    <w:rsid w:val="00436261"/>
    <w:rsid w:val="00436302"/>
    <w:rsid w:val="004364A6"/>
    <w:rsid w:val="00436798"/>
    <w:rsid w:val="004368D9"/>
    <w:rsid w:val="00436E37"/>
    <w:rsid w:val="00436EEA"/>
    <w:rsid w:val="004372B9"/>
    <w:rsid w:val="004376AB"/>
    <w:rsid w:val="00437A17"/>
    <w:rsid w:val="00437C72"/>
    <w:rsid w:val="00440102"/>
    <w:rsid w:val="00440113"/>
    <w:rsid w:val="00440132"/>
    <w:rsid w:val="004403E4"/>
    <w:rsid w:val="004405AF"/>
    <w:rsid w:val="00440819"/>
    <w:rsid w:val="00440AF6"/>
    <w:rsid w:val="00440B04"/>
    <w:rsid w:val="00440F92"/>
    <w:rsid w:val="0044129A"/>
    <w:rsid w:val="004415F0"/>
    <w:rsid w:val="00441777"/>
    <w:rsid w:val="004420BF"/>
    <w:rsid w:val="00442107"/>
    <w:rsid w:val="0044299A"/>
    <w:rsid w:val="00442A23"/>
    <w:rsid w:val="00442C5B"/>
    <w:rsid w:val="00443194"/>
    <w:rsid w:val="004433F0"/>
    <w:rsid w:val="004434D7"/>
    <w:rsid w:val="00443B5F"/>
    <w:rsid w:val="00444175"/>
    <w:rsid w:val="004442EB"/>
    <w:rsid w:val="004449AB"/>
    <w:rsid w:val="00444DF1"/>
    <w:rsid w:val="0044570F"/>
    <w:rsid w:val="004458CB"/>
    <w:rsid w:val="00445963"/>
    <w:rsid w:val="00445C02"/>
    <w:rsid w:val="004460EA"/>
    <w:rsid w:val="00446103"/>
    <w:rsid w:val="00446141"/>
    <w:rsid w:val="00446421"/>
    <w:rsid w:val="004464E0"/>
    <w:rsid w:val="00446D8E"/>
    <w:rsid w:val="00446F75"/>
    <w:rsid w:val="004471B1"/>
    <w:rsid w:val="004472FF"/>
    <w:rsid w:val="00447583"/>
    <w:rsid w:val="00447624"/>
    <w:rsid w:val="00447B13"/>
    <w:rsid w:val="00447D79"/>
    <w:rsid w:val="004501CF"/>
    <w:rsid w:val="004502DD"/>
    <w:rsid w:val="00450549"/>
    <w:rsid w:val="00450A3C"/>
    <w:rsid w:val="00450C25"/>
    <w:rsid w:val="0045127B"/>
    <w:rsid w:val="004514AD"/>
    <w:rsid w:val="00451A08"/>
    <w:rsid w:val="00451C65"/>
    <w:rsid w:val="00451CC9"/>
    <w:rsid w:val="00451D8B"/>
    <w:rsid w:val="00452251"/>
    <w:rsid w:val="00452489"/>
    <w:rsid w:val="00452579"/>
    <w:rsid w:val="004525DC"/>
    <w:rsid w:val="00452A92"/>
    <w:rsid w:val="00452E75"/>
    <w:rsid w:val="00452F29"/>
    <w:rsid w:val="00452F45"/>
    <w:rsid w:val="00453721"/>
    <w:rsid w:val="00453D8F"/>
    <w:rsid w:val="00453F65"/>
    <w:rsid w:val="0045447E"/>
    <w:rsid w:val="00454B52"/>
    <w:rsid w:val="00454BC0"/>
    <w:rsid w:val="00454D96"/>
    <w:rsid w:val="00455082"/>
    <w:rsid w:val="0045521E"/>
    <w:rsid w:val="004553E0"/>
    <w:rsid w:val="0045554E"/>
    <w:rsid w:val="004556B1"/>
    <w:rsid w:val="00455FAB"/>
    <w:rsid w:val="004561B2"/>
    <w:rsid w:val="0045621D"/>
    <w:rsid w:val="004565A7"/>
    <w:rsid w:val="004568C0"/>
    <w:rsid w:val="00456A69"/>
    <w:rsid w:val="00456DAA"/>
    <w:rsid w:val="004570E6"/>
    <w:rsid w:val="004571F5"/>
    <w:rsid w:val="0045762C"/>
    <w:rsid w:val="004577D2"/>
    <w:rsid w:val="00457996"/>
    <w:rsid w:val="00457AD9"/>
    <w:rsid w:val="004604C4"/>
    <w:rsid w:val="00460574"/>
    <w:rsid w:val="004607E5"/>
    <w:rsid w:val="004608AD"/>
    <w:rsid w:val="004608F7"/>
    <w:rsid w:val="00460DB2"/>
    <w:rsid w:val="004610AE"/>
    <w:rsid w:val="00461262"/>
    <w:rsid w:val="004614F3"/>
    <w:rsid w:val="00461820"/>
    <w:rsid w:val="004621F2"/>
    <w:rsid w:val="00462FC3"/>
    <w:rsid w:val="00463A89"/>
    <w:rsid w:val="00464326"/>
    <w:rsid w:val="0046481A"/>
    <w:rsid w:val="00464E36"/>
    <w:rsid w:val="0046518B"/>
    <w:rsid w:val="00465376"/>
    <w:rsid w:val="004653C8"/>
    <w:rsid w:val="0046549B"/>
    <w:rsid w:val="004659AC"/>
    <w:rsid w:val="00465F08"/>
    <w:rsid w:val="00465F9E"/>
    <w:rsid w:val="00466614"/>
    <w:rsid w:val="004666C1"/>
    <w:rsid w:val="004668B6"/>
    <w:rsid w:val="00466AEA"/>
    <w:rsid w:val="00466FAB"/>
    <w:rsid w:val="00467241"/>
    <w:rsid w:val="00467249"/>
    <w:rsid w:val="00467462"/>
    <w:rsid w:val="0046787E"/>
    <w:rsid w:val="004678F2"/>
    <w:rsid w:val="00467C96"/>
    <w:rsid w:val="00467D43"/>
    <w:rsid w:val="00470563"/>
    <w:rsid w:val="00470699"/>
    <w:rsid w:val="004707DE"/>
    <w:rsid w:val="004708FA"/>
    <w:rsid w:val="00471066"/>
    <w:rsid w:val="004713AA"/>
    <w:rsid w:val="0047153F"/>
    <w:rsid w:val="0047179A"/>
    <w:rsid w:val="00471E09"/>
    <w:rsid w:val="00471EAF"/>
    <w:rsid w:val="00471F39"/>
    <w:rsid w:val="0047218F"/>
    <w:rsid w:val="00472E39"/>
    <w:rsid w:val="004738DD"/>
    <w:rsid w:val="004739A8"/>
    <w:rsid w:val="00473A0C"/>
    <w:rsid w:val="00473A4E"/>
    <w:rsid w:val="00473AD2"/>
    <w:rsid w:val="00473C25"/>
    <w:rsid w:val="00473D73"/>
    <w:rsid w:val="0047438C"/>
    <w:rsid w:val="00474416"/>
    <w:rsid w:val="004748BA"/>
    <w:rsid w:val="00475498"/>
    <w:rsid w:val="00475A80"/>
    <w:rsid w:val="00475D71"/>
    <w:rsid w:val="00476476"/>
    <w:rsid w:val="00476654"/>
    <w:rsid w:val="00477819"/>
    <w:rsid w:val="00477B6E"/>
    <w:rsid w:val="00477D7D"/>
    <w:rsid w:val="00477F67"/>
    <w:rsid w:val="0048000F"/>
    <w:rsid w:val="00480430"/>
    <w:rsid w:val="00480526"/>
    <w:rsid w:val="00480624"/>
    <w:rsid w:val="004806FB"/>
    <w:rsid w:val="00480760"/>
    <w:rsid w:val="00480D6E"/>
    <w:rsid w:val="00480ED1"/>
    <w:rsid w:val="004810C9"/>
    <w:rsid w:val="00481681"/>
    <w:rsid w:val="0048168D"/>
    <w:rsid w:val="00481A40"/>
    <w:rsid w:val="00481BBA"/>
    <w:rsid w:val="00481E7B"/>
    <w:rsid w:val="00482718"/>
    <w:rsid w:val="00482789"/>
    <w:rsid w:val="004829D6"/>
    <w:rsid w:val="00482DD9"/>
    <w:rsid w:val="00482E56"/>
    <w:rsid w:val="00483089"/>
    <w:rsid w:val="004831EF"/>
    <w:rsid w:val="00483360"/>
    <w:rsid w:val="00483508"/>
    <w:rsid w:val="004837F1"/>
    <w:rsid w:val="004837F2"/>
    <w:rsid w:val="004838B5"/>
    <w:rsid w:val="004839DB"/>
    <w:rsid w:val="00483A0F"/>
    <w:rsid w:val="00483A7F"/>
    <w:rsid w:val="00483A85"/>
    <w:rsid w:val="00483AFA"/>
    <w:rsid w:val="00483BC3"/>
    <w:rsid w:val="00483CE3"/>
    <w:rsid w:val="00483F5A"/>
    <w:rsid w:val="0048412D"/>
    <w:rsid w:val="00484550"/>
    <w:rsid w:val="004845E5"/>
    <w:rsid w:val="0048463E"/>
    <w:rsid w:val="0048486C"/>
    <w:rsid w:val="004849D2"/>
    <w:rsid w:val="00484BD0"/>
    <w:rsid w:val="00484E80"/>
    <w:rsid w:val="00484FBD"/>
    <w:rsid w:val="004853C1"/>
    <w:rsid w:val="004856A4"/>
    <w:rsid w:val="00485AB7"/>
    <w:rsid w:val="004860C5"/>
    <w:rsid w:val="004863FD"/>
    <w:rsid w:val="00486A2A"/>
    <w:rsid w:val="00486C27"/>
    <w:rsid w:val="00486DA9"/>
    <w:rsid w:val="00486E50"/>
    <w:rsid w:val="00486ED1"/>
    <w:rsid w:val="0048765D"/>
    <w:rsid w:val="00487722"/>
    <w:rsid w:val="00487829"/>
    <w:rsid w:val="00487C17"/>
    <w:rsid w:val="00487F30"/>
    <w:rsid w:val="00490015"/>
    <w:rsid w:val="00490238"/>
    <w:rsid w:val="004902CC"/>
    <w:rsid w:val="00490655"/>
    <w:rsid w:val="004907F2"/>
    <w:rsid w:val="00490837"/>
    <w:rsid w:val="00490E36"/>
    <w:rsid w:val="00491085"/>
    <w:rsid w:val="004910E7"/>
    <w:rsid w:val="0049123C"/>
    <w:rsid w:val="00491309"/>
    <w:rsid w:val="00491B09"/>
    <w:rsid w:val="00491E41"/>
    <w:rsid w:val="004923F7"/>
    <w:rsid w:val="00492430"/>
    <w:rsid w:val="00492A05"/>
    <w:rsid w:val="00492A06"/>
    <w:rsid w:val="00492E75"/>
    <w:rsid w:val="004930EE"/>
    <w:rsid w:val="004934B8"/>
    <w:rsid w:val="004937EC"/>
    <w:rsid w:val="00493994"/>
    <w:rsid w:val="00493D9D"/>
    <w:rsid w:val="0049407C"/>
    <w:rsid w:val="00494534"/>
    <w:rsid w:val="0049497F"/>
    <w:rsid w:val="00494C01"/>
    <w:rsid w:val="00494DC7"/>
    <w:rsid w:val="00494DD6"/>
    <w:rsid w:val="004952E5"/>
    <w:rsid w:val="004953C3"/>
    <w:rsid w:val="00495438"/>
    <w:rsid w:val="00495673"/>
    <w:rsid w:val="004957A1"/>
    <w:rsid w:val="00495868"/>
    <w:rsid w:val="00495AC0"/>
    <w:rsid w:val="0049610A"/>
    <w:rsid w:val="00496995"/>
    <w:rsid w:val="004969AF"/>
    <w:rsid w:val="004969E7"/>
    <w:rsid w:val="00496A57"/>
    <w:rsid w:val="00496B90"/>
    <w:rsid w:val="00496CC8"/>
    <w:rsid w:val="00496EA0"/>
    <w:rsid w:val="004976BC"/>
    <w:rsid w:val="004977CA"/>
    <w:rsid w:val="004978AF"/>
    <w:rsid w:val="004978D4"/>
    <w:rsid w:val="00497B12"/>
    <w:rsid w:val="00497B19"/>
    <w:rsid w:val="00497C34"/>
    <w:rsid w:val="004A00FD"/>
    <w:rsid w:val="004A05A2"/>
    <w:rsid w:val="004A09A0"/>
    <w:rsid w:val="004A0EB0"/>
    <w:rsid w:val="004A1105"/>
    <w:rsid w:val="004A1372"/>
    <w:rsid w:val="004A1575"/>
    <w:rsid w:val="004A1BFD"/>
    <w:rsid w:val="004A206C"/>
    <w:rsid w:val="004A20A8"/>
    <w:rsid w:val="004A2240"/>
    <w:rsid w:val="004A2262"/>
    <w:rsid w:val="004A2454"/>
    <w:rsid w:val="004A2964"/>
    <w:rsid w:val="004A29CB"/>
    <w:rsid w:val="004A2BB6"/>
    <w:rsid w:val="004A2F10"/>
    <w:rsid w:val="004A3082"/>
    <w:rsid w:val="004A3417"/>
    <w:rsid w:val="004A363A"/>
    <w:rsid w:val="004A3692"/>
    <w:rsid w:val="004A378D"/>
    <w:rsid w:val="004A4226"/>
    <w:rsid w:val="004A434B"/>
    <w:rsid w:val="004A4765"/>
    <w:rsid w:val="004A47D2"/>
    <w:rsid w:val="004A4CC9"/>
    <w:rsid w:val="004A4EF1"/>
    <w:rsid w:val="004A5054"/>
    <w:rsid w:val="004A519E"/>
    <w:rsid w:val="004A51FF"/>
    <w:rsid w:val="004A5257"/>
    <w:rsid w:val="004A5306"/>
    <w:rsid w:val="004A5616"/>
    <w:rsid w:val="004A5FF8"/>
    <w:rsid w:val="004A630A"/>
    <w:rsid w:val="004A64CC"/>
    <w:rsid w:val="004A66D3"/>
    <w:rsid w:val="004A6774"/>
    <w:rsid w:val="004A68F5"/>
    <w:rsid w:val="004A6A0D"/>
    <w:rsid w:val="004A6A89"/>
    <w:rsid w:val="004A6F75"/>
    <w:rsid w:val="004A71F2"/>
    <w:rsid w:val="004A7237"/>
    <w:rsid w:val="004A73AE"/>
    <w:rsid w:val="004B0228"/>
    <w:rsid w:val="004B07B6"/>
    <w:rsid w:val="004B0A3F"/>
    <w:rsid w:val="004B0CFC"/>
    <w:rsid w:val="004B1A00"/>
    <w:rsid w:val="004B1E70"/>
    <w:rsid w:val="004B2181"/>
    <w:rsid w:val="004B24E9"/>
    <w:rsid w:val="004B2601"/>
    <w:rsid w:val="004B27F1"/>
    <w:rsid w:val="004B29E5"/>
    <w:rsid w:val="004B2C90"/>
    <w:rsid w:val="004B2D4A"/>
    <w:rsid w:val="004B2E8F"/>
    <w:rsid w:val="004B325D"/>
    <w:rsid w:val="004B34EB"/>
    <w:rsid w:val="004B3607"/>
    <w:rsid w:val="004B36FB"/>
    <w:rsid w:val="004B383D"/>
    <w:rsid w:val="004B3AFD"/>
    <w:rsid w:val="004B3B2C"/>
    <w:rsid w:val="004B4088"/>
    <w:rsid w:val="004B4759"/>
    <w:rsid w:val="004B47A8"/>
    <w:rsid w:val="004B48E3"/>
    <w:rsid w:val="004B4A7A"/>
    <w:rsid w:val="004B4F07"/>
    <w:rsid w:val="004B500E"/>
    <w:rsid w:val="004B50D0"/>
    <w:rsid w:val="004B5377"/>
    <w:rsid w:val="004B54E1"/>
    <w:rsid w:val="004B5622"/>
    <w:rsid w:val="004B592B"/>
    <w:rsid w:val="004B5A8E"/>
    <w:rsid w:val="004B5E17"/>
    <w:rsid w:val="004B5E4F"/>
    <w:rsid w:val="004B5E82"/>
    <w:rsid w:val="004B5E8A"/>
    <w:rsid w:val="004B5F9F"/>
    <w:rsid w:val="004B6C54"/>
    <w:rsid w:val="004B6F7A"/>
    <w:rsid w:val="004B6FFE"/>
    <w:rsid w:val="004B71A3"/>
    <w:rsid w:val="004B72A3"/>
    <w:rsid w:val="004B73F2"/>
    <w:rsid w:val="004B7563"/>
    <w:rsid w:val="004B7582"/>
    <w:rsid w:val="004B775A"/>
    <w:rsid w:val="004B7B72"/>
    <w:rsid w:val="004B7D1C"/>
    <w:rsid w:val="004C0735"/>
    <w:rsid w:val="004C0748"/>
    <w:rsid w:val="004C0BEF"/>
    <w:rsid w:val="004C0C9C"/>
    <w:rsid w:val="004C0CB1"/>
    <w:rsid w:val="004C0EE9"/>
    <w:rsid w:val="004C17DE"/>
    <w:rsid w:val="004C1B3D"/>
    <w:rsid w:val="004C1E33"/>
    <w:rsid w:val="004C1F09"/>
    <w:rsid w:val="004C1F7D"/>
    <w:rsid w:val="004C20F7"/>
    <w:rsid w:val="004C2145"/>
    <w:rsid w:val="004C22B1"/>
    <w:rsid w:val="004C235D"/>
    <w:rsid w:val="004C240E"/>
    <w:rsid w:val="004C2CD7"/>
    <w:rsid w:val="004C2FBF"/>
    <w:rsid w:val="004C3024"/>
    <w:rsid w:val="004C31DF"/>
    <w:rsid w:val="004C31E3"/>
    <w:rsid w:val="004C32E8"/>
    <w:rsid w:val="004C34FB"/>
    <w:rsid w:val="004C35ED"/>
    <w:rsid w:val="004C380A"/>
    <w:rsid w:val="004C3AFD"/>
    <w:rsid w:val="004C3D0D"/>
    <w:rsid w:val="004C3DA9"/>
    <w:rsid w:val="004C3DC3"/>
    <w:rsid w:val="004C3DE6"/>
    <w:rsid w:val="004C3E9F"/>
    <w:rsid w:val="004C3F59"/>
    <w:rsid w:val="004C406F"/>
    <w:rsid w:val="004C4180"/>
    <w:rsid w:val="004C4A9C"/>
    <w:rsid w:val="004C4E42"/>
    <w:rsid w:val="004C51BF"/>
    <w:rsid w:val="004C5311"/>
    <w:rsid w:val="004C554C"/>
    <w:rsid w:val="004C5971"/>
    <w:rsid w:val="004C5A1B"/>
    <w:rsid w:val="004C66B3"/>
    <w:rsid w:val="004C692F"/>
    <w:rsid w:val="004C6D4D"/>
    <w:rsid w:val="004C6E0E"/>
    <w:rsid w:val="004C75D1"/>
    <w:rsid w:val="004C7786"/>
    <w:rsid w:val="004C79A4"/>
    <w:rsid w:val="004C7E82"/>
    <w:rsid w:val="004C7F4B"/>
    <w:rsid w:val="004D01D3"/>
    <w:rsid w:val="004D021C"/>
    <w:rsid w:val="004D0222"/>
    <w:rsid w:val="004D0447"/>
    <w:rsid w:val="004D075C"/>
    <w:rsid w:val="004D0D56"/>
    <w:rsid w:val="004D0FA1"/>
    <w:rsid w:val="004D1739"/>
    <w:rsid w:val="004D17A9"/>
    <w:rsid w:val="004D180A"/>
    <w:rsid w:val="004D1A3A"/>
    <w:rsid w:val="004D1A52"/>
    <w:rsid w:val="004D1CC9"/>
    <w:rsid w:val="004D1D85"/>
    <w:rsid w:val="004D2593"/>
    <w:rsid w:val="004D2643"/>
    <w:rsid w:val="004D2776"/>
    <w:rsid w:val="004D29B2"/>
    <w:rsid w:val="004D2E32"/>
    <w:rsid w:val="004D2FB1"/>
    <w:rsid w:val="004D3068"/>
    <w:rsid w:val="004D36EE"/>
    <w:rsid w:val="004D3790"/>
    <w:rsid w:val="004D4BEC"/>
    <w:rsid w:val="004D4DFD"/>
    <w:rsid w:val="004D5287"/>
    <w:rsid w:val="004D56F0"/>
    <w:rsid w:val="004D5D94"/>
    <w:rsid w:val="004D6000"/>
    <w:rsid w:val="004D6360"/>
    <w:rsid w:val="004D6AEB"/>
    <w:rsid w:val="004D6C17"/>
    <w:rsid w:val="004D71BA"/>
    <w:rsid w:val="004D730B"/>
    <w:rsid w:val="004D740C"/>
    <w:rsid w:val="004D7727"/>
    <w:rsid w:val="004D7904"/>
    <w:rsid w:val="004D7D88"/>
    <w:rsid w:val="004E0165"/>
    <w:rsid w:val="004E022A"/>
    <w:rsid w:val="004E0871"/>
    <w:rsid w:val="004E0D82"/>
    <w:rsid w:val="004E11D2"/>
    <w:rsid w:val="004E144E"/>
    <w:rsid w:val="004E18F6"/>
    <w:rsid w:val="004E2383"/>
    <w:rsid w:val="004E26DD"/>
    <w:rsid w:val="004E2A1A"/>
    <w:rsid w:val="004E31AA"/>
    <w:rsid w:val="004E3357"/>
    <w:rsid w:val="004E3487"/>
    <w:rsid w:val="004E34BC"/>
    <w:rsid w:val="004E386E"/>
    <w:rsid w:val="004E3B35"/>
    <w:rsid w:val="004E41DD"/>
    <w:rsid w:val="004E4371"/>
    <w:rsid w:val="004E4659"/>
    <w:rsid w:val="004E46D2"/>
    <w:rsid w:val="004E487D"/>
    <w:rsid w:val="004E4AA0"/>
    <w:rsid w:val="004E4B87"/>
    <w:rsid w:val="004E4D11"/>
    <w:rsid w:val="004E4E62"/>
    <w:rsid w:val="004E4E86"/>
    <w:rsid w:val="004E4F2D"/>
    <w:rsid w:val="004E5414"/>
    <w:rsid w:val="004E54C2"/>
    <w:rsid w:val="004E58A9"/>
    <w:rsid w:val="004E5925"/>
    <w:rsid w:val="004E5E98"/>
    <w:rsid w:val="004E5F42"/>
    <w:rsid w:val="004E62DA"/>
    <w:rsid w:val="004E6641"/>
    <w:rsid w:val="004E676E"/>
    <w:rsid w:val="004E6B07"/>
    <w:rsid w:val="004E6F15"/>
    <w:rsid w:val="004E76B8"/>
    <w:rsid w:val="004E77DC"/>
    <w:rsid w:val="004E7975"/>
    <w:rsid w:val="004E7A48"/>
    <w:rsid w:val="004F04B9"/>
    <w:rsid w:val="004F068D"/>
    <w:rsid w:val="004F078D"/>
    <w:rsid w:val="004F079D"/>
    <w:rsid w:val="004F0C8B"/>
    <w:rsid w:val="004F1016"/>
    <w:rsid w:val="004F10BD"/>
    <w:rsid w:val="004F1321"/>
    <w:rsid w:val="004F1707"/>
    <w:rsid w:val="004F18C0"/>
    <w:rsid w:val="004F19C9"/>
    <w:rsid w:val="004F19CA"/>
    <w:rsid w:val="004F1B9A"/>
    <w:rsid w:val="004F284E"/>
    <w:rsid w:val="004F2878"/>
    <w:rsid w:val="004F2BFD"/>
    <w:rsid w:val="004F3104"/>
    <w:rsid w:val="004F346E"/>
    <w:rsid w:val="004F34F7"/>
    <w:rsid w:val="004F38D4"/>
    <w:rsid w:val="004F38F9"/>
    <w:rsid w:val="004F3A64"/>
    <w:rsid w:val="004F3B28"/>
    <w:rsid w:val="004F3C30"/>
    <w:rsid w:val="004F3ECA"/>
    <w:rsid w:val="004F43AF"/>
    <w:rsid w:val="004F48EA"/>
    <w:rsid w:val="004F498E"/>
    <w:rsid w:val="004F4BA6"/>
    <w:rsid w:val="004F4C4F"/>
    <w:rsid w:val="004F4D4C"/>
    <w:rsid w:val="004F4E24"/>
    <w:rsid w:val="004F5735"/>
    <w:rsid w:val="004F5857"/>
    <w:rsid w:val="004F5989"/>
    <w:rsid w:val="004F61E3"/>
    <w:rsid w:val="004F6538"/>
    <w:rsid w:val="004F67E4"/>
    <w:rsid w:val="004F6AE2"/>
    <w:rsid w:val="004F6BB7"/>
    <w:rsid w:val="004F6C8D"/>
    <w:rsid w:val="004F6E59"/>
    <w:rsid w:val="004F6E95"/>
    <w:rsid w:val="004F6F83"/>
    <w:rsid w:val="004F74AF"/>
    <w:rsid w:val="004F7518"/>
    <w:rsid w:val="004F75BC"/>
    <w:rsid w:val="004F77CF"/>
    <w:rsid w:val="004F799E"/>
    <w:rsid w:val="004F7D9E"/>
    <w:rsid w:val="00500200"/>
    <w:rsid w:val="005004B9"/>
    <w:rsid w:val="005005AD"/>
    <w:rsid w:val="00500600"/>
    <w:rsid w:val="00500919"/>
    <w:rsid w:val="00500BA4"/>
    <w:rsid w:val="00500D86"/>
    <w:rsid w:val="00500DC8"/>
    <w:rsid w:val="00500E4F"/>
    <w:rsid w:val="00500FD0"/>
    <w:rsid w:val="0050150A"/>
    <w:rsid w:val="00501576"/>
    <w:rsid w:val="00501716"/>
    <w:rsid w:val="005019A4"/>
    <w:rsid w:val="00501D3E"/>
    <w:rsid w:val="00501EE4"/>
    <w:rsid w:val="005025A9"/>
    <w:rsid w:val="00502904"/>
    <w:rsid w:val="00502C2B"/>
    <w:rsid w:val="00503414"/>
    <w:rsid w:val="00503798"/>
    <w:rsid w:val="00503849"/>
    <w:rsid w:val="00503A0A"/>
    <w:rsid w:val="005041D5"/>
    <w:rsid w:val="0050420C"/>
    <w:rsid w:val="005043A0"/>
    <w:rsid w:val="005044CE"/>
    <w:rsid w:val="0050458B"/>
    <w:rsid w:val="0050478F"/>
    <w:rsid w:val="005048B0"/>
    <w:rsid w:val="00504C53"/>
    <w:rsid w:val="00504CDC"/>
    <w:rsid w:val="0050533B"/>
    <w:rsid w:val="005055B7"/>
    <w:rsid w:val="005057E8"/>
    <w:rsid w:val="00505ACE"/>
    <w:rsid w:val="0050675B"/>
    <w:rsid w:val="0050681C"/>
    <w:rsid w:val="00506BA8"/>
    <w:rsid w:val="005070DE"/>
    <w:rsid w:val="0050722A"/>
    <w:rsid w:val="0050723A"/>
    <w:rsid w:val="0050727A"/>
    <w:rsid w:val="00507415"/>
    <w:rsid w:val="0050757A"/>
    <w:rsid w:val="0050759D"/>
    <w:rsid w:val="00507968"/>
    <w:rsid w:val="00507E2F"/>
    <w:rsid w:val="005104E8"/>
    <w:rsid w:val="005109CF"/>
    <w:rsid w:val="00510D9A"/>
    <w:rsid w:val="005110EB"/>
    <w:rsid w:val="00511175"/>
    <w:rsid w:val="00511913"/>
    <w:rsid w:val="00511F31"/>
    <w:rsid w:val="005121A4"/>
    <w:rsid w:val="005123D1"/>
    <w:rsid w:val="005130C2"/>
    <w:rsid w:val="005133C0"/>
    <w:rsid w:val="005138AF"/>
    <w:rsid w:val="0051397C"/>
    <w:rsid w:val="00513B5D"/>
    <w:rsid w:val="00513BC8"/>
    <w:rsid w:val="00513C53"/>
    <w:rsid w:val="00513CAC"/>
    <w:rsid w:val="005140B4"/>
    <w:rsid w:val="00514129"/>
    <w:rsid w:val="0051414E"/>
    <w:rsid w:val="0051444F"/>
    <w:rsid w:val="005144B9"/>
    <w:rsid w:val="00514686"/>
    <w:rsid w:val="00514F88"/>
    <w:rsid w:val="00514FA1"/>
    <w:rsid w:val="00514FBE"/>
    <w:rsid w:val="00515399"/>
    <w:rsid w:val="005155A7"/>
    <w:rsid w:val="0051588A"/>
    <w:rsid w:val="00515B99"/>
    <w:rsid w:val="00516203"/>
    <w:rsid w:val="00516FBA"/>
    <w:rsid w:val="00517181"/>
    <w:rsid w:val="005175A8"/>
    <w:rsid w:val="00517639"/>
    <w:rsid w:val="00517C66"/>
    <w:rsid w:val="00517C6B"/>
    <w:rsid w:val="00520197"/>
    <w:rsid w:val="005203A9"/>
    <w:rsid w:val="00520544"/>
    <w:rsid w:val="005205F3"/>
    <w:rsid w:val="00520AE4"/>
    <w:rsid w:val="00520B6C"/>
    <w:rsid w:val="00520DD7"/>
    <w:rsid w:val="005210DF"/>
    <w:rsid w:val="00521290"/>
    <w:rsid w:val="00521472"/>
    <w:rsid w:val="005216E5"/>
    <w:rsid w:val="00521B9C"/>
    <w:rsid w:val="00521CEA"/>
    <w:rsid w:val="00521D18"/>
    <w:rsid w:val="00521EB7"/>
    <w:rsid w:val="00521FE8"/>
    <w:rsid w:val="00522023"/>
    <w:rsid w:val="00522029"/>
    <w:rsid w:val="0052251A"/>
    <w:rsid w:val="00522597"/>
    <w:rsid w:val="005226B9"/>
    <w:rsid w:val="00522978"/>
    <w:rsid w:val="00522A0F"/>
    <w:rsid w:val="00522B4A"/>
    <w:rsid w:val="00523434"/>
    <w:rsid w:val="00523447"/>
    <w:rsid w:val="00523483"/>
    <w:rsid w:val="00523CB3"/>
    <w:rsid w:val="00523E64"/>
    <w:rsid w:val="0052400D"/>
    <w:rsid w:val="00524681"/>
    <w:rsid w:val="005246F8"/>
    <w:rsid w:val="00524725"/>
    <w:rsid w:val="00524B9B"/>
    <w:rsid w:val="00524E2E"/>
    <w:rsid w:val="00524E85"/>
    <w:rsid w:val="00525694"/>
    <w:rsid w:val="00525744"/>
    <w:rsid w:val="005259EE"/>
    <w:rsid w:val="00525B9D"/>
    <w:rsid w:val="00525CB9"/>
    <w:rsid w:val="00525E77"/>
    <w:rsid w:val="005266AB"/>
    <w:rsid w:val="0052681F"/>
    <w:rsid w:val="00526C82"/>
    <w:rsid w:val="005276CC"/>
    <w:rsid w:val="005279D9"/>
    <w:rsid w:val="00530545"/>
    <w:rsid w:val="00530B84"/>
    <w:rsid w:val="00530DD7"/>
    <w:rsid w:val="00530E93"/>
    <w:rsid w:val="00530F55"/>
    <w:rsid w:val="00531292"/>
    <w:rsid w:val="00531516"/>
    <w:rsid w:val="00531CBE"/>
    <w:rsid w:val="00531D51"/>
    <w:rsid w:val="00531EB4"/>
    <w:rsid w:val="00531EC4"/>
    <w:rsid w:val="00531F78"/>
    <w:rsid w:val="00532EDE"/>
    <w:rsid w:val="00533697"/>
    <w:rsid w:val="00533E0B"/>
    <w:rsid w:val="00533EC2"/>
    <w:rsid w:val="0053445B"/>
    <w:rsid w:val="005344F7"/>
    <w:rsid w:val="00534587"/>
    <w:rsid w:val="00534727"/>
    <w:rsid w:val="00534939"/>
    <w:rsid w:val="005349D1"/>
    <w:rsid w:val="00534EFE"/>
    <w:rsid w:val="00535146"/>
    <w:rsid w:val="00535272"/>
    <w:rsid w:val="0053529C"/>
    <w:rsid w:val="00535CCA"/>
    <w:rsid w:val="00535D13"/>
    <w:rsid w:val="00535D2C"/>
    <w:rsid w:val="00535DB0"/>
    <w:rsid w:val="00535E1C"/>
    <w:rsid w:val="00535EDD"/>
    <w:rsid w:val="0053604E"/>
    <w:rsid w:val="0053658D"/>
    <w:rsid w:val="00536809"/>
    <w:rsid w:val="0053685A"/>
    <w:rsid w:val="00536C67"/>
    <w:rsid w:val="005370B7"/>
    <w:rsid w:val="00537351"/>
    <w:rsid w:val="0053748C"/>
    <w:rsid w:val="005375FE"/>
    <w:rsid w:val="005376E0"/>
    <w:rsid w:val="0053789B"/>
    <w:rsid w:val="00537ADD"/>
    <w:rsid w:val="0054003E"/>
    <w:rsid w:val="005406A9"/>
    <w:rsid w:val="005409C4"/>
    <w:rsid w:val="00540EFB"/>
    <w:rsid w:val="00541C5D"/>
    <w:rsid w:val="00541C9E"/>
    <w:rsid w:val="00541D79"/>
    <w:rsid w:val="00542450"/>
    <w:rsid w:val="005425BB"/>
    <w:rsid w:val="00542744"/>
    <w:rsid w:val="005427B8"/>
    <w:rsid w:val="00542EDE"/>
    <w:rsid w:val="00542F8D"/>
    <w:rsid w:val="00543184"/>
    <w:rsid w:val="005435B5"/>
    <w:rsid w:val="005436DF"/>
    <w:rsid w:val="005439E8"/>
    <w:rsid w:val="00543D2F"/>
    <w:rsid w:val="00544008"/>
    <w:rsid w:val="00544194"/>
    <w:rsid w:val="005447A8"/>
    <w:rsid w:val="00544C4A"/>
    <w:rsid w:val="00544D06"/>
    <w:rsid w:val="005450E7"/>
    <w:rsid w:val="0054515B"/>
    <w:rsid w:val="00545406"/>
    <w:rsid w:val="00545916"/>
    <w:rsid w:val="00545985"/>
    <w:rsid w:val="00545A11"/>
    <w:rsid w:val="00545B36"/>
    <w:rsid w:val="005464C4"/>
    <w:rsid w:val="0054691B"/>
    <w:rsid w:val="00546E2E"/>
    <w:rsid w:val="00546FF0"/>
    <w:rsid w:val="005475B5"/>
    <w:rsid w:val="00547645"/>
    <w:rsid w:val="0054775D"/>
    <w:rsid w:val="00547A99"/>
    <w:rsid w:val="00550261"/>
    <w:rsid w:val="005503FD"/>
    <w:rsid w:val="00550479"/>
    <w:rsid w:val="0055076D"/>
    <w:rsid w:val="00551549"/>
    <w:rsid w:val="00551560"/>
    <w:rsid w:val="0055180C"/>
    <w:rsid w:val="00551CA3"/>
    <w:rsid w:val="005520BB"/>
    <w:rsid w:val="0055271A"/>
    <w:rsid w:val="00552F59"/>
    <w:rsid w:val="00552FC5"/>
    <w:rsid w:val="0055317E"/>
    <w:rsid w:val="005532FE"/>
    <w:rsid w:val="005534D9"/>
    <w:rsid w:val="005534E8"/>
    <w:rsid w:val="00553572"/>
    <w:rsid w:val="005535A1"/>
    <w:rsid w:val="005536E4"/>
    <w:rsid w:val="00553861"/>
    <w:rsid w:val="0055390D"/>
    <w:rsid w:val="00553A69"/>
    <w:rsid w:val="00553ADC"/>
    <w:rsid w:val="00553CB5"/>
    <w:rsid w:val="00553DA2"/>
    <w:rsid w:val="005540A0"/>
    <w:rsid w:val="0055425D"/>
    <w:rsid w:val="00554332"/>
    <w:rsid w:val="00555981"/>
    <w:rsid w:val="00555B3D"/>
    <w:rsid w:val="00555D23"/>
    <w:rsid w:val="00555F86"/>
    <w:rsid w:val="00556054"/>
    <w:rsid w:val="005563BB"/>
    <w:rsid w:val="0055702B"/>
    <w:rsid w:val="0055774D"/>
    <w:rsid w:val="005579FC"/>
    <w:rsid w:val="00560153"/>
    <w:rsid w:val="005607F4"/>
    <w:rsid w:val="00560911"/>
    <w:rsid w:val="00560C29"/>
    <w:rsid w:val="00560CAE"/>
    <w:rsid w:val="00560D4E"/>
    <w:rsid w:val="00561029"/>
    <w:rsid w:val="00561209"/>
    <w:rsid w:val="00561272"/>
    <w:rsid w:val="00561297"/>
    <w:rsid w:val="00561889"/>
    <w:rsid w:val="005618AF"/>
    <w:rsid w:val="00561A89"/>
    <w:rsid w:val="00561A90"/>
    <w:rsid w:val="00561AEA"/>
    <w:rsid w:val="00561E4E"/>
    <w:rsid w:val="00561FB9"/>
    <w:rsid w:val="00562209"/>
    <w:rsid w:val="005622C7"/>
    <w:rsid w:val="0056241E"/>
    <w:rsid w:val="00562550"/>
    <w:rsid w:val="005628D3"/>
    <w:rsid w:val="00562F2E"/>
    <w:rsid w:val="005633CB"/>
    <w:rsid w:val="00563541"/>
    <w:rsid w:val="00563F17"/>
    <w:rsid w:val="00563FD5"/>
    <w:rsid w:val="0056457E"/>
    <w:rsid w:val="005647C8"/>
    <w:rsid w:val="00564A33"/>
    <w:rsid w:val="00564B3E"/>
    <w:rsid w:val="00565021"/>
    <w:rsid w:val="005651F6"/>
    <w:rsid w:val="00565972"/>
    <w:rsid w:val="00565BEF"/>
    <w:rsid w:val="00565D27"/>
    <w:rsid w:val="00565DD9"/>
    <w:rsid w:val="00565E26"/>
    <w:rsid w:val="005664FB"/>
    <w:rsid w:val="0056667C"/>
    <w:rsid w:val="00566903"/>
    <w:rsid w:val="00566A2F"/>
    <w:rsid w:val="00566ABE"/>
    <w:rsid w:val="00566EFC"/>
    <w:rsid w:val="0056738C"/>
    <w:rsid w:val="005675DE"/>
    <w:rsid w:val="00567849"/>
    <w:rsid w:val="005679D6"/>
    <w:rsid w:val="00567B51"/>
    <w:rsid w:val="005700CC"/>
    <w:rsid w:val="0057012D"/>
    <w:rsid w:val="0057088C"/>
    <w:rsid w:val="00570F29"/>
    <w:rsid w:val="00570FC0"/>
    <w:rsid w:val="00570FD6"/>
    <w:rsid w:val="0057102C"/>
    <w:rsid w:val="005713D8"/>
    <w:rsid w:val="00571D94"/>
    <w:rsid w:val="00571EF6"/>
    <w:rsid w:val="00572125"/>
    <w:rsid w:val="0057230A"/>
    <w:rsid w:val="005723D8"/>
    <w:rsid w:val="005728BE"/>
    <w:rsid w:val="005729B6"/>
    <w:rsid w:val="00572A82"/>
    <w:rsid w:val="00572AFA"/>
    <w:rsid w:val="00572B69"/>
    <w:rsid w:val="00572BBB"/>
    <w:rsid w:val="00572C6E"/>
    <w:rsid w:val="00572FB8"/>
    <w:rsid w:val="0057343A"/>
    <w:rsid w:val="00573597"/>
    <w:rsid w:val="00573648"/>
    <w:rsid w:val="00573B60"/>
    <w:rsid w:val="00573CCA"/>
    <w:rsid w:val="00573F14"/>
    <w:rsid w:val="00574568"/>
    <w:rsid w:val="005749A2"/>
    <w:rsid w:val="00574F1B"/>
    <w:rsid w:val="00575505"/>
    <w:rsid w:val="00575CC5"/>
    <w:rsid w:val="00575DF6"/>
    <w:rsid w:val="00575F2A"/>
    <w:rsid w:val="005760FC"/>
    <w:rsid w:val="005762FB"/>
    <w:rsid w:val="00576534"/>
    <w:rsid w:val="00576772"/>
    <w:rsid w:val="00576954"/>
    <w:rsid w:val="00576C95"/>
    <w:rsid w:val="00576EE9"/>
    <w:rsid w:val="00577114"/>
    <w:rsid w:val="00577528"/>
    <w:rsid w:val="005777A3"/>
    <w:rsid w:val="00577A01"/>
    <w:rsid w:val="00577ED7"/>
    <w:rsid w:val="005803F7"/>
    <w:rsid w:val="005804B6"/>
    <w:rsid w:val="00580762"/>
    <w:rsid w:val="0058080D"/>
    <w:rsid w:val="005808A8"/>
    <w:rsid w:val="0058098B"/>
    <w:rsid w:val="00580AA3"/>
    <w:rsid w:val="00580B70"/>
    <w:rsid w:val="00580ED1"/>
    <w:rsid w:val="0058101F"/>
    <w:rsid w:val="005815CC"/>
    <w:rsid w:val="0058171E"/>
    <w:rsid w:val="00581873"/>
    <w:rsid w:val="00581B72"/>
    <w:rsid w:val="00581D99"/>
    <w:rsid w:val="00582119"/>
    <w:rsid w:val="00582385"/>
    <w:rsid w:val="00582E93"/>
    <w:rsid w:val="00582F3F"/>
    <w:rsid w:val="0058331B"/>
    <w:rsid w:val="00583371"/>
    <w:rsid w:val="0058358B"/>
    <w:rsid w:val="00583AB7"/>
    <w:rsid w:val="00583D45"/>
    <w:rsid w:val="00584034"/>
    <w:rsid w:val="00584654"/>
    <w:rsid w:val="00584769"/>
    <w:rsid w:val="00584A7A"/>
    <w:rsid w:val="0058508C"/>
    <w:rsid w:val="005854E8"/>
    <w:rsid w:val="00585922"/>
    <w:rsid w:val="005859A6"/>
    <w:rsid w:val="005859C9"/>
    <w:rsid w:val="00585E11"/>
    <w:rsid w:val="00586158"/>
    <w:rsid w:val="0058642F"/>
    <w:rsid w:val="0058683F"/>
    <w:rsid w:val="0058695C"/>
    <w:rsid w:val="00586A84"/>
    <w:rsid w:val="00586F72"/>
    <w:rsid w:val="005872D9"/>
    <w:rsid w:val="0058765C"/>
    <w:rsid w:val="00587844"/>
    <w:rsid w:val="00587C82"/>
    <w:rsid w:val="005900C3"/>
    <w:rsid w:val="00590528"/>
    <w:rsid w:val="00590634"/>
    <w:rsid w:val="00590978"/>
    <w:rsid w:val="00591288"/>
    <w:rsid w:val="005912FA"/>
    <w:rsid w:val="00591628"/>
    <w:rsid w:val="005917FD"/>
    <w:rsid w:val="00591AD8"/>
    <w:rsid w:val="00592049"/>
    <w:rsid w:val="0059279E"/>
    <w:rsid w:val="00592924"/>
    <w:rsid w:val="00592C17"/>
    <w:rsid w:val="00592CA8"/>
    <w:rsid w:val="00592CF3"/>
    <w:rsid w:val="005932BD"/>
    <w:rsid w:val="005932E0"/>
    <w:rsid w:val="00593436"/>
    <w:rsid w:val="0059376C"/>
    <w:rsid w:val="0059385C"/>
    <w:rsid w:val="00593BFD"/>
    <w:rsid w:val="00593D9A"/>
    <w:rsid w:val="00594181"/>
    <w:rsid w:val="00594315"/>
    <w:rsid w:val="0059489D"/>
    <w:rsid w:val="00594B7C"/>
    <w:rsid w:val="00594C44"/>
    <w:rsid w:val="00594C92"/>
    <w:rsid w:val="00594ED0"/>
    <w:rsid w:val="0059577E"/>
    <w:rsid w:val="00595FE8"/>
    <w:rsid w:val="00596016"/>
    <w:rsid w:val="00596127"/>
    <w:rsid w:val="0059668A"/>
    <w:rsid w:val="005966E1"/>
    <w:rsid w:val="00596AC5"/>
    <w:rsid w:val="00596B1D"/>
    <w:rsid w:val="00596BBF"/>
    <w:rsid w:val="00596D26"/>
    <w:rsid w:val="00596E65"/>
    <w:rsid w:val="0059704A"/>
    <w:rsid w:val="00597AC7"/>
    <w:rsid w:val="00597BE2"/>
    <w:rsid w:val="00597C93"/>
    <w:rsid w:val="005A06E3"/>
    <w:rsid w:val="005A0FCC"/>
    <w:rsid w:val="005A1336"/>
    <w:rsid w:val="005A13DE"/>
    <w:rsid w:val="005A1508"/>
    <w:rsid w:val="005A1943"/>
    <w:rsid w:val="005A1C51"/>
    <w:rsid w:val="005A1EB2"/>
    <w:rsid w:val="005A1F5B"/>
    <w:rsid w:val="005A241C"/>
    <w:rsid w:val="005A2427"/>
    <w:rsid w:val="005A2776"/>
    <w:rsid w:val="005A2999"/>
    <w:rsid w:val="005A2E95"/>
    <w:rsid w:val="005A2FBB"/>
    <w:rsid w:val="005A303C"/>
    <w:rsid w:val="005A33D0"/>
    <w:rsid w:val="005A3497"/>
    <w:rsid w:val="005A3651"/>
    <w:rsid w:val="005A3D23"/>
    <w:rsid w:val="005A3D6B"/>
    <w:rsid w:val="005A44D5"/>
    <w:rsid w:val="005A454C"/>
    <w:rsid w:val="005A463F"/>
    <w:rsid w:val="005A4AA1"/>
    <w:rsid w:val="005A528E"/>
    <w:rsid w:val="005A534E"/>
    <w:rsid w:val="005A5422"/>
    <w:rsid w:val="005A56BE"/>
    <w:rsid w:val="005A5A2E"/>
    <w:rsid w:val="005A5C44"/>
    <w:rsid w:val="005A5DA1"/>
    <w:rsid w:val="005A60DF"/>
    <w:rsid w:val="005A6DCA"/>
    <w:rsid w:val="005A6F45"/>
    <w:rsid w:val="005A6FD0"/>
    <w:rsid w:val="005A74F5"/>
    <w:rsid w:val="005A79DB"/>
    <w:rsid w:val="005A7E60"/>
    <w:rsid w:val="005B012C"/>
    <w:rsid w:val="005B0335"/>
    <w:rsid w:val="005B055A"/>
    <w:rsid w:val="005B0E5A"/>
    <w:rsid w:val="005B105A"/>
    <w:rsid w:val="005B11B0"/>
    <w:rsid w:val="005B11B4"/>
    <w:rsid w:val="005B13A2"/>
    <w:rsid w:val="005B1A4A"/>
    <w:rsid w:val="005B1AD5"/>
    <w:rsid w:val="005B1B88"/>
    <w:rsid w:val="005B1BDF"/>
    <w:rsid w:val="005B1CCB"/>
    <w:rsid w:val="005B2547"/>
    <w:rsid w:val="005B2606"/>
    <w:rsid w:val="005B2B0F"/>
    <w:rsid w:val="005B2E34"/>
    <w:rsid w:val="005B3465"/>
    <w:rsid w:val="005B39DC"/>
    <w:rsid w:val="005B3BF8"/>
    <w:rsid w:val="005B3DD3"/>
    <w:rsid w:val="005B43EE"/>
    <w:rsid w:val="005B4632"/>
    <w:rsid w:val="005B4AAF"/>
    <w:rsid w:val="005B4DDE"/>
    <w:rsid w:val="005B5093"/>
    <w:rsid w:val="005B5215"/>
    <w:rsid w:val="005B54D5"/>
    <w:rsid w:val="005B585A"/>
    <w:rsid w:val="005B58CF"/>
    <w:rsid w:val="005B5C78"/>
    <w:rsid w:val="005B5CA5"/>
    <w:rsid w:val="005B6254"/>
    <w:rsid w:val="005B6369"/>
    <w:rsid w:val="005B643A"/>
    <w:rsid w:val="005B64E3"/>
    <w:rsid w:val="005B6CF9"/>
    <w:rsid w:val="005B6FAD"/>
    <w:rsid w:val="005B758C"/>
    <w:rsid w:val="005B7795"/>
    <w:rsid w:val="005B7A5B"/>
    <w:rsid w:val="005C00AA"/>
    <w:rsid w:val="005C02ED"/>
    <w:rsid w:val="005C06A1"/>
    <w:rsid w:val="005C06EE"/>
    <w:rsid w:val="005C09D4"/>
    <w:rsid w:val="005C0AA3"/>
    <w:rsid w:val="005C0C7F"/>
    <w:rsid w:val="005C0F15"/>
    <w:rsid w:val="005C0FC2"/>
    <w:rsid w:val="005C1097"/>
    <w:rsid w:val="005C1211"/>
    <w:rsid w:val="005C12E7"/>
    <w:rsid w:val="005C1676"/>
    <w:rsid w:val="005C1923"/>
    <w:rsid w:val="005C24EC"/>
    <w:rsid w:val="005C27A8"/>
    <w:rsid w:val="005C31A6"/>
    <w:rsid w:val="005C3768"/>
    <w:rsid w:val="005C386C"/>
    <w:rsid w:val="005C3939"/>
    <w:rsid w:val="005C39BC"/>
    <w:rsid w:val="005C3C13"/>
    <w:rsid w:val="005C407D"/>
    <w:rsid w:val="005C4107"/>
    <w:rsid w:val="005C426F"/>
    <w:rsid w:val="005C4355"/>
    <w:rsid w:val="005C442E"/>
    <w:rsid w:val="005C44D1"/>
    <w:rsid w:val="005C47AC"/>
    <w:rsid w:val="005C482A"/>
    <w:rsid w:val="005C4AAB"/>
    <w:rsid w:val="005C4D7D"/>
    <w:rsid w:val="005C4E5D"/>
    <w:rsid w:val="005C51A7"/>
    <w:rsid w:val="005C5394"/>
    <w:rsid w:val="005C5436"/>
    <w:rsid w:val="005C543E"/>
    <w:rsid w:val="005C598D"/>
    <w:rsid w:val="005C59D3"/>
    <w:rsid w:val="005C5A01"/>
    <w:rsid w:val="005C5DCC"/>
    <w:rsid w:val="005C5FF5"/>
    <w:rsid w:val="005C63A0"/>
    <w:rsid w:val="005C64DA"/>
    <w:rsid w:val="005C66C3"/>
    <w:rsid w:val="005C69FC"/>
    <w:rsid w:val="005C6B37"/>
    <w:rsid w:val="005C6BD5"/>
    <w:rsid w:val="005C71F0"/>
    <w:rsid w:val="005C7348"/>
    <w:rsid w:val="005C788E"/>
    <w:rsid w:val="005C7AE2"/>
    <w:rsid w:val="005C7B6D"/>
    <w:rsid w:val="005C7BE9"/>
    <w:rsid w:val="005D01DB"/>
    <w:rsid w:val="005D01EF"/>
    <w:rsid w:val="005D0218"/>
    <w:rsid w:val="005D074E"/>
    <w:rsid w:val="005D0942"/>
    <w:rsid w:val="005D0FA3"/>
    <w:rsid w:val="005D1117"/>
    <w:rsid w:val="005D131B"/>
    <w:rsid w:val="005D206D"/>
    <w:rsid w:val="005D20B6"/>
    <w:rsid w:val="005D24A3"/>
    <w:rsid w:val="005D299B"/>
    <w:rsid w:val="005D2B62"/>
    <w:rsid w:val="005D2E1A"/>
    <w:rsid w:val="005D2F0B"/>
    <w:rsid w:val="005D301A"/>
    <w:rsid w:val="005D310F"/>
    <w:rsid w:val="005D360E"/>
    <w:rsid w:val="005D3771"/>
    <w:rsid w:val="005D40FC"/>
    <w:rsid w:val="005D427C"/>
    <w:rsid w:val="005D436D"/>
    <w:rsid w:val="005D4431"/>
    <w:rsid w:val="005D4706"/>
    <w:rsid w:val="005D48A2"/>
    <w:rsid w:val="005D4F73"/>
    <w:rsid w:val="005D5368"/>
    <w:rsid w:val="005D53DB"/>
    <w:rsid w:val="005D5513"/>
    <w:rsid w:val="005D5741"/>
    <w:rsid w:val="005D57C9"/>
    <w:rsid w:val="005D5B61"/>
    <w:rsid w:val="005D61A3"/>
    <w:rsid w:val="005D6363"/>
    <w:rsid w:val="005D6928"/>
    <w:rsid w:val="005D6A3D"/>
    <w:rsid w:val="005D6EE6"/>
    <w:rsid w:val="005D7034"/>
    <w:rsid w:val="005D72B1"/>
    <w:rsid w:val="005D72E0"/>
    <w:rsid w:val="005D78BE"/>
    <w:rsid w:val="005D7C70"/>
    <w:rsid w:val="005D7CEF"/>
    <w:rsid w:val="005D7E59"/>
    <w:rsid w:val="005D7F31"/>
    <w:rsid w:val="005E01DE"/>
    <w:rsid w:val="005E0205"/>
    <w:rsid w:val="005E04FE"/>
    <w:rsid w:val="005E07D0"/>
    <w:rsid w:val="005E094B"/>
    <w:rsid w:val="005E0B9D"/>
    <w:rsid w:val="005E0C0F"/>
    <w:rsid w:val="005E0E63"/>
    <w:rsid w:val="005E13C6"/>
    <w:rsid w:val="005E157A"/>
    <w:rsid w:val="005E1871"/>
    <w:rsid w:val="005E196F"/>
    <w:rsid w:val="005E1AE4"/>
    <w:rsid w:val="005E236C"/>
    <w:rsid w:val="005E2509"/>
    <w:rsid w:val="005E26AA"/>
    <w:rsid w:val="005E2A86"/>
    <w:rsid w:val="005E2AE5"/>
    <w:rsid w:val="005E31EA"/>
    <w:rsid w:val="005E336B"/>
    <w:rsid w:val="005E3DB8"/>
    <w:rsid w:val="005E400D"/>
    <w:rsid w:val="005E4185"/>
    <w:rsid w:val="005E4345"/>
    <w:rsid w:val="005E43A5"/>
    <w:rsid w:val="005E4605"/>
    <w:rsid w:val="005E47C3"/>
    <w:rsid w:val="005E4C3C"/>
    <w:rsid w:val="005E4D2E"/>
    <w:rsid w:val="005E4D89"/>
    <w:rsid w:val="005E4E72"/>
    <w:rsid w:val="005E4EDC"/>
    <w:rsid w:val="005E4F5A"/>
    <w:rsid w:val="005E5051"/>
    <w:rsid w:val="005E56A7"/>
    <w:rsid w:val="005E680E"/>
    <w:rsid w:val="005E71E0"/>
    <w:rsid w:val="005E73BC"/>
    <w:rsid w:val="005E7526"/>
    <w:rsid w:val="005E76B6"/>
    <w:rsid w:val="005E775B"/>
    <w:rsid w:val="005E7CC5"/>
    <w:rsid w:val="005E7DA5"/>
    <w:rsid w:val="005E7FBB"/>
    <w:rsid w:val="005F04F5"/>
    <w:rsid w:val="005F0579"/>
    <w:rsid w:val="005F0636"/>
    <w:rsid w:val="005F09E6"/>
    <w:rsid w:val="005F0D55"/>
    <w:rsid w:val="005F10FD"/>
    <w:rsid w:val="005F1EB5"/>
    <w:rsid w:val="005F215D"/>
    <w:rsid w:val="005F2169"/>
    <w:rsid w:val="005F22FD"/>
    <w:rsid w:val="005F22FF"/>
    <w:rsid w:val="005F245A"/>
    <w:rsid w:val="005F29F1"/>
    <w:rsid w:val="005F2B64"/>
    <w:rsid w:val="005F2C70"/>
    <w:rsid w:val="005F2DF6"/>
    <w:rsid w:val="005F30F7"/>
    <w:rsid w:val="005F3890"/>
    <w:rsid w:val="005F3A52"/>
    <w:rsid w:val="005F3B81"/>
    <w:rsid w:val="005F40C3"/>
    <w:rsid w:val="005F4229"/>
    <w:rsid w:val="005F44BB"/>
    <w:rsid w:val="005F479F"/>
    <w:rsid w:val="005F4976"/>
    <w:rsid w:val="005F5579"/>
    <w:rsid w:val="005F55EE"/>
    <w:rsid w:val="005F582A"/>
    <w:rsid w:val="005F5862"/>
    <w:rsid w:val="005F5B77"/>
    <w:rsid w:val="005F5D45"/>
    <w:rsid w:val="005F5E33"/>
    <w:rsid w:val="005F5F1F"/>
    <w:rsid w:val="005F6646"/>
    <w:rsid w:val="005F6D64"/>
    <w:rsid w:val="005F6EF5"/>
    <w:rsid w:val="005F6FD6"/>
    <w:rsid w:val="005F7129"/>
    <w:rsid w:val="005F723C"/>
    <w:rsid w:val="005F7555"/>
    <w:rsid w:val="005F76E0"/>
    <w:rsid w:val="005F78C6"/>
    <w:rsid w:val="005F7A91"/>
    <w:rsid w:val="005F7B89"/>
    <w:rsid w:val="00600232"/>
    <w:rsid w:val="00600731"/>
    <w:rsid w:val="0060083B"/>
    <w:rsid w:val="00600B1E"/>
    <w:rsid w:val="00600EFB"/>
    <w:rsid w:val="00600F75"/>
    <w:rsid w:val="00601443"/>
    <w:rsid w:val="0060155B"/>
    <w:rsid w:val="00601DEF"/>
    <w:rsid w:val="006023B2"/>
    <w:rsid w:val="00602A27"/>
    <w:rsid w:val="00603A2D"/>
    <w:rsid w:val="00603C82"/>
    <w:rsid w:val="00603DFA"/>
    <w:rsid w:val="0060408F"/>
    <w:rsid w:val="0060412D"/>
    <w:rsid w:val="00604602"/>
    <w:rsid w:val="0060464E"/>
    <w:rsid w:val="006046DA"/>
    <w:rsid w:val="00604B03"/>
    <w:rsid w:val="00604F07"/>
    <w:rsid w:val="00604FF0"/>
    <w:rsid w:val="00604FF8"/>
    <w:rsid w:val="006050AB"/>
    <w:rsid w:val="0060521C"/>
    <w:rsid w:val="006052D2"/>
    <w:rsid w:val="006055F0"/>
    <w:rsid w:val="00605645"/>
    <w:rsid w:val="00605AE6"/>
    <w:rsid w:val="00605B2F"/>
    <w:rsid w:val="00605B37"/>
    <w:rsid w:val="00605BE3"/>
    <w:rsid w:val="00605E31"/>
    <w:rsid w:val="00605F5B"/>
    <w:rsid w:val="006060E2"/>
    <w:rsid w:val="0060652E"/>
    <w:rsid w:val="006066F6"/>
    <w:rsid w:val="00606AF5"/>
    <w:rsid w:val="00606CAC"/>
    <w:rsid w:val="00606D14"/>
    <w:rsid w:val="00606DEC"/>
    <w:rsid w:val="00607166"/>
    <w:rsid w:val="00607267"/>
    <w:rsid w:val="00607641"/>
    <w:rsid w:val="00607B29"/>
    <w:rsid w:val="00607FC1"/>
    <w:rsid w:val="00610219"/>
    <w:rsid w:val="00610287"/>
    <w:rsid w:val="00610E4F"/>
    <w:rsid w:val="006111BE"/>
    <w:rsid w:val="00611581"/>
    <w:rsid w:val="006116FC"/>
    <w:rsid w:val="0061179A"/>
    <w:rsid w:val="0061181D"/>
    <w:rsid w:val="00612242"/>
    <w:rsid w:val="006124DC"/>
    <w:rsid w:val="00612580"/>
    <w:rsid w:val="00612882"/>
    <w:rsid w:val="0061290C"/>
    <w:rsid w:val="00612A16"/>
    <w:rsid w:val="00612C43"/>
    <w:rsid w:val="00612C93"/>
    <w:rsid w:val="00612EBD"/>
    <w:rsid w:val="00612FAE"/>
    <w:rsid w:val="00613092"/>
    <w:rsid w:val="00613385"/>
    <w:rsid w:val="006134E9"/>
    <w:rsid w:val="0061357E"/>
    <w:rsid w:val="0061364A"/>
    <w:rsid w:val="0061372D"/>
    <w:rsid w:val="006138D3"/>
    <w:rsid w:val="006139C8"/>
    <w:rsid w:val="00613B76"/>
    <w:rsid w:val="00613CC6"/>
    <w:rsid w:val="006144DF"/>
    <w:rsid w:val="006145EC"/>
    <w:rsid w:val="006146A9"/>
    <w:rsid w:val="0061488F"/>
    <w:rsid w:val="00614A12"/>
    <w:rsid w:val="00614B34"/>
    <w:rsid w:val="00614D1A"/>
    <w:rsid w:val="00614FD6"/>
    <w:rsid w:val="00615045"/>
    <w:rsid w:val="00615477"/>
    <w:rsid w:val="00615603"/>
    <w:rsid w:val="00615856"/>
    <w:rsid w:val="0061591C"/>
    <w:rsid w:val="00616DF0"/>
    <w:rsid w:val="006177E4"/>
    <w:rsid w:val="006200EB"/>
    <w:rsid w:val="00620369"/>
    <w:rsid w:val="0062063A"/>
    <w:rsid w:val="00620C31"/>
    <w:rsid w:val="006211B4"/>
    <w:rsid w:val="0062125F"/>
    <w:rsid w:val="0062134C"/>
    <w:rsid w:val="00621CD8"/>
    <w:rsid w:val="00621EA3"/>
    <w:rsid w:val="006226C3"/>
    <w:rsid w:val="00622CFE"/>
    <w:rsid w:val="00622D67"/>
    <w:rsid w:val="006235A7"/>
    <w:rsid w:val="006238A1"/>
    <w:rsid w:val="006239D5"/>
    <w:rsid w:val="00624395"/>
    <w:rsid w:val="00624707"/>
    <w:rsid w:val="00624A6F"/>
    <w:rsid w:val="00624F0A"/>
    <w:rsid w:val="00625071"/>
    <w:rsid w:val="00625206"/>
    <w:rsid w:val="0062540E"/>
    <w:rsid w:val="00625578"/>
    <w:rsid w:val="00625C8E"/>
    <w:rsid w:val="00625CB4"/>
    <w:rsid w:val="00625DB1"/>
    <w:rsid w:val="00625EBA"/>
    <w:rsid w:val="0062602F"/>
    <w:rsid w:val="0062605F"/>
    <w:rsid w:val="0062639B"/>
    <w:rsid w:val="00626688"/>
    <w:rsid w:val="00626C59"/>
    <w:rsid w:val="00626C6C"/>
    <w:rsid w:val="00626D16"/>
    <w:rsid w:val="00626D97"/>
    <w:rsid w:val="0062704B"/>
    <w:rsid w:val="00627088"/>
    <w:rsid w:val="00627337"/>
    <w:rsid w:val="006273AE"/>
    <w:rsid w:val="006274DD"/>
    <w:rsid w:val="0062760B"/>
    <w:rsid w:val="00627812"/>
    <w:rsid w:val="006301A9"/>
    <w:rsid w:val="00630329"/>
    <w:rsid w:val="00630363"/>
    <w:rsid w:val="00630385"/>
    <w:rsid w:val="006304D3"/>
    <w:rsid w:val="006309BE"/>
    <w:rsid w:val="00630A30"/>
    <w:rsid w:val="00630CAA"/>
    <w:rsid w:val="00630D8E"/>
    <w:rsid w:val="0063107C"/>
    <w:rsid w:val="006311F6"/>
    <w:rsid w:val="00631618"/>
    <w:rsid w:val="006316BE"/>
    <w:rsid w:val="00631970"/>
    <w:rsid w:val="00631B3E"/>
    <w:rsid w:val="00631C21"/>
    <w:rsid w:val="0063248D"/>
    <w:rsid w:val="006327A4"/>
    <w:rsid w:val="00632968"/>
    <w:rsid w:val="00632A1A"/>
    <w:rsid w:val="00632CD1"/>
    <w:rsid w:val="00632EE0"/>
    <w:rsid w:val="00632F2A"/>
    <w:rsid w:val="00632F70"/>
    <w:rsid w:val="006337E0"/>
    <w:rsid w:val="0063387D"/>
    <w:rsid w:val="00633A41"/>
    <w:rsid w:val="00633D9E"/>
    <w:rsid w:val="00633E12"/>
    <w:rsid w:val="00634098"/>
    <w:rsid w:val="0063421E"/>
    <w:rsid w:val="006347D2"/>
    <w:rsid w:val="00634842"/>
    <w:rsid w:val="00634A83"/>
    <w:rsid w:val="00634AB1"/>
    <w:rsid w:val="00634C03"/>
    <w:rsid w:val="00634D76"/>
    <w:rsid w:val="0063511B"/>
    <w:rsid w:val="00635340"/>
    <w:rsid w:val="00635532"/>
    <w:rsid w:val="0063602A"/>
    <w:rsid w:val="00636131"/>
    <w:rsid w:val="006361E5"/>
    <w:rsid w:val="0063630F"/>
    <w:rsid w:val="006364D5"/>
    <w:rsid w:val="006365A1"/>
    <w:rsid w:val="00636D45"/>
    <w:rsid w:val="00636EA2"/>
    <w:rsid w:val="00636FCE"/>
    <w:rsid w:val="0063717A"/>
    <w:rsid w:val="00637368"/>
    <w:rsid w:val="00637412"/>
    <w:rsid w:val="006374E1"/>
    <w:rsid w:val="00637E03"/>
    <w:rsid w:val="00640234"/>
    <w:rsid w:val="0064032D"/>
    <w:rsid w:val="0064046C"/>
    <w:rsid w:val="00640595"/>
    <w:rsid w:val="00640807"/>
    <w:rsid w:val="0064083F"/>
    <w:rsid w:val="00640A8A"/>
    <w:rsid w:val="00640F19"/>
    <w:rsid w:val="0064105A"/>
    <w:rsid w:val="0064163E"/>
    <w:rsid w:val="0064168F"/>
    <w:rsid w:val="006417FE"/>
    <w:rsid w:val="00641BEE"/>
    <w:rsid w:val="00641D31"/>
    <w:rsid w:val="006425FD"/>
    <w:rsid w:val="006428C8"/>
    <w:rsid w:val="00642BF3"/>
    <w:rsid w:val="00643238"/>
    <w:rsid w:val="006432C0"/>
    <w:rsid w:val="00643332"/>
    <w:rsid w:val="006433A8"/>
    <w:rsid w:val="0064343A"/>
    <w:rsid w:val="00643685"/>
    <w:rsid w:val="00644243"/>
    <w:rsid w:val="00644341"/>
    <w:rsid w:val="0064436C"/>
    <w:rsid w:val="006444A1"/>
    <w:rsid w:val="00645064"/>
    <w:rsid w:val="00645066"/>
    <w:rsid w:val="0064507D"/>
    <w:rsid w:val="006452E6"/>
    <w:rsid w:val="0064613F"/>
    <w:rsid w:val="0064618C"/>
    <w:rsid w:val="0064619F"/>
    <w:rsid w:val="0064622F"/>
    <w:rsid w:val="00646524"/>
    <w:rsid w:val="006468A6"/>
    <w:rsid w:val="00646F05"/>
    <w:rsid w:val="006473AC"/>
    <w:rsid w:val="0064756A"/>
    <w:rsid w:val="0064770F"/>
    <w:rsid w:val="00647809"/>
    <w:rsid w:val="00647B13"/>
    <w:rsid w:val="00647D5D"/>
    <w:rsid w:val="00650541"/>
    <w:rsid w:val="00650955"/>
    <w:rsid w:val="00650BAF"/>
    <w:rsid w:val="00650DAA"/>
    <w:rsid w:val="00650F5D"/>
    <w:rsid w:val="00650F71"/>
    <w:rsid w:val="00650FBC"/>
    <w:rsid w:val="0065164C"/>
    <w:rsid w:val="0065175E"/>
    <w:rsid w:val="0065182B"/>
    <w:rsid w:val="006519B5"/>
    <w:rsid w:val="00651B59"/>
    <w:rsid w:val="00651E15"/>
    <w:rsid w:val="0065213A"/>
    <w:rsid w:val="006521F4"/>
    <w:rsid w:val="00652647"/>
    <w:rsid w:val="00652A73"/>
    <w:rsid w:val="00652CDC"/>
    <w:rsid w:val="00652F99"/>
    <w:rsid w:val="0065303E"/>
    <w:rsid w:val="00653424"/>
    <w:rsid w:val="0065394D"/>
    <w:rsid w:val="00653A52"/>
    <w:rsid w:val="00653DBD"/>
    <w:rsid w:val="00653E07"/>
    <w:rsid w:val="006543F4"/>
    <w:rsid w:val="00654547"/>
    <w:rsid w:val="00654BE3"/>
    <w:rsid w:val="00655154"/>
    <w:rsid w:val="0065527E"/>
    <w:rsid w:val="00655838"/>
    <w:rsid w:val="006558AA"/>
    <w:rsid w:val="0065597C"/>
    <w:rsid w:val="00655A21"/>
    <w:rsid w:val="00655C98"/>
    <w:rsid w:val="00655D15"/>
    <w:rsid w:val="00655F00"/>
    <w:rsid w:val="00656093"/>
    <w:rsid w:val="006562EA"/>
    <w:rsid w:val="0065636F"/>
    <w:rsid w:val="006567BE"/>
    <w:rsid w:val="00656B9B"/>
    <w:rsid w:val="00656E89"/>
    <w:rsid w:val="00656F4B"/>
    <w:rsid w:val="006576C3"/>
    <w:rsid w:val="00657870"/>
    <w:rsid w:val="00657DDD"/>
    <w:rsid w:val="00657F3A"/>
    <w:rsid w:val="006604B3"/>
    <w:rsid w:val="006609C1"/>
    <w:rsid w:val="00660A2F"/>
    <w:rsid w:val="00660AC1"/>
    <w:rsid w:val="00660C0E"/>
    <w:rsid w:val="00660C65"/>
    <w:rsid w:val="0066107F"/>
    <w:rsid w:val="006610C7"/>
    <w:rsid w:val="00661448"/>
    <w:rsid w:val="00661791"/>
    <w:rsid w:val="006617D2"/>
    <w:rsid w:val="006618A1"/>
    <w:rsid w:val="00661904"/>
    <w:rsid w:val="00661920"/>
    <w:rsid w:val="00661A98"/>
    <w:rsid w:val="00661AE6"/>
    <w:rsid w:val="00661B77"/>
    <w:rsid w:val="00661DA4"/>
    <w:rsid w:val="00661ECA"/>
    <w:rsid w:val="0066224C"/>
    <w:rsid w:val="006622B7"/>
    <w:rsid w:val="00662402"/>
    <w:rsid w:val="00662B2A"/>
    <w:rsid w:val="00662B36"/>
    <w:rsid w:val="00663AE7"/>
    <w:rsid w:val="00663AFB"/>
    <w:rsid w:val="00663B2C"/>
    <w:rsid w:val="00663DC3"/>
    <w:rsid w:val="00663EB1"/>
    <w:rsid w:val="00663EE8"/>
    <w:rsid w:val="00663F2D"/>
    <w:rsid w:val="0066430D"/>
    <w:rsid w:val="006649BF"/>
    <w:rsid w:val="006664C8"/>
    <w:rsid w:val="0066675B"/>
    <w:rsid w:val="006671E8"/>
    <w:rsid w:val="00667262"/>
    <w:rsid w:val="00667382"/>
    <w:rsid w:val="00667476"/>
    <w:rsid w:val="00667885"/>
    <w:rsid w:val="006678D4"/>
    <w:rsid w:val="006679DD"/>
    <w:rsid w:val="00667EF9"/>
    <w:rsid w:val="00670033"/>
    <w:rsid w:val="00670525"/>
    <w:rsid w:val="0067056E"/>
    <w:rsid w:val="006705EB"/>
    <w:rsid w:val="00670780"/>
    <w:rsid w:val="00670801"/>
    <w:rsid w:val="00670AE6"/>
    <w:rsid w:val="00671107"/>
    <w:rsid w:val="00671786"/>
    <w:rsid w:val="00671D2A"/>
    <w:rsid w:val="00672323"/>
    <w:rsid w:val="00672499"/>
    <w:rsid w:val="00672B55"/>
    <w:rsid w:val="00672C64"/>
    <w:rsid w:val="00672EB4"/>
    <w:rsid w:val="00672F59"/>
    <w:rsid w:val="00672FA2"/>
    <w:rsid w:val="00673108"/>
    <w:rsid w:val="006732A9"/>
    <w:rsid w:val="006735B8"/>
    <w:rsid w:val="00673711"/>
    <w:rsid w:val="0067373D"/>
    <w:rsid w:val="006737AB"/>
    <w:rsid w:val="006737AF"/>
    <w:rsid w:val="00673B86"/>
    <w:rsid w:val="00673E9A"/>
    <w:rsid w:val="00674115"/>
    <w:rsid w:val="00674633"/>
    <w:rsid w:val="00674F77"/>
    <w:rsid w:val="00674F98"/>
    <w:rsid w:val="00675016"/>
    <w:rsid w:val="00675230"/>
    <w:rsid w:val="006753D6"/>
    <w:rsid w:val="00675428"/>
    <w:rsid w:val="00675C33"/>
    <w:rsid w:val="00675E45"/>
    <w:rsid w:val="00676110"/>
    <w:rsid w:val="006761F0"/>
    <w:rsid w:val="00676453"/>
    <w:rsid w:val="006764E6"/>
    <w:rsid w:val="006764FF"/>
    <w:rsid w:val="00676636"/>
    <w:rsid w:val="006773D5"/>
    <w:rsid w:val="006774F6"/>
    <w:rsid w:val="00677E04"/>
    <w:rsid w:val="00677F92"/>
    <w:rsid w:val="00680029"/>
    <w:rsid w:val="00680AE6"/>
    <w:rsid w:val="00680B5D"/>
    <w:rsid w:val="00680DDA"/>
    <w:rsid w:val="00681594"/>
    <w:rsid w:val="00681611"/>
    <w:rsid w:val="0068169F"/>
    <w:rsid w:val="006817B4"/>
    <w:rsid w:val="00681801"/>
    <w:rsid w:val="00681DEB"/>
    <w:rsid w:val="0068209E"/>
    <w:rsid w:val="006822BC"/>
    <w:rsid w:val="006822F3"/>
    <w:rsid w:val="006827FA"/>
    <w:rsid w:val="00682877"/>
    <w:rsid w:val="006829E4"/>
    <w:rsid w:val="00682A1D"/>
    <w:rsid w:val="00682B01"/>
    <w:rsid w:val="00682E0D"/>
    <w:rsid w:val="00683084"/>
    <w:rsid w:val="006831BF"/>
    <w:rsid w:val="0068321F"/>
    <w:rsid w:val="00683D57"/>
    <w:rsid w:val="00683F48"/>
    <w:rsid w:val="0068438E"/>
    <w:rsid w:val="00684595"/>
    <w:rsid w:val="00684741"/>
    <w:rsid w:val="00684D33"/>
    <w:rsid w:val="00684F87"/>
    <w:rsid w:val="00684FAC"/>
    <w:rsid w:val="0068505A"/>
    <w:rsid w:val="006856F9"/>
    <w:rsid w:val="00685815"/>
    <w:rsid w:val="00685A2B"/>
    <w:rsid w:val="006861A0"/>
    <w:rsid w:val="006861FC"/>
    <w:rsid w:val="006870FE"/>
    <w:rsid w:val="0068719D"/>
    <w:rsid w:val="006871A3"/>
    <w:rsid w:val="006873EA"/>
    <w:rsid w:val="006875A2"/>
    <w:rsid w:val="00687AEB"/>
    <w:rsid w:val="00687AF9"/>
    <w:rsid w:val="00687B12"/>
    <w:rsid w:val="00687C32"/>
    <w:rsid w:val="00687D42"/>
    <w:rsid w:val="00687F58"/>
    <w:rsid w:val="00690303"/>
    <w:rsid w:val="006908A5"/>
    <w:rsid w:val="00690B4D"/>
    <w:rsid w:val="00690D3F"/>
    <w:rsid w:val="00690E8C"/>
    <w:rsid w:val="00690F61"/>
    <w:rsid w:val="006919FE"/>
    <w:rsid w:val="00691B69"/>
    <w:rsid w:val="00691C62"/>
    <w:rsid w:val="00691D0B"/>
    <w:rsid w:val="0069202C"/>
    <w:rsid w:val="00692A67"/>
    <w:rsid w:val="00692C19"/>
    <w:rsid w:val="00692C26"/>
    <w:rsid w:val="00692C2F"/>
    <w:rsid w:val="00692F9E"/>
    <w:rsid w:val="00692FF1"/>
    <w:rsid w:val="00693008"/>
    <w:rsid w:val="00693134"/>
    <w:rsid w:val="00693461"/>
    <w:rsid w:val="006936B1"/>
    <w:rsid w:val="006937A2"/>
    <w:rsid w:val="00693EBA"/>
    <w:rsid w:val="0069448B"/>
    <w:rsid w:val="00694A9A"/>
    <w:rsid w:val="00694F23"/>
    <w:rsid w:val="006952CB"/>
    <w:rsid w:val="00695476"/>
    <w:rsid w:val="006955EB"/>
    <w:rsid w:val="00695A94"/>
    <w:rsid w:val="00695B64"/>
    <w:rsid w:val="00695F0C"/>
    <w:rsid w:val="0069602D"/>
    <w:rsid w:val="00696517"/>
    <w:rsid w:val="006969C6"/>
    <w:rsid w:val="00696B1A"/>
    <w:rsid w:val="00696C53"/>
    <w:rsid w:val="00697F98"/>
    <w:rsid w:val="006A008F"/>
    <w:rsid w:val="006A012E"/>
    <w:rsid w:val="006A0185"/>
    <w:rsid w:val="006A058B"/>
    <w:rsid w:val="006A05E2"/>
    <w:rsid w:val="006A0800"/>
    <w:rsid w:val="006A0AF3"/>
    <w:rsid w:val="006A0D1E"/>
    <w:rsid w:val="006A1189"/>
    <w:rsid w:val="006A11E9"/>
    <w:rsid w:val="006A1215"/>
    <w:rsid w:val="006A15D5"/>
    <w:rsid w:val="006A1D6D"/>
    <w:rsid w:val="006A24E6"/>
    <w:rsid w:val="006A2822"/>
    <w:rsid w:val="006A29C7"/>
    <w:rsid w:val="006A2BB0"/>
    <w:rsid w:val="006A2BF2"/>
    <w:rsid w:val="006A2DC8"/>
    <w:rsid w:val="006A3456"/>
    <w:rsid w:val="006A354C"/>
    <w:rsid w:val="006A3CC9"/>
    <w:rsid w:val="006A45FA"/>
    <w:rsid w:val="006A487B"/>
    <w:rsid w:val="006A4A90"/>
    <w:rsid w:val="006A51A3"/>
    <w:rsid w:val="006A57E3"/>
    <w:rsid w:val="006A5871"/>
    <w:rsid w:val="006A5AA6"/>
    <w:rsid w:val="006A5BD0"/>
    <w:rsid w:val="006A5CC4"/>
    <w:rsid w:val="006A5D1F"/>
    <w:rsid w:val="006A5D54"/>
    <w:rsid w:val="006A5F53"/>
    <w:rsid w:val="006A6146"/>
    <w:rsid w:val="006A61A6"/>
    <w:rsid w:val="006A61CD"/>
    <w:rsid w:val="006A6A43"/>
    <w:rsid w:val="006A6B03"/>
    <w:rsid w:val="006A6CBA"/>
    <w:rsid w:val="006A6CE8"/>
    <w:rsid w:val="006A7110"/>
    <w:rsid w:val="006A7199"/>
    <w:rsid w:val="006A7235"/>
    <w:rsid w:val="006A733C"/>
    <w:rsid w:val="006B0182"/>
    <w:rsid w:val="006B06EE"/>
    <w:rsid w:val="006B07D1"/>
    <w:rsid w:val="006B083D"/>
    <w:rsid w:val="006B087E"/>
    <w:rsid w:val="006B08C1"/>
    <w:rsid w:val="006B0ACD"/>
    <w:rsid w:val="006B0D9C"/>
    <w:rsid w:val="006B0F83"/>
    <w:rsid w:val="006B1469"/>
    <w:rsid w:val="006B17BF"/>
    <w:rsid w:val="006B194F"/>
    <w:rsid w:val="006B2590"/>
    <w:rsid w:val="006B265F"/>
    <w:rsid w:val="006B28FB"/>
    <w:rsid w:val="006B29DA"/>
    <w:rsid w:val="006B300B"/>
    <w:rsid w:val="006B3116"/>
    <w:rsid w:val="006B31EC"/>
    <w:rsid w:val="006B322F"/>
    <w:rsid w:val="006B3290"/>
    <w:rsid w:val="006B32AF"/>
    <w:rsid w:val="006B3404"/>
    <w:rsid w:val="006B355C"/>
    <w:rsid w:val="006B374F"/>
    <w:rsid w:val="006B3C03"/>
    <w:rsid w:val="006B4060"/>
    <w:rsid w:val="006B4172"/>
    <w:rsid w:val="006B4713"/>
    <w:rsid w:val="006B485B"/>
    <w:rsid w:val="006B4FDD"/>
    <w:rsid w:val="006B5133"/>
    <w:rsid w:val="006B5369"/>
    <w:rsid w:val="006B539A"/>
    <w:rsid w:val="006B5786"/>
    <w:rsid w:val="006B5A11"/>
    <w:rsid w:val="006B5B62"/>
    <w:rsid w:val="006B61E4"/>
    <w:rsid w:val="006B6848"/>
    <w:rsid w:val="006B6CB7"/>
    <w:rsid w:val="006B6DBB"/>
    <w:rsid w:val="006B7914"/>
    <w:rsid w:val="006B7F11"/>
    <w:rsid w:val="006C00ED"/>
    <w:rsid w:val="006C02BA"/>
    <w:rsid w:val="006C06B5"/>
    <w:rsid w:val="006C0926"/>
    <w:rsid w:val="006C0ABA"/>
    <w:rsid w:val="006C0B0B"/>
    <w:rsid w:val="006C0EB6"/>
    <w:rsid w:val="006C139A"/>
    <w:rsid w:val="006C14E5"/>
    <w:rsid w:val="006C14E8"/>
    <w:rsid w:val="006C1AE9"/>
    <w:rsid w:val="006C2115"/>
    <w:rsid w:val="006C22D7"/>
    <w:rsid w:val="006C2531"/>
    <w:rsid w:val="006C253D"/>
    <w:rsid w:val="006C3084"/>
    <w:rsid w:val="006C31AE"/>
    <w:rsid w:val="006C3742"/>
    <w:rsid w:val="006C3A98"/>
    <w:rsid w:val="006C4013"/>
    <w:rsid w:val="006C4198"/>
    <w:rsid w:val="006C41CE"/>
    <w:rsid w:val="006C431D"/>
    <w:rsid w:val="006C46C7"/>
    <w:rsid w:val="006C46D4"/>
    <w:rsid w:val="006C4841"/>
    <w:rsid w:val="006C485C"/>
    <w:rsid w:val="006C4996"/>
    <w:rsid w:val="006C4C0A"/>
    <w:rsid w:val="006C4F05"/>
    <w:rsid w:val="006C4F0F"/>
    <w:rsid w:val="006C52A8"/>
    <w:rsid w:val="006C552B"/>
    <w:rsid w:val="006C5710"/>
    <w:rsid w:val="006C59CB"/>
    <w:rsid w:val="006C5DC2"/>
    <w:rsid w:val="006C6305"/>
    <w:rsid w:val="006C63B4"/>
    <w:rsid w:val="006C6687"/>
    <w:rsid w:val="006C6B2B"/>
    <w:rsid w:val="006C6BA1"/>
    <w:rsid w:val="006C6D83"/>
    <w:rsid w:val="006C6FBB"/>
    <w:rsid w:val="006C74A4"/>
    <w:rsid w:val="006C756E"/>
    <w:rsid w:val="006C772C"/>
    <w:rsid w:val="006C7B39"/>
    <w:rsid w:val="006D064C"/>
    <w:rsid w:val="006D0665"/>
    <w:rsid w:val="006D0EE2"/>
    <w:rsid w:val="006D1AA6"/>
    <w:rsid w:val="006D1CF4"/>
    <w:rsid w:val="006D20EB"/>
    <w:rsid w:val="006D2231"/>
    <w:rsid w:val="006D2553"/>
    <w:rsid w:val="006D289C"/>
    <w:rsid w:val="006D2C55"/>
    <w:rsid w:val="006D328E"/>
    <w:rsid w:val="006D32C9"/>
    <w:rsid w:val="006D358F"/>
    <w:rsid w:val="006D35A4"/>
    <w:rsid w:val="006D39FA"/>
    <w:rsid w:val="006D3C69"/>
    <w:rsid w:val="006D3CAC"/>
    <w:rsid w:val="006D3DFF"/>
    <w:rsid w:val="006D3FE2"/>
    <w:rsid w:val="006D4487"/>
    <w:rsid w:val="006D4573"/>
    <w:rsid w:val="006D4E67"/>
    <w:rsid w:val="006D4F29"/>
    <w:rsid w:val="006D4F54"/>
    <w:rsid w:val="006D52AC"/>
    <w:rsid w:val="006D5996"/>
    <w:rsid w:val="006D6186"/>
    <w:rsid w:val="006D65CE"/>
    <w:rsid w:val="006D67B2"/>
    <w:rsid w:val="006D692F"/>
    <w:rsid w:val="006D6B9C"/>
    <w:rsid w:val="006D6D79"/>
    <w:rsid w:val="006D6D9A"/>
    <w:rsid w:val="006D6F31"/>
    <w:rsid w:val="006D6FAA"/>
    <w:rsid w:val="006D71FD"/>
    <w:rsid w:val="006D7242"/>
    <w:rsid w:val="006D72C4"/>
    <w:rsid w:val="006D74F7"/>
    <w:rsid w:val="006D766E"/>
    <w:rsid w:val="006D7A83"/>
    <w:rsid w:val="006D7C5E"/>
    <w:rsid w:val="006D7CA5"/>
    <w:rsid w:val="006E012D"/>
    <w:rsid w:val="006E027E"/>
    <w:rsid w:val="006E0303"/>
    <w:rsid w:val="006E03A7"/>
    <w:rsid w:val="006E056B"/>
    <w:rsid w:val="006E05B3"/>
    <w:rsid w:val="006E0B33"/>
    <w:rsid w:val="006E16E2"/>
    <w:rsid w:val="006E170D"/>
    <w:rsid w:val="006E196E"/>
    <w:rsid w:val="006E19FD"/>
    <w:rsid w:val="006E1CAC"/>
    <w:rsid w:val="006E1E54"/>
    <w:rsid w:val="006E276F"/>
    <w:rsid w:val="006E30FA"/>
    <w:rsid w:val="006E31E3"/>
    <w:rsid w:val="006E323F"/>
    <w:rsid w:val="006E32CD"/>
    <w:rsid w:val="006E3738"/>
    <w:rsid w:val="006E38FC"/>
    <w:rsid w:val="006E3C16"/>
    <w:rsid w:val="006E4AF4"/>
    <w:rsid w:val="006E4BD7"/>
    <w:rsid w:val="006E4FAD"/>
    <w:rsid w:val="006E5073"/>
    <w:rsid w:val="006E545C"/>
    <w:rsid w:val="006E5AAF"/>
    <w:rsid w:val="006E5C24"/>
    <w:rsid w:val="006E62D0"/>
    <w:rsid w:val="006E658D"/>
    <w:rsid w:val="006E65EE"/>
    <w:rsid w:val="006E67C1"/>
    <w:rsid w:val="006E695B"/>
    <w:rsid w:val="006E698B"/>
    <w:rsid w:val="006E6E8B"/>
    <w:rsid w:val="006E6F08"/>
    <w:rsid w:val="006E762F"/>
    <w:rsid w:val="006E776C"/>
    <w:rsid w:val="006E787C"/>
    <w:rsid w:val="006F05BC"/>
    <w:rsid w:val="006F06DF"/>
    <w:rsid w:val="006F0C56"/>
    <w:rsid w:val="006F0CD3"/>
    <w:rsid w:val="006F0D94"/>
    <w:rsid w:val="006F13F8"/>
    <w:rsid w:val="006F1695"/>
    <w:rsid w:val="006F195E"/>
    <w:rsid w:val="006F2001"/>
    <w:rsid w:val="006F208D"/>
    <w:rsid w:val="006F2108"/>
    <w:rsid w:val="006F256B"/>
    <w:rsid w:val="006F2587"/>
    <w:rsid w:val="006F2650"/>
    <w:rsid w:val="006F28F2"/>
    <w:rsid w:val="006F2A50"/>
    <w:rsid w:val="006F2CBB"/>
    <w:rsid w:val="006F34EC"/>
    <w:rsid w:val="006F3D6C"/>
    <w:rsid w:val="006F3E07"/>
    <w:rsid w:val="006F42C6"/>
    <w:rsid w:val="006F45BA"/>
    <w:rsid w:val="006F472D"/>
    <w:rsid w:val="006F4775"/>
    <w:rsid w:val="006F477B"/>
    <w:rsid w:val="006F4D1D"/>
    <w:rsid w:val="006F4FF7"/>
    <w:rsid w:val="006F521D"/>
    <w:rsid w:val="006F5755"/>
    <w:rsid w:val="006F5A88"/>
    <w:rsid w:val="006F5DDA"/>
    <w:rsid w:val="006F5F60"/>
    <w:rsid w:val="006F62BD"/>
    <w:rsid w:val="006F6B4F"/>
    <w:rsid w:val="006F6F15"/>
    <w:rsid w:val="006F705D"/>
    <w:rsid w:val="006F70E0"/>
    <w:rsid w:val="006F712B"/>
    <w:rsid w:val="006F73AE"/>
    <w:rsid w:val="006F7927"/>
    <w:rsid w:val="006F79B2"/>
    <w:rsid w:val="006F7BF8"/>
    <w:rsid w:val="006F7E09"/>
    <w:rsid w:val="006F7FED"/>
    <w:rsid w:val="00700695"/>
    <w:rsid w:val="00700DDD"/>
    <w:rsid w:val="00700F8E"/>
    <w:rsid w:val="00700FEF"/>
    <w:rsid w:val="0070196E"/>
    <w:rsid w:val="00701E9D"/>
    <w:rsid w:val="00701F58"/>
    <w:rsid w:val="00702568"/>
    <w:rsid w:val="00702845"/>
    <w:rsid w:val="007028A5"/>
    <w:rsid w:val="00702B1B"/>
    <w:rsid w:val="00702B82"/>
    <w:rsid w:val="00702E72"/>
    <w:rsid w:val="00703459"/>
    <w:rsid w:val="00703816"/>
    <w:rsid w:val="007039C6"/>
    <w:rsid w:val="00703A4E"/>
    <w:rsid w:val="00703E23"/>
    <w:rsid w:val="00703F56"/>
    <w:rsid w:val="007041DD"/>
    <w:rsid w:val="00704323"/>
    <w:rsid w:val="00704CA0"/>
    <w:rsid w:val="00704CEA"/>
    <w:rsid w:val="007052C0"/>
    <w:rsid w:val="00705454"/>
    <w:rsid w:val="00705BAA"/>
    <w:rsid w:val="00706066"/>
    <w:rsid w:val="00706132"/>
    <w:rsid w:val="00706253"/>
    <w:rsid w:val="0070639B"/>
    <w:rsid w:val="0070649C"/>
    <w:rsid w:val="007064A5"/>
    <w:rsid w:val="0070655C"/>
    <w:rsid w:val="00706A13"/>
    <w:rsid w:val="00706BC2"/>
    <w:rsid w:val="00706DE4"/>
    <w:rsid w:val="007074CB"/>
    <w:rsid w:val="007075ED"/>
    <w:rsid w:val="00707DB0"/>
    <w:rsid w:val="00707DBF"/>
    <w:rsid w:val="00710087"/>
    <w:rsid w:val="00710393"/>
    <w:rsid w:val="00710431"/>
    <w:rsid w:val="0071075C"/>
    <w:rsid w:val="0071080C"/>
    <w:rsid w:val="00710A28"/>
    <w:rsid w:val="007113FC"/>
    <w:rsid w:val="00711636"/>
    <w:rsid w:val="00711653"/>
    <w:rsid w:val="00711D8D"/>
    <w:rsid w:val="00711FE6"/>
    <w:rsid w:val="0071230F"/>
    <w:rsid w:val="0071232E"/>
    <w:rsid w:val="007124DD"/>
    <w:rsid w:val="0071277A"/>
    <w:rsid w:val="00712878"/>
    <w:rsid w:val="00712B6F"/>
    <w:rsid w:val="00712CF7"/>
    <w:rsid w:val="007134FF"/>
    <w:rsid w:val="0071372F"/>
    <w:rsid w:val="00713A0E"/>
    <w:rsid w:val="00713A73"/>
    <w:rsid w:val="00713B24"/>
    <w:rsid w:val="00713D86"/>
    <w:rsid w:val="00713E37"/>
    <w:rsid w:val="00713F77"/>
    <w:rsid w:val="007140B0"/>
    <w:rsid w:val="007140FA"/>
    <w:rsid w:val="00714154"/>
    <w:rsid w:val="007148A3"/>
    <w:rsid w:val="00714A50"/>
    <w:rsid w:val="0071516A"/>
    <w:rsid w:val="00715234"/>
    <w:rsid w:val="00715240"/>
    <w:rsid w:val="00715307"/>
    <w:rsid w:val="0071548B"/>
    <w:rsid w:val="007154AE"/>
    <w:rsid w:val="00715807"/>
    <w:rsid w:val="00715C47"/>
    <w:rsid w:val="00715D4D"/>
    <w:rsid w:val="00715DBA"/>
    <w:rsid w:val="007163C7"/>
    <w:rsid w:val="007166DC"/>
    <w:rsid w:val="00717265"/>
    <w:rsid w:val="00717832"/>
    <w:rsid w:val="00717C73"/>
    <w:rsid w:val="00717C9F"/>
    <w:rsid w:val="00720052"/>
    <w:rsid w:val="007204A9"/>
    <w:rsid w:val="00720505"/>
    <w:rsid w:val="00720AE3"/>
    <w:rsid w:val="00720D17"/>
    <w:rsid w:val="00721121"/>
    <w:rsid w:val="007218F7"/>
    <w:rsid w:val="00721D2B"/>
    <w:rsid w:val="00722734"/>
    <w:rsid w:val="00722978"/>
    <w:rsid w:val="00722AFD"/>
    <w:rsid w:val="00722CEF"/>
    <w:rsid w:val="00722E47"/>
    <w:rsid w:val="00723619"/>
    <w:rsid w:val="00723BF7"/>
    <w:rsid w:val="007240E6"/>
    <w:rsid w:val="00724210"/>
    <w:rsid w:val="007244DC"/>
    <w:rsid w:val="007245C4"/>
    <w:rsid w:val="00724649"/>
    <w:rsid w:val="00724705"/>
    <w:rsid w:val="00725208"/>
    <w:rsid w:val="00725634"/>
    <w:rsid w:val="00725964"/>
    <w:rsid w:val="007259D6"/>
    <w:rsid w:val="00725CC0"/>
    <w:rsid w:val="007260F1"/>
    <w:rsid w:val="00726BD2"/>
    <w:rsid w:val="00726E22"/>
    <w:rsid w:val="00727013"/>
    <w:rsid w:val="00727260"/>
    <w:rsid w:val="00727274"/>
    <w:rsid w:val="00727930"/>
    <w:rsid w:val="007279E8"/>
    <w:rsid w:val="0073014C"/>
    <w:rsid w:val="007301DC"/>
    <w:rsid w:val="00730909"/>
    <w:rsid w:val="00730CBC"/>
    <w:rsid w:val="00730CFB"/>
    <w:rsid w:val="00731237"/>
    <w:rsid w:val="0073128C"/>
    <w:rsid w:val="007312ED"/>
    <w:rsid w:val="00731968"/>
    <w:rsid w:val="00731D90"/>
    <w:rsid w:val="007320CD"/>
    <w:rsid w:val="0073222E"/>
    <w:rsid w:val="007328DF"/>
    <w:rsid w:val="007329FF"/>
    <w:rsid w:val="00733038"/>
    <w:rsid w:val="007335EE"/>
    <w:rsid w:val="00733EE0"/>
    <w:rsid w:val="00733F24"/>
    <w:rsid w:val="007342CC"/>
    <w:rsid w:val="0073438F"/>
    <w:rsid w:val="00734596"/>
    <w:rsid w:val="007347D0"/>
    <w:rsid w:val="007347D2"/>
    <w:rsid w:val="00734D69"/>
    <w:rsid w:val="00734F1F"/>
    <w:rsid w:val="00735776"/>
    <w:rsid w:val="00735AE5"/>
    <w:rsid w:val="00735D76"/>
    <w:rsid w:val="00735E4A"/>
    <w:rsid w:val="0073639B"/>
    <w:rsid w:val="0073672A"/>
    <w:rsid w:val="00736796"/>
    <w:rsid w:val="007367D1"/>
    <w:rsid w:val="0073696E"/>
    <w:rsid w:val="00736B49"/>
    <w:rsid w:val="00736D82"/>
    <w:rsid w:val="007371E7"/>
    <w:rsid w:val="0073724F"/>
    <w:rsid w:val="0073770D"/>
    <w:rsid w:val="0073792D"/>
    <w:rsid w:val="00737A5E"/>
    <w:rsid w:val="00737B4C"/>
    <w:rsid w:val="00740145"/>
    <w:rsid w:val="00740355"/>
    <w:rsid w:val="007407E7"/>
    <w:rsid w:val="00740BE3"/>
    <w:rsid w:val="00740E7A"/>
    <w:rsid w:val="007414F8"/>
    <w:rsid w:val="007415A2"/>
    <w:rsid w:val="007419CA"/>
    <w:rsid w:val="00741BF3"/>
    <w:rsid w:val="00741CC3"/>
    <w:rsid w:val="00741CD6"/>
    <w:rsid w:val="00741EB5"/>
    <w:rsid w:val="007420F3"/>
    <w:rsid w:val="007423D5"/>
    <w:rsid w:val="007423FD"/>
    <w:rsid w:val="007425E0"/>
    <w:rsid w:val="00742706"/>
    <w:rsid w:val="00742AE8"/>
    <w:rsid w:val="00743452"/>
    <w:rsid w:val="00743994"/>
    <w:rsid w:val="00744662"/>
    <w:rsid w:val="00744DD5"/>
    <w:rsid w:val="007456A3"/>
    <w:rsid w:val="0074575D"/>
    <w:rsid w:val="00745B76"/>
    <w:rsid w:val="0074607B"/>
    <w:rsid w:val="007466B0"/>
    <w:rsid w:val="00746964"/>
    <w:rsid w:val="007469F8"/>
    <w:rsid w:val="00746BF8"/>
    <w:rsid w:val="00746C16"/>
    <w:rsid w:val="00747119"/>
    <w:rsid w:val="007472C6"/>
    <w:rsid w:val="007477CC"/>
    <w:rsid w:val="00747F17"/>
    <w:rsid w:val="00747F9F"/>
    <w:rsid w:val="007506CD"/>
    <w:rsid w:val="00750B52"/>
    <w:rsid w:val="00750D4E"/>
    <w:rsid w:val="00750E71"/>
    <w:rsid w:val="00750E9A"/>
    <w:rsid w:val="00750FE9"/>
    <w:rsid w:val="00751412"/>
    <w:rsid w:val="00751CF4"/>
    <w:rsid w:val="007522BF"/>
    <w:rsid w:val="0075233F"/>
    <w:rsid w:val="00752FF2"/>
    <w:rsid w:val="00753198"/>
    <w:rsid w:val="00753371"/>
    <w:rsid w:val="007534C0"/>
    <w:rsid w:val="007536B1"/>
    <w:rsid w:val="007536DF"/>
    <w:rsid w:val="0075394B"/>
    <w:rsid w:val="00753C63"/>
    <w:rsid w:val="00753EBA"/>
    <w:rsid w:val="00753ED0"/>
    <w:rsid w:val="00754557"/>
    <w:rsid w:val="00754699"/>
    <w:rsid w:val="00754756"/>
    <w:rsid w:val="00754941"/>
    <w:rsid w:val="00754F84"/>
    <w:rsid w:val="007550D4"/>
    <w:rsid w:val="00755504"/>
    <w:rsid w:val="00755B6F"/>
    <w:rsid w:val="00755DFB"/>
    <w:rsid w:val="00755EC9"/>
    <w:rsid w:val="0075600B"/>
    <w:rsid w:val="007561F3"/>
    <w:rsid w:val="007562D7"/>
    <w:rsid w:val="007562E6"/>
    <w:rsid w:val="00756821"/>
    <w:rsid w:val="00756929"/>
    <w:rsid w:val="007569F4"/>
    <w:rsid w:val="00756B7E"/>
    <w:rsid w:val="00756BCB"/>
    <w:rsid w:val="00756D0B"/>
    <w:rsid w:val="00757239"/>
    <w:rsid w:val="00757350"/>
    <w:rsid w:val="00757C70"/>
    <w:rsid w:val="00757F1A"/>
    <w:rsid w:val="00757FDC"/>
    <w:rsid w:val="00760401"/>
    <w:rsid w:val="00760472"/>
    <w:rsid w:val="00760610"/>
    <w:rsid w:val="007606D5"/>
    <w:rsid w:val="007607AE"/>
    <w:rsid w:val="007609A1"/>
    <w:rsid w:val="007609C3"/>
    <w:rsid w:val="00760AF3"/>
    <w:rsid w:val="007611F4"/>
    <w:rsid w:val="007617CB"/>
    <w:rsid w:val="00761CD9"/>
    <w:rsid w:val="00761FDE"/>
    <w:rsid w:val="007620F7"/>
    <w:rsid w:val="007623A3"/>
    <w:rsid w:val="00762951"/>
    <w:rsid w:val="00762A5F"/>
    <w:rsid w:val="00762E59"/>
    <w:rsid w:val="007639C1"/>
    <w:rsid w:val="00763B49"/>
    <w:rsid w:val="00763BB1"/>
    <w:rsid w:val="00763BB9"/>
    <w:rsid w:val="00764746"/>
    <w:rsid w:val="007649AF"/>
    <w:rsid w:val="00764D47"/>
    <w:rsid w:val="00764FB8"/>
    <w:rsid w:val="00765811"/>
    <w:rsid w:val="00765995"/>
    <w:rsid w:val="00765AAE"/>
    <w:rsid w:val="00765B2C"/>
    <w:rsid w:val="00765E3B"/>
    <w:rsid w:val="007660D4"/>
    <w:rsid w:val="00766337"/>
    <w:rsid w:val="0076639C"/>
    <w:rsid w:val="007665AF"/>
    <w:rsid w:val="007667A8"/>
    <w:rsid w:val="00766ABF"/>
    <w:rsid w:val="0076720E"/>
    <w:rsid w:val="0076721F"/>
    <w:rsid w:val="0076731A"/>
    <w:rsid w:val="0076766D"/>
    <w:rsid w:val="00767742"/>
    <w:rsid w:val="0076799D"/>
    <w:rsid w:val="00767BAF"/>
    <w:rsid w:val="00767C21"/>
    <w:rsid w:val="00767DBB"/>
    <w:rsid w:val="00770161"/>
    <w:rsid w:val="00770261"/>
    <w:rsid w:val="007703DF"/>
    <w:rsid w:val="00770679"/>
    <w:rsid w:val="00770709"/>
    <w:rsid w:val="00770A7D"/>
    <w:rsid w:val="00770A8F"/>
    <w:rsid w:val="00770ABD"/>
    <w:rsid w:val="0077100F"/>
    <w:rsid w:val="007713CB"/>
    <w:rsid w:val="007715A3"/>
    <w:rsid w:val="00771A02"/>
    <w:rsid w:val="00771AEE"/>
    <w:rsid w:val="00771C56"/>
    <w:rsid w:val="00772003"/>
    <w:rsid w:val="00772196"/>
    <w:rsid w:val="007727D0"/>
    <w:rsid w:val="00772D90"/>
    <w:rsid w:val="00772E4D"/>
    <w:rsid w:val="00772FAB"/>
    <w:rsid w:val="00772FC8"/>
    <w:rsid w:val="00773138"/>
    <w:rsid w:val="00773170"/>
    <w:rsid w:val="00773193"/>
    <w:rsid w:val="0077344A"/>
    <w:rsid w:val="0077350D"/>
    <w:rsid w:val="00773686"/>
    <w:rsid w:val="00773A73"/>
    <w:rsid w:val="00773B41"/>
    <w:rsid w:val="00773BB2"/>
    <w:rsid w:val="00773DDA"/>
    <w:rsid w:val="00773F93"/>
    <w:rsid w:val="00774646"/>
    <w:rsid w:val="00774E85"/>
    <w:rsid w:val="007753B9"/>
    <w:rsid w:val="0077550D"/>
    <w:rsid w:val="00775681"/>
    <w:rsid w:val="0077578F"/>
    <w:rsid w:val="007758E5"/>
    <w:rsid w:val="00775971"/>
    <w:rsid w:val="00775A3D"/>
    <w:rsid w:val="00775A6C"/>
    <w:rsid w:val="00775C27"/>
    <w:rsid w:val="00775D82"/>
    <w:rsid w:val="00775F97"/>
    <w:rsid w:val="007761AD"/>
    <w:rsid w:val="00776547"/>
    <w:rsid w:val="007766D4"/>
    <w:rsid w:val="00776FD4"/>
    <w:rsid w:val="0077709B"/>
    <w:rsid w:val="0077715F"/>
    <w:rsid w:val="007776B6"/>
    <w:rsid w:val="00777B17"/>
    <w:rsid w:val="00777B6B"/>
    <w:rsid w:val="00777D47"/>
    <w:rsid w:val="00777DDD"/>
    <w:rsid w:val="0078050E"/>
    <w:rsid w:val="007809FF"/>
    <w:rsid w:val="00780ADF"/>
    <w:rsid w:val="007814D7"/>
    <w:rsid w:val="00781695"/>
    <w:rsid w:val="00781E1C"/>
    <w:rsid w:val="00781FE9"/>
    <w:rsid w:val="00782302"/>
    <w:rsid w:val="007824AD"/>
    <w:rsid w:val="007824CD"/>
    <w:rsid w:val="00782D00"/>
    <w:rsid w:val="00782E87"/>
    <w:rsid w:val="00783286"/>
    <w:rsid w:val="007832D5"/>
    <w:rsid w:val="0078332F"/>
    <w:rsid w:val="00783478"/>
    <w:rsid w:val="00783635"/>
    <w:rsid w:val="007838E6"/>
    <w:rsid w:val="00783D80"/>
    <w:rsid w:val="00783E34"/>
    <w:rsid w:val="00783FD2"/>
    <w:rsid w:val="0078414B"/>
    <w:rsid w:val="007843D0"/>
    <w:rsid w:val="0078465B"/>
    <w:rsid w:val="00784BFA"/>
    <w:rsid w:val="00784C68"/>
    <w:rsid w:val="00785168"/>
    <w:rsid w:val="00785442"/>
    <w:rsid w:val="007854C3"/>
    <w:rsid w:val="0078573F"/>
    <w:rsid w:val="007859FC"/>
    <w:rsid w:val="007863F4"/>
    <w:rsid w:val="007868E8"/>
    <w:rsid w:val="00786942"/>
    <w:rsid w:val="00786AF8"/>
    <w:rsid w:val="00786DEA"/>
    <w:rsid w:val="00786EF9"/>
    <w:rsid w:val="00786FB6"/>
    <w:rsid w:val="0078707B"/>
    <w:rsid w:val="00787205"/>
    <w:rsid w:val="0078728B"/>
    <w:rsid w:val="00787335"/>
    <w:rsid w:val="00787BC8"/>
    <w:rsid w:val="00790351"/>
    <w:rsid w:val="007906CD"/>
    <w:rsid w:val="00790AE9"/>
    <w:rsid w:val="00791233"/>
    <w:rsid w:val="00791644"/>
    <w:rsid w:val="0079179C"/>
    <w:rsid w:val="00791861"/>
    <w:rsid w:val="00791865"/>
    <w:rsid w:val="007918B5"/>
    <w:rsid w:val="00791A7C"/>
    <w:rsid w:val="00791B72"/>
    <w:rsid w:val="00791C19"/>
    <w:rsid w:val="00791CF4"/>
    <w:rsid w:val="007920A0"/>
    <w:rsid w:val="00792487"/>
    <w:rsid w:val="00792539"/>
    <w:rsid w:val="00792579"/>
    <w:rsid w:val="0079267A"/>
    <w:rsid w:val="00792DF1"/>
    <w:rsid w:val="00792E91"/>
    <w:rsid w:val="007931CF"/>
    <w:rsid w:val="00793427"/>
    <w:rsid w:val="00793740"/>
    <w:rsid w:val="00793C4B"/>
    <w:rsid w:val="00793E7F"/>
    <w:rsid w:val="0079407A"/>
    <w:rsid w:val="00794752"/>
    <w:rsid w:val="00794A3E"/>
    <w:rsid w:val="00794B5C"/>
    <w:rsid w:val="00795889"/>
    <w:rsid w:val="00795CDA"/>
    <w:rsid w:val="007961CE"/>
    <w:rsid w:val="00796A0D"/>
    <w:rsid w:val="00796C22"/>
    <w:rsid w:val="0079705C"/>
    <w:rsid w:val="007978B6"/>
    <w:rsid w:val="00797A21"/>
    <w:rsid w:val="00797E13"/>
    <w:rsid w:val="007A0068"/>
    <w:rsid w:val="007A02A7"/>
    <w:rsid w:val="007A0673"/>
    <w:rsid w:val="007A0717"/>
    <w:rsid w:val="007A1330"/>
    <w:rsid w:val="007A13BF"/>
    <w:rsid w:val="007A1818"/>
    <w:rsid w:val="007A1AD3"/>
    <w:rsid w:val="007A1BE8"/>
    <w:rsid w:val="007A1FC8"/>
    <w:rsid w:val="007A22D5"/>
    <w:rsid w:val="007A25D4"/>
    <w:rsid w:val="007A2A4A"/>
    <w:rsid w:val="007A2B94"/>
    <w:rsid w:val="007A2F17"/>
    <w:rsid w:val="007A2F4E"/>
    <w:rsid w:val="007A3365"/>
    <w:rsid w:val="007A3B9B"/>
    <w:rsid w:val="007A3BC2"/>
    <w:rsid w:val="007A3D95"/>
    <w:rsid w:val="007A4017"/>
    <w:rsid w:val="007A4118"/>
    <w:rsid w:val="007A450D"/>
    <w:rsid w:val="007A474A"/>
    <w:rsid w:val="007A4AAE"/>
    <w:rsid w:val="007A4B84"/>
    <w:rsid w:val="007A4E9B"/>
    <w:rsid w:val="007A5216"/>
    <w:rsid w:val="007A5366"/>
    <w:rsid w:val="007A65EC"/>
    <w:rsid w:val="007A6693"/>
    <w:rsid w:val="007A6736"/>
    <w:rsid w:val="007A6F1F"/>
    <w:rsid w:val="007A70AA"/>
    <w:rsid w:val="007A7172"/>
    <w:rsid w:val="007A724B"/>
    <w:rsid w:val="007A7341"/>
    <w:rsid w:val="007A7449"/>
    <w:rsid w:val="007A74F4"/>
    <w:rsid w:val="007A76DD"/>
    <w:rsid w:val="007A7736"/>
    <w:rsid w:val="007A777A"/>
    <w:rsid w:val="007A79EF"/>
    <w:rsid w:val="007A7A0F"/>
    <w:rsid w:val="007A7C13"/>
    <w:rsid w:val="007A7C69"/>
    <w:rsid w:val="007A7D39"/>
    <w:rsid w:val="007A7E7C"/>
    <w:rsid w:val="007B010C"/>
    <w:rsid w:val="007B0589"/>
    <w:rsid w:val="007B081C"/>
    <w:rsid w:val="007B088B"/>
    <w:rsid w:val="007B0FA6"/>
    <w:rsid w:val="007B117E"/>
    <w:rsid w:val="007B141B"/>
    <w:rsid w:val="007B15D9"/>
    <w:rsid w:val="007B15DE"/>
    <w:rsid w:val="007B17FF"/>
    <w:rsid w:val="007B2151"/>
    <w:rsid w:val="007B235E"/>
    <w:rsid w:val="007B259D"/>
    <w:rsid w:val="007B2AD0"/>
    <w:rsid w:val="007B2C6D"/>
    <w:rsid w:val="007B30A2"/>
    <w:rsid w:val="007B32AE"/>
    <w:rsid w:val="007B33CE"/>
    <w:rsid w:val="007B378B"/>
    <w:rsid w:val="007B3923"/>
    <w:rsid w:val="007B3CE0"/>
    <w:rsid w:val="007B4275"/>
    <w:rsid w:val="007B4B85"/>
    <w:rsid w:val="007B4D5A"/>
    <w:rsid w:val="007B4E58"/>
    <w:rsid w:val="007B4F25"/>
    <w:rsid w:val="007B550D"/>
    <w:rsid w:val="007B58F6"/>
    <w:rsid w:val="007B59F2"/>
    <w:rsid w:val="007B5BCE"/>
    <w:rsid w:val="007B6463"/>
    <w:rsid w:val="007B68E7"/>
    <w:rsid w:val="007B6C8C"/>
    <w:rsid w:val="007B7157"/>
    <w:rsid w:val="007B7375"/>
    <w:rsid w:val="007B7AC5"/>
    <w:rsid w:val="007B7DF9"/>
    <w:rsid w:val="007C0033"/>
    <w:rsid w:val="007C0120"/>
    <w:rsid w:val="007C02F0"/>
    <w:rsid w:val="007C03DC"/>
    <w:rsid w:val="007C079F"/>
    <w:rsid w:val="007C08EB"/>
    <w:rsid w:val="007C0935"/>
    <w:rsid w:val="007C097E"/>
    <w:rsid w:val="007C0C98"/>
    <w:rsid w:val="007C0D5F"/>
    <w:rsid w:val="007C12D2"/>
    <w:rsid w:val="007C135C"/>
    <w:rsid w:val="007C1761"/>
    <w:rsid w:val="007C17ED"/>
    <w:rsid w:val="007C1BC7"/>
    <w:rsid w:val="007C1C9A"/>
    <w:rsid w:val="007C2032"/>
    <w:rsid w:val="007C2181"/>
    <w:rsid w:val="007C23FE"/>
    <w:rsid w:val="007C268A"/>
    <w:rsid w:val="007C2870"/>
    <w:rsid w:val="007C29EC"/>
    <w:rsid w:val="007C2F62"/>
    <w:rsid w:val="007C33B7"/>
    <w:rsid w:val="007C3BC6"/>
    <w:rsid w:val="007C3D60"/>
    <w:rsid w:val="007C41AF"/>
    <w:rsid w:val="007C453A"/>
    <w:rsid w:val="007C51DB"/>
    <w:rsid w:val="007C55E0"/>
    <w:rsid w:val="007C55E5"/>
    <w:rsid w:val="007C59BD"/>
    <w:rsid w:val="007C613C"/>
    <w:rsid w:val="007C619E"/>
    <w:rsid w:val="007C6227"/>
    <w:rsid w:val="007C64C9"/>
    <w:rsid w:val="007C6800"/>
    <w:rsid w:val="007C68E3"/>
    <w:rsid w:val="007C6C13"/>
    <w:rsid w:val="007C6E82"/>
    <w:rsid w:val="007C7151"/>
    <w:rsid w:val="007C736E"/>
    <w:rsid w:val="007C766D"/>
    <w:rsid w:val="007C78A2"/>
    <w:rsid w:val="007C7926"/>
    <w:rsid w:val="007C7C82"/>
    <w:rsid w:val="007D04DA"/>
    <w:rsid w:val="007D0931"/>
    <w:rsid w:val="007D0D2E"/>
    <w:rsid w:val="007D14F5"/>
    <w:rsid w:val="007D167A"/>
    <w:rsid w:val="007D16B9"/>
    <w:rsid w:val="007D1C6C"/>
    <w:rsid w:val="007D2465"/>
    <w:rsid w:val="007D27ED"/>
    <w:rsid w:val="007D288B"/>
    <w:rsid w:val="007D2BF7"/>
    <w:rsid w:val="007D2C43"/>
    <w:rsid w:val="007D2FDD"/>
    <w:rsid w:val="007D32F3"/>
    <w:rsid w:val="007D3754"/>
    <w:rsid w:val="007D3A14"/>
    <w:rsid w:val="007D3DF5"/>
    <w:rsid w:val="007D4071"/>
    <w:rsid w:val="007D4774"/>
    <w:rsid w:val="007D487B"/>
    <w:rsid w:val="007D4920"/>
    <w:rsid w:val="007D4987"/>
    <w:rsid w:val="007D498F"/>
    <w:rsid w:val="007D4A67"/>
    <w:rsid w:val="007D4E0C"/>
    <w:rsid w:val="007D4F61"/>
    <w:rsid w:val="007D519D"/>
    <w:rsid w:val="007D53BB"/>
    <w:rsid w:val="007D53C8"/>
    <w:rsid w:val="007D54C7"/>
    <w:rsid w:val="007D5A2E"/>
    <w:rsid w:val="007D5B6A"/>
    <w:rsid w:val="007D5C35"/>
    <w:rsid w:val="007D744A"/>
    <w:rsid w:val="007D7778"/>
    <w:rsid w:val="007D778F"/>
    <w:rsid w:val="007D7809"/>
    <w:rsid w:val="007D7BAC"/>
    <w:rsid w:val="007D7C75"/>
    <w:rsid w:val="007E0133"/>
    <w:rsid w:val="007E01D8"/>
    <w:rsid w:val="007E09F5"/>
    <w:rsid w:val="007E0FA2"/>
    <w:rsid w:val="007E16CC"/>
    <w:rsid w:val="007E16EC"/>
    <w:rsid w:val="007E1EC5"/>
    <w:rsid w:val="007E1F1D"/>
    <w:rsid w:val="007E207E"/>
    <w:rsid w:val="007E29BA"/>
    <w:rsid w:val="007E2A11"/>
    <w:rsid w:val="007E2E47"/>
    <w:rsid w:val="007E3352"/>
    <w:rsid w:val="007E3719"/>
    <w:rsid w:val="007E3A70"/>
    <w:rsid w:val="007E3B7C"/>
    <w:rsid w:val="007E3D4F"/>
    <w:rsid w:val="007E3DD8"/>
    <w:rsid w:val="007E3E74"/>
    <w:rsid w:val="007E4543"/>
    <w:rsid w:val="007E45E5"/>
    <w:rsid w:val="007E47DA"/>
    <w:rsid w:val="007E47DC"/>
    <w:rsid w:val="007E47E1"/>
    <w:rsid w:val="007E4846"/>
    <w:rsid w:val="007E4E82"/>
    <w:rsid w:val="007E52F2"/>
    <w:rsid w:val="007E5586"/>
    <w:rsid w:val="007E60A5"/>
    <w:rsid w:val="007E63D8"/>
    <w:rsid w:val="007E64FD"/>
    <w:rsid w:val="007E6539"/>
    <w:rsid w:val="007E6A88"/>
    <w:rsid w:val="007E6C77"/>
    <w:rsid w:val="007E7138"/>
    <w:rsid w:val="007E7422"/>
    <w:rsid w:val="007E765C"/>
    <w:rsid w:val="007E77B9"/>
    <w:rsid w:val="007E7C23"/>
    <w:rsid w:val="007E7ED5"/>
    <w:rsid w:val="007F027B"/>
    <w:rsid w:val="007F067F"/>
    <w:rsid w:val="007F0C6A"/>
    <w:rsid w:val="007F0D66"/>
    <w:rsid w:val="007F11C9"/>
    <w:rsid w:val="007F1267"/>
    <w:rsid w:val="007F16E3"/>
    <w:rsid w:val="007F1F2F"/>
    <w:rsid w:val="007F21CA"/>
    <w:rsid w:val="007F28E0"/>
    <w:rsid w:val="007F2C0D"/>
    <w:rsid w:val="007F2C43"/>
    <w:rsid w:val="007F30D5"/>
    <w:rsid w:val="007F31A1"/>
    <w:rsid w:val="007F351D"/>
    <w:rsid w:val="007F3759"/>
    <w:rsid w:val="007F3B22"/>
    <w:rsid w:val="007F3C2D"/>
    <w:rsid w:val="007F3EB1"/>
    <w:rsid w:val="007F427F"/>
    <w:rsid w:val="007F4396"/>
    <w:rsid w:val="007F4491"/>
    <w:rsid w:val="007F491E"/>
    <w:rsid w:val="007F4969"/>
    <w:rsid w:val="007F4BDA"/>
    <w:rsid w:val="007F4D9E"/>
    <w:rsid w:val="007F4E93"/>
    <w:rsid w:val="007F518F"/>
    <w:rsid w:val="007F557F"/>
    <w:rsid w:val="007F586B"/>
    <w:rsid w:val="007F5A36"/>
    <w:rsid w:val="007F5C60"/>
    <w:rsid w:val="007F5D05"/>
    <w:rsid w:val="007F5D06"/>
    <w:rsid w:val="007F60B5"/>
    <w:rsid w:val="007F637F"/>
    <w:rsid w:val="007F6438"/>
    <w:rsid w:val="007F6503"/>
    <w:rsid w:val="007F66C9"/>
    <w:rsid w:val="007F69A9"/>
    <w:rsid w:val="007F7BF7"/>
    <w:rsid w:val="007F7ED9"/>
    <w:rsid w:val="00800346"/>
    <w:rsid w:val="00800A24"/>
    <w:rsid w:val="00800A48"/>
    <w:rsid w:val="00800A9D"/>
    <w:rsid w:val="00800ABE"/>
    <w:rsid w:val="00800B25"/>
    <w:rsid w:val="00800D29"/>
    <w:rsid w:val="00800FE4"/>
    <w:rsid w:val="00801557"/>
    <w:rsid w:val="008019A5"/>
    <w:rsid w:val="008027E3"/>
    <w:rsid w:val="0080287E"/>
    <w:rsid w:val="00802AB3"/>
    <w:rsid w:val="00802CB7"/>
    <w:rsid w:val="00802E4A"/>
    <w:rsid w:val="0080311F"/>
    <w:rsid w:val="00803125"/>
    <w:rsid w:val="00803376"/>
    <w:rsid w:val="00803380"/>
    <w:rsid w:val="008034D1"/>
    <w:rsid w:val="0080384E"/>
    <w:rsid w:val="0080386B"/>
    <w:rsid w:val="0080387B"/>
    <w:rsid w:val="00803FB2"/>
    <w:rsid w:val="008043D7"/>
    <w:rsid w:val="008046D4"/>
    <w:rsid w:val="00804759"/>
    <w:rsid w:val="0080496F"/>
    <w:rsid w:val="00804EE4"/>
    <w:rsid w:val="00805281"/>
    <w:rsid w:val="00805499"/>
    <w:rsid w:val="00805841"/>
    <w:rsid w:val="00805B95"/>
    <w:rsid w:val="00805C98"/>
    <w:rsid w:val="00805CDD"/>
    <w:rsid w:val="00805EE7"/>
    <w:rsid w:val="00806100"/>
    <w:rsid w:val="00806398"/>
    <w:rsid w:val="008064A2"/>
    <w:rsid w:val="0080653A"/>
    <w:rsid w:val="008065C0"/>
    <w:rsid w:val="008067DC"/>
    <w:rsid w:val="008070D5"/>
    <w:rsid w:val="00807340"/>
    <w:rsid w:val="00807535"/>
    <w:rsid w:val="008075BD"/>
    <w:rsid w:val="00807DCF"/>
    <w:rsid w:val="0081027A"/>
    <w:rsid w:val="008106D7"/>
    <w:rsid w:val="0081075C"/>
    <w:rsid w:val="00810F4A"/>
    <w:rsid w:val="008113AD"/>
    <w:rsid w:val="008114E4"/>
    <w:rsid w:val="00811685"/>
    <w:rsid w:val="0081172A"/>
    <w:rsid w:val="008117E8"/>
    <w:rsid w:val="0081199B"/>
    <w:rsid w:val="00811CDB"/>
    <w:rsid w:val="00811F62"/>
    <w:rsid w:val="0081215D"/>
    <w:rsid w:val="008122FB"/>
    <w:rsid w:val="008125FD"/>
    <w:rsid w:val="008127F4"/>
    <w:rsid w:val="008128F8"/>
    <w:rsid w:val="00812A1F"/>
    <w:rsid w:val="00812B30"/>
    <w:rsid w:val="00812DD4"/>
    <w:rsid w:val="008132D4"/>
    <w:rsid w:val="00813371"/>
    <w:rsid w:val="00813997"/>
    <w:rsid w:val="008139AC"/>
    <w:rsid w:val="00813C6E"/>
    <w:rsid w:val="00813DDD"/>
    <w:rsid w:val="00814429"/>
    <w:rsid w:val="0081477D"/>
    <w:rsid w:val="008147EF"/>
    <w:rsid w:val="00814A95"/>
    <w:rsid w:val="00815154"/>
    <w:rsid w:val="008152E4"/>
    <w:rsid w:val="00815624"/>
    <w:rsid w:val="008157B8"/>
    <w:rsid w:val="00815BB8"/>
    <w:rsid w:val="00815C78"/>
    <w:rsid w:val="00816009"/>
    <w:rsid w:val="00816164"/>
    <w:rsid w:val="008165F8"/>
    <w:rsid w:val="00816682"/>
    <w:rsid w:val="008167A2"/>
    <w:rsid w:val="00816B35"/>
    <w:rsid w:val="00816CDB"/>
    <w:rsid w:val="00816DFB"/>
    <w:rsid w:val="0081701A"/>
    <w:rsid w:val="008170C5"/>
    <w:rsid w:val="00817AC5"/>
    <w:rsid w:val="00817B41"/>
    <w:rsid w:val="00817CF2"/>
    <w:rsid w:val="00820274"/>
    <w:rsid w:val="008203F3"/>
    <w:rsid w:val="008204A5"/>
    <w:rsid w:val="00820859"/>
    <w:rsid w:val="00820D1F"/>
    <w:rsid w:val="008211D1"/>
    <w:rsid w:val="008214F4"/>
    <w:rsid w:val="008217A0"/>
    <w:rsid w:val="00822BA2"/>
    <w:rsid w:val="00822E52"/>
    <w:rsid w:val="00822EFE"/>
    <w:rsid w:val="00822FA6"/>
    <w:rsid w:val="00823180"/>
    <w:rsid w:val="0082340D"/>
    <w:rsid w:val="0082345C"/>
    <w:rsid w:val="00823719"/>
    <w:rsid w:val="00823B03"/>
    <w:rsid w:val="00823C44"/>
    <w:rsid w:val="00823D1C"/>
    <w:rsid w:val="00823F07"/>
    <w:rsid w:val="008242C6"/>
    <w:rsid w:val="0082466C"/>
    <w:rsid w:val="00824A2C"/>
    <w:rsid w:val="00824BCB"/>
    <w:rsid w:val="00824D5A"/>
    <w:rsid w:val="00825136"/>
    <w:rsid w:val="008252D2"/>
    <w:rsid w:val="00825D07"/>
    <w:rsid w:val="00825F03"/>
    <w:rsid w:val="0082634C"/>
    <w:rsid w:val="00826930"/>
    <w:rsid w:val="00826CBF"/>
    <w:rsid w:val="00826CD3"/>
    <w:rsid w:val="00827BFC"/>
    <w:rsid w:val="00827CA2"/>
    <w:rsid w:val="00827CBE"/>
    <w:rsid w:val="00830038"/>
    <w:rsid w:val="008303B5"/>
    <w:rsid w:val="008305DC"/>
    <w:rsid w:val="008307E7"/>
    <w:rsid w:val="00830F45"/>
    <w:rsid w:val="00830FE9"/>
    <w:rsid w:val="0083122C"/>
    <w:rsid w:val="008314F4"/>
    <w:rsid w:val="008315E2"/>
    <w:rsid w:val="0083173E"/>
    <w:rsid w:val="008317C6"/>
    <w:rsid w:val="008317CA"/>
    <w:rsid w:val="00831CEE"/>
    <w:rsid w:val="00832616"/>
    <w:rsid w:val="00832699"/>
    <w:rsid w:val="0083288D"/>
    <w:rsid w:val="00832B68"/>
    <w:rsid w:val="00832E58"/>
    <w:rsid w:val="008331F9"/>
    <w:rsid w:val="00833643"/>
    <w:rsid w:val="00833792"/>
    <w:rsid w:val="00833D26"/>
    <w:rsid w:val="00834334"/>
    <w:rsid w:val="00834344"/>
    <w:rsid w:val="008343C9"/>
    <w:rsid w:val="008350DD"/>
    <w:rsid w:val="00835283"/>
    <w:rsid w:val="00835BEC"/>
    <w:rsid w:val="008367C5"/>
    <w:rsid w:val="008368F7"/>
    <w:rsid w:val="00836943"/>
    <w:rsid w:val="00836DF3"/>
    <w:rsid w:val="00836E0E"/>
    <w:rsid w:val="008375E3"/>
    <w:rsid w:val="008377B4"/>
    <w:rsid w:val="00837AA2"/>
    <w:rsid w:val="00837B75"/>
    <w:rsid w:val="00837B94"/>
    <w:rsid w:val="00840387"/>
    <w:rsid w:val="00840408"/>
    <w:rsid w:val="008404FA"/>
    <w:rsid w:val="00840623"/>
    <w:rsid w:val="00840F82"/>
    <w:rsid w:val="0084105C"/>
    <w:rsid w:val="0084121A"/>
    <w:rsid w:val="00841A1A"/>
    <w:rsid w:val="00841A36"/>
    <w:rsid w:val="00841E1F"/>
    <w:rsid w:val="008420FB"/>
    <w:rsid w:val="0084261D"/>
    <w:rsid w:val="0084294B"/>
    <w:rsid w:val="00842A20"/>
    <w:rsid w:val="00842C22"/>
    <w:rsid w:val="00842CAE"/>
    <w:rsid w:val="00842F09"/>
    <w:rsid w:val="00843294"/>
    <w:rsid w:val="008435F0"/>
    <w:rsid w:val="008438D9"/>
    <w:rsid w:val="00843A2A"/>
    <w:rsid w:val="00843CBB"/>
    <w:rsid w:val="00844010"/>
    <w:rsid w:val="008440C2"/>
    <w:rsid w:val="00844334"/>
    <w:rsid w:val="00844477"/>
    <w:rsid w:val="008445EF"/>
    <w:rsid w:val="0084476B"/>
    <w:rsid w:val="00844D2F"/>
    <w:rsid w:val="00844FAF"/>
    <w:rsid w:val="00845183"/>
    <w:rsid w:val="0084522F"/>
    <w:rsid w:val="00845238"/>
    <w:rsid w:val="008458DE"/>
    <w:rsid w:val="00845AC1"/>
    <w:rsid w:val="00845D93"/>
    <w:rsid w:val="00846A5E"/>
    <w:rsid w:val="00846DBC"/>
    <w:rsid w:val="00846DE1"/>
    <w:rsid w:val="00846E54"/>
    <w:rsid w:val="0084712E"/>
    <w:rsid w:val="00847432"/>
    <w:rsid w:val="00847755"/>
    <w:rsid w:val="00847BF8"/>
    <w:rsid w:val="00847E40"/>
    <w:rsid w:val="0085019B"/>
    <w:rsid w:val="008501E8"/>
    <w:rsid w:val="00850741"/>
    <w:rsid w:val="00850934"/>
    <w:rsid w:val="00850A86"/>
    <w:rsid w:val="00851041"/>
    <w:rsid w:val="008512D2"/>
    <w:rsid w:val="00851500"/>
    <w:rsid w:val="0085161C"/>
    <w:rsid w:val="008516FC"/>
    <w:rsid w:val="00851C0F"/>
    <w:rsid w:val="00851E49"/>
    <w:rsid w:val="008521CC"/>
    <w:rsid w:val="00852359"/>
    <w:rsid w:val="0085265C"/>
    <w:rsid w:val="008526CD"/>
    <w:rsid w:val="00852B6A"/>
    <w:rsid w:val="00852C82"/>
    <w:rsid w:val="00852D6A"/>
    <w:rsid w:val="00853623"/>
    <w:rsid w:val="00853E7C"/>
    <w:rsid w:val="00853FD5"/>
    <w:rsid w:val="0085445E"/>
    <w:rsid w:val="008544C8"/>
    <w:rsid w:val="00854A21"/>
    <w:rsid w:val="00854A2C"/>
    <w:rsid w:val="00854F23"/>
    <w:rsid w:val="0085500E"/>
    <w:rsid w:val="008554D9"/>
    <w:rsid w:val="008554EE"/>
    <w:rsid w:val="008557A5"/>
    <w:rsid w:val="0085591C"/>
    <w:rsid w:val="00855957"/>
    <w:rsid w:val="00855A6D"/>
    <w:rsid w:val="00855D2D"/>
    <w:rsid w:val="00855F3F"/>
    <w:rsid w:val="008561DB"/>
    <w:rsid w:val="00856212"/>
    <w:rsid w:val="0085627D"/>
    <w:rsid w:val="00856562"/>
    <w:rsid w:val="008567FC"/>
    <w:rsid w:val="00856A29"/>
    <w:rsid w:val="00856AE8"/>
    <w:rsid w:val="00856C03"/>
    <w:rsid w:val="00856D95"/>
    <w:rsid w:val="00857071"/>
    <w:rsid w:val="00857484"/>
    <w:rsid w:val="0085755A"/>
    <w:rsid w:val="0085762E"/>
    <w:rsid w:val="00857636"/>
    <w:rsid w:val="00857999"/>
    <w:rsid w:val="00857B32"/>
    <w:rsid w:val="00857EBC"/>
    <w:rsid w:val="0086012D"/>
    <w:rsid w:val="008602D4"/>
    <w:rsid w:val="008602F6"/>
    <w:rsid w:val="008603D8"/>
    <w:rsid w:val="008605A0"/>
    <w:rsid w:val="008606CF"/>
    <w:rsid w:val="0086098C"/>
    <w:rsid w:val="00860B27"/>
    <w:rsid w:val="00861486"/>
    <w:rsid w:val="0086162E"/>
    <w:rsid w:val="00861724"/>
    <w:rsid w:val="008619B0"/>
    <w:rsid w:val="00861FD1"/>
    <w:rsid w:val="00862061"/>
    <w:rsid w:val="008620E1"/>
    <w:rsid w:val="00862C62"/>
    <w:rsid w:val="00862DF6"/>
    <w:rsid w:val="0086318E"/>
    <w:rsid w:val="008634CC"/>
    <w:rsid w:val="00863782"/>
    <w:rsid w:val="0086389A"/>
    <w:rsid w:val="00863A84"/>
    <w:rsid w:val="00863A9F"/>
    <w:rsid w:val="00863B1D"/>
    <w:rsid w:val="00864240"/>
    <w:rsid w:val="008643E6"/>
    <w:rsid w:val="008648CA"/>
    <w:rsid w:val="0086497B"/>
    <w:rsid w:val="00864BC8"/>
    <w:rsid w:val="00864D78"/>
    <w:rsid w:val="00864E4A"/>
    <w:rsid w:val="00865048"/>
    <w:rsid w:val="0086581D"/>
    <w:rsid w:val="00865CCB"/>
    <w:rsid w:val="00865DAC"/>
    <w:rsid w:val="00865FC2"/>
    <w:rsid w:val="0086604B"/>
    <w:rsid w:val="0086617A"/>
    <w:rsid w:val="008663C3"/>
    <w:rsid w:val="00866B02"/>
    <w:rsid w:val="00866B22"/>
    <w:rsid w:val="00866C3B"/>
    <w:rsid w:val="00866F9F"/>
    <w:rsid w:val="008675EC"/>
    <w:rsid w:val="00867DAE"/>
    <w:rsid w:val="00867E01"/>
    <w:rsid w:val="00867E97"/>
    <w:rsid w:val="00867EF8"/>
    <w:rsid w:val="00867F25"/>
    <w:rsid w:val="00867F59"/>
    <w:rsid w:val="00867FD3"/>
    <w:rsid w:val="00870ADF"/>
    <w:rsid w:val="008713A6"/>
    <w:rsid w:val="00871453"/>
    <w:rsid w:val="00871555"/>
    <w:rsid w:val="00871723"/>
    <w:rsid w:val="00871A7D"/>
    <w:rsid w:val="00871B16"/>
    <w:rsid w:val="008721DE"/>
    <w:rsid w:val="0087284B"/>
    <w:rsid w:val="00872A95"/>
    <w:rsid w:val="00872BDC"/>
    <w:rsid w:val="00873008"/>
    <w:rsid w:val="00873035"/>
    <w:rsid w:val="008730A8"/>
    <w:rsid w:val="00873527"/>
    <w:rsid w:val="0087387C"/>
    <w:rsid w:val="00873903"/>
    <w:rsid w:val="00873AD5"/>
    <w:rsid w:val="00873B98"/>
    <w:rsid w:val="00873CDF"/>
    <w:rsid w:val="00873EEF"/>
    <w:rsid w:val="008742B3"/>
    <w:rsid w:val="00874793"/>
    <w:rsid w:val="00874878"/>
    <w:rsid w:val="008748C8"/>
    <w:rsid w:val="008748FD"/>
    <w:rsid w:val="00874B52"/>
    <w:rsid w:val="00874C97"/>
    <w:rsid w:val="0087564E"/>
    <w:rsid w:val="008756D3"/>
    <w:rsid w:val="00875720"/>
    <w:rsid w:val="00875749"/>
    <w:rsid w:val="008757A8"/>
    <w:rsid w:val="008758D5"/>
    <w:rsid w:val="00875A51"/>
    <w:rsid w:val="00875D43"/>
    <w:rsid w:val="00875E1C"/>
    <w:rsid w:val="00875F41"/>
    <w:rsid w:val="0087640C"/>
    <w:rsid w:val="008764B7"/>
    <w:rsid w:val="00876C29"/>
    <w:rsid w:val="008771FD"/>
    <w:rsid w:val="0087749C"/>
    <w:rsid w:val="00877709"/>
    <w:rsid w:val="008778E0"/>
    <w:rsid w:val="00877A6F"/>
    <w:rsid w:val="00877BBF"/>
    <w:rsid w:val="00877C1C"/>
    <w:rsid w:val="00877E87"/>
    <w:rsid w:val="00877FF2"/>
    <w:rsid w:val="0088014A"/>
    <w:rsid w:val="0088064C"/>
    <w:rsid w:val="00880786"/>
    <w:rsid w:val="00880A76"/>
    <w:rsid w:val="00880A8A"/>
    <w:rsid w:val="00881439"/>
    <w:rsid w:val="00881626"/>
    <w:rsid w:val="00881745"/>
    <w:rsid w:val="00881835"/>
    <w:rsid w:val="00881D1F"/>
    <w:rsid w:val="00881E8A"/>
    <w:rsid w:val="00883248"/>
    <w:rsid w:val="008833A4"/>
    <w:rsid w:val="0088375F"/>
    <w:rsid w:val="00883936"/>
    <w:rsid w:val="00883AF3"/>
    <w:rsid w:val="00883E1E"/>
    <w:rsid w:val="008840CF"/>
    <w:rsid w:val="008841F0"/>
    <w:rsid w:val="0088496C"/>
    <w:rsid w:val="00884D2E"/>
    <w:rsid w:val="00884E7A"/>
    <w:rsid w:val="00884FD8"/>
    <w:rsid w:val="0088504C"/>
    <w:rsid w:val="00885095"/>
    <w:rsid w:val="00885129"/>
    <w:rsid w:val="0088612A"/>
    <w:rsid w:val="00886552"/>
    <w:rsid w:val="008866BD"/>
    <w:rsid w:val="00886949"/>
    <w:rsid w:val="00886955"/>
    <w:rsid w:val="008871C9"/>
    <w:rsid w:val="00887508"/>
    <w:rsid w:val="0088761C"/>
    <w:rsid w:val="00887A58"/>
    <w:rsid w:val="00887BE2"/>
    <w:rsid w:val="00887C4B"/>
    <w:rsid w:val="00887EB0"/>
    <w:rsid w:val="00887F03"/>
    <w:rsid w:val="00890015"/>
    <w:rsid w:val="0089006B"/>
    <w:rsid w:val="00890209"/>
    <w:rsid w:val="00890223"/>
    <w:rsid w:val="00890255"/>
    <w:rsid w:val="008904D1"/>
    <w:rsid w:val="008905E3"/>
    <w:rsid w:val="0089065D"/>
    <w:rsid w:val="00890904"/>
    <w:rsid w:val="00890A69"/>
    <w:rsid w:val="00890BA6"/>
    <w:rsid w:val="00890C74"/>
    <w:rsid w:val="00890C90"/>
    <w:rsid w:val="0089111B"/>
    <w:rsid w:val="00891687"/>
    <w:rsid w:val="00891B03"/>
    <w:rsid w:val="00891F33"/>
    <w:rsid w:val="00891FA0"/>
    <w:rsid w:val="008923E0"/>
    <w:rsid w:val="008925E5"/>
    <w:rsid w:val="00892888"/>
    <w:rsid w:val="00892E25"/>
    <w:rsid w:val="00892EF4"/>
    <w:rsid w:val="00893271"/>
    <w:rsid w:val="00893451"/>
    <w:rsid w:val="008934EA"/>
    <w:rsid w:val="008935F4"/>
    <w:rsid w:val="008939CC"/>
    <w:rsid w:val="00893AEA"/>
    <w:rsid w:val="00893B2D"/>
    <w:rsid w:val="00893C76"/>
    <w:rsid w:val="008941ED"/>
    <w:rsid w:val="00894AB9"/>
    <w:rsid w:val="00894B41"/>
    <w:rsid w:val="00894BB2"/>
    <w:rsid w:val="00895497"/>
    <w:rsid w:val="008957FE"/>
    <w:rsid w:val="0089587B"/>
    <w:rsid w:val="008959F5"/>
    <w:rsid w:val="0089602E"/>
    <w:rsid w:val="00896B40"/>
    <w:rsid w:val="00896BDC"/>
    <w:rsid w:val="00896C66"/>
    <w:rsid w:val="00896D3F"/>
    <w:rsid w:val="00896FBE"/>
    <w:rsid w:val="00897246"/>
    <w:rsid w:val="0089735F"/>
    <w:rsid w:val="008973E7"/>
    <w:rsid w:val="00897720"/>
    <w:rsid w:val="00897A3D"/>
    <w:rsid w:val="00897A55"/>
    <w:rsid w:val="00897D05"/>
    <w:rsid w:val="00897D3C"/>
    <w:rsid w:val="00897F2B"/>
    <w:rsid w:val="008A035D"/>
    <w:rsid w:val="008A0512"/>
    <w:rsid w:val="008A0614"/>
    <w:rsid w:val="008A092C"/>
    <w:rsid w:val="008A0C99"/>
    <w:rsid w:val="008A1E2F"/>
    <w:rsid w:val="008A2357"/>
    <w:rsid w:val="008A2539"/>
    <w:rsid w:val="008A2613"/>
    <w:rsid w:val="008A26D6"/>
    <w:rsid w:val="008A276B"/>
    <w:rsid w:val="008A2D59"/>
    <w:rsid w:val="008A32DE"/>
    <w:rsid w:val="008A336A"/>
    <w:rsid w:val="008A35AE"/>
    <w:rsid w:val="008A37D1"/>
    <w:rsid w:val="008A383B"/>
    <w:rsid w:val="008A3977"/>
    <w:rsid w:val="008A3E78"/>
    <w:rsid w:val="008A422C"/>
    <w:rsid w:val="008A4368"/>
    <w:rsid w:val="008A4902"/>
    <w:rsid w:val="008A4903"/>
    <w:rsid w:val="008A495F"/>
    <w:rsid w:val="008A4F40"/>
    <w:rsid w:val="008A4FB7"/>
    <w:rsid w:val="008A5136"/>
    <w:rsid w:val="008A53C1"/>
    <w:rsid w:val="008A54DB"/>
    <w:rsid w:val="008A58F5"/>
    <w:rsid w:val="008A5E19"/>
    <w:rsid w:val="008A5EA3"/>
    <w:rsid w:val="008A665A"/>
    <w:rsid w:val="008A6C91"/>
    <w:rsid w:val="008A7464"/>
    <w:rsid w:val="008A7492"/>
    <w:rsid w:val="008A76FE"/>
    <w:rsid w:val="008A7CA5"/>
    <w:rsid w:val="008A7D76"/>
    <w:rsid w:val="008B01BD"/>
    <w:rsid w:val="008B0265"/>
    <w:rsid w:val="008B0D48"/>
    <w:rsid w:val="008B1312"/>
    <w:rsid w:val="008B147B"/>
    <w:rsid w:val="008B1C13"/>
    <w:rsid w:val="008B1DB8"/>
    <w:rsid w:val="008B1E87"/>
    <w:rsid w:val="008B2275"/>
    <w:rsid w:val="008B23C6"/>
    <w:rsid w:val="008B2624"/>
    <w:rsid w:val="008B266B"/>
    <w:rsid w:val="008B27AB"/>
    <w:rsid w:val="008B2846"/>
    <w:rsid w:val="008B2954"/>
    <w:rsid w:val="008B2A5E"/>
    <w:rsid w:val="008B2F8B"/>
    <w:rsid w:val="008B30DD"/>
    <w:rsid w:val="008B3356"/>
    <w:rsid w:val="008B3E4D"/>
    <w:rsid w:val="008B3FF8"/>
    <w:rsid w:val="008B44F5"/>
    <w:rsid w:val="008B4C95"/>
    <w:rsid w:val="008B5095"/>
    <w:rsid w:val="008B5216"/>
    <w:rsid w:val="008B5634"/>
    <w:rsid w:val="008B5890"/>
    <w:rsid w:val="008B5B92"/>
    <w:rsid w:val="008B5C33"/>
    <w:rsid w:val="008B5DBA"/>
    <w:rsid w:val="008B5F59"/>
    <w:rsid w:val="008B60E0"/>
    <w:rsid w:val="008B6206"/>
    <w:rsid w:val="008B6553"/>
    <w:rsid w:val="008B6567"/>
    <w:rsid w:val="008B6745"/>
    <w:rsid w:val="008B682F"/>
    <w:rsid w:val="008B692F"/>
    <w:rsid w:val="008B6DF9"/>
    <w:rsid w:val="008B710D"/>
    <w:rsid w:val="008B7758"/>
    <w:rsid w:val="008B7885"/>
    <w:rsid w:val="008B7916"/>
    <w:rsid w:val="008C0012"/>
    <w:rsid w:val="008C0106"/>
    <w:rsid w:val="008C05E0"/>
    <w:rsid w:val="008C07A8"/>
    <w:rsid w:val="008C0CA4"/>
    <w:rsid w:val="008C0D14"/>
    <w:rsid w:val="008C0F5E"/>
    <w:rsid w:val="008C0F82"/>
    <w:rsid w:val="008C10B9"/>
    <w:rsid w:val="008C18B4"/>
    <w:rsid w:val="008C1AB6"/>
    <w:rsid w:val="008C1AD7"/>
    <w:rsid w:val="008C2208"/>
    <w:rsid w:val="008C22A3"/>
    <w:rsid w:val="008C2650"/>
    <w:rsid w:val="008C2A62"/>
    <w:rsid w:val="008C2D80"/>
    <w:rsid w:val="008C30B1"/>
    <w:rsid w:val="008C3136"/>
    <w:rsid w:val="008C35FB"/>
    <w:rsid w:val="008C3FAE"/>
    <w:rsid w:val="008C3FC6"/>
    <w:rsid w:val="008C40DE"/>
    <w:rsid w:val="008C40F8"/>
    <w:rsid w:val="008C438E"/>
    <w:rsid w:val="008C45C4"/>
    <w:rsid w:val="008C47A1"/>
    <w:rsid w:val="008C498E"/>
    <w:rsid w:val="008C4AFD"/>
    <w:rsid w:val="008C4BB2"/>
    <w:rsid w:val="008C4D72"/>
    <w:rsid w:val="008C573A"/>
    <w:rsid w:val="008C5B77"/>
    <w:rsid w:val="008C5BA2"/>
    <w:rsid w:val="008C5BA3"/>
    <w:rsid w:val="008C60AC"/>
    <w:rsid w:val="008C6369"/>
    <w:rsid w:val="008C64BD"/>
    <w:rsid w:val="008C650F"/>
    <w:rsid w:val="008C6589"/>
    <w:rsid w:val="008C65AD"/>
    <w:rsid w:val="008C6AC6"/>
    <w:rsid w:val="008C6C57"/>
    <w:rsid w:val="008C6C92"/>
    <w:rsid w:val="008C6DCA"/>
    <w:rsid w:val="008C6EE4"/>
    <w:rsid w:val="008C738F"/>
    <w:rsid w:val="008C7CF6"/>
    <w:rsid w:val="008D0018"/>
    <w:rsid w:val="008D0023"/>
    <w:rsid w:val="008D04A4"/>
    <w:rsid w:val="008D06D6"/>
    <w:rsid w:val="008D0A34"/>
    <w:rsid w:val="008D0D2C"/>
    <w:rsid w:val="008D0D47"/>
    <w:rsid w:val="008D0EAE"/>
    <w:rsid w:val="008D1725"/>
    <w:rsid w:val="008D181E"/>
    <w:rsid w:val="008D1B06"/>
    <w:rsid w:val="008D2355"/>
    <w:rsid w:val="008D27B5"/>
    <w:rsid w:val="008D2906"/>
    <w:rsid w:val="008D2A0A"/>
    <w:rsid w:val="008D2E92"/>
    <w:rsid w:val="008D34FD"/>
    <w:rsid w:val="008D3BB7"/>
    <w:rsid w:val="008D3CBC"/>
    <w:rsid w:val="008D3DCE"/>
    <w:rsid w:val="008D43D4"/>
    <w:rsid w:val="008D4AC9"/>
    <w:rsid w:val="008D4C66"/>
    <w:rsid w:val="008D501F"/>
    <w:rsid w:val="008D50E6"/>
    <w:rsid w:val="008D5453"/>
    <w:rsid w:val="008D57A8"/>
    <w:rsid w:val="008D5A13"/>
    <w:rsid w:val="008D5AFA"/>
    <w:rsid w:val="008D5E11"/>
    <w:rsid w:val="008D611C"/>
    <w:rsid w:val="008D61DA"/>
    <w:rsid w:val="008D68BA"/>
    <w:rsid w:val="008D6B9E"/>
    <w:rsid w:val="008D6BAC"/>
    <w:rsid w:val="008D6D9F"/>
    <w:rsid w:val="008D6E4A"/>
    <w:rsid w:val="008D6FB0"/>
    <w:rsid w:val="008D72ED"/>
    <w:rsid w:val="008D742B"/>
    <w:rsid w:val="008D753F"/>
    <w:rsid w:val="008D76E2"/>
    <w:rsid w:val="008D7986"/>
    <w:rsid w:val="008D7E0A"/>
    <w:rsid w:val="008D7F7D"/>
    <w:rsid w:val="008E02B9"/>
    <w:rsid w:val="008E0344"/>
    <w:rsid w:val="008E0505"/>
    <w:rsid w:val="008E069D"/>
    <w:rsid w:val="008E075E"/>
    <w:rsid w:val="008E0856"/>
    <w:rsid w:val="008E0B76"/>
    <w:rsid w:val="008E1015"/>
    <w:rsid w:val="008E1024"/>
    <w:rsid w:val="008E1032"/>
    <w:rsid w:val="008E16CB"/>
    <w:rsid w:val="008E1908"/>
    <w:rsid w:val="008E1A6C"/>
    <w:rsid w:val="008E1ED2"/>
    <w:rsid w:val="008E2767"/>
    <w:rsid w:val="008E2A8A"/>
    <w:rsid w:val="008E2C41"/>
    <w:rsid w:val="008E3168"/>
    <w:rsid w:val="008E3560"/>
    <w:rsid w:val="008E3596"/>
    <w:rsid w:val="008E38A3"/>
    <w:rsid w:val="008E39A6"/>
    <w:rsid w:val="008E3D2C"/>
    <w:rsid w:val="008E3D53"/>
    <w:rsid w:val="008E41D1"/>
    <w:rsid w:val="008E429F"/>
    <w:rsid w:val="008E437D"/>
    <w:rsid w:val="008E4499"/>
    <w:rsid w:val="008E4717"/>
    <w:rsid w:val="008E48F1"/>
    <w:rsid w:val="008E4B4F"/>
    <w:rsid w:val="008E50E1"/>
    <w:rsid w:val="008E50F5"/>
    <w:rsid w:val="008E516F"/>
    <w:rsid w:val="008E51BE"/>
    <w:rsid w:val="008E55B4"/>
    <w:rsid w:val="008E59BB"/>
    <w:rsid w:val="008E5D41"/>
    <w:rsid w:val="008E5D9E"/>
    <w:rsid w:val="008E62E7"/>
    <w:rsid w:val="008E6352"/>
    <w:rsid w:val="008E652F"/>
    <w:rsid w:val="008E6752"/>
    <w:rsid w:val="008E6C44"/>
    <w:rsid w:val="008E6CCE"/>
    <w:rsid w:val="008E75D9"/>
    <w:rsid w:val="008E7921"/>
    <w:rsid w:val="008E7C30"/>
    <w:rsid w:val="008F0481"/>
    <w:rsid w:val="008F0B76"/>
    <w:rsid w:val="008F0BD9"/>
    <w:rsid w:val="008F0D93"/>
    <w:rsid w:val="008F10BC"/>
    <w:rsid w:val="008F10C1"/>
    <w:rsid w:val="008F14D1"/>
    <w:rsid w:val="008F15C3"/>
    <w:rsid w:val="008F1620"/>
    <w:rsid w:val="008F1851"/>
    <w:rsid w:val="008F1B63"/>
    <w:rsid w:val="008F1CF1"/>
    <w:rsid w:val="008F1DCA"/>
    <w:rsid w:val="008F1ECA"/>
    <w:rsid w:val="008F20F9"/>
    <w:rsid w:val="008F22E3"/>
    <w:rsid w:val="008F2301"/>
    <w:rsid w:val="008F2611"/>
    <w:rsid w:val="008F2BF9"/>
    <w:rsid w:val="008F30DE"/>
    <w:rsid w:val="008F3756"/>
    <w:rsid w:val="008F47D8"/>
    <w:rsid w:val="008F4801"/>
    <w:rsid w:val="008F4B45"/>
    <w:rsid w:val="008F4CFC"/>
    <w:rsid w:val="008F4FAF"/>
    <w:rsid w:val="008F5040"/>
    <w:rsid w:val="008F50A7"/>
    <w:rsid w:val="008F52E7"/>
    <w:rsid w:val="008F546B"/>
    <w:rsid w:val="008F549F"/>
    <w:rsid w:val="008F5BCA"/>
    <w:rsid w:val="008F5D1F"/>
    <w:rsid w:val="008F5E0B"/>
    <w:rsid w:val="008F5FF4"/>
    <w:rsid w:val="008F6059"/>
    <w:rsid w:val="008F6294"/>
    <w:rsid w:val="008F6538"/>
    <w:rsid w:val="008F65D5"/>
    <w:rsid w:val="008F6819"/>
    <w:rsid w:val="008F6D9A"/>
    <w:rsid w:val="008F75FA"/>
    <w:rsid w:val="008F7A8D"/>
    <w:rsid w:val="008F7E86"/>
    <w:rsid w:val="009000C7"/>
    <w:rsid w:val="00900906"/>
    <w:rsid w:val="00900C07"/>
    <w:rsid w:val="00900CFC"/>
    <w:rsid w:val="00900DD0"/>
    <w:rsid w:val="00900F8D"/>
    <w:rsid w:val="00901076"/>
    <w:rsid w:val="00901240"/>
    <w:rsid w:val="00901249"/>
    <w:rsid w:val="00901369"/>
    <w:rsid w:val="009015D7"/>
    <w:rsid w:val="00901807"/>
    <w:rsid w:val="00901969"/>
    <w:rsid w:val="00901CEF"/>
    <w:rsid w:val="00901D1F"/>
    <w:rsid w:val="009020F3"/>
    <w:rsid w:val="0090220F"/>
    <w:rsid w:val="0090240C"/>
    <w:rsid w:val="00902BD4"/>
    <w:rsid w:val="00902CEE"/>
    <w:rsid w:val="00902CF1"/>
    <w:rsid w:val="00902D5D"/>
    <w:rsid w:val="00902F04"/>
    <w:rsid w:val="0090312C"/>
    <w:rsid w:val="009032F5"/>
    <w:rsid w:val="009033E9"/>
    <w:rsid w:val="00903403"/>
    <w:rsid w:val="009037FC"/>
    <w:rsid w:val="0090382D"/>
    <w:rsid w:val="00903834"/>
    <w:rsid w:val="00903A0A"/>
    <w:rsid w:val="00903B45"/>
    <w:rsid w:val="00903BA0"/>
    <w:rsid w:val="009041E0"/>
    <w:rsid w:val="0090456B"/>
    <w:rsid w:val="00904DF0"/>
    <w:rsid w:val="009053B6"/>
    <w:rsid w:val="00905775"/>
    <w:rsid w:val="00905B32"/>
    <w:rsid w:val="00905C96"/>
    <w:rsid w:val="00905EE5"/>
    <w:rsid w:val="00905F46"/>
    <w:rsid w:val="00906030"/>
    <w:rsid w:val="00906568"/>
    <w:rsid w:val="009066DE"/>
    <w:rsid w:val="00906AC2"/>
    <w:rsid w:val="00906D52"/>
    <w:rsid w:val="00906E6C"/>
    <w:rsid w:val="00906E85"/>
    <w:rsid w:val="009072AC"/>
    <w:rsid w:val="00907422"/>
    <w:rsid w:val="0090778C"/>
    <w:rsid w:val="00907967"/>
    <w:rsid w:val="00907A59"/>
    <w:rsid w:val="00907A79"/>
    <w:rsid w:val="00907CDB"/>
    <w:rsid w:val="00910173"/>
    <w:rsid w:val="00910CFD"/>
    <w:rsid w:val="00911EB4"/>
    <w:rsid w:val="00911FC2"/>
    <w:rsid w:val="009124D0"/>
    <w:rsid w:val="00913419"/>
    <w:rsid w:val="00913506"/>
    <w:rsid w:val="00913510"/>
    <w:rsid w:val="00913BF5"/>
    <w:rsid w:val="00913D8B"/>
    <w:rsid w:val="00913ED0"/>
    <w:rsid w:val="00913EF7"/>
    <w:rsid w:val="009147A4"/>
    <w:rsid w:val="00914A88"/>
    <w:rsid w:val="00914F78"/>
    <w:rsid w:val="009153DB"/>
    <w:rsid w:val="009154BA"/>
    <w:rsid w:val="00915D74"/>
    <w:rsid w:val="00915E39"/>
    <w:rsid w:val="00916139"/>
    <w:rsid w:val="009162E2"/>
    <w:rsid w:val="0091674C"/>
    <w:rsid w:val="00916888"/>
    <w:rsid w:val="00916A1B"/>
    <w:rsid w:val="00916CE8"/>
    <w:rsid w:val="00916F8A"/>
    <w:rsid w:val="00916FC9"/>
    <w:rsid w:val="00917049"/>
    <w:rsid w:val="00917792"/>
    <w:rsid w:val="00920174"/>
    <w:rsid w:val="009201B1"/>
    <w:rsid w:val="009204BF"/>
    <w:rsid w:val="00920795"/>
    <w:rsid w:val="009208DA"/>
    <w:rsid w:val="00920E4F"/>
    <w:rsid w:val="00920E9C"/>
    <w:rsid w:val="00921225"/>
    <w:rsid w:val="00921639"/>
    <w:rsid w:val="00921657"/>
    <w:rsid w:val="0092191B"/>
    <w:rsid w:val="00921C6A"/>
    <w:rsid w:val="00921D95"/>
    <w:rsid w:val="00922160"/>
    <w:rsid w:val="0092253F"/>
    <w:rsid w:val="00922685"/>
    <w:rsid w:val="0092273B"/>
    <w:rsid w:val="009227BE"/>
    <w:rsid w:val="00922AB5"/>
    <w:rsid w:val="00922AE8"/>
    <w:rsid w:val="00922E5B"/>
    <w:rsid w:val="00923319"/>
    <w:rsid w:val="0092332D"/>
    <w:rsid w:val="00923333"/>
    <w:rsid w:val="0092347A"/>
    <w:rsid w:val="009237B6"/>
    <w:rsid w:val="00923D99"/>
    <w:rsid w:val="00923DEA"/>
    <w:rsid w:val="009243A6"/>
    <w:rsid w:val="009244B4"/>
    <w:rsid w:val="009246DB"/>
    <w:rsid w:val="00924811"/>
    <w:rsid w:val="00924FF9"/>
    <w:rsid w:val="0092532C"/>
    <w:rsid w:val="00925873"/>
    <w:rsid w:val="0092595F"/>
    <w:rsid w:val="00925B9D"/>
    <w:rsid w:val="00925D61"/>
    <w:rsid w:val="00925DC7"/>
    <w:rsid w:val="00926105"/>
    <w:rsid w:val="009261E5"/>
    <w:rsid w:val="00926223"/>
    <w:rsid w:val="009264C5"/>
    <w:rsid w:val="009265FF"/>
    <w:rsid w:val="00927384"/>
    <w:rsid w:val="00927495"/>
    <w:rsid w:val="009274E5"/>
    <w:rsid w:val="00927650"/>
    <w:rsid w:val="00927705"/>
    <w:rsid w:val="009278CD"/>
    <w:rsid w:val="0092794F"/>
    <w:rsid w:val="00930182"/>
    <w:rsid w:val="0093049F"/>
    <w:rsid w:val="009306E1"/>
    <w:rsid w:val="00930FD2"/>
    <w:rsid w:val="00931A3F"/>
    <w:rsid w:val="00931D2D"/>
    <w:rsid w:val="00931DB2"/>
    <w:rsid w:val="0093223F"/>
    <w:rsid w:val="00932822"/>
    <w:rsid w:val="00932991"/>
    <w:rsid w:val="00932B72"/>
    <w:rsid w:val="00932BD9"/>
    <w:rsid w:val="00932D2F"/>
    <w:rsid w:val="00933039"/>
    <w:rsid w:val="0093366D"/>
    <w:rsid w:val="00933858"/>
    <w:rsid w:val="009339B0"/>
    <w:rsid w:val="00933ADF"/>
    <w:rsid w:val="00933DEF"/>
    <w:rsid w:val="009340A1"/>
    <w:rsid w:val="0093418C"/>
    <w:rsid w:val="00934352"/>
    <w:rsid w:val="0093454C"/>
    <w:rsid w:val="009348E7"/>
    <w:rsid w:val="00934999"/>
    <w:rsid w:val="009349E0"/>
    <w:rsid w:val="00934A5C"/>
    <w:rsid w:val="00934BC3"/>
    <w:rsid w:val="00934D3B"/>
    <w:rsid w:val="00934E80"/>
    <w:rsid w:val="00935423"/>
    <w:rsid w:val="00935BA5"/>
    <w:rsid w:val="00935FFF"/>
    <w:rsid w:val="00936046"/>
    <w:rsid w:val="0093641F"/>
    <w:rsid w:val="00936452"/>
    <w:rsid w:val="0093661B"/>
    <w:rsid w:val="009368C2"/>
    <w:rsid w:val="00936978"/>
    <w:rsid w:val="00936A66"/>
    <w:rsid w:val="00937096"/>
    <w:rsid w:val="0093788F"/>
    <w:rsid w:val="009378D1"/>
    <w:rsid w:val="00937A1A"/>
    <w:rsid w:val="00940037"/>
    <w:rsid w:val="00940444"/>
    <w:rsid w:val="0094094F"/>
    <w:rsid w:val="00940972"/>
    <w:rsid w:val="009409CD"/>
    <w:rsid w:val="00940BDC"/>
    <w:rsid w:val="00940C10"/>
    <w:rsid w:val="00941447"/>
    <w:rsid w:val="00941EF3"/>
    <w:rsid w:val="00942123"/>
    <w:rsid w:val="0094274D"/>
    <w:rsid w:val="009427BE"/>
    <w:rsid w:val="009427CE"/>
    <w:rsid w:val="00942900"/>
    <w:rsid w:val="00942959"/>
    <w:rsid w:val="00942CB6"/>
    <w:rsid w:val="00942CE9"/>
    <w:rsid w:val="00942D02"/>
    <w:rsid w:val="00943229"/>
    <w:rsid w:val="009436AA"/>
    <w:rsid w:val="0094449A"/>
    <w:rsid w:val="00944569"/>
    <w:rsid w:val="0094456B"/>
    <w:rsid w:val="0094456D"/>
    <w:rsid w:val="009445FF"/>
    <w:rsid w:val="0094466B"/>
    <w:rsid w:val="00945292"/>
    <w:rsid w:val="0094566C"/>
    <w:rsid w:val="009457E7"/>
    <w:rsid w:val="00945E46"/>
    <w:rsid w:val="00946523"/>
    <w:rsid w:val="00946753"/>
    <w:rsid w:val="00946AD0"/>
    <w:rsid w:val="00946C26"/>
    <w:rsid w:val="00946EE2"/>
    <w:rsid w:val="00946F7F"/>
    <w:rsid w:val="00946F96"/>
    <w:rsid w:val="00947833"/>
    <w:rsid w:val="00947ED9"/>
    <w:rsid w:val="00950217"/>
    <w:rsid w:val="00950569"/>
    <w:rsid w:val="00950B73"/>
    <w:rsid w:val="00950D25"/>
    <w:rsid w:val="00951286"/>
    <w:rsid w:val="0095165C"/>
    <w:rsid w:val="0095167B"/>
    <w:rsid w:val="009517AF"/>
    <w:rsid w:val="0095198C"/>
    <w:rsid w:val="00951C0E"/>
    <w:rsid w:val="00951D74"/>
    <w:rsid w:val="00952007"/>
    <w:rsid w:val="0095277C"/>
    <w:rsid w:val="00952F57"/>
    <w:rsid w:val="00953011"/>
    <w:rsid w:val="009533A6"/>
    <w:rsid w:val="00953443"/>
    <w:rsid w:val="00953741"/>
    <w:rsid w:val="009537E2"/>
    <w:rsid w:val="00953B0F"/>
    <w:rsid w:val="009541F6"/>
    <w:rsid w:val="00954FD8"/>
    <w:rsid w:val="00954FF2"/>
    <w:rsid w:val="009559C0"/>
    <w:rsid w:val="00955B68"/>
    <w:rsid w:val="00955C07"/>
    <w:rsid w:val="00955EFB"/>
    <w:rsid w:val="00955FB5"/>
    <w:rsid w:val="00956203"/>
    <w:rsid w:val="0095636E"/>
    <w:rsid w:val="00956447"/>
    <w:rsid w:val="00956670"/>
    <w:rsid w:val="0095671F"/>
    <w:rsid w:val="00956A35"/>
    <w:rsid w:val="00956B0B"/>
    <w:rsid w:val="00956B3E"/>
    <w:rsid w:val="00956C2F"/>
    <w:rsid w:val="0095702E"/>
    <w:rsid w:val="009571BD"/>
    <w:rsid w:val="009574A3"/>
    <w:rsid w:val="009579FD"/>
    <w:rsid w:val="00957D34"/>
    <w:rsid w:val="009601B8"/>
    <w:rsid w:val="009603EF"/>
    <w:rsid w:val="0096142D"/>
    <w:rsid w:val="009614E7"/>
    <w:rsid w:val="00961A1A"/>
    <w:rsid w:val="00961BE2"/>
    <w:rsid w:val="00961F26"/>
    <w:rsid w:val="00962766"/>
    <w:rsid w:val="00962790"/>
    <w:rsid w:val="009627F5"/>
    <w:rsid w:val="00962A69"/>
    <w:rsid w:val="00962C16"/>
    <w:rsid w:val="00962C27"/>
    <w:rsid w:val="00962EE8"/>
    <w:rsid w:val="00962F8E"/>
    <w:rsid w:val="0096306A"/>
    <w:rsid w:val="00963366"/>
    <w:rsid w:val="00963789"/>
    <w:rsid w:val="009637F4"/>
    <w:rsid w:val="00963A4E"/>
    <w:rsid w:val="00963DF4"/>
    <w:rsid w:val="00963F08"/>
    <w:rsid w:val="00964032"/>
    <w:rsid w:val="00964782"/>
    <w:rsid w:val="00964CA5"/>
    <w:rsid w:val="00964EF2"/>
    <w:rsid w:val="00964F4A"/>
    <w:rsid w:val="009650CA"/>
    <w:rsid w:val="0096531B"/>
    <w:rsid w:val="0096534E"/>
    <w:rsid w:val="0096582B"/>
    <w:rsid w:val="009659CE"/>
    <w:rsid w:val="00965C51"/>
    <w:rsid w:val="00966022"/>
    <w:rsid w:val="009661AD"/>
    <w:rsid w:val="00966202"/>
    <w:rsid w:val="0096695A"/>
    <w:rsid w:val="00966C48"/>
    <w:rsid w:val="00966C85"/>
    <w:rsid w:val="00966D2B"/>
    <w:rsid w:val="00966EE1"/>
    <w:rsid w:val="009672FC"/>
    <w:rsid w:val="009674CD"/>
    <w:rsid w:val="00967689"/>
    <w:rsid w:val="0096783E"/>
    <w:rsid w:val="00970855"/>
    <w:rsid w:val="00970D2B"/>
    <w:rsid w:val="00971003"/>
    <w:rsid w:val="00971141"/>
    <w:rsid w:val="009711E9"/>
    <w:rsid w:val="00971225"/>
    <w:rsid w:val="00971507"/>
    <w:rsid w:val="009717DF"/>
    <w:rsid w:val="00971954"/>
    <w:rsid w:val="00971B5E"/>
    <w:rsid w:val="00971CEB"/>
    <w:rsid w:val="00971ECB"/>
    <w:rsid w:val="00971F27"/>
    <w:rsid w:val="00972178"/>
    <w:rsid w:val="0097218B"/>
    <w:rsid w:val="00972201"/>
    <w:rsid w:val="00972464"/>
    <w:rsid w:val="009724A6"/>
    <w:rsid w:val="009725F3"/>
    <w:rsid w:val="0097266D"/>
    <w:rsid w:val="009729F6"/>
    <w:rsid w:val="00972A16"/>
    <w:rsid w:val="00972B3F"/>
    <w:rsid w:val="00972FED"/>
    <w:rsid w:val="009734A2"/>
    <w:rsid w:val="00973685"/>
    <w:rsid w:val="0097389A"/>
    <w:rsid w:val="009738DB"/>
    <w:rsid w:val="00973DB8"/>
    <w:rsid w:val="00973F02"/>
    <w:rsid w:val="009741C6"/>
    <w:rsid w:val="00974620"/>
    <w:rsid w:val="009746D3"/>
    <w:rsid w:val="0097473A"/>
    <w:rsid w:val="00974864"/>
    <w:rsid w:val="00974AD8"/>
    <w:rsid w:val="00974BF8"/>
    <w:rsid w:val="00974C67"/>
    <w:rsid w:val="00974D11"/>
    <w:rsid w:val="00974D4D"/>
    <w:rsid w:val="00974D6B"/>
    <w:rsid w:val="00974DE7"/>
    <w:rsid w:val="009752F8"/>
    <w:rsid w:val="00975804"/>
    <w:rsid w:val="0097593C"/>
    <w:rsid w:val="00975DB8"/>
    <w:rsid w:val="00975E45"/>
    <w:rsid w:val="00975E8A"/>
    <w:rsid w:val="00975F2F"/>
    <w:rsid w:val="00975F7A"/>
    <w:rsid w:val="00976085"/>
    <w:rsid w:val="0097644A"/>
    <w:rsid w:val="009768D9"/>
    <w:rsid w:val="009768FB"/>
    <w:rsid w:val="00976D71"/>
    <w:rsid w:val="00976EE9"/>
    <w:rsid w:val="009773E4"/>
    <w:rsid w:val="00977451"/>
    <w:rsid w:val="00977497"/>
    <w:rsid w:val="009776B5"/>
    <w:rsid w:val="0097790E"/>
    <w:rsid w:val="00977A2D"/>
    <w:rsid w:val="00977F8D"/>
    <w:rsid w:val="0098079F"/>
    <w:rsid w:val="009807B7"/>
    <w:rsid w:val="009809AA"/>
    <w:rsid w:val="009809FA"/>
    <w:rsid w:val="00980AEC"/>
    <w:rsid w:val="00980BF7"/>
    <w:rsid w:val="00980C1D"/>
    <w:rsid w:val="00980D31"/>
    <w:rsid w:val="00981587"/>
    <w:rsid w:val="00981A9C"/>
    <w:rsid w:val="00981B73"/>
    <w:rsid w:val="00981EC1"/>
    <w:rsid w:val="00982005"/>
    <w:rsid w:val="0098231E"/>
    <w:rsid w:val="00982322"/>
    <w:rsid w:val="00982634"/>
    <w:rsid w:val="0098291B"/>
    <w:rsid w:val="00982A35"/>
    <w:rsid w:val="00982F6C"/>
    <w:rsid w:val="00982FEA"/>
    <w:rsid w:val="00983325"/>
    <w:rsid w:val="00983458"/>
    <w:rsid w:val="00983E20"/>
    <w:rsid w:val="009840D7"/>
    <w:rsid w:val="009841DD"/>
    <w:rsid w:val="0098430E"/>
    <w:rsid w:val="00984597"/>
    <w:rsid w:val="00984894"/>
    <w:rsid w:val="00984ADE"/>
    <w:rsid w:val="00984CF0"/>
    <w:rsid w:val="00984E8F"/>
    <w:rsid w:val="00985096"/>
    <w:rsid w:val="00985169"/>
    <w:rsid w:val="00985336"/>
    <w:rsid w:val="0098545B"/>
    <w:rsid w:val="00985541"/>
    <w:rsid w:val="009857A6"/>
    <w:rsid w:val="009857B4"/>
    <w:rsid w:val="00985810"/>
    <w:rsid w:val="00985AB0"/>
    <w:rsid w:val="00985B81"/>
    <w:rsid w:val="00985B88"/>
    <w:rsid w:val="0098601D"/>
    <w:rsid w:val="0098606A"/>
    <w:rsid w:val="0098607A"/>
    <w:rsid w:val="00986371"/>
    <w:rsid w:val="0098641B"/>
    <w:rsid w:val="009865D1"/>
    <w:rsid w:val="009866EF"/>
    <w:rsid w:val="009868AC"/>
    <w:rsid w:val="00986AD1"/>
    <w:rsid w:val="00986C48"/>
    <w:rsid w:val="00986D91"/>
    <w:rsid w:val="00986E22"/>
    <w:rsid w:val="00987067"/>
    <w:rsid w:val="00987319"/>
    <w:rsid w:val="009877EA"/>
    <w:rsid w:val="00987861"/>
    <w:rsid w:val="009878C6"/>
    <w:rsid w:val="009879B6"/>
    <w:rsid w:val="00987A18"/>
    <w:rsid w:val="00990008"/>
    <w:rsid w:val="00990513"/>
    <w:rsid w:val="00990CE1"/>
    <w:rsid w:val="00990E62"/>
    <w:rsid w:val="00991395"/>
    <w:rsid w:val="0099147B"/>
    <w:rsid w:val="00991668"/>
    <w:rsid w:val="0099176C"/>
    <w:rsid w:val="00991C79"/>
    <w:rsid w:val="00992212"/>
    <w:rsid w:val="009923E9"/>
    <w:rsid w:val="009928D7"/>
    <w:rsid w:val="0099316F"/>
    <w:rsid w:val="0099367C"/>
    <w:rsid w:val="00993C07"/>
    <w:rsid w:val="00993D94"/>
    <w:rsid w:val="00994168"/>
    <w:rsid w:val="009941BB"/>
    <w:rsid w:val="009942D8"/>
    <w:rsid w:val="0099445A"/>
    <w:rsid w:val="0099497A"/>
    <w:rsid w:val="00994A88"/>
    <w:rsid w:val="00994BB2"/>
    <w:rsid w:val="009953FB"/>
    <w:rsid w:val="009954C3"/>
    <w:rsid w:val="00995604"/>
    <w:rsid w:val="00995A2C"/>
    <w:rsid w:val="00995B7E"/>
    <w:rsid w:val="00995E11"/>
    <w:rsid w:val="00995E2F"/>
    <w:rsid w:val="00995E8B"/>
    <w:rsid w:val="009963E1"/>
    <w:rsid w:val="009964C9"/>
    <w:rsid w:val="00996AB9"/>
    <w:rsid w:val="00996CB7"/>
    <w:rsid w:val="009976B7"/>
    <w:rsid w:val="00997887"/>
    <w:rsid w:val="009978FF"/>
    <w:rsid w:val="00997967"/>
    <w:rsid w:val="00997ED4"/>
    <w:rsid w:val="009A00E7"/>
    <w:rsid w:val="009A15D0"/>
    <w:rsid w:val="009A1639"/>
    <w:rsid w:val="009A19FF"/>
    <w:rsid w:val="009A1B8C"/>
    <w:rsid w:val="009A1C64"/>
    <w:rsid w:val="009A1E1A"/>
    <w:rsid w:val="009A21F1"/>
    <w:rsid w:val="009A2B0C"/>
    <w:rsid w:val="009A2C00"/>
    <w:rsid w:val="009A2F5E"/>
    <w:rsid w:val="009A3699"/>
    <w:rsid w:val="009A386C"/>
    <w:rsid w:val="009A44E6"/>
    <w:rsid w:val="009A5173"/>
    <w:rsid w:val="009A58BD"/>
    <w:rsid w:val="009A594B"/>
    <w:rsid w:val="009A59DE"/>
    <w:rsid w:val="009A5D4C"/>
    <w:rsid w:val="009A5D68"/>
    <w:rsid w:val="009A63E4"/>
    <w:rsid w:val="009A6579"/>
    <w:rsid w:val="009A666C"/>
    <w:rsid w:val="009A66AA"/>
    <w:rsid w:val="009A6B91"/>
    <w:rsid w:val="009A6D9C"/>
    <w:rsid w:val="009A76FD"/>
    <w:rsid w:val="009A77B1"/>
    <w:rsid w:val="009A7CCC"/>
    <w:rsid w:val="009B0045"/>
    <w:rsid w:val="009B02D3"/>
    <w:rsid w:val="009B1115"/>
    <w:rsid w:val="009B139C"/>
    <w:rsid w:val="009B164E"/>
    <w:rsid w:val="009B1C16"/>
    <w:rsid w:val="009B1F6C"/>
    <w:rsid w:val="009B226C"/>
    <w:rsid w:val="009B23A3"/>
    <w:rsid w:val="009B28E3"/>
    <w:rsid w:val="009B28E4"/>
    <w:rsid w:val="009B340E"/>
    <w:rsid w:val="009B3695"/>
    <w:rsid w:val="009B3DB3"/>
    <w:rsid w:val="009B3FF9"/>
    <w:rsid w:val="009B417C"/>
    <w:rsid w:val="009B4C27"/>
    <w:rsid w:val="009B53DC"/>
    <w:rsid w:val="009B5937"/>
    <w:rsid w:val="009B5E8E"/>
    <w:rsid w:val="009B640F"/>
    <w:rsid w:val="009B6507"/>
    <w:rsid w:val="009B651C"/>
    <w:rsid w:val="009B65DF"/>
    <w:rsid w:val="009B69E5"/>
    <w:rsid w:val="009B6B8F"/>
    <w:rsid w:val="009B6E96"/>
    <w:rsid w:val="009B776D"/>
    <w:rsid w:val="009B7B99"/>
    <w:rsid w:val="009B7D2D"/>
    <w:rsid w:val="009B7D8B"/>
    <w:rsid w:val="009B7EED"/>
    <w:rsid w:val="009C002F"/>
    <w:rsid w:val="009C06FF"/>
    <w:rsid w:val="009C0D81"/>
    <w:rsid w:val="009C11F5"/>
    <w:rsid w:val="009C17EB"/>
    <w:rsid w:val="009C1A2A"/>
    <w:rsid w:val="009C1DDD"/>
    <w:rsid w:val="009C209B"/>
    <w:rsid w:val="009C21F0"/>
    <w:rsid w:val="009C23E8"/>
    <w:rsid w:val="009C26BD"/>
    <w:rsid w:val="009C27B8"/>
    <w:rsid w:val="009C2B18"/>
    <w:rsid w:val="009C30A0"/>
    <w:rsid w:val="009C33D7"/>
    <w:rsid w:val="009C3443"/>
    <w:rsid w:val="009C36AC"/>
    <w:rsid w:val="009C4466"/>
    <w:rsid w:val="009C453B"/>
    <w:rsid w:val="009C4636"/>
    <w:rsid w:val="009C4B6A"/>
    <w:rsid w:val="009C4EA7"/>
    <w:rsid w:val="009C4F94"/>
    <w:rsid w:val="009C5344"/>
    <w:rsid w:val="009C5420"/>
    <w:rsid w:val="009C5425"/>
    <w:rsid w:val="009C55E0"/>
    <w:rsid w:val="009C5696"/>
    <w:rsid w:val="009C5AFF"/>
    <w:rsid w:val="009C5BB8"/>
    <w:rsid w:val="009C5CBD"/>
    <w:rsid w:val="009C5E28"/>
    <w:rsid w:val="009C606B"/>
    <w:rsid w:val="009C60F6"/>
    <w:rsid w:val="009C611D"/>
    <w:rsid w:val="009C6347"/>
    <w:rsid w:val="009C6765"/>
    <w:rsid w:val="009C6CEB"/>
    <w:rsid w:val="009C6E72"/>
    <w:rsid w:val="009C7014"/>
    <w:rsid w:val="009C7056"/>
    <w:rsid w:val="009C70CE"/>
    <w:rsid w:val="009C7158"/>
    <w:rsid w:val="009C7186"/>
    <w:rsid w:val="009C7265"/>
    <w:rsid w:val="009D00E4"/>
    <w:rsid w:val="009D040D"/>
    <w:rsid w:val="009D0638"/>
    <w:rsid w:val="009D0847"/>
    <w:rsid w:val="009D099B"/>
    <w:rsid w:val="009D17C9"/>
    <w:rsid w:val="009D2DA3"/>
    <w:rsid w:val="009D31C7"/>
    <w:rsid w:val="009D333E"/>
    <w:rsid w:val="009D33AC"/>
    <w:rsid w:val="009D341A"/>
    <w:rsid w:val="009D3459"/>
    <w:rsid w:val="009D37E0"/>
    <w:rsid w:val="009D3E4E"/>
    <w:rsid w:val="009D3F9B"/>
    <w:rsid w:val="009D3FBC"/>
    <w:rsid w:val="009D3FE3"/>
    <w:rsid w:val="009D3FED"/>
    <w:rsid w:val="009D4869"/>
    <w:rsid w:val="009D4CFA"/>
    <w:rsid w:val="009D4F48"/>
    <w:rsid w:val="009D5360"/>
    <w:rsid w:val="009D5656"/>
    <w:rsid w:val="009D5E26"/>
    <w:rsid w:val="009D5E56"/>
    <w:rsid w:val="009D6566"/>
    <w:rsid w:val="009D6A12"/>
    <w:rsid w:val="009D6A16"/>
    <w:rsid w:val="009D6A7C"/>
    <w:rsid w:val="009D6EED"/>
    <w:rsid w:val="009D70BC"/>
    <w:rsid w:val="009D730C"/>
    <w:rsid w:val="009D7472"/>
    <w:rsid w:val="009D7687"/>
    <w:rsid w:val="009D77C8"/>
    <w:rsid w:val="009D7903"/>
    <w:rsid w:val="009D7D02"/>
    <w:rsid w:val="009D7DEB"/>
    <w:rsid w:val="009E0009"/>
    <w:rsid w:val="009E095C"/>
    <w:rsid w:val="009E170E"/>
    <w:rsid w:val="009E1790"/>
    <w:rsid w:val="009E1C23"/>
    <w:rsid w:val="009E2261"/>
    <w:rsid w:val="009E2556"/>
    <w:rsid w:val="009E2624"/>
    <w:rsid w:val="009E2838"/>
    <w:rsid w:val="009E2D52"/>
    <w:rsid w:val="009E2E74"/>
    <w:rsid w:val="009E300D"/>
    <w:rsid w:val="009E344F"/>
    <w:rsid w:val="009E34C2"/>
    <w:rsid w:val="009E36F1"/>
    <w:rsid w:val="009E451E"/>
    <w:rsid w:val="009E4601"/>
    <w:rsid w:val="009E4A1E"/>
    <w:rsid w:val="009E50AE"/>
    <w:rsid w:val="009E5164"/>
    <w:rsid w:val="009E520B"/>
    <w:rsid w:val="009E536C"/>
    <w:rsid w:val="009E5698"/>
    <w:rsid w:val="009E5CDA"/>
    <w:rsid w:val="009E62DA"/>
    <w:rsid w:val="009E64D2"/>
    <w:rsid w:val="009E6798"/>
    <w:rsid w:val="009E68A4"/>
    <w:rsid w:val="009E6BBB"/>
    <w:rsid w:val="009E71DE"/>
    <w:rsid w:val="009E7337"/>
    <w:rsid w:val="009E7530"/>
    <w:rsid w:val="009E7546"/>
    <w:rsid w:val="009E78FE"/>
    <w:rsid w:val="009E7B7E"/>
    <w:rsid w:val="009E7BFF"/>
    <w:rsid w:val="009E7D5B"/>
    <w:rsid w:val="009F03F0"/>
    <w:rsid w:val="009F04C1"/>
    <w:rsid w:val="009F0816"/>
    <w:rsid w:val="009F0889"/>
    <w:rsid w:val="009F096F"/>
    <w:rsid w:val="009F0A67"/>
    <w:rsid w:val="009F0CBF"/>
    <w:rsid w:val="009F1266"/>
    <w:rsid w:val="009F1494"/>
    <w:rsid w:val="009F17E1"/>
    <w:rsid w:val="009F1C07"/>
    <w:rsid w:val="009F2EF1"/>
    <w:rsid w:val="009F31AB"/>
    <w:rsid w:val="009F3229"/>
    <w:rsid w:val="009F3311"/>
    <w:rsid w:val="009F3640"/>
    <w:rsid w:val="009F37BF"/>
    <w:rsid w:val="009F3AA2"/>
    <w:rsid w:val="009F3C7D"/>
    <w:rsid w:val="009F410F"/>
    <w:rsid w:val="009F459F"/>
    <w:rsid w:val="009F4A72"/>
    <w:rsid w:val="009F4F4E"/>
    <w:rsid w:val="009F551F"/>
    <w:rsid w:val="009F58B3"/>
    <w:rsid w:val="009F5A63"/>
    <w:rsid w:val="009F5B5B"/>
    <w:rsid w:val="009F5E1B"/>
    <w:rsid w:val="009F69CA"/>
    <w:rsid w:val="009F6B70"/>
    <w:rsid w:val="009F71BE"/>
    <w:rsid w:val="009F74C8"/>
    <w:rsid w:val="009F7540"/>
    <w:rsid w:val="009F7997"/>
    <w:rsid w:val="009F79AD"/>
    <w:rsid w:val="009F7E38"/>
    <w:rsid w:val="00A005F1"/>
    <w:rsid w:val="00A00730"/>
    <w:rsid w:val="00A008E6"/>
    <w:rsid w:val="00A00EFD"/>
    <w:rsid w:val="00A016F4"/>
    <w:rsid w:val="00A01703"/>
    <w:rsid w:val="00A0258A"/>
    <w:rsid w:val="00A0263B"/>
    <w:rsid w:val="00A02899"/>
    <w:rsid w:val="00A028A8"/>
    <w:rsid w:val="00A032E5"/>
    <w:rsid w:val="00A038FC"/>
    <w:rsid w:val="00A03BB8"/>
    <w:rsid w:val="00A03D23"/>
    <w:rsid w:val="00A044B4"/>
    <w:rsid w:val="00A047B7"/>
    <w:rsid w:val="00A053A5"/>
    <w:rsid w:val="00A056EF"/>
    <w:rsid w:val="00A05847"/>
    <w:rsid w:val="00A05BA6"/>
    <w:rsid w:val="00A05E9F"/>
    <w:rsid w:val="00A06404"/>
    <w:rsid w:val="00A06685"/>
    <w:rsid w:val="00A066AD"/>
    <w:rsid w:val="00A06A88"/>
    <w:rsid w:val="00A06E70"/>
    <w:rsid w:val="00A072FD"/>
    <w:rsid w:val="00A07C3E"/>
    <w:rsid w:val="00A1006B"/>
    <w:rsid w:val="00A10079"/>
    <w:rsid w:val="00A1012A"/>
    <w:rsid w:val="00A10274"/>
    <w:rsid w:val="00A10471"/>
    <w:rsid w:val="00A105B0"/>
    <w:rsid w:val="00A10886"/>
    <w:rsid w:val="00A109EB"/>
    <w:rsid w:val="00A11239"/>
    <w:rsid w:val="00A112DA"/>
    <w:rsid w:val="00A112ED"/>
    <w:rsid w:val="00A1157F"/>
    <w:rsid w:val="00A1170E"/>
    <w:rsid w:val="00A11BA9"/>
    <w:rsid w:val="00A12102"/>
    <w:rsid w:val="00A123D6"/>
    <w:rsid w:val="00A12550"/>
    <w:rsid w:val="00A1299A"/>
    <w:rsid w:val="00A12A34"/>
    <w:rsid w:val="00A12A91"/>
    <w:rsid w:val="00A12C83"/>
    <w:rsid w:val="00A12DB3"/>
    <w:rsid w:val="00A1313D"/>
    <w:rsid w:val="00A13599"/>
    <w:rsid w:val="00A13BB6"/>
    <w:rsid w:val="00A13CD0"/>
    <w:rsid w:val="00A13EC5"/>
    <w:rsid w:val="00A13F61"/>
    <w:rsid w:val="00A1430A"/>
    <w:rsid w:val="00A14431"/>
    <w:rsid w:val="00A144A7"/>
    <w:rsid w:val="00A14756"/>
    <w:rsid w:val="00A14C05"/>
    <w:rsid w:val="00A14D0F"/>
    <w:rsid w:val="00A153EB"/>
    <w:rsid w:val="00A155B1"/>
    <w:rsid w:val="00A1589A"/>
    <w:rsid w:val="00A15F9D"/>
    <w:rsid w:val="00A1602F"/>
    <w:rsid w:val="00A16924"/>
    <w:rsid w:val="00A17183"/>
    <w:rsid w:val="00A175F5"/>
    <w:rsid w:val="00A17669"/>
    <w:rsid w:val="00A17739"/>
    <w:rsid w:val="00A17859"/>
    <w:rsid w:val="00A17D0D"/>
    <w:rsid w:val="00A17F4E"/>
    <w:rsid w:val="00A200E9"/>
    <w:rsid w:val="00A2050A"/>
    <w:rsid w:val="00A20877"/>
    <w:rsid w:val="00A20985"/>
    <w:rsid w:val="00A2152F"/>
    <w:rsid w:val="00A216DA"/>
    <w:rsid w:val="00A21871"/>
    <w:rsid w:val="00A21B15"/>
    <w:rsid w:val="00A21CC3"/>
    <w:rsid w:val="00A222F4"/>
    <w:rsid w:val="00A22A2C"/>
    <w:rsid w:val="00A22CBD"/>
    <w:rsid w:val="00A22D6F"/>
    <w:rsid w:val="00A234D0"/>
    <w:rsid w:val="00A23B90"/>
    <w:rsid w:val="00A23DE5"/>
    <w:rsid w:val="00A2401E"/>
    <w:rsid w:val="00A2407D"/>
    <w:rsid w:val="00A2422C"/>
    <w:rsid w:val="00A24453"/>
    <w:rsid w:val="00A245FE"/>
    <w:rsid w:val="00A246E5"/>
    <w:rsid w:val="00A25037"/>
    <w:rsid w:val="00A2519C"/>
    <w:rsid w:val="00A251D5"/>
    <w:rsid w:val="00A251E9"/>
    <w:rsid w:val="00A25354"/>
    <w:rsid w:val="00A25D2A"/>
    <w:rsid w:val="00A2629E"/>
    <w:rsid w:val="00A2665C"/>
    <w:rsid w:val="00A26B14"/>
    <w:rsid w:val="00A26B36"/>
    <w:rsid w:val="00A26F2E"/>
    <w:rsid w:val="00A2742E"/>
    <w:rsid w:val="00A27646"/>
    <w:rsid w:val="00A27693"/>
    <w:rsid w:val="00A27C7D"/>
    <w:rsid w:val="00A3072C"/>
    <w:rsid w:val="00A30775"/>
    <w:rsid w:val="00A30823"/>
    <w:rsid w:val="00A30B1B"/>
    <w:rsid w:val="00A30B6C"/>
    <w:rsid w:val="00A30C21"/>
    <w:rsid w:val="00A30C56"/>
    <w:rsid w:val="00A313E1"/>
    <w:rsid w:val="00A315A0"/>
    <w:rsid w:val="00A31850"/>
    <w:rsid w:val="00A31AE4"/>
    <w:rsid w:val="00A31BD0"/>
    <w:rsid w:val="00A31F05"/>
    <w:rsid w:val="00A31F5F"/>
    <w:rsid w:val="00A31FA6"/>
    <w:rsid w:val="00A321F6"/>
    <w:rsid w:val="00A324A5"/>
    <w:rsid w:val="00A324AB"/>
    <w:rsid w:val="00A32573"/>
    <w:rsid w:val="00A32585"/>
    <w:rsid w:val="00A32752"/>
    <w:rsid w:val="00A32B11"/>
    <w:rsid w:val="00A32B7D"/>
    <w:rsid w:val="00A33600"/>
    <w:rsid w:val="00A33F82"/>
    <w:rsid w:val="00A34065"/>
    <w:rsid w:val="00A340D9"/>
    <w:rsid w:val="00A346AB"/>
    <w:rsid w:val="00A34AFE"/>
    <w:rsid w:val="00A34F51"/>
    <w:rsid w:val="00A34F82"/>
    <w:rsid w:val="00A3518F"/>
    <w:rsid w:val="00A35359"/>
    <w:rsid w:val="00A35450"/>
    <w:rsid w:val="00A35ABE"/>
    <w:rsid w:val="00A35B89"/>
    <w:rsid w:val="00A35BBE"/>
    <w:rsid w:val="00A35D76"/>
    <w:rsid w:val="00A35DE5"/>
    <w:rsid w:val="00A35E8F"/>
    <w:rsid w:val="00A35EC4"/>
    <w:rsid w:val="00A3634C"/>
    <w:rsid w:val="00A363FB"/>
    <w:rsid w:val="00A36725"/>
    <w:rsid w:val="00A367B1"/>
    <w:rsid w:val="00A36D38"/>
    <w:rsid w:val="00A37328"/>
    <w:rsid w:val="00A374FA"/>
    <w:rsid w:val="00A37512"/>
    <w:rsid w:val="00A3754B"/>
    <w:rsid w:val="00A37B87"/>
    <w:rsid w:val="00A37BF1"/>
    <w:rsid w:val="00A37E97"/>
    <w:rsid w:val="00A400F9"/>
    <w:rsid w:val="00A4047B"/>
    <w:rsid w:val="00A40A13"/>
    <w:rsid w:val="00A40E01"/>
    <w:rsid w:val="00A40FAC"/>
    <w:rsid w:val="00A40FDB"/>
    <w:rsid w:val="00A41585"/>
    <w:rsid w:val="00A41A21"/>
    <w:rsid w:val="00A41BC1"/>
    <w:rsid w:val="00A41CC8"/>
    <w:rsid w:val="00A41CCF"/>
    <w:rsid w:val="00A41ECD"/>
    <w:rsid w:val="00A42202"/>
    <w:rsid w:val="00A42367"/>
    <w:rsid w:val="00A4245B"/>
    <w:rsid w:val="00A4284E"/>
    <w:rsid w:val="00A4288E"/>
    <w:rsid w:val="00A42ADC"/>
    <w:rsid w:val="00A42E30"/>
    <w:rsid w:val="00A43081"/>
    <w:rsid w:val="00A43191"/>
    <w:rsid w:val="00A4331C"/>
    <w:rsid w:val="00A43470"/>
    <w:rsid w:val="00A436E7"/>
    <w:rsid w:val="00A4374D"/>
    <w:rsid w:val="00A43BAA"/>
    <w:rsid w:val="00A43FD3"/>
    <w:rsid w:val="00A4439B"/>
    <w:rsid w:val="00A4444A"/>
    <w:rsid w:val="00A4445E"/>
    <w:rsid w:val="00A444B7"/>
    <w:rsid w:val="00A44542"/>
    <w:rsid w:val="00A4474D"/>
    <w:rsid w:val="00A448A1"/>
    <w:rsid w:val="00A449C3"/>
    <w:rsid w:val="00A44D63"/>
    <w:rsid w:val="00A44D9B"/>
    <w:rsid w:val="00A45048"/>
    <w:rsid w:val="00A4556B"/>
    <w:rsid w:val="00A45597"/>
    <w:rsid w:val="00A4594C"/>
    <w:rsid w:val="00A459AD"/>
    <w:rsid w:val="00A45EB1"/>
    <w:rsid w:val="00A464C8"/>
    <w:rsid w:val="00A46602"/>
    <w:rsid w:val="00A4681C"/>
    <w:rsid w:val="00A46A1C"/>
    <w:rsid w:val="00A46BAD"/>
    <w:rsid w:val="00A46FA7"/>
    <w:rsid w:val="00A470C5"/>
    <w:rsid w:val="00A4720C"/>
    <w:rsid w:val="00A47757"/>
    <w:rsid w:val="00A477D7"/>
    <w:rsid w:val="00A50590"/>
    <w:rsid w:val="00A51246"/>
    <w:rsid w:val="00A515BA"/>
    <w:rsid w:val="00A51788"/>
    <w:rsid w:val="00A51941"/>
    <w:rsid w:val="00A51A18"/>
    <w:rsid w:val="00A51EF1"/>
    <w:rsid w:val="00A520BF"/>
    <w:rsid w:val="00A5249E"/>
    <w:rsid w:val="00A5292E"/>
    <w:rsid w:val="00A52976"/>
    <w:rsid w:val="00A529A5"/>
    <w:rsid w:val="00A52A44"/>
    <w:rsid w:val="00A52BD4"/>
    <w:rsid w:val="00A539E9"/>
    <w:rsid w:val="00A53A34"/>
    <w:rsid w:val="00A544C3"/>
    <w:rsid w:val="00A547A9"/>
    <w:rsid w:val="00A54DE6"/>
    <w:rsid w:val="00A54EA1"/>
    <w:rsid w:val="00A550DA"/>
    <w:rsid w:val="00A553CA"/>
    <w:rsid w:val="00A5562D"/>
    <w:rsid w:val="00A5586C"/>
    <w:rsid w:val="00A5595C"/>
    <w:rsid w:val="00A55B8F"/>
    <w:rsid w:val="00A56156"/>
    <w:rsid w:val="00A5619F"/>
    <w:rsid w:val="00A563F3"/>
    <w:rsid w:val="00A56933"/>
    <w:rsid w:val="00A56AA4"/>
    <w:rsid w:val="00A56FDD"/>
    <w:rsid w:val="00A571BB"/>
    <w:rsid w:val="00A57387"/>
    <w:rsid w:val="00A57559"/>
    <w:rsid w:val="00A576A2"/>
    <w:rsid w:val="00A5792A"/>
    <w:rsid w:val="00A57F79"/>
    <w:rsid w:val="00A601F9"/>
    <w:rsid w:val="00A6043C"/>
    <w:rsid w:val="00A61814"/>
    <w:rsid w:val="00A618F6"/>
    <w:rsid w:val="00A6193B"/>
    <w:rsid w:val="00A61A01"/>
    <w:rsid w:val="00A6210A"/>
    <w:rsid w:val="00A62B9D"/>
    <w:rsid w:val="00A62D54"/>
    <w:rsid w:val="00A62D8F"/>
    <w:rsid w:val="00A62F00"/>
    <w:rsid w:val="00A630DD"/>
    <w:rsid w:val="00A63344"/>
    <w:rsid w:val="00A635F3"/>
    <w:rsid w:val="00A637B2"/>
    <w:rsid w:val="00A63A42"/>
    <w:rsid w:val="00A63C1C"/>
    <w:rsid w:val="00A64890"/>
    <w:rsid w:val="00A64B11"/>
    <w:rsid w:val="00A64D51"/>
    <w:rsid w:val="00A64D65"/>
    <w:rsid w:val="00A64EE8"/>
    <w:rsid w:val="00A653B2"/>
    <w:rsid w:val="00A65449"/>
    <w:rsid w:val="00A658F6"/>
    <w:rsid w:val="00A65A3B"/>
    <w:rsid w:val="00A65B90"/>
    <w:rsid w:val="00A65D8F"/>
    <w:rsid w:val="00A66140"/>
    <w:rsid w:val="00A6616C"/>
    <w:rsid w:val="00A662EE"/>
    <w:rsid w:val="00A665E6"/>
    <w:rsid w:val="00A6669D"/>
    <w:rsid w:val="00A66F5A"/>
    <w:rsid w:val="00A67022"/>
    <w:rsid w:val="00A6750B"/>
    <w:rsid w:val="00A67867"/>
    <w:rsid w:val="00A67CD2"/>
    <w:rsid w:val="00A7014C"/>
    <w:rsid w:val="00A702B0"/>
    <w:rsid w:val="00A7045A"/>
    <w:rsid w:val="00A707EA"/>
    <w:rsid w:val="00A70D7D"/>
    <w:rsid w:val="00A70EAF"/>
    <w:rsid w:val="00A70F3D"/>
    <w:rsid w:val="00A713E7"/>
    <w:rsid w:val="00A7162B"/>
    <w:rsid w:val="00A71796"/>
    <w:rsid w:val="00A71E1B"/>
    <w:rsid w:val="00A72129"/>
    <w:rsid w:val="00A722DE"/>
    <w:rsid w:val="00A724D8"/>
    <w:rsid w:val="00A72516"/>
    <w:rsid w:val="00A72598"/>
    <w:rsid w:val="00A72A1C"/>
    <w:rsid w:val="00A72BE5"/>
    <w:rsid w:val="00A72E61"/>
    <w:rsid w:val="00A731D1"/>
    <w:rsid w:val="00A7336A"/>
    <w:rsid w:val="00A739FD"/>
    <w:rsid w:val="00A74299"/>
    <w:rsid w:val="00A744C0"/>
    <w:rsid w:val="00A74693"/>
    <w:rsid w:val="00A74E3A"/>
    <w:rsid w:val="00A753A6"/>
    <w:rsid w:val="00A753DC"/>
    <w:rsid w:val="00A75494"/>
    <w:rsid w:val="00A75581"/>
    <w:rsid w:val="00A7578D"/>
    <w:rsid w:val="00A75A29"/>
    <w:rsid w:val="00A75FA5"/>
    <w:rsid w:val="00A76039"/>
    <w:rsid w:val="00A7639B"/>
    <w:rsid w:val="00A76B80"/>
    <w:rsid w:val="00A76BAF"/>
    <w:rsid w:val="00A77342"/>
    <w:rsid w:val="00A778D4"/>
    <w:rsid w:val="00A77A5B"/>
    <w:rsid w:val="00A77B1E"/>
    <w:rsid w:val="00A77D3B"/>
    <w:rsid w:val="00A80048"/>
    <w:rsid w:val="00A801A7"/>
    <w:rsid w:val="00A8020C"/>
    <w:rsid w:val="00A8104B"/>
    <w:rsid w:val="00A811C2"/>
    <w:rsid w:val="00A811DF"/>
    <w:rsid w:val="00A81261"/>
    <w:rsid w:val="00A8189D"/>
    <w:rsid w:val="00A81A78"/>
    <w:rsid w:val="00A81C0D"/>
    <w:rsid w:val="00A82074"/>
    <w:rsid w:val="00A8247C"/>
    <w:rsid w:val="00A825DA"/>
    <w:rsid w:val="00A829DF"/>
    <w:rsid w:val="00A82FAE"/>
    <w:rsid w:val="00A831B7"/>
    <w:rsid w:val="00A831BC"/>
    <w:rsid w:val="00A832F4"/>
    <w:rsid w:val="00A8343A"/>
    <w:rsid w:val="00A83520"/>
    <w:rsid w:val="00A8362F"/>
    <w:rsid w:val="00A83761"/>
    <w:rsid w:val="00A83935"/>
    <w:rsid w:val="00A83B84"/>
    <w:rsid w:val="00A83DBD"/>
    <w:rsid w:val="00A83F09"/>
    <w:rsid w:val="00A841A2"/>
    <w:rsid w:val="00A84736"/>
    <w:rsid w:val="00A8496A"/>
    <w:rsid w:val="00A84EF1"/>
    <w:rsid w:val="00A8505F"/>
    <w:rsid w:val="00A854D4"/>
    <w:rsid w:val="00A85A5A"/>
    <w:rsid w:val="00A85BCF"/>
    <w:rsid w:val="00A85CEB"/>
    <w:rsid w:val="00A85D97"/>
    <w:rsid w:val="00A86264"/>
    <w:rsid w:val="00A86C5E"/>
    <w:rsid w:val="00A871DA"/>
    <w:rsid w:val="00A87318"/>
    <w:rsid w:val="00A87791"/>
    <w:rsid w:val="00A8796F"/>
    <w:rsid w:val="00A879FC"/>
    <w:rsid w:val="00A87B63"/>
    <w:rsid w:val="00A87C29"/>
    <w:rsid w:val="00A87D7B"/>
    <w:rsid w:val="00A87F09"/>
    <w:rsid w:val="00A87F8D"/>
    <w:rsid w:val="00A9019B"/>
    <w:rsid w:val="00A90505"/>
    <w:rsid w:val="00A90572"/>
    <w:rsid w:val="00A90597"/>
    <w:rsid w:val="00A909C5"/>
    <w:rsid w:val="00A90DDB"/>
    <w:rsid w:val="00A914BB"/>
    <w:rsid w:val="00A91519"/>
    <w:rsid w:val="00A916AD"/>
    <w:rsid w:val="00A916B6"/>
    <w:rsid w:val="00A91834"/>
    <w:rsid w:val="00A918A7"/>
    <w:rsid w:val="00A91B14"/>
    <w:rsid w:val="00A91C37"/>
    <w:rsid w:val="00A9292A"/>
    <w:rsid w:val="00A93414"/>
    <w:rsid w:val="00A94229"/>
    <w:rsid w:val="00A94459"/>
    <w:rsid w:val="00A945A4"/>
    <w:rsid w:val="00A94A42"/>
    <w:rsid w:val="00A94BD7"/>
    <w:rsid w:val="00A9514A"/>
    <w:rsid w:val="00A9571C"/>
    <w:rsid w:val="00A95BF3"/>
    <w:rsid w:val="00A95C6F"/>
    <w:rsid w:val="00A95CCA"/>
    <w:rsid w:val="00A95CE2"/>
    <w:rsid w:val="00A964A0"/>
    <w:rsid w:val="00A966D7"/>
    <w:rsid w:val="00A9681B"/>
    <w:rsid w:val="00A96D05"/>
    <w:rsid w:val="00AA0BFA"/>
    <w:rsid w:val="00AA0D0D"/>
    <w:rsid w:val="00AA0EFC"/>
    <w:rsid w:val="00AA10EB"/>
    <w:rsid w:val="00AA16AB"/>
    <w:rsid w:val="00AA1792"/>
    <w:rsid w:val="00AA17CE"/>
    <w:rsid w:val="00AA1C11"/>
    <w:rsid w:val="00AA1D74"/>
    <w:rsid w:val="00AA1E0E"/>
    <w:rsid w:val="00AA2436"/>
    <w:rsid w:val="00AA25DA"/>
    <w:rsid w:val="00AA260A"/>
    <w:rsid w:val="00AA2636"/>
    <w:rsid w:val="00AA2727"/>
    <w:rsid w:val="00AA28E0"/>
    <w:rsid w:val="00AA2ABB"/>
    <w:rsid w:val="00AA2F58"/>
    <w:rsid w:val="00AA35D3"/>
    <w:rsid w:val="00AA3AC2"/>
    <w:rsid w:val="00AA3B05"/>
    <w:rsid w:val="00AA3BE3"/>
    <w:rsid w:val="00AA3EE1"/>
    <w:rsid w:val="00AA410D"/>
    <w:rsid w:val="00AA43B9"/>
    <w:rsid w:val="00AA43CB"/>
    <w:rsid w:val="00AA4467"/>
    <w:rsid w:val="00AA4F42"/>
    <w:rsid w:val="00AA506F"/>
    <w:rsid w:val="00AA52A2"/>
    <w:rsid w:val="00AA5709"/>
    <w:rsid w:val="00AA5A87"/>
    <w:rsid w:val="00AA6023"/>
    <w:rsid w:val="00AA6089"/>
    <w:rsid w:val="00AA65FF"/>
    <w:rsid w:val="00AA6687"/>
    <w:rsid w:val="00AA6AF5"/>
    <w:rsid w:val="00AA6B96"/>
    <w:rsid w:val="00AA705F"/>
    <w:rsid w:val="00AA70A3"/>
    <w:rsid w:val="00AA74E4"/>
    <w:rsid w:val="00AA768B"/>
    <w:rsid w:val="00AB0114"/>
    <w:rsid w:val="00AB090C"/>
    <w:rsid w:val="00AB0D3A"/>
    <w:rsid w:val="00AB0D41"/>
    <w:rsid w:val="00AB1063"/>
    <w:rsid w:val="00AB1284"/>
    <w:rsid w:val="00AB1497"/>
    <w:rsid w:val="00AB157E"/>
    <w:rsid w:val="00AB16C8"/>
    <w:rsid w:val="00AB191D"/>
    <w:rsid w:val="00AB1FE0"/>
    <w:rsid w:val="00AB27AA"/>
    <w:rsid w:val="00AB2C9E"/>
    <w:rsid w:val="00AB2CEF"/>
    <w:rsid w:val="00AB3375"/>
    <w:rsid w:val="00AB363A"/>
    <w:rsid w:val="00AB36CD"/>
    <w:rsid w:val="00AB39D6"/>
    <w:rsid w:val="00AB3BCB"/>
    <w:rsid w:val="00AB40BC"/>
    <w:rsid w:val="00AB4543"/>
    <w:rsid w:val="00AB4676"/>
    <w:rsid w:val="00AB4BDC"/>
    <w:rsid w:val="00AB4C1E"/>
    <w:rsid w:val="00AB5AD0"/>
    <w:rsid w:val="00AB5B07"/>
    <w:rsid w:val="00AB5C41"/>
    <w:rsid w:val="00AB5DCF"/>
    <w:rsid w:val="00AB6390"/>
    <w:rsid w:val="00AB63D4"/>
    <w:rsid w:val="00AB66EB"/>
    <w:rsid w:val="00AB67A7"/>
    <w:rsid w:val="00AB6B73"/>
    <w:rsid w:val="00AB78E4"/>
    <w:rsid w:val="00AB7AC7"/>
    <w:rsid w:val="00AC00B6"/>
    <w:rsid w:val="00AC01A0"/>
    <w:rsid w:val="00AC0226"/>
    <w:rsid w:val="00AC06D0"/>
    <w:rsid w:val="00AC078A"/>
    <w:rsid w:val="00AC0889"/>
    <w:rsid w:val="00AC096B"/>
    <w:rsid w:val="00AC0AF5"/>
    <w:rsid w:val="00AC0D22"/>
    <w:rsid w:val="00AC1404"/>
    <w:rsid w:val="00AC1A1D"/>
    <w:rsid w:val="00AC1A55"/>
    <w:rsid w:val="00AC1C7D"/>
    <w:rsid w:val="00AC1F84"/>
    <w:rsid w:val="00AC209A"/>
    <w:rsid w:val="00AC2732"/>
    <w:rsid w:val="00AC28F5"/>
    <w:rsid w:val="00AC2958"/>
    <w:rsid w:val="00AC2AC5"/>
    <w:rsid w:val="00AC2CDC"/>
    <w:rsid w:val="00AC3390"/>
    <w:rsid w:val="00AC3D38"/>
    <w:rsid w:val="00AC3D48"/>
    <w:rsid w:val="00AC3DEE"/>
    <w:rsid w:val="00AC471D"/>
    <w:rsid w:val="00AC4858"/>
    <w:rsid w:val="00AC49A3"/>
    <w:rsid w:val="00AC4B26"/>
    <w:rsid w:val="00AC4BA3"/>
    <w:rsid w:val="00AC4FD6"/>
    <w:rsid w:val="00AC4FD7"/>
    <w:rsid w:val="00AC51E5"/>
    <w:rsid w:val="00AC52C1"/>
    <w:rsid w:val="00AC54F9"/>
    <w:rsid w:val="00AC55CD"/>
    <w:rsid w:val="00AC56F7"/>
    <w:rsid w:val="00AC57B4"/>
    <w:rsid w:val="00AC5817"/>
    <w:rsid w:val="00AC582D"/>
    <w:rsid w:val="00AC5AFA"/>
    <w:rsid w:val="00AC5CD1"/>
    <w:rsid w:val="00AC6258"/>
    <w:rsid w:val="00AC666C"/>
    <w:rsid w:val="00AC68BB"/>
    <w:rsid w:val="00AC71BE"/>
    <w:rsid w:val="00AC729F"/>
    <w:rsid w:val="00AC7B4A"/>
    <w:rsid w:val="00AC7B73"/>
    <w:rsid w:val="00AC7D5F"/>
    <w:rsid w:val="00AC7D8A"/>
    <w:rsid w:val="00AC7E35"/>
    <w:rsid w:val="00AC7FD0"/>
    <w:rsid w:val="00AD08E7"/>
    <w:rsid w:val="00AD0DF8"/>
    <w:rsid w:val="00AD0F60"/>
    <w:rsid w:val="00AD14D5"/>
    <w:rsid w:val="00AD14EB"/>
    <w:rsid w:val="00AD153C"/>
    <w:rsid w:val="00AD15D5"/>
    <w:rsid w:val="00AD1867"/>
    <w:rsid w:val="00AD1909"/>
    <w:rsid w:val="00AD1EB9"/>
    <w:rsid w:val="00AD2634"/>
    <w:rsid w:val="00AD26EC"/>
    <w:rsid w:val="00AD27BD"/>
    <w:rsid w:val="00AD2875"/>
    <w:rsid w:val="00AD292D"/>
    <w:rsid w:val="00AD2A79"/>
    <w:rsid w:val="00AD2FCC"/>
    <w:rsid w:val="00AD329D"/>
    <w:rsid w:val="00AD356C"/>
    <w:rsid w:val="00AD396C"/>
    <w:rsid w:val="00AD39DA"/>
    <w:rsid w:val="00AD3EAB"/>
    <w:rsid w:val="00AD40FB"/>
    <w:rsid w:val="00AD45B1"/>
    <w:rsid w:val="00AD48FB"/>
    <w:rsid w:val="00AD4911"/>
    <w:rsid w:val="00AD4D93"/>
    <w:rsid w:val="00AD504A"/>
    <w:rsid w:val="00AD535E"/>
    <w:rsid w:val="00AD53F5"/>
    <w:rsid w:val="00AD5904"/>
    <w:rsid w:val="00AD5996"/>
    <w:rsid w:val="00AD5C8F"/>
    <w:rsid w:val="00AD64FD"/>
    <w:rsid w:val="00AD6836"/>
    <w:rsid w:val="00AD6D7B"/>
    <w:rsid w:val="00AD6E8A"/>
    <w:rsid w:val="00AD7805"/>
    <w:rsid w:val="00AD7BC0"/>
    <w:rsid w:val="00AD7CB7"/>
    <w:rsid w:val="00AD7DAE"/>
    <w:rsid w:val="00AD7E47"/>
    <w:rsid w:val="00AE0054"/>
    <w:rsid w:val="00AE0061"/>
    <w:rsid w:val="00AE021F"/>
    <w:rsid w:val="00AE0323"/>
    <w:rsid w:val="00AE091E"/>
    <w:rsid w:val="00AE0975"/>
    <w:rsid w:val="00AE09C5"/>
    <w:rsid w:val="00AE0BAD"/>
    <w:rsid w:val="00AE10C1"/>
    <w:rsid w:val="00AE11A1"/>
    <w:rsid w:val="00AE176F"/>
    <w:rsid w:val="00AE2141"/>
    <w:rsid w:val="00AE21C6"/>
    <w:rsid w:val="00AE250D"/>
    <w:rsid w:val="00AE2760"/>
    <w:rsid w:val="00AE2A34"/>
    <w:rsid w:val="00AE2DF6"/>
    <w:rsid w:val="00AE307B"/>
    <w:rsid w:val="00AE31BE"/>
    <w:rsid w:val="00AE354C"/>
    <w:rsid w:val="00AE3664"/>
    <w:rsid w:val="00AE36D5"/>
    <w:rsid w:val="00AE38DE"/>
    <w:rsid w:val="00AE3B29"/>
    <w:rsid w:val="00AE3BA9"/>
    <w:rsid w:val="00AE3C42"/>
    <w:rsid w:val="00AE40A1"/>
    <w:rsid w:val="00AE424D"/>
    <w:rsid w:val="00AE458A"/>
    <w:rsid w:val="00AE45C3"/>
    <w:rsid w:val="00AE46D1"/>
    <w:rsid w:val="00AE4C38"/>
    <w:rsid w:val="00AE502B"/>
    <w:rsid w:val="00AE510E"/>
    <w:rsid w:val="00AE52FF"/>
    <w:rsid w:val="00AE54F9"/>
    <w:rsid w:val="00AE55A1"/>
    <w:rsid w:val="00AE580C"/>
    <w:rsid w:val="00AE6250"/>
    <w:rsid w:val="00AE6820"/>
    <w:rsid w:val="00AE6B75"/>
    <w:rsid w:val="00AE6C41"/>
    <w:rsid w:val="00AE7007"/>
    <w:rsid w:val="00AE73FA"/>
    <w:rsid w:val="00AE756A"/>
    <w:rsid w:val="00AE7681"/>
    <w:rsid w:val="00AE7858"/>
    <w:rsid w:val="00AE7D4B"/>
    <w:rsid w:val="00AF00F0"/>
    <w:rsid w:val="00AF0282"/>
    <w:rsid w:val="00AF0C5E"/>
    <w:rsid w:val="00AF0DE3"/>
    <w:rsid w:val="00AF12D0"/>
    <w:rsid w:val="00AF13A5"/>
    <w:rsid w:val="00AF1935"/>
    <w:rsid w:val="00AF1A18"/>
    <w:rsid w:val="00AF1E03"/>
    <w:rsid w:val="00AF2118"/>
    <w:rsid w:val="00AF212A"/>
    <w:rsid w:val="00AF2530"/>
    <w:rsid w:val="00AF25ED"/>
    <w:rsid w:val="00AF2775"/>
    <w:rsid w:val="00AF2A41"/>
    <w:rsid w:val="00AF2AD1"/>
    <w:rsid w:val="00AF302B"/>
    <w:rsid w:val="00AF31BE"/>
    <w:rsid w:val="00AF31EE"/>
    <w:rsid w:val="00AF361F"/>
    <w:rsid w:val="00AF3C3E"/>
    <w:rsid w:val="00AF3C8A"/>
    <w:rsid w:val="00AF3F02"/>
    <w:rsid w:val="00AF404C"/>
    <w:rsid w:val="00AF4854"/>
    <w:rsid w:val="00AF4890"/>
    <w:rsid w:val="00AF4ADA"/>
    <w:rsid w:val="00AF4C89"/>
    <w:rsid w:val="00AF518F"/>
    <w:rsid w:val="00AF52C1"/>
    <w:rsid w:val="00AF5499"/>
    <w:rsid w:val="00AF55B6"/>
    <w:rsid w:val="00AF57E1"/>
    <w:rsid w:val="00AF59B5"/>
    <w:rsid w:val="00AF5BF1"/>
    <w:rsid w:val="00AF5D89"/>
    <w:rsid w:val="00AF5FDC"/>
    <w:rsid w:val="00AF60AF"/>
    <w:rsid w:val="00AF637D"/>
    <w:rsid w:val="00AF64E7"/>
    <w:rsid w:val="00AF6523"/>
    <w:rsid w:val="00AF66E0"/>
    <w:rsid w:val="00AF67F3"/>
    <w:rsid w:val="00AF69DF"/>
    <w:rsid w:val="00AF6C24"/>
    <w:rsid w:val="00AF6F7A"/>
    <w:rsid w:val="00AF74EE"/>
    <w:rsid w:val="00AF77CD"/>
    <w:rsid w:val="00B003A0"/>
    <w:rsid w:val="00B00CEC"/>
    <w:rsid w:val="00B00D11"/>
    <w:rsid w:val="00B00E51"/>
    <w:rsid w:val="00B00EB2"/>
    <w:rsid w:val="00B015F3"/>
    <w:rsid w:val="00B019DF"/>
    <w:rsid w:val="00B01B73"/>
    <w:rsid w:val="00B01D27"/>
    <w:rsid w:val="00B01D5C"/>
    <w:rsid w:val="00B01E9B"/>
    <w:rsid w:val="00B01F5F"/>
    <w:rsid w:val="00B02123"/>
    <w:rsid w:val="00B021BA"/>
    <w:rsid w:val="00B021D5"/>
    <w:rsid w:val="00B0241F"/>
    <w:rsid w:val="00B024C0"/>
    <w:rsid w:val="00B02625"/>
    <w:rsid w:val="00B029F0"/>
    <w:rsid w:val="00B02A22"/>
    <w:rsid w:val="00B030DA"/>
    <w:rsid w:val="00B034A8"/>
    <w:rsid w:val="00B036A6"/>
    <w:rsid w:val="00B036CD"/>
    <w:rsid w:val="00B03D68"/>
    <w:rsid w:val="00B03E5F"/>
    <w:rsid w:val="00B043AF"/>
    <w:rsid w:val="00B044AD"/>
    <w:rsid w:val="00B04893"/>
    <w:rsid w:val="00B04D35"/>
    <w:rsid w:val="00B04D4F"/>
    <w:rsid w:val="00B050E3"/>
    <w:rsid w:val="00B05268"/>
    <w:rsid w:val="00B05318"/>
    <w:rsid w:val="00B0536E"/>
    <w:rsid w:val="00B057AA"/>
    <w:rsid w:val="00B05A9B"/>
    <w:rsid w:val="00B05ACC"/>
    <w:rsid w:val="00B05DA9"/>
    <w:rsid w:val="00B05E06"/>
    <w:rsid w:val="00B06141"/>
    <w:rsid w:val="00B06698"/>
    <w:rsid w:val="00B0689E"/>
    <w:rsid w:val="00B06AEE"/>
    <w:rsid w:val="00B073D4"/>
    <w:rsid w:val="00B073DF"/>
    <w:rsid w:val="00B074EA"/>
    <w:rsid w:val="00B07ADE"/>
    <w:rsid w:val="00B1011E"/>
    <w:rsid w:val="00B10331"/>
    <w:rsid w:val="00B10980"/>
    <w:rsid w:val="00B10CF4"/>
    <w:rsid w:val="00B10D7E"/>
    <w:rsid w:val="00B10EA8"/>
    <w:rsid w:val="00B10FE9"/>
    <w:rsid w:val="00B1156D"/>
    <w:rsid w:val="00B115DE"/>
    <w:rsid w:val="00B11839"/>
    <w:rsid w:val="00B118DA"/>
    <w:rsid w:val="00B11A93"/>
    <w:rsid w:val="00B11C4C"/>
    <w:rsid w:val="00B11E32"/>
    <w:rsid w:val="00B12140"/>
    <w:rsid w:val="00B12422"/>
    <w:rsid w:val="00B125C0"/>
    <w:rsid w:val="00B129FD"/>
    <w:rsid w:val="00B12BE5"/>
    <w:rsid w:val="00B12E26"/>
    <w:rsid w:val="00B12EFE"/>
    <w:rsid w:val="00B13562"/>
    <w:rsid w:val="00B1388E"/>
    <w:rsid w:val="00B13948"/>
    <w:rsid w:val="00B13972"/>
    <w:rsid w:val="00B13E03"/>
    <w:rsid w:val="00B13F5E"/>
    <w:rsid w:val="00B14185"/>
    <w:rsid w:val="00B145D4"/>
    <w:rsid w:val="00B14752"/>
    <w:rsid w:val="00B15318"/>
    <w:rsid w:val="00B15AC5"/>
    <w:rsid w:val="00B15CF2"/>
    <w:rsid w:val="00B16009"/>
    <w:rsid w:val="00B16351"/>
    <w:rsid w:val="00B16546"/>
    <w:rsid w:val="00B1692E"/>
    <w:rsid w:val="00B16FA8"/>
    <w:rsid w:val="00B173F7"/>
    <w:rsid w:val="00B174FC"/>
    <w:rsid w:val="00B17A4A"/>
    <w:rsid w:val="00B17B2C"/>
    <w:rsid w:val="00B2034B"/>
    <w:rsid w:val="00B209FB"/>
    <w:rsid w:val="00B20DA3"/>
    <w:rsid w:val="00B20F5D"/>
    <w:rsid w:val="00B21074"/>
    <w:rsid w:val="00B212D2"/>
    <w:rsid w:val="00B21375"/>
    <w:rsid w:val="00B214FB"/>
    <w:rsid w:val="00B21CB8"/>
    <w:rsid w:val="00B2223B"/>
    <w:rsid w:val="00B224DD"/>
    <w:rsid w:val="00B22984"/>
    <w:rsid w:val="00B22C00"/>
    <w:rsid w:val="00B2321A"/>
    <w:rsid w:val="00B233EE"/>
    <w:rsid w:val="00B235C8"/>
    <w:rsid w:val="00B23833"/>
    <w:rsid w:val="00B239F3"/>
    <w:rsid w:val="00B23F06"/>
    <w:rsid w:val="00B23FFB"/>
    <w:rsid w:val="00B243FA"/>
    <w:rsid w:val="00B24975"/>
    <w:rsid w:val="00B24DB0"/>
    <w:rsid w:val="00B24F07"/>
    <w:rsid w:val="00B24F76"/>
    <w:rsid w:val="00B253C6"/>
    <w:rsid w:val="00B2554D"/>
    <w:rsid w:val="00B2648F"/>
    <w:rsid w:val="00B26515"/>
    <w:rsid w:val="00B26CB4"/>
    <w:rsid w:val="00B27204"/>
    <w:rsid w:val="00B27208"/>
    <w:rsid w:val="00B2757D"/>
    <w:rsid w:val="00B27949"/>
    <w:rsid w:val="00B2797F"/>
    <w:rsid w:val="00B27A6E"/>
    <w:rsid w:val="00B27B83"/>
    <w:rsid w:val="00B27EEA"/>
    <w:rsid w:val="00B27EF8"/>
    <w:rsid w:val="00B3006B"/>
    <w:rsid w:val="00B301BE"/>
    <w:rsid w:val="00B30351"/>
    <w:rsid w:val="00B303A3"/>
    <w:rsid w:val="00B30977"/>
    <w:rsid w:val="00B30AF8"/>
    <w:rsid w:val="00B30D64"/>
    <w:rsid w:val="00B30DB2"/>
    <w:rsid w:val="00B30EBC"/>
    <w:rsid w:val="00B31262"/>
    <w:rsid w:val="00B3173E"/>
    <w:rsid w:val="00B317C4"/>
    <w:rsid w:val="00B31DAD"/>
    <w:rsid w:val="00B31DB3"/>
    <w:rsid w:val="00B3219A"/>
    <w:rsid w:val="00B321CF"/>
    <w:rsid w:val="00B3256F"/>
    <w:rsid w:val="00B327A7"/>
    <w:rsid w:val="00B33247"/>
    <w:rsid w:val="00B332C7"/>
    <w:rsid w:val="00B33544"/>
    <w:rsid w:val="00B33839"/>
    <w:rsid w:val="00B3388E"/>
    <w:rsid w:val="00B33906"/>
    <w:rsid w:val="00B33BBD"/>
    <w:rsid w:val="00B33D13"/>
    <w:rsid w:val="00B34173"/>
    <w:rsid w:val="00B34207"/>
    <w:rsid w:val="00B342E6"/>
    <w:rsid w:val="00B34381"/>
    <w:rsid w:val="00B34DD7"/>
    <w:rsid w:val="00B35221"/>
    <w:rsid w:val="00B353C5"/>
    <w:rsid w:val="00B35540"/>
    <w:rsid w:val="00B358F7"/>
    <w:rsid w:val="00B35A06"/>
    <w:rsid w:val="00B35B16"/>
    <w:rsid w:val="00B3629C"/>
    <w:rsid w:val="00B366FA"/>
    <w:rsid w:val="00B36B9A"/>
    <w:rsid w:val="00B370B1"/>
    <w:rsid w:val="00B3711E"/>
    <w:rsid w:val="00B37227"/>
    <w:rsid w:val="00B377F1"/>
    <w:rsid w:val="00B37AD7"/>
    <w:rsid w:val="00B37B3E"/>
    <w:rsid w:val="00B40174"/>
    <w:rsid w:val="00B401BB"/>
    <w:rsid w:val="00B404B8"/>
    <w:rsid w:val="00B40AD7"/>
    <w:rsid w:val="00B40D5C"/>
    <w:rsid w:val="00B40DDB"/>
    <w:rsid w:val="00B41470"/>
    <w:rsid w:val="00B415C5"/>
    <w:rsid w:val="00B4176C"/>
    <w:rsid w:val="00B417B3"/>
    <w:rsid w:val="00B419F8"/>
    <w:rsid w:val="00B41BD0"/>
    <w:rsid w:val="00B42067"/>
    <w:rsid w:val="00B42194"/>
    <w:rsid w:val="00B4234F"/>
    <w:rsid w:val="00B426C4"/>
    <w:rsid w:val="00B42E54"/>
    <w:rsid w:val="00B430A0"/>
    <w:rsid w:val="00B4325E"/>
    <w:rsid w:val="00B433AF"/>
    <w:rsid w:val="00B433E2"/>
    <w:rsid w:val="00B43699"/>
    <w:rsid w:val="00B43BE2"/>
    <w:rsid w:val="00B43F6D"/>
    <w:rsid w:val="00B4433A"/>
    <w:rsid w:val="00B4472C"/>
    <w:rsid w:val="00B447A2"/>
    <w:rsid w:val="00B4490F"/>
    <w:rsid w:val="00B44976"/>
    <w:rsid w:val="00B44E0C"/>
    <w:rsid w:val="00B44E48"/>
    <w:rsid w:val="00B44F73"/>
    <w:rsid w:val="00B45072"/>
    <w:rsid w:val="00B454BA"/>
    <w:rsid w:val="00B45AB4"/>
    <w:rsid w:val="00B46506"/>
    <w:rsid w:val="00B46AC7"/>
    <w:rsid w:val="00B46D82"/>
    <w:rsid w:val="00B46F28"/>
    <w:rsid w:val="00B470E4"/>
    <w:rsid w:val="00B471DE"/>
    <w:rsid w:val="00B47281"/>
    <w:rsid w:val="00B47287"/>
    <w:rsid w:val="00B47730"/>
    <w:rsid w:val="00B47EDE"/>
    <w:rsid w:val="00B50357"/>
    <w:rsid w:val="00B504AD"/>
    <w:rsid w:val="00B506C8"/>
    <w:rsid w:val="00B50A6F"/>
    <w:rsid w:val="00B50F0A"/>
    <w:rsid w:val="00B50FFA"/>
    <w:rsid w:val="00B514D0"/>
    <w:rsid w:val="00B51871"/>
    <w:rsid w:val="00B51D25"/>
    <w:rsid w:val="00B51E9F"/>
    <w:rsid w:val="00B51FEC"/>
    <w:rsid w:val="00B52032"/>
    <w:rsid w:val="00B520A6"/>
    <w:rsid w:val="00B52195"/>
    <w:rsid w:val="00B524A3"/>
    <w:rsid w:val="00B52636"/>
    <w:rsid w:val="00B52788"/>
    <w:rsid w:val="00B52C90"/>
    <w:rsid w:val="00B52F2C"/>
    <w:rsid w:val="00B532B5"/>
    <w:rsid w:val="00B5359A"/>
    <w:rsid w:val="00B53AD7"/>
    <w:rsid w:val="00B53D73"/>
    <w:rsid w:val="00B53F59"/>
    <w:rsid w:val="00B54626"/>
    <w:rsid w:val="00B54B67"/>
    <w:rsid w:val="00B55425"/>
    <w:rsid w:val="00B56395"/>
    <w:rsid w:val="00B566EA"/>
    <w:rsid w:val="00B56736"/>
    <w:rsid w:val="00B56E8F"/>
    <w:rsid w:val="00B5709A"/>
    <w:rsid w:val="00B570B3"/>
    <w:rsid w:val="00B57320"/>
    <w:rsid w:val="00B5735E"/>
    <w:rsid w:val="00B5796A"/>
    <w:rsid w:val="00B57E29"/>
    <w:rsid w:val="00B601A0"/>
    <w:rsid w:val="00B61150"/>
    <w:rsid w:val="00B61504"/>
    <w:rsid w:val="00B61591"/>
    <w:rsid w:val="00B6176E"/>
    <w:rsid w:val="00B61814"/>
    <w:rsid w:val="00B61BFC"/>
    <w:rsid w:val="00B61FB3"/>
    <w:rsid w:val="00B62421"/>
    <w:rsid w:val="00B62641"/>
    <w:rsid w:val="00B62FAF"/>
    <w:rsid w:val="00B63169"/>
    <w:rsid w:val="00B63383"/>
    <w:rsid w:val="00B633A1"/>
    <w:rsid w:val="00B6380B"/>
    <w:rsid w:val="00B63B6C"/>
    <w:rsid w:val="00B63BBC"/>
    <w:rsid w:val="00B63D67"/>
    <w:rsid w:val="00B64033"/>
    <w:rsid w:val="00B64381"/>
    <w:rsid w:val="00B644B1"/>
    <w:rsid w:val="00B64658"/>
    <w:rsid w:val="00B6467B"/>
    <w:rsid w:val="00B64D57"/>
    <w:rsid w:val="00B65096"/>
    <w:rsid w:val="00B650D0"/>
    <w:rsid w:val="00B6513C"/>
    <w:rsid w:val="00B657DC"/>
    <w:rsid w:val="00B65838"/>
    <w:rsid w:val="00B65899"/>
    <w:rsid w:val="00B6596F"/>
    <w:rsid w:val="00B65DBF"/>
    <w:rsid w:val="00B66614"/>
    <w:rsid w:val="00B66677"/>
    <w:rsid w:val="00B666FA"/>
    <w:rsid w:val="00B66720"/>
    <w:rsid w:val="00B66BEF"/>
    <w:rsid w:val="00B66E0B"/>
    <w:rsid w:val="00B671A7"/>
    <w:rsid w:val="00B67A2C"/>
    <w:rsid w:val="00B67D26"/>
    <w:rsid w:val="00B67D97"/>
    <w:rsid w:val="00B7036D"/>
    <w:rsid w:val="00B70388"/>
    <w:rsid w:val="00B71022"/>
    <w:rsid w:val="00B712E8"/>
    <w:rsid w:val="00B71502"/>
    <w:rsid w:val="00B71569"/>
    <w:rsid w:val="00B71A22"/>
    <w:rsid w:val="00B71D70"/>
    <w:rsid w:val="00B71D85"/>
    <w:rsid w:val="00B720B3"/>
    <w:rsid w:val="00B720CB"/>
    <w:rsid w:val="00B72344"/>
    <w:rsid w:val="00B72354"/>
    <w:rsid w:val="00B724D7"/>
    <w:rsid w:val="00B725C7"/>
    <w:rsid w:val="00B72773"/>
    <w:rsid w:val="00B72CFA"/>
    <w:rsid w:val="00B72D2C"/>
    <w:rsid w:val="00B72DE6"/>
    <w:rsid w:val="00B72ED8"/>
    <w:rsid w:val="00B73301"/>
    <w:rsid w:val="00B733AE"/>
    <w:rsid w:val="00B737F1"/>
    <w:rsid w:val="00B73963"/>
    <w:rsid w:val="00B7396C"/>
    <w:rsid w:val="00B73BA1"/>
    <w:rsid w:val="00B73ECC"/>
    <w:rsid w:val="00B74162"/>
    <w:rsid w:val="00B742F5"/>
    <w:rsid w:val="00B74393"/>
    <w:rsid w:val="00B743CE"/>
    <w:rsid w:val="00B746BB"/>
    <w:rsid w:val="00B74B56"/>
    <w:rsid w:val="00B74D70"/>
    <w:rsid w:val="00B7525B"/>
    <w:rsid w:val="00B7585F"/>
    <w:rsid w:val="00B75B02"/>
    <w:rsid w:val="00B75BB6"/>
    <w:rsid w:val="00B75C12"/>
    <w:rsid w:val="00B76206"/>
    <w:rsid w:val="00B76271"/>
    <w:rsid w:val="00B76711"/>
    <w:rsid w:val="00B7688E"/>
    <w:rsid w:val="00B76967"/>
    <w:rsid w:val="00B7711A"/>
    <w:rsid w:val="00B77289"/>
    <w:rsid w:val="00B7733B"/>
    <w:rsid w:val="00B77467"/>
    <w:rsid w:val="00B7760E"/>
    <w:rsid w:val="00B77B79"/>
    <w:rsid w:val="00B77D09"/>
    <w:rsid w:val="00B77D7B"/>
    <w:rsid w:val="00B77ED3"/>
    <w:rsid w:val="00B8017A"/>
    <w:rsid w:val="00B80233"/>
    <w:rsid w:val="00B803EF"/>
    <w:rsid w:val="00B8046A"/>
    <w:rsid w:val="00B80715"/>
    <w:rsid w:val="00B80BA3"/>
    <w:rsid w:val="00B81582"/>
    <w:rsid w:val="00B8182A"/>
    <w:rsid w:val="00B81C6E"/>
    <w:rsid w:val="00B81EEA"/>
    <w:rsid w:val="00B82055"/>
    <w:rsid w:val="00B8258E"/>
    <w:rsid w:val="00B82709"/>
    <w:rsid w:val="00B82865"/>
    <w:rsid w:val="00B82D80"/>
    <w:rsid w:val="00B82F14"/>
    <w:rsid w:val="00B83644"/>
    <w:rsid w:val="00B83653"/>
    <w:rsid w:val="00B836A6"/>
    <w:rsid w:val="00B838D0"/>
    <w:rsid w:val="00B83F9F"/>
    <w:rsid w:val="00B8408E"/>
    <w:rsid w:val="00B84623"/>
    <w:rsid w:val="00B847AA"/>
    <w:rsid w:val="00B84853"/>
    <w:rsid w:val="00B84AFD"/>
    <w:rsid w:val="00B84B03"/>
    <w:rsid w:val="00B84BE4"/>
    <w:rsid w:val="00B85048"/>
    <w:rsid w:val="00B85394"/>
    <w:rsid w:val="00B853DA"/>
    <w:rsid w:val="00B8583F"/>
    <w:rsid w:val="00B85F69"/>
    <w:rsid w:val="00B86423"/>
    <w:rsid w:val="00B86841"/>
    <w:rsid w:val="00B8689A"/>
    <w:rsid w:val="00B86A92"/>
    <w:rsid w:val="00B8708F"/>
    <w:rsid w:val="00B875CB"/>
    <w:rsid w:val="00B8776C"/>
    <w:rsid w:val="00B87BEE"/>
    <w:rsid w:val="00B87C5E"/>
    <w:rsid w:val="00B90087"/>
    <w:rsid w:val="00B90603"/>
    <w:rsid w:val="00B9086D"/>
    <w:rsid w:val="00B90B8D"/>
    <w:rsid w:val="00B90CAC"/>
    <w:rsid w:val="00B91246"/>
    <w:rsid w:val="00B9130F"/>
    <w:rsid w:val="00B9143B"/>
    <w:rsid w:val="00B91460"/>
    <w:rsid w:val="00B91BB6"/>
    <w:rsid w:val="00B923B1"/>
    <w:rsid w:val="00B92964"/>
    <w:rsid w:val="00B92DD8"/>
    <w:rsid w:val="00B92DD9"/>
    <w:rsid w:val="00B92E7D"/>
    <w:rsid w:val="00B93039"/>
    <w:rsid w:val="00B931EF"/>
    <w:rsid w:val="00B939AC"/>
    <w:rsid w:val="00B941B3"/>
    <w:rsid w:val="00B94265"/>
    <w:rsid w:val="00B94644"/>
    <w:rsid w:val="00B94655"/>
    <w:rsid w:val="00B946F2"/>
    <w:rsid w:val="00B94FE6"/>
    <w:rsid w:val="00B95046"/>
    <w:rsid w:val="00B953A4"/>
    <w:rsid w:val="00B955CB"/>
    <w:rsid w:val="00B956D4"/>
    <w:rsid w:val="00B95887"/>
    <w:rsid w:val="00B95CDA"/>
    <w:rsid w:val="00B95CED"/>
    <w:rsid w:val="00B960B6"/>
    <w:rsid w:val="00B964D0"/>
    <w:rsid w:val="00B96575"/>
    <w:rsid w:val="00B965CE"/>
    <w:rsid w:val="00B966FC"/>
    <w:rsid w:val="00B96C8F"/>
    <w:rsid w:val="00B96D98"/>
    <w:rsid w:val="00B96E3D"/>
    <w:rsid w:val="00B97033"/>
    <w:rsid w:val="00B974AC"/>
    <w:rsid w:val="00B9771D"/>
    <w:rsid w:val="00B97878"/>
    <w:rsid w:val="00B97AF7"/>
    <w:rsid w:val="00B97C11"/>
    <w:rsid w:val="00B97E57"/>
    <w:rsid w:val="00BA0437"/>
    <w:rsid w:val="00BA0B87"/>
    <w:rsid w:val="00BA0C18"/>
    <w:rsid w:val="00BA0D9B"/>
    <w:rsid w:val="00BA0E6D"/>
    <w:rsid w:val="00BA0FD5"/>
    <w:rsid w:val="00BA10FF"/>
    <w:rsid w:val="00BA139A"/>
    <w:rsid w:val="00BA1769"/>
    <w:rsid w:val="00BA1EC2"/>
    <w:rsid w:val="00BA21C7"/>
    <w:rsid w:val="00BA2492"/>
    <w:rsid w:val="00BA249F"/>
    <w:rsid w:val="00BA28E8"/>
    <w:rsid w:val="00BA2D76"/>
    <w:rsid w:val="00BA2DC1"/>
    <w:rsid w:val="00BA2F91"/>
    <w:rsid w:val="00BA351F"/>
    <w:rsid w:val="00BA3D5B"/>
    <w:rsid w:val="00BA3D90"/>
    <w:rsid w:val="00BA440A"/>
    <w:rsid w:val="00BA46A2"/>
    <w:rsid w:val="00BA49A7"/>
    <w:rsid w:val="00BA4C11"/>
    <w:rsid w:val="00BA5506"/>
    <w:rsid w:val="00BA569B"/>
    <w:rsid w:val="00BA5750"/>
    <w:rsid w:val="00BA5AC9"/>
    <w:rsid w:val="00BA5D6E"/>
    <w:rsid w:val="00BA64E9"/>
    <w:rsid w:val="00BA65DA"/>
    <w:rsid w:val="00BA6826"/>
    <w:rsid w:val="00BA68F1"/>
    <w:rsid w:val="00BA6C20"/>
    <w:rsid w:val="00BA6F7D"/>
    <w:rsid w:val="00BA7067"/>
    <w:rsid w:val="00BA7B19"/>
    <w:rsid w:val="00BA7ED4"/>
    <w:rsid w:val="00BB0135"/>
    <w:rsid w:val="00BB0155"/>
    <w:rsid w:val="00BB05E7"/>
    <w:rsid w:val="00BB06A3"/>
    <w:rsid w:val="00BB08F2"/>
    <w:rsid w:val="00BB0923"/>
    <w:rsid w:val="00BB191A"/>
    <w:rsid w:val="00BB1AE9"/>
    <w:rsid w:val="00BB1CB9"/>
    <w:rsid w:val="00BB27F9"/>
    <w:rsid w:val="00BB2A71"/>
    <w:rsid w:val="00BB2EAF"/>
    <w:rsid w:val="00BB2F5E"/>
    <w:rsid w:val="00BB34EA"/>
    <w:rsid w:val="00BB38C0"/>
    <w:rsid w:val="00BB41CE"/>
    <w:rsid w:val="00BB425D"/>
    <w:rsid w:val="00BB436D"/>
    <w:rsid w:val="00BB479A"/>
    <w:rsid w:val="00BB4B7C"/>
    <w:rsid w:val="00BB4C00"/>
    <w:rsid w:val="00BB4D90"/>
    <w:rsid w:val="00BB5259"/>
    <w:rsid w:val="00BB52A0"/>
    <w:rsid w:val="00BB54C4"/>
    <w:rsid w:val="00BB5CB5"/>
    <w:rsid w:val="00BB5E84"/>
    <w:rsid w:val="00BB60DB"/>
    <w:rsid w:val="00BB622B"/>
    <w:rsid w:val="00BB6251"/>
    <w:rsid w:val="00BB6B4D"/>
    <w:rsid w:val="00BB6E91"/>
    <w:rsid w:val="00BB7333"/>
    <w:rsid w:val="00BB7915"/>
    <w:rsid w:val="00BB7944"/>
    <w:rsid w:val="00BB7A08"/>
    <w:rsid w:val="00BB7BEC"/>
    <w:rsid w:val="00BB7C93"/>
    <w:rsid w:val="00BB7CAE"/>
    <w:rsid w:val="00BB7E5C"/>
    <w:rsid w:val="00BB7F02"/>
    <w:rsid w:val="00BB7F44"/>
    <w:rsid w:val="00BB7F47"/>
    <w:rsid w:val="00BC01BD"/>
    <w:rsid w:val="00BC028C"/>
    <w:rsid w:val="00BC0398"/>
    <w:rsid w:val="00BC03F4"/>
    <w:rsid w:val="00BC07C6"/>
    <w:rsid w:val="00BC085F"/>
    <w:rsid w:val="00BC0925"/>
    <w:rsid w:val="00BC0FC4"/>
    <w:rsid w:val="00BC1033"/>
    <w:rsid w:val="00BC13F1"/>
    <w:rsid w:val="00BC1466"/>
    <w:rsid w:val="00BC1964"/>
    <w:rsid w:val="00BC289D"/>
    <w:rsid w:val="00BC28AE"/>
    <w:rsid w:val="00BC2D40"/>
    <w:rsid w:val="00BC3296"/>
    <w:rsid w:val="00BC32A8"/>
    <w:rsid w:val="00BC4322"/>
    <w:rsid w:val="00BC44A0"/>
    <w:rsid w:val="00BC4961"/>
    <w:rsid w:val="00BC49D9"/>
    <w:rsid w:val="00BC4D55"/>
    <w:rsid w:val="00BC4FE2"/>
    <w:rsid w:val="00BC50AE"/>
    <w:rsid w:val="00BC55BF"/>
    <w:rsid w:val="00BC55FC"/>
    <w:rsid w:val="00BC5BE7"/>
    <w:rsid w:val="00BC5DC5"/>
    <w:rsid w:val="00BC5DCC"/>
    <w:rsid w:val="00BC6554"/>
    <w:rsid w:val="00BC65B0"/>
    <w:rsid w:val="00BC65E8"/>
    <w:rsid w:val="00BC684F"/>
    <w:rsid w:val="00BC692F"/>
    <w:rsid w:val="00BC69C9"/>
    <w:rsid w:val="00BC6AC5"/>
    <w:rsid w:val="00BC6B86"/>
    <w:rsid w:val="00BC7020"/>
    <w:rsid w:val="00BC7217"/>
    <w:rsid w:val="00BC731C"/>
    <w:rsid w:val="00BC7328"/>
    <w:rsid w:val="00BC743D"/>
    <w:rsid w:val="00BC7BCF"/>
    <w:rsid w:val="00BC7C0C"/>
    <w:rsid w:val="00BD005E"/>
    <w:rsid w:val="00BD066F"/>
    <w:rsid w:val="00BD0B8B"/>
    <w:rsid w:val="00BD0BC1"/>
    <w:rsid w:val="00BD0C5E"/>
    <w:rsid w:val="00BD0EC1"/>
    <w:rsid w:val="00BD0EC6"/>
    <w:rsid w:val="00BD10F7"/>
    <w:rsid w:val="00BD1147"/>
    <w:rsid w:val="00BD1389"/>
    <w:rsid w:val="00BD13A6"/>
    <w:rsid w:val="00BD1516"/>
    <w:rsid w:val="00BD158A"/>
    <w:rsid w:val="00BD15D3"/>
    <w:rsid w:val="00BD1686"/>
    <w:rsid w:val="00BD196E"/>
    <w:rsid w:val="00BD1B89"/>
    <w:rsid w:val="00BD1C0C"/>
    <w:rsid w:val="00BD1D3C"/>
    <w:rsid w:val="00BD2181"/>
    <w:rsid w:val="00BD24AE"/>
    <w:rsid w:val="00BD2540"/>
    <w:rsid w:val="00BD2893"/>
    <w:rsid w:val="00BD2A97"/>
    <w:rsid w:val="00BD3083"/>
    <w:rsid w:val="00BD30BE"/>
    <w:rsid w:val="00BD3145"/>
    <w:rsid w:val="00BD3619"/>
    <w:rsid w:val="00BD39CD"/>
    <w:rsid w:val="00BD39F6"/>
    <w:rsid w:val="00BD3D1C"/>
    <w:rsid w:val="00BD3E99"/>
    <w:rsid w:val="00BD3FFA"/>
    <w:rsid w:val="00BD40B1"/>
    <w:rsid w:val="00BD40E1"/>
    <w:rsid w:val="00BD4111"/>
    <w:rsid w:val="00BD4B81"/>
    <w:rsid w:val="00BD4B8A"/>
    <w:rsid w:val="00BD53A7"/>
    <w:rsid w:val="00BD57E4"/>
    <w:rsid w:val="00BD57F5"/>
    <w:rsid w:val="00BD587A"/>
    <w:rsid w:val="00BD5EE3"/>
    <w:rsid w:val="00BD6725"/>
    <w:rsid w:val="00BD6C1A"/>
    <w:rsid w:val="00BD6D9D"/>
    <w:rsid w:val="00BD7275"/>
    <w:rsid w:val="00BD74C5"/>
    <w:rsid w:val="00BD7634"/>
    <w:rsid w:val="00BD7961"/>
    <w:rsid w:val="00BE0F24"/>
    <w:rsid w:val="00BE1646"/>
    <w:rsid w:val="00BE16FC"/>
    <w:rsid w:val="00BE17DD"/>
    <w:rsid w:val="00BE1D7D"/>
    <w:rsid w:val="00BE3209"/>
    <w:rsid w:val="00BE32BC"/>
    <w:rsid w:val="00BE340D"/>
    <w:rsid w:val="00BE3C88"/>
    <w:rsid w:val="00BE43C9"/>
    <w:rsid w:val="00BE48A4"/>
    <w:rsid w:val="00BE4D3F"/>
    <w:rsid w:val="00BE50ED"/>
    <w:rsid w:val="00BE56F0"/>
    <w:rsid w:val="00BE59E7"/>
    <w:rsid w:val="00BE5B34"/>
    <w:rsid w:val="00BE5CCF"/>
    <w:rsid w:val="00BE6158"/>
    <w:rsid w:val="00BE6597"/>
    <w:rsid w:val="00BE6B76"/>
    <w:rsid w:val="00BE6BDE"/>
    <w:rsid w:val="00BE6FE2"/>
    <w:rsid w:val="00BE7225"/>
    <w:rsid w:val="00BE7609"/>
    <w:rsid w:val="00BE7BFB"/>
    <w:rsid w:val="00BF0178"/>
    <w:rsid w:val="00BF0224"/>
    <w:rsid w:val="00BF0612"/>
    <w:rsid w:val="00BF092C"/>
    <w:rsid w:val="00BF0AF0"/>
    <w:rsid w:val="00BF0B1C"/>
    <w:rsid w:val="00BF0B67"/>
    <w:rsid w:val="00BF0D6D"/>
    <w:rsid w:val="00BF0E1A"/>
    <w:rsid w:val="00BF0F51"/>
    <w:rsid w:val="00BF0FAA"/>
    <w:rsid w:val="00BF1132"/>
    <w:rsid w:val="00BF116C"/>
    <w:rsid w:val="00BF1419"/>
    <w:rsid w:val="00BF1613"/>
    <w:rsid w:val="00BF1670"/>
    <w:rsid w:val="00BF16F7"/>
    <w:rsid w:val="00BF1963"/>
    <w:rsid w:val="00BF19A9"/>
    <w:rsid w:val="00BF1D1E"/>
    <w:rsid w:val="00BF1DE5"/>
    <w:rsid w:val="00BF2036"/>
    <w:rsid w:val="00BF206D"/>
    <w:rsid w:val="00BF20EF"/>
    <w:rsid w:val="00BF210A"/>
    <w:rsid w:val="00BF23B0"/>
    <w:rsid w:val="00BF2482"/>
    <w:rsid w:val="00BF2713"/>
    <w:rsid w:val="00BF2D10"/>
    <w:rsid w:val="00BF2D61"/>
    <w:rsid w:val="00BF2D93"/>
    <w:rsid w:val="00BF2DB9"/>
    <w:rsid w:val="00BF3263"/>
    <w:rsid w:val="00BF3447"/>
    <w:rsid w:val="00BF3657"/>
    <w:rsid w:val="00BF3A07"/>
    <w:rsid w:val="00BF3BE7"/>
    <w:rsid w:val="00BF3BEC"/>
    <w:rsid w:val="00BF3D78"/>
    <w:rsid w:val="00BF4106"/>
    <w:rsid w:val="00BF4776"/>
    <w:rsid w:val="00BF4DB4"/>
    <w:rsid w:val="00BF4DCA"/>
    <w:rsid w:val="00BF4E0A"/>
    <w:rsid w:val="00BF4F71"/>
    <w:rsid w:val="00BF50B4"/>
    <w:rsid w:val="00BF5490"/>
    <w:rsid w:val="00BF5513"/>
    <w:rsid w:val="00BF5923"/>
    <w:rsid w:val="00BF5B9E"/>
    <w:rsid w:val="00BF627B"/>
    <w:rsid w:val="00BF63E2"/>
    <w:rsid w:val="00BF679A"/>
    <w:rsid w:val="00BF6A90"/>
    <w:rsid w:val="00BF6F2A"/>
    <w:rsid w:val="00BF6F67"/>
    <w:rsid w:val="00BF6FB2"/>
    <w:rsid w:val="00BF72D9"/>
    <w:rsid w:val="00BF798D"/>
    <w:rsid w:val="00BF7B02"/>
    <w:rsid w:val="00C00BC9"/>
    <w:rsid w:val="00C00F38"/>
    <w:rsid w:val="00C0104B"/>
    <w:rsid w:val="00C01410"/>
    <w:rsid w:val="00C0150C"/>
    <w:rsid w:val="00C02455"/>
    <w:rsid w:val="00C024A2"/>
    <w:rsid w:val="00C02551"/>
    <w:rsid w:val="00C0257E"/>
    <w:rsid w:val="00C02730"/>
    <w:rsid w:val="00C02B62"/>
    <w:rsid w:val="00C02CF9"/>
    <w:rsid w:val="00C02D25"/>
    <w:rsid w:val="00C02D41"/>
    <w:rsid w:val="00C0326E"/>
    <w:rsid w:val="00C033E8"/>
    <w:rsid w:val="00C034D8"/>
    <w:rsid w:val="00C036E4"/>
    <w:rsid w:val="00C036FE"/>
    <w:rsid w:val="00C03CCB"/>
    <w:rsid w:val="00C0453B"/>
    <w:rsid w:val="00C045B8"/>
    <w:rsid w:val="00C04CF9"/>
    <w:rsid w:val="00C04D5A"/>
    <w:rsid w:val="00C04DBC"/>
    <w:rsid w:val="00C05164"/>
    <w:rsid w:val="00C0517F"/>
    <w:rsid w:val="00C053F3"/>
    <w:rsid w:val="00C05701"/>
    <w:rsid w:val="00C05937"/>
    <w:rsid w:val="00C05E5D"/>
    <w:rsid w:val="00C06019"/>
    <w:rsid w:val="00C06118"/>
    <w:rsid w:val="00C065C3"/>
    <w:rsid w:val="00C06AA5"/>
    <w:rsid w:val="00C06E61"/>
    <w:rsid w:val="00C07914"/>
    <w:rsid w:val="00C07AB5"/>
    <w:rsid w:val="00C1071D"/>
    <w:rsid w:val="00C107F2"/>
    <w:rsid w:val="00C10A2C"/>
    <w:rsid w:val="00C10AB6"/>
    <w:rsid w:val="00C10D9E"/>
    <w:rsid w:val="00C113B4"/>
    <w:rsid w:val="00C113CA"/>
    <w:rsid w:val="00C114D6"/>
    <w:rsid w:val="00C11BF2"/>
    <w:rsid w:val="00C11EB9"/>
    <w:rsid w:val="00C12351"/>
    <w:rsid w:val="00C125ED"/>
    <w:rsid w:val="00C12710"/>
    <w:rsid w:val="00C12796"/>
    <w:rsid w:val="00C12D35"/>
    <w:rsid w:val="00C12FAF"/>
    <w:rsid w:val="00C134D0"/>
    <w:rsid w:val="00C1366B"/>
    <w:rsid w:val="00C1371A"/>
    <w:rsid w:val="00C13BB7"/>
    <w:rsid w:val="00C13D91"/>
    <w:rsid w:val="00C140C6"/>
    <w:rsid w:val="00C1466F"/>
    <w:rsid w:val="00C14B63"/>
    <w:rsid w:val="00C14E8E"/>
    <w:rsid w:val="00C15503"/>
    <w:rsid w:val="00C158F1"/>
    <w:rsid w:val="00C15AE4"/>
    <w:rsid w:val="00C15B52"/>
    <w:rsid w:val="00C15B83"/>
    <w:rsid w:val="00C15D7E"/>
    <w:rsid w:val="00C164EE"/>
    <w:rsid w:val="00C16BF1"/>
    <w:rsid w:val="00C16FA1"/>
    <w:rsid w:val="00C17197"/>
    <w:rsid w:val="00C172EC"/>
    <w:rsid w:val="00C17583"/>
    <w:rsid w:val="00C1766D"/>
    <w:rsid w:val="00C17938"/>
    <w:rsid w:val="00C17B63"/>
    <w:rsid w:val="00C17EA3"/>
    <w:rsid w:val="00C20022"/>
    <w:rsid w:val="00C20CB6"/>
    <w:rsid w:val="00C20E7C"/>
    <w:rsid w:val="00C21394"/>
    <w:rsid w:val="00C21638"/>
    <w:rsid w:val="00C21699"/>
    <w:rsid w:val="00C21CC6"/>
    <w:rsid w:val="00C21D56"/>
    <w:rsid w:val="00C22039"/>
    <w:rsid w:val="00C22523"/>
    <w:rsid w:val="00C2264E"/>
    <w:rsid w:val="00C22A1E"/>
    <w:rsid w:val="00C22DDF"/>
    <w:rsid w:val="00C234C3"/>
    <w:rsid w:val="00C23783"/>
    <w:rsid w:val="00C238F5"/>
    <w:rsid w:val="00C23DCE"/>
    <w:rsid w:val="00C23E89"/>
    <w:rsid w:val="00C24437"/>
    <w:rsid w:val="00C24680"/>
    <w:rsid w:val="00C2495F"/>
    <w:rsid w:val="00C24BA8"/>
    <w:rsid w:val="00C250CA"/>
    <w:rsid w:val="00C256EF"/>
    <w:rsid w:val="00C25748"/>
    <w:rsid w:val="00C25824"/>
    <w:rsid w:val="00C25B8C"/>
    <w:rsid w:val="00C2622C"/>
    <w:rsid w:val="00C26361"/>
    <w:rsid w:val="00C2642C"/>
    <w:rsid w:val="00C264B0"/>
    <w:rsid w:val="00C26606"/>
    <w:rsid w:val="00C2681F"/>
    <w:rsid w:val="00C26A76"/>
    <w:rsid w:val="00C275A5"/>
    <w:rsid w:val="00C27844"/>
    <w:rsid w:val="00C27E12"/>
    <w:rsid w:val="00C30FB6"/>
    <w:rsid w:val="00C31118"/>
    <w:rsid w:val="00C312F3"/>
    <w:rsid w:val="00C31484"/>
    <w:rsid w:val="00C314D3"/>
    <w:rsid w:val="00C316D8"/>
    <w:rsid w:val="00C31D61"/>
    <w:rsid w:val="00C32039"/>
    <w:rsid w:val="00C320BB"/>
    <w:rsid w:val="00C324B4"/>
    <w:rsid w:val="00C328DB"/>
    <w:rsid w:val="00C32925"/>
    <w:rsid w:val="00C3298B"/>
    <w:rsid w:val="00C32CC6"/>
    <w:rsid w:val="00C32D8D"/>
    <w:rsid w:val="00C32F97"/>
    <w:rsid w:val="00C3327D"/>
    <w:rsid w:val="00C33283"/>
    <w:rsid w:val="00C33418"/>
    <w:rsid w:val="00C334FB"/>
    <w:rsid w:val="00C3391B"/>
    <w:rsid w:val="00C3394D"/>
    <w:rsid w:val="00C33C2F"/>
    <w:rsid w:val="00C33D82"/>
    <w:rsid w:val="00C343B5"/>
    <w:rsid w:val="00C34B4D"/>
    <w:rsid w:val="00C34C2C"/>
    <w:rsid w:val="00C35225"/>
    <w:rsid w:val="00C3532A"/>
    <w:rsid w:val="00C35AF1"/>
    <w:rsid w:val="00C35C68"/>
    <w:rsid w:val="00C35C90"/>
    <w:rsid w:val="00C35CEB"/>
    <w:rsid w:val="00C362EE"/>
    <w:rsid w:val="00C362F0"/>
    <w:rsid w:val="00C36834"/>
    <w:rsid w:val="00C36AF9"/>
    <w:rsid w:val="00C36F5F"/>
    <w:rsid w:val="00C37225"/>
    <w:rsid w:val="00C37908"/>
    <w:rsid w:val="00C40811"/>
    <w:rsid w:val="00C40A4C"/>
    <w:rsid w:val="00C40F1D"/>
    <w:rsid w:val="00C40F80"/>
    <w:rsid w:val="00C40FED"/>
    <w:rsid w:val="00C41056"/>
    <w:rsid w:val="00C4109A"/>
    <w:rsid w:val="00C411EB"/>
    <w:rsid w:val="00C41209"/>
    <w:rsid w:val="00C413AC"/>
    <w:rsid w:val="00C415C2"/>
    <w:rsid w:val="00C4168F"/>
    <w:rsid w:val="00C41699"/>
    <w:rsid w:val="00C41729"/>
    <w:rsid w:val="00C41949"/>
    <w:rsid w:val="00C41AF7"/>
    <w:rsid w:val="00C41BC4"/>
    <w:rsid w:val="00C41DC2"/>
    <w:rsid w:val="00C4202E"/>
    <w:rsid w:val="00C42347"/>
    <w:rsid w:val="00C4251A"/>
    <w:rsid w:val="00C42BF6"/>
    <w:rsid w:val="00C42F1F"/>
    <w:rsid w:val="00C43269"/>
    <w:rsid w:val="00C43478"/>
    <w:rsid w:val="00C436F4"/>
    <w:rsid w:val="00C4375C"/>
    <w:rsid w:val="00C437E2"/>
    <w:rsid w:val="00C44011"/>
    <w:rsid w:val="00C44152"/>
    <w:rsid w:val="00C442D5"/>
    <w:rsid w:val="00C44E9F"/>
    <w:rsid w:val="00C4576A"/>
    <w:rsid w:val="00C457FF"/>
    <w:rsid w:val="00C45D17"/>
    <w:rsid w:val="00C4617D"/>
    <w:rsid w:val="00C461D3"/>
    <w:rsid w:val="00C46501"/>
    <w:rsid w:val="00C46639"/>
    <w:rsid w:val="00C46897"/>
    <w:rsid w:val="00C46D97"/>
    <w:rsid w:val="00C46F25"/>
    <w:rsid w:val="00C46F31"/>
    <w:rsid w:val="00C470AB"/>
    <w:rsid w:val="00C47620"/>
    <w:rsid w:val="00C4784C"/>
    <w:rsid w:val="00C47BED"/>
    <w:rsid w:val="00C47F89"/>
    <w:rsid w:val="00C50467"/>
    <w:rsid w:val="00C505A7"/>
    <w:rsid w:val="00C505E9"/>
    <w:rsid w:val="00C5081A"/>
    <w:rsid w:val="00C50CD0"/>
    <w:rsid w:val="00C51DC9"/>
    <w:rsid w:val="00C51DD5"/>
    <w:rsid w:val="00C51E60"/>
    <w:rsid w:val="00C51E9F"/>
    <w:rsid w:val="00C52428"/>
    <w:rsid w:val="00C52630"/>
    <w:rsid w:val="00C527E0"/>
    <w:rsid w:val="00C52874"/>
    <w:rsid w:val="00C52D68"/>
    <w:rsid w:val="00C532C9"/>
    <w:rsid w:val="00C532F6"/>
    <w:rsid w:val="00C538D8"/>
    <w:rsid w:val="00C53BE3"/>
    <w:rsid w:val="00C53EDB"/>
    <w:rsid w:val="00C53FAF"/>
    <w:rsid w:val="00C541F9"/>
    <w:rsid w:val="00C54BB0"/>
    <w:rsid w:val="00C54E8E"/>
    <w:rsid w:val="00C553D3"/>
    <w:rsid w:val="00C55BFB"/>
    <w:rsid w:val="00C55CD6"/>
    <w:rsid w:val="00C563D8"/>
    <w:rsid w:val="00C5642A"/>
    <w:rsid w:val="00C56575"/>
    <w:rsid w:val="00C56831"/>
    <w:rsid w:val="00C56B84"/>
    <w:rsid w:val="00C56C34"/>
    <w:rsid w:val="00C56EC8"/>
    <w:rsid w:val="00C57423"/>
    <w:rsid w:val="00C57451"/>
    <w:rsid w:val="00C57492"/>
    <w:rsid w:val="00C575CC"/>
    <w:rsid w:val="00C57678"/>
    <w:rsid w:val="00C57893"/>
    <w:rsid w:val="00C57E36"/>
    <w:rsid w:val="00C60082"/>
    <w:rsid w:val="00C60368"/>
    <w:rsid w:val="00C603CC"/>
    <w:rsid w:val="00C60407"/>
    <w:rsid w:val="00C605B9"/>
    <w:rsid w:val="00C60606"/>
    <w:rsid w:val="00C60FD0"/>
    <w:rsid w:val="00C6115E"/>
    <w:rsid w:val="00C613F1"/>
    <w:rsid w:val="00C613F8"/>
    <w:rsid w:val="00C614D6"/>
    <w:rsid w:val="00C61696"/>
    <w:rsid w:val="00C61739"/>
    <w:rsid w:val="00C61DB9"/>
    <w:rsid w:val="00C6205A"/>
    <w:rsid w:val="00C62671"/>
    <w:rsid w:val="00C6272C"/>
    <w:rsid w:val="00C6291C"/>
    <w:rsid w:val="00C6294D"/>
    <w:rsid w:val="00C62B99"/>
    <w:rsid w:val="00C62C67"/>
    <w:rsid w:val="00C62D2C"/>
    <w:rsid w:val="00C62DEE"/>
    <w:rsid w:val="00C62FD5"/>
    <w:rsid w:val="00C631EC"/>
    <w:rsid w:val="00C633C0"/>
    <w:rsid w:val="00C63BF9"/>
    <w:rsid w:val="00C645E7"/>
    <w:rsid w:val="00C648B1"/>
    <w:rsid w:val="00C64FE6"/>
    <w:rsid w:val="00C6502F"/>
    <w:rsid w:val="00C65A43"/>
    <w:rsid w:val="00C66100"/>
    <w:rsid w:val="00C66236"/>
    <w:rsid w:val="00C663B2"/>
    <w:rsid w:val="00C665C2"/>
    <w:rsid w:val="00C66680"/>
    <w:rsid w:val="00C666B6"/>
    <w:rsid w:val="00C66C33"/>
    <w:rsid w:val="00C66EE3"/>
    <w:rsid w:val="00C66FFB"/>
    <w:rsid w:val="00C67134"/>
    <w:rsid w:val="00C671FE"/>
    <w:rsid w:val="00C67261"/>
    <w:rsid w:val="00C67351"/>
    <w:rsid w:val="00C67737"/>
    <w:rsid w:val="00C67780"/>
    <w:rsid w:val="00C67A99"/>
    <w:rsid w:val="00C67BCB"/>
    <w:rsid w:val="00C70462"/>
    <w:rsid w:val="00C70869"/>
    <w:rsid w:val="00C70E8E"/>
    <w:rsid w:val="00C713A1"/>
    <w:rsid w:val="00C717DE"/>
    <w:rsid w:val="00C71810"/>
    <w:rsid w:val="00C71908"/>
    <w:rsid w:val="00C719D6"/>
    <w:rsid w:val="00C71A2B"/>
    <w:rsid w:val="00C72012"/>
    <w:rsid w:val="00C7246F"/>
    <w:rsid w:val="00C724E5"/>
    <w:rsid w:val="00C725AA"/>
    <w:rsid w:val="00C725FA"/>
    <w:rsid w:val="00C72B56"/>
    <w:rsid w:val="00C72B81"/>
    <w:rsid w:val="00C72D83"/>
    <w:rsid w:val="00C72EAA"/>
    <w:rsid w:val="00C733A6"/>
    <w:rsid w:val="00C733D3"/>
    <w:rsid w:val="00C73591"/>
    <w:rsid w:val="00C7364E"/>
    <w:rsid w:val="00C73D03"/>
    <w:rsid w:val="00C742B7"/>
    <w:rsid w:val="00C743ED"/>
    <w:rsid w:val="00C74EB6"/>
    <w:rsid w:val="00C75390"/>
    <w:rsid w:val="00C75DFD"/>
    <w:rsid w:val="00C75F2B"/>
    <w:rsid w:val="00C766A2"/>
    <w:rsid w:val="00C769EC"/>
    <w:rsid w:val="00C769F7"/>
    <w:rsid w:val="00C76BB1"/>
    <w:rsid w:val="00C76DF8"/>
    <w:rsid w:val="00C76E4C"/>
    <w:rsid w:val="00C770DD"/>
    <w:rsid w:val="00C77112"/>
    <w:rsid w:val="00C7792D"/>
    <w:rsid w:val="00C77B53"/>
    <w:rsid w:val="00C77F22"/>
    <w:rsid w:val="00C80581"/>
    <w:rsid w:val="00C8108B"/>
    <w:rsid w:val="00C816E6"/>
    <w:rsid w:val="00C81708"/>
    <w:rsid w:val="00C81746"/>
    <w:rsid w:val="00C81BD1"/>
    <w:rsid w:val="00C81C1A"/>
    <w:rsid w:val="00C81C57"/>
    <w:rsid w:val="00C81E0B"/>
    <w:rsid w:val="00C82193"/>
    <w:rsid w:val="00C82963"/>
    <w:rsid w:val="00C82970"/>
    <w:rsid w:val="00C82A3F"/>
    <w:rsid w:val="00C82BD5"/>
    <w:rsid w:val="00C82BEE"/>
    <w:rsid w:val="00C82EC0"/>
    <w:rsid w:val="00C8319E"/>
    <w:rsid w:val="00C8328D"/>
    <w:rsid w:val="00C836DB"/>
    <w:rsid w:val="00C83704"/>
    <w:rsid w:val="00C8379E"/>
    <w:rsid w:val="00C8399F"/>
    <w:rsid w:val="00C83BAC"/>
    <w:rsid w:val="00C83D49"/>
    <w:rsid w:val="00C83F08"/>
    <w:rsid w:val="00C84338"/>
    <w:rsid w:val="00C849FE"/>
    <w:rsid w:val="00C84B44"/>
    <w:rsid w:val="00C84C7F"/>
    <w:rsid w:val="00C8579D"/>
    <w:rsid w:val="00C858EF"/>
    <w:rsid w:val="00C85B56"/>
    <w:rsid w:val="00C85B66"/>
    <w:rsid w:val="00C8615D"/>
    <w:rsid w:val="00C8687A"/>
    <w:rsid w:val="00C868E1"/>
    <w:rsid w:val="00C86EC6"/>
    <w:rsid w:val="00C86FF0"/>
    <w:rsid w:val="00C873C8"/>
    <w:rsid w:val="00C877A6"/>
    <w:rsid w:val="00C87918"/>
    <w:rsid w:val="00C87BA6"/>
    <w:rsid w:val="00C87DC2"/>
    <w:rsid w:val="00C87FAD"/>
    <w:rsid w:val="00C9000F"/>
    <w:rsid w:val="00C9006F"/>
    <w:rsid w:val="00C901A0"/>
    <w:rsid w:val="00C9052D"/>
    <w:rsid w:val="00C906B5"/>
    <w:rsid w:val="00C907BC"/>
    <w:rsid w:val="00C90BE2"/>
    <w:rsid w:val="00C91032"/>
    <w:rsid w:val="00C9115F"/>
    <w:rsid w:val="00C91453"/>
    <w:rsid w:val="00C91503"/>
    <w:rsid w:val="00C91F5E"/>
    <w:rsid w:val="00C9205C"/>
    <w:rsid w:val="00C92531"/>
    <w:rsid w:val="00C926A4"/>
    <w:rsid w:val="00C9291C"/>
    <w:rsid w:val="00C92F23"/>
    <w:rsid w:val="00C9353C"/>
    <w:rsid w:val="00C93642"/>
    <w:rsid w:val="00C93BC6"/>
    <w:rsid w:val="00C93E3F"/>
    <w:rsid w:val="00C93FEF"/>
    <w:rsid w:val="00C9407C"/>
    <w:rsid w:val="00C9449B"/>
    <w:rsid w:val="00C945A5"/>
    <w:rsid w:val="00C9479B"/>
    <w:rsid w:val="00C947B6"/>
    <w:rsid w:val="00C947F0"/>
    <w:rsid w:val="00C94943"/>
    <w:rsid w:val="00C95CE7"/>
    <w:rsid w:val="00C966AD"/>
    <w:rsid w:val="00C96A46"/>
    <w:rsid w:val="00C96B2F"/>
    <w:rsid w:val="00C96FE3"/>
    <w:rsid w:val="00C97233"/>
    <w:rsid w:val="00C979DE"/>
    <w:rsid w:val="00C97E43"/>
    <w:rsid w:val="00C97F0B"/>
    <w:rsid w:val="00CA00BD"/>
    <w:rsid w:val="00CA02FF"/>
    <w:rsid w:val="00CA0752"/>
    <w:rsid w:val="00CA0779"/>
    <w:rsid w:val="00CA085A"/>
    <w:rsid w:val="00CA08E1"/>
    <w:rsid w:val="00CA0E70"/>
    <w:rsid w:val="00CA1312"/>
    <w:rsid w:val="00CA183F"/>
    <w:rsid w:val="00CA216B"/>
    <w:rsid w:val="00CA21FB"/>
    <w:rsid w:val="00CA236C"/>
    <w:rsid w:val="00CA2B63"/>
    <w:rsid w:val="00CA2BE4"/>
    <w:rsid w:val="00CA2DAD"/>
    <w:rsid w:val="00CA35B6"/>
    <w:rsid w:val="00CA35E3"/>
    <w:rsid w:val="00CA36E8"/>
    <w:rsid w:val="00CA385B"/>
    <w:rsid w:val="00CA3ADC"/>
    <w:rsid w:val="00CA413A"/>
    <w:rsid w:val="00CA423B"/>
    <w:rsid w:val="00CA4B54"/>
    <w:rsid w:val="00CA4BD8"/>
    <w:rsid w:val="00CA5231"/>
    <w:rsid w:val="00CA55E8"/>
    <w:rsid w:val="00CA5BFC"/>
    <w:rsid w:val="00CA5F68"/>
    <w:rsid w:val="00CA5F77"/>
    <w:rsid w:val="00CA5FF5"/>
    <w:rsid w:val="00CA60BC"/>
    <w:rsid w:val="00CA69C4"/>
    <w:rsid w:val="00CA6B7D"/>
    <w:rsid w:val="00CA6B7F"/>
    <w:rsid w:val="00CA738B"/>
    <w:rsid w:val="00CA7A20"/>
    <w:rsid w:val="00CA7B7C"/>
    <w:rsid w:val="00CB0173"/>
    <w:rsid w:val="00CB02FC"/>
    <w:rsid w:val="00CB0441"/>
    <w:rsid w:val="00CB056F"/>
    <w:rsid w:val="00CB0A13"/>
    <w:rsid w:val="00CB0D18"/>
    <w:rsid w:val="00CB1225"/>
    <w:rsid w:val="00CB124B"/>
    <w:rsid w:val="00CB1333"/>
    <w:rsid w:val="00CB14F3"/>
    <w:rsid w:val="00CB151A"/>
    <w:rsid w:val="00CB19A5"/>
    <w:rsid w:val="00CB19E8"/>
    <w:rsid w:val="00CB2175"/>
    <w:rsid w:val="00CB247E"/>
    <w:rsid w:val="00CB2AAE"/>
    <w:rsid w:val="00CB2B32"/>
    <w:rsid w:val="00CB3025"/>
    <w:rsid w:val="00CB346C"/>
    <w:rsid w:val="00CB362E"/>
    <w:rsid w:val="00CB3ABC"/>
    <w:rsid w:val="00CB4011"/>
    <w:rsid w:val="00CB43A4"/>
    <w:rsid w:val="00CB5817"/>
    <w:rsid w:val="00CB5900"/>
    <w:rsid w:val="00CB5AFD"/>
    <w:rsid w:val="00CB5C9E"/>
    <w:rsid w:val="00CB6417"/>
    <w:rsid w:val="00CB702C"/>
    <w:rsid w:val="00CB748B"/>
    <w:rsid w:val="00CB7C30"/>
    <w:rsid w:val="00CC017E"/>
    <w:rsid w:val="00CC02A3"/>
    <w:rsid w:val="00CC039C"/>
    <w:rsid w:val="00CC06F1"/>
    <w:rsid w:val="00CC089D"/>
    <w:rsid w:val="00CC095C"/>
    <w:rsid w:val="00CC0E7E"/>
    <w:rsid w:val="00CC0F1C"/>
    <w:rsid w:val="00CC1114"/>
    <w:rsid w:val="00CC1370"/>
    <w:rsid w:val="00CC1B62"/>
    <w:rsid w:val="00CC1BA7"/>
    <w:rsid w:val="00CC1BE7"/>
    <w:rsid w:val="00CC1EFE"/>
    <w:rsid w:val="00CC201A"/>
    <w:rsid w:val="00CC2021"/>
    <w:rsid w:val="00CC20A3"/>
    <w:rsid w:val="00CC22F6"/>
    <w:rsid w:val="00CC25A1"/>
    <w:rsid w:val="00CC299A"/>
    <w:rsid w:val="00CC2B74"/>
    <w:rsid w:val="00CC2FD9"/>
    <w:rsid w:val="00CC3304"/>
    <w:rsid w:val="00CC34F0"/>
    <w:rsid w:val="00CC363C"/>
    <w:rsid w:val="00CC3672"/>
    <w:rsid w:val="00CC3781"/>
    <w:rsid w:val="00CC3ACE"/>
    <w:rsid w:val="00CC3B8F"/>
    <w:rsid w:val="00CC3C1C"/>
    <w:rsid w:val="00CC3D8B"/>
    <w:rsid w:val="00CC3DBC"/>
    <w:rsid w:val="00CC4181"/>
    <w:rsid w:val="00CC4220"/>
    <w:rsid w:val="00CC48B9"/>
    <w:rsid w:val="00CC4FBC"/>
    <w:rsid w:val="00CC4FFF"/>
    <w:rsid w:val="00CC5484"/>
    <w:rsid w:val="00CC5564"/>
    <w:rsid w:val="00CC5781"/>
    <w:rsid w:val="00CC5875"/>
    <w:rsid w:val="00CC5998"/>
    <w:rsid w:val="00CC5B68"/>
    <w:rsid w:val="00CC5FEB"/>
    <w:rsid w:val="00CC6110"/>
    <w:rsid w:val="00CC634E"/>
    <w:rsid w:val="00CC6567"/>
    <w:rsid w:val="00CC6655"/>
    <w:rsid w:val="00CC6740"/>
    <w:rsid w:val="00CC67AC"/>
    <w:rsid w:val="00CC6B50"/>
    <w:rsid w:val="00CC6BA5"/>
    <w:rsid w:val="00CC6DA5"/>
    <w:rsid w:val="00CC712A"/>
    <w:rsid w:val="00CC717D"/>
    <w:rsid w:val="00CC72C0"/>
    <w:rsid w:val="00CC7445"/>
    <w:rsid w:val="00CC771F"/>
    <w:rsid w:val="00CC786C"/>
    <w:rsid w:val="00CC78C2"/>
    <w:rsid w:val="00CC79B0"/>
    <w:rsid w:val="00CC79B8"/>
    <w:rsid w:val="00CC7CEC"/>
    <w:rsid w:val="00CC7F06"/>
    <w:rsid w:val="00CD024B"/>
    <w:rsid w:val="00CD035F"/>
    <w:rsid w:val="00CD03BF"/>
    <w:rsid w:val="00CD0A16"/>
    <w:rsid w:val="00CD1203"/>
    <w:rsid w:val="00CD189E"/>
    <w:rsid w:val="00CD1D90"/>
    <w:rsid w:val="00CD1ED8"/>
    <w:rsid w:val="00CD2101"/>
    <w:rsid w:val="00CD25F6"/>
    <w:rsid w:val="00CD2C06"/>
    <w:rsid w:val="00CD3090"/>
    <w:rsid w:val="00CD3813"/>
    <w:rsid w:val="00CD3F48"/>
    <w:rsid w:val="00CD3FA6"/>
    <w:rsid w:val="00CD48E8"/>
    <w:rsid w:val="00CD4B83"/>
    <w:rsid w:val="00CD4D82"/>
    <w:rsid w:val="00CD532B"/>
    <w:rsid w:val="00CD583F"/>
    <w:rsid w:val="00CD6471"/>
    <w:rsid w:val="00CD66B9"/>
    <w:rsid w:val="00CD6F44"/>
    <w:rsid w:val="00CD7006"/>
    <w:rsid w:val="00CD7741"/>
    <w:rsid w:val="00CD7D30"/>
    <w:rsid w:val="00CD7D69"/>
    <w:rsid w:val="00CD7DE5"/>
    <w:rsid w:val="00CE0061"/>
    <w:rsid w:val="00CE017C"/>
    <w:rsid w:val="00CE022C"/>
    <w:rsid w:val="00CE07F3"/>
    <w:rsid w:val="00CE0C71"/>
    <w:rsid w:val="00CE0F55"/>
    <w:rsid w:val="00CE109A"/>
    <w:rsid w:val="00CE1286"/>
    <w:rsid w:val="00CE1E84"/>
    <w:rsid w:val="00CE2031"/>
    <w:rsid w:val="00CE2606"/>
    <w:rsid w:val="00CE2892"/>
    <w:rsid w:val="00CE299F"/>
    <w:rsid w:val="00CE327F"/>
    <w:rsid w:val="00CE389E"/>
    <w:rsid w:val="00CE3B42"/>
    <w:rsid w:val="00CE3CF5"/>
    <w:rsid w:val="00CE3EE9"/>
    <w:rsid w:val="00CE4019"/>
    <w:rsid w:val="00CE4530"/>
    <w:rsid w:val="00CE4742"/>
    <w:rsid w:val="00CE494C"/>
    <w:rsid w:val="00CE4BDB"/>
    <w:rsid w:val="00CE4C54"/>
    <w:rsid w:val="00CE5787"/>
    <w:rsid w:val="00CE5AA8"/>
    <w:rsid w:val="00CE5B7A"/>
    <w:rsid w:val="00CE5F78"/>
    <w:rsid w:val="00CE62BF"/>
    <w:rsid w:val="00CE62C1"/>
    <w:rsid w:val="00CE64A1"/>
    <w:rsid w:val="00CE66A5"/>
    <w:rsid w:val="00CE6998"/>
    <w:rsid w:val="00CE6B47"/>
    <w:rsid w:val="00CE6C82"/>
    <w:rsid w:val="00CE6C9F"/>
    <w:rsid w:val="00CE6DB4"/>
    <w:rsid w:val="00CE71D0"/>
    <w:rsid w:val="00CE7380"/>
    <w:rsid w:val="00CE7444"/>
    <w:rsid w:val="00CE7845"/>
    <w:rsid w:val="00CE7B14"/>
    <w:rsid w:val="00CE7DCE"/>
    <w:rsid w:val="00CF0201"/>
    <w:rsid w:val="00CF05C6"/>
    <w:rsid w:val="00CF0D57"/>
    <w:rsid w:val="00CF1A82"/>
    <w:rsid w:val="00CF1C7B"/>
    <w:rsid w:val="00CF2087"/>
    <w:rsid w:val="00CF2173"/>
    <w:rsid w:val="00CF289F"/>
    <w:rsid w:val="00CF29B1"/>
    <w:rsid w:val="00CF2B08"/>
    <w:rsid w:val="00CF2C22"/>
    <w:rsid w:val="00CF2CDB"/>
    <w:rsid w:val="00CF2DB5"/>
    <w:rsid w:val="00CF2F56"/>
    <w:rsid w:val="00CF3039"/>
    <w:rsid w:val="00CF31C7"/>
    <w:rsid w:val="00CF3304"/>
    <w:rsid w:val="00CF3360"/>
    <w:rsid w:val="00CF34A3"/>
    <w:rsid w:val="00CF38F8"/>
    <w:rsid w:val="00CF3A67"/>
    <w:rsid w:val="00CF3D60"/>
    <w:rsid w:val="00CF4340"/>
    <w:rsid w:val="00CF4539"/>
    <w:rsid w:val="00CF46A4"/>
    <w:rsid w:val="00CF49CD"/>
    <w:rsid w:val="00CF4B7E"/>
    <w:rsid w:val="00CF5005"/>
    <w:rsid w:val="00CF53F8"/>
    <w:rsid w:val="00CF5539"/>
    <w:rsid w:val="00CF5D3B"/>
    <w:rsid w:val="00CF5FB0"/>
    <w:rsid w:val="00CF622E"/>
    <w:rsid w:val="00CF6693"/>
    <w:rsid w:val="00CF672A"/>
    <w:rsid w:val="00CF6741"/>
    <w:rsid w:val="00CF690B"/>
    <w:rsid w:val="00CF6C73"/>
    <w:rsid w:val="00CF6E98"/>
    <w:rsid w:val="00CF7454"/>
    <w:rsid w:val="00CF7553"/>
    <w:rsid w:val="00CF791E"/>
    <w:rsid w:val="00CF7BF8"/>
    <w:rsid w:val="00D01160"/>
    <w:rsid w:val="00D0199D"/>
    <w:rsid w:val="00D01CD4"/>
    <w:rsid w:val="00D023FA"/>
    <w:rsid w:val="00D0245A"/>
    <w:rsid w:val="00D02727"/>
    <w:rsid w:val="00D027D1"/>
    <w:rsid w:val="00D02B64"/>
    <w:rsid w:val="00D02F22"/>
    <w:rsid w:val="00D03112"/>
    <w:rsid w:val="00D035E6"/>
    <w:rsid w:val="00D03799"/>
    <w:rsid w:val="00D03A71"/>
    <w:rsid w:val="00D03D0D"/>
    <w:rsid w:val="00D03D1E"/>
    <w:rsid w:val="00D04454"/>
    <w:rsid w:val="00D04E61"/>
    <w:rsid w:val="00D05300"/>
    <w:rsid w:val="00D05880"/>
    <w:rsid w:val="00D05B3E"/>
    <w:rsid w:val="00D05C8B"/>
    <w:rsid w:val="00D05F7F"/>
    <w:rsid w:val="00D066E1"/>
    <w:rsid w:val="00D06874"/>
    <w:rsid w:val="00D06925"/>
    <w:rsid w:val="00D0699B"/>
    <w:rsid w:val="00D069E9"/>
    <w:rsid w:val="00D06A0E"/>
    <w:rsid w:val="00D06BBE"/>
    <w:rsid w:val="00D06C74"/>
    <w:rsid w:val="00D06D27"/>
    <w:rsid w:val="00D06D5F"/>
    <w:rsid w:val="00D06E9E"/>
    <w:rsid w:val="00D07F45"/>
    <w:rsid w:val="00D10231"/>
    <w:rsid w:val="00D10239"/>
    <w:rsid w:val="00D10600"/>
    <w:rsid w:val="00D10635"/>
    <w:rsid w:val="00D10707"/>
    <w:rsid w:val="00D1092D"/>
    <w:rsid w:val="00D1092F"/>
    <w:rsid w:val="00D10D62"/>
    <w:rsid w:val="00D111C5"/>
    <w:rsid w:val="00D1154A"/>
    <w:rsid w:val="00D11552"/>
    <w:rsid w:val="00D116B6"/>
    <w:rsid w:val="00D123B2"/>
    <w:rsid w:val="00D12AA7"/>
    <w:rsid w:val="00D12D95"/>
    <w:rsid w:val="00D135AD"/>
    <w:rsid w:val="00D13949"/>
    <w:rsid w:val="00D13A28"/>
    <w:rsid w:val="00D13EA5"/>
    <w:rsid w:val="00D13F40"/>
    <w:rsid w:val="00D14441"/>
    <w:rsid w:val="00D144C5"/>
    <w:rsid w:val="00D14662"/>
    <w:rsid w:val="00D14BE4"/>
    <w:rsid w:val="00D14D0E"/>
    <w:rsid w:val="00D153EA"/>
    <w:rsid w:val="00D1559B"/>
    <w:rsid w:val="00D15880"/>
    <w:rsid w:val="00D15932"/>
    <w:rsid w:val="00D15C53"/>
    <w:rsid w:val="00D15E41"/>
    <w:rsid w:val="00D169A2"/>
    <w:rsid w:val="00D16ED7"/>
    <w:rsid w:val="00D170AD"/>
    <w:rsid w:val="00D170D8"/>
    <w:rsid w:val="00D17351"/>
    <w:rsid w:val="00D174B8"/>
    <w:rsid w:val="00D177D7"/>
    <w:rsid w:val="00D178E3"/>
    <w:rsid w:val="00D1790E"/>
    <w:rsid w:val="00D17A6E"/>
    <w:rsid w:val="00D204C2"/>
    <w:rsid w:val="00D20903"/>
    <w:rsid w:val="00D20939"/>
    <w:rsid w:val="00D20C24"/>
    <w:rsid w:val="00D20CD5"/>
    <w:rsid w:val="00D20FC2"/>
    <w:rsid w:val="00D2108D"/>
    <w:rsid w:val="00D21131"/>
    <w:rsid w:val="00D212E9"/>
    <w:rsid w:val="00D21A10"/>
    <w:rsid w:val="00D21DAB"/>
    <w:rsid w:val="00D21DF7"/>
    <w:rsid w:val="00D22129"/>
    <w:rsid w:val="00D22139"/>
    <w:rsid w:val="00D22408"/>
    <w:rsid w:val="00D236AA"/>
    <w:rsid w:val="00D236D5"/>
    <w:rsid w:val="00D23795"/>
    <w:rsid w:val="00D238BA"/>
    <w:rsid w:val="00D238EC"/>
    <w:rsid w:val="00D24371"/>
    <w:rsid w:val="00D24399"/>
    <w:rsid w:val="00D24700"/>
    <w:rsid w:val="00D24715"/>
    <w:rsid w:val="00D247AB"/>
    <w:rsid w:val="00D247C8"/>
    <w:rsid w:val="00D24EF0"/>
    <w:rsid w:val="00D25578"/>
    <w:rsid w:val="00D25616"/>
    <w:rsid w:val="00D258F0"/>
    <w:rsid w:val="00D25BCB"/>
    <w:rsid w:val="00D25BE1"/>
    <w:rsid w:val="00D25C52"/>
    <w:rsid w:val="00D25D9F"/>
    <w:rsid w:val="00D25E4E"/>
    <w:rsid w:val="00D25F45"/>
    <w:rsid w:val="00D25FEC"/>
    <w:rsid w:val="00D267FA"/>
    <w:rsid w:val="00D26A36"/>
    <w:rsid w:val="00D26D93"/>
    <w:rsid w:val="00D26F07"/>
    <w:rsid w:val="00D27208"/>
    <w:rsid w:val="00D27316"/>
    <w:rsid w:val="00D27449"/>
    <w:rsid w:val="00D27D51"/>
    <w:rsid w:val="00D27DE7"/>
    <w:rsid w:val="00D3002F"/>
    <w:rsid w:val="00D3003A"/>
    <w:rsid w:val="00D30399"/>
    <w:rsid w:val="00D30877"/>
    <w:rsid w:val="00D30ED7"/>
    <w:rsid w:val="00D3114B"/>
    <w:rsid w:val="00D311E3"/>
    <w:rsid w:val="00D3138D"/>
    <w:rsid w:val="00D314A1"/>
    <w:rsid w:val="00D31719"/>
    <w:rsid w:val="00D317E4"/>
    <w:rsid w:val="00D32023"/>
    <w:rsid w:val="00D32BB0"/>
    <w:rsid w:val="00D32CA9"/>
    <w:rsid w:val="00D32DFE"/>
    <w:rsid w:val="00D33258"/>
    <w:rsid w:val="00D333D5"/>
    <w:rsid w:val="00D33493"/>
    <w:rsid w:val="00D33628"/>
    <w:rsid w:val="00D33911"/>
    <w:rsid w:val="00D34013"/>
    <w:rsid w:val="00D340A8"/>
    <w:rsid w:val="00D3455A"/>
    <w:rsid w:val="00D3455E"/>
    <w:rsid w:val="00D34576"/>
    <w:rsid w:val="00D3470E"/>
    <w:rsid w:val="00D347D9"/>
    <w:rsid w:val="00D348A7"/>
    <w:rsid w:val="00D34BC8"/>
    <w:rsid w:val="00D34F77"/>
    <w:rsid w:val="00D350B6"/>
    <w:rsid w:val="00D35137"/>
    <w:rsid w:val="00D3522E"/>
    <w:rsid w:val="00D3522F"/>
    <w:rsid w:val="00D3525C"/>
    <w:rsid w:val="00D358CE"/>
    <w:rsid w:val="00D35B0D"/>
    <w:rsid w:val="00D35C14"/>
    <w:rsid w:val="00D35E95"/>
    <w:rsid w:val="00D360D5"/>
    <w:rsid w:val="00D363ED"/>
    <w:rsid w:val="00D3659F"/>
    <w:rsid w:val="00D37381"/>
    <w:rsid w:val="00D375E3"/>
    <w:rsid w:val="00D37A34"/>
    <w:rsid w:val="00D37DC7"/>
    <w:rsid w:val="00D40231"/>
    <w:rsid w:val="00D40663"/>
    <w:rsid w:val="00D408B2"/>
    <w:rsid w:val="00D40C63"/>
    <w:rsid w:val="00D40C84"/>
    <w:rsid w:val="00D40E00"/>
    <w:rsid w:val="00D411F3"/>
    <w:rsid w:val="00D41DBE"/>
    <w:rsid w:val="00D41F05"/>
    <w:rsid w:val="00D4226C"/>
    <w:rsid w:val="00D42273"/>
    <w:rsid w:val="00D42278"/>
    <w:rsid w:val="00D42394"/>
    <w:rsid w:val="00D42904"/>
    <w:rsid w:val="00D42A68"/>
    <w:rsid w:val="00D4311A"/>
    <w:rsid w:val="00D4328C"/>
    <w:rsid w:val="00D4333F"/>
    <w:rsid w:val="00D43461"/>
    <w:rsid w:val="00D434A7"/>
    <w:rsid w:val="00D436B6"/>
    <w:rsid w:val="00D43776"/>
    <w:rsid w:val="00D44097"/>
    <w:rsid w:val="00D4409F"/>
    <w:rsid w:val="00D44270"/>
    <w:rsid w:val="00D444B4"/>
    <w:rsid w:val="00D44500"/>
    <w:rsid w:val="00D4453D"/>
    <w:rsid w:val="00D44557"/>
    <w:rsid w:val="00D448BB"/>
    <w:rsid w:val="00D44EE8"/>
    <w:rsid w:val="00D4569A"/>
    <w:rsid w:val="00D45965"/>
    <w:rsid w:val="00D45F43"/>
    <w:rsid w:val="00D4607F"/>
    <w:rsid w:val="00D46330"/>
    <w:rsid w:val="00D463ED"/>
    <w:rsid w:val="00D4681B"/>
    <w:rsid w:val="00D469AD"/>
    <w:rsid w:val="00D46A05"/>
    <w:rsid w:val="00D46B80"/>
    <w:rsid w:val="00D4700E"/>
    <w:rsid w:val="00D470B1"/>
    <w:rsid w:val="00D470F2"/>
    <w:rsid w:val="00D475CE"/>
    <w:rsid w:val="00D47816"/>
    <w:rsid w:val="00D47B8B"/>
    <w:rsid w:val="00D47CB5"/>
    <w:rsid w:val="00D50390"/>
    <w:rsid w:val="00D50557"/>
    <w:rsid w:val="00D51131"/>
    <w:rsid w:val="00D511B0"/>
    <w:rsid w:val="00D51294"/>
    <w:rsid w:val="00D51327"/>
    <w:rsid w:val="00D513FF"/>
    <w:rsid w:val="00D5173E"/>
    <w:rsid w:val="00D5192E"/>
    <w:rsid w:val="00D51936"/>
    <w:rsid w:val="00D51A9E"/>
    <w:rsid w:val="00D51C21"/>
    <w:rsid w:val="00D51CC2"/>
    <w:rsid w:val="00D51CD0"/>
    <w:rsid w:val="00D52236"/>
    <w:rsid w:val="00D523FD"/>
    <w:rsid w:val="00D525B8"/>
    <w:rsid w:val="00D52B96"/>
    <w:rsid w:val="00D52D89"/>
    <w:rsid w:val="00D53258"/>
    <w:rsid w:val="00D53679"/>
    <w:rsid w:val="00D53979"/>
    <w:rsid w:val="00D5414C"/>
    <w:rsid w:val="00D54592"/>
    <w:rsid w:val="00D549AC"/>
    <w:rsid w:val="00D54BD2"/>
    <w:rsid w:val="00D54BF3"/>
    <w:rsid w:val="00D55230"/>
    <w:rsid w:val="00D55304"/>
    <w:rsid w:val="00D55330"/>
    <w:rsid w:val="00D55562"/>
    <w:rsid w:val="00D55A1E"/>
    <w:rsid w:val="00D55EBD"/>
    <w:rsid w:val="00D5611D"/>
    <w:rsid w:val="00D5636C"/>
    <w:rsid w:val="00D56605"/>
    <w:rsid w:val="00D567E5"/>
    <w:rsid w:val="00D568BC"/>
    <w:rsid w:val="00D572B1"/>
    <w:rsid w:val="00D572CD"/>
    <w:rsid w:val="00D57835"/>
    <w:rsid w:val="00D57A6C"/>
    <w:rsid w:val="00D57DB1"/>
    <w:rsid w:val="00D60341"/>
    <w:rsid w:val="00D603AE"/>
    <w:rsid w:val="00D603DD"/>
    <w:rsid w:val="00D604C9"/>
    <w:rsid w:val="00D60581"/>
    <w:rsid w:val="00D605B6"/>
    <w:rsid w:val="00D6075F"/>
    <w:rsid w:val="00D60A1A"/>
    <w:rsid w:val="00D60B3F"/>
    <w:rsid w:val="00D6194E"/>
    <w:rsid w:val="00D61F54"/>
    <w:rsid w:val="00D629EC"/>
    <w:rsid w:val="00D62E22"/>
    <w:rsid w:val="00D63012"/>
    <w:rsid w:val="00D6340E"/>
    <w:rsid w:val="00D63D9C"/>
    <w:rsid w:val="00D63E8D"/>
    <w:rsid w:val="00D643C5"/>
    <w:rsid w:val="00D64407"/>
    <w:rsid w:val="00D6472B"/>
    <w:rsid w:val="00D64752"/>
    <w:rsid w:val="00D647AD"/>
    <w:rsid w:val="00D64833"/>
    <w:rsid w:val="00D64A1D"/>
    <w:rsid w:val="00D64CD1"/>
    <w:rsid w:val="00D64F9D"/>
    <w:rsid w:val="00D64FC8"/>
    <w:rsid w:val="00D6504E"/>
    <w:rsid w:val="00D652DC"/>
    <w:rsid w:val="00D65622"/>
    <w:rsid w:val="00D65BF6"/>
    <w:rsid w:val="00D65C66"/>
    <w:rsid w:val="00D65E09"/>
    <w:rsid w:val="00D66199"/>
    <w:rsid w:val="00D6635B"/>
    <w:rsid w:val="00D6650E"/>
    <w:rsid w:val="00D6695F"/>
    <w:rsid w:val="00D66ADC"/>
    <w:rsid w:val="00D66BAA"/>
    <w:rsid w:val="00D6704B"/>
    <w:rsid w:val="00D70336"/>
    <w:rsid w:val="00D70441"/>
    <w:rsid w:val="00D70511"/>
    <w:rsid w:val="00D706B3"/>
    <w:rsid w:val="00D706B7"/>
    <w:rsid w:val="00D70907"/>
    <w:rsid w:val="00D70917"/>
    <w:rsid w:val="00D70BB7"/>
    <w:rsid w:val="00D70D55"/>
    <w:rsid w:val="00D70E56"/>
    <w:rsid w:val="00D71162"/>
    <w:rsid w:val="00D71769"/>
    <w:rsid w:val="00D71F4D"/>
    <w:rsid w:val="00D722F5"/>
    <w:rsid w:val="00D725C8"/>
    <w:rsid w:val="00D727DF"/>
    <w:rsid w:val="00D72B54"/>
    <w:rsid w:val="00D72E98"/>
    <w:rsid w:val="00D72ED6"/>
    <w:rsid w:val="00D72F95"/>
    <w:rsid w:val="00D7312E"/>
    <w:rsid w:val="00D7323E"/>
    <w:rsid w:val="00D7374D"/>
    <w:rsid w:val="00D74352"/>
    <w:rsid w:val="00D748F4"/>
    <w:rsid w:val="00D74922"/>
    <w:rsid w:val="00D74AA2"/>
    <w:rsid w:val="00D74CFA"/>
    <w:rsid w:val="00D74DFE"/>
    <w:rsid w:val="00D7551D"/>
    <w:rsid w:val="00D756B8"/>
    <w:rsid w:val="00D75A0A"/>
    <w:rsid w:val="00D75ABA"/>
    <w:rsid w:val="00D75D38"/>
    <w:rsid w:val="00D7624D"/>
    <w:rsid w:val="00D764A4"/>
    <w:rsid w:val="00D764C4"/>
    <w:rsid w:val="00D7695E"/>
    <w:rsid w:val="00D769E2"/>
    <w:rsid w:val="00D76C05"/>
    <w:rsid w:val="00D76C47"/>
    <w:rsid w:val="00D76D54"/>
    <w:rsid w:val="00D76E93"/>
    <w:rsid w:val="00D76EB8"/>
    <w:rsid w:val="00D77006"/>
    <w:rsid w:val="00D771AF"/>
    <w:rsid w:val="00D77225"/>
    <w:rsid w:val="00D772A9"/>
    <w:rsid w:val="00D772C4"/>
    <w:rsid w:val="00D772CA"/>
    <w:rsid w:val="00D773A9"/>
    <w:rsid w:val="00D77443"/>
    <w:rsid w:val="00D77449"/>
    <w:rsid w:val="00D77646"/>
    <w:rsid w:val="00D77791"/>
    <w:rsid w:val="00D777D1"/>
    <w:rsid w:val="00D778DA"/>
    <w:rsid w:val="00D779BE"/>
    <w:rsid w:val="00D77E23"/>
    <w:rsid w:val="00D77FF1"/>
    <w:rsid w:val="00D800D6"/>
    <w:rsid w:val="00D8077F"/>
    <w:rsid w:val="00D80BA9"/>
    <w:rsid w:val="00D81855"/>
    <w:rsid w:val="00D81C24"/>
    <w:rsid w:val="00D82CFD"/>
    <w:rsid w:val="00D82D05"/>
    <w:rsid w:val="00D82E2E"/>
    <w:rsid w:val="00D83614"/>
    <w:rsid w:val="00D83C18"/>
    <w:rsid w:val="00D83CD8"/>
    <w:rsid w:val="00D84002"/>
    <w:rsid w:val="00D8444A"/>
    <w:rsid w:val="00D844B8"/>
    <w:rsid w:val="00D8456B"/>
    <w:rsid w:val="00D84694"/>
    <w:rsid w:val="00D848BF"/>
    <w:rsid w:val="00D84946"/>
    <w:rsid w:val="00D8496A"/>
    <w:rsid w:val="00D84ABC"/>
    <w:rsid w:val="00D84AD5"/>
    <w:rsid w:val="00D84AF5"/>
    <w:rsid w:val="00D84D18"/>
    <w:rsid w:val="00D850FE"/>
    <w:rsid w:val="00D854BC"/>
    <w:rsid w:val="00D85545"/>
    <w:rsid w:val="00D85613"/>
    <w:rsid w:val="00D8593B"/>
    <w:rsid w:val="00D85A26"/>
    <w:rsid w:val="00D85AA7"/>
    <w:rsid w:val="00D85C99"/>
    <w:rsid w:val="00D85D1E"/>
    <w:rsid w:val="00D85DF7"/>
    <w:rsid w:val="00D85F12"/>
    <w:rsid w:val="00D8605E"/>
    <w:rsid w:val="00D8618A"/>
    <w:rsid w:val="00D86AB4"/>
    <w:rsid w:val="00D86B35"/>
    <w:rsid w:val="00D86EC0"/>
    <w:rsid w:val="00D87087"/>
    <w:rsid w:val="00D905CC"/>
    <w:rsid w:val="00D907DD"/>
    <w:rsid w:val="00D9095D"/>
    <w:rsid w:val="00D90A5E"/>
    <w:rsid w:val="00D90D9A"/>
    <w:rsid w:val="00D914B1"/>
    <w:rsid w:val="00D918E7"/>
    <w:rsid w:val="00D9199B"/>
    <w:rsid w:val="00D91CD5"/>
    <w:rsid w:val="00D91FB5"/>
    <w:rsid w:val="00D92AE6"/>
    <w:rsid w:val="00D92D1A"/>
    <w:rsid w:val="00D92DA6"/>
    <w:rsid w:val="00D92F4E"/>
    <w:rsid w:val="00D9326A"/>
    <w:rsid w:val="00D93396"/>
    <w:rsid w:val="00D93854"/>
    <w:rsid w:val="00D938F0"/>
    <w:rsid w:val="00D93A7D"/>
    <w:rsid w:val="00D93E7B"/>
    <w:rsid w:val="00D94161"/>
    <w:rsid w:val="00D9451B"/>
    <w:rsid w:val="00D94758"/>
    <w:rsid w:val="00D947E4"/>
    <w:rsid w:val="00D94821"/>
    <w:rsid w:val="00D94B15"/>
    <w:rsid w:val="00D94B62"/>
    <w:rsid w:val="00D94C2A"/>
    <w:rsid w:val="00D94C5B"/>
    <w:rsid w:val="00D9509D"/>
    <w:rsid w:val="00D950F4"/>
    <w:rsid w:val="00D9533D"/>
    <w:rsid w:val="00D958E7"/>
    <w:rsid w:val="00D95C44"/>
    <w:rsid w:val="00D95E58"/>
    <w:rsid w:val="00D95E68"/>
    <w:rsid w:val="00D9622C"/>
    <w:rsid w:val="00D969DA"/>
    <w:rsid w:val="00D96C2F"/>
    <w:rsid w:val="00D96FF7"/>
    <w:rsid w:val="00D97E34"/>
    <w:rsid w:val="00D97E79"/>
    <w:rsid w:val="00DA0109"/>
    <w:rsid w:val="00DA014E"/>
    <w:rsid w:val="00DA05AC"/>
    <w:rsid w:val="00DA062B"/>
    <w:rsid w:val="00DA0A24"/>
    <w:rsid w:val="00DA0C3F"/>
    <w:rsid w:val="00DA0C8B"/>
    <w:rsid w:val="00DA0F0A"/>
    <w:rsid w:val="00DA1067"/>
    <w:rsid w:val="00DA1214"/>
    <w:rsid w:val="00DA135F"/>
    <w:rsid w:val="00DA1392"/>
    <w:rsid w:val="00DA18A2"/>
    <w:rsid w:val="00DA1AC8"/>
    <w:rsid w:val="00DA1B87"/>
    <w:rsid w:val="00DA1CDD"/>
    <w:rsid w:val="00DA1F4B"/>
    <w:rsid w:val="00DA2388"/>
    <w:rsid w:val="00DA259E"/>
    <w:rsid w:val="00DA259F"/>
    <w:rsid w:val="00DA28E0"/>
    <w:rsid w:val="00DA2D56"/>
    <w:rsid w:val="00DA3087"/>
    <w:rsid w:val="00DA3386"/>
    <w:rsid w:val="00DA3574"/>
    <w:rsid w:val="00DA39AD"/>
    <w:rsid w:val="00DA3BD9"/>
    <w:rsid w:val="00DA3D80"/>
    <w:rsid w:val="00DA3F2D"/>
    <w:rsid w:val="00DA4638"/>
    <w:rsid w:val="00DA6966"/>
    <w:rsid w:val="00DA6A45"/>
    <w:rsid w:val="00DA6C9D"/>
    <w:rsid w:val="00DA6DB3"/>
    <w:rsid w:val="00DA6E26"/>
    <w:rsid w:val="00DA6E7B"/>
    <w:rsid w:val="00DA6FEB"/>
    <w:rsid w:val="00DA7360"/>
    <w:rsid w:val="00DA73DA"/>
    <w:rsid w:val="00DA74A6"/>
    <w:rsid w:val="00DA788B"/>
    <w:rsid w:val="00DA7B2D"/>
    <w:rsid w:val="00DA7C8C"/>
    <w:rsid w:val="00DA7FB6"/>
    <w:rsid w:val="00DB061F"/>
    <w:rsid w:val="00DB06CC"/>
    <w:rsid w:val="00DB1242"/>
    <w:rsid w:val="00DB1590"/>
    <w:rsid w:val="00DB194B"/>
    <w:rsid w:val="00DB1E38"/>
    <w:rsid w:val="00DB1F2A"/>
    <w:rsid w:val="00DB1F7D"/>
    <w:rsid w:val="00DB24B0"/>
    <w:rsid w:val="00DB2789"/>
    <w:rsid w:val="00DB2888"/>
    <w:rsid w:val="00DB2A7E"/>
    <w:rsid w:val="00DB2ACE"/>
    <w:rsid w:val="00DB2CA5"/>
    <w:rsid w:val="00DB2DC3"/>
    <w:rsid w:val="00DB3720"/>
    <w:rsid w:val="00DB38A9"/>
    <w:rsid w:val="00DB3C69"/>
    <w:rsid w:val="00DB3C93"/>
    <w:rsid w:val="00DB3D62"/>
    <w:rsid w:val="00DB3D65"/>
    <w:rsid w:val="00DB4021"/>
    <w:rsid w:val="00DB4046"/>
    <w:rsid w:val="00DB4577"/>
    <w:rsid w:val="00DB4B76"/>
    <w:rsid w:val="00DB4CFB"/>
    <w:rsid w:val="00DB4D16"/>
    <w:rsid w:val="00DB4F4C"/>
    <w:rsid w:val="00DB5232"/>
    <w:rsid w:val="00DB5272"/>
    <w:rsid w:val="00DB58F6"/>
    <w:rsid w:val="00DB5A27"/>
    <w:rsid w:val="00DB5EA2"/>
    <w:rsid w:val="00DB5FA9"/>
    <w:rsid w:val="00DB5FEC"/>
    <w:rsid w:val="00DB5FEF"/>
    <w:rsid w:val="00DB61B5"/>
    <w:rsid w:val="00DB62B7"/>
    <w:rsid w:val="00DB6597"/>
    <w:rsid w:val="00DB6AA3"/>
    <w:rsid w:val="00DB6CBB"/>
    <w:rsid w:val="00DB7220"/>
    <w:rsid w:val="00DB74E9"/>
    <w:rsid w:val="00DB7647"/>
    <w:rsid w:val="00DB7791"/>
    <w:rsid w:val="00DB798B"/>
    <w:rsid w:val="00DB7C1C"/>
    <w:rsid w:val="00DC0180"/>
    <w:rsid w:val="00DC0595"/>
    <w:rsid w:val="00DC0609"/>
    <w:rsid w:val="00DC08E2"/>
    <w:rsid w:val="00DC0BFD"/>
    <w:rsid w:val="00DC1235"/>
    <w:rsid w:val="00DC133C"/>
    <w:rsid w:val="00DC13DA"/>
    <w:rsid w:val="00DC1528"/>
    <w:rsid w:val="00DC1A0F"/>
    <w:rsid w:val="00DC1C9B"/>
    <w:rsid w:val="00DC1EE7"/>
    <w:rsid w:val="00DC1F47"/>
    <w:rsid w:val="00DC208B"/>
    <w:rsid w:val="00DC29C5"/>
    <w:rsid w:val="00DC2A2B"/>
    <w:rsid w:val="00DC2A95"/>
    <w:rsid w:val="00DC2C10"/>
    <w:rsid w:val="00DC2C98"/>
    <w:rsid w:val="00DC2D4B"/>
    <w:rsid w:val="00DC2D87"/>
    <w:rsid w:val="00DC31D0"/>
    <w:rsid w:val="00DC3273"/>
    <w:rsid w:val="00DC3675"/>
    <w:rsid w:val="00DC3D1E"/>
    <w:rsid w:val="00DC46E3"/>
    <w:rsid w:val="00DC4820"/>
    <w:rsid w:val="00DC4938"/>
    <w:rsid w:val="00DC4AB6"/>
    <w:rsid w:val="00DC4F2C"/>
    <w:rsid w:val="00DC5705"/>
    <w:rsid w:val="00DC5A20"/>
    <w:rsid w:val="00DC5C56"/>
    <w:rsid w:val="00DC5CB8"/>
    <w:rsid w:val="00DC5D3A"/>
    <w:rsid w:val="00DC604C"/>
    <w:rsid w:val="00DC63D3"/>
    <w:rsid w:val="00DC6573"/>
    <w:rsid w:val="00DC6D03"/>
    <w:rsid w:val="00DC6F6E"/>
    <w:rsid w:val="00DC754C"/>
    <w:rsid w:val="00DC75CC"/>
    <w:rsid w:val="00DC7B85"/>
    <w:rsid w:val="00DC7D99"/>
    <w:rsid w:val="00DD006A"/>
    <w:rsid w:val="00DD07EC"/>
    <w:rsid w:val="00DD097B"/>
    <w:rsid w:val="00DD0C18"/>
    <w:rsid w:val="00DD100C"/>
    <w:rsid w:val="00DD14BD"/>
    <w:rsid w:val="00DD15DE"/>
    <w:rsid w:val="00DD184F"/>
    <w:rsid w:val="00DD1A18"/>
    <w:rsid w:val="00DD1AC0"/>
    <w:rsid w:val="00DD1BDE"/>
    <w:rsid w:val="00DD1F71"/>
    <w:rsid w:val="00DD23BA"/>
    <w:rsid w:val="00DD26E4"/>
    <w:rsid w:val="00DD2B36"/>
    <w:rsid w:val="00DD2BFC"/>
    <w:rsid w:val="00DD2C0A"/>
    <w:rsid w:val="00DD2F62"/>
    <w:rsid w:val="00DD3181"/>
    <w:rsid w:val="00DD36CD"/>
    <w:rsid w:val="00DD3AF4"/>
    <w:rsid w:val="00DD3FB1"/>
    <w:rsid w:val="00DD3FCF"/>
    <w:rsid w:val="00DD4078"/>
    <w:rsid w:val="00DD40FB"/>
    <w:rsid w:val="00DD4710"/>
    <w:rsid w:val="00DD4A88"/>
    <w:rsid w:val="00DD4DD4"/>
    <w:rsid w:val="00DD4F73"/>
    <w:rsid w:val="00DD52B1"/>
    <w:rsid w:val="00DD57DD"/>
    <w:rsid w:val="00DD5817"/>
    <w:rsid w:val="00DD5A94"/>
    <w:rsid w:val="00DD5DEC"/>
    <w:rsid w:val="00DD6424"/>
    <w:rsid w:val="00DD687D"/>
    <w:rsid w:val="00DD6995"/>
    <w:rsid w:val="00DD6AD9"/>
    <w:rsid w:val="00DD6B67"/>
    <w:rsid w:val="00DD6BD9"/>
    <w:rsid w:val="00DD6F89"/>
    <w:rsid w:val="00DD71B5"/>
    <w:rsid w:val="00DD73DE"/>
    <w:rsid w:val="00DD75D3"/>
    <w:rsid w:val="00DD75F3"/>
    <w:rsid w:val="00DD7A5F"/>
    <w:rsid w:val="00DD7C02"/>
    <w:rsid w:val="00DE02CA"/>
    <w:rsid w:val="00DE03C2"/>
    <w:rsid w:val="00DE0CA0"/>
    <w:rsid w:val="00DE0D44"/>
    <w:rsid w:val="00DE117B"/>
    <w:rsid w:val="00DE146C"/>
    <w:rsid w:val="00DE1B14"/>
    <w:rsid w:val="00DE1DDF"/>
    <w:rsid w:val="00DE211A"/>
    <w:rsid w:val="00DE2393"/>
    <w:rsid w:val="00DE23C8"/>
    <w:rsid w:val="00DE2416"/>
    <w:rsid w:val="00DE242A"/>
    <w:rsid w:val="00DE24B8"/>
    <w:rsid w:val="00DE2521"/>
    <w:rsid w:val="00DE2958"/>
    <w:rsid w:val="00DE29FF"/>
    <w:rsid w:val="00DE2AF8"/>
    <w:rsid w:val="00DE3379"/>
    <w:rsid w:val="00DE34D2"/>
    <w:rsid w:val="00DE361F"/>
    <w:rsid w:val="00DE3DF7"/>
    <w:rsid w:val="00DE3EF5"/>
    <w:rsid w:val="00DE447D"/>
    <w:rsid w:val="00DE44F0"/>
    <w:rsid w:val="00DE45DD"/>
    <w:rsid w:val="00DE465F"/>
    <w:rsid w:val="00DE4FBD"/>
    <w:rsid w:val="00DE5153"/>
    <w:rsid w:val="00DE5175"/>
    <w:rsid w:val="00DE5B42"/>
    <w:rsid w:val="00DE5BF9"/>
    <w:rsid w:val="00DE5C41"/>
    <w:rsid w:val="00DE5EB1"/>
    <w:rsid w:val="00DE60C6"/>
    <w:rsid w:val="00DE6124"/>
    <w:rsid w:val="00DE61A2"/>
    <w:rsid w:val="00DE6426"/>
    <w:rsid w:val="00DE6506"/>
    <w:rsid w:val="00DE6776"/>
    <w:rsid w:val="00DE6A03"/>
    <w:rsid w:val="00DE6B22"/>
    <w:rsid w:val="00DE6C7A"/>
    <w:rsid w:val="00DE6EE5"/>
    <w:rsid w:val="00DE727F"/>
    <w:rsid w:val="00DE766E"/>
    <w:rsid w:val="00DE795D"/>
    <w:rsid w:val="00DF0937"/>
    <w:rsid w:val="00DF0C92"/>
    <w:rsid w:val="00DF0FB7"/>
    <w:rsid w:val="00DF1155"/>
    <w:rsid w:val="00DF133C"/>
    <w:rsid w:val="00DF1B5F"/>
    <w:rsid w:val="00DF1FA4"/>
    <w:rsid w:val="00DF2069"/>
    <w:rsid w:val="00DF2D30"/>
    <w:rsid w:val="00DF2D40"/>
    <w:rsid w:val="00DF2DC1"/>
    <w:rsid w:val="00DF2EA3"/>
    <w:rsid w:val="00DF2F8D"/>
    <w:rsid w:val="00DF3574"/>
    <w:rsid w:val="00DF35C1"/>
    <w:rsid w:val="00DF361C"/>
    <w:rsid w:val="00DF3B0B"/>
    <w:rsid w:val="00DF3C79"/>
    <w:rsid w:val="00DF42B4"/>
    <w:rsid w:val="00DF45C4"/>
    <w:rsid w:val="00DF4D24"/>
    <w:rsid w:val="00DF50A9"/>
    <w:rsid w:val="00DF5298"/>
    <w:rsid w:val="00DF5BFC"/>
    <w:rsid w:val="00DF5DC1"/>
    <w:rsid w:val="00DF612B"/>
    <w:rsid w:val="00DF6257"/>
    <w:rsid w:val="00DF65A1"/>
    <w:rsid w:val="00DF69FE"/>
    <w:rsid w:val="00DF6D0A"/>
    <w:rsid w:val="00DF6E39"/>
    <w:rsid w:val="00DF6EA5"/>
    <w:rsid w:val="00DF70FE"/>
    <w:rsid w:val="00DF72FB"/>
    <w:rsid w:val="00DF730D"/>
    <w:rsid w:val="00DF77A6"/>
    <w:rsid w:val="00DF788B"/>
    <w:rsid w:val="00DF79A6"/>
    <w:rsid w:val="00DF7D75"/>
    <w:rsid w:val="00E004E8"/>
    <w:rsid w:val="00E00B10"/>
    <w:rsid w:val="00E00C04"/>
    <w:rsid w:val="00E01918"/>
    <w:rsid w:val="00E019D6"/>
    <w:rsid w:val="00E022DE"/>
    <w:rsid w:val="00E02730"/>
    <w:rsid w:val="00E02C2E"/>
    <w:rsid w:val="00E030D5"/>
    <w:rsid w:val="00E031CD"/>
    <w:rsid w:val="00E031DA"/>
    <w:rsid w:val="00E03516"/>
    <w:rsid w:val="00E0369A"/>
    <w:rsid w:val="00E038D8"/>
    <w:rsid w:val="00E03C34"/>
    <w:rsid w:val="00E03F79"/>
    <w:rsid w:val="00E03FEC"/>
    <w:rsid w:val="00E0423E"/>
    <w:rsid w:val="00E043BF"/>
    <w:rsid w:val="00E0470E"/>
    <w:rsid w:val="00E04CDC"/>
    <w:rsid w:val="00E04F47"/>
    <w:rsid w:val="00E0518A"/>
    <w:rsid w:val="00E059C9"/>
    <w:rsid w:val="00E05D5A"/>
    <w:rsid w:val="00E062FD"/>
    <w:rsid w:val="00E06455"/>
    <w:rsid w:val="00E065CB"/>
    <w:rsid w:val="00E066DD"/>
    <w:rsid w:val="00E06852"/>
    <w:rsid w:val="00E068A1"/>
    <w:rsid w:val="00E06970"/>
    <w:rsid w:val="00E069BE"/>
    <w:rsid w:val="00E069DC"/>
    <w:rsid w:val="00E06B60"/>
    <w:rsid w:val="00E06C87"/>
    <w:rsid w:val="00E072CC"/>
    <w:rsid w:val="00E0743A"/>
    <w:rsid w:val="00E0744B"/>
    <w:rsid w:val="00E07F93"/>
    <w:rsid w:val="00E10145"/>
    <w:rsid w:val="00E1015F"/>
    <w:rsid w:val="00E1029D"/>
    <w:rsid w:val="00E1036D"/>
    <w:rsid w:val="00E10F7F"/>
    <w:rsid w:val="00E11449"/>
    <w:rsid w:val="00E11B62"/>
    <w:rsid w:val="00E11BCB"/>
    <w:rsid w:val="00E11F9C"/>
    <w:rsid w:val="00E12804"/>
    <w:rsid w:val="00E12BD6"/>
    <w:rsid w:val="00E13418"/>
    <w:rsid w:val="00E13653"/>
    <w:rsid w:val="00E13859"/>
    <w:rsid w:val="00E13A3E"/>
    <w:rsid w:val="00E140CC"/>
    <w:rsid w:val="00E142AC"/>
    <w:rsid w:val="00E14779"/>
    <w:rsid w:val="00E14A52"/>
    <w:rsid w:val="00E14C44"/>
    <w:rsid w:val="00E14CF7"/>
    <w:rsid w:val="00E14E78"/>
    <w:rsid w:val="00E14EA8"/>
    <w:rsid w:val="00E1515D"/>
    <w:rsid w:val="00E15538"/>
    <w:rsid w:val="00E15915"/>
    <w:rsid w:val="00E15BCB"/>
    <w:rsid w:val="00E15E82"/>
    <w:rsid w:val="00E1639E"/>
    <w:rsid w:val="00E16721"/>
    <w:rsid w:val="00E1697B"/>
    <w:rsid w:val="00E16B6C"/>
    <w:rsid w:val="00E16BDB"/>
    <w:rsid w:val="00E16D86"/>
    <w:rsid w:val="00E16EFB"/>
    <w:rsid w:val="00E17230"/>
    <w:rsid w:val="00E173E7"/>
    <w:rsid w:val="00E1757E"/>
    <w:rsid w:val="00E1769E"/>
    <w:rsid w:val="00E17958"/>
    <w:rsid w:val="00E17EF5"/>
    <w:rsid w:val="00E20279"/>
    <w:rsid w:val="00E20EED"/>
    <w:rsid w:val="00E2125D"/>
    <w:rsid w:val="00E21769"/>
    <w:rsid w:val="00E21989"/>
    <w:rsid w:val="00E21B54"/>
    <w:rsid w:val="00E21E14"/>
    <w:rsid w:val="00E21F47"/>
    <w:rsid w:val="00E2200B"/>
    <w:rsid w:val="00E221C3"/>
    <w:rsid w:val="00E224F4"/>
    <w:rsid w:val="00E228A3"/>
    <w:rsid w:val="00E22BF3"/>
    <w:rsid w:val="00E22CD8"/>
    <w:rsid w:val="00E22E24"/>
    <w:rsid w:val="00E22F9F"/>
    <w:rsid w:val="00E22FA2"/>
    <w:rsid w:val="00E23546"/>
    <w:rsid w:val="00E23711"/>
    <w:rsid w:val="00E23E34"/>
    <w:rsid w:val="00E24132"/>
    <w:rsid w:val="00E24431"/>
    <w:rsid w:val="00E244FE"/>
    <w:rsid w:val="00E245B6"/>
    <w:rsid w:val="00E24706"/>
    <w:rsid w:val="00E2514E"/>
    <w:rsid w:val="00E2523E"/>
    <w:rsid w:val="00E2535E"/>
    <w:rsid w:val="00E25614"/>
    <w:rsid w:val="00E2562B"/>
    <w:rsid w:val="00E257AC"/>
    <w:rsid w:val="00E25A65"/>
    <w:rsid w:val="00E265BA"/>
    <w:rsid w:val="00E267E5"/>
    <w:rsid w:val="00E26BC6"/>
    <w:rsid w:val="00E27222"/>
    <w:rsid w:val="00E2753F"/>
    <w:rsid w:val="00E27628"/>
    <w:rsid w:val="00E27898"/>
    <w:rsid w:val="00E27944"/>
    <w:rsid w:val="00E27A07"/>
    <w:rsid w:val="00E27BFE"/>
    <w:rsid w:val="00E3008F"/>
    <w:rsid w:val="00E30491"/>
    <w:rsid w:val="00E30D64"/>
    <w:rsid w:val="00E312F8"/>
    <w:rsid w:val="00E31427"/>
    <w:rsid w:val="00E31468"/>
    <w:rsid w:val="00E316F8"/>
    <w:rsid w:val="00E31B3F"/>
    <w:rsid w:val="00E31B8D"/>
    <w:rsid w:val="00E31D6C"/>
    <w:rsid w:val="00E320F7"/>
    <w:rsid w:val="00E32388"/>
    <w:rsid w:val="00E327F0"/>
    <w:rsid w:val="00E328A4"/>
    <w:rsid w:val="00E32AAB"/>
    <w:rsid w:val="00E32C72"/>
    <w:rsid w:val="00E32D0F"/>
    <w:rsid w:val="00E32DF2"/>
    <w:rsid w:val="00E32EA5"/>
    <w:rsid w:val="00E32F4D"/>
    <w:rsid w:val="00E3320F"/>
    <w:rsid w:val="00E3349F"/>
    <w:rsid w:val="00E3351E"/>
    <w:rsid w:val="00E3353F"/>
    <w:rsid w:val="00E335C7"/>
    <w:rsid w:val="00E33A08"/>
    <w:rsid w:val="00E33A42"/>
    <w:rsid w:val="00E33BC4"/>
    <w:rsid w:val="00E33FA9"/>
    <w:rsid w:val="00E3440D"/>
    <w:rsid w:val="00E34888"/>
    <w:rsid w:val="00E348D9"/>
    <w:rsid w:val="00E34941"/>
    <w:rsid w:val="00E34AAF"/>
    <w:rsid w:val="00E34B42"/>
    <w:rsid w:val="00E35157"/>
    <w:rsid w:val="00E35CFF"/>
    <w:rsid w:val="00E36290"/>
    <w:rsid w:val="00E36773"/>
    <w:rsid w:val="00E36A5F"/>
    <w:rsid w:val="00E36B54"/>
    <w:rsid w:val="00E36C86"/>
    <w:rsid w:val="00E36FBF"/>
    <w:rsid w:val="00E3714F"/>
    <w:rsid w:val="00E37691"/>
    <w:rsid w:val="00E37E1A"/>
    <w:rsid w:val="00E37EF8"/>
    <w:rsid w:val="00E404B3"/>
    <w:rsid w:val="00E4063A"/>
    <w:rsid w:val="00E40705"/>
    <w:rsid w:val="00E4075F"/>
    <w:rsid w:val="00E4086D"/>
    <w:rsid w:val="00E4089C"/>
    <w:rsid w:val="00E41497"/>
    <w:rsid w:val="00E414F2"/>
    <w:rsid w:val="00E417E1"/>
    <w:rsid w:val="00E42116"/>
    <w:rsid w:val="00E42824"/>
    <w:rsid w:val="00E42A01"/>
    <w:rsid w:val="00E42B80"/>
    <w:rsid w:val="00E42C9A"/>
    <w:rsid w:val="00E43595"/>
    <w:rsid w:val="00E43D3B"/>
    <w:rsid w:val="00E44215"/>
    <w:rsid w:val="00E4427C"/>
    <w:rsid w:val="00E445BC"/>
    <w:rsid w:val="00E4468B"/>
    <w:rsid w:val="00E4469A"/>
    <w:rsid w:val="00E449DB"/>
    <w:rsid w:val="00E44A5C"/>
    <w:rsid w:val="00E44B2C"/>
    <w:rsid w:val="00E44B9E"/>
    <w:rsid w:val="00E44F29"/>
    <w:rsid w:val="00E45414"/>
    <w:rsid w:val="00E456E6"/>
    <w:rsid w:val="00E45879"/>
    <w:rsid w:val="00E45CF6"/>
    <w:rsid w:val="00E45F99"/>
    <w:rsid w:val="00E46570"/>
    <w:rsid w:val="00E468BA"/>
    <w:rsid w:val="00E46C57"/>
    <w:rsid w:val="00E46D6D"/>
    <w:rsid w:val="00E46E01"/>
    <w:rsid w:val="00E4725F"/>
    <w:rsid w:val="00E472A0"/>
    <w:rsid w:val="00E474D6"/>
    <w:rsid w:val="00E47538"/>
    <w:rsid w:val="00E47C40"/>
    <w:rsid w:val="00E50A4A"/>
    <w:rsid w:val="00E50F31"/>
    <w:rsid w:val="00E50F7D"/>
    <w:rsid w:val="00E50F82"/>
    <w:rsid w:val="00E50FA6"/>
    <w:rsid w:val="00E51006"/>
    <w:rsid w:val="00E510E9"/>
    <w:rsid w:val="00E511E3"/>
    <w:rsid w:val="00E512CF"/>
    <w:rsid w:val="00E5132B"/>
    <w:rsid w:val="00E5153E"/>
    <w:rsid w:val="00E51683"/>
    <w:rsid w:val="00E51788"/>
    <w:rsid w:val="00E51888"/>
    <w:rsid w:val="00E51C06"/>
    <w:rsid w:val="00E51E1A"/>
    <w:rsid w:val="00E5266E"/>
    <w:rsid w:val="00E52B54"/>
    <w:rsid w:val="00E52C9D"/>
    <w:rsid w:val="00E5328A"/>
    <w:rsid w:val="00E53328"/>
    <w:rsid w:val="00E5345E"/>
    <w:rsid w:val="00E5400E"/>
    <w:rsid w:val="00E54134"/>
    <w:rsid w:val="00E54A4C"/>
    <w:rsid w:val="00E54BA7"/>
    <w:rsid w:val="00E54C5A"/>
    <w:rsid w:val="00E550AC"/>
    <w:rsid w:val="00E551B4"/>
    <w:rsid w:val="00E5533F"/>
    <w:rsid w:val="00E555DD"/>
    <w:rsid w:val="00E559AA"/>
    <w:rsid w:val="00E55C48"/>
    <w:rsid w:val="00E55C4C"/>
    <w:rsid w:val="00E55CF4"/>
    <w:rsid w:val="00E55D1E"/>
    <w:rsid w:val="00E55FA6"/>
    <w:rsid w:val="00E56262"/>
    <w:rsid w:val="00E5660B"/>
    <w:rsid w:val="00E56679"/>
    <w:rsid w:val="00E568F0"/>
    <w:rsid w:val="00E56AE4"/>
    <w:rsid w:val="00E56DBA"/>
    <w:rsid w:val="00E570E3"/>
    <w:rsid w:val="00E5796C"/>
    <w:rsid w:val="00E604BC"/>
    <w:rsid w:val="00E60782"/>
    <w:rsid w:val="00E60940"/>
    <w:rsid w:val="00E60A17"/>
    <w:rsid w:val="00E60E95"/>
    <w:rsid w:val="00E60EBF"/>
    <w:rsid w:val="00E610FA"/>
    <w:rsid w:val="00E61184"/>
    <w:rsid w:val="00E6122B"/>
    <w:rsid w:val="00E6144A"/>
    <w:rsid w:val="00E61458"/>
    <w:rsid w:val="00E61484"/>
    <w:rsid w:val="00E615BC"/>
    <w:rsid w:val="00E618CE"/>
    <w:rsid w:val="00E61EB9"/>
    <w:rsid w:val="00E625CD"/>
    <w:rsid w:val="00E6267F"/>
    <w:rsid w:val="00E627D5"/>
    <w:rsid w:val="00E62BDA"/>
    <w:rsid w:val="00E62BF2"/>
    <w:rsid w:val="00E62CD2"/>
    <w:rsid w:val="00E6303C"/>
    <w:rsid w:val="00E6353F"/>
    <w:rsid w:val="00E6359B"/>
    <w:rsid w:val="00E6364E"/>
    <w:rsid w:val="00E6379F"/>
    <w:rsid w:val="00E6380D"/>
    <w:rsid w:val="00E63829"/>
    <w:rsid w:val="00E63967"/>
    <w:rsid w:val="00E641FD"/>
    <w:rsid w:val="00E64365"/>
    <w:rsid w:val="00E6440F"/>
    <w:rsid w:val="00E64733"/>
    <w:rsid w:val="00E6483D"/>
    <w:rsid w:val="00E648F9"/>
    <w:rsid w:val="00E64A9A"/>
    <w:rsid w:val="00E65324"/>
    <w:rsid w:val="00E65718"/>
    <w:rsid w:val="00E65E16"/>
    <w:rsid w:val="00E6620E"/>
    <w:rsid w:val="00E665ED"/>
    <w:rsid w:val="00E667B9"/>
    <w:rsid w:val="00E670E7"/>
    <w:rsid w:val="00E673E7"/>
    <w:rsid w:val="00E677FA"/>
    <w:rsid w:val="00E6786C"/>
    <w:rsid w:val="00E678A1"/>
    <w:rsid w:val="00E67A15"/>
    <w:rsid w:val="00E7052B"/>
    <w:rsid w:val="00E706CD"/>
    <w:rsid w:val="00E706F3"/>
    <w:rsid w:val="00E71362"/>
    <w:rsid w:val="00E71371"/>
    <w:rsid w:val="00E7163B"/>
    <w:rsid w:val="00E716FA"/>
    <w:rsid w:val="00E719E0"/>
    <w:rsid w:val="00E71CBB"/>
    <w:rsid w:val="00E71D9B"/>
    <w:rsid w:val="00E71F5F"/>
    <w:rsid w:val="00E720C3"/>
    <w:rsid w:val="00E72212"/>
    <w:rsid w:val="00E72431"/>
    <w:rsid w:val="00E72659"/>
    <w:rsid w:val="00E72807"/>
    <w:rsid w:val="00E72898"/>
    <w:rsid w:val="00E72FE4"/>
    <w:rsid w:val="00E7303B"/>
    <w:rsid w:val="00E7308E"/>
    <w:rsid w:val="00E7312F"/>
    <w:rsid w:val="00E736C5"/>
    <w:rsid w:val="00E737B6"/>
    <w:rsid w:val="00E742A7"/>
    <w:rsid w:val="00E74389"/>
    <w:rsid w:val="00E747C9"/>
    <w:rsid w:val="00E74929"/>
    <w:rsid w:val="00E74937"/>
    <w:rsid w:val="00E749E0"/>
    <w:rsid w:val="00E74E06"/>
    <w:rsid w:val="00E74E3E"/>
    <w:rsid w:val="00E75609"/>
    <w:rsid w:val="00E756BD"/>
    <w:rsid w:val="00E7574D"/>
    <w:rsid w:val="00E75D72"/>
    <w:rsid w:val="00E765E2"/>
    <w:rsid w:val="00E7673D"/>
    <w:rsid w:val="00E76BE2"/>
    <w:rsid w:val="00E76CDF"/>
    <w:rsid w:val="00E76E5D"/>
    <w:rsid w:val="00E76ED6"/>
    <w:rsid w:val="00E77473"/>
    <w:rsid w:val="00E77F1E"/>
    <w:rsid w:val="00E77F31"/>
    <w:rsid w:val="00E77FA1"/>
    <w:rsid w:val="00E8052F"/>
    <w:rsid w:val="00E8089F"/>
    <w:rsid w:val="00E80ACA"/>
    <w:rsid w:val="00E80AD5"/>
    <w:rsid w:val="00E80EDF"/>
    <w:rsid w:val="00E81004"/>
    <w:rsid w:val="00E81128"/>
    <w:rsid w:val="00E81176"/>
    <w:rsid w:val="00E811E9"/>
    <w:rsid w:val="00E81452"/>
    <w:rsid w:val="00E816B6"/>
    <w:rsid w:val="00E818C9"/>
    <w:rsid w:val="00E820EC"/>
    <w:rsid w:val="00E821FA"/>
    <w:rsid w:val="00E82714"/>
    <w:rsid w:val="00E8281C"/>
    <w:rsid w:val="00E8289F"/>
    <w:rsid w:val="00E82A01"/>
    <w:rsid w:val="00E82A1F"/>
    <w:rsid w:val="00E82A5E"/>
    <w:rsid w:val="00E82CDF"/>
    <w:rsid w:val="00E82EA5"/>
    <w:rsid w:val="00E82EAA"/>
    <w:rsid w:val="00E83469"/>
    <w:rsid w:val="00E83579"/>
    <w:rsid w:val="00E835AA"/>
    <w:rsid w:val="00E8372F"/>
    <w:rsid w:val="00E840C9"/>
    <w:rsid w:val="00E84186"/>
    <w:rsid w:val="00E8424D"/>
    <w:rsid w:val="00E8469A"/>
    <w:rsid w:val="00E84A12"/>
    <w:rsid w:val="00E84F06"/>
    <w:rsid w:val="00E85E52"/>
    <w:rsid w:val="00E85FCF"/>
    <w:rsid w:val="00E86E7F"/>
    <w:rsid w:val="00E87452"/>
    <w:rsid w:val="00E874E6"/>
    <w:rsid w:val="00E876AC"/>
    <w:rsid w:val="00E87C19"/>
    <w:rsid w:val="00E87E48"/>
    <w:rsid w:val="00E87F1C"/>
    <w:rsid w:val="00E904A7"/>
    <w:rsid w:val="00E904D8"/>
    <w:rsid w:val="00E905A8"/>
    <w:rsid w:val="00E905CA"/>
    <w:rsid w:val="00E90647"/>
    <w:rsid w:val="00E9086A"/>
    <w:rsid w:val="00E90B06"/>
    <w:rsid w:val="00E90EB8"/>
    <w:rsid w:val="00E9104D"/>
    <w:rsid w:val="00E91932"/>
    <w:rsid w:val="00E91F11"/>
    <w:rsid w:val="00E92144"/>
    <w:rsid w:val="00E9225D"/>
    <w:rsid w:val="00E922E5"/>
    <w:rsid w:val="00E92404"/>
    <w:rsid w:val="00E92551"/>
    <w:rsid w:val="00E92799"/>
    <w:rsid w:val="00E9299B"/>
    <w:rsid w:val="00E92FC1"/>
    <w:rsid w:val="00E932F8"/>
    <w:rsid w:val="00E93445"/>
    <w:rsid w:val="00E937C0"/>
    <w:rsid w:val="00E93A11"/>
    <w:rsid w:val="00E93C6B"/>
    <w:rsid w:val="00E93CF8"/>
    <w:rsid w:val="00E93D56"/>
    <w:rsid w:val="00E93E89"/>
    <w:rsid w:val="00E9406E"/>
    <w:rsid w:val="00E94129"/>
    <w:rsid w:val="00E94455"/>
    <w:rsid w:val="00E94929"/>
    <w:rsid w:val="00E94973"/>
    <w:rsid w:val="00E949F1"/>
    <w:rsid w:val="00E94E5C"/>
    <w:rsid w:val="00E952B1"/>
    <w:rsid w:val="00E9546A"/>
    <w:rsid w:val="00E9554E"/>
    <w:rsid w:val="00E9556C"/>
    <w:rsid w:val="00E95778"/>
    <w:rsid w:val="00E95849"/>
    <w:rsid w:val="00E959B9"/>
    <w:rsid w:val="00E95ABD"/>
    <w:rsid w:val="00E95B0B"/>
    <w:rsid w:val="00E95B1E"/>
    <w:rsid w:val="00E95BD9"/>
    <w:rsid w:val="00E95D5E"/>
    <w:rsid w:val="00E95FF4"/>
    <w:rsid w:val="00E96024"/>
    <w:rsid w:val="00E96114"/>
    <w:rsid w:val="00E967BA"/>
    <w:rsid w:val="00E967D3"/>
    <w:rsid w:val="00E96A86"/>
    <w:rsid w:val="00E96C4F"/>
    <w:rsid w:val="00E96FA0"/>
    <w:rsid w:val="00E97039"/>
    <w:rsid w:val="00E971B3"/>
    <w:rsid w:val="00E97252"/>
    <w:rsid w:val="00E97A1E"/>
    <w:rsid w:val="00E97E3F"/>
    <w:rsid w:val="00EA037F"/>
    <w:rsid w:val="00EA04BC"/>
    <w:rsid w:val="00EA0825"/>
    <w:rsid w:val="00EA13CD"/>
    <w:rsid w:val="00EA1B03"/>
    <w:rsid w:val="00EA1B2D"/>
    <w:rsid w:val="00EA1B56"/>
    <w:rsid w:val="00EA1BAD"/>
    <w:rsid w:val="00EA2326"/>
    <w:rsid w:val="00EA26C0"/>
    <w:rsid w:val="00EA298B"/>
    <w:rsid w:val="00EA2D14"/>
    <w:rsid w:val="00EA2D57"/>
    <w:rsid w:val="00EA318D"/>
    <w:rsid w:val="00EA31AA"/>
    <w:rsid w:val="00EA351B"/>
    <w:rsid w:val="00EA3603"/>
    <w:rsid w:val="00EA3CE6"/>
    <w:rsid w:val="00EA3CEA"/>
    <w:rsid w:val="00EA442B"/>
    <w:rsid w:val="00EA4457"/>
    <w:rsid w:val="00EA45FF"/>
    <w:rsid w:val="00EA4B23"/>
    <w:rsid w:val="00EA4BF6"/>
    <w:rsid w:val="00EA50F2"/>
    <w:rsid w:val="00EA51EB"/>
    <w:rsid w:val="00EA5215"/>
    <w:rsid w:val="00EA558F"/>
    <w:rsid w:val="00EA55A7"/>
    <w:rsid w:val="00EA569B"/>
    <w:rsid w:val="00EA592F"/>
    <w:rsid w:val="00EA5A89"/>
    <w:rsid w:val="00EA5EA8"/>
    <w:rsid w:val="00EA6573"/>
    <w:rsid w:val="00EA6765"/>
    <w:rsid w:val="00EA6795"/>
    <w:rsid w:val="00EA67D0"/>
    <w:rsid w:val="00EA6BA2"/>
    <w:rsid w:val="00EA7AC7"/>
    <w:rsid w:val="00EA7C1F"/>
    <w:rsid w:val="00EA7DE7"/>
    <w:rsid w:val="00EB0057"/>
    <w:rsid w:val="00EB0574"/>
    <w:rsid w:val="00EB05B3"/>
    <w:rsid w:val="00EB074D"/>
    <w:rsid w:val="00EB0B84"/>
    <w:rsid w:val="00EB0DC9"/>
    <w:rsid w:val="00EB14C8"/>
    <w:rsid w:val="00EB15B4"/>
    <w:rsid w:val="00EB1907"/>
    <w:rsid w:val="00EB1E38"/>
    <w:rsid w:val="00EB20EB"/>
    <w:rsid w:val="00EB2A29"/>
    <w:rsid w:val="00EB2E7D"/>
    <w:rsid w:val="00EB30A1"/>
    <w:rsid w:val="00EB3A76"/>
    <w:rsid w:val="00EB3B4A"/>
    <w:rsid w:val="00EB3CDD"/>
    <w:rsid w:val="00EB3FCA"/>
    <w:rsid w:val="00EB40FD"/>
    <w:rsid w:val="00EB4502"/>
    <w:rsid w:val="00EB4559"/>
    <w:rsid w:val="00EB45D9"/>
    <w:rsid w:val="00EB48A0"/>
    <w:rsid w:val="00EB4BE4"/>
    <w:rsid w:val="00EB4D0D"/>
    <w:rsid w:val="00EB4EE9"/>
    <w:rsid w:val="00EB4F79"/>
    <w:rsid w:val="00EB5209"/>
    <w:rsid w:val="00EB56D1"/>
    <w:rsid w:val="00EB5CFE"/>
    <w:rsid w:val="00EB6002"/>
    <w:rsid w:val="00EB6013"/>
    <w:rsid w:val="00EB62F9"/>
    <w:rsid w:val="00EB64BC"/>
    <w:rsid w:val="00EB6991"/>
    <w:rsid w:val="00EB6F95"/>
    <w:rsid w:val="00EB7360"/>
    <w:rsid w:val="00EB7736"/>
    <w:rsid w:val="00EB77B1"/>
    <w:rsid w:val="00EB77E8"/>
    <w:rsid w:val="00EB7D6F"/>
    <w:rsid w:val="00EB7F7C"/>
    <w:rsid w:val="00EC018E"/>
    <w:rsid w:val="00EC03B4"/>
    <w:rsid w:val="00EC093F"/>
    <w:rsid w:val="00EC09A2"/>
    <w:rsid w:val="00EC0DD6"/>
    <w:rsid w:val="00EC11FB"/>
    <w:rsid w:val="00EC1567"/>
    <w:rsid w:val="00EC1B8C"/>
    <w:rsid w:val="00EC1D49"/>
    <w:rsid w:val="00EC23C8"/>
    <w:rsid w:val="00EC247E"/>
    <w:rsid w:val="00EC27E5"/>
    <w:rsid w:val="00EC29A9"/>
    <w:rsid w:val="00EC2B15"/>
    <w:rsid w:val="00EC2B60"/>
    <w:rsid w:val="00EC305F"/>
    <w:rsid w:val="00EC369C"/>
    <w:rsid w:val="00EC394E"/>
    <w:rsid w:val="00EC3BDD"/>
    <w:rsid w:val="00EC3F71"/>
    <w:rsid w:val="00EC4391"/>
    <w:rsid w:val="00EC4437"/>
    <w:rsid w:val="00EC478F"/>
    <w:rsid w:val="00EC4F2F"/>
    <w:rsid w:val="00EC5A98"/>
    <w:rsid w:val="00EC5C95"/>
    <w:rsid w:val="00EC5F76"/>
    <w:rsid w:val="00EC61A5"/>
    <w:rsid w:val="00EC6322"/>
    <w:rsid w:val="00EC66E8"/>
    <w:rsid w:val="00EC6765"/>
    <w:rsid w:val="00EC67B7"/>
    <w:rsid w:val="00EC67FE"/>
    <w:rsid w:val="00EC694C"/>
    <w:rsid w:val="00EC6FCC"/>
    <w:rsid w:val="00EC71F6"/>
    <w:rsid w:val="00EC7228"/>
    <w:rsid w:val="00EC74B7"/>
    <w:rsid w:val="00EC7B88"/>
    <w:rsid w:val="00ED0035"/>
    <w:rsid w:val="00ED0302"/>
    <w:rsid w:val="00ED0697"/>
    <w:rsid w:val="00ED073E"/>
    <w:rsid w:val="00ED083B"/>
    <w:rsid w:val="00ED085C"/>
    <w:rsid w:val="00ED0AFA"/>
    <w:rsid w:val="00ED0B8B"/>
    <w:rsid w:val="00ED0E30"/>
    <w:rsid w:val="00ED0EAD"/>
    <w:rsid w:val="00ED0EBF"/>
    <w:rsid w:val="00ED0F72"/>
    <w:rsid w:val="00ED10FA"/>
    <w:rsid w:val="00ED15D5"/>
    <w:rsid w:val="00ED1601"/>
    <w:rsid w:val="00ED1A6C"/>
    <w:rsid w:val="00ED1AF3"/>
    <w:rsid w:val="00ED1B69"/>
    <w:rsid w:val="00ED1C5A"/>
    <w:rsid w:val="00ED1FD6"/>
    <w:rsid w:val="00ED22E9"/>
    <w:rsid w:val="00ED2556"/>
    <w:rsid w:val="00ED279C"/>
    <w:rsid w:val="00ED2863"/>
    <w:rsid w:val="00ED2A21"/>
    <w:rsid w:val="00ED2C8E"/>
    <w:rsid w:val="00ED2DD9"/>
    <w:rsid w:val="00ED2E1F"/>
    <w:rsid w:val="00ED30DA"/>
    <w:rsid w:val="00ED31BF"/>
    <w:rsid w:val="00ED35F1"/>
    <w:rsid w:val="00ED3CF2"/>
    <w:rsid w:val="00ED3E56"/>
    <w:rsid w:val="00ED44FA"/>
    <w:rsid w:val="00ED54AA"/>
    <w:rsid w:val="00ED5506"/>
    <w:rsid w:val="00ED58FA"/>
    <w:rsid w:val="00ED5981"/>
    <w:rsid w:val="00ED5B6E"/>
    <w:rsid w:val="00ED5F59"/>
    <w:rsid w:val="00ED6047"/>
    <w:rsid w:val="00ED6341"/>
    <w:rsid w:val="00ED6427"/>
    <w:rsid w:val="00ED6909"/>
    <w:rsid w:val="00ED6A6C"/>
    <w:rsid w:val="00ED6D35"/>
    <w:rsid w:val="00ED6F36"/>
    <w:rsid w:val="00ED7307"/>
    <w:rsid w:val="00ED797E"/>
    <w:rsid w:val="00ED7D78"/>
    <w:rsid w:val="00ED7F89"/>
    <w:rsid w:val="00EE030A"/>
    <w:rsid w:val="00EE04D7"/>
    <w:rsid w:val="00EE0AA3"/>
    <w:rsid w:val="00EE0E1E"/>
    <w:rsid w:val="00EE0E2A"/>
    <w:rsid w:val="00EE0EE1"/>
    <w:rsid w:val="00EE1333"/>
    <w:rsid w:val="00EE13CE"/>
    <w:rsid w:val="00EE146F"/>
    <w:rsid w:val="00EE156C"/>
    <w:rsid w:val="00EE16E4"/>
    <w:rsid w:val="00EE1885"/>
    <w:rsid w:val="00EE1A7D"/>
    <w:rsid w:val="00EE242F"/>
    <w:rsid w:val="00EE24F4"/>
    <w:rsid w:val="00EE254B"/>
    <w:rsid w:val="00EE2877"/>
    <w:rsid w:val="00EE293D"/>
    <w:rsid w:val="00EE2C92"/>
    <w:rsid w:val="00EE3100"/>
    <w:rsid w:val="00EE32AA"/>
    <w:rsid w:val="00EE379D"/>
    <w:rsid w:val="00EE3965"/>
    <w:rsid w:val="00EE3D4D"/>
    <w:rsid w:val="00EE464A"/>
    <w:rsid w:val="00EE46B7"/>
    <w:rsid w:val="00EE479C"/>
    <w:rsid w:val="00EE4B2A"/>
    <w:rsid w:val="00EE56C1"/>
    <w:rsid w:val="00EE5CFC"/>
    <w:rsid w:val="00EE601D"/>
    <w:rsid w:val="00EE6350"/>
    <w:rsid w:val="00EE6797"/>
    <w:rsid w:val="00EE6AF5"/>
    <w:rsid w:val="00EE6FDB"/>
    <w:rsid w:val="00EE7149"/>
    <w:rsid w:val="00EE71CE"/>
    <w:rsid w:val="00EE7491"/>
    <w:rsid w:val="00EE75BB"/>
    <w:rsid w:val="00EE791A"/>
    <w:rsid w:val="00EE79B0"/>
    <w:rsid w:val="00EE7AA1"/>
    <w:rsid w:val="00EE7BFF"/>
    <w:rsid w:val="00EE7DD8"/>
    <w:rsid w:val="00EE7F2E"/>
    <w:rsid w:val="00EF05B2"/>
    <w:rsid w:val="00EF0F31"/>
    <w:rsid w:val="00EF12D5"/>
    <w:rsid w:val="00EF15F7"/>
    <w:rsid w:val="00EF1C28"/>
    <w:rsid w:val="00EF1E65"/>
    <w:rsid w:val="00EF259E"/>
    <w:rsid w:val="00EF267B"/>
    <w:rsid w:val="00EF2FFD"/>
    <w:rsid w:val="00EF32A0"/>
    <w:rsid w:val="00EF35CE"/>
    <w:rsid w:val="00EF3690"/>
    <w:rsid w:val="00EF392E"/>
    <w:rsid w:val="00EF3C1E"/>
    <w:rsid w:val="00EF3CFF"/>
    <w:rsid w:val="00EF438E"/>
    <w:rsid w:val="00EF45AF"/>
    <w:rsid w:val="00EF46A4"/>
    <w:rsid w:val="00EF4883"/>
    <w:rsid w:val="00EF48D3"/>
    <w:rsid w:val="00EF5374"/>
    <w:rsid w:val="00EF54A9"/>
    <w:rsid w:val="00EF5571"/>
    <w:rsid w:val="00EF56FA"/>
    <w:rsid w:val="00EF5FAB"/>
    <w:rsid w:val="00EF6A94"/>
    <w:rsid w:val="00EF6B6A"/>
    <w:rsid w:val="00EF6CC2"/>
    <w:rsid w:val="00EF6DB4"/>
    <w:rsid w:val="00EF6F9F"/>
    <w:rsid w:val="00EF6FEF"/>
    <w:rsid w:val="00EF705B"/>
    <w:rsid w:val="00EF70FF"/>
    <w:rsid w:val="00EF71F0"/>
    <w:rsid w:val="00EF72E5"/>
    <w:rsid w:val="00EF7862"/>
    <w:rsid w:val="00EF7A99"/>
    <w:rsid w:val="00EF7FD9"/>
    <w:rsid w:val="00F003AA"/>
    <w:rsid w:val="00F00787"/>
    <w:rsid w:val="00F007CA"/>
    <w:rsid w:val="00F00AA0"/>
    <w:rsid w:val="00F00B78"/>
    <w:rsid w:val="00F00C70"/>
    <w:rsid w:val="00F00CD8"/>
    <w:rsid w:val="00F00D4A"/>
    <w:rsid w:val="00F01082"/>
    <w:rsid w:val="00F01161"/>
    <w:rsid w:val="00F01295"/>
    <w:rsid w:val="00F0154A"/>
    <w:rsid w:val="00F01AAC"/>
    <w:rsid w:val="00F01C85"/>
    <w:rsid w:val="00F01DB1"/>
    <w:rsid w:val="00F01E69"/>
    <w:rsid w:val="00F01FD3"/>
    <w:rsid w:val="00F02519"/>
    <w:rsid w:val="00F02AD1"/>
    <w:rsid w:val="00F02B1C"/>
    <w:rsid w:val="00F02CAA"/>
    <w:rsid w:val="00F02D21"/>
    <w:rsid w:val="00F0300C"/>
    <w:rsid w:val="00F03073"/>
    <w:rsid w:val="00F0333F"/>
    <w:rsid w:val="00F03FE7"/>
    <w:rsid w:val="00F04336"/>
    <w:rsid w:val="00F04EBA"/>
    <w:rsid w:val="00F05475"/>
    <w:rsid w:val="00F05513"/>
    <w:rsid w:val="00F056BE"/>
    <w:rsid w:val="00F05EEB"/>
    <w:rsid w:val="00F061C2"/>
    <w:rsid w:val="00F06725"/>
    <w:rsid w:val="00F06BE5"/>
    <w:rsid w:val="00F06CD2"/>
    <w:rsid w:val="00F07243"/>
    <w:rsid w:val="00F07A43"/>
    <w:rsid w:val="00F10074"/>
    <w:rsid w:val="00F103B2"/>
    <w:rsid w:val="00F104FF"/>
    <w:rsid w:val="00F1077E"/>
    <w:rsid w:val="00F10A45"/>
    <w:rsid w:val="00F10C62"/>
    <w:rsid w:val="00F11316"/>
    <w:rsid w:val="00F1168B"/>
    <w:rsid w:val="00F119FD"/>
    <w:rsid w:val="00F11A8B"/>
    <w:rsid w:val="00F11B4F"/>
    <w:rsid w:val="00F11B6B"/>
    <w:rsid w:val="00F11D88"/>
    <w:rsid w:val="00F11DAA"/>
    <w:rsid w:val="00F12752"/>
    <w:rsid w:val="00F12A71"/>
    <w:rsid w:val="00F12B11"/>
    <w:rsid w:val="00F12C80"/>
    <w:rsid w:val="00F12F31"/>
    <w:rsid w:val="00F1309F"/>
    <w:rsid w:val="00F1311B"/>
    <w:rsid w:val="00F13763"/>
    <w:rsid w:val="00F1399D"/>
    <w:rsid w:val="00F13A27"/>
    <w:rsid w:val="00F13B2A"/>
    <w:rsid w:val="00F13D11"/>
    <w:rsid w:val="00F1496C"/>
    <w:rsid w:val="00F14A1E"/>
    <w:rsid w:val="00F1539E"/>
    <w:rsid w:val="00F15E2A"/>
    <w:rsid w:val="00F1637B"/>
    <w:rsid w:val="00F16C3D"/>
    <w:rsid w:val="00F16E6A"/>
    <w:rsid w:val="00F173FD"/>
    <w:rsid w:val="00F17461"/>
    <w:rsid w:val="00F1777B"/>
    <w:rsid w:val="00F17785"/>
    <w:rsid w:val="00F1779D"/>
    <w:rsid w:val="00F17852"/>
    <w:rsid w:val="00F178E5"/>
    <w:rsid w:val="00F17AB0"/>
    <w:rsid w:val="00F17D34"/>
    <w:rsid w:val="00F205AA"/>
    <w:rsid w:val="00F20A43"/>
    <w:rsid w:val="00F20F02"/>
    <w:rsid w:val="00F21370"/>
    <w:rsid w:val="00F213A9"/>
    <w:rsid w:val="00F21CE0"/>
    <w:rsid w:val="00F21CE1"/>
    <w:rsid w:val="00F21DEA"/>
    <w:rsid w:val="00F22627"/>
    <w:rsid w:val="00F2282E"/>
    <w:rsid w:val="00F22A77"/>
    <w:rsid w:val="00F22D28"/>
    <w:rsid w:val="00F22D2C"/>
    <w:rsid w:val="00F22E3B"/>
    <w:rsid w:val="00F230A4"/>
    <w:rsid w:val="00F23241"/>
    <w:rsid w:val="00F23879"/>
    <w:rsid w:val="00F23BC0"/>
    <w:rsid w:val="00F23D3F"/>
    <w:rsid w:val="00F23EA0"/>
    <w:rsid w:val="00F241DD"/>
    <w:rsid w:val="00F24FA9"/>
    <w:rsid w:val="00F25300"/>
    <w:rsid w:val="00F253ED"/>
    <w:rsid w:val="00F25640"/>
    <w:rsid w:val="00F25B1A"/>
    <w:rsid w:val="00F25C57"/>
    <w:rsid w:val="00F26096"/>
    <w:rsid w:val="00F26774"/>
    <w:rsid w:val="00F2677F"/>
    <w:rsid w:val="00F26CC2"/>
    <w:rsid w:val="00F2726C"/>
    <w:rsid w:val="00F273F6"/>
    <w:rsid w:val="00F278C0"/>
    <w:rsid w:val="00F27CC3"/>
    <w:rsid w:val="00F30392"/>
    <w:rsid w:val="00F306B9"/>
    <w:rsid w:val="00F306F2"/>
    <w:rsid w:val="00F308B0"/>
    <w:rsid w:val="00F309E1"/>
    <w:rsid w:val="00F30AB4"/>
    <w:rsid w:val="00F30E6E"/>
    <w:rsid w:val="00F312F9"/>
    <w:rsid w:val="00F313EB"/>
    <w:rsid w:val="00F3141C"/>
    <w:rsid w:val="00F316C9"/>
    <w:rsid w:val="00F31A70"/>
    <w:rsid w:val="00F31D6E"/>
    <w:rsid w:val="00F32632"/>
    <w:rsid w:val="00F3273C"/>
    <w:rsid w:val="00F32762"/>
    <w:rsid w:val="00F3276E"/>
    <w:rsid w:val="00F3277F"/>
    <w:rsid w:val="00F32A6D"/>
    <w:rsid w:val="00F32DB1"/>
    <w:rsid w:val="00F32DFE"/>
    <w:rsid w:val="00F32F2B"/>
    <w:rsid w:val="00F33227"/>
    <w:rsid w:val="00F3349E"/>
    <w:rsid w:val="00F334C2"/>
    <w:rsid w:val="00F33A7A"/>
    <w:rsid w:val="00F33AC7"/>
    <w:rsid w:val="00F33B83"/>
    <w:rsid w:val="00F33F91"/>
    <w:rsid w:val="00F3400A"/>
    <w:rsid w:val="00F343CF"/>
    <w:rsid w:val="00F347F2"/>
    <w:rsid w:val="00F34854"/>
    <w:rsid w:val="00F350AE"/>
    <w:rsid w:val="00F3547C"/>
    <w:rsid w:val="00F354DD"/>
    <w:rsid w:val="00F35981"/>
    <w:rsid w:val="00F35A4E"/>
    <w:rsid w:val="00F35CD4"/>
    <w:rsid w:val="00F36003"/>
    <w:rsid w:val="00F36016"/>
    <w:rsid w:val="00F367EF"/>
    <w:rsid w:val="00F36B22"/>
    <w:rsid w:val="00F36BA1"/>
    <w:rsid w:val="00F373DB"/>
    <w:rsid w:val="00F37525"/>
    <w:rsid w:val="00F37875"/>
    <w:rsid w:val="00F3797A"/>
    <w:rsid w:val="00F37A2D"/>
    <w:rsid w:val="00F37DB4"/>
    <w:rsid w:val="00F37F65"/>
    <w:rsid w:val="00F401AD"/>
    <w:rsid w:val="00F403E8"/>
    <w:rsid w:val="00F404C4"/>
    <w:rsid w:val="00F40674"/>
    <w:rsid w:val="00F406EA"/>
    <w:rsid w:val="00F4093E"/>
    <w:rsid w:val="00F40969"/>
    <w:rsid w:val="00F409B6"/>
    <w:rsid w:val="00F40E15"/>
    <w:rsid w:val="00F41130"/>
    <w:rsid w:val="00F412A4"/>
    <w:rsid w:val="00F41379"/>
    <w:rsid w:val="00F41761"/>
    <w:rsid w:val="00F41A8C"/>
    <w:rsid w:val="00F41C14"/>
    <w:rsid w:val="00F41D06"/>
    <w:rsid w:val="00F41E96"/>
    <w:rsid w:val="00F423F2"/>
    <w:rsid w:val="00F42498"/>
    <w:rsid w:val="00F4284E"/>
    <w:rsid w:val="00F4291D"/>
    <w:rsid w:val="00F42A04"/>
    <w:rsid w:val="00F42C98"/>
    <w:rsid w:val="00F42E58"/>
    <w:rsid w:val="00F431C2"/>
    <w:rsid w:val="00F4328A"/>
    <w:rsid w:val="00F4359B"/>
    <w:rsid w:val="00F43EE0"/>
    <w:rsid w:val="00F44206"/>
    <w:rsid w:val="00F4469E"/>
    <w:rsid w:val="00F44928"/>
    <w:rsid w:val="00F44DF5"/>
    <w:rsid w:val="00F44FB7"/>
    <w:rsid w:val="00F45151"/>
    <w:rsid w:val="00F45561"/>
    <w:rsid w:val="00F45DEE"/>
    <w:rsid w:val="00F463DC"/>
    <w:rsid w:val="00F46584"/>
    <w:rsid w:val="00F46744"/>
    <w:rsid w:val="00F4677E"/>
    <w:rsid w:val="00F46D21"/>
    <w:rsid w:val="00F46F51"/>
    <w:rsid w:val="00F47457"/>
    <w:rsid w:val="00F4763E"/>
    <w:rsid w:val="00F505B6"/>
    <w:rsid w:val="00F5073B"/>
    <w:rsid w:val="00F50954"/>
    <w:rsid w:val="00F5099F"/>
    <w:rsid w:val="00F50DFC"/>
    <w:rsid w:val="00F50E1A"/>
    <w:rsid w:val="00F50E9F"/>
    <w:rsid w:val="00F50EA4"/>
    <w:rsid w:val="00F50F29"/>
    <w:rsid w:val="00F51043"/>
    <w:rsid w:val="00F5141F"/>
    <w:rsid w:val="00F51700"/>
    <w:rsid w:val="00F51FF6"/>
    <w:rsid w:val="00F5263E"/>
    <w:rsid w:val="00F52743"/>
    <w:rsid w:val="00F52904"/>
    <w:rsid w:val="00F52F0D"/>
    <w:rsid w:val="00F5302C"/>
    <w:rsid w:val="00F53039"/>
    <w:rsid w:val="00F532A2"/>
    <w:rsid w:val="00F534E9"/>
    <w:rsid w:val="00F537ED"/>
    <w:rsid w:val="00F53A29"/>
    <w:rsid w:val="00F53BE5"/>
    <w:rsid w:val="00F53EE0"/>
    <w:rsid w:val="00F541A0"/>
    <w:rsid w:val="00F542AA"/>
    <w:rsid w:val="00F5469C"/>
    <w:rsid w:val="00F5474A"/>
    <w:rsid w:val="00F549F4"/>
    <w:rsid w:val="00F54B8A"/>
    <w:rsid w:val="00F54BA4"/>
    <w:rsid w:val="00F557B9"/>
    <w:rsid w:val="00F559B6"/>
    <w:rsid w:val="00F55DC4"/>
    <w:rsid w:val="00F55E5C"/>
    <w:rsid w:val="00F55FAC"/>
    <w:rsid w:val="00F5620D"/>
    <w:rsid w:val="00F56A49"/>
    <w:rsid w:val="00F56D7E"/>
    <w:rsid w:val="00F56E16"/>
    <w:rsid w:val="00F57019"/>
    <w:rsid w:val="00F57258"/>
    <w:rsid w:val="00F57522"/>
    <w:rsid w:val="00F577A8"/>
    <w:rsid w:val="00F577E5"/>
    <w:rsid w:val="00F57CC6"/>
    <w:rsid w:val="00F57DD1"/>
    <w:rsid w:val="00F60226"/>
    <w:rsid w:val="00F6077C"/>
    <w:rsid w:val="00F607D2"/>
    <w:rsid w:val="00F60A01"/>
    <w:rsid w:val="00F60A94"/>
    <w:rsid w:val="00F60BF5"/>
    <w:rsid w:val="00F60C8E"/>
    <w:rsid w:val="00F60FB2"/>
    <w:rsid w:val="00F610F5"/>
    <w:rsid w:val="00F611F0"/>
    <w:rsid w:val="00F615F9"/>
    <w:rsid w:val="00F616A1"/>
    <w:rsid w:val="00F61E9E"/>
    <w:rsid w:val="00F626AB"/>
    <w:rsid w:val="00F62A4E"/>
    <w:rsid w:val="00F62D60"/>
    <w:rsid w:val="00F62DB7"/>
    <w:rsid w:val="00F62E98"/>
    <w:rsid w:val="00F62ECB"/>
    <w:rsid w:val="00F62EEF"/>
    <w:rsid w:val="00F6305D"/>
    <w:rsid w:val="00F630BB"/>
    <w:rsid w:val="00F63215"/>
    <w:rsid w:val="00F638DA"/>
    <w:rsid w:val="00F63B97"/>
    <w:rsid w:val="00F640D5"/>
    <w:rsid w:val="00F64153"/>
    <w:rsid w:val="00F6433B"/>
    <w:rsid w:val="00F64462"/>
    <w:rsid w:val="00F6459B"/>
    <w:rsid w:val="00F649AA"/>
    <w:rsid w:val="00F65721"/>
    <w:rsid w:val="00F659BC"/>
    <w:rsid w:val="00F65B5C"/>
    <w:rsid w:val="00F65E60"/>
    <w:rsid w:val="00F66055"/>
    <w:rsid w:val="00F661AC"/>
    <w:rsid w:val="00F66BC8"/>
    <w:rsid w:val="00F66BCE"/>
    <w:rsid w:val="00F67221"/>
    <w:rsid w:val="00F700AD"/>
    <w:rsid w:val="00F7026D"/>
    <w:rsid w:val="00F702AA"/>
    <w:rsid w:val="00F70409"/>
    <w:rsid w:val="00F709E5"/>
    <w:rsid w:val="00F70CB4"/>
    <w:rsid w:val="00F716B5"/>
    <w:rsid w:val="00F7196D"/>
    <w:rsid w:val="00F71D1A"/>
    <w:rsid w:val="00F7234F"/>
    <w:rsid w:val="00F727BC"/>
    <w:rsid w:val="00F72926"/>
    <w:rsid w:val="00F72A7E"/>
    <w:rsid w:val="00F72DD1"/>
    <w:rsid w:val="00F72E8B"/>
    <w:rsid w:val="00F72FB5"/>
    <w:rsid w:val="00F73064"/>
    <w:rsid w:val="00F73858"/>
    <w:rsid w:val="00F73896"/>
    <w:rsid w:val="00F738E7"/>
    <w:rsid w:val="00F73BDD"/>
    <w:rsid w:val="00F73FE8"/>
    <w:rsid w:val="00F746B2"/>
    <w:rsid w:val="00F74FCA"/>
    <w:rsid w:val="00F752AE"/>
    <w:rsid w:val="00F7548C"/>
    <w:rsid w:val="00F755EA"/>
    <w:rsid w:val="00F7582C"/>
    <w:rsid w:val="00F75944"/>
    <w:rsid w:val="00F75B84"/>
    <w:rsid w:val="00F75C1D"/>
    <w:rsid w:val="00F75DCB"/>
    <w:rsid w:val="00F75E42"/>
    <w:rsid w:val="00F769F3"/>
    <w:rsid w:val="00F76B34"/>
    <w:rsid w:val="00F76C60"/>
    <w:rsid w:val="00F775FE"/>
    <w:rsid w:val="00F779F0"/>
    <w:rsid w:val="00F77D1A"/>
    <w:rsid w:val="00F77DF8"/>
    <w:rsid w:val="00F8036A"/>
    <w:rsid w:val="00F8045F"/>
    <w:rsid w:val="00F8067C"/>
    <w:rsid w:val="00F80CE1"/>
    <w:rsid w:val="00F8101E"/>
    <w:rsid w:val="00F81058"/>
    <w:rsid w:val="00F810DE"/>
    <w:rsid w:val="00F813BD"/>
    <w:rsid w:val="00F8147A"/>
    <w:rsid w:val="00F81601"/>
    <w:rsid w:val="00F81712"/>
    <w:rsid w:val="00F81D2D"/>
    <w:rsid w:val="00F8247B"/>
    <w:rsid w:val="00F8269B"/>
    <w:rsid w:val="00F828A6"/>
    <w:rsid w:val="00F82E4E"/>
    <w:rsid w:val="00F83173"/>
    <w:rsid w:val="00F832E2"/>
    <w:rsid w:val="00F8367F"/>
    <w:rsid w:val="00F836FA"/>
    <w:rsid w:val="00F838C7"/>
    <w:rsid w:val="00F839DD"/>
    <w:rsid w:val="00F83E12"/>
    <w:rsid w:val="00F8405C"/>
    <w:rsid w:val="00F844EE"/>
    <w:rsid w:val="00F84556"/>
    <w:rsid w:val="00F847D3"/>
    <w:rsid w:val="00F8504C"/>
    <w:rsid w:val="00F85141"/>
    <w:rsid w:val="00F85154"/>
    <w:rsid w:val="00F853BD"/>
    <w:rsid w:val="00F85469"/>
    <w:rsid w:val="00F85480"/>
    <w:rsid w:val="00F85E6D"/>
    <w:rsid w:val="00F8601C"/>
    <w:rsid w:val="00F86429"/>
    <w:rsid w:val="00F86B42"/>
    <w:rsid w:val="00F86BAA"/>
    <w:rsid w:val="00F87126"/>
    <w:rsid w:val="00F874B8"/>
    <w:rsid w:val="00F87814"/>
    <w:rsid w:val="00F87949"/>
    <w:rsid w:val="00F87988"/>
    <w:rsid w:val="00F9053D"/>
    <w:rsid w:val="00F90946"/>
    <w:rsid w:val="00F909DD"/>
    <w:rsid w:val="00F909DE"/>
    <w:rsid w:val="00F90F3F"/>
    <w:rsid w:val="00F90F50"/>
    <w:rsid w:val="00F912B9"/>
    <w:rsid w:val="00F91409"/>
    <w:rsid w:val="00F91472"/>
    <w:rsid w:val="00F9157F"/>
    <w:rsid w:val="00F919A2"/>
    <w:rsid w:val="00F91F99"/>
    <w:rsid w:val="00F92487"/>
    <w:rsid w:val="00F92711"/>
    <w:rsid w:val="00F9281B"/>
    <w:rsid w:val="00F92ADB"/>
    <w:rsid w:val="00F92B96"/>
    <w:rsid w:val="00F92D8F"/>
    <w:rsid w:val="00F92E6D"/>
    <w:rsid w:val="00F92E9D"/>
    <w:rsid w:val="00F93705"/>
    <w:rsid w:val="00F93B68"/>
    <w:rsid w:val="00F94E91"/>
    <w:rsid w:val="00F95129"/>
    <w:rsid w:val="00F95304"/>
    <w:rsid w:val="00F95398"/>
    <w:rsid w:val="00F957C6"/>
    <w:rsid w:val="00F959FE"/>
    <w:rsid w:val="00F95D88"/>
    <w:rsid w:val="00F960B3"/>
    <w:rsid w:val="00F9645E"/>
    <w:rsid w:val="00F96698"/>
    <w:rsid w:val="00F96801"/>
    <w:rsid w:val="00F9691E"/>
    <w:rsid w:val="00F96B73"/>
    <w:rsid w:val="00F97425"/>
    <w:rsid w:val="00F974E7"/>
    <w:rsid w:val="00F97648"/>
    <w:rsid w:val="00F9795C"/>
    <w:rsid w:val="00F97D63"/>
    <w:rsid w:val="00F97DF2"/>
    <w:rsid w:val="00F97E6A"/>
    <w:rsid w:val="00F97FD1"/>
    <w:rsid w:val="00FA01AE"/>
    <w:rsid w:val="00FA0209"/>
    <w:rsid w:val="00FA0334"/>
    <w:rsid w:val="00FA0585"/>
    <w:rsid w:val="00FA05FD"/>
    <w:rsid w:val="00FA0671"/>
    <w:rsid w:val="00FA06ED"/>
    <w:rsid w:val="00FA093F"/>
    <w:rsid w:val="00FA0B90"/>
    <w:rsid w:val="00FA1246"/>
    <w:rsid w:val="00FA1519"/>
    <w:rsid w:val="00FA1798"/>
    <w:rsid w:val="00FA1BEE"/>
    <w:rsid w:val="00FA1C92"/>
    <w:rsid w:val="00FA1E1A"/>
    <w:rsid w:val="00FA1E3B"/>
    <w:rsid w:val="00FA25A8"/>
    <w:rsid w:val="00FA26DB"/>
    <w:rsid w:val="00FA2879"/>
    <w:rsid w:val="00FA296E"/>
    <w:rsid w:val="00FA2B90"/>
    <w:rsid w:val="00FA2BEC"/>
    <w:rsid w:val="00FA2FC2"/>
    <w:rsid w:val="00FA3040"/>
    <w:rsid w:val="00FA336E"/>
    <w:rsid w:val="00FA3E4B"/>
    <w:rsid w:val="00FA3F48"/>
    <w:rsid w:val="00FA400D"/>
    <w:rsid w:val="00FA40A0"/>
    <w:rsid w:val="00FA4223"/>
    <w:rsid w:val="00FA463A"/>
    <w:rsid w:val="00FA4656"/>
    <w:rsid w:val="00FA4BD3"/>
    <w:rsid w:val="00FA4C5D"/>
    <w:rsid w:val="00FA4CCE"/>
    <w:rsid w:val="00FA564E"/>
    <w:rsid w:val="00FA598F"/>
    <w:rsid w:val="00FA5D94"/>
    <w:rsid w:val="00FA5E93"/>
    <w:rsid w:val="00FA5F9A"/>
    <w:rsid w:val="00FA626F"/>
    <w:rsid w:val="00FA6981"/>
    <w:rsid w:val="00FA6C4D"/>
    <w:rsid w:val="00FA6E8D"/>
    <w:rsid w:val="00FA7517"/>
    <w:rsid w:val="00FA7C29"/>
    <w:rsid w:val="00FA7D5D"/>
    <w:rsid w:val="00FA7E71"/>
    <w:rsid w:val="00FB016C"/>
    <w:rsid w:val="00FB0199"/>
    <w:rsid w:val="00FB033F"/>
    <w:rsid w:val="00FB1527"/>
    <w:rsid w:val="00FB18DB"/>
    <w:rsid w:val="00FB1CA7"/>
    <w:rsid w:val="00FB24C0"/>
    <w:rsid w:val="00FB25A5"/>
    <w:rsid w:val="00FB2CCC"/>
    <w:rsid w:val="00FB2CCD"/>
    <w:rsid w:val="00FB3067"/>
    <w:rsid w:val="00FB31DD"/>
    <w:rsid w:val="00FB35B1"/>
    <w:rsid w:val="00FB381C"/>
    <w:rsid w:val="00FB3D28"/>
    <w:rsid w:val="00FB4288"/>
    <w:rsid w:val="00FB4341"/>
    <w:rsid w:val="00FB463C"/>
    <w:rsid w:val="00FB48B7"/>
    <w:rsid w:val="00FB49E9"/>
    <w:rsid w:val="00FB4FEC"/>
    <w:rsid w:val="00FB5132"/>
    <w:rsid w:val="00FB526F"/>
    <w:rsid w:val="00FB5309"/>
    <w:rsid w:val="00FB53F1"/>
    <w:rsid w:val="00FB5421"/>
    <w:rsid w:val="00FB56DE"/>
    <w:rsid w:val="00FB5702"/>
    <w:rsid w:val="00FB5DC0"/>
    <w:rsid w:val="00FB61AE"/>
    <w:rsid w:val="00FB649A"/>
    <w:rsid w:val="00FB6782"/>
    <w:rsid w:val="00FB6A41"/>
    <w:rsid w:val="00FB6CB6"/>
    <w:rsid w:val="00FB6CFD"/>
    <w:rsid w:val="00FB777B"/>
    <w:rsid w:val="00FB77B0"/>
    <w:rsid w:val="00FB77DC"/>
    <w:rsid w:val="00FB7836"/>
    <w:rsid w:val="00FB7F23"/>
    <w:rsid w:val="00FB7F7C"/>
    <w:rsid w:val="00FC01B3"/>
    <w:rsid w:val="00FC0788"/>
    <w:rsid w:val="00FC07D9"/>
    <w:rsid w:val="00FC12DA"/>
    <w:rsid w:val="00FC1337"/>
    <w:rsid w:val="00FC14F3"/>
    <w:rsid w:val="00FC1642"/>
    <w:rsid w:val="00FC16EE"/>
    <w:rsid w:val="00FC1B02"/>
    <w:rsid w:val="00FC1CE3"/>
    <w:rsid w:val="00FC2480"/>
    <w:rsid w:val="00FC2C5B"/>
    <w:rsid w:val="00FC2E7B"/>
    <w:rsid w:val="00FC2F1A"/>
    <w:rsid w:val="00FC3043"/>
    <w:rsid w:val="00FC330D"/>
    <w:rsid w:val="00FC353C"/>
    <w:rsid w:val="00FC434D"/>
    <w:rsid w:val="00FC45D1"/>
    <w:rsid w:val="00FC4752"/>
    <w:rsid w:val="00FC48BB"/>
    <w:rsid w:val="00FC4909"/>
    <w:rsid w:val="00FC5034"/>
    <w:rsid w:val="00FC503B"/>
    <w:rsid w:val="00FC52A8"/>
    <w:rsid w:val="00FC5BB7"/>
    <w:rsid w:val="00FC5D88"/>
    <w:rsid w:val="00FC611B"/>
    <w:rsid w:val="00FC6428"/>
    <w:rsid w:val="00FC6779"/>
    <w:rsid w:val="00FC69D3"/>
    <w:rsid w:val="00FC6D4B"/>
    <w:rsid w:val="00FC6FF2"/>
    <w:rsid w:val="00FC74A1"/>
    <w:rsid w:val="00FC7507"/>
    <w:rsid w:val="00FC76CD"/>
    <w:rsid w:val="00FC789A"/>
    <w:rsid w:val="00FC7CCF"/>
    <w:rsid w:val="00FC7E10"/>
    <w:rsid w:val="00FD087D"/>
    <w:rsid w:val="00FD0A13"/>
    <w:rsid w:val="00FD0A91"/>
    <w:rsid w:val="00FD0B8C"/>
    <w:rsid w:val="00FD0CE7"/>
    <w:rsid w:val="00FD0E45"/>
    <w:rsid w:val="00FD0E6B"/>
    <w:rsid w:val="00FD10AA"/>
    <w:rsid w:val="00FD1104"/>
    <w:rsid w:val="00FD11DA"/>
    <w:rsid w:val="00FD11F1"/>
    <w:rsid w:val="00FD12BD"/>
    <w:rsid w:val="00FD13DF"/>
    <w:rsid w:val="00FD15FC"/>
    <w:rsid w:val="00FD1678"/>
    <w:rsid w:val="00FD1952"/>
    <w:rsid w:val="00FD1C44"/>
    <w:rsid w:val="00FD1CA5"/>
    <w:rsid w:val="00FD1D01"/>
    <w:rsid w:val="00FD1E8F"/>
    <w:rsid w:val="00FD1EAA"/>
    <w:rsid w:val="00FD1ED9"/>
    <w:rsid w:val="00FD26B7"/>
    <w:rsid w:val="00FD2869"/>
    <w:rsid w:val="00FD28D0"/>
    <w:rsid w:val="00FD2AF2"/>
    <w:rsid w:val="00FD2BA5"/>
    <w:rsid w:val="00FD2C22"/>
    <w:rsid w:val="00FD2C2E"/>
    <w:rsid w:val="00FD2DAB"/>
    <w:rsid w:val="00FD2FC3"/>
    <w:rsid w:val="00FD35B1"/>
    <w:rsid w:val="00FD3689"/>
    <w:rsid w:val="00FD38C1"/>
    <w:rsid w:val="00FD3A7A"/>
    <w:rsid w:val="00FD3CAC"/>
    <w:rsid w:val="00FD4034"/>
    <w:rsid w:val="00FD533F"/>
    <w:rsid w:val="00FD5372"/>
    <w:rsid w:val="00FD551C"/>
    <w:rsid w:val="00FD55EA"/>
    <w:rsid w:val="00FD5B09"/>
    <w:rsid w:val="00FD5B9B"/>
    <w:rsid w:val="00FD5C18"/>
    <w:rsid w:val="00FD60A9"/>
    <w:rsid w:val="00FD62D6"/>
    <w:rsid w:val="00FD68A2"/>
    <w:rsid w:val="00FD6A3E"/>
    <w:rsid w:val="00FD6A7C"/>
    <w:rsid w:val="00FD7176"/>
    <w:rsid w:val="00FD746A"/>
    <w:rsid w:val="00FD75E2"/>
    <w:rsid w:val="00FD7ECF"/>
    <w:rsid w:val="00FE0200"/>
    <w:rsid w:val="00FE023F"/>
    <w:rsid w:val="00FE03F0"/>
    <w:rsid w:val="00FE0549"/>
    <w:rsid w:val="00FE0801"/>
    <w:rsid w:val="00FE08F8"/>
    <w:rsid w:val="00FE09EB"/>
    <w:rsid w:val="00FE0B6C"/>
    <w:rsid w:val="00FE0B81"/>
    <w:rsid w:val="00FE0C58"/>
    <w:rsid w:val="00FE0DAD"/>
    <w:rsid w:val="00FE0EE9"/>
    <w:rsid w:val="00FE11C8"/>
    <w:rsid w:val="00FE14DF"/>
    <w:rsid w:val="00FE1724"/>
    <w:rsid w:val="00FE1C6B"/>
    <w:rsid w:val="00FE1E9B"/>
    <w:rsid w:val="00FE24A3"/>
    <w:rsid w:val="00FE255C"/>
    <w:rsid w:val="00FE257F"/>
    <w:rsid w:val="00FE2C7F"/>
    <w:rsid w:val="00FE33DB"/>
    <w:rsid w:val="00FE3555"/>
    <w:rsid w:val="00FE380D"/>
    <w:rsid w:val="00FE3BB2"/>
    <w:rsid w:val="00FE3D33"/>
    <w:rsid w:val="00FE3F7D"/>
    <w:rsid w:val="00FE425E"/>
    <w:rsid w:val="00FE4D8E"/>
    <w:rsid w:val="00FE5348"/>
    <w:rsid w:val="00FE56A0"/>
    <w:rsid w:val="00FE5E74"/>
    <w:rsid w:val="00FE601A"/>
    <w:rsid w:val="00FE61CC"/>
    <w:rsid w:val="00FE6595"/>
    <w:rsid w:val="00FE6A71"/>
    <w:rsid w:val="00FE6BD3"/>
    <w:rsid w:val="00FE6F01"/>
    <w:rsid w:val="00FE7000"/>
    <w:rsid w:val="00FE70A1"/>
    <w:rsid w:val="00FE7197"/>
    <w:rsid w:val="00FE7E38"/>
    <w:rsid w:val="00FF0133"/>
    <w:rsid w:val="00FF042E"/>
    <w:rsid w:val="00FF045F"/>
    <w:rsid w:val="00FF05C8"/>
    <w:rsid w:val="00FF07FD"/>
    <w:rsid w:val="00FF10E3"/>
    <w:rsid w:val="00FF11FB"/>
    <w:rsid w:val="00FF13CF"/>
    <w:rsid w:val="00FF1666"/>
    <w:rsid w:val="00FF196F"/>
    <w:rsid w:val="00FF1F67"/>
    <w:rsid w:val="00FF2035"/>
    <w:rsid w:val="00FF2237"/>
    <w:rsid w:val="00FF2612"/>
    <w:rsid w:val="00FF280E"/>
    <w:rsid w:val="00FF2C0D"/>
    <w:rsid w:val="00FF2C8F"/>
    <w:rsid w:val="00FF31CF"/>
    <w:rsid w:val="00FF38E0"/>
    <w:rsid w:val="00FF3EA0"/>
    <w:rsid w:val="00FF3EE5"/>
    <w:rsid w:val="00FF4524"/>
    <w:rsid w:val="00FF4AE6"/>
    <w:rsid w:val="00FF4F96"/>
    <w:rsid w:val="00FF5030"/>
    <w:rsid w:val="00FF54E0"/>
    <w:rsid w:val="00FF56B9"/>
    <w:rsid w:val="00FF5BD8"/>
    <w:rsid w:val="00FF5C2B"/>
    <w:rsid w:val="00FF64F1"/>
    <w:rsid w:val="00FF64FD"/>
    <w:rsid w:val="00FF67EF"/>
    <w:rsid w:val="00FF69C1"/>
    <w:rsid w:val="00FF6B60"/>
    <w:rsid w:val="00FF756D"/>
    <w:rsid w:val="00FF75BA"/>
    <w:rsid w:val="00FF78F2"/>
    <w:rsid w:val="00FF7C34"/>
    <w:rsid w:val="00FF7C72"/>
    <w:rsid w:val="00FF7DD1"/>
    <w:rsid w:val="00FF7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88E08"/>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B375C"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B375C" w:themeColor="accent1"/>
      <w:sz w:val="32"/>
      <w:szCs w:val="28"/>
    </w:rPr>
  </w:style>
  <w:style w:type="paragraph" w:styleId="Heading3">
    <w:name w:val="heading 3"/>
    <w:basedOn w:val="Heading4"/>
    <w:next w:val="Normal"/>
    <w:link w:val="Heading3Char"/>
    <w:uiPriority w:val="2"/>
    <w:qFormat/>
    <w:rsid w:val="00FE2C7F"/>
    <w:pPr>
      <w:outlineLvl w:val="2"/>
    </w:pPr>
    <w:rPr>
      <w:color w:val="1B375C" w:themeColor="accent1"/>
      <w:sz w:val="26"/>
    </w:rPr>
  </w:style>
  <w:style w:type="paragraph" w:styleId="Heading4">
    <w:name w:val="heading 4"/>
    <w:basedOn w:val="Normal"/>
    <w:next w:val="Normal"/>
    <w:link w:val="Heading4Char"/>
    <w:uiPriority w:val="9"/>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B375C" w:themeColor="accent1"/>
      <w:sz w:val="40"/>
      <w:szCs w:val="40"/>
    </w:rPr>
  </w:style>
  <w:style w:type="paragraph" w:styleId="Title">
    <w:name w:val="Title"/>
    <w:basedOn w:val="Normal"/>
    <w:next w:val="Normal"/>
    <w:link w:val="TitleChar"/>
    <w:uiPriority w:val="10"/>
    <w:qFormat/>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0"/>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B375C" w:themeColor="accent1"/>
      <w:sz w:val="32"/>
      <w:szCs w:val="28"/>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B375C" w:themeColor="accent1"/>
      <w:sz w:val="26"/>
      <w:szCs w:val="22"/>
    </w:rPr>
  </w:style>
  <w:style w:type="character" w:customStyle="1" w:styleId="Heading4Char">
    <w:name w:val="Heading 4 Char"/>
    <w:basedOn w:val="DefaultParagraphFont"/>
    <w:link w:val="Heading4"/>
    <w:uiPriority w:val="9"/>
    <w:rsid w:val="006200EB"/>
    <w:rPr>
      <w:rFonts w:asciiTheme="majorHAnsi" w:eastAsiaTheme="majorEastAsia" w:hAnsiTheme="majorHAnsi" w:cstheme="majorBidi"/>
      <w:color w:val="3266AB"/>
      <w:sz w:val="22"/>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59595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qFormat/>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26"/>
      </w:numPr>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980C9" w:themeColor="accent1" w:themeTint="99"/>
        <w:left w:val="single" w:sz="4" w:space="0" w:color="4980C9" w:themeColor="accent1" w:themeTint="99"/>
        <w:bottom w:val="single" w:sz="4" w:space="0" w:color="4980C9" w:themeColor="accent1" w:themeTint="99"/>
        <w:right w:val="single" w:sz="4" w:space="0" w:color="4980C9" w:themeColor="accent1" w:themeTint="99"/>
        <w:insideH w:val="single" w:sz="4" w:space="0" w:color="4980C9" w:themeColor="accent1" w:themeTint="99"/>
      </w:tblBorders>
    </w:tblPr>
    <w:tblStylePr w:type="firstRow">
      <w:rPr>
        <w:b/>
        <w:bCs/>
        <w:color w:val="FFFFFF" w:themeColor="background1"/>
      </w:rPr>
      <w:tblPr/>
      <w:tcPr>
        <w:tcBorders>
          <w:top w:val="single" w:sz="4" w:space="0" w:color="1B375C" w:themeColor="accent1"/>
          <w:left w:val="single" w:sz="4" w:space="0" w:color="1B375C" w:themeColor="accent1"/>
          <w:bottom w:val="single" w:sz="4" w:space="0" w:color="1B375C" w:themeColor="accent1"/>
          <w:right w:val="single" w:sz="4" w:space="0" w:color="1B375C" w:themeColor="accent1"/>
          <w:insideH w:val="nil"/>
        </w:tcBorders>
        <w:shd w:val="clear" w:color="auto" w:fill="1B375C" w:themeFill="accent1"/>
      </w:tcPr>
    </w:tblStylePr>
    <w:tblStylePr w:type="lastRow">
      <w:rPr>
        <w:b/>
        <w:bCs/>
      </w:rPr>
      <w:tblPr/>
      <w:tcPr>
        <w:tcBorders>
          <w:top w:val="double" w:sz="4" w:space="0" w:color="4980C9" w:themeColor="accent1" w:themeTint="99"/>
        </w:tcBorders>
      </w:tcPr>
    </w:tblStylePr>
    <w:tblStylePr w:type="firstCol">
      <w:rPr>
        <w:b/>
        <w:bCs/>
      </w:rPr>
    </w:tblStylePr>
    <w:tblStylePr w:type="lastCol">
      <w:rPr>
        <w:b/>
        <w:bCs/>
      </w:rPr>
    </w:tblStylePr>
    <w:tblStylePr w:type="band1Vert">
      <w:tblPr/>
      <w:tcPr>
        <w:shd w:val="clear" w:color="auto" w:fill="C2D4ED" w:themeFill="accent1" w:themeFillTint="33"/>
      </w:tcPr>
    </w:tblStylePr>
    <w:tblStylePr w:type="band1Horz">
      <w:tblPr/>
      <w:tcPr>
        <w:shd w:val="clear" w:color="auto" w:fill="C2D4ED" w:themeFill="accent1" w:themeFillTint="33"/>
      </w:tcPr>
    </w:tblStylePr>
  </w:style>
  <w:style w:type="paragraph" w:customStyle="1" w:styleId="Figure">
    <w:name w:val="Figure"/>
    <w:basedOn w:val="Normal"/>
    <w:uiPriority w:val="2"/>
    <w:qFormat/>
    <w:rsid w:val="006200EB"/>
    <w:pPr>
      <w:numPr>
        <w:numId w:val="1"/>
      </w:numPr>
      <w:spacing w:before="240"/>
    </w:pPr>
    <w:rPr>
      <w:rFonts w:ascii="Segoe UI" w:hAnsi="Segoe UI" w:cs="Segoe UI"/>
      <w:noProof/>
      <w:color w:val="3266AB"/>
    </w:rPr>
  </w:style>
  <w:style w:type="paragraph" w:customStyle="1" w:styleId="TBLHeading">
    <w:name w:val="TBL Heading"/>
    <w:basedOn w:val="Normal"/>
    <w:autoRedefine/>
    <w:uiPriority w:val="11"/>
    <w:qFormat/>
    <w:rsid w:val="00F9053D"/>
    <w:pPr>
      <w:spacing w:line="240" w:lineRule="auto"/>
    </w:pPr>
    <w:rPr>
      <w:rFonts w:ascii="Segoe UI" w:hAnsi="Segoe UI" w:cs="Segoe UI"/>
      <w:b/>
      <w:bCs/>
      <w:noProof/>
      <w:color w:val="FFFFFF" w:themeColor="background1"/>
      <w:szCs w:val="22"/>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style>
  <w:style w:type="paragraph" w:customStyle="1" w:styleId="TBLNumberedList">
    <w:name w:val="TBL Numbered List"/>
    <w:basedOn w:val="TBLText"/>
    <w:uiPriority w:val="10"/>
    <w:qFormat/>
    <w:rsid w:val="00374D2A"/>
    <w:p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D4569A"/>
    <w:pPr>
      <w:numPr>
        <w:numId w:val="49"/>
      </w:numPr>
      <w:ind w:left="568" w:hanging="284"/>
    </w:pPr>
  </w:style>
  <w:style w:type="paragraph" w:customStyle="1" w:styleId="BulletedList-Level2">
    <w:name w:val="Bulleted List - Level 2"/>
    <w:basedOn w:val="BulletedList-Level1"/>
    <w:uiPriority w:val="1"/>
    <w:qFormat/>
    <w:rsid w:val="00962EE8"/>
    <w:pPr>
      <w:numPr>
        <w:numId w:val="3"/>
      </w:numPr>
    </w:pPr>
  </w:style>
  <w:style w:type="paragraph" w:customStyle="1" w:styleId="BulletedList-Level3">
    <w:name w:val="Bulleted List - Level 3"/>
    <w:basedOn w:val="ListParagraph"/>
    <w:uiPriority w:val="1"/>
    <w:qFormat/>
    <w:rsid w:val="00962EE8"/>
    <w:pPr>
      <w:numPr>
        <w:numId w:val="4"/>
      </w:numPr>
    </w:pPr>
  </w:style>
  <w:style w:type="paragraph" w:customStyle="1" w:styleId="NumberedList-Level1">
    <w:name w:val="Numbered List - Level 1"/>
    <w:basedOn w:val="ListParagraph"/>
    <w:uiPriority w:val="1"/>
    <w:qFormat/>
    <w:rsid w:val="00962EE8"/>
    <w:pPr>
      <w:ind w:left="283" w:hanging="283"/>
    </w:pPr>
  </w:style>
  <w:style w:type="paragraph" w:customStyle="1" w:styleId="NumberedList-level2">
    <w:name w:val="Numbered List - level 2"/>
    <w:basedOn w:val="ListParagraph"/>
    <w:uiPriority w:val="1"/>
    <w:qFormat/>
    <w:rsid w:val="00962EE8"/>
    <w:pPr>
      <w:ind w:left="567" w:hanging="284"/>
    </w:pPr>
  </w:style>
  <w:style w:type="paragraph" w:customStyle="1" w:styleId="NumberedList-Level3">
    <w:name w:val="Numbered List - Level 3"/>
    <w:basedOn w:val="ListParagraph"/>
    <w:uiPriority w:val="1"/>
    <w:qFormat/>
    <w:rsid w:val="00962EE8"/>
    <w:pPr>
      <w:ind w:left="850" w:hanging="170"/>
    </w:pPr>
  </w:style>
  <w:style w:type="paragraph" w:customStyle="1" w:styleId="BoxDark-HeadingLevel1">
    <w:name w:val="Box Dark - Heading Level 1"/>
    <w:basedOn w:val="BOXHeading2"/>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styleId="TOC1">
    <w:name w:val="toc 1"/>
    <w:basedOn w:val="Normal"/>
    <w:next w:val="Normal"/>
    <w:autoRedefine/>
    <w:uiPriority w:val="39"/>
    <w:unhideWhenUsed/>
    <w:rsid w:val="00DE2521"/>
    <w:pPr>
      <w:tabs>
        <w:tab w:val="right" w:leader="dot" w:pos="9628"/>
      </w:tabs>
      <w:spacing w:after="100"/>
    </w:pPr>
  </w:style>
  <w:style w:type="paragraph" w:styleId="TOC2">
    <w:name w:val="toc 2"/>
    <w:basedOn w:val="Normal"/>
    <w:next w:val="Normal"/>
    <w:autoRedefine/>
    <w:uiPriority w:val="39"/>
    <w:unhideWhenUsed/>
    <w:rsid w:val="00DE2521"/>
    <w:pPr>
      <w:tabs>
        <w:tab w:val="right" w:leader="dot" w:pos="9628"/>
      </w:tabs>
      <w:spacing w:after="100"/>
      <w:ind w:left="220"/>
    </w:pPr>
  </w:style>
  <w:style w:type="paragraph" w:styleId="TOC3">
    <w:name w:val="toc 3"/>
    <w:basedOn w:val="Normal"/>
    <w:next w:val="Normal"/>
    <w:autoRedefine/>
    <w:uiPriority w:val="39"/>
    <w:unhideWhenUsed/>
    <w:rsid w:val="00DE2521"/>
    <w:pPr>
      <w:tabs>
        <w:tab w:val="right" w:leader="dot" w:pos="9628"/>
      </w:tabs>
      <w:spacing w:after="100"/>
      <w:ind w:left="440"/>
    </w:pPr>
  </w:style>
  <w:style w:type="character" w:styleId="Hyperlink">
    <w:name w:val="Hyperlink"/>
    <w:basedOn w:val="DefaultParagraphFont"/>
    <w:uiPriority w:val="99"/>
    <w:unhideWhenUsed/>
    <w:rsid w:val="00117A77"/>
    <w:rPr>
      <w:color w:val="3266AB" w:themeColor="hyperlink"/>
      <w:u w:val="single"/>
    </w:rPr>
  </w:style>
  <w:style w:type="paragraph" w:customStyle="1" w:styleId="BoxDark-HeadingLevel3">
    <w:name w:val="Box Dark - Heading Level 3"/>
    <w:basedOn w:val="BOXHeading3"/>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customStyle="1" w:styleId="BoxDark-Text">
    <w:name w:val="Box Dark - Text"/>
    <w:basedOn w:val="BOXText"/>
    <w:uiPriority w:val="7"/>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rPr>
  </w:style>
  <w:style w:type="paragraph" w:customStyle="1" w:styleId="BOXNumberedList">
    <w:name w:val="BOX Numbered List"/>
    <w:basedOn w:val="BOXBulletedList"/>
    <w:uiPriority w:val="5"/>
    <w:qFormat/>
    <w:rsid w:val="003A3C25"/>
    <w:pPr>
      <w:ind w:left="584" w:hanging="357"/>
    </w:pPr>
  </w:style>
  <w:style w:type="paragraph" w:customStyle="1" w:styleId="BoxDark-NumberedList">
    <w:name w:val="Box Dark - Numbered List"/>
    <w:basedOn w:val="BOXNumberedList"/>
    <w:uiPriority w:val="8"/>
    <w:rsid w:val="00FE2C7F"/>
    <w:pPr>
      <w:numPr>
        <w:numId w:val="2"/>
      </w:num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ind w:left="584" w:hanging="357"/>
    </w:pPr>
  </w:style>
  <w:style w:type="paragraph" w:styleId="EndnoteText">
    <w:name w:val="endnote text"/>
    <w:basedOn w:val="Normal"/>
    <w:link w:val="EndnoteTextChar"/>
    <w:uiPriority w:val="99"/>
    <w:semiHidden/>
    <w:unhideWhenUsed/>
    <w:rsid w:val="00F55DC4"/>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F55DC4"/>
    <w:rPr>
      <w:rFonts w:eastAsiaTheme="minorHAnsi"/>
      <w:sz w:val="20"/>
      <w:szCs w:val="20"/>
    </w:rPr>
  </w:style>
  <w:style w:type="character" w:styleId="EndnoteReference">
    <w:name w:val="endnote reference"/>
    <w:basedOn w:val="DefaultParagraphFont"/>
    <w:uiPriority w:val="99"/>
    <w:semiHidden/>
    <w:unhideWhenUsed/>
    <w:rsid w:val="00F55DC4"/>
    <w:rPr>
      <w:vertAlign w:val="superscript"/>
    </w:rPr>
  </w:style>
  <w:style w:type="table" w:styleId="TableGridLight">
    <w:name w:val="Grid Table Light"/>
    <w:basedOn w:val="TableNormal"/>
    <w:uiPriority w:val="40"/>
    <w:rsid w:val="003B3E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qFormat/>
    <w:rsid w:val="00CA5F77"/>
    <w:pPr>
      <w:spacing w:line="264" w:lineRule="auto"/>
    </w:pPr>
    <w:rPr>
      <w:rFonts w:eastAsiaTheme="minorHAnsi"/>
      <w:color w:val="262626" w:themeColor="text1" w:themeTint="D9"/>
      <w:sz w:val="20"/>
      <w:szCs w:val="20"/>
    </w:rPr>
  </w:style>
  <w:style w:type="character" w:customStyle="1" w:styleId="BodyTextChar">
    <w:name w:val="Body Text Char"/>
    <w:basedOn w:val="DefaultParagraphFont"/>
    <w:link w:val="BodyText"/>
    <w:rsid w:val="00CA5F77"/>
    <w:rPr>
      <w:rFonts w:eastAsiaTheme="minorHAnsi"/>
      <w:color w:val="262626" w:themeColor="text1" w:themeTint="D9"/>
      <w:sz w:val="20"/>
      <w:szCs w:val="20"/>
    </w:rPr>
  </w:style>
  <w:style w:type="paragraph" w:styleId="FootnoteText">
    <w:name w:val="footnote text"/>
    <w:basedOn w:val="Normal"/>
    <w:link w:val="FootnoteTextChar"/>
    <w:uiPriority w:val="99"/>
    <w:unhideWhenUsed/>
    <w:rsid w:val="00EC093F"/>
    <w:pPr>
      <w:spacing w:after="0" w:line="240" w:lineRule="auto"/>
    </w:pPr>
    <w:rPr>
      <w:sz w:val="20"/>
      <w:szCs w:val="20"/>
    </w:rPr>
  </w:style>
  <w:style w:type="character" w:customStyle="1" w:styleId="FootnoteTextChar">
    <w:name w:val="Footnote Text Char"/>
    <w:basedOn w:val="DefaultParagraphFont"/>
    <w:link w:val="FootnoteText"/>
    <w:uiPriority w:val="99"/>
    <w:rsid w:val="00EC093F"/>
    <w:rPr>
      <w:sz w:val="20"/>
      <w:szCs w:val="20"/>
    </w:rPr>
  </w:style>
  <w:style w:type="character" w:styleId="FootnoteReference">
    <w:name w:val="footnote reference"/>
    <w:basedOn w:val="DefaultParagraphFont"/>
    <w:uiPriority w:val="99"/>
    <w:semiHidden/>
    <w:unhideWhenUsed/>
    <w:rsid w:val="00EC093F"/>
    <w:rPr>
      <w:vertAlign w:val="superscript"/>
    </w:rPr>
  </w:style>
  <w:style w:type="numbering" w:customStyle="1" w:styleId="Style1">
    <w:name w:val="Style1"/>
    <w:uiPriority w:val="99"/>
    <w:rsid w:val="00FF56B9"/>
    <w:pPr>
      <w:numPr>
        <w:numId w:val="8"/>
      </w:numPr>
    </w:pPr>
  </w:style>
  <w:style w:type="numbering" w:customStyle="1" w:styleId="Style2">
    <w:name w:val="Style2"/>
    <w:uiPriority w:val="99"/>
    <w:rsid w:val="00C411EB"/>
    <w:pPr>
      <w:numPr>
        <w:numId w:val="9"/>
      </w:numPr>
    </w:pPr>
  </w:style>
  <w:style w:type="character" w:styleId="CommentReference">
    <w:name w:val="annotation reference"/>
    <w:basedOn w:val="DefaultParagraphFont"/>
    <w:uiPriority w:val="99"/>
    <w:semiHidden/>
    <w:unhideWhenUsed/>
    <w:rsid w:val="00473AD2"/>
    <w:rPr>
      <w:sz w:val="16"/>
      <w:szCs w:val="16"/>
    </w:rPr>
  </w:style>
  <w:style w:type="paragraph" w:styleId="CommentText">
    <w:name w:val="annotation text"/>
    <w:basedOn w:val="Normal"/>
    <w:link w:val="CommentTextChar"/>
    <w:uiPriority w:val="99"/>
    <w:unhideWhenUsed/>
    <w:rsid w:val="00473AD2"/>
    <w:pPr>
      <w:spacing w:line="240" w:lineRule="auto"/>
    </w:pPr>
    <w:rPr>
      <w:sz w:val="20"/>
      <w:szCs w:val="20"/>
    </w:rPr>
  </w:style>
  <w:style w:type="character" w:customStyle="1" w:styleId="CommentTextChar">
    <w:name w:val="Comment Text Char"/>
    <w:basedOn w:val="DefaultParagraphFont"/>
    <w:link w:val="CommentText"/>
    <w:uiPriority w:val="99"/>
    <w:rsid w:val="00473AD2"/>
    <w:rPr>
      <w:sz w:val="20"/>
      <w:szCs w:val="20"/>
    </w:rPr>
  </w:style>
  <w:style w:type="paragraph" w:styleId="CommentSubject">
    <w:name w:val="annotation subject"/>
    <w:basedOn w:val="CommentText"/>
    <w:next w:val="CommentText"/>
    <w:link w:val="CommentSubjectChar"/>
    <w:uiPriority w:val="99"/>
    <w:semiHidden/>
    <w:unhideWhenUsed/>
    <w:rsid w:val="00473AD2"/>
    <w:rPr>
      <w:b/>
      <w:bCs/>
    </w:rPr>
  </w:style>
  <w:style w:type="character" w:customStyle="1" w:styleId="CommentSubjectChar">
    <w:name w:val="Comment Subject Char"/>
    <w:basedOn w:val="CommentTextChar"/>
    <w:link w:val="CommentSubject"/>
    <w:uiPriority w:val="99"/>
    <w:semiHidden/>
    <w:rsid w:val="00473AD2"/>
    <w:rPr>
      <w:b/>
      <w:bCs/>
      <w:sz w:val="20"/>
      <w:szCs w:val="20"/>
    </w:rPr>
  </w:style>
  <w:style w:type="table" w:styleId="GridTable5Dark-Accent1">
    <w:name w:val="Grid Table 5 Dark Accent 1"/>
    <w:basedOn w:val="TableNormal"/>
    <w:uiPriority w:val="50"/>
    <w:rsid w:val="00E835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4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37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37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37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375C" w:themeFill="accent1"/>
      </w:tcPr>
    </w:tblStylePr>
    <w:tblStylePr w:type="band1Vert">
      <w:tblPr/>
      <w:tcPr>
        <w:shd w:val="clear" w:color="auto" w:fill="85AADB" w:themeFill="accent1" w:themeFillTint="66"/>
      </w:tcPr>
    </w:tblStylePr>
    <w:tblStylePr w:type="band1Horz">
      <w:tblPr/>
      <w:tcPr>
        <w:shd w:val="clear" w:color="auto" w:fill="85AADB" w:themeFill="accent1" w:themeFillTint="66"/>
      </w:tcPr>
    </w:tblStylePr>
  </w:style>
  <w:style w:type="numbering" w:customStyle="1" w:styleId="Style3">
    <w:name w:val="Style3"/>
    <w:uiPriority w:val="99"/>
    <w:rsid w:val="00DB62B7"/>
  </w:style>
  <w:style w:type="character" w:styleId="FollowedHyperlink">
    <w:name w:val="FollowedHyperlink"/>
    <w:basedOn w:val="DefaultParagraphFont"/>
    <w:uiPriority w:val="99"/>
    <w:semiHidden/>
    <w:unhideWhenUsed/>
    <w:rsid w:val="00A601F9"/>
    <w:rPr>
      <w:color w:val="3266AB" w:themeColor="followedHyperlink"/>
      <w:u w:val="single"/>
    </w:rPr>
  </w:style>
  <w:style w:type="paragraph" w:styleId="PlainText">
    <w:name w:val="Plain Text"/>
    <w:basedOn w:val="Normal"/>
    <w:link w:val="PlainTextChar"/>
    <w:uiPriority w:val="99"/>
    <w:unhideWhenUsed/>
    <w:rsid w:val="00A601F9"/>
    <w:pPr>
      <w:spacing w:after="0" w:line="240" w:lineRule="auto"/>
    </w:pPr>
    <w:rPr>
      <w:rFonts w:ascii="Calibri" w:eastAsiaTheme="minorHAnsi" w:hAnsi="Calibri" w:cs="Calibri"/>
      <w:szCs w:val="22"/>
    </w:rPr>
  </w:style>
  <w:style w:type="character" w:customStyle="1" w:styleId="PlainTextChar">
    <w:name w:val="Plain Text Char"/>
    <w:basedOn w:val="DefaultParagraphFont"/>
    <w:link w:val="PlainText"/>
    <w:uiPriority w:val="99"/>
    <w:rsid w:val="00A601F9"/>
    <w:rPr>
      <w:rFonts w:ascii="Calibri" w:eastAsiaTheme="minorHAnsi" w:hAnsi="Calibri" w:cs="Calibri"/>
      <w:sz w:val="22"/>
      <w:szCs w:val="22"/>
    </w:rPr>
  </w:style>
  <w:style w:type="paragraph" w:styleId="Revision">
    <w:name w:val="Revision"/>
    <w:hidden/>
    <w:uiPriority w:val="99"/>
    <w:semiHidden/>
    <w:rsid w:val="00A601F9"/>
    <w:pPr>
      <w:spacing w:after="0" w:line="240" w:lineRule="auto"/>
    </w:pPr>
    <w:rPr>
      <w:rFonts w:eastAsiaTheme="minorHAnsi"/>
      <w:sz w:val="22"/>
      <w:szCs w:val="22"/>
    </w:rPr>
  </w:style>
  <w:style w:type="table" w:styleId="GridTable6Colorful-Accent1">
    <w:name w:val="Grid Table 6 Colorful Accent 1"/>
    <w:basedOn w:val="TableNormal"/>
    <w:uiPriority w:val="51"/>
    <w:rsid w:val="00970D2B"/>
    <w:pPr>
      <w:spacing w:after="0" w:line="240" w:lineRule="auto"/>
    </w:pPr>
    <w:rPr>
      <w:color w:val="142844" w:themeColor="accent1" w:themeShade="BF"/>
    </w:rPr>
    <w:tblPr>
      <w:tblStyleRowBandSize w:val="1"/>
      <w:tblStyleColBandSize w:val="1"/>
      <w:tblBorders>
        <w:top w:val="single" w:sz="4" w:space="0" w:color="4980C9" w:themeColor="accent1" w:themeTint="99"/>
        <w:left w:val="single" w:sz="4" w:space="0" w:color="4980C9" w:themeColor="accent1" w:themeTint="99"/>
        <w:bottom w:val="single" w:sz="4" w:space="0" w:color="4980C9" w:themeColor="accent1" w:themeTint="99"/>
        <w:right w:val="single" w:sz="4" w:space="0" w:color="4980C9" w:themeColor="accent1" w:themeTint="99"/>
        <w:insideH w:val="single" w:sz="4" w:space="0" w:color="4980C9" w:themeColor="accent1" w:themeTint="99"/>
        <w:insideV w:val="single" w:sz="4" w:space="0" w:color="4980C9" w:themeColor="accent1" w:themeTint="99"/>
      </w:tblBorders>
    </w:tblPr>
    <w:tblStylePr w:type="firstRow">
      <w:rPr>
        <w:b/>
        <w:bCs/>
      </w:rPr>
      <w:tblPr/>
      <w:tcPr>
        <w:tcBorders>
          <w:bottom w:val="single" w:sz="12" w:space="0" w:color="4980C9" w:themeColor="accent1" w:themeTint="99"/>
        </w:tcBorders>
      </w:tcPr>
    </w:tblStylePr>
    <w:tblStylePr w:type="lastRow">
      <w:rPr>
        <w:b/>
        <w:bCs/>
      </w:rPr>
      <w:tblPr/>
      <w:tcPr>
        <w:tcBorders>
          <w:top w:val="double" w:sz="4" w:space="0" w:color="4980C9" w:themeColor="accent1" w:themeTint="99"/>
        </w:tcBorders>
      </w:tcPr>
    </w:tblStylePr>
    <w:tblStylePr w:type="firstCol">
      <w:rPr>
        <w:b/>
        <w:bCs/>
      </w:rPr>
    </w:tblStylePr>
    <w:tblStylePr w:type="lastCol">
      <w:rPr>
        <w:b/>
        <w:bCs/>
      </w:rPr>
    </w:tblStylePr>
    <w:tblStylePr w:type="band1Vert">
      <w:tblPr/>
      <w:tcPr>
        <w:shd w:val="clear" w:color="auto" w:fill="C2D4ED" w:themeFill="accent1" w:themeFillTint="33"/>
      </w:tcPr>
    </w:tblStylePr>
    <w:tblStylePr w:type="band1Horz">
      <w:tblPr/>
      <w:tcPr>
        <w:shd w:val="clear" w:color="auto" w:fill="C2D4ED" w:themeFill="accent1" w:themeFillTint="33"/>
      </w:tcPr>
    </w:tblStylePr>
  </w:style>
  <w:style w:type="table" w:styleId="ListTable1Light-Accent1">
    <w:name w:val="List Table 1 Light Accent 1"/>
    <w:basedOn w:val="TableNormal"/>
    <w:uiPriority w:val="46"/>
    <w:rsid w:val="00970D2B"/>
    <w:pPr>
      <w:spacing w:after="0" w:line="240" w:lineRule="auto"/>
    </w:pPr>
    <w:tblPr>
      <w:tblStyleRowBandSize w:val="1"/>
      <w:tblStyleColBandSize w:val="1"/>
    </w:tblPr>
    <w:tblStylePr w:type="firstRow">
      <w:rPr>
        <w:b/>
        <w:bCs/>
      </w:rPr>
      <w:tblPr/>
      <w:tcPr>
        <w:tcBorders>
          <w:bottom w:val="single" w:sz="4" w:space="0" w:color="4980C9" w:themeColor="accent1" w:themeTint="99"/>
        </w:tcBorders>
      </w:tcPr>
    </w:tblStylePr>
    <w:tblStylePr w:type="lastRow">
      <w:rPr>
        <w:b/>
        <w:bCs/>
      </w:rPr>
      <w:tblPr/>
      <w:tcPr>
        <w:tcBorders>
          <w:top w:val="single" w:sz="4" w:space="0" w:color="4980C9" w:themeColor="accent1" w:themeTint="99"/>
        </w:tcBorders>
      </w:tcPr>
    </w:tblStylePr>
    <w:tblStylePr w:type="firstCol">
      <w:rPr>
        <w:b/>
        <w:bCs/>
      </w:rPr>
    </w:tblStylePr>
    <w:tblStylePr w:type="lastCol">
      <w:rPr>
        <w:b/>
        <w:bCs/>
      </w:rPr>
    </w:tblStylePr>
    <w:tblStylePr w:type="band1Vert">
      <w:tblPr/>
      <w:tcPr>
        <w:shd w:val="clear" w:color="auto" w:fill="C2D4ED" w:themeFill="accent1" w:themeFillTint="33"/>
      </w:tcPr>
    </w:tblStylePr>
    <w:tblStylePr w:type="band1Horz">
      <w:tblPr/>
      <w:tcPr>
        <w:shd w:val="clear" w:color="auto" w:fill="C2D4ED" w:themeFill="accent1" w:themeFillTint="33"/>
      </w:tcPr>
    </w:tblStylePr>
  </w:style>
  <w:style w:type="table" w:styleId="PlainTable2">
    <w:name w:val="Plain Table 2"/>
    <w:basedOn w:val="TableNormal"/>
    <w:uiPriority w:val="42"/>
    <w:rsid w:val="00970D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521D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9E5CDA"/>
    <w:pPr>
      <w:spacing w:after="100" w:line="259" w:lineRule="auto"/>
      <w:ind w:left="660"/>
    </w:pPr>
    <w:rPr>
      <w:szCs w:val="22"/>
      <w:lang w:eastAsia="en-AU"/>
    </w:rPr>
  </w:style>
  <w:style w:type="paragraph" w:styleId="TOC5">
    <w:name w:val="toc 5"/>
    <w:basedOn w:val="Normal"/>
    <w:next w:val="Normal"/>
    <w:autoRedefine/>
    <w:uiPriority w:val="39"/>
    <w:unhideWhenUsed/>
    <w:rsid w:val="009E5CDA"/>
    <w:pPr>
      <w:spacing w:after="100" w:line="259" w:lineRule="auto"/>
      <w:ind w:left="880"/>
    </w:pPr>
    <w:rPr>
      <w:szCs w:val="22"/>
      <w:lang w:eastAsia="en-AU"/>
    </w:rPr>
  </w:style>
  <w:style w:type="paragraph" w:styleId="TOC6">
    <w:name w:val="toc 6"/>
    <w:basedOn w:val="Normal"/>
    <w:next w:val="Normal"/>
    <w:autoRedefine/>
    <w:uiPriority w:val="39"/>
    <w:unhideWhenUsed/>
    <w:rsid w:val="009E5CDA"/>
    <w:pPr>
      <w:spacing w:after="100" w:line="259" w:lineRule="auto"/>
      <w:ind w:left="1100"/>
    </w:pPr>
    <w:rPr>
      <w:szCs w:val="22"/>
      <w:lang w:eastAsia="en-AU"/>
    </w:rPr>
  </w:style>
  <w:style w:type="paragraph" w:styleId="TOC7">
    <w:name w:val="toc 7"/>
    <w:basedOn w:val="Normal"/>
    <w:next w:val="Normal"/>
    <w:autoRedefine/>
    <w:uiPriority w:val="39"/>
    <w:unhideWhenUsed/>
    <w:rsid w:val="009E5CDA"/>
    <w:pPr>
      <w:spacing w:after="100" w:line="259" w:lineRule="auto"/>
      <w:ind w:left="1320"/>
    </w:pPr>
    <w:rPr>
      <w:szCs w:val="22"/>
      <w:lang w:eastAsia="en-AU"/>
    </w:rPr>
  </w:style>
  <w:style w:type="paragraph" w:styleId="TOC8">
    <w:name w:val="toc 8"/>
    <w:basedOn w:val="Normal"/>
    <w:next w:val="Normal"/>
    <w:autoRedefine/>
    <w:uiPriority w:val="39"/>
    <w:unhideWhenUsed/>
    <w:rsid w:val="009E5CDA"/>
    <w:pPr>
      <w:spacing w:after="100" w:line="259" w:lineRule="auto"/>
      <w:ind w:left="1540"/>
    </w:pPr>
    <w:rPr>
      <w:szCs w:val="22"/>
      <w:lang w:eastAsia="en-AU"/>
    </w:rPr>
  </w:style>
  <w:style w:type="paragraph" w:styleId="TOC9">
    <w:name w:val="toc 9"/>
    <w:basedOn w:val="Normal"/>
    <w:next w:val="Normal"/>
    <w:autoRedefine/>
    <w:uiPriority w:val="39"/>
    <w:unhideWhenUsed/>
    <w:rsid w:val="009E5CDA"/>
    <w:pPr>
      <w:spacing w:after="100" w:line="259" w:lineRule="auto"/>
      <w:ind w:left="1760"/>
    </w:pPr>
    <w:rPr>
      <w:szCs w:val="22"/>
      <w:lang w:eastAsia="en-AU"/>
    </w:rPr>
  </w:style>
  <w:style w:type="paragraph" w:customStyle="1" w:styleId="Lightshadebox">
    <w:name w:val="Light shade box"/>
    <w:basedOn w:val="BOXText"/>
    <w:qFormat/>
    <w:rsid w:val="006C63B4"/>
    <w:pPr>
      <w:pBdr>
        <w:top w:val="single" w:sz="48" w:space="1" w:color="E8EAEA"/>
        <w:left w:val="single" w:sz="48" w:space="4" w:color="E8EAEA"/>
        <w:bottom w:val="single" w:sz="48" w:space="1" w:color="E8EAEA"/>
        <w:right w:val="single" w:sz="48" w:space="4" w:color="E8EAEA"/>
      </w:pBdr>
      <w:shd w:val="clear" w:color="auto" w:fill="E8EAEA"/>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9939">
      <w:bodyDiv w:val="1"/>
      <w:marLeft w:val="0"/>
      <w:marRight w:val="0"/>
      <w:marTop w:val="0"/>
      <w:marBottom w:val="0"/>
      <w:divBdr>
        <w:top w:val="none" w:sz="0" w:space="0" w:color="auto"/>
        <w:left w:val="none" w:sz="0" w:space="0" w:color="auto"/>
        <w:bottom w:val="none" w:sz="0" w:space="0" w:color="auto"/>
        <w:right w:val="none" w:sz="0" w:space="0" w:color="auto"/>
      </w:divBdr>
    </w:div>
    <w:div w:id="116071839">
      <w:bodyDiv w:val="1"/>
      <w:marLeft w:val="0"/>
      <w:marRight w:val="0"/>
      <w:marTop w:val="0"/>
      <w:marBottom w:val="0"/>
      <w:divBdr>
        <w:top w:val="none" w:sz="0" w:space="0" w:color="auto"/>
        <w:left w:val="none" w:sz="0" w:space="0" w:color="auto"/>
        <w:bottom w:val="none" w:sz="0" w:space="0" w:color="auto"/>
        <w:right w:val="none" w:sz="0" w:space="0" w:color="auto"/>
      </w:divBdr>
    </w:div>
    <w:div w:id="233274685">
      <w:bodyDiv w:val="1"/>
      <w:marLeft w:val="0"/>
      <w:marRight w:val="0"/>
      <w:marTop w:val="0"/>
      <w:marBottom w:val="0"/>
      <w:divBdr>
        <w:top w:val="none" w:sz="0" w:space="0" w:color="auto"/>
        <w:left w:val="none" w:sz="0" w:space="0" w:color="auto"/>
        <w:bottom w:val="none" w:sz="0" w:space="0" w:color="auto"/>
        <w:right w:val="none" w:sz="0" w:space="0" w:color="auto"/>
      </w:divBdr>
    </w:div>
    <w:div w:id="315455821">
      <w:bodyDiv w:val="1"/>
      <w:marLeft w:val="0"/>
      <w:marRight w:val="0"/>
      <w:marTop w:val="0"/>
      <w:marBottom w:val="0"/>
      <w:divBdr>
        <w:top w:val="none" w:sz="0" w:space="0" w:color="auto"/>
        <w:left w:val="none" w:sz="0" w:space="0" w:color="auto"/>
        <w:bottom w:val="none" w:sz="0" w:space="0" w:color="auto"/>
        <w:right w:val="none" w:sz="0" w:space="0" w:color="auto"/>
      </w:divBdr>
    </w:div>
    <w:div w:id="506866643">
      <w:bodyDiv w:val="1"/>
      <w:marLeft w:val="0"/>
      <w:marRight w:val="0"/>
      <w:marTop w:val="0"/>
      <w:marBottom w:val="0"/>
      <w:divBdr>
        <w:top w:val="none" w:sz="0" w:space="0" w:color="auto"/>
        <w:left w:val="none" w:sz="0" w:space="0" w:color="auto"/>
        <w:bottom w:val="none" w:sz="0" w:space="0" w:color="auto"/>
        <w:right w:val="none" w:sz="0" w:space="0" w:color="auto"/>
      </w:divBdr>
    </w:div>
    <w:div w:id="565997723">
      <w:bodyDiv w:val="1"/>
      <w:marLeft w:val="0"/>
      <w:marRight w:val="0"/>
      <w:marTop w:val="0"/>
      <w:marBottom w:val="0"/>
      <w:divBdr>
        <w:top w:val="none" w:sz="0" w:space="0" w:color="auto"/>
        <w:left w:val="none" w:sz="0" w:space="0" w:color="auto"/>
        <w:bottom w:val="none" w:sz="0" w:space="0" w:color="auto"/>
        <w:right w:val="none" w:sz="0" w:space="0" w:color="auto"/>
      </w:divBdr>
    </w:div>
    <w:div w:id="667440811">
      <w:bodyDiv w:val="1"/>
      <w:marLeft w:val="0"/>
      <w:marRight w:val="0"/>
      <w:marTop w:val="0"/>
      <w:marBottom w:val="0"/>
      <w:divBdr>
        <w:top w:val="none" w:sz="0" w:space="0" w:color="auto"/>
        <w:left w:val="none" w:sz="0" w:space="0" w:color="auto"/>
        <w:bottom w:val="none" w:sz="0" w:space="0" w:color="auto"/>
        <w:right w:val="none" w:sz="0" w:space="0" w:color="auto"/>
      </w:divBdr>
    </w:div>
    <w:div w:id="776486494">
      <w:bodyDiv w:val="1"/>
      <w:marLeft w:val="0"/>
      <w:marRight w:val="0"/>
      <w:marTop w:val="0"/>
      <w:marBottom w:val="0"/>
      <w:divBdr>
        <w:top w:val="none" w:sz="0" w:space="0" w:color="auto"/>
        <w:left w:val="none" w:sz="0" w:space="0" w:color="auto"/>
        <w:bottom w:val="none" w:sz="0" w:space="0" w:color="auto"/>
        <w:right w:val="none" w:sz="0" w:space="0" w:color="auto"/>
      </w:divBdr>
    </w:div>
    <w:div w:id="862595905">
      <w:bodyDiv w:val="1"/>
      <w:marLeft w:val="0"/>
      <w:marRight w:val="0"/>
      <w:marTop w:val="0"/>
      <w:marBottom w:val="0"/>
      <w:divBdr>
        <w:top w:val="none" w:sz="0" w:space="0" w:color="auto"/>
        <w:left w:val="none" w:sz="0" w:space="0" w:color="auto"/>
        <w:bottom w:val="none" w:sz="0" w:space="0" w:color="auto"/>
        <w:right w:val="none" w:sz="0" w:space="0" w:color="auto"/>
      </w:divBdr>
    </w:div>
    <w:div w:id="876552067">
      <w:bodyDiv w:val="1"/>
      <w:marLeft w:val="0"/>
      <w:marRight w:val="0"/>
      <w:marTop w:val="0"/>
      <w:marBottom w:val="0"/>
      <w:divBdr>
        <w:top w:val="none" w:sz="0" w:space="0" w:color="auto"/>
        <w:left w:val="none" w:sz="0" w:space="0" w:color="auto"/>
        <w:bottom w:val="none" w:sz="0" w:space="0" w:color="auto"/>
        <w:right w:val="none" w:sz="0" w:space="0" w:color="auto"/>
      </w:divBdr>
    </w:div>
    <w:div w:id="955142270">
      <w:bodyDiv w:val="1"/>
      <w:marLeft w:val="0"/>
      <w:marRight w:val="0"/>
      <w:marTop w:val="0"/>
      <w:marBottom w:val="0"/>
      <w:divBdr>
        <w:top w:val="none" w:sz="0" w:space="0" w:color="auto"/>
        <w:left w:val="none" w:sz="0" w:space="0" w:color="auto"/>
        <w:bottom w:val="none" w:sz="0" w:space="0" w:color="auto"/>
        <w:right w:val="none" w:sz="0" w:space="0" w:color="auto"/>
      </w:divBdr>
    </w:div>
    <w:div w:id="1006129947">
      <w:bodyDiv w:val="1"/>
      <w:marLeft w:val="0"/>
      <w:marRight w:val="0"/>
      <w:marTop w:val="0"/>
      <w:marBottom w:val="0"/>
      <w:divBdr>
        <w:top w:val="none" w:sz="0" w:space="0" w:color="auto"/>
        <w:left w:val="none" w:sz="0" w:space="0" w:color="auto"/>
        <w:bottom w:val="none" w:sz="0" w:space="0" w:color="auto"/>
        <w:right w:val="none" w:sz="0" w:space="0" w:color="auto"/>
      </w:divBdr>
    </w:div>
    <w:div w:id="1167329528">
      <w:bodyDiv w:val="1"/>
      <w:marLeft w:val="0"/>
      <w:marRight w:val="0"/>
      <w:marTop w:val="0"/>
      <w:marBottom w:val="0"/>
      <w:divBdr>
        <w:top w:val="none" w:sz="0" w:space="0" w:color="auto"/>
        <w:left w:val="none" w:sz="0" w:space="0" w:color="auto"/>
        <w:bottom w:val="none" w:sz="0" w:space="0" w:color="auto"/>
        <w:right w:val="none" w:sz="0" w:space="0" w:color="auto"/>
      </w:divBdr>
    </w:div>
    <w:div w:id="1204706267">
      <w:bodyDiv w:val="1"/>
      <w:marLeft w:val="0"/>
      <w:marRight w:val="0"/>
      <w:marTop w:val="0"/>
      <w:marBottom w:val="0"/>
      <w:divBdr>
        <w:top w:val="none" w:sz="0" w:space="0" w:color="auto"/>
        <w:left w:val="none" w:sz="0" w:space="0" w:color="auto"/>
        <w:bottom w:val="none" w:sz="0" w:space="0" w:color="auto"/>
        <w:right w:val="none" w:sz="0" w:space="0" w:color="auto"/>
      </w:divBdr>
    </w:div>
    <w:div w:id="1240824202">
      <w:bodyDiv w:val="1"/>
      <w:marLeft w:val="0"/>
      <w:marRight w:val="0"/>
      <w:marTop w:val="0"/>
      <w:marBottom w:val="0"/>
      <w:divBdr>
        <w:top w:val="none" w:sz="0" w:space="0" w:color="auto"/>
        <w:left w:val="none" w:sz="0" w:space="0" w:color="auto"/>
        <w:bottom w:val="none" w:sz="0" w:space="0" w:color="auto"/>
        <w:right w:val="none" w:sz="0" w:space="0" w:color="auto"/>
      </w:divBdr>
    </w:div>
    <w:div w:id="1285886788">
      <w:bodyDiv w:val="1"/>
      <w:marLeft w:val="0"/>
      <w:marRight w:val="0"/>
      <w:marTop w:val="0"/>
      <w:marBottom w:val="0"/>
      <w:divBdr>
        <w:top w:val="none" w:sz="0" w:space="0" w:color="auto"/>
        <w:left w:val="none" w:sz="0" w:space="0" w:color="auto"/>
        <w:bottom w:val="none" w:sz="0" w:space="0" w:color="auto"/>
        <w:right w:val="none" w:sz="0" w:space="0" w:color="auto"/>
      </w:divBdr>
    </w:div>
    <w:div w:id="1303540227">
      <w:bodyDiv w:val="1"/>
      <w:marLeft w:val="0"/>
      <w:marRight w:val="0"/>
      <w:marTop w:val="0"/>
      <w:marBottom w:val="0"/>
      <w:divBdr>
        <w:top w:val="none" w:sz="0" w:space="0" w:color="auto"/>
        <w:left w:val="none" w:sz="0" w:space="0" w:color="auto"/>
        <w:bottom w:val="none" w:sz="0" w:space="0" w:color="auto"/>
        <w:right w:val="none" w:sz="0" w:space="0" w:color="auto"/>
      </w:divBdr>
    </w:div>
    <w:div w:id="1527477752">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736319126">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2007778638">
      <w:bodyDiv w:val="1"/>
      <w:marLeft w:val="0"/>
      <w:marRight w:val="0"/>
      <w:marTop w:val="0"/>
      <w:marBottom w:val="0"/>
      <w:divBdr>
        <w:top w:val="none" w:sz="0" w:space="0" w:color="auto"/>
        <w:left w:val="none" w:sz="0" w:space="0" w:color="auto"/>
        <w:bottom w:val="none" w:sz="0" w:space="0" w:color="auto"/>
        <w:right w:val="none" w:sz="0" w:space="0" w:color="auto"/>
      </w:divBdr>
    </w:div>
    <w:div w:id="208983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apsc.gov.au/working-aps/integrity/integrity-resources/aps-values-code-conduct-and-employment-principles" TargetMode="External"/><Relationship Id="rId47" Type="http://schemas.openxmlformats.org/officeDocument/2006/relationships/hyperlink" Target="https://www.apsc.gov.au/sites/default/files/2021-11/APSC-State-of-the-Service-Report-202021.pdf" TargetMode="External"/><Relationship Id="rId63" Type="http://schemas.openxmlformats.org/officeDocument/2006/relationships/hyperlink" Target="https://www.pmc.gov.au/sites/default/files/publications/review-parliamentary-workplace-responding-serious-incidents-final.pdf" TargetMode="External"/><Relationship Id="rId68" Type="http://schemas.openxmlformats.org/officeDocument/2006/relationships/hyperlink" Target="https://www.parliament.nz/media/5739/independent-external-review-into-bullying-and-harassment-in-the-new-zealand-parliamentary-workplace-final-report.pdf" TargetMode="External"/><Relationship Id="rId84" Type="http://schemas.openxmlformats.org/officeDocument/2006/relationships/hyperlink" Target="https://www.remtribunals.nsw.gov.au/sites/default/files/2020-12/2020_annual_determination-prt.pdf" TargetMode="External"/><Relationship Id="rId89" Type="http://schemas.openxmlformats.org/officeDocument/2006/relationships/hyperlink" Target="https://www.parliament.wa.gov.au/publications/tabledpapers.nsf/displaypaper/4110971a83eb3ad3b261b38c482587f300066644/$file/tp+971+(2022)+-+ministerial+resourcing+report+as+at+20+january+2022.pdf"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humanrights.gov.au/sites/default/files/content/human_rights/criminalrecord/on_the_record/download/otr_guidelines.pdf" TargetMode="External"/><Relationship Id="rId40" Type="http://schemas.openxmlformats.org/officeDocument/2006/relationships/hyperlink" Target="https://services.anu.edu.au/human-resources/recruit/merit-based-selection" TargetMode="External"/><Relationship Id="rId45" Type="http://schemas.openxmlformats.org/officeDocument/2006/relationships/hyperlink" Target="https://www.apsc.gov.au/working-aps/aps-employees-and-managers/guidance-and-information-recruitment/conditions-engagement" TargetMode="External"/><Relationship Id="rId53" Type="http://schemas.openxmlformats.org/officeDocument/2006/relationships/hyperlink" Target="https://maps.finance.gov.au/pay-and-employment/mops-act-employment/ceasing-employment" TargetMode="External"/><Relationship Id="rId58" Type="http://schemas.openxmlformats.org/officeDocument/2006/relationships/hyperlink" Target="https://maps.finance.gov.au/pay-and-employment/mops-act-employment/recruitment-and-establishing-positions/national-police-checks" TargetMode="External"/><Relationship Id="rId66" Type="http://schemas.openxmlformats.org/officeDocument/2006/relationships/hyperlink" Target="https://www.parliament.nsw.gov.au/about/Documents/Independent%20Broderick%20Report.pdf" TargetMode="External"/><Relationship Id="rId74" Type="http://schemas.openxmlformats.org/officeDocument/2006/relationships/hyperlink" Target="https://www.aph.gov.au/binaries/library/pubs/rp/2009-10/10rp03.pdf" TargetMode="External"/><Relationship Id="rId79" Type="http://schemas.openxmlformats.org/officeDocument/2006/relationships/hyperlink" Target="https://documents.parliament.qld.gov.au/assembly/procedures/CodeOfEthicalStandards.pdf" TargetMode="External"/><Relationship Id="rId87" Type="http://schemas.openxmlformats.org/officeDocument/2006/relationships/hyperlink" Target="https://www.finance.gov.au/sites/default/files/2022-08/Independent%20Review%20on%20the%20Parliamentary%20Business%20Resources%20Act%202017%20and%20the%20Independent%20Parliamentary%20Expenses%20Authority%20Act%202017.pdf" TargetMode="External"/><Relationship Id="rId102" Type="http://schemas.openxmlformats.org/officeDocument/2006/relationships/hyperlink" Target="https://vpsc.vic.gov.au/ethics-behaviours-culture/employment-principles-and-standards/standards-for-application-of-the-principles/" TargetMode="External"/><Relationship Id="rId110"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maps.finance.gov.au/sites/default/files/2022-04/Workplace%20Health%20Safety%20and%20Wellbeing%20Policy.pdf" TargetMode="External"/><Relationship Id="rId82" Type="http://schemas.openxmlformats.org/officeDocument/2006/relationships/hyperlink" Target="https://www.aph.gov.au/About_Parliament/Parliamentary_Departments/Parliamentary_Library/pubs/rp/rp2122/ParliamentaryCodesConduct" TargetMode="External"/><Relationship Id="rId90" Type="http://schemas.openxmlformats.org/officeDocument/2006/relationships/hyperlink" Target="https://www.pwc.com/gx/en/ceo-survey/2015/assets/pwc-18th-annual-global-ceo-survey-jan-2015.pdf" TargetMode="External"/><Relationship Id="rId95" Type="http://schemas.openxmlformats.org/officeDocument/2006/relationships/hyperlink" Target="https://www.pmc.gov.au/sites/default/files/publications/independent-review-aps.pdf"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pmc.gov.au/sites/default/files/publications/code-of-conduct-for-ministers.pdf" TargetMode="External"/><Relationship Id="rId43" Type="http://schemas.openxmlformats.org/officeDocument/2006/relationships/hyperlink" Target="https://www.apsc.gov.au/remuneration-reports/australian-public-service-remuneration-report-2021/chapter-8-remuneration-gender" TargetMode="External"/><Relationship Id="rId48" Type="http://schemas.openxmlformats.org/officeDocument/2006/relationships/hyperlink" Target="https://www.apsc.gov.au/initiatives-and-programs/aps-workforce-strategy-2025/workforce-planning-resources" TargetMode="External"/><Relationship Id="rId56" Type="http://schemas.openxmlformats.org/officeDocument/2006/relationships/hyperlink" Target="https://maps.finance.gov.au/sites/default/files/2022-06/Guide%20to%20Recruiting.pdf" TargetMode="External"/><Relationship Id="rId64" Type="http://schemas.openxmlformats.org/officeDocument/2006/relationships/hyperlink" Target="https://www.pmc.gov.au/sites/default/files/publications/wgea-review-report_1.pdf" TargetMode="External"/><Relationship Id="rId69" Type="http://schemas.openxmlformats.org/officeDocument/2006/relationships/hyperlink" Target="https://www.glassdoor.com/blog/glassdoors-diversity-and-inclusion-workplace-survey/" TargetMode="External"/><Relationship Id="rId77" Type="http://schemas.openxmlformats.org/officeDocument/2006/relationships/hyperlink" Target="https://assets.ctfassets.net/nc7h1cs4q6ic/1Qpj1SkPE2oTGgY3HewrsP/29dce53971c38a9f27c3f1cf2d2f54f5/policy-review-funding-for-mps-staff.pdf" TargetMode="External"/><Relationship Id="rId100" Type="http://schemas.openxmlformats.org/officeDocument/2006/relationships/hyperlink" Target="https://www.aph.gov.au/About_Parliament/Parliamentary_Departments/Parliamentary_Library/pubs/BN/1011/APSChanges" TargetMode="External"/><Relationship Id="rId105" Type="http://schemas.openxmlformats.org/officeDocument/2006/relationships/hyperlink" Target="https://www.wgea.gov.au/what-we-do/reporting" TargetMode="External"/><Relationship Id="rId8" Type="http://schemas.openxmlformats.org/officeDocument/2006/relationships/header" Target="header1.xml"/><Relationship Id="rId51" Type="http://schemas.openxmlformats.org/officeDocument/2006/relationships/hyperlink" Target="https://trove.nla.gov.au/newspaper/article/245376240?searchTerm=%22members%20of%20parliament%20(staff)%20Act%201984%22" TargetMode="External"/><Relationship Id="rId72" Type="http://schemas.openxmlformats.org/officeDocument/2006/relationships/hyperlink" Target="https://parlinfo.aph.gov.au/parlInfo/download/library/prspub/NJM76/upload_binary/njm765.pdf;fileType=application%2Fpdf" TargetMode="External"/><Relationship Id="rId80" Type="http://schemas.openxmlformats.org/officeDocument/2006/relationships/hyperlink" Target="https://www.bcg.com/publications/2018/how-diverse-leadership-teams-boost-innovation" TargetMode="External"/><Relationship Id="rId85" Type="http://schemas.openxmlformats.org/officeDocument/2006/relationships/hyperlink" Target="https://publications.dpc.nsw.gov.au/ministers-office-handbook/attachments/attachment-a/" TargetMode="External"/><Relationship Id="rId93" Type="http://schemas.openxmlformats.org/officeDocument/2006/relationships/hyperlink" Target="https://www.publicsector.sa.gov.au/__data/assets/pdf_file/0003/214077/Pre-Employment-Declaration_240522.pdf" TargetMode="External"/><Relationship Id="rId98" Type="http://schemas.openxmlformats.org/officeDocument/2006/relationships/hyperlink" Target="https://www.parliament.uk/contentassets/375c1cca2849461fb61bf02d9cc980ea/chapter-20-final-march-2021.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humanrights.gov.au/sites/default/files/document/publication/ahrc_set_the_standard_2021.pdf" TargetMode="External"/><Relationship Id="rId46" Type="http://schemas.openxmlformats.org/officeDocument/2006/relationships/hyperlink" Target="https://www.apsc.gov.au/fact-sheet/fact-sheet-procedural-fairness-breach-decision-making" TargetMode="External"/><Relationship Id="rId59" Type="http://schemas.openxmlformats.org/officeDocument/2006/relationships/hyperlink" Target="https://maps.finance.gov.au/pay-and-employment/mops-act-employment/recruitment-and-establishing-positions/recruiting-staff" TargetMode="External"/><Relationship Id="rId67" Type="http://schemas.openxmlformats.org/officeDocument/2006/relationships/hyperlink" Target="https://www.fwc.gov.au/other-relevant-matters" TargetMode="External"/><Relationship Id="rId103" Type="http://schemas.openxmlformats.org/officeDocument/2006/relationships/hyperlink" Target="https://www.forbes.com/sites/forbeshumanresourcescouncil/2021/09/20/recruiting-for-diversity-four-steps-to-success/?sh=1118ac9a7fe5" TargetMode="External"/><Relationship Id="rId108"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hyperlink" Target="https://www.apsc.gov.au/employment-data/aps-employment-data-30-june-2022" TargetMode="External"/><Relationship Id="rId54" Type="http://schemas.openxmlformats.org/officeDocument/2006/relationships/hyperlink" Target="https://maps.finance.gov.au/pay-and-employment/mops-act-employment/employment-instruments-and-authorisations" TargetMode="External"/><Relationship Id="rId62" Type="http://schemas.openxmlformats.org/officeDocument/2006/relationships/hyperlink" Target="https://assets.gov.ie/226945/95b02ef0-fd6a-4f7c-9c97-314deab1e45d.pdf" TargetMode="External"/><Relationship Id="rId70" Type="http://schemas.openxmlformats.org/officeDocument/2006/relationships/hyperlink" Target="https://www.dpc.sa.gov.au/responsibilities/cabinet-and-executive-council/resources-and-publications/Ministerial-Code-of-Conduct.pdf" TargetMode="External"/><Relationship Id="rId75" Type="http://schemas.openxmlformats.org/officeDocument/2006/relationships/hyperlink" Target="https://www.ourcommons.ca/Content/MAS/mas-e.pdf" TargetMode="External"/><Relationship Id="rId83" Type="http://schemas.openxmlformats.org/officeDocument/2006/relationships/hyperlink" Target="https://www.parliament.nsw.gov.au/members/Documents/Members%20Guide%202019.pdf" TargetMode="External"/><Relationship Id="rId88" Type="http://schemas.openxmlformats.org/officeDocument/2006/relationships/hyperlink" Target="https://www.aph.gov.au/-/media/05_About_Parliament/Parliamentary_Leadership_Taskforce/Implementation_tracker/Implementation_Tracker_-_12_September_2022.pdf?la=en&amp;hash=B307905768EE4BDD507BF43B83D4D7660AD7A301" TargetMode="External"/><Relationship Id="rId91" Type="http://schemas.openxmlformats.org/officeDocument/2006/relationships/hyperlink" Target="https://www.safeworkaustralia.gov.au/doc/model-code-practice-managing-psychosocial-hazards-work" TargetMode="External"/><Relationship Id="rId96" Type="http://schemas.openxmlformats.org/officeDocument/2006/relationships/hyperlink" Target="https://commonslibrary.parliament.uk/research-briefings/cbp-9572/"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ence.gov.au/security/clearances/about/vetting-assessment" TargetMode="External"/><Relationship Id="rId49" Type="http://schemas.openxmlformats.org/officeDocument/2006/relationships/hyperlink" Target="https://civilservicecommission.independent.gov.uk/wp-content/uploads/2019/03/02a_RECRUITMENT-PRINCIPLES-April-2018-FINAL-.pdf" TargetMode="External"/><Relationship Id="rId57" Type="http://schemas.openxmlformats.org/officeDocument/2006/relationships/hyperlink" Target="https://maps.finance.gov.au/federal-elections/mops-act-employees" TargetMode="External"/><Relationship Id="rId106"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https://www.apsc.gov.au/working-aps/aps-employees-and-managers/guidance-and-information-recruitment/citizenship-aps" TargetMode="External"/><Relationship Id="rId52" Type="http://schemas.openxmlformats.org/officeDocument/2006/relationships/hyperlink" Target="https://www.finance.gov.au/sites/default/files/2021-11/2020-2021-annual-report.pdf" TargetMode="External"/><Relationship Id="rId60" Type="http://schemas.openxmlformats.org/officeDocument/2006/relationships/hyperlink" Target="https://maps.finance.gov.au/sites/default/files/2022-06/MOPS-Employee-Security-Clearances.pdf" TargetMode="External"/><Relationship Id="rId65" Type="http://schemas.openxmlformats.org/officeDocument/2006/relationships/hyperlink" Target="https://www.dca.org.au/di-planning/inclusive-recruitment" TargetMode="External"/><Relationship Id="rId73" Type="http://schemas.openxmlformats.org/officeDocument/2006/relationships/hyperlink" Target="https://parlinfo.aph.gov.au/parlInfo/download/library/prspub/OJM76/upload_binary/ojm766.pdf;fileType=application%2Fpdf" TargetMode="External"/><Relationship Id="rId78" Type="http://schemas.openxmlformats.org/officeDocument/2006/relationships/hyperlink" Target="https://assets.kpmg/content/dam/kpmg/au/pdf/2021/transparency-report-2021.pdf" TargetMode="External"/><Relationship Id="rId81" Type="http://schemas.openxmlformats.org/officeDocument/2006/relationships/hyperlink" Target="https://www.macquariedictionary.com.au/features/word/search/?search_word_type=Dictionary&amp;word=merit" TargetMode="External"/><Relationship Id="rId86" Type="http://schemas.openxmlformats.org/officeDocument/2006/relationships/hyperlink" Target="https://www.parliament.nz/media/4351/members-guide-20-sept.pdf" TargetMode="External"/><Relationship Id="rId94" Type="http://schemas.openxmlformats.org/officeDocument/2006/relationships/hyperlink" Target="https://www.smos.gov.au/ministerial-staff-code-conduct" TargetMode="External"/><Relationship Id="rId99" Type="http://schemas.openxmlformats.org/officeDocument/2006/relationships/hyperlink" Target="https://www.parliament.uk/contentassets/375c1cca2849461fb61bf02d9cc980ea/chapter-26-final-pdf-april-2021.pdf" TargetMode="External"/><Relationship Id="rId101" Type="http://schemas.openxmlformats.org/officeDocument/2006/relationships/hyperlink" Target="https://vpsc.vic.gov.au/workforce-capability-leadership-and-management/recruitment-in-the-public-sector/pre-employment-and-misconduct-screenin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s://www.anao.gov.au/work/performance-audit/administration-staff-employed-under-members-parliament-staff-act-1984" TargetMode="External"/><Relationship Id="rId109" Type="http://schemas.openxmlformats.org/officeDocument/2006/relationships/fontTable" Target="fontTable.xml"/><Relationship Id="rId34" Type="http://schemas.openxmlformats.org/officeDocument/2006/relationships/hyperlink" Target="https://www.afp.gov.au/what-we-do/services/criminal-records/frequently-asked-questions" TargetMode="External"/><Relationship Id="rId50" Type="http://schemas.openxmlformats.org/officeDocument/2006/relationships/hyperlink" Target="https://maps.finance.gov.au/sites/default/files/2020-12/MOPS%20Enterprise%20Agreement%202020-23%20FINAL.pdf" TargetMode="External"/><Relationship Id="rId55" Type="http://schemas.openxmlformats.org/officeDocument/2006/relationships/hyperlink" Target="https://maps.finance.gov.au/sites/default/files/2021-08/form_109_FINAL.pdf" TargetMode="External"/><Relationship Id="rId76" Type="http://schemas.openxmlformats.org/officeDocument/2006/relationships/hyperlink" Target="https://www.ibac.vic.gov.au/docs/default-source/special-reports/operation-watts-special-report---july-2022.pdf?sfvrsn=ae651f80_2" TargetMode="External"/><Relationship Id="rId97" Type="http://schemas.openxmlformats.org/officeDocument/2006/relationships/hyperlink" Target="https://www.parliament.uk/contentassets/375c1cca2849461fb61bf02d9cc980ea/chapter-19-final-april-2021.pdf" TargetMode="External"/><Relationship Id="rId104" Type="http://schemas.openxmlformats.org/officeDocument/2006/relationships/hyperlink" Target="https://www.forbes.com/sites/forbeshumanresourcescouncil/2021/09/20/recruiting-for-diversity-four-steps-to-success/?sh=1118ac9a7fe5" TargetMode="External"/><Relationship Id="rId7" Type="http://schemas.openxmlformats.org/officeDocument/2006/relationships/endnotes" Target="endnotes.xml"/><Relationship Id="rId71" Type="http://schemas.openxmlformats.org/officeDocument/2006/relationships/hyperlink" Target="https://www.aph.gov.au/About_Parliament/Parliamentary_Departments/Parliamentary_Library/pubs/rp/rp0102/02RP19" TargetMode="External"/><Relationship Id="rId92" Type="http://schemas.openxmlformats.org/officeDocument/2006/relationships/hyperlink" Target="https://www.publicsector.sa.gov.au/__data/assets/pdf_file/0015/214008/20181002-Direction-of-the-Premier-of-South-Australia-Recruitment.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maps.finance.gov.au/pay-and-employment/mops-act-employment/employment-instruments-and-authorisations" TargetMode="External"/><Relationship Id="rId18" Type="http://schemas.openxmlformats.org/officeDocument/2006/relationships/hyperlink" Target="https://www.glassdoor.com/blog/glassdoors-diversity-and-inclusion-workplace-survey/" TargetMode="External"/><Relationship Id="rId26" Type="http://schemas.openxmlformats.org/officeDocument/2006/relationships/hyperlink" Target="https://civilservicecommission.independent.gov.uk/wp-content/uploads/2019/03/02a_RECRUITMENT-PRINCIPLES-April-2018-FINAL-.pdf" TargetMode="External"/><Relationship Id="rId39" Type="http://schemas.openxmlformats.org/officeDocument/2006/relationships/hyperlink" Target="https://www.apsc.gov.au/working-aps/aps-employees-and-managers/guidance-and-information-recruitment/conditions-engagement" TargetMode="External"/><Relationship Id="rId21" Type="http://schemas.openxmlformats.org/officeDocument/2006/relationships/hyperlink" Target="https://www.forbes.com/sites/forbeshumanresourcescouncil/2021/09/20/recruiting-for-diversity-four-steps-to-success/?sh=1118ac9a7fe5" TargetMode="External"/><Relationship Id="rId34" Type="http://schemas.openxmlformats.org/officeDocument/2006/relationships/hyperlink" Target="https://www.publicsector.sa.gov.au/__data/assets/pdf_file/0003/214077/Pre-Employment-Declaration_240522.pdf" TargetMode="External"/><Relationship Id="rId42" Type="http://schemas.openxmlformats.org/officeDocument/2006/relationships/hyperlink" Target="https://maps.finance.gov.au/sites/default/files/2022-04/Workplace%20Health%20Safety%20and%20Wellbeing%20Policy.pdf" TargetMode="External"/><Relationship Id="rId47" Type="http://schemas.openxmlformats.org/officeDocument/2006/relationships/hyperlink" Target="https://www.pmc.gov.au/sites/default/files/publications/independent-review-aps.pdf" TargetMode="External"/><Relationship Id="rId50" Type="http://schemas.openxmlformats.org/officeDocument/2006/relationships/hyperlink" Target="https://www.dpc.sa.gov.au/responsibilities/cabinet-and-executive-council/resources-and-publications/Ministerial-Code-of-Conduct.pdf" TargetMode="External"/><Relationship Id="rId55" Type="http://schemas.openxmlformats.org/officeDocument/2006/relationships/hyperlink" Target="https://www.directory.gov.au" TargetMode="External"/><Relationship Id="rId63" Type="http://schemas.openxmlformats.org/officeDocument/2006/relationships/hyperlink" Target="https://www.fwc.gov.au/documents/documents/benchbookresources/unfairdismissals/unfair-dismissals-benchbook.pdf" TargetMode="External"/><Relationship Id="rId68" Type="http://schemas.openxmlformats.org/officeDocument/2006/relationships/hyperlink" Target="https://www.parliament.uk/contentassets/375c1cca2849461fb61bf02d9cc980ea/chapter-26-final-pdf-april-2021.pdf" TargetMode="External"/><Relationship Id="rId7" Type="http://schemas.openxmlformats.org/officeDocument/2006/relationships/hyperlink" Target="https://maps.finance.gov.au/sites/default/files/2020-12/MOPS%20Enterprise%20Agreement%202020-23%20FINAL.pdf" TargetMode="External"/><Relationship Id="rId71" Type="http://schemas.openxmlformats.org/officeDocument/2006/relationships/hyperlink" Target="https://www.parliament.uk/contentassets/375c1cca2849461fb61bf02d9cc980ea/chapter-19-final-april-2021.pdf" TargetMode="External"/><Relationship Id="rId2" Type="http://schemas.openxmlformats.org/officeDocument/2006/relationships/hyperlink" Target="https://www.pmc.gov.au/government/review-members-parliament-staff-mops-act-1984-0" TargetMode="External"/><Relationship Id="rId16" Type="http://schemas.openxmlformats.org/officeDocument/2006/relationships/hyperlink" Target="https://www.safeworkaustralia.gov.au/doc/model-code-practice-managing-psychosocial-hazards-work" TargetMode="External"/><Relationship Id="rId29" Type="http://schemas.openxmlformats.org/officeDocument/2006/relationships/hyperlink" Target="https://maps.finance.gov.au/sites/default/files/2022-06/MOPS-Employee-Security-Clearances.pdf" TargetMode="External"/><Relationship Id="rId11" Type="http://schemas.openxmlformats.org/officeDocument/2006/relationships/hyperlink" Target="https://www.remtribunals.nsw.gov.au/sites/default/files/2020-12/2020_annual_determination-prt.pdf" TargetMode="External"/><Relationship Id="rId24" Type="http://schemas.openxmlformats.org/officeDocument/2006/relationships/hyperlink" Target="https://vpsc.vic.gov.au/ethics-behaviours-culture/employment-principles-and-standards/standards-for-application-of-the-principles/" TargetMode="External"/><Relationship Id="rId32" Type="http://schemas.openxmlformats.org/officeDocument/2006/relationships/hyperlink" Target="https://www.afp.gov.au/what-we-do/services/criminal-records/frequently-asked-questions" TargetMode="External"/><Relationship Id="rId37" Type="http://schemas.openxmlformats.org/officeDocument/2006/relationships/hyperlink" Target="https://www.publicsector.sa.gov.au/__data/assets/pdf_file/0015/214008/20181002-Direction-of-the-Premier-of-South-Australia-Recruitment.pdf" TargetMode="External"/><Relationship Id="rId40" Type="http://schemas.openxmlformats.org/officeDocument/2006/relationships/hyperlink" Target="https://www.defence.gov.au/security/clearances/about/vetting-assessment" TargetMode="External"/><Relationship Id="rId45" Type="http://schemas.openxmlformats.org/officeDocument/2006/relationships/hyperlink" Target="https://www.smos.gov.au/ministerial-staff-code-conduct" TargetMode="External"/><Relationship Id="rId53" Type="http://schemas.openxmlformats.org/officeDocument/2006/relationships/hyperlink" Target="https://www.parliament.wa.gov.au/publications/tabledpapers.nsf/displaypaper/4110971a83eb3ad3b261b38c482587f300066644/$file/tp+971+(2022)+-+ministerial+resourcing+report+as+at+20+january+2022.pdf" TargetMode="External"/><Relationship Id="rId58" Type="http://schemas.openxmlformats.org/officeDocument/2006/relationships/hyperlink" Target="https://www.wgea.gov.au/what-we-do/reporting" TargetMode="External"/><Relationship Id="rId66" Type="http://schemas.openxmlformats.org/officeDocument/2006/relationships/hyperlink" Target="https://www.parliament.uk/globalassets/documents/Conduct-in-Parliament/GWQC-Inquiry-Report-11-July-2019_.pdf" TargetMode="External"/><Relationship Id="rId74" Type="http://schemas.openxmlformats.org/officeDocument/2006/relationships/hyperlink" Target="https://maps.finance.gov.au/pay-and-employment/mops-act-employment/ceasing-employment" TargetMode="External"/><Relationship Id="rId5" Type="http://schemas.openxmlformats.org/officeDocument/2006/relationships/hyperlink" Target="https://www.anao.gov.au/work/performance-audit/administration-staff-employed-under-members-parliament-staff-act-1984" TargetMode="External"/><Relationship Id="rId15" Type="http://schemas.openxmlformats.org/officeDocument/2006/relationships/hyperlink" Target="https://maps.finance.gov.au/pay-and-employment/mops-act-employment/recruitment-and-establishing-positions/recruiting-staff" TargetMode="External"/><Relationship Id="rId23" Type="http://schemas.openxmlformats.org/officeDocument/2006/relationships/hyperlink" Target="https://www.apsc.gov.au/employment-data/aps-employment-data-30-june-2022" TargetMode="External"/><Relationship Id="rId28" Type="http://schemas.openxmlformats.org/officeDocument/2006/relationships/hyperlink" Target="https://www.parliament.nz/media/5739/independent-external-review-into-bullying-and-harassment-in-the-new-zealand-parliamentary-workplace-final-report.pdf" TargetMode="External"/><Relationship Id="rId36" Type="http://schemas.openxmlformats.org/officeDocument/2006/relationships/hyperlink" Target="https://publications.dpc.nsw.gov.au/ministers-office-handbook/attachments/attachment-a/" TargetMode="External"/><Relationship Id="rId49" Type="http://schemas.openxmlformats.org/officeDocument/2006/relationships/hyperlink" Target="https://www.ibac.vic.gov.au/docs/default-source/special-reports/operation-watts-special-report---july-2022.pdf?sfvrsn=ae651f80_2" TargetMode="External"/><Relationship Id="rId57" Type="http://schemas.openxmlformats.org/officeDocument/2006/relationships/hyperlink" Target="https://www.pmc.gov.au/sites/default/files/publications/wgea-review-report_1.pdf" TargetMode="External"/><Relationship Id="rId61" Type="http://schemas.openxmlformats.org/officeDocument/2006/relationships/hyperlink" Target="https://www.apsc.gov.au/sites/default/files/2021-11/APSC-State-of-the-Service-Report-202021.pdf" TargetMode="External"/><Relationship Id="rId10" Type="http://schemas.openxmlformats.org/officeDocument/2006/relationships/hyperlink" Target="https://www.finance.gov.au/sites/default/files/2022-08/Independent%20Review%20on%20the%20Parliamentary%20Business%20Resources%20Act%202017%20and%20the%20Independent%20Parliamentary%20Expenses%20Authority%20Act%202017.pdf" TargetMode="External"/><Relationship Id="rId19" Type="http://schemas.openxmlformats.org/officeDocument/2006/relationships/hyperlink" Target="https://www.pwc.com/gx/en/ceo-survey/2015/assets/pwc-18th-annual-global-ceo-survey-jan-2015.pdf" TargetMode="External"/><Relationship Id="rId31" Type="http://schemas.openxmlformats.org/officeDocument/2006/relationships/hyperlink" Target="https://maps.finance.gov.au/pay-and-employment/mops-act-employment/recruitment-and-establishing-positions/national-police-checks" TargetMode="External"/><Relationship Id="rId44" Type="http://schemas.openxmlformats.org/officeDocument/2006/relationships/hyperlink" Target="https://www.pmc.gov.au/sites/default/files/publications/code-of-conduct-for-ministers.pdf" TargetMode="External"/><Relationship Id="rId52" Type="http://schemas.openxmlformats.org/officeDocument/2006/relationships/hyperlink" Target="https://documents.parliament.qld.gov.au/assembly/procedures/CodeOfEthicalStandards.pdf" TargetMode="External"/><Relationship Id="rId60" Type="http://schemas.openxmlformats.org/officeDocument/2006/relationships/hyperlink" Target="https://www.apsc.gov.au/remuneration-reports/australian-public-service-remuneration-report-2021/chapter-8-remuneration-gender" TargetMode="External"/><Relationship Id="rId65" Type="http://schemas.openxmlformats.org/officeDocument/2006/relationships/hyperlink" Target="https://www.parliament.nsw.gov.au/about/Documents/Independent%20Broderick%20Report.pdf" TargetMode="External"/><Relationship Id="rId73" Type="http://schemas.openxmlformats.org/officeDocument/2006/relationships/hyperlink" Target="https://www.aph.gov.au/-/media/05_About_Parliament/Parliamentary_Leadership_Taskforce/Implementation_tracker/Implementation_Tracker_-_12_September_2022.pdf?la=en&amp;hash=B307905768EE4BDD507BF43B83D4D7660AD7A301" TargetMode="External"/><Relationship Id="rId4" Type="http://schemas.openxmlformats.org/officeDocument/2006/relationships/hyperlink" Target="https://parlinfo.aph.gov.au/parlInfo/download/library/prspub/NJM76/upload_binary/njm765.pdf;fileType=application%2Fpdf" TargetMode="External"/><Relationship Id="rId9" Type="http://schemas.openxmlformats.org/officeDocument/2006/relationships/hyperlink" Target="https://www.pmc.gov.au/sites/default/files/publications/review-parliamentary-workplace-responding-serious-incidents-final.pdf" TargetMode="External"/><Relationship Id="rId14" Type="http://schemas.openxmlformats.org/officeDocument/2006/relationships/hyperlink" Target="https://www.ags.gov.au/publications/express-law/el244" TargetMode="External"/><Relationship Id="rId22" Type="http://schemas.openxmlformats.org/officeDocument/2006/relationships/hyperlink" Target="https://www.macquariedictionary.com.au/features/word/search/?search_word_type=Dictionary&amp;word=merit" TargetMode="External"/><Relationship Id="rId27" Type="http://schemas.openxmlformats.org/officeDocument/2006/relationships/hyperlink" Target="https://www.parliament.nz/media/4351/members-guide-20-sept.pdf" TargetMode="External"/><Relationship Id="rId30" Type="http://schemas.openxmlformats.org/officeDocument/2006/relationships/hyperlink" Target="https://maps.finance.gov.au/sites/default/files/2021-08/form_109_FINAL.pdf" TargetMode="External"/><Relationship Id="rId35" Type="http://schemas.openxmlformats.org/officeDocument/2006/relationships/hyperlink" Target="https://vpsc.vic.gov.au/workforce-capability-leadership-and-management/recruitment-in-the-public-sector/pre-employment-and-misconduct-screening/" TargetMode="External"/><Relationship Id="rId43" Type="http://schemas.openxmlformats.org/officeDocument/2006/relationships/hyperlink" Target="https://www.aph.gov.au/About_Parliament/Parliamentary_Departments/Parliamentary_Library/pubs/rp/rp2122/ParliamentaryCodesConduct" TargetMode="External"/><Relationship Id="rId48" Type="http://schemas.openxmlformats.org/officeDocument/2006/relationships/hyperlink" Target="https://www.aph.gov.au/About_Parliament/Parliamentary_Departments/Parliamentary_Library/pubs/rp/rp0102/02RP19" TargetMode="External"/><Relationship Id="rId56" Type="http://schemas.openxmlformats.org/officeDocument/2006/relationships/hyperlink" Target="https://assets.kpmg/content/dam/kpmg/au/pdf/2021/transparency-report-2021.pdf" TargetMode="External"/><Relationship Id="rId64" Type="http://schemas.openxmlformats.org/officeDocument/2006/relationships/hyperlink" Target="https://www.fairwork.gov.au/ending-employment/unfair-dismissal" TargetMode="External"/><Relationship Id="rId69" Type="http://schemas.openxmlformats.org/officeDocument/2006/relationships/hyperlink" Target="https://www.fwc.gov.au/other-relevant-matters" TargetMode="External"/><Relationship Id="rId8" Type="http://schemas.openxmlformats.org/officeDocument/2006/relationships/hyperlink" Target="https://www.smos.gov.au/ministerial-staff-code-conduct" TargetMode="External"/><Relationship Id="rId51" Type="http://schemas.openxmlformats.org/officeDocument/2006/relationships/hyperlink" Target="https://www.parliament.nsw.gov.au/members/Documents/Members%20Guide%202019.pdf" TargetMode="External"/><Relationship Id="rId72" Type="http://schemas.openxmlformats.org/officeDocument/2006/relationships/hyperlink" Target="https://www.parliament.uk/contentassets/375c1cca2849461fb61bf02d9cc980ea/chapter-20-final-march-2021.pdf" TargetMode="External"/><Relationship Id="rId3" Type="http://schemas.openxmlformats.org/officeDocument/2006/relationships/hyperlink" Target="https://parlinfo.aph.gov.au/parlInfo/download/library/prspub/OJM76/upload_binary/ojm766.pdf;fileType=application%2Fpdf" TargetMode="External"/><Relationship Id="rId12" Type="http://schemas.openxmlformats.org/officeDocument/2006/relationships/hyperlink" Target="https://assets.ctfassets.net/nc7h1cs4q6ic/1Qpj1SkPE2oTGgY3HewrsP/29dce53971c38a9f27c3f1cf2d2f54f5/policy-review-funding-for-mps-staff.pdf" TargetMode="External"/><Relationship Id="rId17" Type="http://schemas.openxmlformats.org/officeDocument/2006/relationships/hyperlink" Target="https://www.bcg.com/publications/2018/how-diverse-leadership-teams-boost-innovation" TargetMode="External"/><Relationship Id="rId25" Type="http://schemas.openxmlformats.org/officeDocument/2006/relationships/hyperlink" Target="https://services.anu.edu.au/human-resources/recruit/merit-based-selection" TargetMode="External"/><Relationship Id="rId33" Type="http://schemas.openxmlformats.org/officeDocument/2006/relationships/hyperlink" Target="https://maps.finance.gov.au/sites/default/files/2022-06/Guide%20to%20Recruiting.pdf" TargetMode="External"/><Relationship Id="rId38" Type="http://schemas.openxmlformats.org/officeDocument/2006/relationships/hyperlink" Target="https://humanrights.gov.au/sites/default/files/content/human_rights/criminalrecord/on_the_record/download/otr_guidelines.pdf" TargetMode="External"/><Relationship Id="rId46" Type="http://schemas.openxmlformats.org/officeDocument/2006/relationships/hyperlink" Target="https://www.apsc.gov.au/working-aps/integrity/integrity-resources/aps-values-code-conduct-and-employment-principles" TargetMode="External"/><Relationship Id="rId59" Type="http://schemas.openxmlformats.org/officeDocument/2006/relationships/hyperlink" Target="https://www.transparency.gov.au/annual-reports/workplace-gender-equality-agency/reporting-year/2019-20-33" TargetMode="External"/><Relationship Id="rId67" Type="http://schemas.openxmlformats.org/officeDocument/2006/relationships/hyperlink" Target="https://www.ourcommons.ca/Content/MAS/mas-e.pdf" TargetMode="External"/><Relationship Id="rId20" Type="http://schemas.openxmlformats.org/officeDocument/2006/relationships/hyperlink" Target="https://www.dca.org.au/di-planning/inclusive-recruitment" TargetMode="External"/><Relationship Id="rId41" Type="http://schemas.openxmlformats.org/officeDocument/2006/relationships/hyperlink" Target="https://www.apsc.gov.au/working-aps/aps-employees-and-managers/guidance-and-information-recruitment/citizenship-aps" TargetMode="External"/><Relationship Id="rId54" Type="http://schemas.openxmlformats.org/officeDocument/2006/relationships/hyperlink" Target="https://assets.gov.ie/226945/95b02ef0-fd6a-4f7c-9c97-314deab1e45d.pdf" TargetMode="External"/><Relationship Id="rId62" Type="http://schemas.openxmlformats.org/officeDocument/2006/relationships/hyperlink" Target="https://business.gov.au/people/employees/end-employment" TargetMode="External"/><Relationship Id="rId70" Type="http://schemas.openxmlformats.org/officeDocument/2006/relationships/hyperlink" Target="https://www.apsc.gov.au/fact-sheet/fact-sheet-procedural-fairness-breach-decision-making" TargetMode="External"/><Relationship Id="rId75" Type="http://schemas.openxmlformats.org/officeDocument/2006/relationships/hyperlink" Target="https://www.pmc.gov.au/government/review-members-parliament-staff-mops-act-1984-0" TargetMode="External"/><Relationship Id="rId1" Type="http://schemas.openxmlformats.org/officeDocument/2006/relationships/hyperlink" Target="https://humanrights.gov.au/sites/default/files/document/publication/ahrc_set_the_standard_2021.pdf" TargetMode="External"/><Relationship Id="rId6" Type="http://schemas.openxmlformats.org/officeDocument/2006/relationships/hyperlink" Target="https://www.pmc.gov.au/sites/default/files/publications/independent-review-ap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08736772864C65A9378CCFB1107422"/>
        <w:category>
          <w:name w:val="General"/>
          <w:gallery w:val="placeholder"/>
        </w:category>
        <w:types>
          <w:type w:val="bbPlcHdr"/>
        </w:types>
        <w:behaviors>
          <w:behavior w:val="content"/>
        </w:behaviors>
        <w:guid w:val="{AD8BF771-A525-4428-A71B-695D09A78A93}"/>
      </w:docPartPr>
      <w:docPartBody>
        <w:p w:rsidR="004E2E49" w:rsidRDefault="00A334B2">
          <w:pPr>
            <w:pStyle w:val="9F08736772864C65A9378CCFB1107422"/>
          </w:pPr>
          <w:r w:rsidRPr="00B6525C">
            <w:rPr>
              <w:rStyle w:val="PlaceholderText"/>
            </w:rPr>
            <w:t>Choose an item.</w:t>
          </w:r>
        </w:p>
      </w:docPartBody>
    </w:docPart>
    <w:docPart>
      <w:docPartPr>
        <w:name w:val="DA78A40ED96446FEA3A30D5993A1731B"/>
        <w:category>
          <w:name w:val="General"/>
          <w:gallery w:val="placeholder"/>
        </w:category>
        <w:types>
          <w:type w:val="bbPlcHdr"/>
        </w:types>
        <w:behaviors>
          <w:behavior w:val="content"/>
        </w:behaviors>
        <w:guid w:val="{1C392E3A-9873-478D-9C52-EC98F83D3FE6}"/>
      </w:docPartPr>
      <w:docPartBody>
        <w:p w:rsidR="004E2E49" w:rsidRDefault="00A334B2">
          <w:pPr>
            <w:pStyle w:val="DA78A40ED96446FEA3A30D5993A1731B"/>
          </w:pPr>
          <w:r w:rsidRPr="00B6525C">
            <w:rPr>
              <w:rStyle w:val="PlaceholderText"/>
            </w:rPr>
            <w:t>Choose an item.</w:t>
          </w:r>
        </w:p>
      </w:docPartBody>
    </w:docPart>
    <w:docPart>
      <w:docPartPr>
        <w:name w:val="2771EE94252449DA90C78E6457284D0A"/>
        <w:category>
          <w:name w:val="General"/>
          <w:gallery w:val="placeholder"/>
        </w:category>
        <w:types>
          <w:type w:val="bbPlcHdr"/>
        </w:types>
        <w:behaviors>
          <w:behavior w:val="content"/>
        </w:behaviors>
        <w:guid w:val="{9CE4B3A2-4DC5-4AFB-AA5C-80465124F61C}"/>
      </w:docPartPr>
      <w:docPartBody>
        <w:p w:rsidR="004E2E49" w:rsidRDefault="00A334B2">
          <w:pPr>
            <w:pStyle w:val="2771EE94252449DA90C78E6457284D0A"/>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4B2"/>
    <w:rsid w:val="00025079"/>
    <w:rsid w:val="000961DD"/>
    <w:rsid w:val="001303D7"/>
    <w:rsid w:val="0015171B"/>
    <w:rsid w:val="00151932"/>
    <w:rsid w:val="0018201F"/>
    <w:rsid w:val="00186007"/>
    <w:rsid w:val="00194F87"/>
    <w:rsid w:val="001A235B"/>
    <w:rsid w:val="001B068A"/>
    <w:rsid w:val="00203410"/>
    <w:rsid w:val="00221F3F"/>
    <w:rsid w:val="00236317"/>
    <w:rsid w:val="00264DD5"/>
    <w:rsid w:val="0028566F"/>
    <w:rsid w:val="0029130B"/>
    <w:rsid w:val="002E1940"/>
    <w:rsid w:val="00360D19"/>
    <w:rsid w:val="00380C18"/>
    <w:rsid w:val="003969A6"/>
    <w:rsid w:val="003D6536"/>
    <w:rsid w:val="003E3756"/>
    <w:rsid w:val="003F694D"/>
    <w:rsid w:val="004005B4"/>
    <w:rsid w:val="00442D72"/>
    <w:rsid w:val="00455307"/>
    <w:rsid w:val="004824CE"/>
    <w:rsid w:val="00493BF1"/>
    <w:rsid w:val="004B63FD"/>
    <w:rsid w:val="004E2E49"/>
    <w:rsid w:val="004F7CA4"/>
    <w:rsid w:val="00504538"/>
    <w:rsid w:val="00534A3B"/>
    <w:rsid w:val="00555580"/>
    <w:rsid w:val="005F00B7"/>
    <w:rsid w:val="00653C97"/>
    <w:rsid w:val="006E589B"/>
    <w:rsid w:val="007348B6"/>
    <w:rsid w:val="00747932"/>
    <w:rsid w:val="00762C76"/>
    <w:rsid w:val="00792EF9"/>
    <w:rsid w:val="007D5605"/>
    <w:rsid w:val="007E636C"/>
    <w:rsid w:val="00823C36"/>
    <w:rsid w:val="00830C46"/>
    <w:rsid w:val="00836C2D"/>
    <w:rsid w:val="008708F2"/>
    <w:rsid w:val="008D3E5B"/>
    <w:rsid w:val="008F3802"/>
    <w:rsid w:val="00915527"/>
    <w:rsid w:val="00961F6F"/>
    <w:rsid w:val="009642F5"/>
    <w:rsid w:val="00970469"/>
    <w:rsid w:val="00974C3D"/>
    <w:rsid w:val="00991FD4"/>
    <w:rsid w:val="009A36B7"/>
    <w:rsid w:val="00A12A44"/>
    <w:rsid w:val="00A16296"/>
    <w:rsid w:val="00A334B2"/>
    <w:rsid w:val="00A55BC8"/>
    <w:rsid w:val="00A867DD"/>
    <w:rsid w:val="00A9108B"/>
    <w:rsid w:val="00AA4D7F"/>
    <w:rsid w:val="00B220AF"/>
    <w:rsid w:val="00B40980"/>
    <w:rsid w:val="00B4765B"/>
    <w:rsid w:val="00B579D4"/>
    <w:rsid w:val="00B776F7"/>
    <w:rsid w:val="00BA0C8C"/>
    <w:rsid w:val="00BB0BF8"/>
    <w:rsid w:val="00BC39F6"/>
    <w:rsid w:val="00C05731"/>
    <w:rsid w:val="00C13B9E"/>
    <w:rsid w:val="00C4654E"/>
    <w:rsid w:val="00C476EC"/>
    <w:rsid w:val="00C522D0"/>
    <w:rsid w:val="00CC0B58"/>
    <w:rsid w:val="00CD349E"/>
    <w:rsid w:val="00CF5119"/>
    <w:rsid w:val="00D242ED"/>
    <w:rsid w:val="00D27809"/>
    <w:rsid w:val="00D8558B"/>
    <w:rsid w:val="00DC10CC"/>
    <w:rsid w:val="00DF2DB1"/>
    <w:rsid w:val="00E4245E"/>
    <w:rsid w:val="00E55E5A"/>
    <w:rsid w:val="00E82224"/>
    <w:rsid w:val="00E83692"/>
    <w:rsid w:val="00EA7FAB"/>
    <w:rsid w:val="00EB17DF"/>
    <w:rsid w:val="00EE2E5B"/>
    <w:rsid w:val="00F151B5"/>
    <w:rsid w:val="00F25164"/>
    <w:rsid w:val="00F56509"/>
    <w:rsid w:val="00F80148"/>
    <w:rsid w:val="00F80F33"/>
    <w:rsid w:val="00F94A26"/>
    <w:rsid w:val="00FB1AED"/>
    <w:rsid w:val="00FC5796"/>
    <w:rsid w:val="00FD776B"/>
    <w:rsid w:val="00FE017A"/>
    <w:rsid w:val="00FE3937"/>
    <w:rsid w:val="00FE7E99"/>
    <w:rsid w:val="00FF0EEF"/>
    <w:rsid w:val="00FF64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08B"/>
    <w:rPr>
      <w:color w:val="808080"/>
    </w:rPr>
  </w:style>
  <w:style w:type="paragraph" w:customStyle="1" w:styleId="3C4FB581CB1B4630A8F3F86EE8443FE0">
    <w:name w:val="3C4FB581CB1B4630A8F3F86EE8443FE0"/>
  </w:style>
  <w:style w:type="paragraph" w:customStyle="1" w:styleId="E76EC50224BD47298E700BA998E4393F">
    <w:name w:val="E76EC50224BD47298E700BA998E4393F"/>
  </w:style>
  <w:style w:type="paragraph" w:customStyle="1" w:styleId="0691DDEA3A0B45BCAA17EC9E894AF111">
    <w:name w:val="0691DDEA3A0B45BCAA17EC9E894AF111"/>
  </w:style>
  <w:style w:type="paragraph" w:customStyle="1" w:styleId="9F08736772864C65A9378CCFB1107422">
    <w:name w:val="9F08736772864C65A9378CCFB1107422"/>
  </w:style>
  <w:style w:type="paragraph" w:customStyle="1" w:styleId="DA78A40ED96446FEA3A30D5993A1731B">
    <w:name w:val="DA78A40ED96446FEA3A30D5993A1731B"/>
  </w:style>
  <w:style w:type="paragraph" w:customStyle="1" w:styleId="F6D1610D95A043D9B7FAAA85A8B5DBEB">
    <w:name w:val="F6D1610D95A043D9B7FAAA85A8B5DBEB"/>
  </w:style>
  <w:style w:type="paragraph" w:customStyle="1" w:styleId="9383702B0D8E45208715241195C0AF50">
    <w:name w:val="9383702B0D8E45208715241195C0AF50"/>
  </w:style>
  <w:style w:type="paragraph" w:customStyle="1" w:styleId="2771EE94252449DA90C78E6457284D0A">
    <w:name w:val="2771EE94252449DA90C78E6457284D0A"/>
  </w:style>
  <w:style w:type="paragraph" w:customStyle="1" w:styleId="64A4CC292E764623B76E466079F7BB94">
    <w:name w:val="64A4CC292E764623B76E466079F7BB94"/>
    <w:rsid w:val="00A9108B"/>
  </w:style>
  <w:style w:type="paragraph" w:customStyle="1" w:styleId="2117F6912EF546ABA1D8BFEAB71CD0C9">
    <w:name w:val="2117F6912EF546ABA1D8BFEAB71CD0C9"/>
  </w:style>
  <w:style w:type="paragraph" w:customStyle="1" w:styleId="70510119397B4EC88A5AA08EEE2BD504">
    <w:name w:val="70510119397B4EC88A5AA08EEE2BD504"/>
  </w:style>
  <w:style w:type="paragraph" w:customStyle="1" w:styleId="678A90C1A294466D992CCB89E320C1DE">
    <w:name w:val="678A90C1A294466D992CCB89E320C1DE"/>
  </w:style>
  <w:style w:type="paragraph" w:customStyle="1" w:styleId="92F16F35D5B142789CF54CB5EAA615E2">
    <w:name w:val="92F16F35D5B142789CF54CB5EAA615E2"/>
    <w:rsid w:val="00DF2DB1"/>
  </w:style>
  <w:style w:type="paragraph" w:customStyle="1" w:styleId="A965219D59B341DF9E707F9BF1098115">
    <w:name w:val="A965219D59B341DF9E707F9BF1098115"/>
    <w:rsid w:val="00DF2DB1"/>
  </w:style>
  <w:style w:type="paragraph" w:customStyle="1" w:styleId="FEB65FC49E9E4F31B8D2B825CD32CED8">
    <w:name w:val="FEB65FC49E9E4F31B8D2B825CD32CED8"/>
    <w:rsid w:val="00DF2D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
      <a:dk1>
        <a:srgbClr val="000000"/>
      </a:dk1>
      <a:lt1>
        <a:srgbClr val="FFFFFF"/>
      </a:lt1>
      <a:dk2>
        <a:srgbClr val="0F1F35"/>
      </a:dk2>
      <a:lt2>
        <a:srgbClr val="E0E8F2"/>
      </a:lt2>
      <a:accent1>
        <a:srgbClr val="1B375C"/>
      </a:accent1>
      <a:accent2>
        <a:srgbClr val="778E61"/>
      </a:accent2>
      <a:accent3>
        <a:srgbClr val="F26337"/>
      </a:accent3>
      <a:accent4>
        <a:srgbClr val="4BADB0"/>
      </a:accent4>
      <a:accent5>
        <a:srgbClr val="B75B53"/>
      </a:accent5>
      <a:accent6>
        <a:srgbClr val="FCB76C"/>
      </a:accent6>
      <a:hlink>
        <a:srgbClr val="3266AB"/>
      </a:hlink>
      <a:folHlink>
        <a:srgbClr val="3266AB"/>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6DBD3-20DB-4095-9558-E8C164563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49869</Words>
  <Characters>311685</Characters>
  <Application>Microsoft Office Word</Application>
  <DocSecurity>0</DocSecurity>
  <Lines>7991</Lines>
  <Paragraphs>2564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Members of Parliament (Staff) Act 1984 (Cth)</dc:title>
  <dc:subject/>
  <dc:creator/>
  <cp:keywords/>
  <dc:description/>
  <cp:lastModifiedBy/>
  <cp:revision>1</cp:revision>
  <dcterms:created xsi:type="dcterms:W3CDTF">2022-10-06T00:37:00Z</dcterms:created>
  <dcterms:modified xsi:type="dcterms:W3CDTF">2022-10-11T02:53:00Z</dcterms:modified>
</cp:coreProperties>
</file>