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4001A" w14:textId="77777777" w:rsidR="00297AE6" w:rsidRDefault="00297AE6" w:rsidP="00297AE6">
      <w:pPr>
        <w:pStyle w:val="BodyText"/>
        <w:jc w:val="center"/>
        <w:rPr>
          <w:rFonts w:ascii="Times New Roman" w:hAnsi="Times New Roman" w:cs="Times New Roman"/>
          <w:b/>
          <w:sz w:val="22"/>
          <w:szCs w:val="24"/>
        </w:rPr>
      </w:pPr>
    </w:p>
    <w:p w14:paraId="2D74E08E" w14:textId="77777777" w:rsidR="00297AE6" w:rsidRPr="00297AE6" w:rsidRDefault="00297AE6" w:rsidP="00AF3119">
      <w:pPr>
        <w:pStyle w:val="BodyText"/>
        <w:jc w:val="center"/>
        <w:outlineLvl w:val="0"/>
        <w:rPr>
          <w:rFonts w:ascii="Times New Roman" w:hAnsi="Times New Roman" w:cs="Times New Roman"/>
          <w:b/>
          <w:sz w:val="22"/>
          <w:szCs w:val="24"/>
        </w:rPr>
      </w:pPr>
      <w:r w:rsidRPr="00297AE6">
        <w:rPr>
          <w:rFonts w:ascii="Times New Roman" w:hAnsi="Times New Roman" w:cs="Times New Roman"/>
          <w:b/>
          <w:sz w:val="22"/>
          <w:szCs w:val="24"/>
        </w:rPr>
        <w:t xml:space="preserve">Review of the </w:t>
      </w:r>
      <w:r w:rsidRPr="00297AE6">
        <w:rPr>
          <w:rFonts w:ascii="Times New Roman" w:hAnsi="Times New Roman" w:cs="Times New Roman"/>
          <w:b/>
          <w:i/>
          <w:sz w:val="22"/>
          <w:szCs w:val="24"/>
        </w:rPr>
        <w:t>Members of Parliament (Staff) Act 1984</w:t>
      </w:r>
      <w:r w:rsidRPr="00297AE6">
        <w:rPr>
          <w:rFonts w:ascii="Times New Roman" w:hAnsi="Times New Roman" w:cs="Times New Roman"/>
          <w:b/>
          <w:sz w:val="22"/>
          <w:szCs w:val="24"/>
        </w:rPr>
        <w:t xml:space="preserve"> (Cth)</w:t>
      </w:r>
    </w:p>
    <w:p w14:paraId="77D76BD8" w14:textId="77777777" w:rsidR="00297AE6" w:rsidRPr="00297AE6" w:rsidRDefault="00297AE6" w:rsidP="00AF3119">
      <w:pPr>
        <w:pStyle w:val="BodyText"/>
        <w:jc w:val="center"/>
        <w:outlineLvl w:val="0"/>
        <w:rPr>
          <w:rFonts w:ascii="Times New Roman" w:hAnsi="Times New Roman" w:cs="Times New Roman"/>
          <w:b/>
          <w:sz w:val="22"/>
          <w:szCs w:val="24"/>
        </w:rPr>
      </w:pPr>
      <w:r w:rsidRPr="00297AE6">
        <w:rPr>
          <w:rFonts w:ascii="Times New Roman" w:hAnsi="Times New Roman" w:cs="Times New Roman"/>
          <w:b/>
          <w:sz w:val="22"/>
          <w:szCs w:val="24"/>
        </w:rPr>
        <w:t>Terms of Reference</w:t>
      </w:r>
    </w:p>
    <w:p w14:paraId="1E512985" w14:textId="77777777" w:rsidR="00297AE6" w:rsidRDefault="00297AE6" w:rsidP="00297AE6">
      <w:pPr>
        <w:pStyle w:val="BodyText"/>
        <w:rPr>
          <w:rFonts w:ascii="Times New Roman" w:hAnsi="Times New Roman" w:cs="Times New Roman"/>
          <w:b/>
          <w:sz w:val="22"/>
          <w:szCs w:val="24"/>
        </w:rPr>
      </w:pPr>
    </w:p>
    <w:p w14:paraId="2AB28419" w14:textId="77777777" w:rsidR="00297AE6" w:rsidRPr="00297AE6" w:rsidRDefault="00297AE6" w:rsidP="00AF3119">
      <w:pPr>
        <w:pStyle w:val="BodyText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297AE6">
        <w:rPr>
          <w:rFonts w:ascii="Times New Roman" w:hAnsi="Times New Roman" w:cs="Times New Roman"/>
          <w:b/>
          <w:sz w:val="22"/>
          <w:szCs w:val="24"/>
        </w:rPr>
        <w:t>Context</w:t>
      </w:r>
    </w:p>
    <w:p w14:paraId="1D827013" w14:textId="77777777" w:rsidR="00297AE6" w:rsidRPr="00297AE6" w:rsidRDefault="00297AE6" w:rsidP="00297AE6">
      <w:pPr>
        <w:pStyle w:val="BodyText"/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i/>
          <w:sz w:val="22"/>
          <w:szCs w:val="24"/>
        </w:rPr>
        <w:t>Set the Standard: Report on the Independent Review into Commonwealth Workplaces’</w:t>
      </w:r>
      <w:r w:rsidRPr="00297AE6">
        <w:rPr>
          <w:rFonts w:ascii="Times New Roman" w:hAnsi="Times New Roman" w:cs="Times New Roman"/>
          <w:sz w:val="22"/>
          <w:szCs w:val="24"/>
        </w:rPr>
        <w:t xml:space="preserve"> (the Jenkins Report</w:t>
      </w:r>
      <w:bookmarkStart w:id="0" w:name="_GoBack"/>
      <w:bookmarkEnd w:id="0"/>
      <w:r w:rsidRPr="00297AE6">
        <w:rPr>
          <w:rFonts w:ascii="Times New Roman" w:hAnsi="Times New Roman" w:cs="Times New Roman"/>
          <w:sz w:val="22"/>
          <w:szCs w:val="24"/>
        </w:rPr>
        <w:t xml:space="preserve">) recommended the Australian Government undertake a comprehensive review of the </w:t>
      </w:r>
      <w:r w:rsidRPr="00297AE6">
        <w:rPr>
          <w:rFonts w:ascii="Times New Roman" w:hAnsi="Times New Roman" w:cs="Times New Roman"/>
          <w:i/>
          <w:sz w:val="22"/>
          <w:szCs w:val="24"/>
        </w:rPr>
        <w:t>Members of Parliament (Staff) Act 1984</w:t>
      </w:r>
      <w:r w:rsidRPr="00297AE6">
        <w:rPr>
          <w:rFonts w:ascii="Times New Roman" w:hAnsi="Times New Roman" w:cs="Times New Roman"/>
          <w:sz w:val="22"/>
          <w:szCs w:val="24"/>
        </w:rPr>
        <w:t xml:space="preserve"> (Cth) (MOP(S) Act) employment framework to reduce complexity, increase clarity and ensure consistency with modern employment frameworks.</w:t>
      </w:r>
    </w:p>
    <w:p w14:paraId="30125D33" w14:textId="77777777" w:rsidR="00297AE6" w:rsidRPr="00297AE6" w:rsidRDefault="00297AE6" w:rsidP="00AF3119">
      <w:pPr>
        <w:pStyle w:val="BodyText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297AE6">
        <w:rPr>
          <w:rFonts w:ascii="Times New Roman" w:hAnsi="Times New Roman" w:cs="Times New Roman"/>
          <w:b/>
          <w:sz w:val="22"/>
          <w:szCs w:val="24"/>
        </w:rPr>
        <w:t>Objectives of the Review</w:t>
      </w:r>
    </w:p>
    <w:p w14:paraId="4B8E2E44" w14:textId="77777777" w:rsidR="00297AE6" w:rsidRPr="00297AE6" w:rsidRDefault="00297AE6" w:rsidP="00297AE6">
      <w:pPr>
        <w:pStyle w:val="BodyText"/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>The Review should:</w:t>
      </w:r>
    </w:p>
    <w:p w14:paraId="2891BE25" w14:textId="77777777" w:rsidR="00297AE6" w:rsidRPr="00297AE6" w:rsidRDefault="00297AE6" w:rsidP="00297AE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>Identify legislative, policy or other changes or initiatives necessary to ensure the employment arrangements of parliamentarians and their staff are fit for purpose to:</w:t>
      </w:r>
    </w:p>
    <w:p w14:paraId="7A386A4E" w14:textId="77777777" w:rsidR="00297AE6" w:rsidRPr="00297AE6" w:rsidRDefault="00297AE6" w:rsidP="00297AE6">
      <w:pPr>
        <w:pStyle w:val="BodyText"/>
        <w:numPr>
          <w:ilvl w:val="1"/>
          <w:numId w:val="2"/>
        </w:numPr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>support a professional, high-performing, safe and respectful workplace for all parliamentarians and their staff, and</w:t>
      </w:r>
    </w:p>
    <w:p w14:paraId="61531C82" w14:textId="77777777" w:rsidR="00297AE6" w:rsidRPr="00297AE6" w:rsidRDefault="00297AE6" w:rsidP="00297AE6">
      <w:pPr>
        <w:pStyle w:val="BodyText"/>
        <w:numPr>
          <w:ilvl w:val="1"/>
          <w:numId w:val="2"/>
        </w:numPr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>prevent bullying, harassment, sexual harassment and sexual assault and address its impacts according to best practice.</w:t>
      </w:r>
    </w:p>
    <w:p w14:paraId="4C798FE7" w14:textId="77777777" w:rsidR="00297AE6" w:rsidRPr="00297AE6" w:rsidRDefault="00297AE6" w:rsidP="00AF3119">
      <w:pPr>
        <w:pStyle w:val="BodyText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297AE6">
        <w:rPr>
          <w:rFonts w:ascii="Times New Roman" w:hAnsi="Times New Roman" w:cs="Times New Roman"/>
          <w:b/>
          <w:sz w:val="22"/>
          <w:szCs w:val="24"/>
        </w:rPr>
        <w:t>Scope</w:t>
      </w:r>
    </w:p>
    <w:p w14:paraId="6E92613D" w14:textId="77777777" w:rsidR="00297AE6" w:rsidRPr="00297AE6" w:rsidRDefault="00297AE6" w:rsidP="00297AE6">
      <w:pPr>
        <w:pStyle w:val="BodyText"/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>The review should consider the following:</w:t>
      </w:r>
    </w:p>
    <w:p w14:paraId="00A95694" w14:textId="77777777" w:rsidR="00297AE6" w:rsidRPr="00297AE6" w:rsidRDefault="00297AE6" w:rsidP="00297AE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>The recruitment of MOP(S) Act staff, including transparency of arrangements, the use of merit-based recruitment, and pre-engagement checks.</w:t>
      </w:r>
    </w:p>
    <w:p w14:paraId="7B6B1127" w14:textId="77777777" w:rsidR="00297AE6" w:rsidRPr="00297AE6" w:rsidRDefault="00297AE6" w:rsidP="00297AE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>Procedural fairness for the terms, conditions, and termination of employees and employers under the MOP(S) Act.</w:t>
      </w:r>
    </w:p>
    <w:p w14:paraId="557DF782" w14:textId="77777777" w:rsidR="00297AE6" w:rsidRPr="00297AE6" w:rsidRDefault="00297AE6" w:rsidP="00297AE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lastRenderedPageBreak/>
        <w:t>The responsibilities, expectations, and accountability of MOP(S) Act employees.</w:t>
      </w:r>
    </w:p>
    <w:p w14:paraId="5C8D22A5" w14:textId="77777777" w:rsidR="00297AE6" w:rsidRPr="00297AE6" w:rsidRDefault="00297AE6" w:rsidP="00297AE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>Appropriate public reporting and accountability of the administration of the MOP(S) Act.</w:t>
      </w:r>
    </w:p>
    <w:p w14:paraId="2D770DC7" w14:textId="77777777" w:rsidR="00297AE6" w:rsidRPr="00297AE6" w:rsidRDefault="00297AE6" w:rsidP="00297AE6">
      <w:pPr>
        <w:pStyle w:val="BodyText"/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 xml:space="preserve">The review will not consider the terms and conditions of employment that are legislated other than under the MOP(S) Act. For example, the National Employment Standards, the </w:t>
      </w:r>
      <w:r w:rsidRPr="00297AE6">
        <w:rPr>
          <w:rFonts w:ascii="Times New Roman" w:hAnsi="Times New Roman" w:cs="Times New Roman"/>
          <w:i/>
          <w:sz w:val="22"/>
          <w:szCs w:val="24"/>
        </w:rPr>
        <w:t>Fair Work Act 2009</w:t>
      </w:r>
      <w:r w:rsidRPr="00297AE6">
        <w:rPr>
          <w:rFonts w:ascii="Times New Roman" w:hAnsi="Times New Roman" w:cs="Times New Roman"/>
          <w:i/>
          <w:iCs/>
          <w:sz w:val="22"/>
          <w:szCs w:val="24"/>
        </w:rPr>
        <w:t xml:space="preserve">. </w:t>
      </w:r>
      <w:r w:rsidRPr="00297AE6">
        <w:rPr>
          <w:rFonts w:ascii="Times New Roman" w:hAnsi="Times New Roman" w:cs="Times New Roman"/>
          <w:iCs/>
          <w:sz w:val="22"/>
          <w:szCs w:val="24"/>
        </w:rPr>
        <w:t>However, the review will have regard to these in conducting its work</w:t>
      </w:r>
      <w:r w:rsidRPr="00297AE6">
        <w:rPr>
          <w:rFonts w:ascii="Times New Roman" w:hAnsi="Times New Roman" w:cs="Times New Roman"/>
          <w:sz w:val="22"/>
          <w:szCs w:val="24"/>
        </w:rPr>
        <w:t>.</w:t>
      </w:r>
    </w:p>
    <w:p w14:paraId="4B584C1B" w14:textId="77777777" w:rsidR="00297AE6" w:rsidRPr="00297AE6" w:rsidRDefault="00297AE6" w:rsidP="00AF3119">
      <w:pPr>
        <w:pStyle w:val="BodyText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297AE6">
        <w:rPr>
          <w:rFonts w:ascii="Times New Roman" w:hAnsi="Times New Roman" w:cs="Times New Roman"/>
          <w:b/>
          <w:sz w:val="22"/>
          <w:szCs w:val="24"/>
        </w:rPr>
        <w:t>Governance, timing and process</w:t>
      </w:r>
    </w:p>
    <w:p w14:paraId="156C8639" w14:textId="77777777" w:rsidR="00297AE6" w:rsidRPr="00297AE6" w:rsidRDefault="00297AE6" w:rsidP="00297AE6">
      <w:pPr>
        <w:pStyle w:val="BodyText"/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>The review will be undertaken by the Department of the Prime Minister and Cabinet. The Department will provide a final written report to the Prime Minister by 30 September 2022. The report of the review will be made public after government consideration.</w:t>
      </w:r>
    </w:p>
    <w:p w14:paraId="7F65E716" w14:textId="77777777" w:rsidR="00297AE6" w:rsidRPr="00297AE6" w:rsidRDefault="00297AE6" w:rsidP="00AF3119">
      <w:pPr>
        <w:pStyle w:val="BodyText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297AE6">
        <w:rPr>
          <w:rFonts w:ascii="Times New Roman" w:hAnsi="Times New Roman" w:cs="Times New Roman"/>
          <w:b/>
          <w:sz w:val="22"/>
          <w:szCs w:val="24"/>
        </w:rPr>
        <w:t>Methodology</w:t>
      </w:r>
    </w:p>
    <w:p w14:paraId="035F218B" w14:textId="77777777" w:rsidR="00297AE6" w:rsidRPr="00297AE6" w:rsidRDefault="00297AE6" w:rsidP="00297AE6">
      <w:pPr>
        <w:pStyle w:val="BodyText"/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 xml:space="preserve">The review will draw on a range of sources, including the Jenkins Report, the </w:t>
      </w:r>
      <w:r w:rsidRPr="00297AE6">
        <w:rPr>
          <w:rFonts w:ascii="Times New Roman" w:hAnsi="Times New Roman" w:cs="Times New Roman"/>
          <w:i/>
          <w:sz w:val="22"/>
          <w:szCs w:val="24"/>
        </w:rPr>
        <w:t>Review of the Parliamentary Workplace: Responding to Serious Incidents</w:t>
      </w:r>
      <w:r w:rsidRPr="00297AE6">
        <w:rPr>
          <w:rFonts w:ascii="Times New Roman" w:hAnsi="Times New Roman" w:cs="Times New Roman"/>
          <w:sz w:val="22"/>
          <w:szCs w:val="24"/>
        </w:rPr>
        <w:t xml:space="preserve">, and legislation, policies and arrangements of other relevant jurisdictions, including international equivalents. </w:t>
      </w:r>
    </w:p>
    <w:p w14:paraId="7396905C" w14:textId="77777777" w:rsidR="00297AE6" w:rsidRPr="00297AE6" w:rsidRDefault="00297AE6" w:rsidP="00297AE6">
      <w:pPr>
        <w:pStyle w:val="BodyText"/>
        <w:rPr>
          <w:rFonts w:ascii="Times New Roman" w:hAnsi="Times New Roman" w:cs="Times New Roman"/>
          <w:sz w:val="22"/>
          <w:szCs w:val="24"/>
        </w:rPr>
      </w:pPr>
      <w:r w:rsidRPr="00297AE6">
        <w:rPr>
          <w:rFonts w:ascii="Times New Roman" w:hAnsi="Times New Roman" w:cs="Times New Roman"/>
          <w:sz w:val="22"/>
          <w:szCs w:val="24"/>
        </w:rPr>
        <w:t>The review will consult with current and former parliamentarians and MOP(S) Act employees, and relevant departments and agencies.</w:t>
      </w:r>
    </w:p>
    <w:sectPr w:rsidR="00297AE6" w:rsidRPr="00297AE6" w:rsidSect="001A7B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E7EED" w14:textId="77777777" w:rsidR="002D39CB" w:rsidRDefault="002D39CB" w:rsidP="009D31AD">
      <w:pPr>
        <w:spacing w:after="0" w:line="240" w:lineRule="auto"/>
      </w:pPr>
      <w:r>
        <w:separator/>
      </w:r>
    </w:p>
  </w:endnote>
  <w:endnote w:type="continuationSeparator" w:id="0">
    <w:p w14:paraId="0B383446" w14:textId="77777777" w:rsidR="002D39CB" w:rsidRDefault="002D39CB" w:rsidP="009D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A034" w14:textId="77777777" w:rsidR="005D241E" w:rsidRDefault="005D2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F184" w14:textId="77777777" w:rsidR="005D241E" w:rsidRDefault="005D2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A619" w14:textId="77777777" w:rsidR="005D241E" w:rsidRDefault="005D2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6816B" w14:textId="77777777" w:rsidR="002D39CB" w:rsidRDefault="002D39CB" w:rsidP="009D31AD">
      <w:pPr>
        <w:spacing w:after="0" w:line="240" w:lineRule="auto"/>
      </w:pPr>
      <w:r>
        <w:separator/>
      </w:r>
    </w:p>
  </w:footnote>
  <w:footnote w:type="continuationSeparator" w:id="0">
    <w:p w14:paraId="268FBD50" w14:textId="77777777" w:rsidR="002D39CB" w:rsidRDefault="002D39CB" w:rsidP="009D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DC958" w14:textId="77777777" w:rsidR="005D241E" w:rsidRDefault="005D2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4A8E9" w14:textId="77777777" w:rsidR="00297AE6" w:rsidRPr="00297AE6" w:rsidRDefault="00297AE6" w:rsidP="00297AE6">
    <w:pPr>
      <w:pStyle w:val="Header"/>
      <w:jc w:val="right"/>
      <w:rPr>
        <w:rFonts w:ascii="Times New Roman" w:hAnsi="Times New Roman" w:cs="Times New Roman"/>
        <w:b/>
      </w:rPr>
    </w:pPr>
    <w:r w:rsidRPr="00297AE6">
      <w:rPr>
        <w:rFonts w:ascii="Times New Roman" w:hAnsi="Times New Roman" w:cs="Times New Roman"/>
        <w:b/>
      </w:rPr>
      <w:t>Attachment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DC3C6" w14:textId="77777777" w:rsidR="005D241E" w:rsidRDefault="005D2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B18BD"/>
    <w:multiLevelType w:val="hybridMultilevel"/>
    <w:tmpl w:val="952AF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6092A"/>
    <w:multiLevelType w:val="multilevel"/>
    <w:tmpl w:val="723E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11"/>
    <w:rsid w:val="00060B52"/>
    <w:rsid w:val="000C7BA1"/>
    <w:rsid w:val="000D3596"/>
    <w:rsid w:val="000F3426"/>
    <w:rsid w:val="00141D99"/>
    <w:rsid w:val="00143E9E"/>
    <w:rsid w:val="001A7BA9"/>
    <w:rsid w:val="001D2AE3"/>
    <w:rsid w:val="001D459F"/>
    <w:rsid w:val="00223AEA"/>
    <w:rsid w:val="00243DE2"/>
    <w:rsid w:val="00265B43"/>
    <w:rsid w:val="0029578A"/>
    <w:rsid w:val="00297AE6"/>
    <w:rsid w:val="002B14EF"/>
    <w:rsid w:val="002D39CB"/>
    <w:rsid w:val="00300929"/>
    <w:rsid w:val="003060EC"/>
    <w:rsid w:val="00310FCA"/>
    <w:rsid w:val="00340FDD"/>
    <w:rsid w:val="00352249"/>
    <w:rsid w:val="00352394"/>
    <w:rsid w:val="00372858"/>
    <w:rsid w:val="003A3DB0"/>
    <w:rsid w:val="003A7F79"/>
    <w:rsid w:val="003B446B"/>
    <w:rsid w:val="003C371D"/>
    <w:rsid w:val="003C614A"/>
    <w:rsid w:val="003E0DA9"/>
    <w:rsid w:val="00402337"/>
    <w:rsid w:val="00413E5E"/>
    <w:rsid w:val="00416D4A"/>
    <w:rsid w:val="00416F17"/>
    <w:rsid w:val="004529EF"/>
    <w:rsid w:val="004B7126"/>
    <w:rsid w:val="004D48B1"/>
    <w:rsid w:val="004E3ED9"/>
    <w:rsid w:val="00527D4B"/>
    <w:rsid w:val="00541649"/>
    <w:rsid w:val="00544168"/>
    <w:rsid w:val="005B38AB"/>
    <w:rsid w:val="005C134C"/>
    <w:rsid w:val="005C1C8D"/>
    <w:rsid w:val="005D241E"/>
    <w:rsid w:val="005D4262"/>
    <w:rsid w:val="005E0C04"/>
    <w:rsid w:val="0062743D"/>
    <w:rsid w:val="006A14BC"/>
    <w:rsid w:val="006A1852"/>
    <w:rsid w:val="006F4403"/>
    <w:rsid w:val="00702519"/>
    <w:rsid w:val="00707B66"/>
    <w:rsid w:val="00733411"/>
    <w:rsid w:val="00756966"/>
    <w:rsid w:val="007A32D3"/>
    <w:rsid w:val="007C3532"/>
    <w:rsid w:val="00811BEB"/>
    <w:rsid w:val="00820260"/>
    <w:rsid w:val="00830179"/>
    <w:rsid w:val="00850AC2"/>
    <w:rsid w:val="00853AF2"/>
    <w:rsid w:val="00877E98"/>
    <w:rsid w:val="00896342"/>
    <w:rsid w:val="008A7485"/>
    <w:rsid w:val="008D2AB8"/>
    <w:rsid w:val="008D76F5"/>
    <w:rsid w:val="008E73F1"/>
    <w:rsid w:val="009124F3"/>
    <w:rsid w:val="0092261B"/>
    <w:rsid w:val="00925047"/>
    <w:rsid w:val="00925389"/>
    <w:rsid w:val="0096026B"/>
    <w:rsid w:val="00982FA3"/>
    <w:rsid w:val="009B497D"/>
    <w:rsid w:val="009D31AD"/>
    <w:rsid w:val="009D34F0"/>
    <w:rsid w:val="009F152D"/>
    <w:rsid w:val="00A04824"/>
    <w:rsid w:val="00A06712"/>
    <w:rsid w:val="00A423B4"/>
    <w:rsid w:val="00A42479"/>
    <w:rsid w:val="00A5378F"/>
    <w:rsid w:val="00A81E3C"/>
    <w:rsid w:val="00AA54D2"/>
    <w:rsid w:val="00AF3119"/>
    <w:rsid w:val="00B2063F"/>
    <w:rsid w:val="00B32EE3"/>
    <w:rsid w:val="00B43981"/>
    <w:rsid w:val="00B43D26"/>
    <w:rsid w:val="00B57573"/>
    <w:rsid w:val="00B64C03"/>
    <w:rsid w:val="00B818E0"/>
    <w:rsid w:val="00BC310C"/>
    <w:rsid w:val="00BC7BCF"/>
    <w:rsid w:val="00BE1688"/>
    <w:rsid w:val="00C65823"/>
    <w:rsid w:val="00C67AEB"/>
    <w:rsid w:val="00C67B06"/>
    <w:rsid w:val="00CA5440"/>
    <w:rsid w:val="00CA7C6C"/>
    <w:rsid w:val="00CE6368"/>
    <w:rsid w:val="00D23944"/>
    <w:rsid w:val="00D37E56"/>
    <w:rsid w:val="00D416C5"/>
    <w:rsid w:val="00D71315"/>
    <w:rsid w:val="00DA4F85"/>
    <w:rsid w:val="00DB3670"/>
    <w:rsid w:val="00DC2EA7"/>
    <w:rsid w:val="00DD02F1"/>
    <w:rsid w:val="00E058D9"/>
    <w:rsid w:val="00E073AC"/>
    <w:rsid w:val="00E10898"/>
    <w:rsid w:val="00E226AE"/>
    <w:rsid w:val="00E358B8"/>
    <w:rsid w:val="00E561A7"/>
    <w:rsid w:val="00E71942"/>
    <w:rsid w:val="00EC242C"/>
    <w:rsid w:val="00EC60BF"/>
    <w:rsid w:val="00EF0DB8"/>
    <w:rsid w:val="00EF2CE0"/>
    <w:rsid w:val="00F001B1"/>
    <w:rsid w:val="00F33C2A"/>
    <w:rsid w:val="00F6760D"/>
    <w:rsid w:val="00F802D8"/>
    <w:rsid w:val="00FE2031"/>
    <w:rsid w:val="00FE3F9D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C12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AD"/>
  </w:style>
  <w:style w:type="paragraph" w:styleId="Footer">
    <w:name w:val="footer"/>
    <w:basedOn w:val="Normal"/>
    <w:link w:val="FooterChar"/>
    <w:uiPriority w:val="99"/>
    <w:unhideWhenUsed/>
    <w:rsid w:val="009D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AD"/>
  </w:style>
  <w:style w:type="paragraph" w:styleId="BalloonText">
    <w:name w:val="Balloon Text"/>
    <w:basedOn w:val="Normal"/>
    <w:link w:val="BalloonTextChar"/>
    <w:uiPriority w:val="99"/>
    <w:semiHidden/>
    <w:unhideWhenUsed/>
    <w:rsid w:val="00FE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02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297AE6"/>
    <w:pPr>
      <w:spacing w:after="120" w:line="264" w:lineRule="auto"/>
    </w:pPr>
    <w:rPr>
      <w:color w:val="262626" w:themeColor="text1" w:themeTint="D9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97AE6"/>
    <w:rPr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  <ShareHubID xmlns="166541c0-0594-4e6a-9105-c24d4b6de6f7">DOC22-46448</ShareHubID>
    <TaxCatchAll xmlns="166541c0-0594-4e6a-9105-c24d4b6de6f7">
      <Value>18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3D3939C9-5A44-4C70-A63D-B2CE59A5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DCB78-B769-4A99-8E31-51E180EF6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99ECA-287E-49A2-9466-6E6B5E8DFF9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http://purl.org/dc/elements/1.1/"/>
    <ds:schemaRef ds:uri="166541c0-0594-4e6a-9105-c24d4b6de6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the Members of Parliament (Staff) Act 1984 (Cth)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Members of Parliament (Staff) Act 1984 (Cth) Terms of Reference</dc:title>
  <dc:subject/>
  <dc:creator/>
  <cp:keywords/>
  <dc:description/>
  <cp:lastModifiedBy/>
  <cp:revision>1</cp:revision>
  <dcterms:created xsi:type="dcterms:W3CDTF">2022-02-25T04:13:00Z</dcterms:created>
  <dcterms:modified xsi:type="dcterms:W3CDTF">2022-02-25T04:22:00Z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18;#Cabinet|84cba657-17c1-4642-9e59-a0df180c2be5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2022-02-25T15:22:33</vt:lpwstr>
  </property>
</Properties>
</file>