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F39D" w14:textId="2E4A4C01" w:rsidR="002D0A99" w:rsidRPr="002D0A99" w:rsidRDefault="002D0A99" w:rsidP="00552080">
      <w:pPr>
        <w:jc w:val="center"/>
      </w:pPr>
      <w:bookmarkStart w:id="0" w:name="_Toc96326909"/>
      <w:bookmarkStart w:id="1" w:name="_GoBack"/>
      <w:bookmarkEnd w:id="1"/>
    </w:p>
    <w:p w14:paraId="7EE3F39E" w14:textId="77777777" w:rsidR="00A62EF3" w:rsidRDefault="00A22AD0" w:rsidP="00552080">
      <w:sdt>
        <w:sdtPr>
          <w:alias w:val="Title"/>
          <w:tag w:val=""/>
          <w:id w:val="879900963"/>
          <w:placeholder>
            <w:docPart w:val="1578D198721045BA8F09D9E6433C48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2080" w:rsidRPr="0098202D">
            <w:rPr>
              <w:rFonts w:asciiTheme="majorHAnsi" w:eastAsiaTheme="majorEastAsia" w:hAnsiTheme="majorHAnsi" w:cstheme="majorBidi"/>
              <w:noProof/>
              <w:spacing w:val="-15"/>
              <w:sz w:val="56"/>
              <w:szCs w:val="96"/>
            </w:rPr>
            <w:t>Guide to parliamentary amendments</w:t>
          </w:r>
        </w:sdtContent>
      </w:sdt>
    </w:p>
    <w:bookmarkEnd w:id="0"/>
    <w:p w14:paraId="7EE3F39F" w14:textId="77777777" w:rsidR="00552080" w:rsidRDefault="00552080" w:rsidP="00552080">
      <w:pPr>
        <w:pStyle w:val="Subtitle"/>
      </w:pPr>
      <w:r>
        <w:t>This guide provides a quick reference for Australian Public Service employees and ministerial advisers on the amendments process for bills before the Australian Parliament.</w:t>
      </w:r>
    </w:p>
    <w:p w14:paraId="7EE3F3A0" w14:textId="1F646F83" w:rsidR="00552080" w:rsidRDefault="00552080" w:rsidP="00552080">
      <w:r>
        <w:t xml:space="preserve">After a bill has been introduced in either the House of Representatives or the Senate of the Australian Parliament, members of that chamber may seek to propose amendments. An amendment means a change to the bill. Amendments can be proposed by any member of parliament, including those not in the </w:t>
      </w:r>
      <w:r w:rsidR="00A650D4">
        <w:t xml:space="preserve">government’s </w:t>
      </w:r>
      <w:r>
        <w:t>party (non-</w:t>
      </w:r>
      <w:r w:rsidR="00A650D4">
        <w:t xml:space="preserve">government </w:t>
      </w:r>
      <w:r>
        <w:t xml:space="preserve">amendments). It is up to the </w:t>
      </w:r>
      <w:r w:rsidR="005D6B89">
        <w:t xml:space="preserve">government </w:t>
      </w:r>
      <w:r>
        <w:t>to accept or reject non-</w:t>
      </w:r>
      <w:r w:rsidR="00A650D4">
        <w:t xml:space="preserve">government </w:t>
      </w:r>
      <w:r>
        <w:t>amendments. Government amendments often require action within short timeframes and early consultation with the PM&amp;C Legislation Section is necessary to enable timely approvals.</w:t>
      </w:r>
    </w:p>
    <w:p w14:paraId="7EE3F3A1" w14:textId="77777777" w:rsidR="00552080" w:rsidRDefault="00552080" w:rsidP="00552080">
      <w:pPr>
        <w:pStyle w:val="Heading1"/>
      </w:pPr>
      <w:r>
        <w:t>Using this guide</w:t>
      </w:r>
    </w:p>
    <w:p w14:paraId="7EE3F3A2" w14:textId="6B16AB5C" w:rsidR="00552080" w:rsidRDefault="00552080" w:rsidP="00552080">
      <w:pPr>
        <w:spacing w:after="0"/>
      </w:pPr>
      <w:r>
        <w:t xml:space="preserve">This guide outlines the process for handling amendments, including the steps for accepting non </w:t>
      </w:r>
      <w:r w:rsidR="00A650D4">
        <w:t xml:space="preserve">government </w:t>
      </w:r>
      <w:r>
        <w:t xml:space="preserve">amendments. Australian Public Service employees working on amendments must coordinate with their Department's Legislation Liaison Officer (LLO), and should refer to the relevant sections of the </w:t>
      </w:r>
      <w:hyperlink r:id="rId12" w:history="1">
        <w:r w:rsidRPr="00552080">
          <w:rPr>
            <w:rStyle w:val="Hyperlink"/>
          </w:rPr>
          <w:t>Legislation Handbook</w:t>
        </w:r>
      </w:hyperlink>
      <w:r>
        <w:t>:</w:t>
      </w:r>
    </w:p>
    <w:p w14:paraId="7EE3F3A3" w14:textId="77777777" w:rsidR="00552080" w:rsidRDefault="00552080" w:rsidP="00552080">
      <w:pPr>
        <w:pStyle w:val="BulletedList-Level1"/>
      </w:pPr>
      <w:r w:rsidRPr="00552080">
        <w:rPr>
          <w:rFonts w:ascii="Segoe UI Semibold" w:hAnsi="Segoe UI Semibold" w:cs="Segoe UI Semibold"/>
        </w:rPr>
        <w:t xml:space="preserve">Sections 9.1 and 9.2 </w:t>
      </w:r>
      <w:r>
        <w:t>deal with the types of amendments that are likely to be considered, and what may be better suited for a new bill proposal.</w:t>
      </w:r>
    </w:p>
    <w:p w14:paraId="7EE3F3A4" w14:textId="77777777" w:rsidR="00552080" w:rsidRDefault="00552080" w:rsidP="00552080">
      <w:pPr>
        <w:pStyle w:val="BulletedList-Level1"/>
      </w:pPr>
      <w:r w:rsidRPr="00552080">
        <w:rPr>
          <w:rFonts w:ascii="Segoe UI Semibold" w:hAnsi="Segoe UI Semibold" w:cs="Segoe UI Semibold"/>
        </w:rPr>
        <w:t xml:space="preserve">Section 9.6 </w:t>
      </w:r>
      <w:r>
        <w:t>deals with differences between those amendments introduced in the House of Representatives and those in the Senate.</w:t>
      </w:r>
    </w:p>
    <w:p w14:paraId="7EE3F3A5" w14:textId="5D322703" w:rsidR="00552080" w:rsidRDefault="00552080" w:rsidP="00552080">
      <w:r>
        <w:t xml:space="preserve">For definitions of terms used in this guide, see the </w:t>
      </w:r>
      <w:hyperlink w:anchor="_Glossary" w:history="1">
        <w:r w:rsidRPr="005D6B89">
          <w:rPr>
            <w:rStyle w:val="Hyperlink"/>
          </w:rPr>
          <w:t>Glossary</w:t>
        </w:r>
      </w:hyperlink>
      <w:r>
        <w:t xml:space="preserve">. </w:t>
      </w:r>
    </w:p>
    <w:p w14:paraId="7EE3F3A6" w14:textId="77777777" w:rsidR="00CD40BC" w:rsidRDefault="00552080" w:rsidP="00552080">
      <w:r>
        <w:t xml:space="preserve">Note that this guide is for general reference and does not replace or supersede other official resources. </w:t>
      </w:r>
      <w:r w:rsidR="00CD40BC">
        <w:br w:type="page"/>
      </w:r>
    </w:p>
    <w:p w14:paraId="7EE3F3A7" w14:textId="77777777" w:rsidR="00552080" w:rsidRDefault="00552080" w:rsidP="00552080">
      <w:pPr>
        <w:pStyle w:val="Heading1"/>
      </w:pPr>
      <w:r>
        <w:lastRenderedPageBreak/>
        <w:t>Step-by-step guide</w:t>
      </w:r>
    </w:p>
    <w:p w14:paraId="7EE3F3A8" w14:textId="77777777" w:rsidR="00552080" w:rsidRDefault="00552080" w:rsidP="00552080">
      <w:pPr>
        <w:pStyle w:val="Heading2"/>
      </w:pPr>
      <w:r>
        <w:t>Government amendments</w:t>
      </w:r>
    </w:p>
    <w:p w14:paraId="7EE3F3A9" w14:textId="5FB8E028" w:rsidR="00552080" w:rsidRDefault="00552080" w:rsidP="00552080">
      <w:r>
        <w:t xml:space="preserve">Government amendments are those initiated by the </w:t>
      </w:r>
      <w:r w:rsidR="005D6B89">
        <w:t>government</w:t>
      </w:r>
      <w:r>
        <w:t>, and require new policy authority. They are drafted by the Office of Parliamentary Counsel (OPC) and must go through the legislation approval process (LAP).</w:t>
      </w:r>
    </w:p>
    <w:p w14:paraId="7EE3F3AA" w14:textId="77777777" w:rsidR="00552080" w:rsidRDefault="00552080" w:rsidP="00552080">
      <w:pPr>
        <w:pStyle w:val="Heading2"/>
      </w:pPr>
      <w:r>
        <w:t>Step 1. Notify public service stakeholders</w:t>
      </w:r>
    </w:p>
    <w:p w14:paraId="7EE3F3AB" w14:textId="04125499" w:rsidR="00552080" w:rsidRDefault="00552080" w:rsidP="00552080">
      <w:pPr>
        <w:spacing w:after="0"/>
      </w:pPr>
      <w:r>
        <w:t xml:space="preserve">The </w:t>
      </w:r>
      <w:r w:rsidR="005D6B89">
        <w:t xml:space="preserve">department </w:t>
      </w:r>
      <w:r>
        <w:t xml:space="preserve">notifies the following stakeholders of proposed </w:t>
      </w:r>
      <w:r w:rsidR="005D6B89">
        <w:t xml:space="preserve">government </w:t>
      </w:r>
      <w:r>
        <w:t>amendments:</w:t>
      </w:r>
    </w:p>
    <w:p w14:paraId="7EE3F3AC" w14:textId="77777777" w:rsidR="00552080" w:rsidRDefault="00552080" w:rsidP="00552080">
      <w:pPr>
        <w:pStyle w:val="BulletedList-Level1"/>
      </w:pPr>
      <w:r>
        <w:t>the PM&amp;C Legislation Section</w:t>
      </w:r>
    </w:p>
    <w:p w14:paraId="7EE3F3AD" w14:textId="77777777" w:rsidR="00552080" w:rsidRDefault="00552080" w:rsidP="00552080">
      <w:pPr>
        <w:pStyle w:val="BulletedList-Level1"/>
      </w:pPr>
      <w:r>
        <w:t>the Office of Parliamentary Counsel (OPC)</w:t>
      </w:r>
    </w:p>
    <w:p w14:paraId="7EE3F3AE" w14:textId="77777777" w:rsidR="00552080" w:rsidRDefault="00552080" w:rsidP="00552080">
      <w:pPr>
        <w:pStyle w:val="BulletedList-Level1"/>
      </w:pPr>
      <w:r>
        <w:t>Parliamentary Liaison Officers</w:t>
      </w:r>
    </w:p>
    <w:p w14:paraId="7EE3F3AF" w14:textId="4E443398" w:rsidR="00552080" w:rsidRDefault="00552080" w:rsidP="00552080">
      <w:pPr>
        <w:pStyle w:val="Style1"/>
      </w:pPr>
      <w:r>
        <w:t xml:space="preserve">If the OPC advises significant drafting resources are needed, the </w:t>
      </w:r>
      <w:r w:rsidR="005D6B89">
        <w:t xml:space="preserve">department </w:t>
      </w:r>
      <w:r>
        <w:t>must request a variation to the legislation program.</w:t>
      </w:r>
    </w:p>
    <w:p w14:paraId="7EE3F3B0" w14:textId="77777777" w:rsidR="00552080" w:rsidRDefault="00552080" w:rsidP="00552080">
      <w:pPr>
        <w:pStyle w:val="Heading2"/>
      </w:pPr>
      <w:r>
        <w:t>Step 2. Notify political stakeholders</w:t>
      </w:r>
    </w:p>
    <w:p w14:paraId="7EE3F3B1" w14:textId="46A24837" w:rsidR="00552080" w:rsidRDefault="00552080" w:rsidP="00552080">
      <w:r>
        <w:t xml:space="preserve">The Minister notifies the Prime Minister’s Office and the Leader of the House of Representatives and the Manager of Government Business in the Senate about the proposed amendments. </w:t>
      </w:r>
    </w:p>
    <w:p w14:paraId="7EE3F3B2" w14:textId="77777777" w:rsidR="00552080" w:rsidRDefault="00552080" w:rsidP="00552080">
      <w:pPr>
        <w:pStyle w:val="Heading2"/>
      </w:pPr>
      <w:r>
        <w:t>Step 3. Ensure policy is settled</w:t>
      </w:r>
    </w:p>
    <w:p w14:paraId="7EE3F3B3" w14:textId="297C2909" w:rsidR="00552080" w:rsidRDefault="00552080" w:rsidP="00552080">
      <w:pPr>
        <w:spacing w:after="0"/>
      </w:pPr>
      <w:r>
        <w:t xml:space="preserve">The </w:t>
      </w:r>
      <w:r w:rsidR="005D6B89">
        <w:t xml:space="preserve">department </w:t>
      </w:r>
      <w:r>
        <w:t xml:space="preserve">resolves any policy details or issues in consultation with: </w:t>
      </w:r>
    </w:p>
    <w:p w14:paraId="7EE3F3B4" w14:textId="77777777" w:rsidR="00552080" w:rsidRDefault="00552080" w:rsidP="00552080">
      <w:pPr>
        <w:pStyle w:val="BulletedList-Level1"/>
      </w:pPr>
      <w:r>
        <w:t xml:space="preserve">key stakeholders and advisers </w:t>
      </w:r>
    </w:p>
    <w:p w14:paraId="7EE3F3B5" w14:textId="77777777" w:rsidR="00552080" w:rsidRDefault="00552080" w:rsidP="00552080">
      <w:pPr>
        <w:pStyle w:val="BulletedList-Level1"/>
      </w:pPr>
      <w:r>
        <w:t xml:space="preserve">relevant PM&amp;C policy teams </w:t>
      </w:r>
    </w:p>
    <w:p w14:paraId="7EE3F3B6" w14:textId="77777777" w:rsidR="00552080" w:rsidRDefault="00552080" w:rsidP="00552080">
      <w:pPr>
        <w:pStyle w:val="BulletedList-Level1"/>
      </w:pPr>
      <w:r>
        <w:t>other departments and ministers who may be affected by the policy.</w:t>
      </w:r>
    </w:p>
    <w:p w14:paraId="7EE3F3B7" w14:textId="1B3EF771" w:rsidR="00CD40BC" w:rsidRDefault="00552080" w:rsidP="00552080">
      <w:r>
        <w:t xml:space="preserve">The </w:t>
      </w:r>
      <w:r w:rsidR="005D6B89">
        <w:t xml:space="preserve">department </w:t>
      </w:r>
      <w:r>
        <w:t>incorporates feedback and seeks additional input as needed.</w:t>
      </w:r>
      <w:r w:rsidR="00CD40BC">
        <w:br w:type="page"/>
      </w:r>
    </w:p>
    <w:p w14:paraId="7EE3F3B8" w14:textId="77777777" w:rsidR="00552080" w:rsidRDefault="00552080" w:rsidP="00552080">
      <w:pPr>
        <w:pStyle w:val="Heading2"/>
      </w:pPr>
      <w:r>
        <w:lastRenderedPageBreak/>
        <w:t xml:space="preserve">Step 4. Prepare and issue drafting instructions </w:t>
      </w:r>
    </w:p>
    <w:p w14:paraId="7EE3F3B9" w14:textId="59A7743B" w:rsidR="00552080" w:rsidRDefault="00552080" w:rsidP="00552080">
      <w:r>
        <w:t xml:space="preserve">The </w:t>
      </w:r>
      <w:r w:rsidR="005D6B89">
        <w:t xml:space="preserve">department </w:t>
      </w:r>
      <w:r>
        <w:t xml:space="preserve">prepares clear and detailed drafting instructions for the OPC, ensuring they cover how the policy will be implemented. </w:t>
      </w:r>
    </w:p>
    <w:p w14:paraId="7EE3F3BA" w14:textId="77777777" w:rsidR="00552080" w:rsidRDefault="00552080" w:rsidP="00552080">
      <w:pPr>
        <w:pStyle w:val="BOXHeading3"/>
      </w:pPr>
      <w:r>
        <w:t xml:space="preserve">About drafting instructions </w:t>
      </w:r>
    </w:p>
    <w:p w14:paraId="7EE3F3BB" w14:textId="77777777" w:rsidR="00552080" w:rsidRDefault="00552080" w:rsidP="00552080">
      <w:pPr>
        <w:pStyle w:val="BOXText"/>
        <w:spacing w:after="0"/>
      </w:pPr>
      <w:r>
        <w:t>Refer to:</w:t>
      </w:r>
    </w:p>
    <w:p w14:paraId="7EE3F3BC" w14:textId="77777777" w:rsidR="00552080" w:rsidRDefault="00552080" w:rsidP="00552080">
      <w:pPr>
        <w:pStyle w:val="BOXBulletedList"/>
        <w:spacing w:after="0"/>
      </w:pPr>
      <w:r w:rsidRPr="001C4B47">
        <w:rPr>
          <w:rFonts w:ascii="Segoe UI Semibold" w:hAnsi="Segoe UI Semibold" w:cs="Segoe UI Semibold"/>
        </w:rPr>
        <w:t>Chapters 5 and 6</w:t>
      </w:r>
      <w:r>
        <w:t xml:space="preserve"> of the </w:t>
      </w:r>
      <w:hyperlink r:id="rId13" w:history="1">
        <w:r w:rsidRPr="00552080">
          <w:rPr>
            <w:rStyle w:val="Hyperlink"/>
          </w:rPr>
          <w:t>Legislation Handbook</w:t>
        </w:r>
      </w:hyperlink>
    </w:p>
    <w:p w14:paraId="7EE3F3BD" w14:textId="77777777" w:rsidR="00CD40BC" w:rsidRDefault="00552080" w:rsidP="00552080">
      <w:pPr>
        <w:pStyle w:val="BOXBulletedList"/>
      </w:pPr>
      <w:r>
        <w:t xml:space="preserve">The </w:t>
      </w:r>
      <w:hyperlink r:id="rId14" w:history="1">
        <w:r w:rsidR="001C4B47" w:rsidRPr="007B0E72">
          <w:rPr>
            <w:rStyle w:val="Hyperlink"/>
          </w:rPr>
          <w:t>Office of Parliamentary Counsel’s drafting services: a guide for clients</w:t>
        </w:r>
      </w:hyperlink>
      <w:r w:rsidRPr="001C4B47">
        <w:t>.</w:t>
      </w:r>
    </w:p>
    <w:p w14:paraId="7EE3F3BE" w14:textId="77777777" w:rsidR="00552080" w:rsidRDefault="00552080" w:rsidP="00552080">
      <w:pPr>
        <w:pStyle w:val="Heading2"/>
      </w:pPr>
      <w:r>
        <w:t>Step 5. Obtain policy approval</w:t>
      </w:r>
    </w:p>
    <w:p w14:paraId="7EE3F3BF" w14:textId="0822CE88" w:rsidR="00552080" w:rsidRDefault="00552080" w:rsidP="00552080">
      <w:r>
        <w:t xml:space="preserve">The </w:t>
      </w:r>
      <w:r w:rsidR="005D6B89">
        <w:t xml:space="preserve">department </w:t>
      </w:r>
      <w:r>
        <w:t>prepares a letter from the Minister to the Prime Minister seeking policy approval for the amendments, and settles this with the OPC and the relevant PM&amp;C policy team before progressing to the Minister.</w:t>
      </w:r>
    </w:p>
    <w:p w14:paraId="7EE3F3C0" w14:textId="3A59FBBE" w:rsidR="00552080" w:rsidRDefault="00552080" w:rsidP="00552080">
      <w:r>
        <w:t xml:space="preserve">The </w:t>
      </w:r>
      <w:r w:rsidR="005D6B89">
        <w:t xml:space="preserve">department’s </w:t>
      </w:r>
      <w:r>
        <w:t>LLO submits the Minister’s letter to the PM&amp;C Legislation Section as soon as possible, aiming for at least 48 hours before a likely vote.</w:t>
      </w:r>
    </w:p>
    <w:p w14:paraId="7EE3F3C1" w14:textId="77777777" w:rsidR="00552080" w:rsidRDefault="00552080" w:rsidP="00552080">
      <w:pPr>
        <w:pStyle w:val="Heading2"/>
      </w:pPr>
      <w:r>
        <w:t>Step 6. Prepare supporting material</w:t>
      </w:r>
    </w:p>
    <w:p w14:paraId="7EE3F3C2" w14:textId="291B74AD" w:rsidR="00552080" w:rsidRDefault="00552080" w:rsidP="00552080">
      <w:r>
        <w:t xml:space="preserve">The </w:t>
      </w:r>
      <w:r w:rsidR="005D6B89">
        <w:t xml:space="preserve">department </w:t>
      </w:r>
      <w:r>
        <w:t>prepares the supplementary explanatory memorandum (SuppEM) and other supporting material for the party briefing pack. The LLO provides the draft SuppEM to the PM&amp;C Legislation Section by 11am on the Wednesday before the sitting week that the bill is scheduled for debate.</w:t>
      </w:r>
    </w:p>
    <w:p w14:paraId="7EE3F3C3" w14:textId="77777777" w:rsidR="00552080" w:rsidRDefault="00552080" w:rsidP="00552080">
      <w:pPr>
        <w:pStyle w:val="BOXHeading3"/>
      </w:pPr>
      <w:r>
        <w:t>About amendments made in each chamber</w:t>
      </w:r>
    </w:p>
    <w:p w14:paraId="7EE3F3C4" w14:textId="77777777" w:rsidR="00552080" w:rsidRDefault="00552080" w:rsidP="00552080">
      <w:pPr>
        <w:pStyle w:val="BOXHeading4"/>
      </w:pPr>
      <w:r>
        <w:t>For amendments to government bills made in the first chamber (where the bill was introduced)</w:t>
      </w:r>
    </w:p>
    <w:p w14:paraId="7EE3F3C5" w14:textId="4FC7DFA3" w:rsidR="00552080" w:rsidRDefault="00552080" w:rsidP="00552080">
      <w:pPr>
        <w:pStyle w:val="BOXText"/>
      </w:pPr>
      <w:r>
        <w:t>A revised explanatory memorandum (Revised EM) incorporating the SuppEM and any non-</w:t>
      </w:r>
      <w:r w:rsidR="00A650D4">
        <w:t xml:space="preserve">government </w:t>
      </w:r>
      <w:r>
        <w:t xml:space="preserve">amendments that have been accepted must be prepared. This Revised EM must still align with the policy intent of the original bill. The </w:t>
      </w:r>
      <w:r w:rsidR="005D6B89">
        <w:t xml:space="preserve">departments </w:t>
      </w:r>
      <w:r>
        <w:t>should coordinate with the LLO to engage with the Table Office for the second chamber about timing requirements for the Revised EM.</w:t>
      </w:r>
    </w:p>
    <w:p w14:paraId="7EE3F3C6" w14:textId="30BCD214" w:rsidR="00552080" w:rsidRPr="00EF4AD0" w:rsidRDefault="00552080" w:rsidP="00552080">
      <w:pPr>
        <w:pStyle w:val="BOXText"/>
      </w:pPr>
      <w:r>
        <w:t>The second reading speech may also need to be revised prior to introduction of the amended bill in the second chamber. This will also need to be</w:t>
      </w:r>
      <w:r w:rsidRPr="00EF4AD0">
        <w:t xml:space="preserve"> approved by the Minister, printed, and delivered to the Table Offices (refer to Steps 7 and 8).</w:t>
      </w:r>
    </w:p>
    <w:p w14:paraId="7EE3F3C7" w14:textId="77777777" w:rsidR="00552080" w:rsidRDefault="00552080" w:rsidP="00552080">
      <w:pPr>
        <w:pStyle w:val="BOXHeading4"/>
      </w:pPr>
      <w:r>
        <w:lastRenderedPageBreak/>
        <w:t>For amendments to government bills made in the second chamber</w:t>
      </w:r>
    </w:p>
    <w:p w14:paraId="7EE3F3C8" w14:textId="77777777" w:rsidR="00552080" w:rsidRDefault="00552080" w:rsidP="00552080">
      <w:pPr>
        <w:pStyle w:val="BOXText"/>
      </w:pPr>
      <w:r>
        <w:t>A Revised EM will not need to be prepared. If the amendment is agreed upon in the second chamber, the bill automatically returns to the first chamber for agreement.</w:t>
      </w:r>
    </w:p>
    <w:p w14:paraId="7EE3F3C9" w14:textId="77777777" w:rsidR="00CD40BC" w:rsidRDefault="00CD40BC" w:rsidP="00CD40BC">
      <w:pPr>
        <w:spacing w:after="0" w:line="240" w:lineRule="auto"/>
      </w:pPr>
    </w:p>
    <w:p w14:paraId="7EE3F3CA" w14:textId="77777777" w:rsidR="00552080" w:rsidRDefault="00552080" w:rsidP="00552080">
      <w:pPr>
        <w:pStyle w:val="BOXHeading3"/>
      </w:pPr>
      <w:r>
        <w:t>About supporting material</w:t>
      </w:r>
    </w:p>
    <w:p w14:paraId="7EE3F3CB" w14:textId="77777777" w:rsidR="00552080" w:rsidRDefault="00552080" w:rsidP="00552080">
      <w:pPr>
        <w:pStyle w:val="BOXText"/>
        <w:spacing w:after="0"/>
      </w:pPr>
      <w:r>
        <w:t>Key documents include:</w:t>
      </w:r>
    </w:p>
    <w:p w14:paraId="7EE3F3CC" w14:textId="41DB493B" w:rsidR="00552080" w:rsidRDefault="00EF4AD0" w:rsidP="00552080">
      <w:pPr>
        <w:pStyle w:val="BOXBulletedList"/>
        <w:spacing w:after="0"/>
      </w:pPr>
      <w:r>
        <w:t xml:space="preserve">government </w:t>
      </w:r>
      <w:r w:rsidR="00552080">
        <w:t>amendments sheet</w:t>
      </w:r>
    </w:p>
    <w:p w14:paraId="7EE3F3CD" w14:textId="0ECA5895" w:rsidR="00552080" w:rsidRDefault="00552080" w:rsidP="00552080">
      <w:pPr>
        <w:pStyle w:val="BOXBulletedList"/>
        <w:spacing w:after="0"/>
      </w:pPr>
      <w:r>
        <w:t>supplementary explanatory memorandum</w:t>
      </w:r>
    </w:p>
    <w:p w14:paraId="7EE3F3CE" w14:textId="75B2A6EA" w:rsidR="00552080" w:rsidRDefault="00552080" w:rsidP="00552080">
      <w:pPr>
        <w:pStyle w:val="BOXBulletedList"/>
        <w:spacing w:after="0"/>
      </w:pPr>
      <w:r>
        <w:t>caucus meeting submission/ joint party room brief</w:t>
      </w:r>
    </w:p>
    <w:p w14:paraId="7EE3F3CF" w14:textId="7777EF18" w:rsidR="00552080" w:rsidRDefault="00552080" w:rsidP="00552080">
      <w:pPr>
        <w:pStyle w:val="BOXBulletedList"/>
      </w:pPr>
      <w:r>
        <w:t>speech notes for the amendment(s).</w:t>
      </w:r>
    </w:p>
    <w:p w14:paraId="7EE3F3D0" w14:textId="62CBAF55" w:rsidR="00552080" w:rsidRPr="00CD40BC" w:rsidRDefault="00552080" w:rsidP="00CD40BC">
      <w:pPr>
        <w:pStyle w:val="BOXText"/>
      </w:pPr>
      <w:r w:rsidRPr="00CD40BC">
        <w:t>Departments should coordinate with the LLO and Minister’s Office on the preparation and clearance of this material.</w:t>
      </w:r>
    </w:p>
    <w:p w14:paraId="7EE3F3D1" w14:textId="77777777" w:rsidR="00552080" w:rsidRDefault="00552080" w:rsidP="00552080">
      <w:pPr>
        <w:pStyle w:val="BOXText"/>
      </w:pPr>
      <w:r>
        <w:t xml:space="preserve">For more information, refer to </w:t>
      </w:r>
      <w:r w:rsidRPr="00552080">
        <w:rPr>
          <w:rFonts w:ascii="Segoe UI Semibold" w:hAnsi="Segoe UI Semibold" w:cs="Segoe UI Semibold"/>
        </w:rPr>
        <w:t>Section 9.17</w:t>
      </w:r>
      <w:r>
        <w:t xml:space="preserve"> of the </w:t>
      </w:r>
      <w:hyperlink r:id="rId15" w:history="1">
        <w:r w:rsidRPr="00CD40BC">
          <w:rPr>
            <w:rStyle w:val="Hyperlink"/>
          </w:rPr>
          <w:t>Legislation Handbook</w:t>
        </w:r>
      </w:hyperlink>
      <w:r>
        <w:t>.</w:t>
      </w:r>
    </w:p>
    <w:p w14:paraId="7EE3F3D2" w14:textId="77777777" w:rsidR="00552080" w:rsidRDefault="00CD40BC" w:rsidP="00CD40BC">
      <w:pPr>
        <w:pStyle w:val="Heading2"/>
      </w:pPr>
      <w:r>
        <w:t xml:space="preserve">Step 7. </w:t>
      </w:r>
      <w:r w:rsidR="00552080">
        <w:t>Obtain final text approvals</w:t>
      </w:r>
    </w:p>
    <w:p w14:paraId="7EE3F3D3" w14:textId="21E673CB" w:rsidR="00552080" w:rsidRDefault="00552080" w:rsidP="00552080">
      <w:r>
        <w:t xml:space="preserve">Final text approval for the amendments and supporting material must be obtained from the Minister by </w:t>
      </w:r>
      <w:r w:rsidRPr="00CD40BC">
        <w:rPr>
          <w:rFonts w:ascii="Segoe UI Semibold" w:hAnsi="Segoe UI Semibold" w:cs="Segoe UI Semibold"/>
        </w:rPr>
        <w:t>11am on the Friday</w:t>
      </w:r>
      <w:r>
        <w:t xml:space="preserve"> before the sitting week that the bill is scheduled for debate. The LLO notifies the PM&amp;C Legislation Section once approvals are secured.</w:t>
      </w:r>
    </w:p>
    <w:p w14:paraId="7EE3F3D4" w14:textId="77777777" w:rsidR="00552080" w:rsidRDefault="00CD40BC" w:rsidP="00CD40BC">
      <w:pPr>
        <w:pStyle w:val="Heading2"/>
      </w:pPr>
      <w:r>
        <w:t xml:space="preserve">Step 8. </w:t>
      </w:r>
      <w:r w:rsidR="00552080">
        <w:t>Print and lodge supporting material</w:t>
      </w:r>
    </w:p>
    <w:p w14:paraId="7EE3F3D5" w14:textId="14952E2F" w:rsidR="00552080" w:rsidRDefault="00552080" w:rsidP="00552080">
      <w:r>
        <w:t xml:space="preserve">There are two steps comprising the lodgement. First, the LLOs of every </w:t>
      </w:r>
      <w:r w:rsidR="005D6B89">
        <w:t xml:space="preserve">department </w:t>
      </w:r>
      <w:r>
        <w:t xml:space="preserve">lodge all the necessary documents with the PM&amp;C Legislation Section to support legislation approval process (LAP) briefings. </w:t>
      </w:r>
    </w:p>
    <w:p w14:paraId="7EE3F3D6" w14:textId="3A197B12" w:rsidR="00552080" w:rsidRDefault="00552080" w:rsidP="00CD40BC">
      <w:pPr>
        <w:spacing w:after="0"/>
      </w:pPr>
      <w:r>
        <w:t xml:space="preserve">Second, the </w:t>
      </w:r>
      <w:r w:rsidR="005D6B89">
        <w:t xml:space="preserve">department </w:t>
      </w:r>
      <w:r>
        <w:t>coordinates with the OPC to finalise the amendment and the LLO to arrange for the printing and lodgement of the supporting material to:</w:t>
      </w:r>
    </w:p>
    <w:p w14:paraId="7EE3F3D7" w14:textId="77777777" w:rsidR="00552080" w:rsidRDefault="00552080" w:rsidP="00CD40BC">
      <w:pPr>
        <w:pStyle w:val="BulletedList-Level1"/>
      </w:pPr>
      <w:r>
        <w:t>House of Representatives Table Office</w:t>
      </w:r>
    </w:p>
    <w:p w14:paraId="7EE3F3D8" w14:textId="77777777" w:rsidR="00552080" w:rsidRDefault="00552080" w:rsidP="00CD40BC">
      <w:pPr>
        <w:pStyle w:val="BulletedList-Level1"/>
      </w:pPr>
      <w:r>
        <w:t>Senate Table Office</w:t>
      </w:r>
    </w:p>
    <w:p w14:paraId="7EE3F3D9" w14:textId="77777777" w:rsidR="00552080" w:rsidRDefault="00552080" w:rsidP="00CD40BC">
      <w:pPr>
        <w:pStyle w:val="BulletedList-Level1"/>
      </w:pPr>
      <w:r>
        <w:t>Parliamentary Liaison Officers (PLOs).</w:t>
      </w:r>
    </w:p>
    <w:p w14:paraId="7EE3F3DA" w14:textId="77777777" w:rsidR="00552080" w:rsidRDefault="00552080" w:rsidP="00552080">
      <w:r>
        <w:t>The LLO advises the PLOs of any changes to the departmental contact officers for the debate of the bill.</w:t>
      </w:r>
    </w:p>
    <w:p w14:paraId="7EE3F3DB" w14:textId="77777777" w:rsidR="00552080" w:rsidRDefault="00CD40BC" w:rsidP="00CD40BC">
      <w:pPr>
        <w:pStyle w:val="Heading2"/>
      </w:pPr>
      <w:r>
        <w:lastRenderedPageBreak/>
        <w:t xml:space="preserve">Step 9. </w:t>
      </w:r>
      <w:r w:rsidR="00552080">
        <w:t>Legislation Approval Process (LAP)</w:t>
      </w:r>
    </w:p>
    <w:p w14:paraId="7EE3F3DC" w14:textId="77777777" w:rsidR="00552080" w:rsidRDefault="00552080" w:rsidP="00552080">
      <w:r>
        <w:t>The PM&amp;C Legislation Section progresses the amendments through the legislation approval process (LAP) to the Legislation Minister seeking approval to introduce the amendments.</w:t>
      </w:r>
    </w:p>
    <w:p w14:paraId="7EE3F3DD" w14:textId="77777777" w:rsidR="00552080" w:rsidRDefault="00CD40BC" w:rsidP="00CD40BC">
      <w:pPr>
        <w:pStyle w:val="Heading2"/>
      </w:pPr>
      <w:r>
        <w:t xml:space="preserve">Step 10. </w:t>
      </w:r>
      <w:r w:rsidR="00552080">
        <w:t>Obtain party clearance</w:t>
      </w:r>
    </w:p>
    <w:p w14:paraId="7EE3F3DE" w14:textId="35B68D3C" w:rsidR="00552080" w:rsidRDefault="00552080" w:rsidP="00552080">
      <w:r>
        <w:t xml:space="preserve">The Minister arranges party clearance for the amendment, either through the Party room meeting or the Prime Minister’s Office. </w:t>
      </w:r>
    </w:p>
    <w:p w14:paraId="7EE3F3DF" w14:textId="7AFEF97F" w:rsidR="00552080" w:rsidRDefault="00552080" w:rsidP="00CD40BC">
      <w:pPr>
        <w:pStyle w:val="Style1"/>
      </w:pPr>
      <w:r>
        <w:t xml:space="preserve">If the amendments need to be tabled before the Party room meeting, the Minister must seek out of session agreement from the Prime Minister’s Office. </w:t>
      </w:r>
    </w:p>
    <w:p w14:paraId="7EE3F3E0" w14:textId="7E932BA4" w:rsidR="00552080" w:rsidRDefault="00CD40BC" w:rsidP="00CD40BC">
      <w:pPr>
        <w:pStyle w:val="Heading2"/>
      </w:pPr>
      <w:r>
        <w:t xml:space="preserve">Step 11. </w:t>
      </w:r>
      <w:r w:rsidR="00552080">
        <w:t xml:space="preserve">The Minister (or another member of the </w:t>
      </w:r>
      <w:r w:rsidR="00A650D4">
        <w:t>government</w:t>
      </w:r>
      <w:r w:rsidR="00552080">
        <w:t>) introduces the amendment</w:t>
      </w:r>
    </w:p>
    <w:p w14:paraId="7EE3F3E1" w14:textId="6EFE2511" w:rsidR="00552080" w:rsidRDefault="00552080" w:rsidP="00552080">
      <w:r>
        <w:t xml:space="preserve">The </w:t>
      </w:r>
      <w:r w:rsidR="00EF4AD0">
        <w:t>minister</w:t>
      </w:r>
      <w:r>
        <w:t>, or a representing member in the other chamber, tables the amendments during the bill debate using the speech notes.</w:t>
      </w:r>
    </w:p>
    <w:p w14:paraId="7EE3F3E2" w14:textId="26E0EBFF" w:rsidR="00552080" w:rsidRDefault="00552080" w:rsidP="00CD40BC">
      <w:pPr>
        <w:pStyle w:val="Heading1"/>
      </w:pPr>
      <w:r>
        <w:t>Non-</w:t>
      </w:r>
      <w:r w:rsidR="00A650D4">
        <w:t xml:space="preserve">government </w:t>
      </w:r>
      <w:r>
        <w:t>amendments</w:t>
      </w:r>
    </w:p>
    <w:p w14:paraId="7EE3F3E3" w14:textId="589ED8C0" w:rsidR="00552080" w:rsidRDefault="00552080" w:rsidP="00552080">
      <w:r>
        <w:t xml:space="preserve">In contrast to </w:t>
      </w:r>
      <w:r w:rsidR="00A650D4">
        <w:t xml:space="preserve">government </w:t>
      </w:r>
      <w:r>
        <w:t>amendments, non-</w:t>
      </w:r>
      <w:r w:rsidR="00A650D4">
        <w:t xml:space="preserve">government </w:t>
      </w:r>
      <w:r>
        <w:t xml:space="preserve">amendments occur when the Minister makes an agreement with members of another party, or with an independent member, to ensure the bill’s passage. The Minister may seek advice from the </w:t>
      </w:r>
      <w:r w:rsidR="005D6B89">
        <w:t xml:space="preserve">department </w:t>
      </w:r>
      <w:r>
        <w:t>prior to making an agreement, and the</w:t>
      </w:r>
      <w:r w:rsidR="005D6B89">
        <w:t>d</w:t>
      </w:r>
      <w:r>
        <w:t>epartment may need to instruct the Office of Parliamentary Counsel to draft the amendment sheet. However, the amendment is still passed to the non-</w:t>
      </w:r>
      <w:r w:rsidR="00A650D4">
        <w:t xml:space="preserve">government </w:t>
      </w:r>
      <w:r>
        <w:t>member to introduce.</w:t>
      </w:r>
    </w:p>
    <w:p w14:paraId="7EE3F3E4" w14:textId="4A8D39A0" w:rsidR="00552080" w:rsidRDefault="00552080" w:rsidP="00552080">
      <w:r>
        <w:t xml:space="preserve">This process may be initiated by the Minister, but may also begin in other ways. For example, a member of the crossbench may submit an amendment proposal directly to the Minister’s </w:t>
      </w:r>
      <w:r w:rsidR="00EF4AD0">
        <w:t>office</w:t>
      </w:r>
      <w:r>
        <w:t xml:space="preserve">. It is therefore critical for the </w:t>
      </w:r>
      <w:r w:rsidR="005D6B89">
        <w:t xml:space="preserve">department </w:t>
      </w:r>
      <w:r>
        <w:t>and ministerial advisers to coordinate communication and action. Once the Minister agrees to a non-</w:t>
      </w:r>
      <w:r w:rsidR="00A650D4">
        <w:t xml:space="preserve">government </w:t>
      </w:r>
      <w:r>
        <w:t>amendment, the following process applies:</w:t>
      </w:r>
    </w:p>
    <w:p w14:paraId="7EE3F3E5" w14:textId="77777777" w:rsidR="00552080" w:rsidRDefault="00CD40BC" w:rsidP="00CD40BC">
      <w:pPr>
        <w:pStyle w:val="Heading2"/>
      </w:pPr>
      <w:r>
        <w:t xml:space="preserve">Step 1. </w:t>
      </w:r>
      <w:r w:rsidR="00552080">
        <w:t>Notify the Prime Minister</w:t>
      </w:r>
    </w:p>
    <w:p w14:paraId="7EE3F3E6" w14:textId="26E87F73" w:rsidR="00552080" w:rsidRDefault="00552080" w:rsidP="00552080">
      <w:r>
        <w:t>The Minister notifies the Prime Minister of the proposed non-</w:t>
      </w:r>
      <w:r w:rsidR="00A650D4">
        <w:t xml:space="preserve">government </w:t>
      </w:r>
      <w:r>
        <w:t>amendments.</w:t>
      </w:r>
    </w:p>
    <w:p w14:paraId="7EE3F3E7" w14:textId="77777777" w:rsidR="00552080" w:rsidRDefault="00CD40BC" w:rsidP="00CD40BC">
      <w:pPr>
        <w:pStyle w:val="Heading2"/>
      </w:pPr>
      <w:r>
        <w:t xml:space="preserve">Step 2. </w:t>
      </w:r>
      <w:r w:rsidR="00552080">
        <w:t>Consult PM&amp;C policy teams</w:t>
      </w:r>
    </w:p>
    <w:p w14:paraId="7EE3F3E8" w14:textId="406E2DD4" w:rsidR="00552080" w:rsidRDefault="00552080" w:rsidP="00552080">
      <w:r>
        <w:t xml:space="preserve">The </w:t>
      </w:r>
      <w:r w:rsidR="005D6B89">
        <w:t xml:space="preserve">department </w:t>
      </w:r>
      <w:r>
        <w:t>consults the relevant PM&amp;C policy teams to identify any issues with the proposed amendments.</w:t>
      </w:r>
    </w:p>
    <w:p w14:paraId="7EE3F3E9" w14:textId="77777777" w:rsidR="00552080" w:rsidRDefault="00CD40BC" w:rsidP="00CD40BC">
      <w:pPr>
        <w:pStyle w:val="Heading2"/>
      </w:pPr>
      <w:r>
        <w:lastRenderedPageBreak/>
        <w:t xml:space="preserve">Step 3. </w:t>
      </w:r>
      <w:r w:rsidR="00552080">
        <w:t>Consult affected ministers</w:t>
      </w:r>
    </w:p>
    <w:p w14:paraId="7EE3F3EA" w14:textId="1B2C45C8" w:rsidR="00552080" w:rsidRDefault="00552080" w:rsidP="00552080">
      <w:r>
        <w:t>The Minister consults any other ministers affected by the amendments to resolve any issues and obtain their support.</w:t>
      </w:r>
    </w:p>
    <w:p w14:paraId="7EE3F3EB" w14:textId="77777777" w:rsidR="00552080" w:rsidRDefault="00CD40BC" w:rsidP="00CD40BC">
      <w:pPr>
        <w:pStyle w:val="Heading2"/>
      </w:pPr>
      <w:r>
        <w:t xml:space="preserve">Step 4. </w:t>
      </w:r>
      <w:r w:rsidR="00552080">
        <w:t>Prepare approval request</w:t>
      </w:r>
    </w:p>
    <w:p w14:paraId="7EE3F3EC" w14:textId="5DE0E9B1" w:rsidR="00552080" w:rsidRDefault="00552080" w:rsidP="00552080">
      <w:r>
        <w:t xml:space="preserve">The </w:t>
      </w:r>
      <w:r w:rsidR="005D6B89">
        <w:t xml:space="preserve">department </w:t>
      </w:r>
      <w:r>
        <w:t>prepares a letter from the Minister to the Prime Minister seeking approval to accept the amendment. The LLO provides the PM&amp;C Legislation Section with a draft of the Minister’s letter as soon as possible.</w:t>
      </w:r>
    </w:p>
    <w:p w14:paraId="7EE3F3ED" w14:textId="77777777" w:rsidR="00552080" w:rsidRDefault="00CD40BC" w:rsidP="00CD40BC">
      <w:pPr>
        <w:pStyle w:val="Heading2"/>
      </w:pPr>
      <w:r>
        <w:t xml:space="preserve">Step 5. </w:t>
      </w:r>
      <w:r w:rsidR="00552080">
        <w:t>Finalise policy approval</w:t>
      </w:r>
    </w:p>
    <w:p w14:paraId="7EE3F3EE" w14:textId="187216AD" w:rsidR="00552080" w:rsidRDefault="00552080" w:rsidP="00552080">
      <w:r>
        <w:t xml:space="preserve">The Minister signs the letter and sends it to the Prime Minister. The </w:t>
      </w:r>
      <w:r w:rsidR="005D6B89">
        <w:t xml:space="preserve">department’s </w:t>
      </w:r>
      <w:r>
        <w:t>LLO provides the PM&amp;C Legislation Section with a copy of the signed letter as soon as possible, aiming for at least 48 hours ahead of a likely vote.</w:t>
      </w:r>
    </w:p>
    <w:p w14:paraId="7EE3F3EF" w14:textId="77777777" w:rsidR="00552080" w:rsidRDefault="00CD40BC" w:rsidP="00CD40BC">
      <w:pPr>
        <w:pStyle w:val="Heading2"/>
      </w:pPr>
      <w:r>
        <w:t xml:space="preserve">Step 6. </w:t>
      </w:r>
      <w:r w:rsidR="00552080">
        <w:t>Obtain party clearance</w:t>
      </w:r>
    </w:p>
    <w:p w14:paraId="7EE3F3F0" w14:textId="3F0CC4CA" w:rsidR="00552080" w:rsidRDefault="00552080" w:rsidP="00552080">
      <w:r>
        <w:t>The Minister arranges party clearance, either through the Party room meeting or the Prime Minister’s Office.</w:t>
      </w:r>
    </w:p>
    <w:p w14:paraId="7EE3F3F1" w14:textId="6BDCA97C" w:rsidR="00552080" w:rsidRDefault="00CD40BC" w:rsidP="00CD40BC">
      <w:pPr>
        <w:pStyle w:val="Heading2"/>
      </w:pPr>
      <w:r>
        <w:t xml:space="preserve">Step 7. </w:t>
      </w:r>
      <w:r w:rsidR="00552080">
        <w:t>A non-</w:t>
      </w:r>
      <w:r w:rsidR="00A650D4">
        <w:t xml:space="preserve">government </w:t>
      </w:r>
      <w:r w:rsidR="00552080">
        <w:t>member moves the amendment</w:t>
      </w:r>
    </w:p>
    <w:p w14:paraId="7EE3F3F2" w14:textId="0B5EF48F" w:rsidR="00CD40BC" w:rsidRDefault="00552080" w:rsidP="00552080">
      <w:r>
        <w:t>A non-</w:t>
      </w:r>
      <w:r w:rsidR="00A650D4">
        <w:t xml:space="preserve">government </w:t>
      </w:r>
      <w:r>
        <w:t>member of parliament tables the amendments during the bill debate.</w:t>
      </w:r>
      <w:r w:rsidR="00CD40BC">
        <w:br w:type="page"/>
      </w:r>
    </w:p>
    <w:p w14:paraId="7EE3F3F3" w14:textId="77777777" w:rsidR="00552080" w:rsidRDefault="00552080" w:rsidP="00CD40BC">
      <w:pPr>
        <w:pStyle w:val="Heading1"/>
      </w:pPr>
      <w:bookmarkStart w:id="2" w:name="_Glossary"/>
      <w:bookmarkEnd w:id="2"/>
      <w:r>
        <w:lastRenderedPageBreak/>
        <w:t>Glossary</w:t>
      </w:r>
    </w:p>
    <w:tbl>
      <w:tblPr>
        <w:tblStyle w:val="PMClinedrows"/>
        <w:tblW w:w="0" w:type="auto"/>
        <w:tblLook w:val="04A0" w:firstRow="1" w:lastRow="0" w:firstColumn="1" w:lastColumn="0" w:noHBand="0" w:noVBand="1"/>
      </w:tblPr>
      <w:tblGrid>
        <w:gridCol w:w="1843"/>
        <w:gridCol w:w="7795"/>
      </w:tblGrid>
      <w:tr w:rsidR="00CD40BC" w14:paraId="7EE3F3F6" w14:textId="77777777" w:rsidTr="00CD4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7EE3F3F4" w14:textId="77777777" w:rsidR="00CD40BC" w:rsidRPr="00CD40BC" w:rsidRDefault="00CD40BC" w:rsidP="0054022C">
            <w:pPr>
              <w:rPr>
                <w:rFonts w:ascii="Segoe UI Semibold" w:hAnsi="Segoe UI Semibold" w:cs="Segoe UI Semibold"/>
                <w:b w:val="0"/>
              </w:rPr>
            </w:pPr>
            <w:r w:rsidRPr="00CD40BC">
              <w:rPr>
                <w:rFonts w:ascii="Segoe UI Semibold" w:hAnsi="Segoe UI Semibold" w:cs="Segoe UI Semibold"/>
                <w:b w:val="0"/>
                <w:spacing w:val="-4"/>
              </w:rPr>
              <w:t>Term</w:t>
            </w:r>
          </w:p>
        </w:tc>
        <w:tc>
          <w:tcPr>
            <w:tcW w:w="7795" w:type="dxa"/>
          </w:tcPr>
          <w:p w14:paraId="7EE3F3F5" w14:textId="77777777" w:rsidR="00CD40BC" w:rsidRPr="00CD40BC" w:rsidRDefault="00CD40BC" w:rsidP="0054022C">
            <w:pPr>
              <w:rPr>
                <w:rFonts w:ascii="Segoe UI Semibold" w:hAnsi="Segoe UI Semibold" w:cs="Segoe UI Semibold"/>
                <w:b w:val="0"/>
              </w:rPr>
            </w:pPr>
            <w:r w:rsidRPr="00CD40BC">
              <w:rPr>
                <w:rFonts w:ascii="Segoe UI Semibold" w:hAnsi="Segoe UI Semibold" w:cs="Segoe UI Semibold"/>
                <w:b w:val="0"/>
                <w:spacing w:val="-2"/>
              </w:rPr>
              <w:t>Definition</w:t>
            </w:r>
          </w:p>
        </w:tc>
      </w:tr>
      <w:tr w:rsidR="00CD40BC" w14:paraId="7EE3F3F9" w14:textId="77777777" w:rsidTr="00CD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E3F3F7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  <w:spacing w:val="-4"/>
              </w:rPr>
              <w:t>Bill</w:t>
            </w:r>
          </w:p>
        </w:tc>
        <w:tc>
          <w:tcPr>
            <w:tcW w:w="7795" w:type="dxa"/>
          </w:tcPr>
          <w:p w14:paraId="7EE3F3F8" w14:textId="77777777" w:rsidR="00CD40BC" w:rsidRDefault="00CD40BC" w:rsidP="0054022C">
            <w:r>
              <w:t>A</w:t>
            </w:r>
            <w:r>
              <w:rPr>
                <w:spacing w:val="-9"/>
              </w:rPr>
              <w:t xml:space="preserve"> </w:t>
            </w:r>
            <w:r>
              <w:t>proposed</w:t>
            </w:r>
            <w:r>
              <w:rPr>
                <w:spacing w:val="4"/>
              </w:rPr>
              <w:t xml:space="preserve"> </w:t>
            </w:r>
            <w:r>
              <w:t>law</w:t>
            </w:r>
            <w:r>
              <w:rPr>
                <w:spacing w:val="4"/>
              </w:rPr>
              <w:t xml:space="preserve"> </w:t>
            </w:r>
            <w:r>
              <w:t>that</w:t>
            </w:r>
            <w:r>
              <w:rPr>
                <w:spacing w:val="4"/>
              </w:rPr>
              <w:t xml:space="preserve"> </w:t>
            </w:r>
            <w:r>
              <w:t>becomes</w:t>
            </w:r>
            <w:r>
              <w:rPr>
                <w:spacing w:val="4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Act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Parliament</w:t>
            </w:r>
            <w:r>
              <w:rPr>
                <w:spacing w:val="4"/>
              </w:rPr>
              <w:t xml:space="preserve"> once </w:t>
            </w:r>
            <w:r>
              <w:t>approved</w:t>
            </w:r>
            <w:r>
              <w:rPr>
                <w:spacing w:val="4"/>
              </w:rPr>
              <w:t xml:space="preserve"> </w:t>
            </w:r>
            <w:r>
              <w:t>by</w:t>
            </w:r>
            <w:r>
              <w:rPr>
                <w:spacing w:val="4"/>
              </w:rPr>
              <w:t xml:space="preserve"> </w:t>
            </w:r>
            <w:r>
              <w:t>the House of Representatives and the Senate.</w:t>
            </w:r>
          </w:p>
        </w:tc>
      </w:tr>
      <w:tr w:rsidR="00CD40BC" w14:paraId="7EE3F3FC" w14:textId="77777777" w:rsidTr="00CD40BC">
        <w:tc>
          <w:tcPr>
            <w:tcW w:w="1843" w:type="dxa"/>
          </w:tcPr>
          <w:p w14:paraId="7EE3F3FA" w14:textId="54D8C4D3" w:rsidR="00CD40BC" w:rsidRPr="00CD40BC" w:rsidRDefault="00CD40BC" w:rsidP="005D6B89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</w:rPr>
              <w:t>The</w:t>
            </w:r>
            <w:r w:rsidRPr="00CD40BC">
              <w:rPr>
                <w:rFonts w:ascii="Segoe UI Semibold" w:hAnsi="Segoe UI Semibold" w:cs="Segoe UI Semibold"/>
                <w:spacing w:val="2"/>
              </w:rPr>
              <w:t xml:space="preserve"> </w:t>
            </w:r>
            <w:r w:rsidR="005D6B89">
              <w:rPr>
                <w:rFonts w:ascii="Segoe UI Semibold" w:hAnsi="Segoe UI Semibold" w:cs="Segoe UI Semibold"/>
                <w:spacing w:val="-2"/>
              </w:rPr>
              <w:t>d</w:t>
            </w:r>
            <w:r w:rsidR="005D6B89" w:rsidRPr="00CD40BC">
              <w:rPr>
                <w:rFonts w:ascii="Segoe UI Semibold" w:hAnsi="Segoe UI Semibold" w:cs="Segoe UI Semibold"/>
                <w:spacing w:val="-2"/>
              </w:rPr>
              <w:t>epartment</w:t>
            </w:r>
          </w:p>
        </w:tc>
        <w:tc>
          <w:tcPr>
            <w:tcW w:w="7795" w:type="dxa"/>
          </w:tcPr>
          <w:p w14:paraId="7EE3F3FB" w14:textId="77777777" w:rsidR="00CD40BC" w:rsidRDefault="00CD40BC" w:rsidP="0054022C">
            <w:r>
              <w:t>The</w:t>
            </w:r>
            <w:r>
              <w:rPr>
                <w:spacing w:val="4"/>
              </w:rPr>
              <w:t xml:space="preserve"> </w:t>
            </w:r>
            <w:r>
              <w:t>department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agency</w:t>
            </w:r>
            <w:r>
              <w:rPr>
                <w:spacing w:val="4"/>
              </w:rPr>
              <w:t xml:space="preserve"> </w:t>
            </w:r>
            <w:r>
              <w:t>preparing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legislation.</w:t>
            </w:r>
          </w:p>
        </w:tc>
      </w:tr>
      <w:tr w:rsidR="00CD40BC" w14:paraId="7EE3F3FF" w14:textId="77777777" w:rsidTr="00CD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E3F3FD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  <w:position w:val="-10"/>
              </w:rPr>
              <w:t>Legislation Liaison Officer</w:t>
            </w:r>
          </w:p>
        </w:tc>
        <w:tc>
          <w:tcPr>
            <w:tcW w:w="7795" w:type="dxa"/>
          </w:tcPr>
          <w:p w14:paraId="7EE3F3FE" w14:textId="77777777" w:rsidR="00CD40BC" w:rsidRDefault="00CD40BC" w:rsidP="0054022C">
            <w:r>
              <w:t>The</w:t>
            </w:r>
            <w:r>
              <w:rPr>
                <w:spacing w:val="5"/>
              </w:rPr>
              <w:t xml:space="preserve"> </w:t>
            </w:r>
            <w:r>
              <w:t>principal</w:t>
            </w:r>
            <w:r>
              <w:rPr>
                <w:spacing w:val="5"/>
              </w:rPr>
              <w:t xml:space="preserve"> </w:t>
            </w:r>
            <w:r>
              <w:t>contact</w:t>
            </w:r>
            <w:r>
              <w:rPr>
                <w:spacing w:val="5"/>
              </w:rPr>
              <w:t xml:space="preserve"> </w:t>
            </w:r>
            <w:r>
              <w:t>in</w:t>
            </w:r>
            <w:r w:rsidRPr="00702D71">
              <w:rPr>
                <w:spacing w:val="5"/>
              </w:rPr>
              <w:t xml:space="preserve"> </w:t>
            </w:r>
            <w:r>
              <w:t>each</w:t>
            </w:r>
            <w:r>
              <w:rPr>
                <w:spacing w:val="5"/>
              </w:rPr>
              <w:t xml:space="preserve"> </w:t>
            </w:r>
            <w:r>
              <w:t>department</w:t>
            </w:r>
            <w:r>
              <w:rPr>
                <w:spacing w:val="5"/>
              </w:rPr>
              <w:t xml:space="preserve"> </w:t>
            </w:r>
            <w:r>
              <w:t>regarding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legislation.</w:t>
            </w:r>
          </w:p>
        </w:tc>
      </w:tr>
      <w:tr w:rsidR="00CD40BC" w14:paraId="7EE3F402" w14:textId="77777777" w:rsidTr="00CD40BC">
        <w:tc>
          <w:tcPr>
            <w:tcW w:w="1843" w:type="dxa"/>
          </w:tcPr>
          <w:p w14:paraId="7EE3F400" w14:textId="41E41930" w:rsidR="00CD40BC" w:rsidRPr="00CD40BC" w:rsidRDefault="00CD40BC" w:rsidP="00BA54C1">
            <w:pPr>
              <w:rPr>
                <w:rFonts w:ascii="Segoe UI Semibold" w:hAnsi="Segoe UI Semibold" w:cs="Segoe UI Semibold"/>
                <w:spacing w:val="-2"/>
              </w:rPr>
            </w:pPr>
            <w:r w:rsidRPr="00CD40BC">
              <w:rPr>
                <w:rFonts w:ascii="Segoe UI Semibold" w:hAnsi="Segoe UI Semibold" w:cs="Segoe UI Semibold"/>
              </w:rPr>
              <w:t>The Minister</w:t>
            </w:r>
          </w:p>
        </w:tc>
        <w:tc>
          <w:tcPr>
            <w:tcW w:w="7795" w:type="dxa"/>
          </w:tcPr>
          <w:p w14:paraId="7EE3F401" w14:textId="77777777" w:rsidR="00CD40BC" w:rsidRDefault="00CD40BC" w:rsidP="0054022C">
            <w:r w:rsidRPr="006522B1">
              <w:t>The minister(s) responsible for the department preparing the legislation</w:t>
            </w:r>
            <w:r>
              <w:t xml:space="preserve"> (capital ‘M’).</w:t>
            </w:r>
          </w:p>
        </w:tc>
      </w:tr>
      <w:tr w:rsidR="00CD40BC" w14:paraId="7EE3F405" w14:textId="77777777" w:rsidTr="00CD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E3F403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</w:rPr>
              <w:t>Legislation Minister</w:t>
            </w:r>
          </w:p>
        </w:tc>
        <w:tc>
          <w:tcPr>
            <w:tcW w:w="7795" w:type="dxa"/>
          </w:tcPr>
          <w:p w14:paraId="7EE3F404" w14:textId="77777777" w:rsidR="00CD40BC" w:rsidRPr="006522B1" w:rsidRDefault="00CD40BC" w:rsidP="0054022C">
            <w:r>
              <w:t>Minister in the Prime Minister’s portfolio nominated by the Prime Minister to consider requests for minor policy and approve legislation for introduction on behalf of the Prime Minister.</w:t>
            </w:r>
          </w:p>
        </w:tc>
      </w:tr>
      <w:tr w:rsidR="00CD40BC" w14:paraId="7EE3F408" w14:textId="77777777" w:rsidTr="00CD40BC">
        <w:tc>
          <w:tcPr>
            <w:tcW w:w="1843" w:type="dxa"/>
          </w:tcPr>
          <w:p w14:paraId="7EE3F406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  <w:position w:val="-10"/>
              </w:rPr>
              <w:t>Office of Parliamentary Counsel</w:t>
            </w:r>
          </w:p>
        </w:tc>
        <w:tc>
          <w:tcPr>
            <w:tcW w:w="7795" w:type="dxa"/>
          </w:tcPr>
          <w:p w14:paraId="7EE3F407" w14:textId="77777777" w:rsidR="00CD40BC" w:rsidRPr="006522B1" w:rsidRDefault="00CD40BC" w:rsidP="0054022C">
            <w:r w:rsidRPr="003A0D37">
              <w:t>A statutory agency responsible for drafting proposed laws, amendments and legislative instruments, and for publishing legislation.</w:t>
            </w:r>
          </w:p>
        </w:tc>
      </w:tr>
      <w:tr w:rsidR="00CD40BC" w:rsidRPr="00801656" w14:paraId="7EE3F40B" w14:textId="77777777" w:rsidTr="00CD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E3F409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</w:rPr>
              <w:t>PM&amp;C</w:t>
            </w:r>
          </w:p>
        </w:tc>
        <w:tc>
          <w:tcPr>
            <w:tcW w:w="7795" w:type="dxa"/>
          </w:tcPr>
          <w:p w14:paraId="7EE3F40A" w14:textId="77777777" w:rsidR="00CD40BC" w:rsidRPr="00801656" w:rsidRDefault="00CD40BC" w:rsidP="0054022C">
            <w:r>
              <w:t>T</w:t>
            </w:r>
            <w:r w:rsidRPr="00801656">
              <w:t>he Department of the Prime Minister and Cabinet</w:t>
            </w:r>
            <w:r>
              <w:t>.</w:t>
            </w:r>
          </w:p>
        </w:tc>
      </w:tr>
      <w:tr w:rsidR="00CD40BC" w14:paraId="7EE3F40E" w14:textId="77777777" w:rsidTr="00CD40BC">
        <w:tc>
          <w:tcPr>
            <w:tcW w:w="1843" w:type="dxa"/>
          </w:tcPr>
          <w:p w14:paraId="7EE3F40C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</w:rPr>
              <w:t>PM&amp;C Legislation Section</w:t>
            </w:r>
          </w:p>
        </w:tc>
        <w:tc>
          <w:tcPr>
            <w:tcW w:w="7795" w:type="dxa"/>
          </w:tcPr>
          <w:p w14:paraId="7EE3F40D" w14:textId="77777777" w:rsidR="00CD40BC" w:rsidRPr="00026A1C" w:rsidRDefault="00CD40BC" w:rsidP="0054022C">
            <w:r>
              <w:t>The</w:t>
            </w:r>
            <w:r>
              <w:rPr>
                <w:spacing w:val="4"/>
              </w:rPr>
              <w:t xml:space="preserve"> </w:t>
            </w:r>
            <w:r>
              <w:t>Parliamentary</w:t>
            </w:r>
            <w:r>
              <w:rPr>
                <w:spacing w:val="-7"/>
              </w:rPr>
              <w:t xml:space="preserve"> </w:t>
            </w:r>
            <w:r>
              <w:t>Affairs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Legislation</w:t>
            </w:r>
            <w:r>
              <w:rPr>
                <w:spacing w:val="4"/>
              </w:rPr>
              <w:t xml:space="preserve"> </w:t>
            </w:r>
            <w:r>
              <w:t>Section</w:t>
            </w:r>
            <w:r>
              <w:rPr>
                <w:spacing w:val="5"/>
              </w:rPr>
              <w:t xml:space="preserve"> </w:t>
            </w:r>
            <w:r>
              <w:t>at PM&amp;C.</w:t>
            </w:r>
          </w:p>
        </w:tc>
      </w:tr>
      <w:tr w:rsidR="00CD40BC" w14:paraId="7EE3F411" w14:textId="77777777" w:rsidTr="00CD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E3F40F" w14:textId="77777777" w:rsidR="00CD40BC" w:rsidRPr="00CD40BC" w:rsidRDefault="00CD40BC" w:rsidP="0054022C">
            <w:pPr>
              <w:rPr>
                <w:rFonts w:ascii="Segoe UI Semibold" w:hAnsi="Segoe UI Semibold" w:cs="Segoe UI Semibold"/>
              </w:rPr>
            </w:pPr>
            <w:r w:rsidRPr="00CD40BC">
              <w:rPr>
                <w:rFonts w:ascii="Segoe UI Semibold" w:hAnsi="Segoe UI Semibold" w:cs="Segoe UI Semibold"/>
                <w:position w:val="-10"/>
              </w:rPr>
              <w:t>PM&amp;C policy team</w:t>
            </w:r>
          </w:p>
        </w:tc>
        <w:tc>
          <w:tcPr>
            <w:tcW w:w="7795" w:type="dxa"/>
          </w:tcPr>
          <w:p w14:paraId="7EE3F410" w14:textId="77777777" w:rsidR="00CD40BC" w:rsidRDefault="00CD40BC" w:rsidP="0054022C">
            <w:r>
              <w:t>T</w:t>
            </w:r>
            <w:r w:rsidRPr="00702D71">
              <w:t>eam</w:t>
            </w:r>
            <w:r>
              <w:t>s</w:t>
            </w:r>
            <w:r w:rsidRPr="00026A1C">
              <w:t xml:space="preserve"> at </w:t>
            </w:r>
            <w:r>
              <w:t xml:space="preserve">PM&amp;C responsible for </w:t>
            </w:r>
            <w:r w:rsidRPr="00702D71">
              <w:t>coordinat</w:t>
            </w:r>
            <w:r>
              <w:t>ing</w:t>
            </w:r>
            <w:r w:rsidRPr="00026A1C">
              <w:t xml:space="preserve"> policy for the relevant department ('shadow teams')</w:t>
            </w:r>
            <w:r>
              <w:t>.</w:t>
            </w:r>
          </w:p>
        </w:tc>
      </w:tr>
      <w:tr w:rsidR="00CD40BC" w14:paraId="7EE3F414" w14:textId="77777777" w:rsidTr="00CD40BC">
        <w:tc>
          <w:tcPr>
            <w:tcW w:w="1843" w:type="dxa"/>
          </w:tcPr>
          <w:p w14:paraId="7EE3F412" w14:textId="77777777" w:rsidR="00CD40BC" w:rsidRPr="00CD40BC" w:rsidRDefault="00CD40BC" w:rsidP="0054022C">
            <w:pPr>
              <w:rPr>
                <w:rFonts w:ascii="Segoe UI Semibold" w:hAnsi="Segoe UI Semibold" w:cs="Segoe UI Semibold"/>
                <w:position w:val="-10"/>
              </w:rPr>
            </w:pPr>
            <w:r w:rsidRPr="00CD40BC">
              <w:rPr>
                <w:rFonts w:ascii="Segoe UI Semibold" w:hAnsi="Segoe UI Semibold" w:cs="Segoe UI Semibold"/>
                <w:spacing w:val="-2"/>
                <w:position w:val="-10"/>
              </w:rPr>
              <w:t>Policy</w:t>
            </w:r>
          </w:p>
        </w:tc>
        <w:tc>
          <w:tcPr>
            <w:tcW w:w="7795" w:type="dxa"/>
          </w:tcPr>
          <w:p w14:paraId="7EE3F413" w14:textId="77777777" w:rsidR="00CD40BC" w:rsidRDefault="00CD40BC" w:rsidP="0054022C">
            <w:r>
              <w:t>A general government objective</w:t>
            </w:r>
            <w:r w:rsidRPr="003F6E82">
              <w:t xml:space="preserve"> </w:t>
            </w:r>
            <w:r w:rsidRPr="00592D93">
              <w:t xml:space="preserve">or </w:t>
            </w:r>
            <w:r>
              <w:t xml:space="preserve">the implementation plan for achieving such an objective (context </w:t>
            </w:r>
            <w:r>
              <w:rPr>
                <w:spacing w:val="-2"/>
              </w:rPr>
              <w:t>dependant).</w:t>
            </w:r>
          </w:p>
        </w:tc>
      </w:tr>
    </w:tbl>
    <w:p w14:paraId="7EE3F415" w14:textId="77777777" w:rsidR="00CD40BC" w:rsidRPr="006C435F" w:rsidRDefault="00CD40BC" w:rsidP="00CD40BC">
      <w:pPr>
        <w:pStyle w:val="BodyText"/>
        <w:tabs>
          <w:tab w:val="left" w:pos="1923"/>
        </w:tabs>
        <w:spacing w:before="59"/>
        <w:rPr>
          <w:lang w:val="en-AU"/>
        </w:rPr>
      </w:pPr>
    </w:p>
    <w:sectPr w:rsidR="00CD40BC" w:rsidRPr="006C435F" w:rsidSect="00BF72B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5" w:right="1134" w:bottom="1843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F41A" w14:textId="77777777" w:rsidR="008A21F7" w:rsidRDefault="008A21F7" w:rsidP="00F957C6">
      <w:pPr>
        <w:spacing w:after="0" w:line="240" w:lineRule="auto"/>
      </w:pPr>
      <w:r>
        <w:separator/>
      </w:r>
    </w:p>
    <w:p w14:paraId="7EE3F41B" w14:textId="77777777" w:rsidR="008A21F7" w:rsidRDefault="008A21F7"/>
  </w:endnote>
  <w:endnote w:type="continuationSeparator" w:id="0">
    <w:p w14:paraId="7EE3F41C" w14:textId="77777777" w:rsidR="008A21F7" w:rsidRDefault="008A21F7" w:rsidP="00F957C6">
      <w:pPr>
        <w:spacing w:after="0" w:line="240" w:lineRule="auto"/>
      </w:pPr>
      <w:r>
        <w:continuationSeparator/>
      </w:r>
    </w:p>
    <w:p w14:paraId="7EE3F41D" w14:textId="77777777" w:rsidR="008A21F7" w:rsidRDefault="008A2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420" w14:textId="3A3BD756" w:rsidR="00037513" w:rsidRPr="00852F35" w:rsidRDefault="00037513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>PM&amp;C |</w:t>
    </w:r>
    <w:r w:rsidR="00376FE6" w:rsidRPr="00852F35">
      <w:rPr>
        <w:color w:val="6E6E6E"/>
        <w:sz w:val="18"/>
        <w:szCs w:val="18"/>
      </w:rPr>
      <w:t xml:space="preserve"> </w:t>
    </w:r>
    <w:sdt>
      <w:sdtPr>
        <w:rPr>
          <w:color w:val="6E6E6E"/>
          <w:sz w:val="18"/>
          <w:szCs w:val="18"/>
        </w:rPr>
        <w:alias w:val="Title"/>
        <w:tag w:val=""/>
        <w:id w:val="-8564214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552080">
          <w:rPr>
            <w:color w:val="6E6E6E"/>
            <w:sz w:val="18"/>
            <w:szCs w:val="18"/>
          </w:rPr>
          <w:t>Guide to parliamentary amendments</w:t>
        </w:r>
      </w:sdtContent>
    </w:sdt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A22AD0">
      <w:rPr>
        <w:rFonts w:ascii="Segoe UI" w:hAnsi="Segoe UI" w:cs="Segoe UI"/>
        <w:noProof/>
        <w:color w:val="6E6E6E"/>
        <w:sz w:val="18"/>
      </w:rPr>
      <w:t>5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424" w14:textId="645D0892" w:rsidR="00464D89" w:rsidRPr="00BB1526" w:rsidRDefault="00BB1526" w:rsidP="00BB1526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sdt>
      <w:sdtPr>
        <w:rPr>
          <w:color w:val="6E6E6E"/>
          <w:sz w:val="18"/>
          <w:szCs w:val="18"/>
        </w:rPr>
        <w:alias w:val="Title"/>
        <w:tag w:val=""/>
        <w:id w:val="-147875870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Segoe UI" w:hAnsi="Segoe UI" w:cs="Segoe UI"/>
        </w:rPr>
      </w:sdtEndPr>
      <w:sdtContent>
        <w:r w:rsidR="00552080">
          <w:rPr>
            <w:color w:val="6E6E6E"/>
            <w:sz w:val="18"/>
            <w:szCs w:val="18"/>
          </w:rPr>
          <w:t>Guide to parliamentary amendments</w:t>
        </w:r>
      </w:sdtContent>
    </w:sdt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A22AD0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F416" w14:textId="77777777" w:rsidR="008A21F7" w:rsidRDefault="008A21F7" w:rsidP="00F957C6">
      <w:pPr>
        <w:spacing w:after="0" w:line="240" w:lineRule="auto"/>
      </w:pPr>
      <w:r>
        <w:separator/>
      </w:r>
    </w:p>
    <w:p w14:paraId="7EE3F417" w14:textId="77777777" w:rsidR="008A21F7" w:rsidRDefault="008A21F7"/>
  </w:footnote>
  <w:footnote w:type="continuationSeparator" w:id="0">
    <w:p w14:paraId="7EE3F418" w14:textId="77777777" w:rsidR="008A21F7" w:rsidRDefault="008A21F7" w:rsidP="00F957C6">
      <w:pPr>
        <w:spacing w:after="0" w:line="240" w:lineRule="auto"/>
      </w:pPr>
      <w:r>
        <w:continuationSeparator/>
      </w:r>
    </w:p>
    <w:p w14:paraId="7EE3F419" w14:textId="77777777" w:rsidR="008A21F7" w:rsidRDefault="008A2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41E" w14:textId="1B03B94F" w:rsidR="00037513" w:rsidRPr="00D10635" w:rsidRDefault="00037513" w:rsidP="00B407A9">
    <w:pPr>
      <w:pStyle w:val="Classification"/>
      <w:spacing w:after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F421" w14:textId="77777777" w:rsidR="00037513" w:rsidRPr="002D0A99" w:rsidRDefault="00A62EF3" w:rsidP="002D0A99">
    <w:pPr>
      <w:pStyle w:val="Header"/>
      <w:rPr>
        <w:rFonts w:ascii="Segoe UI" w:hAnsi="Segoe UI"/>
        <w:caps/>
        <w:color w:val="C00000"/>
        <w:sz w:val="18"/>
      </w:rPr>
    </w:pPr>
    <w:r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81792" behindDoc="1" locked="0" layoutInCell="1" allowOverlap="1" wp14:anchorId="7EE3F425" wp14:editId="7EE3F426">
          <wp:simplePos x="0" y="0"/>
          <wp:positionH relativeFrom="column">
            <wp:posOffset>4742815</wp:posOffset>
          </wp:positionH>
          <wp:positionV relativeFrom="paragraph">
            <wp:posOffset>-517525</wp:posOffset>
          </wp:positionV>
          <wp:extent cx="1473795" cy="1789544"/>
          <wp:effectExtent l="0" t="0" r="0" b="1270"/>
          <wp:wrapNone/>
          <wp:docPr id="28" name="Picture 2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M&amp;C Template Acron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95" cy="178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0A7">
      <w:rPr>
        <w:noProof/>
        <w:lang w:eastAsia="en-AU"/>
      </w:rPr>
      <w:drawing>
        <wp:anchor distT="0" distB="0" distL="114300" distR="114300" simplePos="0" relativeHeight="251679744" behindDoc="1" locked="0" layoutInCell="1" allowOverlap="1" wp14:anchorId="7EE3F427" wp14:editId="7EE3F428">
          <wp:simplePos x="0" y="0"/>
          <wp:positionH relativeFrom="column">
            <wp:posOffset>-214540</wp:posOffset>
          </wp:positionH>
          <wp:positionV relativeFrom="page">
            <wp:posOffset>115570</wp:posOffset>
          </wp:positionV>
          <wp:extent cx="3600000" cy="806400"/>
          <wp:effectExtent l="0" t="0" r="0" b="0"/>
          <wp:wrapNone/>
          <wp:docPr id="29" name="Picture 29" descr="Australian Government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3F422" w14:textId="77777777" w:rsidR="00831D08" w:rsidRDefault="00831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DA70A10"/>
    <w:multiLevelType w:val="hybridMultilevel"/>
    <w:tmpl w:val="58B68F28"/>
    <w:lvl w:ilvl="0" w:tplc="0C09000F">
      <w:start w:val="1"/>
      <w:numFmt w:val="decimal"/>
      <w:lvlText w:val="%1."/>
      <w:lvlJc w:val="left"/>
      <w:pPr>
        <w:ind w:left="782" w:hanging="360"/>
      </w:pPr>
    </w:lvl>
    <w:lvl w:ilvl="1" w:tplc="0C090019" w:tentative="1">
      <w:start w:val="1"/>
      <w:numFmt w:val="lowerLetter"/>
      <w:lvlText w:val="%2."/>
      <w:lvlJc w:val="left"/>
      <w:pPr>
        <w:ind w:left="1502" w:hanging="360"/>
      </w:pPr>
    </w:lvl>
    <w:lvl w:ilvl="2" w:tplc="0C09001B" w:tentative="1">
      <w:start w:val="1"/>
      <w:numFmt w:val="lowerRoman"/>
      <w:lvlText w:val="%3."/>
      <w:lvlJc w:val="right"/>
      <w:pPr>
        <w:ind w:left="2222" w:hanging="180"/>
      </w:pPr>
    </w:lvl>
    <w:lvl w:ilvl="3" w:tplc="0C09000F" w:tentative="1">
      <w:start w:val="1"/>
      <w:numFmt w:val="decimal"/>
      <w:lvlText w:val="%4."/>
      <w:lvlJc w:val="left"/>
      <w:pPr>
        <w:ind w:left="2942" w:hanging="360"/>
      </w:pPr>
    </w:lvl>
    <w:lvl w:ilvl="4" w:tplc="0C090019" w:tentative="1">
      <w:start w:val="1"/>
      <w:numFmt w:val="lowerLetter"/>
      <w:lvlText w:val="%5."/>
      <w:lvlJc w:val="left"/>
      <w:pPr>
        <w:ind w:left="3662" w:hanging="360"/>
      </w:pPr>
    </w:lvl>
    <w:lvl w:ilvl="5" w:tplc="0C09001B" w:tentative="1">
      <w:start w:val="1"/>
      <w:numFmt w:val="lowerRoman"/>
      <w:lvlText w:val="%6."/>
      <w:lvlJc w:val="right"/>
      <w:pPr>
        <w:ind w:left="4382" w:hanging="180"/>
      </w:pPr>
    </w:lvl>
    <w:lvl w:ilvl="6" w:tplc="0C09000F" w:tentative="1">
      <w:start w:val="1"/>
      <w:numFmt w:val="decimal"/>
      <w:lvlText w:val="%7."/>
      <w:lvlJc w:val="left"/>
      <w:pPr>
        <w:ind w:left="5102" w:hanging="360"/>
      </w:pPr>
    </w:lvl>
    <w:lvl w:ilvl="7" w:tplc="0C090019" w:tentative="1">
      <w:start w:val="1"/>
      <w:numFmt w:val="lowerLetter"/>
      <w:lvlText w:val="%8."/>
      <w:lvlJc w:val="left"/>
      <w:pPr>
        <w:ind w:left="5822" w:hanging="360"/>
      </w:pPr>
    </w:lvl>
    <w:lvl w:ilvl="8" w:tplc="0C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34D337B7"/>
    <w:multiLevelType w:val="hybridMultilevel"/>
    <w:tmpl w:val="2DC40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6F0801"/>
    <w:multiLevelType w:val="hybridMultilevel"/>
    <w:tmpl w:val="2DC40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3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</w:num>
  <w:num w:numId="21">
    <w:abstractNumId w:val="24"/>
  </w:num>
  <w:num w:numId="22">
    <w:abstractNumId w:val="22"/>
  </w:num>
  <w:num w:numId="23">
    <w:abstractNumId w:val="1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4"/>
  </w:num>
  <w:num w:numId="28">
    <w:abstractNumId w:val="19"/>
  </w:num>
  <w:num w:numId="29">
    <w:abstractNumId w:val="13"/>
  </w:num>
  <w:num w:numId="30">
    <w:abstractNumId w:val="15"/>
  </w:num>
  <w:num w:numId="31">
    <w:abstractNumId w:val="12"/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17"/>
  </w:num>
  <w:num w:numId="39">
    <w:abstractNumId w:val="24"/>
    <w:lvlOverride w:ilvl="0">
      <w:startOverride w:val="1"/>
    </w:lvlOverride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F7"/>
    <w:rsid w:val="00000547"/>
    <w:rsid w:val="00027038"/>
    <w:rsid w:val="0003154E"/>
    <w:rsid w:val="00037513"/>
    <w:rsid w:val="00050E86"/>
    <w:rsid w:val="0006627F"/>
    <w:rsid w:val="000B3417"/>
    <w:rsid w:val="000B6A28"/>
    <w:rsid w:val="000D749D"/>
    <w:rsid w:val="00115264"/>
    <w:rsid w:val="00116D08"/>
    <w:rsid w:val="00117A77"/>
    <w:rsid w:val="00140FEE"/>
    <w:rsid w:val="001611BF"/>
    <w:rsid w:val="0017436A"/>
    <w:rsid w:val="00180BF2"/>
    <w:rsid w:val="00187199"/>
    <w:rsid w:val="001954B4"/>
    <w:rsid w:val="001A0AFA"/>
    <w:rsid w:val="001A4177"/>
    <w:rsid w:val="001B2D56"/>
    <w:rsid w:val="001C4B47"/>
    <w:rsid w:val="001C50FD"/>
    <w:rsid w:val="001C574D"/>
    <w:rsid w:val="001E2E1B"/>
    <w:rsid w:val="001F15C1"/>
    <w:rsid w:val="00203ABE"/>
    <w:rsid w:val="00212266"/>
    <w:rsid w:val="00212443"/>
    <w:rsid w:val="00220DDA"/>
    <w:rsid w:val="00227DB5"/>
    <w:rsid w:val="0023241F"/>
    <w:rsid w:val="0024417B"/>
    <w:rsid w:val="00266CCC"/>
    <w:rsid w:val="00274D42"/>
    <w:rsid w:val="00275B1F"/>
    <w:rsid w:val="00285CAF"/>
    <w:rsid w:val="002B661A"/>
    <w:rsid w:val="002C7A05"/>
    <w:rsid w:val="002D0A99"/>
    <w:rsid w:val="002D195F"/>
    <w:rsid w:val="002D6B3D"/>
    <w:rsid w:val="002E2CBE"/>
    <w:rsid w:val="002E5916"/>
    <w:rsid w:val="0030197A"/>
    <w:rsid w:val="00302659"/>
    <w:rsid w:val="00303A4C"/>
    <w:rsid w:val="00303C55"/>
    <w:rsid w:val="00303D51"/>
    <w:rsid w:val="00307D64"/>
    <w:rsid w:val="00311C2D"/>
    <w:rsid w:val="00317030"/>
    <w:rsid w:val="00333C8F"/>
    <w:rsid w:val="00353E5E"/>
    <w:rsid w:val="00361020"/>
    <w:rsid w:val="00361CB2"/>
    <w:rsid w:val="00374D2A"/>
    <w:rsid w:val="00376FE6"/>
    <w:rsid w:val="00383FBD"/>
    <w:rsid w:val="00385BD5"/>
    <w:rsid w:val="003976C7"/>
    <w:rsid w:val="003A0B99"/>
    <w:rsid w:val="003C181D"/>
    <w:rsid w:val="003D204A"/>
    <w:rsid w:val="003D676D"/>
    <w:rsid w:val="003F23E9"/>
    <w:rsid w:val="00443F97"/>
    <w:rsid w:val="00464D89"/>
    <w:rsid w:val="0047290F"/>
    <w:rsid w:val="004820F7"/>
    <w:rsid w:val="00490B90"/>
    <w:rsid w:val="004A49A3"/>
    <w:rsid w:val="004B2C90"/>
    <w:rsid w:val="004B63E1"/>
    <w:rsid w:val="004C17DE"/>
    <w:rsid w:val="004C17EF"/>
    <w:rsid w:val="004F2035"/>
    <w:rsid w:val="004F4C4F"/>
    <w:rsid w:val="00503F82"/>
    <w:rsid w:val="005226B9"/>
    <w:rsid w:val="00551B0B"/>
    <w:rsid w:val="00552080"/>
    <w:rsid w:val="00561FB9"/>
    <w:rsid w:val="00591288"/>
    <w:rsid w:val="005917FD"/>
    <w:rsid w:val="005A4AA1"/>
    <w:rsid w:val="005B3358"/>
    <w:rsid w:val="005C0F15"/>
    <w:rsid w:val="005C3C13"/>
    <w:rsid w:val="005D4706"/>
    <w:rsid w:val="005D6B89"/>
    <w:rsid w:val="005E0244"/>
    <w:rsid w:val="005E6890"/>
    <w:rsid w:val="006147EB"/>
    <w:rsid w:val="006200C8"/>
    <w:rsid w:val="006200EB"/>
    <w:rsid w:val="00621EA3"/>
    <w:rsid w:val="00622341"/>
    <w:rsid w:val="00624DE3"/>
    <w:rsid w:val="00640234"/>
    <w:rsid w:val="0064343A"/>
    <w:rsid w:val="00665FB6"/>
    <w:rsid w:val="006A008F"/>
    <w:rsid w:val="006A5AA6"/>
    <w:rsid w:val="006B57DC"/>
    <w:rsid w:val="006E170D"/>
    <w:rsid w:val="006E698B"/>
    <w:rsid w:val="006F41B8"/>
    <w:rsid w:val="0070317A"/>
    <w:rsid w:val="0071548B"/>
    <w:rsid w:val="007203E4"/>
    <w:rsid w:val="007204A9"/>
    <w:rsid w:val="0074227D"/>
    <w:rsid w:val="00756929"/>
    <w:rsid w:val="00767DBB"/>
    <w:rsid w:val="00774646"/>
    <w:rsid w:val="00777D6F"/>
    <w:rsid w:val="00781695"/>
    <w:rsid w:val="00790ECB"/>
    <w:rsid w:val="00797C3A"/>
    <w:rsid w:val="007A02A7"/>
    <w:rsid w:val="007A0EE6"/>
    <w:rsid w:val="007C0935"/>
    <w:rsid w:val="007D3E3F"/>
    <w:rsid w:val="007F4E93"/>
    <w:rsid w:val="008046D4"/>
    <w:rsid w:val="00831D08"/>
    <w:rsid w:val="00833150"/>
    <w:rsid w:val="00833792"/>
    <w:rsid w:val="00852F35"/>
    <w:rsid w:val="00857363"/>
    <w:rsid w:val="0086395B"/>
    <w:rsid w:val="008704BC"/>
    <w:rsid w:val="008709BB"/>
    <w:rsid w:val="00872EDE"/>
    <w:rsid w:val="00880485"/>
    <w:rsid w:val="00883248"/>
    <w:rsid w:val="0089509A"/>
    <w:rsid w:val="008A0614"/>
    <w:rsid w:val="008A21F7"/>
    <w:rsid w:val="008B44F5"/>
    <w:rsid w:val="008C47A1"/>
    <w:rsid w:val="008C685F"/>
    <w:rsid w:val="008C738F"/>
    <w:rsid w:val="008D6B9E"/>
    <w:rsid w:val="008E1024"/>
    <w:rsid w:val="00913ED0"/>
    <w:rsid w:val="00927650"/>
    <w:rsid w:val="0094063E"/>
    <w:rsid w:val="00942CB6"/>
    <w:rsid w:val="00942CE9"/>
    <w:rsid w:val="00943503"/>
    <w:rsid w:val="00952B07"/>
    <w:rsid w:val="00954FF2"/>
    <w:rsid w:val="009615D2"/>
    <w:rsid w:val="00962EE8"/>
    <w:rsid w:val="00976EE9"/>
    <w:rsid w:val="00981E9B"/>
    <w:rsid w:val="00984376"/>
    <w:rsid w:val="009A6D9C"/>
    <w:rsid w:val="009C60F6"/>
    <w:rsid w:val="009E77DB"/>
    <w:rsid w:val="009F0889"/>
    <w:rsid w:val="009F0B4D"/>
    <w:rsid w:val="009F6A0F"/>
    <w:rsid w:val="00A008E6"/>
    <w:rsid w:val="00A12C83"/>
    <w:rsid w:val="00A14757"/>
    <w:rsid w:val="00A21176"/>
    <w:rsid w:val="00A22AD0"/>
    <w:rsid w:val="00A62EF3"/>
    <w:rsid w:val="00A650D4"/>
    <w:rsid w:val="00A918A7"/>
    <w:rsid w:val="00AA705F"/>
    <w:rsid w:val="00AC2566"/>
    <w:rsid w:val="00AC2CDC"/>
    <w:rsid w:val="00AD236D"/>
    <w:rsid w:val="00AD7805"/>
    <w:rsid w:val="00AE6129"/>
    <w:rsid w:val="00B12FA1"/>
    <w:rsid w:val="00B235FD"/>
    <w:rsid w:val="00B407A9"/>
    <w:rsid w:val="00B56736"/>
    <w:rsid w:val="00B6596F"/>
    <w:rsid w:val="00B7428C"/>
    <w:rsid w:val="00BA54C1"/>
    <w:rsid w:val="00BB1526"/>
    <w:rsid w:val="00BD171D"/>
    <w:rsid w:val="00BD57F5"/>
    <w:rsid w:val="00BE48A4"/>
    <w:rsid w:val="00BE56F0"/>
    <w:rsid w:val="00BF72B2"/>
    <w:rsid w:val="00C05A2C"/>
    <w:rsid w:val="00C12D35"/>
    <w:rsid w:val="00C47620"/>
    <w:rsid w:val="00C67859"/>
    <w:rsid w:val="00C70947"/>
    <w:rsid w:val="00C87076"/>
    <w:rsid w:val="00CA2D23"/>
    <w:rsid w:val="00CC6110"/>
    <w:rsid w:val="00CD40BC"/>
    <w:rsid w:val="00CF21F3"/>
    <w:rsid w:val="00CF76C9"/>
    <w:rsid w:val="00D03799"/>
    <w:rsid w:val="00D04E61"/>
    <w:rsid w:val="00D10635"/>
    <w:rsid w:val="00D44F71"/>
    <w:rsid w:val="00D500C1"/>
    <w:rsid w:val="00D525B8"/>
    <w:rsid w:val="00D633DB"/>
    <w:rsid w:val="00D67571"/>
    <w:rsid w:val="00D76E45"/>
    <w:rsid w:val="00D80316"/>
    <w:rsid w:val="00DA18A2"/>
    <w:rsid w:val="00DD7C3B"/>
    <w:rsid w:val="00DF2267"/>
    <w:rsid w:val="00DF2F8D"/>
    <w:rsid w:val="00E05FA4"/>
    <w:rsid w:val="00E11E02"/>
    <w:rsid w:val="00E224F4"/>
    <w:rsid w:val="00E2753F"/>
    <w:rsid w:val="00E84F06"/>
    <w:rsid w:val="00E86525"/>
    <w:rsid w:val="00E92551"/>
    <w:rsid w:val="00E93027"/>
    <w:rsid w:val="00EB5D8F"/>
    <w:rsid w:val="00EC417F"/>
    <w:rsid w:val="00ED0697"/>
    <w:rsid w:val="00EF4AD0"/>
    <w:rsid w:val="00F03073"/>
    <w:rsid w:val="00F4464D"/>
    <w:rsid w:val="00F45ED5"/>
    <w:rsid w:val="00F66078"/>
    <w:rsid w:val="00F86700"/>
    <w:rsid w:val="00F87586"/>
    <w:rsid w:val="00F957C6"/>
    <w:rsid w:val="00FC2768"/>
    <w:rsid w:val="00FD20A5"/>
    <w:rsid w:val="00FD2C22"/>
    <w:rsid w:val="00FE1EF7"/>
    <w:rsid w:val="00FE2C7F"/>
    <w:rsid w:val="00FE509C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E3F39D"/>
  <w14:discardImageEditingData/>
  <w15:chartTrackingRefBased/>
  <w15:docId w15:val="{6EDDD43B-97A4-4DB7-898E-9A168DF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 Semilight" w:eastAsiaTheme="minorEastAsia" w:hAnsi="Segoe UI Semilight" w:cstheme="minorBidi"/>
        <w:sz w:val="22"/>
        <w:szCs w:val="21"/>
        <w:lang w:val="en-AU" w:eastAsia="en-US" w:bidi="ar-SA"/>
      </w:rPr>
    </w:rPrDefault>
    <w:pPrDefault>
      <w:pPr>
        <w:spacing w:after="16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8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9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16" w:qFormat="1"/>
    <w:lsdException w:name="Intense Quote" w:locked="0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locked="0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F2"/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89509A"/>
    <w:pPr>
      <w:numPr>
        <w:ilvl w:val="1"/>
      </w:numPr>
      <w:spacing w:after="600"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89509A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6395B"/>
    <w:pPr>
      <w:keepNext/>
      <w:tabs>
        <w:tab w:val="left" w:pos="993"/>
      </w:tabs>
      <w:spacing w:before="240" w:after="120" w:line="288" w:lineRule="auto"/>
      <w:ind w:left="992" w:hanging="992"/>
    </w:pPr>
    <w:rPr>
      <w:rFonts w:ascii="Segoe UI" w:hAnsi="Segoe UI"/>
      <w:bCs/>
      <w:color w:val="3266AB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D76E45"/>
    <w:pPr>
      <w:spacing w:before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16"/>
    <w:rsid w:val="00D76E45"/>
    <w:rPr>
      <w:iCs/>
      <w:sz w:val="2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locked/>
    <w:rsid w:val="00790ECB"/>
    <w:pPr>
      <w:jc w:val="center"/>
    </w:pPr>
    <w:rPr>
      <w:rFonts w:ascii="Segoe UI" w:hAnsi="Segoe UI"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locked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790ECB"/>
    <w:rPr>
      <w:rFonts w:ascii="Segoe UI" w:hAnsi="Segoe UI"/>
      <w:color w:val="C00000"/>
      <w:sz w:val="18"/>
    </w:rPr>
  </w:style>
  <w:style w:type="paragraph" w:customStyle="1" w:styleId="BOXText">
    <w:name w:val="BOX Text"/>
    <w:basedOn w:val="Normal"/>
    <w:uiPriority w:val="4"/>
    <w:qFormat/>
    <w:locked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locked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locked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locked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TBLBulletedList">
    <w:name w:val="TBL Bulleted List"/>
    <w:basedOn w:val="Normal"/>
    <w:uiPriority w:val="10"/>
    <w:qFormat/>
    <w:locked/>
    <w:rsid w:val="00180BF2"/>
    <w:pPr>
      <w:numPr>
        <w:numId w:val="12"/>
      </w:numPr>
      <w:spacing w:after="0" w:line="240" w:lineRule="auto"/>
      <w:ind w:left="206" w:hanging="206"/>
    </w:pPr>
    <w:rPr>
      <w:sz w:val="18"/>
      <w:szCs w:val="18"/>
    </w:rPr>
  </w:style>
  <w:style w:type="paragraph" w:customStyle="1" w:styleId="TBLNumberedList">
    <w:name w:val="TBL Numbered List"/>
    <w:basedOn w:val="Normal"/>
    <w:uiPriority w:val="10"/>
    <w:qFormat/>
    <w:locked/>
    <w:rsid w:val="00180BF2"/>
    <w:pPr>
      <w:numPr>
        <w:numId w:val="13"/>
      </w:numPr>
      <w:spacing w:after="0" w:line="240" w:lineRule="auto"/>
      <w:ind w:left="270" w:hanging="270"/>
    </w:pPr>
    <w:rPr>
      <w:sz w:val="18"/>
      <w:szCs w:val="18"/>
    </w:rPr>
  </w:style>
  <w:style w:type="paragraph" w:customStyle="1" w:styleId="BOXHeading3">
    <w:name w:val="BOX Heading 3"/>
    <w:basedOn w:val="BOXHeading2"/>
    <w:next w:val="BOXText"/>
    <w:uiPriority w:val="6"/>
    <w:qFormat/>
    <w:locked/>
    <w:rsid w:val="009F0B4D"/>
    <w:pPr>
      <w:outlineLvl w:val="2"/>
    </w:pPr>
    <w:rPr>
      <w:rFonts w:ascii="Segoe UI Semibold" w:hAnsi="Segoe UI Semibold"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locked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locked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locked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locked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locked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locked/>
    <w:rsid w:val="00BD171D"/>
    <w:pPr>
      <w:numPr>
        <w:ilvl w:val="2"/>
        <w:numId w:val="2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NumberedList">
    <w:name w:val="BOX Numbered List"/>
    <w:basedOn w:val="BOXText"/>
    <w:uiPriority w:val="5"/>
    <w:qFormat/>
    <w:locked/>
    <w:rsid w:val="00BD171D"/>
    <w:pPr>
      <w:numPr>
        <w:numId w:val="28"/>
      </w:numPr>
      <w:ind w:left="584" w:hanging="357"/>
    </w:pPr>
  </w:style>
  <w:style w:type="table" w:customStyle="1" w:styleId="PMClinedrows">
    <w:name w:val="PM&amp;C (lined rows)"/>
    <w:basedOn w:val="TableNormal"/>
    <w:uiPriority w:val="99"/>
    <w:locked/>
    <w:rsid w:val="00E86525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="Segoe UI" w:hAnsi="Segoe UI"/>
        <w:b/>
        <w:sz w:val="18"/>
      </w:rPr>
      <w:tblPr/>
      <w:trPr>
        <w:cantSplit/>
        <w:tblHeader/>
      </w:trPr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70317A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5E6890"/>
    <w:rPr>
      <w:color w:val="1B375C" w:themeColor="followedHyperlink"/>
      <w:u w:val="single"/>
    </w:rPr>
  </w:style>
  <w:style w:type="table" w:customStyle="1" w:styleId="PMClinedcolumns">
    <w:name w:val="PM&amp;C (lined columns)"/>
    <w:basedOn w:val="PMClinedrows"/>
    <w:uiPriority w:val="99"/>
    <w:rsid w:val="0062234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="Segoe UI" w:hAnsi="Segoe UI"/>
        <w:b/>
        <w:sz w:val="18"/>
      </w:rPr>
      <w:tblPr/>
      <w:trPr>
        <w:cantSplit/>
        <w:tblHeader/>
      </w:trPr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OXHeading1">
    <w:name w:val="BOX Heading 1"/>
    <w:basedOn w:val="Heading1"/>
    <w:next w:val="BOXText"/>
    <w:uiPriority w:val="6"/>
    <w:qFormat/>
    <w:rsid w:val="00D67571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paragraph" w:customStyle="1" w:styleId="BOXHeading4">
    <w:name w:val="BOX Heading 4"/>
    <w:basedOn w:val="Heading4"/>
    <w:next w:val="BOXText"/>
    <w:uiPriority w:val="6"/>
    <w:qFormat/>
    <w:rsid w:val="00D67571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table" w:customStyle="1" w:styleId="PMClinedrows1">
    <w:name w:val="PM&amp;C (lined rows)1"/>
    <w:basedOn w:val="TableNormal"/>
    <w:uiPriority w:val="99"/>
    <w:locked/>
    <w:rsid w:val="009F0B4D"/>
    <w:pPr>
      <w:spacing w:after="0" w:line="240" w:lineRule="auto"/>
    </w:pPr>
    <w:rPr>
      <w:rFonts w:asciiTheme="minorHAnsi" w:hAnsiTheme="minorHAnsi"/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Style1">
    <w:name w:val="Style1"/>
    <w:basedOn w:val="BOXText"/>
    <w:qFormat/>
    <w:rsid w:val="00A21176"/>
    <w:pPr>
      <w:pBdr>
        <w:top w:val="single" w:sz="48" w:space="1" w:color="F0DDDC" w:themeColor="accent5" w:themeTint="33"/>
        <w:left w:val="single" w:sz="48" w:space="4" w:color="F0DDDC" w:themeColor="accent5" w:themeTint="33"/>
        <w:bottom w:val="single" w:sz="48" w:space="1" w:color="F0DDDC" w:themeColor="accent5" w:themeTint="33"/>
        <w:right w:val="single" w:sz="48" w:space="4" w:color="F0DDDC" w:themeColor="accent5" w:themeTint="33"/>
      </w:pBdr>
      <w:shd w:val="clear" w:color="auto" w:fill="F0DDDC" w:themeFill="accent5" w:themeFillTint="33"/>
    </w:pPr>
  </w:style>
  <w:style w:type="paragraph" w:styleId="BodyText">
    <w:name w:val="Body Text"/>
    <w:basedOn w:val="Normal"/>
    <w:link w:val="BodyTextChar"/>
    <w:uiPriority w:val="1"/>
    <w:qFormat/>
    <w:rsid w:val="00CD40BC"/>
    <w:pPr>
      <w:widowControl w:val="0"/>
      <w:autoSpaceDE w:val="0"/>
      <w:autoSpaceDN w:val="0"/>
      <w:spacing w:before="120" w:after="120" w:line="240" w:lineRule="auto"/>
    </w:pPr>
    <w:rPr>
      <w:rFonts w:asciiTheme="minorHAnsi" w:eastAsia="Times New Roman" w:hAnsiTheme="minorHAnsi" w:cs="Times New Roman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40BC"/>
    <w:rPr>
      <w:rFonts w:asciiTheme="minorHAnsi" w:eastAsia="Times New Roman" w:hAnsiTheme="minorHAnsi" w:cs="Times New Roman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4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mc.gov.au/resources/legislation-handboo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pmc.gov.au/resources/legislation-handboo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url?sa=t&amp;rct=j&amp;q=&amp;esrc=s&amp;source=web&amp;cd=&amp;ved=2ahUKEwiFzrmVqeKIAxUTr1YBHU6pMusQFnoECB0QAQ&amp;url=https%3A%2F%2Fwww.pmc.gov.au%2Fsites%2Fdefault%2Ffiles%2F2022-09%2Flegislation-handbook-appendix-d.pdf&amp;usg=AOvVaw2g5-ST35tGx9P37AHGkHgz&amp;opi=89978449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pc.gov.au/drafting-resources/client-resourc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8D198721045BA8F09D9E6433C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4F695-52C4-4DA4-8120-456CAB9711D8}"/>
      </w:docPartPr>
      <w:docPartBody>
        <w:p w:rsidR="00624279" w:rsidRDefault="00624279">
          <w:pPr>
            <w:pStyle w:val="1578D198721045BA8F09D9E6433C4822"/>
          </w:pPr>
          <w:r w:rsidRPr="00F13E4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79"/>
    <w:rsid w:val="006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279"/>
    <w:rPr>
      <w:color w:val="808080"/>
    </w:rPr>
  </w:style>
  <w:style w:type="paragraph" w:customStyle="1" w:styleId="1578D198721045BA8F09D9E6433C4822">
    <w:name w:val="1578D198721045BA8F09D9E6433C4822"/>
  </w:style>
  <w:style w:type="paragraph" w:customStyle="1" w:styleId="31A584316C3649A199B90E03AF5CD86F">
    <w:name w:val="31A584316C3649A199B90E03AF5CD86F"/>
    <w:rsid w:val="00624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PMCdoc-213507164-63873</_dlc_DocId>
    <_dlc_DocIdUrl xmlns="d0dfa800-9ef0-44cb-8a12-633e29de1e0b">
      <Url>https://pmc01.sharepoint.com/sites/pmc-ms-cb/_layouts/15/DocIdRedir.aspx?ID=PMCdoc-213507164-63873</Url>
      <Description>PMCdoc-213507164-63873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B6CA-6573-4305-8B65-890F40096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E6C22-74D4-4782-9267-C799861826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4B405F-4B3F-4239-B2FC-420B5AD46F8D}">
  <ds:schemaRefs>
    <ds:schemaRef ds:uri="ce530a30-1469-477c-a42f-e412a5d2cfe7"/>
    <ds:schemaRef ds:uri="http://purl.org/dc/terms/"/>
    <ds:schemaRef ds:uri="d0dfa800-9ef0-44cb-8a12-633e29de1e0b"/>
    <ds:schemaRef ds:uri="http://schemas.microsoft.com/office/2006/documentManagement/types"/>
    <ds:schemaRef ds:uri="e771ab56-0c5d-40e7-b080-2686d2b89623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CE6903-5AC1-4A2F-A793-4F6BF303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8A7A28-E5BE-4DD3-8077-34AB8123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parliamentary amendments</vt:lpstr>
    </vt:vector>
  </TitlesOfParts>
  <Manager>[Authoring Area]</Manager>
  <Company>Department of the Prime Minister and Cabinet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parliamentary amendments</dc:title>
  <dc:subject/>
  <cp:keywords/>
  <dc:description/>
  <dcterms:created xsi:type="dcterms:W3CDTF">2025-05-19T23:38:00Z</dcterms:created>
  <dcterms:modified xsi:type="dcterms:W3CDTF">2025-05-19T23:38:00Z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ContentTypeId">
    <vt:lpwstr>0x0101004F285619428CBE4886618267E9F1076D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MediaServiceImageTags">
    <vt:lpwstr/>
  </property>
  <property fmtid="{D5CDD505-2E9C-101B-9397-08002B2CF9AE}" pid="10" name="SecurityClassification">
    <vt:lpwstr>4;#OFFICIAL|9e0ec9cb-4e7f-4d4a-bd32-1ee7525c6d87</vt:lpwstr>
  </property>
  <property fmtid="{D5CDD505-2E9C-101B-9397-08002B2CF9AE}" pid="11" name="_dlc_DocIdItemGuid">
    <vt:lpwstr>78bdd85f-5c6f-446b-9255-8f319e1a36d5</vt:lpwstr>
  </property>
  <property fmtid="{D5CDD505-2E9C-101B-9397-08002B2CF9AE}" pid="12" name="InformationMarker">
    <vt:lpwstr/>
  </property>
</Properties>
</file>