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D100F" w14:textId="58AC7EFD" w:rsidR="006D090E" w:rsidRDefault="006D090E" w:rsidP="006D090E">
      <w:pPr>
        <w:tabs>
          <w:tab w:val="left" w:pos="3795"/>
        </w:tabs>
        <w:spacing w:before="2640"/>
      </w:pPr>
    </w:p>
    <w:p w14:paraId="2A5ABE88" w14:textId="08E89DCB" w:rsidR="006D090E" w:rsidRPr="00F957C6" w:rsidRDefault="00550709" w:rsidP="006D090E">
      <w:pPr>
        <w:pStyle w:val="Title"/>
        <w:ind w:left="1134"/>
      </w:pPr>
      <w:r>
        <w:t>Government Response | Royal Commission into the Robodebt Scheme</w:t>
      </w:r>
    </w:p>
    <w:p w14:paraId="764C43F1" w14:textId="16C9A2F9" w:rsidR="006D090E" w:rsidRDefault="006D090E" w:rsidP="006D090E">
      <w:pPr>
        <w:pStyle w:val="Subtitle"/>
        <w:ind w:left="1134"/>
      </w:pPr>
      <w:r>
        <w:t>November 2023</w:t>
      </w:r>
    </w:p>
    <w:p w14:paraId="68FD2E8C" w14:textId="6C19DB0D" w:rsidR="006D090E" w:rsidRPr="002C3B2B" w:rsidRDefault="006D090E" w:rsidP="006D090E">
      <w:pPr>
        <w:tabs>
          <w:tab w:val="left" w:pos="3795"/>
        </w:tabs>
        <w:spacing w:before="3240"/>
        <w:sectPr w:rsidR="006D090E" w:rsidRPr="002C3B2B" w:rsidSect="00B172C6">
          <w:headerReference w:type="default"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6E86835E" w14:textId="77777777" w:rsidR="005B7D84" w:rsidRPr="00591957" w:rsidRDefault="005B7D84" w:rsidP="006D090E">
      <w:pPr>
        <w:spacing w:before="1080"/>
        <w:rPr>
          <w:sz w:val="20"/>
        </w:rPr>
      </w:pPr>
      <w:bookmarkStart w:id="0" w:name="_Toc96091122"/>
      <w:bookmarkStart w:id="1" w:name="_Toc96094525"/>
      <w:bookmarkStart w:id="2" w:name="_Toc96094558"/>
      <w:bookmarkStart w:id="3" w:name="_Toc96326913"/>
      <w:r w:rsidRPr="00591957">
        <w:rPr>
          <w:sz w:val="20"/>
        </w:rPr>
        <w:lastRenderedPageBreak/>
        <w:t>© Commonwealth of Australia 20</w:t>
      </w:r>
      <w:r w:rsidR="007743B1">
        <w:rPr>
          <w:sz w:val="20"/>
        </w:rPr>
        <w:t>23</w:t>
      </w:r>
    </w:p>
    <w:p w14:paraId="396A9ED1" w14:textId="77777777" w:rsidR="00387B37" w:rsidRPr="00387B37" w:rsidRDefault="00387B37" w:rsidP="00387B37">
      <w:pPr>
        <w:rPr>
          <w:sz w:val="20"/>
        </w:rPr>
      </w:pPr>
      <w:r w:rsidRPr="00591957">
        <w:rPr>
          <w:b/>
          <w:sz w:val="20"/>
        </w:rPr>
        <w:t>ISBN:</w:t>
      </w:r>
      <w:r w:rsidRPr="00387B37">
        <w:rPr>
          <w:sz w:val="20"/>
        </w:rPr>
        <w:t xml:space="preserve"> 978-1-925365-36-8 (Online)</w:t>
      </w:r>
    </w:p>
    <w:p w14:paraId="4A5B8088" w14:textId="77777777" w:rsidR="00387B37" w:rsidRDefault="00387B37" w:rsidP="00387B37">
      <w:pPr>
        <w:rPr>
          <w:sz w:val="20"/>
        </w:rPr>
      </w:pPr>
      <w:r w:rsidRPr="00591957">
        <w:rPr>
          <w:b/>
          <w:sz w:val="20"/>
        </w:rPr>
        <w:t>ISBN:</w:t>
      </w:r>
      <w:r w:rsidRPr="00387B37">
        <w:rPr>
          <w:sz w:val="20"/>
        </w:rPr>
        <w:t xml:space="preserve"> 978-1-925365-37-5 (Print)</w:t>
      </w:r>
    </w:p>
    <w:p w14:paraId="335EBB9F" w14:textId="77777777" w:rsidR="005B7D84" w:rsidRPr="00591957" w:rsidRDefault="005B7D84" w:rsidP="00387B37">
      <w:pPr>
        <w:rPr>
          <w:b/>
          <w:sz w:val="20"/>
        </w:rPr>
      </w:pPr>
      <w:r w:rsidRPr="00591957">
        <w:rPr>
          <w:b/>
          <w:sz w:val="20"/>
        </w:rPr>
        <w:t>Copyright Notice</w:t>
      </w:r>
    </w:p>
    <w:p w14:paraId="545090E9" w14:textId="77777777" w:rsidR="005B7D84" w:rsidRDefault="005B7D84" w:rsidP="005B7D84">
      <w:pPr>
        <w:rPr>
          <w:sz w:val="20"/>
        </w:rPr>
      </w:pPr>
      <w:r w:rsidRPr="00591957">
        <w:rPr>
          <w:sz w:val="20"/>
        </w:rPr>
        <w:t>With the exception of the Commonwealth Coat of Arms, this work is licensed under a Creative Commons Attribution 4.0 International licence (CC BY 4.0)</w:t>
      </w:r>
      <w:r w:rsidR="007743B1">
        <w:rPr>
          <w:sz w:val="20"/>
        </w:rPr>
        <w:t xml:space="preserve"> </w:t>
      </w:r>
      <w:r w:rsidRPr="00591957">
        <w:rPr>
          <w:sz w:val="20"/>
        </w:rPr>
        <w:t>(</w:t>
      </w:r>
      <w:hyperlink r:id="rId15" w:history="1">
        <w:r w:rsidRPr="00591957">
          <w:rPr>
            <w:rStyle w:val="Hyperlink"/>
            <w:sz w:val="20"/>
          </w:rPr>
          <w:t>https://creativecommons.org/licenses/by/4.0/</w:t>
        </w:r>
      </w:hyperlink>
      <w:r w:rsidRPr="00591957">
        <w:rPr>
          <w:sz w:val="20"/>
        </w:rPr>
        <w:t>).</w:t>
      </w:r>
    </w:p>
    <w:p w14:paraId="31D425CB" w14:textId="77777777" w:rsidR="005B7D84" w:rsidRPr="00591957" w:rsidRDefault="005B7D84" w:rsidP="005B7D84">
      <w:pPr>
        <w:rPr>
          <w:sz w:val="20"/>
        </w:rPr>
      </w:pPr>
      <w:r>
        <w:rPr>
          <w:rFonts w:ascii="Arial" w:hAnsi="Arial" w:cs="Arial"/>
          <w:noProof/>
          <w:color w:val="1772AF"/>
          <w:sz w:val="18"/>
          <w:szCs w:val="18"/>
          <w:lang w:eastAsia="en-AU"/>
        </w:rPr>
        <w:drawing>
          <wp:inline distT="0" distB="0" distL="0" distR="0" wp14:anchorId="0606A0A6" wp14:editId="474DB3B5">
            <wp:extent cx="828675" cy="285750"/>
            <wp:effectExtent l="0" t="0" r="9525" b="0"/>
            <wp:docPr id="6" name="Picture 6"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p>
    <w:p w14:paraId="32BAACD8" w14:textId="77777777" w:rsidR="005B7D84" w:rsidRPr="00591957" w:rsidRDefault="005B7D84" w:rsidP="005B7D84">
      <w:pPr>
        <w:rPr>
          <w:b/>
          <w:sz w:val="20"/>
        </w:rPr>
      </w:pPr>
      <w:r w:rsidRPr="00591957">
        <w:rPr>
          <w:sz w:val="20"/>
        </w:rPr>
        <w:t xml:space="preserve"> </w:t>
      </w:r>
      <w:r w:rsidRPr="00591957">
        <w:rPr>
          <w:b/>
          <w:sz w:val="20"/>
        </w:rPr>
        <w:t>Third party copyright</w:t>
      </w:r>
    </w:p>
    <w:p w14:paraId="3E85BAFA" w14:textId="721BAAD8" w:rsidR="005B7D84" w:rsidRPr="00591957" w:rsidRDefault="005B7D84" w:rsidP="005B7D84">
      <w:pPr>
        <w:rPr>
          <w:sz w:val="20"/>
        </w:rPr>
      </w:pPr>
      <w:r w:rsidRPr="00591957">
        <w:rPr>
          <w:sz w:val="20"/>
        </w:rPr>
        <w:t>Wherever a third party holds copyright in this material, the copyright remains with that party. Their permission may be required to use the material. Please contact them directly.</w:t>
      </w:r>
    </w:p>
    <w:p w14:paraId="2B62E0DD" w14:textId="77777777" w:rsidR="005B7D84" w:rsidRPr="00591957" w:rsidRDefault="005B7D84" w:rsidP="005B7D84">
      <w:pPr>
        <w:rPr>
          <w:b/>
          <w:sz w:val="20"/>
        </w:rPr>
      </w:pPr>
      <w:r w:rsidRPr="00591957">
        <w:rPr>
          <w:b/>
          <w:sz w:val="20"/>
        </w:rPr>
        <w:t>Attribution</w:t>
      </w:r>
    </w:p>
    <w:p w14:paraId="0B59422C" w14:textId="77777777" w:rsidR="005B7D84" w:rsidRPr="00591957" w:rsidRDefault="005B7D84" w:rsidP="005B7D84">
      <w:pPr>
        <w:rPr>
          <w:sz w:val="20"/>
        </w:rPr>
      </w:pPr>
      <w:r w:rsidRPr="00591957">
        <w:rPr>
          <w:sz w:val="20"/>
        </w:rPr>
        <w:t>This publication should be attributed as follows:</w:t>
      </w:r>
    </w:p>
    <w:p w14:paraId="7A4C5B30" w14:textId="77777777" w:rsidR="005B7D84" w:rsidRPr="00591957" w:rsidRDefault="005B7D84" w:rsidP="005B7D84">
      <w:pPr>
        <w:rPr>
          <w:sz w:val="20"/>
        </w:rPr>
      </w:pPr>
      <w:r w:rsidRPr="00591957">
        <w:rPr>
          <w:sz w:val="20"/>
        </w:rPr>
        <w:t xml:space="preserve">© Commonwealth of Australia, Department of the Prime Minister and Cabinet, </w:t>
      </w:r>
      <w:r>
        <w:rPr>
          <w:sz w:val="20"/>
        </w:rPr>
        <w:t>Royal Commission into the Robodebt Scheme – Government Response.</w:t>
      </w:r>
    </w:p>
    <w:p w14:paraId="5E532C08" w14:textId="77777777" w:rsidR="005B7D84" w:rsidRPr="00591957" w:rsidRDefault="005B7D84" w:rsidP="005B7D84">
      <w:pPr>
        <w:rPr>
          <w:b/>
          <w:sz w:val="20"/>
        </w:rPr>
      </w:pPr>
      <w:r w:rsidRPr="00591957">
        <w:rPr>
          <w:b/>
          <w:sz w:val="20"/>
        </w:rPr>
        <w:t>Use of the Coat of Arms</w:t>
      </w:r>
    </w:p>
    <w:p w14:paraId="37CD28D1" w14:textId="77777777" w:rsidR="005B7D84" w:rsidRPr="00591957" w:rsidRDefault="005B7D84" w:rsidP="00591957">
      <w:pPr>
        <w:spacing w:after="0"/>
        <w:rPr>
          <w:sz w:val="20"/>
        </w:rPr>
      </w:pPr>
      <w:r w:rsidRPr="00591957">
        <w:rPr>
          <w:sz w:val="20"/>
        </w:rPr>
        <w:t>The terms under which the Coat of Arms can be used are detailed on the following website:</w:t>
      </w:r>
    </w:p>
    <w:p w14:paraId="54A3A1B5" w14:textId="77777777" w:rsidR="005B7D84" w:rsidRPr="00591957" w:rsidRDefault="009E2FAE" w:rsidP="005B7D84">
      <w:pPr>
        <w:rPr>
          <w:sz w:val="20"/>
        </w:rPr>
      </w:pPr>
      <w:hyperlink r:id="rId18" w:history="1">
        <w:r w:rsidR="005B7D84" w:rsidRPr="00591957">
          <w:rPr>
            <w:rStyle w:val="Hyperlink"/>
            <w:sz w:val="20"/>
          </w:rPr>
          <w:t>https://pmc.gov.au/cca</w:t>
        </w:r>
      </w:hyperlink>
      <w:r w:rsidR="005B7D84">
        <w:rPr>
          <w:sz w:val="20"/>
        </w:rPr>
        <w:t xml:space="preserve"> </w:t>
      </w:r>
    </w:p>
    <w:p w14:paraId="247F770B" w14:textId="77777777" w:rsidR="005B7D84" w:rsidRDefault="005B7D84">
      <w:pPr>
        <w:spacing w:after="200" w:line="288" w:lineRule="auto"/>
        <w:rPr>
          <w:rFonts w:asciiTheme="majorHAnsi" w:eastAsiaTheme="majorEastAsia" w:hAnsiTheme="majorHAnsi" w:cstheme="majorBidi"/>
          <w:noProof/>
          <w:color w:val="1B375C" w:themeColor="accent1"/>
          <w:sz w:val="24"/>
          <w:szCs w:val="24"/>
        </w:rPr>
      </w:pPr>
      <w:r>
        <w:rPr>
          <w:noProof/>
          <w:sz w:val="24"/>
          <w:szCs w:val="24"/>
        </w:rPr>
        <w:br w:type="page"/>
      </w:r>
    </w:p>
    <w:p w14:paraId="4906B61D" w14:textId="77777777" w:rsidR="00680081" w:rsidRPr="00F7557D" w:rsidRDefault="005D6599" w:rsidP="00091667">
      <w:pPr>
        <w:pStyle w:val="Heading1"/>
      </w:pPr>
      <w:r>
        <w:lastRenderedPageBreak/>
        <w:t xml:space="preserve">Ministerial </w:t>
      </w:r>
      <w:r w:rsidR="00680081" w:rsidRPr="00F7557D">
        <w:t>Foreword</w:t>
      </w:r>
    </w:p>
    <w:p w14:paraId="21855D90" w14:textId="77777777" w:rsidR="00AC0F46" w:rsidRPr="002264EF" w:rsidRDefault="00AC0F46" w:rsidP="0065101F">
      <w:pPr>
        <w:ind w:left="720"/>
        <w:rPr>
          <w:noProof/>
          <w:sz w:val="20"/>
          <w:szCs w:val="20"/>
        </w:rPr>
      </w:pPr>
      <w:r w:rsidRPr="002264EF">
        <w:rPr>
          <w:noProof/>
          <w:sz w:val="20"/>
          <w:szCs w:val="20"/>
        </w:rPr>
        <w:t>“</w:t>
      </w:r>
      <w:r w:rsidRPr="002264EF">
        <w:rPr>
          <w:i/>
          <w:noProof/>
          <w:sz w:val="20"/>
          <w:szCs w:val="20"/>
        </w:rPr>
        <w:t>Robodebt was a crude and cruel mechanism, neither fair nor legal, and it made many people feel like criminals. In essence, people were traumatised on the off-chance they might owe money. It was a costly failure of public administration, in both human and economic terms</w:t>
      </w:r>
      <w:r w:rsidRPr="002264EF">
        <w:rPr>
          <w:noProof/>
          <w:sz w:val="20"/>
          <w:szCs w:val="20"/>
        </w:rPr>
        <w:t>.”</w:t>
      </w:r>
      <w:r w:rsidR="004E5F0A">
        <w:rPr>
          <w:rStyle w:val="FootnoteReference"/>
          <w:noProof/>
          <w:sz w:val="20"/>
          <w:szCs w:val="20"/>
        </w:rPr>
        <w:footnoteReference w:id="2"/>
      </w:r>
    </w:p>
    <w:p w14:paraId="2829F12A" w14:textId="239EB74D" w:rsidR="00AC0F46" w:rsidRPr="002264EF" w:rsidRDefault="00AC0F46" w:rsidP="00AC0F46">
      <w:pPr>
        <w:ind w:left="284"/>
        <w:rPr>
          <w:noProof/>
          <w:sz w:val="20"/>
          <w:szCs w:val="20"/>
        </w:rPr>
      </w:pPr>
      <w:r w:rsidRPr="002264EF">
        <w:rPr>
          <w:noProof/>
          <w:sz w:val="20"/>
          <w:szCs w:val="20"/>
        </w:rPr>
        <w:t>With those words, the Royal Commission summed up the human tragedy that was the Robodebt Scheme – a Budget measure introduced by the Abbott Government, expanded by the Turnbull Government and defended, until the last minu</w:t>
      </w:r>
      <w:r w:rsidR="000C4695">
        <w:rPr>
          <w:noProof/>
          <w:sz w:val="20"/>
          <w:szCs w:val="20"/>
        </w:rPr>
        <w:t>te, by the Morrison Government.</w:t>
      </w:r>
    </w:p>
    <w:p w14:paraId="6C159E04" w14:textId="77777777" w:rsidR="00AC0F46" w:rsidRPr="002264EF" w:rsidRDefault="00AC0F46" w:rsidP="00AC0F46">
      <w:pPr>
        <w:ind w:left="284"/>
        <w:rPr>
          <w:noProof/>
          <w:sz w:val="20"/>
          <w:szCs w:val="20"/>
        </w:rPr>
      </w:pPr>
      <w:r w:rsidRPr="002264EF">
        <w:rPr>
          <w:noProof/>
          <w:sz w:val="20"/>
          <w:szCs w:val="20"/>
        </w:rPr>
        <w:t>The Robodebt Scheme was not an innocent mistake.</w:t>
      </w:r>
    </w:p>
    <w:p w14:paraId="145BDD6B" w14:textId="77777777" w:rsidR="00AC0F46" w:rsidRPr="002264EF" w:rsidRDefault="00AC0F46" w:rsidP="00AC0F46">
      <w:pPr>
        <w:ind w:left="284"/>
        <w:rPr>
          <w:noProof/>
          <w:sz w:val="20"/>
          <w:szCs w:val="20"/>
        </w:rPr>
      </w:pPr>
      <w:r w:rsidRPr="002264EF">
        <w:rPr>
          <w:noProof/>
          <w:sz w:val="20"/>
          <w:szCs w:val="20"/>
        </w:rPr>
        <w:t>The Royal Commission found that “[t]he beginning of 2017 was the point at which Robodebt’s unfairness, probable ille</w:t>
      </w:r>
      <w:r w:rsidR="00AE253D">
        <w:rPr>
          <w:noProof/>
          <w:sz w:val="20"/>
          <w:szCs w:val="20"/>
        </w:rPr>
        <w:t>gality and cruelty became apparen</w:t>
      </w:r>
      <w:r w:rsidRPr="002264EF">
        <w:rPr>
          <w:noProof/>
          <w:sz w:val="20"/>
          <w:szCs w:val="20"/>
        </w:rPr>
        <w:t>t”</w:t>
      </w:r>
      <w:r w:rsidR="0058706C">
        <w:rPr>
          <w:rStyle w:val="FootnoteReference"/>
          <w:noProof/>
          <w:sz w:val="20"/>
          <w:szCs w:val="20"/>
        </w:rPr>
        <w:footnoteReference w:id="3"/>
      </w:r>
      <w:r w:rsidRPr="002264EF">
        <w:rPr>
          <w:noProof/>
          <w:sz w:val="20"/>
          <w:szCs w:val="20"/>
        </w:rPr>
        <w:t>. But, instead of aband</w:t>
      </w:r>
      <w:r w:rsidR="00A34FC1">
        <w:rPr>
          <w:noProof/>
          <w:sz w:val="20"/>
          <w:szCs w:val="20"/>
        </w:rPr>
        <w:t>on</w:t>
      </w:r>
      <w:r w:rsidRPr="002264EF">
        <w:rPr>
          <w:noProof/>
          <w:sz w:val="20"/>
          <w:szCs w:val="20"/>
        </w:rPr>
        <w:t>ing or revising the Scheme, the Royal Commission found that the path taken by the former government “was to double down, to go on the attack in the media against those who complained and to maintain the falsehood that in fact the system had not changed at all”</w:t>
      </w:r>
      <w:r w:rsidR="0058706C">
        <w:rPr>
          <w:rStyle w:val="FootnoteReference"/>
          <w:noProof/>
          <w:sz w:val="20"/>
          <w:szCs w:val="20"/>
        </w:rPr>
        <w:footnoteReference w:id="4"/>
      </w:r>
      <w:r w:rsidRPr="002264EF">
        <w:rPr>
          <w:noProof/>
          <w:sz w:val="20"/>
          <w:szCs w:val="20"/>
        </w:rPr>
        <w:t>.</w:t>
      </w:r>
    </w:p>
    <w:p w14:paraId="2C7E2100" w14:textId="515FF7CE" w:rsidR="00AC0F46" w:rsidRPr="002264EF" w:rsidRDefault="00AC0F46" w:rsidP="00AC0F46">
      <w:pPr>
        <w:ind w:left="284"/>
        <w:rPr>
          <w:noProof/>
          <w:sz w:val="20"/>
          <w:szCs w:val="20"/>
        </w:rPr>
      </w:pPr>
      <w:r w:rsidRPr="002264EF">
        <w:rPr>
          <w:noProof/>
          <w:sz w:val="20"/>
          <w:szCs w:val="20"/>
        </w:rPr>
        <w:t xml:space="preserve">It was not until mid-2020 that the Robodebt Scheme finally came to an end. Not because the </w:t>
      </w:r>
      <w:r>
        <w:rPr>
          <w:noProof/>
          <w:sz w:val="20"/>
          <w:szCs w:val="20"/>
        </w:rPr>
        <w:t>former government</w:t>
      </w:r>
      <w:r w:rsidRPr="002264EF">
        <w:rPr>
          <w:noProof/>
          <w:sz w:val="20"/>
          <w:szCs w:val="20"/>
        </w:rPr>
        <w:t xml:space="preserve"> saw the error of its ways or finally came to its senses – but because the Federal Court found that the Scheme was unlawful. And yet to this day, people who served as senior Cabinet ministers in the former government continue to maintain that “[w]hen the problems were brought to the attention of the government at the time, the program was stopped”</w:t>
      </w:r>
      <w:r w:rsidR="0058706C">
        <w:rPr>
          <w:rStyle w:val="FootnoteReference"/>
          <w:noProof/>
          <w:sz w:val="20"/>
          <w:szCs w:val="20"/>
        </w:rPr>
        <w:footnoteReference w:id="5"/>
      </w:r>
      <w:r w:rsidR="00571D36">
        <w:rPr>
          <w:noProof/>
          <w:sz w:val="20"/>
          <w:szCs w:val="20"/>
        </w:rPr>
        <w:t>.</w:t>
      </w:r>
      <w:r w:rsidRPr="002264EF">
        <w:rPr>
          <w:noProof/>
          <w:sz w:val="20"/>
          <w:szCs w:val="20"/>
        </w:rPr>
        <w:t xml:space="preserve"> Such claims are demonstrably false and an insult to the hundreds of thousands of Australians harmed by the Robodebt Scheme – most of whom were targeted after the point at which the Royal Commission found the Scheme’s “unfairness, probable illegality and cruelty became apparent”</w:t>
      </w:r>
      <w:r w:rsidR="0058706C">
        <w:rPr>
          <w:rStyle w:val="FootnoteReference"/>
          <w:noProof/>
          <w:sz w:val="20"/>
          <w:szCs w:val="20"/>
        </w:rPr>
        <w:footnoteReference w:id="6"/>
      </w:r>
      <w:r w:rsidR="00571D36">
        <w:rPr>
          <w:noProof/>
          <w:sz w:val="20"/>
          <w:szCs w:val="20"/>
        </w:rPr>
        <w:t>.</w:t>
      </w:r>
      <w:r w:rsidRPr="002264EF">
        <w:rPr>
          <w:noProof/>
          <w:sz w:val="20"/>
          <w:szCs w:val="20"/>
        </w:rPr>
        <w:t xml:space="preserve"> Those who shared their stories with the Royal Commission and who campaigned tirelessly to raise the alarm bells about the gross betra</w:t>
      </w:r>
      <w:r w:rsidR="0058706C">
        <w:rPr>
          <w:noProof/>
          <w:sz w:val="20"/>
          <w:szCs w:val="20"/>
        </w:rPr>
        <w:t>y</w:t>
      </w:r>
      <w:r w:rsidRPr="002264EF">
        <w:rPr>
          <w:noProof/>
          <w:sz w:val="20"/>
          <w:szCs w:val="20"/>
        </w:rPr>
        <w:t>al that was the Robodebt Scheme deserve better.</w:t>
      </w:r>
    </w:p>
    <w:p w14:paraId="7390FEF3" w14:textId="77777777" w:rsidR="00AC0F46" w:rsidRDefault="00AC0F46" w:rsidP="00AC0F46">
      <w:pPr>
        <w:ind w:left="284"/>
        <w:rPr>
          <w:noProof/>
          <w:sz w:val="20"/>
          <w:szCs w:val="20"/>
        </w:rPr>
      </w:pPr>
      <w:r w:rsidRPr="002264EF">
        <w:rPr>
          <w:noProof/>
          <w:sz w:val="20"/>
          <w:szCs w:val="20"/>
        </w:rPr>
        <w:t xml:space="preserve">While ministers of the former government </w:t>
      </w:r>
      <w:r>
        <w:rPr>
          <w:noProof/>
          <w:sz w:val="20"/>
          <w:szCs w:val="20"/>
        </w:rPr>
        <w:t>bear</w:t>
      </w:r>
      <w:r w:rsidRPr="002264EF">
        <w:rPr>
          <w:noProof/>
          <w:sz w:val="20"/>
          <w:szCs w:val="20"/>
        </w:rPr>
        <w:t xml:space="preserve"> ultimate responsi</w:t>
      </w:r>
      <w:r>
        <w:rPr>
          <w:noProof/>
          <w:sz w:val="20"/>
          <w:szCs w:val="20"/>
        </w:rPr>
        <w:t>bility</w:t>
      </w:r>
      <w:r w:rsidRPr="002264EF">
        <w:rPr>
          <w:noProof/>
          <w:sz w:val="20"/>
          <w:szCs w:val="20"/>
        </w:rPr>
        <w:t xml:space="preserve"> for the Robodebt Scheme</w:t>
      </w:r>
      <w:r>
        <w:rPr>
          <w:noProof/>
          <w:sz w:val="20"/>
          <w:szCs w:val="20"/>
        </w:rPr>
        <w:t>,</w:t>
      </w:r>
      <w:r w:rsidRPr="002264EF">
        <w:rPr>
          <w:noProof/>
          <w:sz w:val="20"/>
          <w:szCs w:val="20"/>
        </w:rPr>
        <w:t xml:space="preserve"> the Royal Commission found serious failings within the Australian Public Service</w:t>
      </w:r>
      <w:r>
        <w:rPr>
          <w:noProof/>
          <w:sz w:val="20"/>
          <w:szCs w:val="20"/>
        </w:rPr>
        <w:t xml:space="preserve"> </w:t>
      </w:r>
      <w:r w:rsidRPr="002264EF">
        <w:rPr>
          <w:noProof/>
          <w:sz w:val="20"/>
          <w:szCs w:val="20"/>
        </w:rPr>
        <w:t>and with the institutional checks and balances that should have put a stop to the Robodebt Scheme long before the Federal Court found it unlawful.</w:t>
      </w:r>
    </w:p>
    <w:p w14:paraId="1C91AC83" w14:textId="7B62B389" w:rsidR="00680081" w:rsidRDefault="00680081" w:rsidP="00B81FBA">
      <w:pPr>
        <w:ind w:left="284"/>
        <w:rPr>
          <w:noProof/>
          <w:sz w:val="20"/>
          <w:szCs w:val="20"/>
        </w:rPr>
      </w:pPr>
      <w:r w:rsidRPr="009527B4">
        <w:rPr>
          <w:noProof/>
          <w:sz w:val="20"/>
          <w:szCs w:val="20"/>
        </w:rPr>
        <w:t xml:space="preserve">Commissioner Holmes </w:t>
      </w:r>
      <w:r>
        <w:rPr>
          <w:noProof/>
          <w:sz w:val="20"/>
          <w:szCs w:val="20"/>
        </w:rPr>
        <w:t xml:space="preserve">AC SC </w:t>
      </w:r>
      <w:r w:rsidRPr="009527B4">
        <w:rPr>
          <w:noProof/>
          <w:sz w:val="20"/>
          <w:szCs w:val="20"/>
        </w:rPr>
        <w:t>made 56 recommendations for reform</w:t>
      </w:r>
      <w:r w:rsidR="000C4695">
        <w:rPr>
          <w:noProof/>
          <w:sz w:val="20"/>
          <w:szCs w:val="20"/>
        </w:rPr>
        <w:t>.</w:t>
      </w:r>
    </w:p>
    <w:p w14:paraId="1B93E2C0" w14:textId="1333181C" w:rsidR="004767DF" w:rsidRDefault="00680081" w:rsidP="004767DF">
      <w:pPr>
        <w:ind w:left="284"/>
        <w:rPr>
          <w:noProof/>
          <w:sz w:val="20"/>
          <w:szCs w:val="20"/>
        </w:rPr>
      </w:pPr>
      <w:r>
        <w:rPr>
          <w:noProof/>
          <w:sz w:val="20"/>
          <w:szCs w:val="20"/>
        </w:rPr>
        <w:t xml:space="preserve">We have worked through the Commissioner’s </w:t>
      </w:r>
      <w:r w:rsidRPr="00185714">
        <w:rPr>
          <w:noProof/>
          <w:sz w:val="20"/>
          <w:szCs w:val="20"/>
        </w:rPr>
        <w:t xml:space="preserve">recommendations carefully. The Australian Government has accepted </w:t>
      </w:r>
      <w:r w:rsidR="00CD2D1A" w:rsidRPr="00185714">
        <w:rPr>
          <w:noProof/>
          <w:sz w:val="20"/>
          <w:szCs w:val="20"/>
        </w:rPr>
        <w:t>or accepted in principle all 56</w:t>
      </w:r>
      <w:r w:rsidRPr="00185714">
        <w:rPr>
          <w:noProof/>
          <w:sz w:val="20"/>
          <w:szCs w:val="20"/>
        </w:rPr>
        <w:t xml:space="preserve"> recommendations. </w:t>
      </w:r>
      <w:r w:rsidRPr="007F0926">
        <w:rPr>
          <w:noProof/>
          <w:sz w:val="20"/>
          <w:szCs w:val="20"/>
        </w:rPr>
        <w:t>This is backed up by resources to ensure we deliver meaningful change.</w:t>
      </w:r>
      <w:r w:rsidRPr="00185714">
        <w:rPr>
          <w:noProof/>
          <w:sz w:val="20"/>
          <w:szCs w:val="20"/>
        </w:rPr>
        <w:t xml:space="preserve"> For some recommendations</w:t>
      </w:r>
      <w:r>
        <w:rPr>
          <w:noProof/>
          <w:sz w:val="20"/>
          <w:szCs w:val="20"/>
        </w:rPr>
        <w:t xml:space="preserve">, we have gone further than the </w:t>
      </w:r>
      <w:r>
        <w:rPr>
          <w:noProof/>
          <w:sz w:val="20"/>
          <w:szCs w:val="20"/>
        </w:rPr>
        <w:lastRenderedPageBreak/>
        <w:t xml:space="preserve">Commissioner recommended. </w:t>
      </w:r>
      <w:r w:rsidR="004767DF">
        <w:rPr>
          <w:noProof/>
          <w:sz w:val="20"/>
          <w:szCs w:val="20"/>
        </w:rPr>
        <w:t>For others, we are implementing them in a way that achieves the objective and</w:t>
      </w:r>
      <w:r w:rsidR="000C4695">
        <w:rPr>
          <w:noProof/>
          <w:sz w:val="20"/>
          <w:szCs w:val="20"/>
        </w:rPr>
        <w:t xml:space="preserve"> ensures lasting effectiveness.</w:t>
      </w:r>
    </w:p>
    <w:p w14:paraId="136EAC54" w14:textId="4C3F4C74" w:rsidR="004767DF" w:rsidRPr="009527B4" w:rsidRDefault="004767DF" w:rsidP="004767DF">
      <w:pPr>
        <w:ind w:left="284"/>
        <w:rPr>
          <w:noProof/>
          <w:sz w:val="20"/>
          <w:szCs w:val="20"/>
        </w:rPr>
      </w:pPr>
      <w:r w:rsidRPr="009527B4">
        <w:rPr>
          <w:noProof/>
          <w:sz w:val="20"/>
          <w:szCs w:val="20"/>
        </w:rPr>
        <w:t>The A</w:t>
      </w:r>
      <w:r>
        <w:rPr>
          <w:noProof/>
          <w:sz w:val="20"/>
          <w:szCs w:val="20"/>
        </w:rPr>
        <w:t>ustralian</w:t>
      </w:r>
      <w:r w:rsidRPr="009527B4">
        <w:rPr>
          <w:noProof/>
          <w:sz w:val="20"/>
          <w:szCs w:val="20"/>
        </w:rPr>
        <w:t xml:space="preserve"> Government thanks Commissioner Holmes and her team for their dedication, professionalism and forensic work </w:t>
      </w:r>
      <w:r>
        <w:rPr>
          <w:noProof/>
          <w:sz w:val="20"/>
          <w:szCs w:val="20"/>
        </w:rPr>
        <w:t>on</w:t>
      </w:r>
      <w:r w:rsidRPr="009527B4">
        <w:rPr>
          <w:noProof/>
          <w:sz w:val="20"/>
          <w:szCs w:val="20"/>
        </w:rPr>
        <w:t xml:space="preserve"> the Royal Commission.</w:t>
      </w:r>
    </w:p>
    <w:p w14:paraId="17D5DE6C" w14:textId="77777777" w:rsidR="004767DF" w:rsidRPr="009527B4" w:rsidRDefault="004767DF" w:rsidP="004767DF">
      <w:pPr>
        <w:ind w:left="284"/>
        <w:rPr>
          <w:noProof/>
          <w:sz w:val="20"/>
          <w:szCs w:val="20"/>
        </w:rPr>
      </w:pPr>
      <w:r w:rsidRPr="009527B4">
        <w:rPr>
          <w:noProof/>
          <w:sz w:val="20"/>
          <w:szCs w:val="20"/>
        </w:rPr>
        <w:t>To those who shared their stories with the Royal Commission – thank you.</w:t>
      </w:r>
    </w:p>
    <w:p w14:paraId="02C288CA" w14:textId="77777777" w:rsidR="004767DF" w:rsidRPr="009527B4" w:rsidRDefault="004767DF" w:rsidP="004767DF">
      <w:pPr>
        <w:ind w:left="284"/>
        <w:rPr>
          <w:noProof/>
          <w:sz w:val="20"/>
          <w:szCs w:val="20"/>
        </w:rPr>
      </w:pPr>
      <w:r w:rsidRPr="009527B4">
        <w:rPr>
          <w:noProof/>
          <w:sz w:val="20"/>
          <w:szCs w:val="20"/>
        </w:rPr>
        <w:t>Througho</w:t>
      </w:r>
      <w:r>
        <w:rPr>
          <w:noProof/>
          <w:sz w:val="20"/>
          <w:szCs w:val="20"/>
        </w:rPr>
        <w:t xml:space="preserve">ut the Royal Commission </w:t>
      </w:r>
      <w:r w:rsidRPr="009527B4">
        <w:rPr>
          <w:noProof/>
          <w:sz w:val="20"/>
          <w:szCs w:val="20"/>
        </w:rPr>
        <w:t xml:space="preserve">we </w:t>
      </w:r>
      <w:r>
        <w:rPr>
          <w:noProof/>
          <w:sz w:val="20"/>
          <w:szCs w:val="20"/>
        </w:rPr>
        <w:t>saw</w:t>
      </w:r>
      <w:r w:rsidRPr="009527B4">
        <w:rPr>
          <w:noProof/>
          <w:sz w:val="20"/>
          <w:szCs w:val="20"/>
        </w:rPr>
        <w:t xml:space="preserve"> courage, leadership and ethics on display from victi</w:t>
      </w:r>
      <w:r>
        <w:rPr>
          <w:noProof/>
          <w:sz w:val="20"/>
          <w:szCs w:val="20"/>
        </w:rPr>
        <w:t>ms, advocates and whistle</w:t>
      </w:r>
      <w:r w:rsidRPr="009527B4">
        <w:rPr>
          <w:noProof/>
          <w:sz w:val="20"/>
          <w:szCs w:val="20"/>
        </w:rPr>
        <w:t>blowers.</w:t>
      </w:r>
    </w:p>
    <w:p w14:paraId="7C065FA8" w14:textId="3ED5DFF5" w:rsidR="004767DF" w:rsidRPr="009527B4" w:rsidRDefault="004767DF" w:rsidP="004767DF">
      <w:pPr>
        <w:ind w:left="284"/>
        <w:rPr>
          <w:noProof/>
          <w:sz w:val="20"/>
          <w:szCs w:val="20"/>
        </w:rPr>
      </w:pPr>
      <w:r w:rsidRPr="009527B4">
        <w:rPr>
          <w:noProof/>
          <w:sz w:val="20"/>
          <w:szCs w:val="20"/>
        </w:rPr>
        <w:t xml:space="preserve">To the millions of Australians who interact with government services every day – </w:t>
      </w:r>
      <w:r>
        <w:rPr>
          <w:noProof/>
          <w:sz w:val="20"/>
          <w:szCs w:val="20"/>
        </w:rPr>
        <w:t xml:space="preserve">we are committed to </w:t>
      </w:r>
      <w:r w:rsidRPr="009527B4">
        <w:rPr>
          <w:noProof/>
          <w:sz w:val="20"/>
          <w:szCs w:val="20"/>
        </w:rPr>
        <w:t>put</w:t>
      </w:r>
      <w:r>
        <w:rPr>
          <w:noProof/>
          <w:sz w:val="20"/>
          <w:szCs w:val="20"/>
        </w:rPr>
        <w:t>ting</w:t>
      </w:r>
      <w:r w:rsidRPr="009527B4">
        <w:rPr>
          <w:noProof/>
          <w:sz w:val="20"/>
          <w:szCs w:val="20"/>
        </w:rPr>
        <w:t xml:space="preserve"> </w:t>
      </w:r>
      <w:r>
        <w:rPr>
          <w:noProof/>
          <w:sz w:val="20"/>
          <w:szCs w:val="20"/>
        </w:rPr>
        <w:t>you back at the centre of policy design and service delivery</w:t>
      </w:r>
      <w:r w:rsidRPr="009527B4">
        <w:rPr>
          <w:noProof/>
          <w:sz w:val="20"/>
          <w:szCs w:val="20"/>
        </w:rPr>
        <w:t xml:space="preserve">. </w:t>
      </w:r>
      <w:r>
        <w:rPr>
          <w:noProof/>
          <w:sz w:val="20"/>
          <w:szCs w:val="20"/>
        </w:rPr>
        <w:t>We</w:t>
      </w:r>
      <w:r w:rsidRPr="009527B4">
        <w:rPr>
          <w:noProof/>
          <w:sz w:val="20"/>
          <w:szCs w:val="20"/>
        </w:rPr>
        <w:t xml:space="preserve"> are here to se</w:t>
      </w:r>
      <w:r>
        <w:rPr>
          <w:noProof/>
          <w:sz w:val="20"/>
          <w:szCs w:val="20"/>
        </w:rPr>
        <w:t xml:space="preserve">rve you </w:t>
      </w:r>
      <w:r w:rsidRPr="009527B4">
        <w:rPr>
          <w:noProof/>
          <w:sz w:val="20"/>
          <w:szCs w:val="20"/>
        </w:rPr>
        <w:t>respectfully</w:t>
      </w:r>
      <w:r>
        <w:rPr>
          <w:noProof/>
          <w:sz w:val="20"/>
          <w:szCs w:val="20"/>
        </w:rPr>
        <w:t xml:space="preserve"> and</w:t>
      </w:r>
      <w:r w:rsidRPr="009527B4">
        <w:rPr>
          <w:noProof/>
          <w:sz w:val="20"/>
          <w:szCs w:val="20"/>
        </w:rPr>
        <w:t xml:space="preserve"> responsively</w:t>
      </w:r>
      <w:r>
        <w:rPr>
          <w:noProof/>
          <w:sz w:val="20"/>
          <w:szCs w:val="20"/>
        </w:rPr>
        <w:t>,</w:t>
      </w:r>
      <w:r w:rsidRPr="009527B4">
        <w:rPr>
          <w:noProof/>
          <w:sz w:val="20"/>
          <w:szCs w:val="20"/>
        </w:rPr>
        <w:t xml:space="preserve"> with your needs and aspirations at the </w:t>
      </w:r>
      <w:r>
        <w:rPr>
          <w:noProof/>
          <w:sz w:val="20"/>
          <w:szCs w:val="20"/>
        </w:rPr>
        <w:t xml:space="preserve">heart </w:t>
      </w:r>
      <w:r w:rsidR="000C4695">
        <w:rPr>
          <w:noProof/>
          <w:sz w:val="20"/>
          <w:szCs w:val="20"/>
        </w:rPr>
        <w:t>of what we do.</w:t>
      </w:r>
    </w:p>
    <w:p w14:paraId="1B90ABAB" w14:textId="045D7D9B" w:rsidR="004767DF" w:rsidRPr="009527B4" w:rsidRDefault="004767DF" w:rsidP="004767DF">
      <w:pPr>
        <w:ind w:left="284"/>
        <w:rPr>
          <w:noProof/>
          <w:sz w:val="20"/>
          <w:szCs w:val="20"/>
        </w:rPr>
      </w:pPr>
      <w:r w:rsidRPr="009527B4">
        <w:rPr>
          <w:noProof/>
          <w:sz w:val="20"/>
          <w:szCs w:val="20"/>
        </w:rPr>
        <w:t xml:space="preserve">To the </w:t>
      </w:r>
      <w:r>
        <w:rPr>
          <w:noProof/>
          <w:sz w:val="20"/>
          <w:szCs w:val="20"/>
        </w:rPr>
        <w:t>Australian Public S</w:t>
      </w:r>
      <w:r w:rsidRPr="009527B4">
        <w:rPr>
          <w:noProof/>
          <w:sz w:val="20"/>
          <w:szCs w:val="20"/>
        </w:rPr>
        <w:t xml:space="preserve">ervants delivering services, and to those developing policy </w:t>
      </w:r>
      <w:r>
        <w:rPr>
          <w:noProof/>
          <w:sz w:val="20"/>
          <w:szCs w:val="20"/>
        </w:rPr>
        <w:t xml:space="preserve">and programs </w:t>
      </w:r>
      <w:r w:rsidRPr="009527B4">
        <w:rPr>
          <w:noProof/>
          <w:sz w:val="20"/>
          <w:szCs w:val="20"/>
        </w:rPr>
        <w:t xml:space="preserve">– your work matters. Your </w:t>
      </w:r>
      <w:r>
        <w:rPr>
          <w:noProof/>
          <w:sz w:val="20"/>
          <w:szCs w:val="20"/>
        </w:rPr>
        <w:t xml:space="preserve">integrity matters. Each day </w:t>
      </w:r>
      <w:r w:rsidRPr="009527B4">
        <w:rPr>
          <w:noProof/>
          <w:sz w:val="20"/>
          <w:szCs w:val="20"/>
        </w:rPr>
        <w:t xml:space="preserve">dedicated to public service is </w:t>
      </w:r>
      <w:r>
        <w:rPr>
          <w:noProof/>
          <w:sz w:val="20"/>
          <w:szCs w:val="20"/>
        </w:rPr>
        <w:t xml:space="preserve">a day </w:t>
      </w:r>
      <w:r w:rsidRPr="009527B4">
        <w:rPr>
          <w:noProof/>
          <w:sz w:val="20"/>
          <w:szCs w:val="20"/>
        </w:rPr>
        <w:t>dedicated to working for Australians</w:t>
      </w:r>
      <w:r w:rsidR="000C4695">
        <w:rPr>
          <w:noProof/>
          <w:sz w:val="20"/>
          <w:szCs w:val="20"/>
        </w:rPr>
        <w:t xml:space="preserve"> and making their lives better.</w:t>
      </w:r>
    </w:p>
    <w:p w14:paraId="18167E70" w14:textId="538E7FE0" w:rsidR="004767DF" w:rsidRDefault="004767DF" w:rsidP="004767DF">
      <w:pPr>
        <w:ind w:left="284"/>
        <w:rPr>
          <w:noProof/>
          <w:sz w:val="20"/>
          <w:szCs w:val="20"/>
        </w:rPr>
      </w:pPr>
      <w:r>
        <w:rPr>
          <w:noProof/>
          <w:sz w:val="20"/>
          <w:szCs w:val="20"/>
        </w:rPr>
        <w:t xml:space="preserve">The Australian Government and Ministers </w:t>
      </w:r>
      <w:r w:rsidRPr="009527B4">
        <w:rPr>
          <w:noProof/>
          <w:sz w:val="20"/>
          <w:szCs w:val="20"/>
        </w:rPr>
        <w:t>must act in the be</w:t>
      </w:r>
      <w:r>
        <w:rPr>
          <w:noProof/>
          <w:sz w:val="20"/>
          <w:szCs w:val="20"/>
        </w:rPr>
        <w:t xml:space="preserve">st interests of the Australian community. </w:t>
      </w:r>
      <w:r w:rsidRPr="009527B4">
        <w:rPr>
          <w:noProof/>
          <w:sz w:val="20"/>
          <w:szCs w:val="20"/>
        </w:rPr>
        <w:t xml:space="preserve">Many of the </w:t>
      </w:r>
      <w:r>
        <w:rPr>
          <w:noProof/>
          <w:sz w:val="20"/>
          <w:szCs w:val="20"/>
        </w:rPr>
        <w:t xml:space="preserve">Royal Commission’s findings </w:t>
      </w:r>
      <w:r w:rsidRPr="009527B4">
        <w:rPr>
          <w:noProof/>
          <w:sz w:val="20"/>
          <w:szCs w:val="20"/>
        </w:rPr>
        <w:t xml:space="preserve">align with the priorities and reforms the Australian Government took to the Australian people at the last election – </w:t>
      </w:r>
      <w:r>
        <w:rPr>
          <w:noProof/>
          <w:sz w:val="20"/>
          <w:szCs w:val="20"/>
        </w:rPr>
        <w:t>building trust in government, investing in a capable</w:t>
      </w:r>
      <w:r w:rsidRPr="009527B4">
        <w:rPr>
          <w:noProof/>
          <w:sz w:val="20"/>
          <w:szCs w:val="20"/>
        </w:rPr>
        <w:t xml:space="preserve"> public sector, delivering strong institutions and ensuring humans are put back </w:t>
      </w:r>
      <w:r>
        <w:rPr>
          <w:noProof/>
          <w:sz w:val="20"/>
          <w:szCs w:val="20"/>
        </w:rPr>
        <w:t>at</w:t>
      </w:r>
      <w:r w:rsidRPr="009527B4">
        <w:rPr>
          <w:noProof/>
          <w:sz w:val="20"/>
          <w:szCs w:val="20"/>
        </w:rPr>
        <w:t xml:space="preserve"> the centre of human</w:t>
      </w:r>
      <w:r w:rsidR="000C4695">
        <w:rPr>
          <w:noProof/>
          <w:sz w:val="20"/>
          <w:szCs w:val="20"/>
        </w:rPr>
        <w:t xml:space="preserve"> services and service delivery.</w:t>
      </w:r>
    </w:p>
    <w:p w14:paraId="5EABD6BA" w14:textId="7B88EF36" w:rsidR="00680081" w:rsidRDefault="004767DF" w:rsidP="000C4695">
      <w:pPr>
        <w:spacing w:after="480"/>
        <w:ind w:left="284"/>
        <w:rPr>
          <w:noProof/>
          <w:sz w:val="20"/>
          <w:szCs w:val="20"/>
        </w:rPr>
      </w:pPr>
      <w:r w:rsidRPr="009527B4">
        <w:rPr>
          <w:noProof/>
          <w:sz w:val="20"/>
          <w:szCs w:val="20"/>
        </w:rPr>
        <w:t>Th</w:t>
      </w:r>
      <w:r>
        <w:rPr>
          <w:noProof/>
          <w:sz w:val="20"/>
          <w:szCs w:val="20"/>
        </w:rPr>
        <w:t>is</w:t>
      </w:r>
      <w:r w:rsidRPr="009527B4">
        <w:rPr>
          <w:noProof/>
          <w:sz w:val="20"/>
          <w:szCs w:val="20"/>
        </w:rPr>
        <w:t xml:space="preserve"> Response </w:t>
      </w:r>
      <w:r>
        <w:rPr>
          <w:noProof/>
          <w:sz w:val="20"/>
          <w:szCs w:val="20"/>
        </w:rPr>
        <w:t xml:space="preserve">reinforces </w:t>
      </w:r>
      <w:r w:rsidRPr="009527B4">
        <w:rPr>
          <w:noProof/>
          <w:sz w:val="20"/>
          <w:szCs w:val="20"/>
        </w:rPr>
        <w:t xml:space="preserve">the </w:t>
      </w:r>
      <w:r>
        <w:rPr>
          <w:noProof/>
          <w:sz w:val="20"/>
          <w:szCs w:val="20"/>
        </w:rPr>
        <w:t xml:space="preserve">Australian </w:t>
      </w:r>
      <w:r w:rsidRPr="009527B4">
        <w:rPr>
          <w:noProof/>
          <w:sz w:val="20"/>
          <w:szCs w:val="20"/>
        </w:rPr>
        <w:t xml:space="preserve">Government’s </w:t>
      </w:r>
      <w:r>
        <w:rPr>
          <w:noProof/>
          <w:sz w:val="20"/>
          <w:szCs w:val="20"/>
        </w:rPr>
        <w:t>reform agenda – an agenda founded on integrity and a commitment to leave no-one behind.  We are putting in place changes that will deliver enduring benefits for all Australians. The Aus</w:t>
      </w:r>
      <w:r w:rsidR="000C4695">
        <w:rPr>
          <w:noProof/>
          <w:sz w:val="20"/>
          <w:szCs w:val="20"/>
        </w:rPr>
        <w:t>tralian people deserve no less.</w:t>
      </w:r>
    </w:p>
    <w:p w14:paraId="015980A1" w14:textId="77777777" w:rsidR="00680081" w:rsidRDefault="00680081" w:rsidP="00B81FBA">
      <w:pPr>
        <w:ind w:left="284"/>
        <w:rPr>
          <w:noProof/>
          <w:sz w:val="20"/>
          <w:szCs w:val="20"/>
        </w:rPr>
      </w:pPr>
      <w:r>
        <w:rPr>
          <w:noProof/>
          <w:sz w:val="20"/>
          <w:szCs w:val="20"/>
        </w:rPr>
        <w:t xml:space="preserve">Attorney-General </w:t>
      </w:r>
      <w:r>
        <w:rPr>
          <w:noProof/>
          <w:sz w:val="20"/>
          <w:szCs w:val="20"/>
        </w:rPr>
        <w:tab/>
      </w:r>
      <w:r>
        <w:rPr>
          <w:noProof/>
          <w:sz w:val="20"/>
          <w:szCs w:val="20"/>
        </w:rPr>
        <w:tab/>
      </w:r>
      <w:r>
        <w:rPr>
          <w:noProof/>
          <w:sz w:val="20"/>
          <w:szCs w:val="20"/>
        </w:rPr>
        <w:tab/>
      </w:r>
      <w:r>
        <w:rPr>
          <w:noProof/>
          <w:sz w:val="20"/>
          <w:szCs w:val="20"/>
        </w:rPr>
        <w:tab/>
      </w:r>
      <w:r>
        <w:rPr>
          <w:noProof/>
          <w:sz w:val="20"/>
          <w:szCs w:val="20"/>
        </w:rPr>
        <w:tab/>
        <w:t>Minister for the Public Service</w:t>
      </w:r>
    </w:p>
    <w:p w14:paraId="2F6C2D0E" w14:textId="49991EDF" w:rsidR="00680081" w:rsidRDefault="00680081" w:rsidP="000C4695">
      <w:pPr>
        <w:ind w:firstLine="284"/>
        <w:rPr>
          <w:rFonts w:asciiTheme="majorHAnsi" w:eastAsiaTheme="majorEastAsia" w:hAnsiTheme="majorHAnsi" w:cstheme="majorBidi"/>
          <w:noProof/>
          <w:color w:val="1B375C" w:themeColor="accent1"/>
          <w:sz w:val="36"/>
          <w:szCs w:val="28"/>
        </w:rPr>
      </w:pPr>
      <w:r>
        <w:rPr>
          <w:noProof/>
          <w:sz w:val="20"/>
          <w:szCs w:val="20"/>
        </w:rPr>
        <w:t>The Hon Mark Dreyfus KC MP</w:t>
      </w:r>
      <w:r>
        <w:rPr>
          <w:noProof/>
          <w:sz w:val="20"/>
          <w:szCs w:val="20"/>
        </w:rPr>
        <w:tab/>
      </w:r>
      <w:r>
        <w:rPr>
          <w:noProof/>
          <w:sz w:val="20"/>
          <w:szCs w:val="20"/>
        </w:rPr>
        <w:tab/>
      </w:r>
      <w:r>
        <w:rPr>
          <w:noProof/>
          <w:sz w:val="20"/>
          <w:szCs w:val="20"/>
        </w:rPr>
        <w:tab/>
      </w:r>
      <w:r>
        <w:rPr>
          <w:noProof/>
          <w:sz w:val="20"/>
          <w:szCs w:val="20"/>
        </w:rPr>
        <w:tab/>
      </w:r>
      <w:r w:rsidR="000C4695">
        <w:rPr>
          <w:noProof/>
          <w:sz w:val="20"/>
          <w:szCs w:val="20"/>
        </w:rPr>
        <w:t>Senator the Hon Katy Gallagher</w:t>
      </w:r>
      <w:r>
        <w:rPr>
          <w:noProof/>
        </w:rPr>
        <w:br w:type="page"/>
      </w:r>
    </w:p>
    <w:p w14:paraId="64095105" w14:textId="435386CB" w:rsidR="00680081" w:rsidRPr="002876FC" w:rsidRDefault="00680081" w:rsidP="00091667">
      <w:pPr>
        <w:jc w:val="center"/>
        <w:outlineLvl w:val="0"/>
        <w:rPr>
          <w:b/>
          <w:color w:val="183256" w:themeColor="text2" w:themeTint="E6"/>
          <w:sz w:val="28"/>
          <w:szCs w:val="28"/>
        </w:rPr>
      </w:pPr>
      <w:bookmarkStart w:id="4" w:name="_Toc96326909"/>
      <w:r w:rsidRPr="002876FC">
        <w:rPr>
          <w:b/>
          <w:color w:val="183256" w:themeColor="text2" w:themeTint="E6"/>
          <w:sz w:val="28"/>
          <w:szCs w:val="28"/>
        </w:rPr>
        <w:lastRenderedPageBreak/>
        <w:t xml:space="preserve">Australian Government Response to the </w:t>
      </w:r>
      <w:r w:rsidR="002876FC">
        <w:rPr>
          <w:b/>
          <w:color w:val="183256" w:themeColor="text2" w:themeTint="E6"/>
          <w:sz w:val="28"/>
          <w:szCs w:val="28"/>
        </w:rPr>
        <w:br/>
      </w:r>
      <w:r w:rsidRPr="002876FC">
        <w:rPr>
          <w:b/>
          <w:color w:val="183256" w:themeColor="text2" w:themeTint="E6"/>
          <w:sz w:val="28"/>
          <w:szCs w:val="28"/>
        </w:rPr>
        <w:t>Report of the Royal Commission into the Robodebt Scheme</w:t>
      </w:r>
      <w:bookmarkEnd w:id="4"/>
    </w:p>
    <w:p w14:paraId="1E492D05" w14:textId="6CAD0AF6" w:rsidR="00C15DDA" w:rsidRDefault="00C15DDA" w:rsidP="000C2D43">
      <w:pPr>
        <w:pStyle w:val="TBLText"/>
        <w:rPr>
          <w:szCs w:val="20"/>
        </w:rPr>
      </w:pPr>
      <w:r>
        <w:t>On 7 July 2023, the Royal Commission into the Robodebt Scheme delivered its Report to the Governor-General. It was tabled in the Australian Parliament the same day.</w:t>
      </w:r>
    </w:p>
    <w:p w14:paraId="5D758710" w14:textId="77777777" w:rsidR="000C2D43" w:rsidRDefault="00C15DDA" w:rsidP="00C15DDA">
      <w:pPr>
        <w:pStyle w:val="ListParagraph"/>
        <w:ind w:left="0"/>
      </w:pPr>
      <w:r>
        <w:rPr>
          <w:szCs w:val="20"/>
        </w:rPr>
        <w:t>In the words of Co</w:t>
      </w:r>
      <w:r w:rsidRPr="00D42C02">
        <w:t>mmissioner Holmes AC SC</w:t>
      </w:r>
      <w:r>
        <w:t>, the Royal Commission “</w:t>
      </w:r>
      <w:r w:rsidRPr="00EE3C6B">
        <w:rPr>
          <w:i/>
        </w:rPr>
        <w:t>served the purpose of bringing into the open an extraordinary saga, illustrating a myriad of ways that things can go wrong through venality, incompetence and cowardice</w:t>
      </w:r>
      <w:r>
        <w:t>”</w:t>
      </w:r>
      <w:r>
        <w:rPr>
          <w:rStyle w:val="FootnoteReference"/>
        </w:rPr>
        <w:footnoteReference w:id="7"/>
      </w:r>
      <w:r>
        <w:t>. The Commission produced 56 valuable recommendations, which are principally directed at strengthening the Australian Public Service and capability of oversight agencies. This document provides the Government’s response to those recommendations.</w:t>
      </w:r>
    </w:p>
    <w:p w14:paraId="48D1395C" w14:textId="0747F415" w:rsidR="00C15DDA" w:rsidRPr="000C2D43" w:rsidRDefault="00C15DDA" w:rsidP="000C2D43">
      <w:pPr>
        <w:pStyle w:val="TBLText"/>
      </w:pPr>
      <w:r>
        <w:t>However, before turning to the recommendations, it is important to place the Government’s response in its p</w:t>
      </w:r>
      <w:r w:rsidR="000C4695">
        <w:t>roper context.</w:t>
      </w:r>
    </w:p>
    <w:p w14:paraId="0295DB47" w14:textId="69A34A8C" w:rsidR="000C2D43" w:rsidRDefault="00C15DDA" w:rsidP="00C15DDA">
      <w:pPr>
        <w:pStyle w:val="ListParagraph"/>
        <w:ind w:left="0"/>
      </w:pPr>
      <w:r>
        <w:rPr>
          <w:szCs w:val="20"/>
        </w:rPr>
        <w:t>While important, the recommendations are not – in and of themselves – enough to prevent another Robodebt Scheme. As Co</w:t>
      </w:r>
      <w:r w:rsidRPr="00D42C02">
        <w:t xml:space="preserve">mmissioner Holmes </w:t>
      </w:r>
      <w:r>
        <w:t>notes in the Preface to the Report, “</w:t>
      </w:r>
      <w:r w:rsidRPr="009A4D81">
        <w:rPr>
          <w:i/>
        </w:rPr>
        <w:t xml:space="preserve">whether a public service can be developed with sufficient robustness to ensure that something of the like of the Robodebt scheme could not occur again will depend on the will of the government of the day, because </w:t>
      </w:r>
      <w:r w:rsidRPr="009A4D81">
        <w:rPr>
          <w:b/>
          <w:i/>
        </w:rPr>
        <w:t>culture is set from the top down</w:t>
      </w:r>
      <w:r w:rsidR="000C2D43">
        <w:t>”.</w:t>
      </w:r>
      <w:r w:rsidR="002176DC">
        <w:rPr>
          <w:rStyle w:val="FootnoteReference"/>
        </w:rPr>
        <w:footnoteReference w:id="8"/>
      </w:r>
    </w:p>
    <w:p w14:paraId="0BC05367" w14:textId="54285366" w:rsidR="00C15DDA" w:rsidRPr="000C2D43" w:rsidRDefault="00C15DDA" w:rsidP="000C2D43">
      <w:pPr>
        <w:pStyle w:val="TBLText"/>
      </w:pPr>
      <w:r>
        <w:t>The Government agrees.</w:t>
      </w:r>
    </w:p>
    <w:p w14:paraId="43FB3C0A" w14:textId="4EE0E7DC" w:rsidR="00C15DDA" w:rsidRDefault="00C15DDA" w:rsidP="000C2D43">
      <w:pPr>
        <w:pStyle w:val="TBLText"/>
      </w:pPr>
      <w:r>
        <w:t>The former government’s neglect of, and at times open hostility towards, our public institutions was arguably unprecedented. Examples abound. The debasement of the Administrative Appeals Tribunal, the defunding of the Administrative Review Council and the attempted abolition of the Office of the Australian Information Commission</w:t>
      </w:r>
      <w:r w:rsidR="00702F27">
        <w:t>er</w:t>
      </w:r>
      <w:r>
        <w:t xml:space="preserve"> and the Independent National Security Legislation Monitor. The contempt for journalists, public interest reporting and whistleblowers. The devaluing of the Australian Public Se</w:t>
      </w:r>
      <w:r w:rsidR="000C2D43">
        <w:t>rvice. The list goes on and on.</w:t>
      </w:r>
    </w:p>
    <w:p w14:paraId="39510C8E" w14:textId="34A0820D" w:rsidR="000C2D43" w:rsidRDefault="00C15DDA" w:rsidP="000C2D43">
      <w:pPr>
        <w:pStyle w:val="TBLText"/>
      </w:pPr>
      <w:r>
        <w:t xml:space="preserve">Since the 2022 Federal Election, the Albanese Government has embarked on a series of reforms to restore </w:t>
      </w:r>
      <w:r w:rsidRPr="00D00A04">
        <w:t>the public’s trust and faith in government and its institutions</w:t>
      </w:r>
      <w:r>
        <w:t xml:space="preserve"> – reforms that put people at the centre</w:t>
      </w:r>
      <w:r w:rsidR="00853221">
        <w:t xml:space="preserve"> and promote integrity</w:t>
      </w:r>
      <w:r w:rsidR="000C2D43">
        <w:t>. This work includes:</w:t>
      </w:r>
    </w:p>
    <w:p w14:paraId="36015BE0" w14:textId="77777777" w:rsidR="00C15DDA" w:rsidRPr="00323A7E" w:rsidRDefault="00C15DDA" w:rsidP="00C15DDA">
      <w:pPr>
        <w:pStyle w:val="ListParagraph"/>
        <w:numPr>
          <w:ilvl w:val="0"/>
          <w:numId w:val="51"/>
        </w:numPr>
      </w:pPr>
      <w:r w:rsidRPr="00323A7E">
        <w:t xml:space="preserve">The establishment of the </w:t>
      </w:r>
      <w:r w:rsidRPr="00323A7E">
        <w:rPr>
          <w:b/>
        </w:rPr>
        <w:t xml:space="preserve">National Anti-Corruption Commission </w:t>
      </w:r>
      <w:r w:rsidRPr="00323A7E">
        <w:t xml:space="preserve">(NACC) with extensive powers to investigate </w:t>
      </w:r>
      <w:r w:rsidR="002204F4" w:rsidRPr="00853221">
        <w:t>Commonwealth public officials</w:t>
      </w:r>
      <w:r w:rsidR="00591CB3">
        <w:t>,</w:t>
      </w:r>
      <w:r w:rsidR="002204F4" w:rsidRPr="00853221">
        <w:t xml:space="preserve"> </w:t>
      </w:r>
      <w:r w:rsidRPr="00323A7E">
        <w:t xml:space="preserve">Ministers, their staff, </w:t>
      </w:r>
      <w:r w:rsidR="005F5A6B" w:rsidRPr="00323A7E">
        <w:t>and</w:t>
      </w:r>
      <w:r w:rsidRPr="00323A7E">
        <w:t xml:space="preserve"> any person that may </w:t>
      </w:r>
      <w:r w:rsidR="002204F4" w:rsidRPr="00853221">
        <w:t xml:space="preserve">adversely affect </w:t>
      </w:r>
      <w:r w:rsidR="005F5A6B" w:rsidRPr="00853221">
        <w:t xml:space="preserve">how </w:t>
      </w:r>
      <w:r w:rsidR="002204F4" w:rsidRPr="00853221">
        <w:t>a public official</w:t>
      </w:r>
      <w:r w:rsidR="005F5A6B" w:rsidRPr="00853221">
        <w:t xml:space="preserve"> carries out their official duties</w:t>
      </w:r>
      <w:r w:rsidR="002204F4" w:rsidRPr="00853221">
        <w:t xml:space="preserve"> honest</w:t>
      </w:r>
      <w:r w:rsidR="005F5A6B" w:rsidRPr="00853221">
        <w:t>l</w:t>
      </w:r>
      <w:r w:rsidR="002204F4" w:rsidRPr="00853221">
        <w:t xml:space="preserve">y </w:t>
      </w:r>
      <w:r w:rsidR="005F5A6B" w:rsidRPr="00853221">
        <w:t>and</w:t>
      </w:r>
      <w:r w:rsidR="002204F4" w:rsidRPr="00853221">
        <w:t xml:space="preserve"> impartia</w:t>
      </w:r>
      <w:r w:rsidR="004526BE">
        <w:t>l</w:t>
      </w:r>
      <w:r w:rsidR="002204F4" w:rsidRPr="00853221">
        <w:t>l</w:t>
      </w:r>
      <w:r w:rsidR="004526BE">
        <w:t>y</w:t>
      </w:r>
      <w:r w:rsidR="005F5A6B" w:rsidRPr="00853221">
        <w:t>.</w:t>
      </w:r>
    </w:p>
    <w:p w14:paraId="6D2E6502" w14:textId="51D01570" w:rsidR="00C15DDA" w:rsidRPr="00323A7E" w:rsidRDefault="00C15DDA" w:rsidP="00C15DDA">
      <w:pPr>
        <w:pStyle w:val="ListParagraph"/>
        <w:numPr>
          <w:ilvl w:val="0"/>
          <w:numId w:val="51"/>
        </w:numPr>
      </w:pPr>
      <w:r w:rsidRPr="00323A7E">
        <w:lastRenderedPageBreak/>
        <w:t xml:space="preserve">The APS Reform </w:t>
      </w:r>
      <w:r w:rsidR="002176DC">
        <w:t>a</w:t>
      </w:r>
      <w:r w:rsidR="002176DC" w:rsidRPr="00323A7E">
        <w:t xml:space="preserve">genda </w:t>
      </w:r>
      <w:r w:rsidRPr="00323A7E">
        <w:t xml:space="preserve">– putting strong foundations in place for a </w:t>
      </w:r>
      <w:r w:rsidRPr="00323A7E">
        <w:rPr>
          <w:b/>
        </w:rPr>
        <w:t>world</w:t>
      </w:r>
      <w:r w:rsidRPr="00323A7E">
        <w:rPr>
          <w:b/>
        </w:rPr>
        <w:noBreakHyphen/>
        <w:t>class and future fit Australian Public Service</w:t>
      </w:r>
      <w:r w:rsidR="00970C5D" w:rsidRPr="00323A7E">
        <w:rPr>
          <w:b/>
        </w:rPr>
        <w:t xml:space="preserve"> </w:t>
      </w:r>
      <w:r w:rsidR="00970C5D" w:rsidRPr="00323A7E">
        <w:t xml:space="preserve">that </w:t>
      </w:r>
      <w:r w:rsidR="00970C5D" w:rsidRPr="00853221">
        <w:t>delivers better outcomes for the community and contributes to a fairer and more inclusive Australia</w:t>
      </w:r>
      <w:r w:rsidRPr="00323A7E">
        <w:t>.</w:t>
      </w:r>
    </w:p>
    <w:p w14:paraId="27E5E641" w14:textId="77777777" w:rsidR="00C15DDA" w:rsidRPr="00323A7E" w:rsidRDefault="00C15DDA" w:rsidP="00C15DDA">
      <w:pPr>
        <w:pStyle w:val="ListParagraph"/>
        <w:numPr>
          <w:ilvl w:val="0"/>
          <w:numId w:val="51"/>
        </w:numPr>
      </w:pPr>
      <w:r w:rsidRPr="00323A7E">
        <w:t xml:space="preserve">The Prime Minister has put in place </w:t>
      </w:r>
      <w:r w:rsidRPr="00323A7E">
        <w:rPr>
          <w:b/>
        </w:rPr>
        <w:t>a robust Code of Conduct</w:t>
      </w:r>
      <w:r w:rsidRPr="00323A7E">
        <w:rPr>
          <w:rStyle w:val="FootnoteReference"/>
        </w:rPr>
        <w:footnoteReference w:id="9"/>
      </w:r>
      <w:r w:rsidRPr="00323A7E">
        <w:t xml:space="preserve"> which requires Ministers to act with due regard for integrity and legality, fairness, accountability, responsibility and the public interest; and underscores that Ministers are accountable for the exercise of their powers and functions to the Parliament and to the public.</w:t>
      </w:r>
    </w:p>
    <w:p w14:paraId="718BCD29" w14:textId="052D853E" w:rsidR="00C15DDA" w:rsidRPr="00323A7E" w:rsidRDefault="00C15DDA" w:rsidP="00C15DDA">
      <w:pPr>
        <w:pStyle w:val="ListParagraph"/>
        <w:numPr>
          <w:ilvl w:val="0"/>
          <w:numId w:val="51"/>
        </w:numPr>
      </w:pPr>
      <w:r w:rsidRPr="00323A7E">
        <w:t xml:space="preserve">Strengthening Australia’s public sector whistleblowing framework and achieving strong, effective and accessible </w:t>
      </w:r>
      <w:r w:rsidRPr="00323A7E">
        <w:rPr>
          <w:b/>
        </w:rPr>
        <w:t>whistleblower protections</w:t>
      </w:r>
      <w:r w:rsidRPr="00323A7E">
        <w:t xml:space="preserve"> in two stages (with the first stage of reform commencing </w:t>
      </w:r>
      <w:r w:rsidR="002176DC">
        <w:t>from</w:t>
      </w:r>
      <w:r w:rsidRPr="00323A7E">
        <w:t xml:space="preserve"> 1 July 2023).</w:t>
      </w:r>
    </w:p>
    <w:p w14:paraId="15C5D7AE" w14:textId="6DB17C6A" w:rsidR="00C15DDA" w:rsidRDefault="00C15DDA" w:rsidP="000C2D43">
      <w:pPr>
        <w:pStyle w:val="ListParagraph"/>
        <w:numPr>
          <w:ilvl w:val="0"/>
          <w:numId w:val="51"/>
        </w:numPr>
      </w:pPr>
      <w:r w:rsidRPr="00323A7E">
        <w:t xml:space="preserve">The abolition and replacement of the Administrative Appeals Tribunal – a landmark reform that will lead to the creation of a </w:t>
      </w:r>
      <w:r w:rsidRPr="00323A7E">
        <w:rPr>
          <w:b/>
        </w:rPr>
        <w:t>new system of administrative review</w:t>
      </w:r>
      <w:r w:rsidRPr="00323A7E">
        <w:t xml:space="preserve"> that is user-focussed, </w:t>
      </w:r>
      <w:r w:rsidR="000C4695">
        <w:t>efficient, accessible and fair.</w:t>
      </w:r>
    </w:p>
    <w:p w14:paraId="4D4FB07A" w14:textId="2E89B401" w:rsidR="004526BE" w:rsidRDefault="00C15DDA" w:rsidP="000C2D43">
      <w:pPr>
        <w:pStyle w:val="TBLText"/>
      </w:pPr>
      <w:r>
        <w:t>In addition, in response to recommendations of the Royal Commission, the Government is committed to:</w:t>
      </w:r>
    </w:p>
    <w:p w14:paraId="05321097" w14:textId="77777777" w:rsidR="00170334" w:rsidRDefault="00AF6151" w:rsidP="00AF6151">
      <w:pPr>
        <w:pStyle w:val="ListParagraph"/>
        <w:numPr>
          <w:ilvl w:val="0"/>
          <w:numId w:val="52"/>
        </w:numPr>
      </w:pPr>
      <w:r w:rsidRPr="00D42C02">
        <w:t>bring</w:t>
      </w:r>
      <w:r>
        <w:t>ing</w:t>
      </w:r>
      <w:r w:rsidRPr="00D42C02">
        <w:t xml:space="preserve"> forward legislative reforms to </w:t>
      </w:r>
      <w:r w:rsidRPr="00323A7E">
        <w:rPr>
          <w:b/>
        </w:rPr>
        <w:t xml:space="preserve">enhance the powers of the Commonwealth </w:t>
      </w:r>
      <w:r w:rsidRPr="00AF6151">
        <w:rPr>
          <w:b/>
        </w:rPr>
        <w:t xml:space="preserve">Ombudsman </w:t>
      </w:r>
      <w:r w:rsidRPr="00AF6151">
        <w:t>and impose statutory obligations on officials responding to Commonwealth Ombudsman investigations, and</w:t>
      </w:r>
    </w:p>
    <w:p w14:paraId="2F5D645D" w14:textId="2F230DD3" w:rsidR="002B272B" w:rsidRDefault="00AF6151" w:rsidP="000C4695">
      <w:pPr>
        <w:pStyle w:val="ListParagraph"/>
        <w:numPr>
          <w:ilvl w:val="0"/>
          <w:numId w:val="52"/>
        </w:numPr>
      </w:pPr>
      <w:r w:rsidRPr="000C2D43">
        <w:rPr>
          <w:b/>
        </w:rPr>
        <w:t>reinstating the Administrative Review Council</w:t>
      </w:r>
      <w:r w:rsidRPr="00AF6151">
        <w:t xml:space="preserve"> to support ongoing improvements to administrative decision-making across government.</w:t>
      </w:r>
    </w:p>
    <w:p w14:paraId="2CE00A25" w14:textId="77777777" w:rsidR="00E30266" w:rsidRDefault="002055C4" w:rsidP="00D914D3">
      <w:pPr>
        <w:pStyle w:val="ListParagraph"/>
        <w:spacing w:before="360" w:after="240"/>
        <w:ind w:left="0"/>
        <w:contextualSpacing w:val="0"/>
        <w:outlineLvl w:val="1"/>
        <w:rPr>
          <w:b/>
        </w:rPr>
      </w:pPr>
      <w:r w:rsidRPr="002055C4">
        <w:rPr>
          <w:b/>
        </w:rPr>
        <w:t xml:space="preserve">A Government committed to a strong social security safety net - </w:t>
      </w:r>
      <w:r w:rsidR="001826E3">
        <w:rPr>
          <w:b/>
        </w:rPr>
        <w:t xml:space="preserve">Re-humanising </w:t>
      </w:r>
      <w:r w:rsidR="00CE4415">
        <w:rPr>
          <w:b/>
        </w:rPr>
        <w:t xml:space="preserve">the delivery of </w:t>
      </w:r>
      <w:r w:rsidR="001826E3">
        <w:rPr>
          <w:b/>
        </w:rPr>
        <w:t>government payments</w:t>
      </w:r>
      <w:r w:rsidR="000E0EDC">
        <w:rPr>
          <w:b/>
        </w:rPr>
        <w:t xml:space="preserve"> </w:t>
      </w:r>
    </w:p>
    <w:p w14:paraId="29F1F66C" w14:textId="3FD498E5" w:rsidR="001826E3" w:rsidRPr="003B4D80" w:rsidRDefault="001826E3" w:rsidP="000C2D43">
      <w:pPr>
        <w:pStyle w:val="TBLText"/>
        <w:rPr>
          <w:noProof/>
        </w:rPr>
      </w:pPr>
      <w:r>
        <w:rPr>
          <w:szCs w:val="20"/>
        </w:rPr>
        <w:t>In the Royal Commission Report, Co</w:t>
      </w:r>
      <w:r w:rsidRPr="00D42C02">
        <w:t xml:space="preserve">mmissioner Holmes </w:t>
      </w:r>
      <w:r>
        <w:rPr>
          <w:noProof/>
        </w:rPr>
        <w:t>referred to the way in which Australians</w:t>
      </w:r>
      <w:r w:rsidRPr="003B4D80">
        <w:rPr>
          <w:noProof/>
        </w:rPr>
        <w:t xml:space="preserve"> receiving income support payments </w:t>
      </w:r>
      <w:r>
        <w:rPr>
          <w:noProof/>
        </w:rPr>
        <w:t xml:space="preserve">have been </w:t>
      </w:r>
      <w:r w:rsidRPr="003B4D80">
        <w:rPr>
          <w:noProof/>
        </w:rPr>
        <w:t>s</w:t>
      </w:r>
      <w:r>
        <w:rPr>
          <w:noProof/>
        </w:rPr>
        <w:t>tigmatised in recent years</w:t>
      </w:r>
      <w:r w:rsidRPr="003B4D80">
        <w:rPr>
          <w:noProof/>
        </w:rPr>
        <w:t xml:space="preserve">, explaining that they </w:t>
      </w:r>
      <w:r>
        <w:rPr>
          <w:noProof/>
        </w:rPr>
        <w:t>have been often</w:t>
      </w:r>
      <w:r w:rsidRPr="003B4D80">
        <w:rPr>
          <w:noProof/>
        </w:rPr>
        <w:t xml:space="preserve"> made to feel “shame, oppression, isolation, and dehumanisation”</w:t>
      </w:r>
      <w:r w:rsidRPr="003B4D80">
        <w:rPr>
          <w:rStyle w:val="FootnoteReference"/>
        </w:rPr>
        <w:footnoteReference w:id="10"/>
      </w:r>
      <w:r w:rsidR="00C25C1F">
        <w:rPr>
          <w:noProof/>
        </w:rPr>
        <w:t>.</w:t>
      </w:r>
      <w:r w:rsidRPr="003B4D80">
        <w:rPr>
          <w:noProof/>
        </w:rPr>
        <w:t xml:space="preserve"> By no means the only example, but perhaps the most </w:t>
      </w:r>
      <w:r>
        <w:rPr>
          <w:noProof/>
        </w:rPr>
        <w:t>infamous</w:t>
      </w:r>
      <w:r w:rsidRPr="003B4D80">
        <w:rPr>
          <w:noProof/>
        </w:rPr>
        <w:t xml:space="preserve">, occurred in December 2016 as the Robodebt </w:t>
      </w:r>
      <w:r>
        <w:rPr>
          <w:noProof/>
        </w:rPr>
        <w:t>scheme</w:t>
      </w:r>
      <w:r w:rsidRPr="003B4D80">
        <w:rPr>
          <w:noProof/>
        </w:rPr>
        <w:t xml:space="preserve"> was being ramped up, when </w:t>
      </w:r>
      <w:r>
        <w:rPr>
          <w:noProof/>
        </w:rPr>
        <w:t xml:space="preserve">the </w:t>
      </w:r>
      <w:r w:rsidRPr="003B4D80">
        <w:rPr>
          <w:noProof/>
        </w:rPr>
        <w:t>then</w:t>
      </w:r>
      <w:r>
        <w:rPr>
          <w:noProof/>
        </w:rPr>
        <w:t>-</w:t>
      </w:r>
      <w:r w:rsidRPr="003B4D80">
        <w:rPr>
          <w:noProof/>
        </w:rPr>
        <w:t>Minister for Human Services Alan Tudge said</w:t>
      </w:r>
      <w:r>
        <w:rPr>
          <w:noProof/>
        </w:rPr>
        <w:t xml:space="preserve"> on national television</w:t>
      </w:r>
      <w:r w:rsidRPr="003B4D80">
        <w:rPr>
          <w:noProof/>
        </w:rPr>
        <w:t>:</w:t>
      </w:r>
    </w:p>
    <w:p w14:paraId="5F115B01" w14:textId="77777777" w:rsidR="001826E3" w:rsidRPr="003B4D80" w:rsidRDefault="001826E3" w:rsidP="001826E3">
      <w:pPr>
        <w:ind w:left="720"/>
        <w:rPr>
          <w:rFonts w:ascii="Segoe UI Semilight" w:hAnsi="Segoe UI Semilight" w:cs="Segoe UI Semilight"/>
          <w:i/>
          <w:noProof/>
          <w:szCs w:val="22"/>
        </w:rPr>
      </w:pPr>
      <w:r w:rsidRPr="003B4D80">
        <w:rPr>
          <w:rFonts w:ascii="Segoe UI Semilight" w:hAnsi="Segoe UI Semilight" w:cs="Segoe UI Semilight"/>
          <w:i/>
          <w:noProof/>
          <w:szCs w:val="22"/>
        </w:rPr>
        <w:t>“We will find you, we will track you down, and you will have to repay those debts, and you may end up in prison.”</w:t>
      </w:r>
      <w:r w:rsidRPr="003B4D80">
        <w:rPr>
          <w:rStyle w:val="FootnoteReference"/>
          <w:rFonts w:ascii="Segoe UI Semilight" w:hAnsi="Segoe UI Semilight" w:cs="Segoe UI Semilight"/>
          <w:i/>
          <w:szCs w:val="22"/>
        </w:rPr>
        <w:footnoteReference w:id="11"/>
      </w:r>
    </w:p>
    <w:p w14:paraId="2E43029E" w14:textId="0C38FDF1" w:rsidR="001826E3" w:rsidRDefault="001826E3" w:rsidP="000C2D43">
      <w:pPr>
        <w:pStyle w:val="TBLText"/>
      </w:pPr>
      <w:r w:rsidRPr="00323A7E">
        <w:t>The Royal Commission called for politicians</w:t>
      </w:r>
      <w:r>
        <w:t xml:space="preserve"> </w:t>
      </w:r>
      <w:r w:rsidRPr="00323A7E">
        <w:t xml:space="preserve">to lead a change in attitudes to people receiving </w:t>
      </w:r>
      <w:r>
        <w:t xml:space="preserve">income support </w:t>
      </w:r>
      <w:r w:rsidRPr="00323A7E">
        <w:t xml:space="preserve">payments, </w:t>
      </w:r>
      <w:r>
        <w:t>including abandoning the simple</w:t>
      </w:r>
      <w:r w:rsidRPr="00323A7E">
        <w:t xml:space="preserve"> narrative of </w:t>
      </w:r>
      <w:r>
        <w:t xml:space="preserve">the </w:t>
      </w:r>
      <w:r w:rsidRPr="00323A7E">
        <w:t xml:space="preserve">taxpayer versus </w:t>
      </w:r>
      <w:r>
        <w:lastRenderedPageBreak/>
        <w:t xml:space="preserve">the </w:t>
      </w:r>
      <w:r w:rsidRPr="00323A7E">
        <w:t>welfare recipient</w:t>
      </w:r>
      <w:r>
        <w:t>.</w:t>
      </w:r>
      <w:r w:rsidRPr="00323A7E">
        <w:rPr>
          <w:rStyle w:val="FootnoteReference"/>
        </w:rPr>
        <w:footnoteReference w:id="12"/>
      </w:r>
      <w:r w:rsidRPr="00323A7E">
        <w:t xml:space="preserve"> The Commissioner remarked that the evidence before the Commission was that fraud in the system was miniscule, </w:t>
      </w:r>
      <w:r w:rsidR="00C2375A">
        <w:t>”</w:t>
      </w:r>
      <w:r w:rsidRPr="00323A7E">
        <w:t xml:space="preserve">but that is not the impression one would get from what ministers responsible for social security payments have said over the </w:t>
      </w:r>
      <w:r w:rsidR="00C2375A" w:rsidRPr="00323A7E">
        <w:t>years</w:t>
      </w:r>
      <w:r w:rsidR="00C2375A">
        <w:t>”</w:t>
      </w:r>
      <w:r w:rsidRPr="00323A7E">
        <w:rPr>
          <w:rStyle w:val="FootnoteReference"/>
        </w:rPr>
        <w:footnoteReference w:id="13"/>
      </w:r>
      <w:r w:rsidR="00C2375A">
        <w:t>.</w:t>
      </w:r>
    </w:p>
    <w:p w14:paraId="2787EBDE" w14:textId="53F80415" w:rsidR="00E13FE6" w:rsidRDefault="000E0EDC" w:rsidP="000C2D43">
      <w:pPr>
        <w:pStyle w:val="TBLText"/>
      </w:pPr>
      <w:r>
        <w:t xml:space="preserve">The social security system is a vital safety net, providing both income support </w:t>
      </w:r>
      <w:r w:rsidR="001826E3">
        <w:t xml:space="preserve">and access to services </w:t>
      </w:r>
      <w:r>
        <w:t>for Australians who need it</w:t>
      </w:r>
      <w:r w:rsidRPr="00B31C2D">
        <w:t xml:space="preserve">. </w:t>
      </w:r>
      <w:r w:rsidRPr="005E3DCE">
        <w:t>M</w:t>
      </w:r>
      <w:r w:rsidRPr="001F2F12">
        <w:t xml:space="preserve">any Australians need this </w:t>
      </w:r>
      <w:r w:rsidRPr="005E3DCE">
        <w:t>support at different times in their lives</w:t>
      </w:r>
      <w:r>
        <w:t>, for many different reasons</w:t>
      </w:r>
      <w:r w:rsidRPr="005E3DCE">
        <w:t>. There is no shame in this.</w:t>
      </w:r>
    </w:p>
    <w:p w14:paraId="06DF0060" w14:textId="59F8495D" w:rsidR="0033164C" w:rsidRPr="000C2D43" w:rsidRDefault="000E0EDC" w:rsidP="000C2D43">
      <w:pPr>
        <w:pStyle w:val="TBLText"/>
        <w:rPr>
          <w:rFonts w:eastAsia="Times New Roman"/>
          <w:lang w:eastAsia="en-AU"/>
        </w:rPr>
      </w:pPr>
      <w:r>
        <w:t>The social security system</w:t>
      </w:r>
      <w:r w:rsidR="00AB13C8">
        <w:t xml:space="preserve"> safety net is also fundamental to our economy. </w:t>
      </w:r>
      <w:r>
        <w:t>The system allows Australians to get on with their lives in the understanding that support is availabl</w:t>
      </w:r>
      <w:r w:rsidR="00DC76ED">
        <w:t xml:space="preserve">e if circumstances change. This </w:t>
      </w:r>
      <w:r w:rsidR="00AB13C8">
        <w:t xml:space="preserve">empowers people </w:t>
      </w:r>
      <w:r>
        <w:t>and helps build prosperity.</w:t>
      </w:r>
    </w:p>
    <w:p w14:paraId="01F5E4BE" w14:textId="0FCC112B" w:rsidR="00AF7771" w:rsidRPr="00AF7771" w:rsidRDefault="000E0EDC" w:rsidP="000C2D43">
      <w:pPr>
        <w:pStyle w:val="TBLText"/>
      </w:pPr>
      <w:r w:rsidRPr="00AF7771">
        <w:t xml:space="preserve">The Government is committed to putting people back at the centre of program design and service delivery. The Department of Social Services and Services Australia </w:t>
      </w:r>
      <w:r w:rsidR="00AF7771" w:rsidRPr="00AF7771">
        <w:t xml:space="preserve">are investing in more training for officials and </w:t>
      </w:r>
      <w:r w:rsidRPr="00AF7771">
        <w:t>will seek regular feedback on service and program delivery</w:t>
      </w:r>
      <w:r w:rsidR="00AF7771" w:rsidRPr="00AF7771">
        <w:t xml:space="preserve"> from front-line staff and the community</w:t>
      </w:r>
      <w:r w:rsidRPr="00AF7771">
        <w:t>.</w:t>
      </w:r>
    </w:p>
    <w:p w14:paraId="42FE7753" w14:textId="13CD6E12" w:rsidR="00AF7771" w:rsidRDefault="00AF7771" w:rsidP="000C2D43">
      <w:pPr>
        <w:pStyle w:val="TBLText"/>
      </w:pPr>
      <w:r w:rsidRPr="00AF7771">
        <w:t xml:space="preserve">The Government will continue to implement administrative changes to improve payment accuracy and reduce the number of overpayments. The Government will also improve social security debt arrangements to ensure that debt </w:t>
      </w:r>
      <w:r w:rsidR="006763E0">
        <w:t xml:space="preserve">raising and </w:t>
      </w:r>
      <w:r w:rsidRPr="00AF7771">
        <w:t>recovery practices are timely, fair and conducted with empathy and respect.</w:t>
      </w:r>
    </w:p>
    <w:p w14:paraId="73D0A219" w14:textId="28A91B20" w:rsidR="009B559E" w:rsidRDefault="009B559E" w:rsidP="000C2D43">
      <w:pPr>
        <w:pStyle w:val="TBLText"/>
      </w:pPr>
      <w:r>
        <w:t xml:space="preserve">The </w:t>
      </w:r>
      <w:r w:rsidRPr="00D42C02">
        <w:t>deployment and adoption of safe and responsible automation and artificial intelligence presents significant opportunities for Australia to improve economic and social outcomes</w:t>
      </w:r>
      <w:r>
        <w:t xml:space="preserve">. </w:t>
      </w:r>
      <w:r w:rsidR="000E0EDC">
        <w:t>Across society, the c</w:t>
      </w:r>
      <w:r w:rsidR="008569FE">
        <w:t xml:space="preserve">onsidered and </w:t>
      </w:r>
      <w:r w:rsidR="000E0EDC" w:rsidRPr="00D42C02">
        <w:t xml:space="preserve">ethical use of technology can </w:t>
      </w:r>
      <w:r w:rsidR="000E0EDC">
        <w:t>help to</w:t>
      </w:r>
      <w:r w:rsidR="00DC76ED">
        <w:t xml:space="preserve"> </w:t>
      </w:r>
      <w:r w:rsidR="000E0EDC" w:rsidRPr="00D42C02">
        <w:t>deliver better services to the community</w:t>
      </w:r>
      <w:r w:rsidR="000E0EDC">
        <w:t>, including government services</w:t>
      </w:r>
      <w:r w:rsidR="000E0EDC" w:rsidRPr="00D42C02">
        <w:t>.</w:t>
      </w:r>
    </w:p>
    <w:p w14:paraId="416ED194" w14:textId="142C441E" w:rsidR="009B559E" w:rsidRDefault="009B559E" w:rsidP="000C2D43">
      <w:pPr>
        <w:pStyle w:val="TBLText"/>
      </w:pPr>
      <w:r>
        <w:t xml:space="preserve">The </w:t>
      </w:r>
      <w:r w:rsidR="007D2750">
        <w:t>G</w:t>
      </w:r>
      <w:r>
        <w:t xml:space="preserve">overnment </w:t>
      </w:r>
      <w:r w:rsidRPr="00123176">
        <w:t xml:space="preserve">will continue to implement the </w:t>
      </w:r>
      <w:r w:rsidR="00630493" w:rsidRPr="0065101F">
        <w:t>Digital Service Standard</w:t>
      </w:r>
      <w:r>
        <w:t>, which</w:t>
      </w:r>
      <w:r w:rsidR="00630493" w:rsidRPr="009B559E">
        <w:rPr>
          <w:bCs/>
        </w:rPr>
        <w:t xml:space="preserve"> </w:t>
      </w:r>
      <w:r w:rsidR="00630493" w:rsidRPr="00D42C02">
        <w:t xml:space="preserve">sets out best practice principles for the inclusive, adaptable and ethical design and delivery of government services. The Standard </w:t>
      </w:r>
      <w:r w:rsidR="008F1219">
        <w:t>includes</w:t>
      </w:r>
      <w:r w:rsidR="00630493" w:rsidRPr="00D42C02">
        <w:t xml:space="preserve"> criteria that </w:t>
      </w:r>
      <w:r>
        <w:t>promote a human</w:t>
      </w:r>
      <w:r>
        <w:noBreakHyphen/>
      </w:r>
      <w:r w:rsidR="00630493" w:rsidRPr="00D42C02">
        <w:t xml:space="preserve">centred </w:t>
      </w:r>
      <w:r w:rsidR="00630493">
        <w:t xml:space="preserve">and inclusive </w:t>
      </w:r>
      <w:r w:rsidR="00630493" w:rsidRPr="00D42C02">
        <w:t>approach to design.</w:t>
      </w:r>
    </w:p>
    <w:p w14:paraId="460374D7" w14:textId="6B2DBFC8" w:rsidR="007E7B81" w:rsidRDefault="009B559E" w:rsidP="000C2D43">
      <w:pPr>
        <w:pStyle w:val="TBLText"/>
      </w:pPr>
      <w:r w:rsidRPr="00FF4525">
        <w:t xml:space="preserve">In response to the Commission’s recommendations, the Government will also </w:t>
      </w:r>
      <w:r w:rsidR="00BB724C" w:rsidRPr="00FF4525">
        <w:t xml:space="preserve">consider opportunities to </w:t>
      </w:r>
      <w:r w:rsidR="00630493" w:rsidRPr="00FF4525">
        <w:t>progres</w:t>
      </w:r>
      <w:r w:rsidRPr="00FF4525">
        <w:t>s</w:t>
      </w:r>
      <w:r w:rsidR="00630493" w:rsidRPr="00FF4525">
        <w:t xml:space="preserve"> legislative reforms to ensure that </w:t>
      </w:r>
      <w:r w:rsidR="007E7B81" w:rsidRPr="00FF4525">
        <w:t xml:space="preserve">government decisions </w:t>
      </w:r>
      <w:r w:rsidR="0062269B" w:rsidRPr="00FF4525">
        <w:t xml:space="preserve">involving automation </w:t>
      </w:r>
      <w:r w:rsidR="007E7B81" w:rsidRPr="00FF4525">
        <w:t xml:space="preserve">are made under a consistent legal framework which is clear and transparent, while harnessing the speed, cost and efficiency benefits of technological advances in artificial intelligence and automation. </w:t>
      </w:r>
      <w:r w:rsidR="009221B8" w:rsidRPr="00FF4525">
        <w:t xml:space="preserve">The </w:t>
      </w:r>
      <w:r w:rsidR="0063405D" w:rsidRPr="00FF4525">
        <w:t xml:space="preserve">Government </w:t>
      </w:r>
      <w:r w:rsidR="009221B8" w:rsidRPr="00FF4525">
        <w:t>has committed to developing a comprehensive and consistent legal framework to support automated decision-making</w:t>
      </w:r>
      <w:r w:rsidR="0084229E" w:rsidRPr="00FF4525">
        <w:t>, consistent with the principles recommended by the Royal Commission</w:t>
      </w:r>
      <w:r w:rsidR="009221B8" w:rsidRPr="00FF4525">
        <w:t>.</w:t>
      </w:r>
    </w:p>
    <w:p w14:paraId="2583C02B" w14:textId="69573CC6" w:rsidR="00682071" w:rsidRDefault="009B559E" w:rsidP="000C2D43">
      <w:pPr>
        <w:pStyle w:val="TBLText"/>
        <w:rPr>
          <w:b/>
          <w:szCs w:val="20"/>
        </w:rPr>
      </w:pPr>
      <w:r>
        <w:t>The Government also remains c</w:t>
      </w:r>
      <w:r w:rsidR="00630493">
        <w:t>ommitt</w:t>
      </w:r>
      <w:r>
        <w:t>ed</w:t>
      </w:r>
      <w:r w:rsidR="00630493">
        <w:t xml:space="preserve"> to ensuring </w:t>
      </w:r>
      <w:r w:rsidR="00630493" w:rsidRPr="00D42C02">
        <w:t>Australians have greater control over their</w:t>
      </w:r>
      <w:r w:rsidR="00630493">
        <w:t xml:space="preserve"> own</w:t>
      </w:r>
      <w:r w:rsidR="00630493" w:rsidRPr="00D42C02">
        <w:t xml:space="preserve"> personal information</w:t>
      </w:r>
      <w:r w:rsidR="00630493">
        <w:t xml:space="preserve">. In </w:t>
      </w:r>
      <w:r w:rsidR="007E7B81">
        <w:t>the G</w:t>
      </w:r>
      <w:r w:rsidR="00630493">
        <w:t xml:space="preserve">overnment response to the Privacy Act Review </w:t>
      </w:r>
      <w:r w:rsidR="007E7B81">
        <w:t>the G</w:t>
      </w:r>
      <w:r w:rsidR="00630493">
        <w:t xml:space="preserve">overnment has </w:t>
      </w:r>
      <w:r w:rsidR="00630493" w:rsidRPr="00D42C02">
        <w:t>commi</w:t>
      </w:r>
      <w:r w:rsidR="00630493">
        <w:t>tted</w:t>
      </w:r>
      <w:r w:rsidR="00630493" w:rsidRPr="00D42C02">
        <w:t xml:space="preserve"> to </w:t>
      </w:r>
      <w:r w:rsidR="00630493">
        <w:t xml:space="preserve">reforms that will provide </w:t>
      </w:r>
      <w:r w:rsidR="00630493" w:rsidRPr="00D42C02">
        <w:t>stronger privacy protections while encouraging digital innovation.</w:t>
      </w:r>
      <w:r w:rsidR="00630493">
        <w:rPr>
          <w:rStyle w:val="FootnoteReference"/>
        </w:rPr>
        <w:footnoteReference w:id="14"/>
      </w:r>
      <w:r w:rsidR="00682071">
        <w:rPr>
          <w:b/>
          <w:szCs w:val="20"/>
        </w:rPr>
        <w:br w:type="page"/>
      </w:r>
    </w:p>
    <w:p w14:paraId="433E9009" w14:textId="40C6C189" w:rsidR="00C15DDA" w:rsidRPr="000C2D43" w:rsidRDefault="00C15DDA" w:rsidP="00D914D3">
      <w:pPr>
        <w:pStyle w:val="ListParagraph"/>
        <w:ind w:left="0"/>
        <w:outlineLvl w:val="1"/>
        <w:rPr>
          <w:b/>
          <w:szCs w:val="20"/>
        </w:rPr>
      </w:pPr>
      <w:r>
        <w:rPr>
          <w:b/>
          <w:szCs w:val="20"/>
        </w:rPr>
        <w:lastRenderedPageBreak/>
        <w:t xml:space="preserve">Government Response to </w:t>
      </w:r>
      <w:r w:rsidRPr="00091667">
        <w:rPr>
          <w:b/>
        </w:rPr>
        <w:t>Recommendations</w:t>
      </w:r>
    </w:p>
    <w:p w14:paraId="78CA28DD" w14:textId="0824FA90" w:rsidR="00F57F22" w:rsidRPr="00FA38C1" w:rsidRDefault="00C15DDA" w:rsidP="000C2D43">
      <w:pPr>
        <w:pStyle w:val="TBLText"/>
        <w:rPr>
          <w:rFonts w:eastAsiaTheme="minorHAnsi"/>
        </w:rPr>
      </w:pPr>
      <w:r w:rsidRPr="00FA38C1">
        <w:rPr>
          <w:rFonts w:eastAsiaTheme="minorHAnsi"/>
        </w:rPr>
        <w:t xml:space="preserve">The Royal Commission into the Robodebt Scheme made 56 recommendations and </w:t>
      </w:r>
      <w:r w:rsidR="00FA38C1">
        <w:rPr>
          <w:rFonts w:eastAsiaTheme="minorHAnsi"/>
        </w:rPr>
        <w:t>one closing observation.</w:t>
      </w:r>
    </w:p>
    <w:p w14:paraId="41E93755" w14:textId="7E9ECF20" w:rsidR="00F57F22" w:rsidRDefault="00F57F22" w:rsidP="00FA38C1">
      <w:pPr>
        <w:pStyle w:val="ListParagraph"/>
        <w:ind w:left="0"/>
        <w:contextualSpacing w:val="0"/>
        <w:rPr>
          <w:rFonts w:eastAsiaTheme="minorHAnsi"/>
          <w:color w:val="000000"/>
          <w:szCs w:val="22"/>
        </w:rPr>
      </w:pPr>
      <w:r w:rsidRPr="00FA38C1">
        <w:rPr>
          <w:rFonts w:eastAsiaTheme="minorHAnsi"/>
          <w:color w:val="000000"/>
          <w:szCs w:val="22"/>
        </w:rPr>
        <w:t xml:space="preserve">In relation to the Commissioner’s closing observation, the </w:t>
      </w:r>
      <w:r w:rsidRPr="0065101F">
        <w:rPr>
          <w:rFonts w:eastAsiaTheme="minorHAnsi"/>
          <w:i/>
          <w:color w:val="000000"/>
          <w:szCs w:val="22"/>
        </w:rPr>
        <w:t>Freedom of Information Act 1982</w:t>
      </w:r>
      <w:r w:rsidR="00DB3654">
        <w:rPr>
          <w:rFonts w:eastAsiaTheme="minorHAnsi"/>
          <w:color w:val="000000"/>
          <w:szCs w:val="22"/>
        </w:rPr>
        <w:t xml:space="preserve"> (Cth)</w:t>
      </w:r>
      <w:r w:rsidRPr="00FA38C1">
        <w:rPr>
          <w:rFonts w:eastAsiaTheme="minorHAnsi"/>
          <w:color w:val="000000"/>
          <w:szCs w:val="22"/>
        </w:rPr>
        <w:t xml:space="preserve"> </w:t>
      </w:r>
      <w:r w:rsidR="007D2750">
        <w:rPr>
          <w:rFonts w:eastAsiaTheme="minorHAnsi"/>
          <w:color w:val="000000"/>
          <w:szCs w:val="22"/>
        </w:rPr>
        <w:t xml:space="preserve">(FOI Act) </w:t>
      </w:r>
      <w:r w:rsidRPr="00FA38C1">
        <w:rPr>
          <w:rFonts w:eastAsiaTheme="minorHAnsi"/>
          <w:color w:val="000000"/>
          <w:szCs w:val="22"/>
        </w:rPr>
        <w:t>promotes accountability in government decision-making by providing the community with access to government documents, subject to some exemptions. The confidentiality of Cabinet docume</w:t>
      </w:r>
      <w:r w:rsidR="000C4695">
        <w:rPr>
          <w:rFonts w:eastAsiaTheme="minorHAnsi"/>
          <w:color w:val="000000"/>
          <w:szCs w:val="22"/>
        </w:rPr>
        <w:t>nts is one of those exemptions.</w:t>
      </w:r>
    </w:p>
    <w:p w14:paraId="35B719CB" w14:textId="18D4BE4F" w:rsidR="00F57F22" w:rsidRPr="00FA38C1" w:rsidRDefault="00F57F22" w:rsidP="00F57F22">
      <w:pPr>
        <w:pStyle w:val="ListParagraph"/>
        <w:ind w:left="0"/>
        <w:contextualSpacing w:val="0"/>
        <w:rPr>
          <w:rFonts w:eastAsiaTheme="minorHAnsi"/>
          <w:color w:val="000000"/>
          <w:szCs w:val="22"/>
        </w:rPr>
      </w:pPr>
      <w:r w:rsidRPr="000A5729">
        <w:rPr>
          <w:rFonts w:eastAsiaTheme="minorHAnsi"/>
          <w:color w:val="000000"/>
          <w:szCs w:val="22"/>
        </w:rPr>
        <w:t>The Australian Government believes that it is critical that the Cabinet, the key decision</w:t>
      </w:r>
      <w:r>
        <w:rPr>
          <w:rFonts w:eastAsiaTheme="minorHAnsi"/>
          <w:color w:val="000000"/>
          <w:szCs w:val="22"/>
        </w:rPr>
        <w:t>-</w:t>
      </w:r>
      <w:r w:rsidRPr="000A5729">
        <w:rPr>
          <w:rFonts w:eastAsiaTheme="minorHAnsi"/>
          <w:color w:val="000000"/>
          <w:szCs w:val="22"/>
        </w:rPr>
        <w:t xml:space="preserve">making </w:t>
      </w:r>
      <w:r>
        <w:rPr>
          <w:rFonts w:eastAsiaTheme="minorHAnsi"/>
          <w:color w:val="000000"/>
          <w:szCs w:val="22"/>
        </w:rPr>
        <w:t>body</w:t>
      </w:r>
      <w:r w:rsidRPr="000A5729">
        <w:rPr>
          <w:rFonts w:eastAsiaTheme="minorHAnsi"/>
          <w:color w:val="000000"/>
          <w:szCs w:val="22"/>
        </w:rPr>
        <w:t xml:space="preserve"> of Government, is comprehensively informed in its deliberations. To achieve this, the Cabinet must have the benefit of frank and fearless advice from Ministers</w:t>
      </w:r>
      <w:r>
        <w:rPr>
          <w:rFonts w:eastAsiaTheme="minorHAnsi"/>
          <w:color w:val="000000"/>
          <w:szCs w:val="22"/>
        </w:rPr>
        <w:t xml:space="preserve"> and senior public servants</w:t>
      </w:r>
      <w:r w:rsidRPr="000A5729">
        <w:rPr>
          <w:rFonts w:eastAsiaTheme="minorHAnsi"/>
          <w:color w:val="000000"/>
          <w:szCs w:val="22"/>
        </w:rPr>
        <w:t xml:space="preserve">. The decisions taken by the Cabinet are collective. </w:t>
      </w:r>
      <w:r w:rsidRPr="00FA38C1">
        <w:rPr>
          <w:rFonts w:eastAsiaTheme="minorHAnsi"/>
          <w:color w:val="000000"/>
          <w:szCs w:val="22"/>
        </w:rPr>
        <w:t>As se</w:t>
      </w:r>
      <w:r w:rsidR="000C4695">
        <w:rPr>
          <w:rFonts w:eastAsiaTheme="minorHAnsi"/>
          <w:color w:val="000000"/>
          <w:szCs w:val="22"/>
        </w:rPr>
        <w:t>t out in the Cabinet Handbook:</w:t>
      </w:r>
    </w:p>
    <w:p w14:paraId="6687C737" w14:textId="12327776" w:rsidR="00F57F22" w:rsidRPr="000C2D43" w:rsidRDefault="00F57F22" w:rsidP="000C2D43">
      <w:pPr>
        <w:pStyle w:val="ListParagraph"/>
        <w:rPr>
          <w:i/>
        </w:rPr>
      </w:pPr>
      <w:r w:rsidRPr="00C751F8">
        <w:rPr>
          <w:i/>
        </w:rPr>
        <w:t>The principle of collective responsibility requires that ministers should be able to express their views frankly in Cabinet meetings in the expectation that they can argue freely in private while maintaining a united front in public when decisions have been reached. This in turn requires that opinions expressed in the Cabinet and Cabinet Committees, including in documents and any correspondence, are treated as confidential</w:t>
      </w:r>
      <w:r w:rsidR="00E3757F">
        <w:rPr>
          <w:i/>
        </w:rPr>
        <w:t>.</w:t>
      </w:r>
      <w:r w:rsidR="00DB3654">
        <w:rPr>
          <w:rStyle w:val="FootnoteReference"/>
          <w:i/>
        </w:rPr>
        <w:footnoteReference w:id="15"/>
      </w:r>
    </w:p>
    <w:p w14:paraId="4DB14256" w14:textId="13396D4D" w:rsidR="00DF086D" w:rsidRPr="00FA38C1" w:rsidRDefault="00EE27E3" w:rsidP="000C2D43">
      <w:pPr>
        <w:pStyle w:val="TBLText"/>
        <w:rPr>
          <w:rFonts w:eastAsiaTheme="minorHAnsi"/>
        </w:rPr>
      </w:pPr>
      <w:r>
        <w:rPr>
          <w:rFonts w:eastAsiaTheme="minorHAnsi"/>
        </w:rPr>
        <w:t>For these reasons</w:t>
      </w:r>
      <w:r w:rsidR="00F57F22" w:rsidRPr="000A5729">
        <w:rPr>
          <w:rFonts w:eastAsiaTheme="minorHAnsi"/>
        </w:rPr>
        <w:t xml:space="preserve">, the </w:t>
      </w:r>
      <w:r w:rsidR="00F57F22" w:rsidRPr="00FA38C1">
        <w:rPr>
          <w:rFonts w:eastAsiaTheme="minorHAnsi"/>
        </w:rPr>
        <w:t>Government does not consider that section 34 of the FOI Act should be repealed.</w:t>
      </w:r>
    </w:p>
    <w:p w14:paraId="215EFA35" w14:textId="05C08431" w:rsidR="00A01F2A" w:rsidRPr="00FA38C1" w:rsidRDefault="00DF086D" w:rsidP="00EA0E0B">
      <w:pPr>
        <w:pStyle w:val="ListParagraph"/>
        <w:ind w:left="0"/>
        <w:contextualSpacing w:val="0"/>
        <w:rPr>
          <w:rFonts w:eastAsiaTheme="minorHAnsi"/>
          <w:color w:val="000000"/>
          <w:szCs w:val="22"/>
        </w:rPr>
      </w:pPr>
      <w:r w:rsidRPr="00FA38C1">
        <w:rPr>
          <w:rFonts w:eastAsiaTheme="minorHAnsi"/>
          <w:color w:val="000000"/>
          <w:szCs w:val="22"/>
        </w:rPr>
        <w:t xml:space="preserve">In relation to the Commissioner’s recommendations, </w:t>
      </w:r>
      <w:r w:rsidRPr="0065101F">
        <w:rPr>
          <w:rFonts w:eastAsiaTheme="minorHAnsi"/>
          <w:b/>
          <w:color w:val="000000"/>
          <w:szCs w:val="22"/>
        </w:rPr>
        <w:t>the Australian Government accepts or accepts in principle all 56 recommendations</w:t>
      </w:r>
      <w:r w:rsidRPr="00FA38C1">
        <w:rPr>
          <w:rFonts w:eastAsiaTheme="minorHAnsi"/>
          <w:color w:val="000000"/>
          <w:szCs w:val="22"/>
        </w:rPr>
        <w:t>. Where a recommendation has been accepted in principle, the Government is committed to achieve the objective of the recommendation but has either identified an alternative means of doing so, or considers that further consideration is needed.</w:t>
      </w:r>
      <w:bookmarkEnd w:id="0"/>
      <w:bookmarkEnd w:id="1"/>
      <w:bookmarkEnd w:id="2"/>
      <w:bookmarkEnd w:id="3"/>
    </w:p>
    <w:p w14:paraId="62DDBBD4" w14:textId="77777777" w:rsidR="00091667" w:rsidRPr="00F57F22" w:rsidRDefault="00091667" w:rsidP="00D914D3">
      <w:pPr>
        <w:keepNext/>
        <w:keepLines/>
        <w:pBdr>
          <w:top w:val="single" w:sz="4" w:space="1" w:color="auto"/>
          <w:left w:val="single" w:sz="4" w:space="4" w:color="auto"/>
          <w:bottom w:val="single" w:sz="4" w:space="1" w:color="auto"/>
          <w:right w:val="single" w:sz="4" w:space="4" w:color="auto"/>
        </w:pBdr>
        <w:shd w:val="clear" w:color="auto" w:fill="E0E8F2" w:themeFill="background2"/>
        <w:outlineLvl w:val="2"/>
        <w:rPr>
          <w:rFonts w:ascii="Segoe UI Semilight" w:hAnsi="Segoe UI Semilight" w:cs="Segoe UI Semilight"/>
          <w:b/>
          <w:bCs/>
          <w:color w:val="000000"/>
          <w:szCs w:val="22"/>
        </w:rPr>
      </w:pPr>
      <w:r w:rsidRPr="00F57F22">
        <w:rPr>
          <w:rFonts w:ascii="Segoe UI Semilight" w:hAnsi="Segoe UI Semilight" w:cs="Segoe UI Semilight"/>
          <w:b/>
          <w:bCs/>
          <w:color w:val="000000"/>
          <w:szCs w:val="22"/>
        </w:rPr>
        <w:lastRenderedPageBreak/>
        <w:t>Recommendation 10.1: Design policies and processes with emphasis on the people they are meant to serve</w:t>
      </w:r>
    </w:p>
    <w:p w14:paraId="6F7BA082" w14:textId="77777777" w:rsidR="00091667" w:rsidRPr="00F57F22" w:rsidRDefault="00091667" w:rsidP="00091667">
      <w:pPr>
        <w:keepNext/>
        <w:keepLines/>
        <w:pBdr>
          <w:top w:val="single" w:sz="4" w:space="1" w:color="auto"/>
          <w:left w:val="single" w:sz="4" w:space="4" w:color="auto"/>
          <w:bottom w:val="single" w:sz="4" w:space="1" w:color="auto"/>
          <w:right w:val="single" w:sz="4" w:space="4" w:color="auto"/>
        </w:pBdr>
        <w:shd w:val="clear" w:color="auto" w:fill="E0E8F2" w:themeFill="background2"/>
        <w:rPr>
          <w:rFonts w:ascii="Segoe UI Semilight" w:hAnsi="Segoe UI Semilight" w:cs="Segoe UI Semilight"/>
          <w:color w:val="000000"/>
          <w:szCs w:val="22"/>
        </w:rPr>
      </w:pPr>
      <w:r w:rsidRPr="00F57F22">
        <w:rPr>
          <w:rFonts w:ascii="Segoe UI Semilight" w:hAnsi="Segoe UI Semilight" w:cs="Segoe UI Semilight"/>
          <w:color w:val="000000"/>
          <w:szCs w:val="22"/>
        </w:rPr>
        <w:t>Services Australia design its policies and processes with a primary emphasis on the recipients it is meant to serve. That should entail:</w:t>
      </w:r>
    </w:p>
    <w:p w14:paraId="422C67B8" w14:textId="77777777" w:rsidR="00091667" w:rsidRDefault="00091667" w:rsidP="00091667">
      <w:pPr>
        <w:pStyle w:val="ListParagraph"/>
        <w:keepNext/>
        <w:keepLines/>
        <w:numPr>
          <w:ilvl w:val="0"/>
          <w:numId w:val="59"/>
        </w:numPr>
        <w:pBdr>
          <w:top w:val="single" w:sz="4" w:space="1" w:color="auto"/>
          <w:left w:val="single" w:sz="4" w:space="4" w:color="auto"/>
          <w:bottom w:val="single" w:sz="4" w:space="1" w:color="auto"/>
          <w:right w:val="single" w:sz="4" w:space="4" w:color="auto"/>
        </w:pBdr>
        <w:shd w:val="clear" w:color="auto" w:fill="E0E8F2" w:themeFill="background2"/>
        <w:ind w:left="284" w:hanging="284"/>
        <w:contextualSpacing w:val="0"/>
        <w:rPr>
          <w:rFonts w:ascii="Segoe UI Semilight" w:hAnsi="Segoe UI Semilight" w:cs="Segoe UI Semilight"/>
          <w:color w:val="000000"/>
          <w:szCs w:val="22"/>
        </w:rPr>
      </w:pPr>
      <w:r w:rsidRPr="00091667">
        <w:rPr>
          <w:rFonts w:ascii="Segoe UI Semilight" w:hAnsi="Segoe UI Semilight" w:cs="Segoe UI Semilight"/>
          <w:color w:val="000000"/>
          <w:szCs w:val="22"/>
        </w:rPr>
        <w:t>avoiding language and conduct which reinforces feelings of stigma and shame associated with the receipt of government support when it is needed</w:t>
      </w:r>
    </w:p>
    <w:p w14:paraId="57E064AD" w14:textId="77777777" w:rsidR="00091667" w:rsidRPr="00091667" w:rsidRDefault="00091667" w:rsidP="00091667">
      <w:pPr>
        <w:pStyle w:val="ListParagraph"/>
        <w:keepNext/>
        <w:keepLines/>
        <w:numPr>
          <w:ilvl w:val="0"/>
          <w:numId w:val="59"/>
        </w:numPr>
        <w:pBdr>
          <w:top w:val="single" w:sz="4" w:space="1" w:color="auto"/>
          <w:left w:val="single" w:sz="4" w:space="4" w:color="auto"/>
          <w:bottom w:val="single" w:sz="4" w:space="1" w:color="auto"/>
          <w:right w:val="single" w:sz="4" w:space="4" w:color="auto"/>
        </w:pBdr>
        <w:shd w:val="clear" w:color="auto" w:fill="E0E8F2" w:themeFill="background2"/>
        <w:ind w:left="284" w:hanging="284"/>
        <w:contextualSpacing w:val="0"/>
        <w:rPr>
          <w:rFonts w:ascii="Segoe UI Semilight" w:eastAsiaTheme="minorHAnsi" w:hAnsi="Segoe UI Semilight" w:cs="Segoe UI Semilight"/>
          <w:szCs w:val="22"/>
        </w:rPr>
      </w:pPr>
      <w:r w:rsidRPr="00F57F22">
        <w:rPr>
          <w:rFonts w:ascii="Segoe UI Semilight" w:hAnsi="Segoe UI Semilight" w:cs="Segoe UI Semilight"/>
          <w:color w:val="000000"/>
          <w:szCs w:val="22"/>
        </w:rPr>
        <w:t>facilitating easy and efficient engagement with options of online, in person and telephone communication which is sensitive to the particular circumstances of the customer cohort, including itinerant lifestyles, lack of access to technology, lack of digital literacy and the particular difficulties rural and remote living</w:t>
      </w:r>
    </w:p>
    <w:p w14:paraId="607D312F" w14:textId="77777777" w:rsidR="00897BB3" w:rsidRPr="0065101F" w:rsidRDefault="00091667" w:rsidP="00091667">
      <w:pPr>
        <w:pStyle w:val="ListParagraph"/>
        <w:keepNext/>
        <w:keepLines/>
        <w:numPr>
          <w:ilvl w:val="0"/>
          <w:numId w:val="59"/>
        </w:numPr>
        <w:pBdr>
          <w:top w:val="single" w:sz="4" w:space="1" w:color="auto"/>
          <w:left w:val="single" w:sz="4" w:space="4" w:color="auto"/>
          <w:bottom w:val="single" w:sz="4" w:space="1" w:color="auto"/>
          <w:right w:val="single" w:sz="4" w:space="4" w:color="auto"/>
        </w:pBdr>
        <w:shd w:val="clear" w:color="auto" w:fill="E0E8F2" w:themeFill="background2"/>
        <w:ind w:left="284" w:hanging="284"/>
        <w:contextualSpacing w:val="0"/>
        <w:rPr>
          <w:rFonts w:ascii="Segoe UI Semilight" w:eastAsiaTheme="minorHAnsi" w:hAnsi="Segoe UI Semilight" w:cs="Segoe UI Semilight"/>
          <w:szCs w:val="22"/>
        </w:rPr>
      </w:pPr>
      <w:r w:rsidRPr="00F57F22">
        <w:rPr>
          <w:rFonts w:ascii="Segoe UI Semilight" w:hAnsi="Segoe UI Semilight" w:cs="Segoe UI Semilight"/>
          <w:color w:val="000000"/>
          <w:szCs w:val="22"/>
        </w:rPr>
        <w:t xml:space="preserve">explaining processes in clear terms and plain language in communication to customers, and </w:t>
      </w:r>
    </w:p>
    <w:p w14:paraId="39C266CB" w14:textId="49D08B4F" w:rsidR="00091667" w:rsidRDefault="00091667" w:rsidP="00091667">
      <w:pPr>
        <w:pStyle w:val="ListParagraph"/>
        <w:keepNext/>
        <w:keepLines/>
        <w:numPr>
          <w:ilvl w:val="0"/>
          <w:numId w:val="59"/>
        </w:numPr>
        <w:pBdr>
          <w:top w:val="single" w:sz="4" w:space="1" w:color="auto"/>
          <w:left w:val="single" w:sz="4" w:space="4" w:color="auto"/>
          <w:bottom w:val="single" w:sz="4" w:space="1" w:color="auto"/>
          <w:right w:val="single" w:sz="4" w:space="4" w:color="auto"/>
        </w:pBdr>
        <w:shd w:val="clear" w:color="auto" w:fill="E0E8F2" w:themeFill="background2"/>
        <w:ind w:left="284" w:hanging="284"/>
        <w:contextualSpacing w:val="0"/>
        <w:rPr>
          <w:rFonts w:ascii="Segoe UI Semilight" w:eastAsiaTheme="minorHAnsi" w:hAnsi="Segoe UI Semilight" w:cs="Segoe UI Semilight"/>
          <w:szCs w:val="22"/>
        </w:rPr>
      </w:pPr>
      <w:r w:rsidRPr="00F57F22">
        <w:rPr>
          <w:rFonts w:ascii="Segoe UI Semilight" w:hAnsi="Segoe UI Semilight" w:cs="Segoe UI Semilight"/>
          <w:color w:val="000000"/>
          <w:szCs w:val="22"/>
        </w:rPr>
        <w:t>acting with sensitivity to financial and other forms of stress experienced by the customer cohort and taking all practicable steps to avoid the possibility that interactions with the government might exacerbate those stresses or introduce new ones.</w:t>
      </w:r>
    </w:p>
    <w:p w14:paraId="5B72269A" w14:textId="7628C485" w:rsidR="001307DF" w:rsidRPr="00F57F22" w:rsidRDefault="001307DF" w:rsidP="000C2D43">
      <w:pPr>
        <w:pStyle w:val="TBLText"/>
        <w:rPr>
          <w:rFonts w:eastAsiaTheme="minorHAnsi"/>
        </w:rPr>
      </w:pPr>
      <w:r w:rsidRPr="00F57F22">
        <w:rPr>
          <w:rFonts w:eastAsiaTheme="minorHAnsi"/>
        </w:rPr>
        <w:t xml:space="preserve">The Government </w:t>
      </w:r>
      <w:r w:rsidRPr="00F57F22">
        <w:rPr>
          <w:rFonts w:eastAsiaTheme="minorHAnsi"/>
          <w:b/>
        </w:rPr>
        <w:t xml:space="preserve">accepts </w:t>
      </w:r>
      <w:r w:rsidR="000C4695">
        <w:rPr>
          <w:rFonts w:eastAsiaTheme="minorHAnsi"/>
        </w:rPr>
        <w:t>this recommendation.</w:t>
      </w:r>
    </w:p>
    <w:p w14:paraId="3C1BFCC6" w14:textId="2B2AD0DA" w:rsidR="001307DF" w:rsidRPr="00FA38C1" w:rsidRDefault="001307DF" w:rsidP="00FA38C1">
      <w:pPr>
        <w:pStyle w:val="ListParagraph"/>
        <w:ind w:left="0"/>
        <w:contextualSpacing w:val="0"/>
        <w:rPr>
          <w:rFonts w:eastAsiaTheme="minorHAnsi"/>
          <w:color w:val="000000"/>
          <w:szCs w:val="22"/>
        </w:rPr>
      </w:pPr>
      <w:r w:rsidRPr="00FA38C1">
        <w:rPr>
          <w:rFonts w:eastAsiaTheme="minorHAnsi"/>
          <w:color w:val="000000"/>
          <w:szCs w:val="22"/>
        </w:rPr>
        <w:t xml:space="preserve">The Government recognises the importance of designing policies and government services that focus on the needs of </w:t>
      </w:r>
      <w:r w:rsidR="00A01F2A" w:rsidRPr="00FA38C1">
        <w:rPr>
          <w:rFonts w:eastAsiaTheme="minorHAnsi"/>
          <w:color w:val="000000"/>
          <w:szCs w:val="22"/>
        </w:rPr>
        <w:t>recipients</w:t>
      </w:r>
      <w:r w:rsidRPr="00FA38C1">
        <w:rPr>
          <w:rFonts w:eastAsiaTheme="minorHAnsi"/>
          <w:color w:val="000000"/>
          <w:szCs w:val="22"/>
        </w:rPr>
        <w:t xml:space="preserve">. This includes making services as accessible as possible </w:t>
      </w:r>
      <w:r w:rsidR="0048769C" w:rsidRPr="00FA38C1">
        <w:rPr>
          <w:rFonts w:eastAsiaTheme="minorHAnsi"/>
          <w:color w:val="000000"/>
          <w:szCs w:val="22"/>
        </w:rPr>
        <w:t>and delivering them in a way</w:t>
      </w:r>
      <w:r w:rsidRPr="00FA38C1">
        <w:rPr>
          <w:rFonts w:eastAsiaTheme="minorHAnsi"/>
          <w:color w:val="000000"/>
          <w:szCs w:val="22"/>
        </w:rPr>
        <w:t xml:space="preserve"> that meets the needs of </w:t>
      </w:r>
      <w:r w:rsidR="0048769C" w:rsidRPr="00FA38C1">
        <w:rPr>
          <w:rFonts w:eastAsiaTheme="minorHAnsi"/>
          <w:color w:val="000000"/>
          <w:szCs w:val="22"/>
        </w:rPr>
        <w:t>individuals and the community</w:t>
      </w:r>
      <w:r w:rsidR="000C2D43">
        <w:rPr>
          <w:rFonts w:eastAsiaTheme="minorHAnsi"/>
          <w:color w:val="000000"/>
          <w:szCs w:val="22"/>
        </w:rPr>
        <w:t>.</w:t>
      </w:r>
    </w:p>
    <w:p w14:paraId="28488546" w14:textId="6579363C" w:rsidR="00B901D2" w:rsidRPr="000C2D43" w:rsidRDefault="00B901D2" w:rsidP="000C2D43">
      <w:pPr>
        <w:pStyle w:val="ListParagraph"/>
        <w:ind w:left="0"/>
        <w:contextualSpacing w:val="0"/>
        <w:rPr>
          <w:rFonts w:eastAsiaTheme="minorHAnsi"/>
          <w:color w:val="000000"/>
          <w:szCs w:val="22"/>
        </w:rPr>
      </w:pPr>
      <w:r w:rsidRPr="00FA38C1">
        <w:rPr>
          <w:rFonts w:eastAsiaTheme="minorHAnsi"/>
          <w:color w:val="000000"/>
          <w:szCs w:val="22"/>
        </w:rPr>
        <w:t xml:space="preserve">The Government will continue to improve the delivery of services for Australians. When considering a change to a service, before policy, investment and service delivery decisions are made, the Government will gather an evidence-based understanding of the needs of recipients, which is based on the views of recipients, and </w:t>
      </w:r>
      <w:r w:rsidR="004526BE" w:rsidRPr="00FA38C1">
        <w:rPr>
          <w:rFonts w:eastAsiaTheme="minorHAnsi"/>
          <w:color w:val="000000"/>
          <w:szCs w:val="22"/>
        </w:rPr>
        <w:t>explore</w:t>
      </w:r>
      <w:r w:rsidRPr="00FA38C1">
        <w:rPr>
          <w:rFonts w:eastAsiaTheme="minorHAnsi"/>
          <w:color w:val="000000"/>
          <w:szCs w:val="22"/>
        </w:rPr>
        <w:t xml:space="preserve"> how the proposed changes may impact recipients. The Department of Social Services and Services Australia will work together to ensure customer and staff feedback is considered in the design of policy and processes.</w:t>
      </w:r>
    </w:p>
    <w:p w14:paraId="4FE835A5" w14:textId="2669F52C" w:rsidR="00EA0E0B" w:rsidRDefault="006115F0" w:rsidP="000C2D43">
      <w:pPr>
        <w:pStyle w:val="ListParagraph"/>
        <w:ind w:left="0"/>
        <w:contextualSpacing w:val="0"/>
        <w:rPr>
          <w:rFonts w:ascii="Segoe UI Semilight" w:eastAsiaTheme="minorHAnsi" w:hAnsi="Segoe UI Semilight" w:cs="Segoe UI Semilight"/>
          <w:szCs w:val="22"/>
        </w:rPr>
      </w:pPr>
      <w:r w:rsidRPr="00FA38C1">
        <w:rPr>
          <w:rFonts w:eastAsiaTheme="minorHAnsi"/>
          <w:color w:val="000000"/>
          <w:szCs w:val="22"/>
        </w:rPr>
        <w:t>P</w:t>
      </w:r>
      <w:r w:rsidR="00D1240D" w:rsidRPr="00FA38C1">
        <w:rPr>
          <w:rFonts w:eastAsiaTheme="minorHAnsi"/>
          <w:color w:val="000000"/>
          <w:szCs w:val="22"/>
        </w:rPr>
        <w:t>riority</w:t>
      </w:r>
      <w:r w:rsidRPr="00FA38C1">
        <w:rPr>
          <w:rFonts w:eastAsiaTheme="minorHAnsi"/>
          <w:color w:val="000000"/>
          <w:szCs w:val="22"/>
        </w:rPr>
        <w:t xml:space="preserve"> 2 of the Government’s Australian Public Sector Reform agenda is to put people and business at the centre of policy and services.</w:t>
      </w:r>
      <w:r w:rsidR="00500B73" w:rsidRPr="0065101F">
        <w:rPr>
          <w:color w:val="000000"/>
          <w:vertAlign w:val="superscript"/>
        </w:rPr>
        <w:footnoteReference w:id="16"/>
      </w:r>
      <w:r w:rsidRPr="00FA38C1">
        <w:rPr>
          <w:rFonts w:eastAsiaTheme="minorHAnsi"/>
          <w:color w:val="000000"/>
          <w:szCs w:val="22"/>
        </w:rPr>
        <w:t xml:space="preserve"> In partnership with the broader APS and government services users, </w:t>
      </w:r>
      <w:r w:rsidR="00C573C0" w:rsidRPr="00FA38C1">
        <w:rPr>
          <w:rFonts w:eastAsiaTheme="minorHAnsi"/>
          <w:color w:val="000000"/>
          <w:szCs w:val="22"/>
        </w:rPr>
        <w:t xml:space="preserve">Services Australia has </w:t>
      </w:r>
      <w:r w:rsidR="00CF128E" w:rsidRPr="00FA38C1">
        <w:rPr>
          <w:rFonts w:eastAsiaTheme="minorHAnsi"/>
          <w:color w:val="000000"/>
          <w:szCs w:val="22"/>
        </w:rPr>
        <w:t>developed</w:t>
      </w:r>
      <w:r w:rsidR="00C573C0" w:rsidRPr="00FA38C1">
        <w:rPr>
          <w:rFonts w:eastAsiaTheme="minorHAnsi"/>
          <w:color w:val="000000"/>
          <w:szCs w:val="22"/>
        </w:rPr>
        <w:t xml:space="preserve"> </w:t>
      </w:r>
      <w:r w:rsidR="00227A17" w:rsidRPr="00FA38C1">
        <w:rPr>
          <w:rFonts w:eastAsiaTheme="minorHAnsi"/>
          <w:color w:val="000000"/>
          <w:szCs w:val="22"/>
        </w:rPr>
        <w:t xml:space="preserve">a </w:t>
      </w:r>
      <w:r w:rsidR="00C573C0" w:rsidRPr="00FA38C1">
        <w:rPr>
          <w:rFonts w:eastAsiaTheme="minorHAnsi"/>
          <w:color w:val="000000"/>
          <w:szCs w:val="22"/>
        </w:rPr>
        <w:t xml:space="preserve">whole of </w:t>
      </w:r>
      <w:r w:rsidR="00065851" w:rsidRPr="00FA38C1">
        <w:rPr>
          <w:rFonts w:eastAsiaTheme="minorHAnsi"/>
          <w:color w:val="000000"/>
          <w:szCs w:val="22"/>
        </w:rPr>
        <w:t>service</w:t>
      </w:r>
      <w:r w:rsidR="00C573C0" w:rsidRPr="00FA38C1">
        <w:rPr>
          <w:rFonts w:eastAsiaTheme="minorHAnsi"/>
          <w:color w:val="000000"/>
          <w:szCs w:val="22"/>
        </w:rPr>
        <w:t xml:space="preserve"> vision for user-centred service excellence</w:t>
      </w:r>
      <w:r w:rsidR="00065851" w:rsidRPr="00FA38C1">
        <w:rPr>
          <w:rFonts w:eastAsiaTheme="minorHAnsi"/>
          <w:color w:val="000000"/>
          <w:szCs w:val="22"/>
        </w:rPr>
        <w:t>:</w:t>
      </w:r>
      <w:r w:rsidR="00C573C0" w:rsidRPr="00FA38C1">
        <w:rPr>
          <w:rFonts w:eastAsiaTheme="minorHAnsi"/>
          <w:color w:val="000000"/>
          <w:szCs w:val="22"/>
        </w:rPr>
        <w:t xml:space="preserve"> “</w:t>
      </w:r>
      <w:r w:rsidR="00065851" w:rsidRPr="00FA38C1">
        <w:rPr>
          <w:rFonts w:eastAsiaTheme="minorHAnsi"/>
          <w:color w:val="000000"/>
          <w:szCs w:val="22"/>
        </w:rPr>
        <w:t>r</w:t>
      </w:r>
      <w:r w:rsidR="00C573C0" w:rsidRPr="00FA38C1">
        <w:rPr>
          <w:rFonts w:eastAsiaTheme="minorHAnsi"/>
          <w:color w:val="000000"/>
          <w:szCs w:val="22"/>
        </w:rPr>
        <w:t>eliable and accessible services when and how you need them”</w:t>
      </w:r>
      <w:r w:rsidR="00897BB3">
        <w:rPr>
          <w:rStyle w:val="FootnoteReference"/>
          <w:rFonts w:eastAsiaTheme="minorHAnsi"/>
          <w:color w:val="000000"/>
          <w:szCs w:val="22"/>
        </w:rPr>
        <w:footnoteReference w:id="17"/>
      </w:r>
      <w:r w:rsidR="00897BB3">
        <w:rPr>
          <w:rFonts w:eastAsiaTheme="minorHAnsi"/>
          <w:color w:val="000000"/>
          <w:szCs w:val="22"/>
        </w:rPr>
        <w:t>.</w:t>
      </w:r>
      <w:r w:rsidR="00C573C0" w:rsidRPr="00FA38C1">
        <w:rPr>
          <w:rFonts w:eastAsiaTheme="minorHAnsi"/>
          <w:color w:val="000000"/>
          <w:szCs w:val="22"/>
        </w:rPr>
        <w:t xml:space="preserve"> </w:t>
      </w:r>
      <w:r w:rsidR="00065851" w:rsidRPr="00FA38C1">
        <w:rPr>
          <w:rFonts w:eastAsiaTheme="minorHAnsi"/>
          <w:color w:val="000000"/>
          <w:szCs w:val="22"/>
        </w:rPr>
        <w:t>The vision supports coherent leadership in the design and delivery of government programs, services and payments; service alignment; and shared execution. It is intended to complement the service delivery principles, standards and charters of individual departments and agencies.</w:t>
      </w:r>
      <w:r w:rsidR="00EA0E0B">
        <w:rPr>
          <w:rFonts w:ascii="Segoe UI Semilight" w:eastAsiaTheme="minorHAnsi" w:hAnsi="Segoe UI Semilight" w:cs="Segoe UI Semilight"/>
          <w:szCs w:val="22"/>
        </w:rPr>
        <w:br w:type="page"/>
      </w:r>
    </w:p>
    <w:p w14:paraId="3AD64D54" w14:textId="77777777" w:rsidR="00091667" w:rsidRDefault="0009166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outlineLvl w:val="2"/>
        <w:rPr>
          <w:rFonts w:ascii="Segoe UI Semilight" w:hAnsi="Segoe UI Semilight" w:cs="Segoe UI Semilight"/>
          <w:b/>
          <w:bCs/>
          <w:color w:val="000000"/>
          <w:szCs w:val="22"/>
        </w:rPr>
      </w:pPr>
      <w:r w:rsidRPr="00F57F22">
        <w:rPr>
          <w:rFonts w:ascii="Segoe UI Semilight" w:hAnsi="Segoe UI Semilight" w:cs="Segoe UI Semilight"/>
          <w:b/>
          <w:bCs/>
          <w:color w:val="000000"/>
          <w:szCs w:val="22"/>
        </w:rPr>
        <w:lastRenderedPageBreak/>
        <w:t>Recommendation 11.1: Clear documentation of exclusion criteria</w:t>
      </w:r>
    </w:p>
    <w:p w14:paraId="5B66B6E2" w14:textId="32E108B1" w:rsidR="00091667" w:rsidRPr="00EA0E0B" w:rsidRDefault="00091667" w:rsidP="00D914D3">
      <w:pPr>
        <w:pBdr>
          <w:top w:val="single" w:sz="4" w:space="1" w:color="auto"/>
          <w:left w:val="single" w:sz="4" w:space="1" w:color="auto"/>
          <w:bottom w:val="single" w:sz="4" w:space="1" w:color="auto"/>
          <w:right w:val="single" w:sz="4" w:space="1" w:color="auto"/>
        </w:pBdr>
        <w:shd w:val="clear" w:color="auto" w:fill="E0E8F2" w:themeFill="background2"/>
      </w:pPr>
      <w:r w:rsidRPr="00EA0E0B">
        <w:t>Services Australia should ensure that for any cohort of recipients that is intended to be excluded from a compliance process or activity, there is clear documentation of the exclusion criteria, and, unless there is a technical reason it cannot be, the mechanism by which that is to occur should be reflected in the relevant technical specification documents.</w:t>
      </w:r>
    </w:p>
    <w:p w14:paraId="58B9AFA7" w14:textId="7C93CEF2" w:rsidR="00D3706A" w:rsidRPr="000C2D43" w:rsidRDefault="0052443C" w:rsidP="000C2D43">
      <w:pPr>
        <w:pStyle w:val="ListParagraph"/>
        <w:ind w:left="0"/>
        <w:contextualSpacing w:val="0"/>
        <w:rPr>
          <w:rFonts w:eastAsiaTheme="minorHAnsi"/>
          <w:color w:val="000000"/>
          <w:szCs w:val="22"/>
        </w:rPr>
      </w:pPr>
      <w:r w:rsidRPr="00FA38C1">
        <w:rPr>
          <w:rFonts w:eastAsiaTheme="minorHAnsi"/>
          <w:color w:val="000000"/>
          <w:szCs w:val="22"/>
        </w:rPr>
        <w:t xml:space="preserve">The Government </w:t>
      </w:r>
      <w:r w:rsidRPr="0065101F">
        <w:rPr>
          <w:rFonts w:eastAsiaTheme="minorHAnsi"/>
          <w:b/>
          <w:color w:val="000000"/>
          <w:szCs w:val="22"/>
        </w:rPr>
        <w:t>accepts</w:t>
      </w:r>
      <w:r w:rsidRPr="00FA38C1">
        <w:rPr>
          <w:rFonts w:eastAsiaTheme="minorHAnsi"/>
          <w:color w:val="000000"/>
          <w:szCs w:val="22"/>
        </w:rPr>
        <w:t xml:space="preserve"> this recommendation.</w:t>
      </w:r>
    </w:p>
    <w:p w14:paraId="6C3664D2" w14:textId="1F35ED9A" w:rsidR="00D3706A" w:rsidRPr="00F57F22" w:rsidRDefault="0052443C" w:rsidP="000C2D43">
      <w:pPr>
        <w:pStyle w:val="TBLText"/>
        <w:rPr>
          <w:rFonts w:eastAsiaTheme="minorHAnsi"/>
        </w:rPr>
      </w:pPr>
      <w:r w:rsidRPr="00FA38C1">
        <w:rPr>
          <w:rFonts w:eastAsiaTheme="minorHAnsi"/>
        </w:rPr>
        <w:t xml:space="preserve">The Government supports the need for clear documentation that </w:t>
      </w:r>
      <w:r w:rsidR="002D6825" w:rsidRPr="00FA38C1">
        <w:rPr>
          <w:rFonts w:eastAsiaTheme="minorHAnsi"/>
        </w:rPr>
        <w:t>specifies the circumstances</w:t>
      </w:r>
      <w:r w:rsidR="002D6825" w:rsidRPr="00F57F22">
        <w:t xml:space="preserve"> </w:t>
      </w:r>
      <w:r w:rsidR="002D6825" w:rsidRPr="00FA38C1">
        <w:rPr>
          <w:rFonts w:eastAsiaTheme="minorHAnsi"/>
        </w:rPr>
        <w:t>when</w:t>
      </w:r>
      <w:r w:rsidRPr="00FA38C1">
        <w:rPr>
          <w:rFonts w:eastAsiaTheme="minorHAnsi"/>
        </w:rPr>
        <w:t xml:space="preserve"> an individual may be excluded from a compliance process.</w:t>
      </w:r>
    </w:p>
    <w:p w14:paraId="4DF91705" w14:textId="3F67D1AF" w:rsidR="00B172C6" w:rsidRDefault="0052443C" w:rsidP="000C2D43">
      <w:pPr>
        <w:pStyle w:val="TBLText"/>
      </w:pPr>
      <w:r w:rsidRPr="00FA38C1">
        <w:rPr>
          <w:rFonts w:eastAsiaTheme="minorHAnsi"/>
          <w:color w:val="000000"/>
        </w:rPr>
        <w:t>Services Australia will produce clear documentation for any exclusion criteria when any cohort</w:t>
      </w:r>
      <w:r w:rsidRPr="00F57F22">
        <w:t xml:space="preserve"> of recipients is intended to be excluded from compliance or debt related activities. </w:t>
      </w:r>
      <w:r w:rsidR="000C5E79" w:rsidRPr="00F57F22">
        <w:t>This include</w:t>
      </w:r>
      <w:r w:rsidR="00B901D2" w:rsidRPr="00F57F22">
        <w:t>s</w:t>
      </w:r>
      <w:r w:rsidR="000C5E79" w:rsidRPr="00F57F22">
        <w:t xml:space="preserve"> recording any associate</w:t>
      </w:r>
      <w:r w:rsidR="000E0878" w:rsidRPr="00F57F22">
        <w:t>d</w:t>
      </w:r>
      <w:r w:rsidR="000C5E79" w:rsidRPr="00F57F22">
        <w:t xml:space="preserve"> exclusions within any compliance activity business process specifications and compliance program documents.</w:t>
      </w:r>
    </w:p>
    <w:p w14:paraId="48AB41A4" w14:textId="77777777" w:rsidR="00EA0E0B" w:rsidRDefault="00EA0E0B"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Recommendation 11.2: Identification of circumstances affecting the capacity to engage with compliance activity</w:t>
      </w:r>
    </w:p>
    <w:p w14:paraId="4947AB27" w14:textId="49500D04" w:rsidR="00EA0E0B" w:rsidRDefault="00EA0E0B" w:rsidP="00EA0D0D">
      <w:pPr>
        <w:pBdr>
          <w:top w:val="single" w:sz="4" w:space="1" w:color="auto"/>
          <w:left w:val="single" w:sz="4" w:space="1" w:color="auto"/>
          <w:bottom w:val="single" w:sz="4" w:space="1" w:color="auto"/>
          <w:right w:val="single" w:sz="4" w:space="1" w:color="auto"/>
        </w:pBdr>
        <w:shd w:val="clear" w:color="auto" w:fill="E0E8F2" w:themeFill="background2"/>
      </w:pPr>
      <w:r w:rsidRPr="00EA0E0B">
        <w:t>Services Australia should ensure that its processes and policies in relation to the identification of potential vulnerabilities extend to the identification of circumstances affecting a recipient’s capacity to engage with a</w:t>
      </w:r>
      <w:r>
        <w:t>ny form of compliance activity.</w:t>
      </w:r>
    </w:p>
    <w:p w14:paraId="3347AB57" w14:textId="128C3373" w:rsidR="00B172C6" w:rsidRPr="00F57F22" w:rsidRDefault="00EA0E0B" w:rsidP="00EA0D0D">
      <w:pPr>
        <w:pBdr>
          <w:top w:val="single" w:sz="4" w:space="1" w:color="auto"/>
          <w:left w:val="single" w:sz="4" w:space="1" w:color="auto"/>
          <w:bottom w:val="single" w:sz="4" w:space="1" w:color="auto"/>
          <w:right w:val="single" w:sz="4" w:space="1" w:color="auto"/>
        </w:pBdr>
        <w:shd w:val="clear" w:color="auto" w:fill="E0E8F2" w:themeFill="background2"/>
      </w:pPr>
      <w:r w:rsidRPr="00EA0E0B">
        <w:t>To this end, circumstances likely to affect a recipient’s capacity to engage with compliance activities should be recorded on their file regardless of whether they are in receipt of a payment that gives rise to mutual obligations.</w:t>
      </w:r>
    </w:p>
    <w:p w14:paraId="096BA73E" w14:textId="57CDEA6E" w:rsidR="00D3706A" w:rsidRPr="00F57F22" w:rsidRDefault="00675D65" w:rsidP="000C2D43">
      <w:pPr>
        <w:pStyle w:val="TBLText"/>
      </w:pPr>
      <w:r w:rsidRPr="00F57F22">
        <w:t xml:space="preserve">The Government </w:t>
      </w:r>
      <w:r w:rsidRPr="00F57F22">
        <w:rPr>
          <w:b/>
        </w:rPr>
        <w:t xml:space="preserve">accepts </w:t>
      </w:r>
      <w:r w:rsidRPr="00F57F22">
        <w:t>this recommendation.</w:t>
      </w:r>
    </w:p>
    <w:p w14:paraId="2CB4EC03" w14:textId="1044B501" w:rsidR="00D3706A" w:rsidRPr="000C2D43" w:rsidRDefault="00675D65" w:rsidP="000C2D43">
      <w:pPr>
        <w:pStyle w:val="TBLText"/>
      </w:pPr>
      <w:r w:rsidRPr="00F57F22">
        <w:t xml:space="preserve">The </w:t>
      </w:r>
      <w:r w:rsidR="00195E49" w:rsidRPr="00F57F22">
        <w:t>G</w:t>
      </w:r>
      <w:r w:rsidRPr="00F57F22">
        <w:t xml:space="preserve">overnment agrees that individual circumstances that might impact </w:t>
      </w:r>
      <w:r w:rsidR="0053266C" w:rsidRPr="00F57F22">
        <w:t>on</w:t>
      </w:r>
      <w:r w:rsidRPr="00F57F22">
        <w:t xml:space="preserve"> </w:t>
      </w:r>
      <w:r w:rsidR="004526BE">
        <w:t xml:space="preserve">an individual’s </w:t>
      </w:r>
      <w:r w:rsidRPr="00F57F22">
        <w:t>capacity to engage with gove</w:t>
      </w:r>
      <w:r w:rsidR="006F4FD6" w:rsidRPr="00F57F22">
        <w:t xml:space="preserve">rnment services, or reviews of </w:t>
      </w:r>
      <w:r w:rsidRPr="00F57F22">
        <w:t xml:space="preserve">payments </w:t>
      </w:r>
      <w:r w:rsidR="006F4FD6" w:rsidRPr="00F57F22">
        <w:t>and</w:t>
      </w:r>
      <w:r w:rsidRPr="00F57F22">
        <w:t xml:space="preserve"> services, should be taken into account during service delivery and customer engagements.</w:t>
      </w:r>
    </w:p>
    <w:p w14:paraId="26EFEE26" w14:textId="1395CBBF" w:rsidR="00D3706A" w:rsidRPr="000C2D43" w:rsidRDefault="006F4FD6" w:rsidP="000C2D43">
      <w:pPr>
        <w:pStyle w:val="TBLText"/>
      </w:pPr>
      <w:r w:rsidRPr="00F57F22">
        <w:rPr>
          <w:rFonts w:eastAsiaTheme="minorHAnsi"/>
        </w:rPr>
        <w:t>Disclosure</w:t>
      </w:r>
      <w:r w:rsidRPr="00F57F22">
        <w:t xml:space="preserve"> of individual circumstances is voluntary in most cases, particularly when this detail may not be required to establish an entitlement to a payment or service.</w:t>
      </w:r>
      <w:r w:rsidRPr="00F57F22" w:rsidDel="006C123D">
        <w:t xml:space="preserve"> </w:t>
      </w:r>
      <w:r w:rsidRPr="00F57F22">
        <w:t xml:space="preserve">Noting this, in some circumstances it may not </w:t>
      </w:r>
      <w:r w:rsidR="00AE7961" w:rsidRPr="00F57F22">
        <w:t xml:space="preserve">be </w:t>
      </w:r>
      <w:r w:rsidRPr="00F57F22">
        <w:t>possible for delivery agencies to proactively identify all circumstances that might affect a person’s ability to engage with a compliance activity.</w:t>
      </w:r>
    </w:p>
    <w:p w14:paraId="3E83DC73" w14:textId="42682A9C" w:rsidR="00A644D6" w:rsidRPr="00F57F22" w:rsidRDefault="00B901D2" w:rsidP="000C2D43">
      <w:pPr>
        <w:pStyle w:val="TBLText"/>
      </w:pPr>
      <w:r w:rsidRPr="00F57F22">
        <w:rPr>
          <w:rFonts w:eastAsiaTheme="minorHAnsi"/>
        </w:rPr>
        <w:t xml:space="preserve">In recognition, </w:t>
      </w:r>
      <w:r w:rsidR="00675D65" w:rsidRPr="00F57F22">
        <w:rPr>
          <w:rFonts w:eastAsiaTheme="minorHAnsi"/>
        </w:rPr>
        <w:t>Services</w:t>
      </w:r>
      <w:r w:rsidR="00675D65" w:rsidRPr="00F57F22">
        <w:t xml:space="preserve"> Australia has developed internal guidance to support staff to engage with customers, build the </w:t>
      </w:r>
      <w:r w:rsidR="00D06BD9">
        <w:t>a</w:t>
      </w:r>
      <w:r w:rsidR="00D06BD9" w:rsidRPr="00F57F22">
        <w:t xml:space="preserve">gency’s </w:t>
      </w:r>
      <w:r w:rsidR="00675D65" w:rsidRPr="00F57F22">
        <w:t xml:space="preserve">capability to identify customers experiencing vulnerability, and support customers to safely disclose their circumstances and access appropriate information, services and support. </w:t>
      </w:r>
      <w:r w:rsidR="00024FE7" w:rsidRPr="00F57F22">
        <w:t>Issued</w:t>
      </w:r>
      <w:r w:rsidR="00675D65" w:rsidRPr="00F57F22">
        <w:t xml:space="preserve"> in July</w:t>
      </w:r>
      <w:r w:rsidR="00A644D6" w:rsidRPr="00F57F22">
        <w:t> </w:t>
      </w:r>
      <w:r w:rsidR="00675D65" w:rsidRPr="00F57F22">
        <w:t>2021, the ‘Our vulnerability strategy’ is be</w:t>
      </w:r>
      <w:r w:rsidRPr="00F57F22">
        <w:t>ing implemented across Services </w:t>
      </w:r>
      <w:r w:rsidR="00675D65" w:rsidRPr="00F57F22">
        <w:t>Australia.</w:t>
      </w:r>
      <w:r w:rsidR="000C2D43">
        <w:br w:type="page"/>
      </w:r>
      <w:r w:rsidR="00A644D6" w:rsidRPr="00F57F22">
        <w:lastRenderedPageBreak/>
        <w:t xml:space="preserve">Where an individual discloses a vulnerability, this will inform the way the </w:t>
      </w:r>
      <w:r w:rsidR="007D2750">
        <w:t>a</w:t>
      </w:r>
      <w:r w:rsidR="00A644D6" w:rsidRPr="00F57F22">
        <w:t>gency engages with the individual in the delivery of programs and services</w:t>
      </w:r>
      <w:r w:rsidR="00F26EB0" w:rsidRPr="00F57F22">
        <w:t>, including connecting the customer with any additional support services</w:t>
      </w:r>
      <w:r w:rsidR="00A644D6" w:rsidRPr="00F57F22">
        <w:t xml:space="preserve">. To support this, </w:t>
      </w:r>
      <w:r w:rsidR="00133202" w:rsidRPr="00F57F22">
        <w:t>information about circumstances affecting a recipient’s capacity to engage is</w:t>
      </w:r>
      <w:r w:rsidR="00A644D6" w:rsidRPr="00F57F22">
        <w:t xml:space="preserve"> recorded on customer </w:t>
      </w:r>
      <w:r w:rsidR="00227A17">
        <w:t>records</w:t>
      </w:r>
      <w:r w:rsidR="00A644D6" w:rsidRPr="00F57F22">
        <w:t xml:space="preserve">. </w:t>
      </w:r>
      <w:r w:rsidR="00E6287A">
        <w:t>This information is also accessible to service delivery partners.</w:t>
      </w:r>
    </w:p>
    <w:p w14:paraId="19C8BCC8" w14:textId="33F014A5" w:rsidR="0025752D" w:rsidRPr="00F57F22" w:rsidRDefault="00675D65" w:rsidP="000C2D43">
      <w:pPr>
        <w:pStyle w:val="TBLText"/>
      </w:pPr>
      <w:r w:rsidRPr="00F57F22">
        <w:t xml:space="preserve">Services Australia will continue to engage with customers in a way that supports proper consideration of </w:t>
      </w:r>
      <w:r w:rsidRPr="00F57F22">
        <w:rPr>
          <w:rFonts w:eastAsiaTheme="minorHAnsi"/>
        </w:rPr>
        <w:t>individual</w:t>
      </w:r>
      <w:r w:rsidRPr="00F57F22">
        <w:t xml:space="preserve"> circumstances, and </w:t>
      </w:r>
      <w:r w:rsidR="00227A17">
        <w:t xml:space="preserve">to </w:t>
      </w:r>
      <w:r w:rsidRPr="00F57F22">
        <w:t>support customers to disclose any vulnerabilities impacting them</w:t>
      </w:r>
      <w:r w:rsidR="003B166B" w:rsidRPr="00F57F22">
        <w:t>.</w:t>
      </w:r>
      <w:r w:rsidR="0025752D">
        <w:br/>
      </w:r>
    </w:p>
    <w:p w14:paraId="3D9A9CC3" w14:textId="77777777" w:rsidR="00EA0E0B" w:rsidRPr="00F57F22" w:rsidRDefault="00EA0E0B"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outlineLvl w:val="2"/>
        <w:rPr>
          <w:rFonts w:ascii="Segoe UI Semilight" w:hAnsi="Segoe UI Semilight" w:cs="Segoe UI Semilight"/>
          <w:b/>
          <w:bCs/>
          <w:color w:val="000000"/>
          <w:szCs w:val="22"/>
        </w:rPr>
      </w:pPr>
      <w:r w:rsidRPr="00F57F22">
        <w:rPr>
          <w:rFonts w:ascii="Segoe UI Semilight" w:hAnsi="Segoe UI Semilight" w:cs="Segoe UI Semilight"/>
          <w:b/>
          <w:bCs/>
          <w:color w:val="000000"/>
          <w:szCs w:val="22"/>
        </w:rPr>
        <w:t>Recommendation 11.3: Engagement prior to removing a vulnerability indicator from a file</w:t>
      </w:r>
    </w:p>
    <w:p w14:paraId="70946640" w14:textId="64E0F802" w:rsidR="00B172C6" w:rsidRDefault="00EA0E0B" w:rsidP="000C2D43">
      <w:pPr>
        <w:pBdr>
          <w:top w:val="single" w:sz="4" w:space="1" w:color="auto"/>
          <w:left w:val="single" w:sz="4" w:space="1" w:color="auto"/>
          <w:bottom w:val="single" w:sz="4" w:space="1" w:color="auto"/>
          <w:right w:val="single" w:sz="4" w:space="1" w:color="auto"/>
        </w:pBdr>
        <w:shd w:val="clear" w:color="auto" w:fill="E0E8F2" w:themeFill="background2"/>
      </w:pPr>
      <w:r w:rsidRPr="00EA0E0B">
        <w:t>Services Australia should ensure that its processes and policies in relation to the identification of potential vulnerabilities require staff to engage with a recipient prior to the removal of an indicator on their file. For this purpose, Services Australia should remove any feature that would allow for the automatic expiry of a vulnerability indicator (or equivalent flagging tool). An indicator should only be removed where a recipient, or evidence provided to the Agency in relation to the recipient, confirms that they are no longer suffering from the vulnerability to which the indicator relates.</w:t>
      </w:r>
    </w:p>
    <w:p w14:paraId="5883FC6C" w14:textId="292597D1" w:rsidR="007608C5" w:rsidRPr="00F57F22" w:rsidRDefault="001749F0" w:rsidP="000C2D43">
      <w:pPr>
        <w:pStyle w:val="TBLText"/>
      </w:pPr>
      <w:r w:rsidRPr="00F57F22">
        <w:t xml:space="preserve">The Government </w:t>
      </w:r>
      <w:r w:rsidRPr="00F57F22">
        <w:rPr>
          <w:b/>
        </w:rPr>
        <w:t xml:space="preserve">accepts </w:t>
      </w:r>
      <w:r w:rsidRPr="00F57F22">
        <w:t>this recommendation.</w:t>
      </w:r>
    </w:p>
    <w:p w14:paraId="3CC37BDA" w14:textId="675AF0DC" w:rsidR="00BB340C" w:rsidRPr="00F57F22" w:rsidRDefault="00CC0676" w:rsidP="000C2D43">
      <w:pPr>
        <w:pStyle w:val="TBLText"/>
      </w:pPr>
      <w:r w:rsidRPr="00F57F22">
        <w:t>O</w:t>
      </w:r>
      <w:r w:rsidR="00BB340C" w:rsidRPr="00F57F22">
        <w:t xml:space="preserve">perational guidance material </w:t>
      </w:r>
      <w:r w:rsidRPr="00F57F22">
        <w:t xml:space="preserve">and </w:t>
      </w:r>
      <w:r w:rsidRPr="00F57F22">
        <w:rPr>
          <w:color w:val="000000"/>
        </w:rPr>
        <w:t xml:space="preserve">the ‘Our vulnerability strategy’ </w:t>
      </w:r>
      <w:r w:rsidR="00BB340C" w:rsidRPr="00F57F22">
        <w:t xml:space="preserve">support </w:t>
      </w:r>
      <w:r w:rsidRPr="00F57F22">
        <w:t xml:space="preserve">Services Australia </w:t>
      </w:r>
      <w:r w:rsidR="00BB340C" w:rsidRPr="00F57F22">
        <w:t>service officers to identify when customers</w:t>
      </w:r>
      <w:r w:rsidR="009B2DFD" w:rsidRPr="00F57F22">
        <w:t>’</w:t>
      </w:r>
      <w:r w:rsidR="00BB340C" w:rsidRPr="00F57F22">
        <w:t xml:space="preserve"> circumstances should be recorded</w:t>
      </w:r>
      <w:r w:rsidR="005D6DDB" w:rsidRPr="00F57F22">
        <w:t xml:space="preserve"> and </w:t>
      </w:r>
      <w:r w:rsidR="00BB340C" w:rsidRPr="00F57F22">
        <w:t>updated on a customer’s record</w:t>
      </w:r>
      <w:r w:rsidR="005D6DDB" w:rsidRPr="00F57F22">
        <w:t>. This includes when vulnerabilities are identified</w:t>
      </w:r>
      <w:r w:rsidR="002547A9" w:rsidRPr="00F57F22">
        <w:t>, require update</w:t>
      </w:r>
      <w:r w:rsidR="004526BE">
        <w:t>s</w:t>
      </w:r>
      <w:r w:rsidR="002547A9" w:rsidRPr="00F57F22">
        <w:t xml:space="preserve"> due to a change in the customer’s circumstances</w:t>
      </w:r>
      <w:r w:rsidR="00D80C45" w:rsidRPr="00F57F22">
        <w:t>,</w:t>
      </w:r>
      <w:r w:rsidR="002547A9" w:rsidRPr="00F57F22">
        <w:t xml:space="preserve"> or are no longer impacting the customer</w:t>
      </w:r>
      <w:r w:rsidR="005D6DDB" w:rsidRPr="00F57F22">
        <w:t>.</w:t>
      </w:r>
    </w:p>
    <w:p w14:paraId="0AA297CC" w14:textId="6CA6EA6D" w:rsidR="004920BD" w:rsidRPr="000C2D43" w:rsidRDefault="007A6D73" w:rsidP="000C2D43">
      <w:pPr>
        <w:pStyle w:val="TBLText"/>
        <w:rPr>
          <w:color w:val="000000"/>
        </w:rPr>
      </w:pPr>
      <w:r>
        <w:t xml:space="preserve">Records held </w:t>
      </w:r>
      <w:r w:rsidR="00BB340C" w:rsidRPr="00F57F22">
        <w:t xml:space="preserve">by Services Australia </w:t>
      </w:r>
      <w:r>
        <w:t xml:space="preserve">contain notes that </w:t>
      </w:r>
      <w:r w:rsidR="00BB340C" w:rsidRPr="00F57F22">
        <w:t xml:space="preserve">alert staff to </w:t>
      </w:r>
      <w:r w:rsidR="00133202" w:rsidRPr="00F57F22">
        <w:t>circumstances</w:t>
      </w:r>
      <w:r w:rsidR="00BB340C" w:rsidRPr="00F57F22">
        <w:t xml:space="preserve"> where a recipient is experiencing difficulties that might affect their ability to meet mutual obligation requirements</w:t>
      </w:r>
      <w:r w:rsidR="004526BE">
        <w:t xml:space="preserve">. </w:t>
      </w:r>
      <w:r w:rsidR="004920BD" w:rsidRPr="00F57F22">
        <w:rPr>
          <w:color w:val="000000"/>
        </w:rPr>
        <w:t xml:space="preserve">Where an individual discloses a vulnerability, </w:t>
      </w:r>
      <w:r>
        <w:rPr>
          <w:color w:val="000000"/>
        </w:rPr>
        <w:t>staff will use this knowledge to tailor the discussion and interaction, including the promotion of appropriate programs and services, and connect the customer to specialist supports and/or referrals to local service providers.</w:t>
      </w:r>
      <w:r w:rsidR="004920BD" w:rsidRPr="00F57F22">
        <w:rPr>
          <w:color w:val="000000"/>
        </w:rPr>
        <w:t xml:space="preserve"> To support this, information about circumstances affecting a </w:t>
      </w:r>
      <w:r>
        <w:rPr>
          <w:color w:val="000000"/>
        </w:rPr>
        <w:t xml:space="preserve">person’s </w:t>
      </w:r>
      <w:r w:rsidR="004920BD" w:rsidRPr="00F57F22">
        <w:rPr>
          <w:color w:val="000000"/>
        </w:rPr>
        <w:t xml:space="preserve">capacity to engage </w:t>
      </w:r>
      <w:r>
        <w:rPr>
          <w:color w:val="000000"/>
        </w:rPr>
        <w:t>in mutual obligation requirements</w:t>
      </w:r>
      <w:r w:rsidRPr="00F57F22">
        <w:rPr>
          <w:color w:val="000000"/>
        </w:rPr>
        <w:t xml:space="preserve"> </w:t>
      </w:r>
      <w:r w:rsidR="004920BD" w:rsidRPr="00F57F22">
        <w:rPr>
          <w:color w:val="000000"/>
        </w:rPr>
        <w:t>is recorded on customer files.</w:t>
      </w:r>
    </w:p>
    <w:p w14:paraId="1AA6175F" w14:textId="0612AB3D" w:rsidR="00D06BD9" w:rsidRDefault="007A6D73" w:rsidP="000C2D43">
      <w:pPr>
        <w:pStyle w:val="TBLText"/>
      </w:pPr>
      <w:r>
        <w:t>Notes</w:t>
      </w:r>
      <w:r w:rsidRPr="00F57F22">
        <w:t xml:space="preserve"> </w:t>
      </w:r>
      <w:r w:rsidR="00BB340C" w:rsidRPr="00F57F22">
        <w:t xml:space="preserve">are generally applied on the basis of information provided by </w:t>
      </w:r>
      <w:r w:rsidR="00CC0676" w:rsidRPr="00F57F22">
        <w:t xml:space="preserve">individuals </w:t>
      </w:r>
      <w:r w:rsidR="00BB340C" w:rsidRPr="00F57F22">
        <w:t>through their engagement with the agency.</w:t>
      </w:r>
      <w:r w:rsidR="005D6DDB" w:rsidRPr="00F57F22">
        <w:t xml:space="preserve"> </w:t>
      </w:r>
      <w:r>
        <w:t>A</w:t>
      </w:r>
      <w:r w:rsidRPr="00F57F22">
        <w:t xml:space="preserve"> </w:t>
      </w:r>
      <w:r w:rsidR="00B901D2" w:rsidRPr="00F57F22">
        <w:t xml:space="preserve">record of </w:t>
      </w:r>
      <w:r>
        <w:t xml:space="preserve">a person’s </w:t>
      </w:r>
      <w:r w:rsidR="00B901D2" w:rsidRPr="00F57F22">
        <w:t xml:space="preserve">circumstances is maintained on their customer file and accessible </w:t>
      </w:r>
      <w:r w:rsidR="00705B36" w:rsidRPr="00F57F22">
        <w:t>if they have</w:t>
      </w:r>
      <w:r w:rsidR="00B901D2" w:rsidRPr="00F57F22">
        <w:t xml:space="preserve"> future interactions</w:t>
      </w:r>
      <w:r w:rsidR="00705B36" w:rsidRPr="00F57F22">
        <w:t xml:space="preserve"> with the </w:t>
      </w:r>
      <w:r w:rsidR="00133202" w:rsidRPr="00F57F22">
        <w:t>agency</w:t>
      </w:r>
      <w:r w:rsidR="00B901D2" w:rsidRPr="00F57F22">
        <w:t>.</w:t>
      </w:r>
    </w:p>
    <w:p w14:paraId="0EDCB977" w14:textId="40F6C0D1" w:rsidR="00EA0E0B" w:rsidRPr="00F57F22" w:rsidRDefault="00D06BD9" w:rsidP="009E2FAE">
      <w:pPr>
        <w:spacing w:after="200" w:line="288" w:lineRule="auto"/>
        <w:rPr>
          <w:rFonts w:ascii="Segoe UI Semilight" w:hAnsi="Segoe UI Semilight" w:cs="Segoe UI Semilight"/>
          <w:b/>
          <w:bCs/>
          <w:color w:val="000000"/>
          <w:szCs w:val="22"/>
        </w:rPr>
      </w:pPr>
      <w:r>
        <w:br w:type="page"/>
      </w:r>
      <w:r w:rsidR="00EA0E0B" w:rsidRPr="00F57F22">
        <w:rPr>
          <w:rFonts w:ascii="Segoe UI Semilight" w:hAnsi="Segoe UI Semilight" w:cs="Segoe UI Semilight"/>
          <w:b/>
          <w:bCs/>
          <w:color w:val="000000"/>
          <w:szCs w:val="22"/>
        </w:rPr>
        <w:lastRenderedPageBreak/>
        <w:t>Recommendation 11.4: Consideration of vulnerabilities affected by each compliance program, including consultation with advocacy bodies</w:t>
      </w:r>
    </w:p>
    <w:p w14:paraId="70DB5C12" w14:textId="40729FAD" w:rsidR="00BB340C" w:rsidRPr="00F57F22" w:rsidRDefault="00EA0E0B" w:rsidP="006D090E">
      <w:pPr>
        <w:pStyle w:val="TBLText"/>
        <w:pBdr>
          <w:top w:val="single" w:sz="4" w:space="1" w:color="auto"/>
          <w:left w:val="single" w:sz="4" w:space="1" w:color="auto"/>
          <w:bottom w:val="single" w:sz="4" w:space="1" w:color="auto"/>
          <w:right w:val="single" w:sz="4" w:space="1" w:color="auto"/>
        </w:pBdr>
        <w:shd w:val="clear" w:color="auto" w:fill="E0E8F2" w:themeFill="background2"/>
      </w:pPr>
      <w:r w:rsidRPr="00EA0E0B">
        <w:t>Services Australia should incorporate a process in the design of compliance programs to consider and document the categories of vulnerable recipients who may be affected by the program, and how those recipients will be dealt with. Services Australia should consult stakeholders (including peak advocacy bodies) as part of this process to ensure that adequate provision is made to accommodate vulnerable recipients who may encounter particular difficulties engaging with the program.</w:t>
      </w:r>
    </w:p>
    <w:p w14:paraId="2B32F9BD" w14:textId="61DB476C" w:rsidR="007608C5" w:rsidRPr="00F57F22" w:rsidRDefault="001749F0" w:rsidP="000C2D43">
      <w:pPr>
        <w:pStyle w:val="TBLText"/>
      </w:pPr>
      <w:r w:rsidRPr="00F57F22">
        <w:t xml:space="preserve">The Government </w:t>
      </w:r>
      <w:r w:rsidRPr="00F57F22">
        <w:rPr>
          <w:b/>
        </w:rPr>
        <w:t xml:space="preserve">accepts </w:t>
      </w:r>
      <w:r w:rsidRPr="00F57F22">
        <w:t>this recommendation.</w:t>
      </w:r>
    </w:p>
    <w:p w14:paraId="66A8DD80" w14:textId="461C075A" w:rsidR="004A0276" w:rsidRPr="00F57F22" w:rsidRDefault="004A0276" w:rsidP="000C2D43">
      <w:pPr>
        <w:pStyle w:val="TBLText"/>
      </w:pPr>
      <w:r w:rsidRPr="000C2D43">
        <w:t>The Government recognises the importance of considering an individual’s capacity to engage with government services and any reviews of their circumstances that might impact eligibility for a payment or services.</w:t>
      </w:r>
    </w:p>
    <w:p w14:paraId="64851068" w14:textId="48BED7CC" w:rsidR="0021133D" w:rsidRDefault="00024FE7" w:rsidP="000C2D43">
      <w:pPr>
        <w:pStyle w:val="TBLText"/>
      </w:pPr>
      <w:r w:rsidRPr="00F57F22">
        <w:t xml:space="preserve">Services Australia </w:t>
      </w:r>
      <w:r w:rsidR="00543DCE" w:rsidRPr="00F57F22">
        <w:t xml:space="preserve">uses </w:t>
      </w:r>
      <w:r w:rsidRPr="00F57F22">
        <w:t xml:space="preserve">established forums </w:t>
      </w:r>
      <w:r w:rsidR="00543DCE" w:rsidRPr="00F57F22">
        <w:t>to support</w:t>
      </w:r>
      <w:r w:rsidRPr="00F57F22">
        <w:t xml:space="preserve"> engagements with advocacy groups including the National Multicultural Advisory Group, Disability Peak Bodies, Stakeholder Consultative Group and the Civil Society Advisory Group. Engagements through these forums have informed changes to the agency’s service delivery and support services.</w:t>
      </w:r>
    </w:p>
    <w:p w14:paraId="499AE1A3" w14:textId="2A63F4E1" w:rsidR="004A0276" w:rsidRPr="00F57F22" w:rsidRDefault="004A0276" w:rsidP="000C2D43">
      <w:pPr>
        <w:pStyle w:val="TBLText"/>
      </w:pPr>
      <w:r w:rsidRPr="00F57F22">
        <w:t xml:space="preserve">Services Australia will continue </w:t>
      </w:r>
      <w:r w:rsidR="00646215" w:rsidRPr="00F57F22">
        <w:t xml:space="preserve">to </w:t>
      </w:r>
      <w:r w:rsidRPr="00F57F22">
        <w:t>seek advice and input from civil society stakeholders to improve service delivery, particularly where changes are being made and there are opportunities for co-design.</w:t>
      </w:r>
    </w:p>
    <w:p w14:paraId="4FAC2D9A" w14:textId="77E780BC" w:rsidR="00EA0E0B" w:rsidRPr="00F57F22" w:rsidRDefault="00EA0E0B"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outlineLvl w:val="2"/>
        <w:rPr>
          <w:rFonts w:ascii="Segoe UI Semilight" w:hAnsi="Segoe UI Semilight" w:cs="Segoe UI Semilight"/>
          <w:b/>
          <w:bCs/>
          <w:color w:val="000000"/>
          <w:szCs w:val="22"/>
        </w:rPr>
      </w:pPr>
      <w:r w:rsidRPr="00F57F22">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12</w:t>
      </w:r>
      <w:r w:rsidRPr="00F57F22">
        <w:rPr>
          <w:rFonts w:ascii="Segoe UI Semilight" w:hAnsi="Segoe UI Semilight" w:cs="Segoe UI Semilight"/>
          <w:b/>
          <w:bCs/>
          <w:color w:val="000000"/>
          <w:szCs w:val="22"/>
        </w:rPr>
        <w:t>.</w:t>
      </w:r>
      <w:r>
        <w:rPr>
          <w:rFonts w:ascii="Segoe UI Semilight" w:hAnsi="Segoe UI Semilight" w:cs="Segoe UI Semilight"/>
          <w:b/>
          <w:bCs/>
          <w:color w:val="000000"/>
          <w:szCs w:val="22"/>
        </w:rPr>
        <w:t>1: E</w:t>
      </w:r>
      <w:r w:rsidRPr="00F57F22">
        <w:rPr>
          <w:rFonts w:ascii="Segoe UI Semilight" w:hAnsi="Segoe UI Semilight" w:cs="Segoe UI Semilight"/>
          <w:b/>
          <w:bCs/>
          <w:color w:val="000000"/>
          <w:szCs w:val="22"/>
        </w:rPr>
        <w:t>asier engagement with Centrelin</w:t>
      </w:r>
      <w:r w:rsidRPr="00D914D3">
        <w:rPr>
          <w:rFonts w:ascii="Segoe UI Semilight" w:hAnsi="Segoe UI Semilight" w:cs="Segoe UI Semilight"/>
          <w:b/>
          <w:bCs/>
          <w:color w:val="000000"/>
          <w:szCs w:val="22"/>
        </w:rPr>
        <w:t>k</w:t>
      </w:r>
    </w:p>
    <w:p w14:paraId="2911A893" w14:textId="2852FA2F" w:rsidR="00B172C6" w:rsidRPr="00F57F22" w:rsidRDefault="00EA0E0B" w:rsidP="006D090E">
      <w:pPr>
        <w:pStyle w:val="TBLText"/>
        <w:pBdr>
          <w:top w:val="single" w:sz="4" w:space="1" w:color="auto"/>
          <w:left w:val="single" w:sz="4" w:space="1" w:color="auto"/>
          <w:bottom w:val="single" w:sz="4" w:space="1" w:color="auto"/>
          <w:right w:val="single" w:sz="4" w:space="1" w:color="auto"/>
        </w:pBdr>
        <w:shd w:val="clear" w:color="auto" w:fill="E0E8F2" w:themeFill="background2"/>
      </w:pPr>
      <w:r w:rsidRPr="00EA0E0B">
        <w:t>Options for easier engagement with Centrelink by advocacy groups – for example, through the creation of a national advocate’s line – should be considered.</w:t>
      </w:r>
    </w:p>
    <w:p w14:paraId="43CD840A" w14:textId="72422079" w:rsidR="0033343A" w:rsidRPr="00F57F22" w:rsidRDefault="001749F0" w:rsidP="000C2D43">
      <w:pPr>
        <w:pStyle w:val="TBLText"/>
      </w:pPr>
      <w:r w:rsidRPr="00F57F22">
        <w:t xml:space="preserve">The Government </w:t>
      </w:r>
      <w:r w:rsidRPr="00F57F22">
        <w:rPr>
          <w:b/>
        </w:rPr>
        <w:t xml:space="preserve">accepts </w:t>
      </w:r>
      <w:r w:rsidRPr="00F57F22">
        <w:t>this recommendation.</w:t>
      </w:r>
    </w:p>
    <w:p w14:paraId="0561555B" w14:textId="0831C372" w:rsidR="0033343A" w:rsidRPr="00F57F22" w:rsidRDefault="0033343A" w:rsidP="000C2D43">
      <w:pPr>
        <w:pStyle w:val="TBLText"/>
      </w:pPr>
      <w:r w:rsidRPr="00F57F22">
        <w:t>The Government recognises the important role advocates play in the administration of government services and undertak</w:t>
      </w:r>
      <w:r w:rsidR="004A19AE" w:rsidRPr="00F57F22">
        <w:t>es</w:t>
      </w:r>
      <w:r w:rsidRPr="00F57F22">
        <w:t xml:space="preserve"> regular engagem</w:t>
      </w:r>
      <w:r w:rsidR="00C85416">
        <w:t>ents with peak advocacy groups.</w:t>
      </w:r>
    </w:p>
    <w:p w14:paraId="5AA3AB76" w14:textId="2172AAD3" w:rsidR="0033343A" w:rsidRPr="00F57F22" w:rsidRDefault="0033343A" w:rsidP="000C2D43">
      <w:pPr>
        <w:pStyle w:val="TBLText"/>
      </w:pPr>
      <w:r w:rsidRPr="00F57F22">
        <w:t xml:space="preserve">Services Australia </w:t>
      </w:r>
      <w:r w:rsidR="00B0730C" w:rsidRPr="00F57F22">
        <w:t xml:space="preserve">will actively identify opportunities to engage with </w:t>
      </w:r>
      <w:r w:rsidRPr="00F57F22">
        <w:t>advocacy groups.</w:t>
      </w:r>
      <w:r w:rsidR="00B1124C" w:rsidRPr="00F57F22">
        <w:t xml:space="preserve"> </w:t>
      </w:r>
      <w:r w:rsidRPr="00F57F22">
        <w:t xml:space="preserve">To support engagement between Services Australia and advocacy groups, the agency has </w:t>
      </w:r>
      <w:r w:rsidR="004A19AE" w:rsidRPr="00F57F22">
        <w:t xml:space="preserve">a number of </w:t>
      </w:r>
      <w:r w:rsidR="00E51FED" w:rsidRPr="00F57F22">
        <w:t xml:space="preserve">established </w:t>
      </w:r>
      <w:r w:rsidR="004A19AE" w:rsidRPr="00F57F22">
        <w:t xml:space="preserve">forums through which </w:t>
      </w:r>
      <w:r w:rsidRPr="00F57F22">
        <w:t>adv</w:t>
      </w:r>
      <w:r w:rsidR="004A19AE" w:rsidRPr="00F57F22">
        <w:t>ocacy</w:t>
      </w:r>
      <w:r w:rsidRPr="00F57F22">
        <w:t xml:space="preserve"> groups </w:t>
      </w:r>
      <w:r w:rsidR="004A19AE" w:rsidRPr="00F57F22">
        <w:t>can</w:t>
      </w:r>
      <w:r w:rsidRPr="00F57F22">
        <w:t xml:space="preserve"> engage </w:t>
      </w:r>
      <w:r w:rsidR="00BA0C12" w:rsidRPr="00F57F22">
        <w:t xml:space="preserve">directly </w:t>
      </w:r>
      <w:r w:rsidRPr="00F57F22">
        <w:t>with the agency. The</w:t>
      </w:r>
      <w:r w:rsidR="004A19AE" w:rsidRPr="00F57F22">
        <w:t>se forums provide a channel for</w:t>
      </w:r>
      <w:r w:rsidRPr="00F57F22">
        <w:t xml:space="preserve"> adv</w:t>
      </w:r>
      <w:r w:rsidR="004A19AE" w:rsidRPr="00F57F22">
        <w:t>ocacy</w:t>
      </w:r>
      <w:r w:rsidRPr="00F57F22">
        <w:t xml:space="preserve"> groups to raise concerns and provide feedback to the agency</w:t>
      </w:r>
      <w:r w:rsidR="00E51FED" w:rsidRPr="00F57F22">
        <w:t>.</w:t>
      </w:r>
    </w:p>
    <w:p w14:paraId="49DB370C" w14:textId="5B37D89B" w:rsidR="00D06BD9" w:rsidRDefault="0033343A" w:rsidP="009E2FAE">
      <w:pPr>
        <w:pStyle w:val="TBLText"/>
      </w:pPr>
      <w:r w:rsidRPr="00F57F22">
        <w:t xml:space="preserve">Services Australia will pilot an </w:t>
      </w:r>
      <w:r w:rsidR="00A62135" w:rsidRPr="00F57F22">
        <w:t>‘</w:t>
      </w:r>
      <w:r w:rsidRPr="00F57F22">
        <w:t xml:space="preserve">advocates’ channel </w:t>
      </w:r>
      <w:r w:rsidR="004A19AE" w:rsidRPr="00F57F22">
        <w:t xml:space="preserve">for legal </w:t>
      </w:r>
      <w:r w:rsidR="0079515E">
        <w:t>advocates</w:t>
      </w:r>
      <w:r w:rsidR="004A19AE" w:rsidRPr="00F57F22">
        <w:t xml:space="preserve">. This pilot will help inform the suitability of channels for </w:t>
      </w:r>
      <w:r w:rsidRPr="00F57F22">
        <w:t>advocacy groups acting on behalf of vulnerable customers, and to inform a longer-term scalable solution. The pilot will be progressed in conjunction with Economic Justice Australia (EJA).</w:t>
      </w:r>
      <w:r w:rsidR="00D06BD9">
        <w:br w:type="page"/>
      </w:r>
    </w:p>
    <w:p w14:paraId="35C8FC23" w14:textId="14EAFA84" w:rsidR="00EA0E0B" w:rsidRPr="00F57F22" w:rsidRDefault="00EA0E0B"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outlineLvl w:val="2"/>
        <w:rPr>
          <w:rFonts w:ascii="Segoe UI Semilight" w:hAnsi="Segoe UI Semilight" w:cs="Segoe UI Semilight"/>
          <w:b/>
          <w:bCs/>
          <w:color w:val="000000"/>
          <w:szCs w:val="22"/>
        </w:rPr>
      </w:pPr>
      <w:r w:rsidRPr="00F57F22">
        <w:rPr>
          <w:rFonts w:ascii="Segoe UI Semilight" w:hAnsi="Segoe UI Semilight" w:cs="Segoe UI Semilight"/>
          <w:b/>
          <w:bCs/>
          <w:color w:val="000000"/>
          <w:szCs w:val="22"/>
        </w:rPr>
        <w:lastRenderedPageBreak/>
        <w:t xml:space="preserve">Recommendation </w:t>
      </w:r>
      <w:r>
        <w:rPr>
          <w:rFonts w:ascii="Segoe UI Semilight" w:hAnsi="Segoe UI Semilight" w:cs="Segoe UI Semilight"/>
          <w:b/>
          <w:bCs/>
          <w:color w:val="000000"/>
          <w:szCs w:val="22"/>
        </w:rPr>
        <w:t>12</w:t>
      </w:r>
      <w:r w:rsidRPr="00F57F22">
        <w:rPr>
          <w:rFonts w:ascii="Segoe UI Semilight" w:hAnsi="Segoe UI Semilight" w:cs="Segoe UI Semilight"/>
          <w:b/>
          <w:bCs/>
          <w:color w:val="000000"/>
          <w:szCs w:val="22"/>
        </w:rPr>
        <w:t>.</w:t>
      </w:r>
      <w:r>
        <w:rPr>
          <w:rFonts w:ascii="Segoe UI Semilight" w:hAnsi="Segoe UI Semilight" w:cs="Segoe UI Semilight"/>
          <w:b/>
          <w:bCs/>
          <w:color w:val="000000"/>
          <w:szCs w:val="22"/>
        </w:rPr>
        <w:t>2: C</w:t>
      </w:r>
      <w:r w:rsidRPr="00F57F22">
        <w:rPr>
          <w:rFonts w:ascii="Segoe UI Semilight" w:hAnsi="Segoe UI Semilight" w:cs="Segoe UI Semilight"/>
          <w:b/>
          <w:bCs/>
          <w:color w:val="000000"/>
          <w:szCs w:val="22"/>
        </w:rPr>
        <w:t>ustomer experience reference group</w:t>
      </w:r>
    </w:p>
    <w:p w14:paraId="1348BDDA" w14:textId="52E52E62" w:rsidR="00B172C6" w:rsidRPr="00F57F22" w:rsidRDefault="00EA0E0B" w:rsidP="006D090E">
      <w:pPr>
        <w:pStyle w:val="TBLText"/>
        <w:pBdr>
          <w:top w:val="single" w:sz="4" w:space="1" w:color="auto"/>
          <w:left w:val="single" w:sz="4" w:space="1" w:color="auto"/>
          <w:bottom w:val="single" w:sz="4" w:space="1" w:color="auto"/>
          <w:right w:val="single" w:sz="4" w:space="1" w:color="auto"/>
        </w:pBdr>
        <w:shd w:val="clear" w:color="auto" w:fill="E0E8F2" w:themeFill="background2"/>
      </w:pPr>
      <w:r w:rsidRPr="00EA0E0B">
        <w:t>The government should consider establishing a customer experience reference group, which would provide streamlined insight to government regarding the experiences of people accessing income support.</w:t>
      </w:r>
    </w:p>
    <w:p w14:paraId="12159955" w14:textId="375A14A9" w:rsidR="007608C5" w:rsidRPr="00F57F22" w:rsidRDefault="008608F5" w:rsidP="000C2D43">
      <w:pPr>
        <w:pStyle w:val="TBLText"/>
      </w:pPr>
      <w:r w:rsidRPr="00F57F22">
        <w:t xml:space="preserve">The Government </w:t>
      </w:r>
      <w:r w:rsidRPr="00F57F22">
        <w:rPr>
          <w:b/>
          <w:color w:val="000000"/>
        </w:rPr>
        <w:t>accepts</w:t>
      </w:r>
      <w:r w:rsidRPr="00F57F22">
        <w:rPr>
          <w:b/>
        </w:rPr>
        <w:t xml:space="preserve"> </w:t>
      </w:r>
      <w:r w:rsidR="00E82D46" w:rsidRPr="00F57F22">
        <w:rPr>
          <w:b/>
        </w:rPr>
        <w:t xml:space="preserve">in principle </w:t>
      </w:r>
      <w:r w:rsidR="00C85416">
        <w:t>this recommendation.</w:t>
      </w:r>
    </w:p>
    <w:p w14:paraId="04DF9160" w14:textId="5AB22D96" w:rsidR="007608C5" w:rsidRPr="00F57F22" w:rsidRDefault="008608F5" w:rsidP="000C2D43">
      <w:pPr>
        <w:pStyle w:val="TBLText"/>
      </w:pPr>
      <w:r w:rsidRPr="00F57F22">
        <w:t xml:space="preserve">Government agencies provide vital services and information for the community. </w:t>
      </w:r>
      <w:r w:rsidR="0053266C" w:rsidRPr="00F57F22">
        <w:t>S</w:t>
      </w:r>
      <w:r w:rsidRPr="00F57F22">
        <w:t xml:space="preserve">ervice design should respond to community need, and </w:t>
      </w:r>
      <w:r w:rsidR="008915F7" w:rsidRPr="00F57F22">
        <w:t>the methods of service</w:t>
      </w:r>
      <w:r w:rsidRPr="00F57F22">
        <w:t xml:space="preserve"> delivery should be as effective and efficient as possible.</w:t>
      </w:r>
    </w:p>
    <w:p w14:paraId="07D13C22" w14:textId="734DDE01" w:rsidR="00C573C0" w:rsidRPr="00F57F22" w:rsidRDefault="00331FE8" w:rsidP="000C2D43">
      <w:pPr>
        <w:pStyle w:val="TBLText"/>
      </w:pPr>
      <w:r w:rsidRPr="00F57F22">
        <w:rPr>
          <w:rFonts w:eastAsiaTheme="minorHAnsi"/>
        </w:rPr>
        <w:t xml:space="preserve">In partnership with the broader APS and government services users, </w:t>
      </w:r>
      <w:r w:rsidR="00BA0C12" w:rsidRPr="00F57F22">
        <w:t>Services </w:t>
      </w:r>
      <w:r w:rsidR="00C573C0" w:rsidRPr="00F57F22">
        <w:t xml:space="preserve">Australia has developed a whole of </w:t>
      </w:r>
      <w:r w:rsidR="005A0BE4" w:rsidRPr="00F57F22">
        <w:t>service</w:t>
      </w:r>
      <w:r w:rsidR="00C573C0" w:rsidRPr="00F57F22">
        <w:t xml:space="preserve"> vision for user-centred service excellence: “</w:t>
      </w:r>
      <w:r w:rsidR="005E5E9F" w:rsidRPr="00F57F22">
        <w:t>r</w:t>
      </w:r>
      <w:r w:rsidR="00C573C0" w:rsidRPr="00F57F22">
        <w:t>eliable and accessible services when and how you need them”</w:t>
      </w:r>
      <w:r>
        <w:rPr>
          <w:rStyle w:val="FootnoteReference"/>
        </w:rPr>
        <w:footnoteReference w:id="18"/>
      </w:r>
      <w:r>
        <w:t>.</w:t>
      </w:r>
      <w:r w:rsidR="00C573C0" w:rsidRPr="00F57F22">
        <w:t xml:space="preserve"> </w:t>
      </w:r>
      <w:r w:rsidR="005A0BE4" w:rsidRPr="00F57F22">
        <w:t>This vision</w:t>
      </w:r>
      <w:r w:rsidR="00C573C0" w:rsidRPr="00F57F22">
        <w:t xml:space="preserve"> forms part of </w:t>
      </w:r>
      <w:r w:rsidR="009B2DFD" w:rsidRPr="00F57F22">
        <w:t xml:space="preserve">Priority </w:t>
      </w:r>
      <w:r w:rsidR="00C573C0" w:rsidRPr="00F57F22">
        <w:t>2 of the Government’s A</w:t>
      </w:r>
      <w:r w:rsidR="005A0BE4" w:rsidRPr="00F57F22">
        <w:t xml:space="preserve">ustralian </w:t>
      </w:r>
      <w:r w:rsidR="00C573C0" w:rsidRPr="00F57F22">
        <w:t>P</w:t>
      </w:r>
      <w:r w:rsidR="005A0BE4" w:rsidRPr="00F57F22">
        <w:t xml:space="preserve">ublic </w:t>
      </w:r>
      <w:r w:rsidR="00C573C0" w:rsidRPr="00F57F22">
        <w:t>S</w:t>
      </w:r>
      <w:r w:rsidR="005A0BE4" w:rsidRPr="00F57F22">
        <w:t>ector</w:t>
      </w:r>
      <w:r w:rsidR="00C573C0" w:rsidRPr="00F57F22">
        <w:t xml:space="preserve"> Reform agenda, </w:t>
      </w:r>
      <w:r w:rsidR="005A0BE4" w:rsidRPr="00F57F22">
        <w:t>and</w:t>
      </w:r>
      <w:r w:rsidR="00C573C0" w:rsidRPr="00F57F22">
        <w:t xml:space="preserve"> puts people and business at the centre of policy and services.</w:t>
      </w:r>
      <w:r w:rsidR="005A0BE4" w:rsidRPr="00F57F22">
        <w:rPr>
          <w:rFonts w:eastAsiaTheme="minorHAnsi"/>
        </w:rPr>
        <w:t xml:space="preserve"> The vision supports coherent leadership in the design and delivery of government programs, services and payments; service alignment; and shared execution. It is intended to complement the service delivery principles, standards and charters of individual departments and agencies.</w:t>
      </w:r>
    </w:p>
    <w:p w14:paraId="4090F03C" w14:textId="0D70F681" w:rsidR="007608C5" w:rsidRDefault="00331FE8" w:rsidP="000C2D43">
      <w:pPr>
        <w:pStyle w:val="TBLText"/>
        <w:rPr>
          <w:rFonts w:eastAsiaTheme="minorHAnsi"/>
        </w:rPr>
      </w:pPr>
      <w:r w:rsidRPr="00F57F22">
        <w:rPr>
          <w:rFonts w:eastAsiaTheme="minorHAnsi"/>
        </w:rPr>
        <w:t xml:space="preserve">The Australian Public Sector Reform Office and Services Australia are </w:t>
      </w:r>
      <w:r w:rsidR="0025752D">
        <w:rPr>
          <w:rFonts w:eastAsiaTheme="minorHAnsi"/>
        </w:rPr>
        <w:t xml:space="preserve">also </w:t>
      </w:r>
      <w:r w:rsidRPr="00F57F22">
        <w:rPr>
          <w:rFonts w:eastAsiaTheme="minorHAnsi"/>
        </w:rPr>
        <w:t xml:space="preserve">partnering </w:t>
      </w:r>
      <w:r w:rsidR="005A0BE4" w:rsidRPr="00F57F22">
        <w:rPr>
          <w:rFonts w:eastAsiaTheme="minorHAnsi"/>
        </w:rPr>
        <w:t xml:space="preserve">to </w:t>
      </w:r>
      <w:r w:rsidR="008915F7" w:rsidRPr="00F57F22">
        <w:rPr>
          <w:rFonts w:eastAsiaTheme="minorHAnsi"/>
        </w:rPr>
        <w:t xml:space="preserve">develop </w:t>
      </w:r>
      <w:r w:rsidRPr="00F57F22">
        <w:rPr>
          <w:rFonts w:eastAsiaTheme="minorHAnsi"/>
        </w:rPr>
        <w:t>whole</w:t>
      </w:r>
      <w:r>
        <w:rPr>
          <w:rFonts w:eastAsiaTheme="minorHAnsi"/>
        </w:rPr>
        <w:t>-</w:t>
      </w:r>
      <w:r w:rsidRPr="00F57F22">
        <w:rPr>
          <w:rFonts w:eastAsiaTheme="minorHAnsi"/>
        </w:rPr>
        <w:t>of</w:t>
      </w:r>
      <w:r>
        <w:rPr>
          <w:rFonts w:eastAsiaTheme="minorHAnsi"/>
        </w:rPr>
        <w:t>-</w:t>
      </w:r>
      <w:r w:rsidR="008915F7" w:rsidRPr="00F57F22">
        <w:rPr>
          <w:rFonts w:eastAsiaTheme="minorHAnsi"/>
        </w:rPr>
        <w:t xml:space="preserve">government </w:t>
      </w:r>
      <w:r w:rsidR="00BD1E3D">
        <w:rPr>
          <w:rFonts w:eastAsiaTheme="minorHAnsi"/>
        </w:rPr>
        <w:t>S</w:t>
      </w:r>
      <w:r w:rsidR="008915F7" w:rsidRPr="00F57F22">
        <w:rPr>
          <w:rFonts w:eastAsiaTheme="minorHAnsi"/>
        </w:rPr>
        <w:t xml:space="preserve">ervice </w:t>
      </w:r>
      <w:r w:rsidR="00312A8D">
        <w:rPr>
          <w:rFonts w:eastAsiaTheme="minorHAnsi"/>
        </w:rPr>
        <w:t>D</w:t>
      </w:r>
      <w:r w:rsidR="00312A8D" w:rsidRPr="00F57F22">
        <w:rPr>
          <w:rFonts w:eastAsiaTheme="minorHAnsi"/>
        </w:rPr>
        <w:t xml:space="preserve">esign </w:t>
      </w:r>
      <w:r w:rsidR="00312A8D">
        <w:rPr>
          <w:rFonts w:eastAsiaTheme="minorHAnsi"/>
        </w:rPr>
        <w:t>S</w:t>
      </w:r>
      <w:r w:rsidR="00312A8D" w:rsidRPr="00F57F22">
        <w:rPr>
          <w:rFonts w:eastAsiaTheme="minorHAnsi"/>
        </w:rPr>
        <w:t xml:space="preserve">tandards </w:t>
      </w:r>
      <w:r w:rsidR="005A0BE4" w:rsidRPr="00F57F22">
        <w:rPr>
          <w:rFonts w:eastAsiaTheme="minorHAnsi"/>
        </w:rPr>
        <w:t>to support agencies to design</w:t>
      </w:r>
      <w:r w:rsidR="00312A8D">
        <w:rPr>
          <w:rFonts w:eastAsiaTheme="minorHAnsi"/>
        </w:rPr>
        <w:t>,</w:t>
      </w:r>
      <w:r w:rsidR="005A0BE4" w:rsidRPr="00F57F22">
        <w:rPr>
          <w:rFonts w:eastAsiaTheme="minorHAnsi"/>
        </w:rPr>
        <w:t xml:space="preserve"> administer</w:t>
      </w:r>
      <w:r w:rsidR="00312A8D">
        <w:rPr>
          <w:rFonts w:eastAsiaTheme="minorHAnsi"/>
        </w:rPr>
        <w:t xml:space="preserve"> and improve</w:t>
      </w:r>
      <w:r w:rsidR="005A0BE4" w:rsidRPr="00F57F22">
        <w:rPr>
          <w:rFonts w:eastAsiaTheme="minorHAnsi"/>
        </w:rPr>
        <w:t xml:space="preserve"> new and existing services and payments</w:t>
      </w:r>
      <w:r w:rsidR="008915F7" w:rsidRPr="00F57F22">
        <w:rPr>
          <w:rFonts w:eastAsiaTheme="minorHAnsi"/>
        </w:rPr>
        <w:t xml:space="preserve">. The </w:t>
      </w:r>
      <w:r>
        <w:rPr>
          <w:rFonts w:eastAsiaTheme="minorHAnsi"/>
        </w:rPr>
        <w:t>S</w:t>
      </w:r>
      <w:r w:rsidRPr="00F57F22">
        <w:rPr>
          <w:rFonts w:eastAsiaTheme="minorHAnsi"/>
        </w:rPr>
        <w:t xml:space="preserve">tandards </w:t>
      </w:r>
      <w:r w:rsidR="008915F7" w:rsidRPr="00F57F22">
        <w:rPr>
          <w:rFonts w:eastAsiaTheme="minorHAnsi"/>
        </w:rPr>
        <w:t>will be evidence</w:t>
      </w:r>
      <w:r w:rsidR="005A0BE4" w:rsidRPr="00F57F22">
        <w:rPr>
          <w:rFonts w:eastAsiaTheme="minorHAnsi"/>
        </w:rPr>
        <w:t>-</w:t>
      </w:r>
      <w:r w:rsidR="008915F7" w:rsidRPr="00F57F22">
        <w:rPr>
          <w:rFonts w:eastAsiaTheme="minorHAnsi"/>
        </w:rPr>
        <w:t>based and informed by the needs and expectations of the Australian community.</w:t>
      </w:r>
    </w:p>
    <w:p w14:paraId="4BB157E4" w14:textId="02407251" w:rsidR="006D090E" w:rsidRDefault="006D090E"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12.3: Consultation</w:t>
      </w:r>
    </w:p>
    <w:p w14:paraId="3A0917C5" w14:textId="78D531E7" w:rsidR="006D090E" w:rsidRPr="00F57F22" w:rsidRDefault="006D090E" w:rsidP="006D090E">
      <w:pPr>
        <w:pBdr>
          <w:top w:val="single" w:sz="4" w:space="1" w:color="auto"/>
          <w:left w:val="single" w:sz="4" w:space="1" w:color="auto"/>
          <w:bottom w:val="single" w:sz="4" w:space="1" w:color="auto"/>
          <w:right w:val="single" w:sz="4" w:space="1" w:color="auto"/>
        </w:pBdr>
        <w:shd w:val="clear" w:color="auto" w:fill="E0E8F2" w:themeFill="background2"/>
      </w:pPr>
      <w:r w:rsidRPr="00F57F22">
        <w:rPr>
          <w:rFonts w:ascii="Segoe UI Semilight" w:hAnsi="Segoe UI Semilight" w:cs="Segoe UI Semilight"/>
          <w:color w:val="000000"/>
          <w:szCs w:val="22"/>
        </w:rPr>
        <w:t>Peak advocacy bodies should be consulted prior to the implementation of projects involving the modification of the social security system.</w:t>
      </w:r>
    </w:p>
    <w:p w14:paraId="424D940F" w14:textId="01C8CA7D" w:rsidR="007608C5" w:rsidRPr="00F57F22" w:rsidRDefault="008608F5" w:rsidP="000C2D43">
      <w:pPr>
        <w:pStyle w:val="TBLText"/>
      </w:pPr>
      <w:r w:rsidRPr="00F57F22">
        <w:rPr>
          <w:color w:val="000000"/>
        </w:rPr>
        <w:t>The</w:t>
      </w:r>
      <w:r w:rsidRPr="00F57F22">
        <w:t xml:space="preserve"> Government </w:t>
      </w:r>
      <w:r w:rsidRPr="00F57F22">
        <w:rPr>
          <w:b/>
          <w:color w:val="000000"/>
        </w:rPr>
        <w:t>accepts</w:t>
      </w:r>
      <w:r w:rsidRPr="00F57F22">
        <w:rPr>
          <w:b/>
        </w:rPr>
        <w:t xml:space="preserve"> </w:t>
      </w:r>
      <w:r w:rsidRPr="00F57F22">
        <w:t xml:space="preserve">this recommendation. </w:t>
      </w:r>
    </w:p>
    <w:p w14:paraId="6E8870C7" w14:textId="48B9E47E" w:rsidR="008915F7" w:rsidRPr="00F57F22" w:rsidRDefault="008608F5" w:rsidP="000C2D43">
      <w:pPr>
        <w:pStyle w:val="TBLText"/>
      </w:pPr>
      <w:r w:rsidRPr="00F57F22">
        <w:t xml:space="preserve">The Government will </w:t>
      </w:r>
      <w:r w:rsidR="008915F7" w:rsidRPr="00F57F22">
        <w:t xml:space="preserve">consult </w:t>
      </w:r>
      <w:r w:rsidRPr="00F57F22">
        <w:t xml:space="preserve">with peak advocacy groups when </w:t>
      </w:r>
      <w:r w:rsidR="008915F7" w:rsidRPr="00F57F22">
        <w:t>implementing</w:t>
      </w:r>
      <w:r w:rsidRPr="00F57F22">
        <w:t xml:space="preserve"> modifications to the social security system.</w:t>
      </w:r>
    </w:p>
    <w:p w14:paraId="4264522B" w14:textId="3564C5A8" w:rsidR="009E2FAE" w:rsidRDefault="00317A54" w:rsidP="009E2FAE">
      <w:pPr>
        <w:pStyle w:val="TBLText"/>
      </w:pPr>
      <w:r w:rsidRPr="00317A54">
        <w:t xml:space="preserve">Building and expanding on existing engagement mechanisms, including with organisations like Economic Justice Australia and the Australian Council of Social Service, </w:t>
      </w:r>
      <w:r>
        <w:t>t</w:t>
      </w:r>
      <w:r w:rsidRPr="00F57F22">
        <w:t xml:space="preserve">he </w:t>
      </w:r>
      <w:r w:rsidR="008608F5" w:rsidRPr="00F57F22">
        <w:t xml:space="preserve">Department of Social Services and Services Australia </w:t>
      </w:r>
      <w:r w:rsidR="008608F5" w:rsidRPr="00F57F22">
        <w:rPr>
          <w:bCs/>
        </w:rPr>
        <w:t>will</w:t>
      </w:r>
      <w:r w:rsidR="008608F5" w:rsidRPr="00F57F22">
        <w:t xml:space="preserve"> engage with peak advocacy bodies to determine the most effective way to seek their views on </w:t>
      </w:r>
      <w:r w:rsidR="00E82D46" w:rsidRPr="00F57F22">
        <w:t xml:space="preserve">the design and implementation of </w:t>
      </w:r>
      <w:r w:rsidR="008608F5" w:rsidRPr="00F57F22">
        <w:t>projects where there are likely to be implications for users of the social security system.</w:t>
      </w:r>
      <w:r w:rsidR="009E2FAE">
        <w:br w:type="page"/>
      </w:r>
    </w:p>
    <w:p w14:paraId="7F40F39A" w14:textId="77777777" w:rsidR="006D090E" w:rsidRPr="00D914D3" w:rsidRDefault="006D090E"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12.4: Regard for funding for legal aid commissions and community legal centres</w:t>
      </w:r>
      <w:r w:rsidRPr="00D914D3">
        <w:rPr>
          <w:rFonts w:ascii="Segoe UI Semilight" w:hAnsi="Segoe UI Semilight" w:cs="Segoe UI Semilight"/>
          <w:b/>
          <w:bCs/>
          <w:color w:val="000000"/>
          <w:szCs w:val="22"/>
        </w:rPr>
        <w:t xml:space="preserve"> </w:t>
      </w:r>
    </w:p>
    <w:p w14:paraId="3DDB83C3" w14:textId="65C5B9C7" w:rsidR="006D090E" w:rsidRPr="000C2D43" w:rsidRDefault="006D090E" w:rsidP="006D090E">
      <w:pPr>
        <w:pStyle w:val="TBLText"/>
        <w:pBdr>
          <w:top w:val="single" w:sz="4" w:space="1" w:color="auto"/>
          <w:left w:val="single" w:sz="4" w:space="1" w:color="auto"/>
          <w:bottom w:val="single" w:sz="4" w:space="1" w:color="auto"/>
          <w:right w:val="single" w:sz="4" w:space="1" w:color="auto"/>
        </w:pBdr>
        <w:shd w:val="clear" w:color="auto" w:fill="E0E8F2" w:themeFill="background2"/>
        <w:rPr>
          <w:bCs/>
        </w:rPr>
      </w:pPr>
      <w:r w:rsidRPr="00F57F22">
        <w:rPr>
          <w:color w:val="000000"/>
        </w:rPr>
        <w:t>When it next conducts a review of the National Legal Assistance Partnership, the Commonwealth should have regard, in considering funding for legal aid commissions and community legal centres, to the importance of the public interest role played by those services as exemplified in their work during the Scheme.</w:t>
      </w:r>
    </w:p>
    <w:p w14:paraId="0F6D0B96" w14:textId="08405779" w:rsidR="007608C5" w:rsidRPr="00F57F22" w:rsidRDefault="00B83730" w:rsidP="000C2D43">
      <w:pPr>
        <w:pStyle w:val="TBLText"/>
      </w:pPr>
      <w:r w:rsidRPr="00F57F22">
        <w:t xml:space="preserve">The Government </w:t>
      </w:r>
      <w:r w:rsidRPr="00F57F22">
        <w:rPr>
          <w:b/>
          <w:color w:val="000000"/>
        </w:rPr>
        <w:t>accepts</w:t>
      </w:r>
      <w:r w:rsidRPr="00F57F22">
        <w:rPr>
          <w:b/>
        </w:rPr>
        <w:t xml:space="preserve"> </w:t>
      </w:r>
      <w:r w:rsidR="00C85416">
        <w:t>this recommendation.</w:t>
      </w:r>
    </w:p>
    <w:p w14:paraId="65622912" w14:textId="053D3207" w:rsidR="00B83730" w:rsidRPr="00F57F22" w:rsidRDefault="00B83730" w:rsidP="000C2D43">
      <w:pPr>
        <w:pStyle w:val="TBLText"/>
      </w:pPr>
      <w:r w:rsidRPr="00F57F22">
        <w:t>Legal assistance plays a vital role in ensuring more equal access to the justice system which is fundamental to our democratic society and the rule of law. Not only does legal assistance facilitate improved outcomes for individuals, it also generat</w:t>
      </w:r>
      <w:r w:rsidR="00C85416">
        <w:t>es broader benefits to society.</w:t>
      </w:r>
    </w:p>
    <w:p w14:paraId="298297C3" w14:textId="4B876C18" w:rsidR="003648A6" w:rsidRDefault="00B83730" w:rsidP="000C2D43">
      <w:pPr>
        <w:pStyle w:val="TBLText"/>
      </w:pPr>
      <w:r w:rsidRPr="00F57F22">
        <w:rPr>
          <w:color w:val="000000"/>
        </w:rPr>
        <w:t>The</w:t>
      </w:r>
      <w:r w:rsidRPr="00F57F22">
        <w:t xml:space="preserve"> independent review of the National Legal Assistance Partnership 2020-25 (NLAP) commenced in June 2023.</w:t>
      </w:r>
      <w:r w:rsidR="006850C8" w:rsidRPr="00F57F22">
        <w:rPr>
          <w:rStyle w:val="FootnoteReference"/>
        </w:rPr>
        <w:footnoteReference w:id="19"/>
      </w:r>
      <w:r w:rsidRPr="00F57F22">
        <w:t xml:space="preserve"> </w:t>
      </w:r>
      <w:r w:rsidR="00743AD5" w:rsidRPr="00F57F22">
        <w:t>The Terms of Reference for the review are broad, and require the review to evaluate</w:t>
      </w:r>
      <w:r w:rsidR="00822C04">
        <w:t xml:space="preserve"> whether</w:t>
      </w:r>
      <w:r w:rsidR="00743AD5" w:rsidRPr="00F57F22">
        <w:t xml:space="preserve"> the objectives, outcomes and outputs of the NLAP have been achieved.</w:t>
      </w:r>
      <w:r w:rsidR="006850C8" w:rsidRPr="00F57F22">
        <w:rPr>
          <w:rStyle w:val="FootnoteReference"/>
        </w:rPr>
        <w:footnoteReference w:id="20"/>
      </w:r>
      <w:r w:rsidR="00743AD5" w:rsidRPr="00F57F22">
        <w:t xml:space="preserve"> </w:t>
      </w:r>
    </w:p>
    <w:p w14:paraId="64663D53" w14:textId="527DCC8B" w:rsidR="007608C5" w:rsidRDefault="00743AD5" w:rsidP="000C2D43">
      <w:pPr>
        <w:pStyle w:val="TBLText"/>
      </w:pPr>
      <w:r w:rsidRPr="00F57F22">
        <w:t>The Issue</w:t>
      </w:r>
      <w:r w:rsidR="00A104FD" w:rsidRPr="00F57F22">
        <w:t>s</w:t>
      </w:r>
      <w:r w:rsidRPr="00F57F22">
        <w:t xml:space="preserve"> Paper published by the independent reviewer states that </w:t>
      </w:r>
      <w:r w:rsidR="00D820E4">
        <w:t>r</w:t>
      </w:r>
      <w:r w:rsidR="00D820E4" w:rsidRPr="00F57F22">
        <w:t xml:space="preserve">ecommendation </w:t>
      </w:r>
      <w:r w:rsidRPr="00F57F22">
        <w:t>12.4 is within the scope of the Terms of Reference, and will be considered as part of the review.</w:t>
      </w:r>
      <w:r w:rsidR="00A104FD" w:rsidRPr="00F57F22">
        <w:rPr>
          <w:rStyle w:val="FootnoteReference"/>
        </w:rPr>
        <w:footnoteReference w:id="21"/>
      </w:r>
      <w:r w:rsidRPr="00F57F22">
        <w:t xml:space="preserve"> </w:t>
      </w:r>
      <w:r w:rsidR="00B83730" w:rsidRPr="00F57F22">
        <w:t>The findings and recommendations of the review will inform future funding arrangements for legal assistance.</w:t>
      </w:r>
    </w:p>
    <w:p w14:paraId="1BF165D0" w14:textId="77777777" w:rsidR="006D090E" w:rsidRDefault="006D090E" w:rsidP="00D914D3">
      <w:pPr>
        <w:keepNext/>
        <w:keepLines/>
        <w:pBdr>
          <w:top w:val="single" w:sz="4" w:space="1" w:color="auto"/>
          <w:left w:val="single" w:sz="4" w:space="4" w:color="auto"/>
          <w:bottom w:val="single" w:sz="4" w:space="1" w:color="auto"/>
          <w:right w:val="single" w:sz="4" w:space="4" w:color="auto"/>
        </w:pBdr>
        <w:shd w:val="clear" w:color="auto" w:fill="E0E8F2" w:themeFill="background2"/>
        <w:spacing w:before="360"/>
        <w:outlineLvl w:val="2"/>
        <w:rPr>
          <w:rFonts w:ascii="Segoe UI Semilight" w:hAnsi="Segoe UI Semilight" w:cs="Segoe UI Semilight"/>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1</w:t>
      </w:r>
      <w:r w:rsidRPr="00F57F22">
        <w:rPr>
          <w:rFonts w:ascii="Segoe UI Semilight" w:hAnsi="Segoe UI Semilight" w:cs="Segoe UI Semilight"/>
          <w:b/>
          <w:bCs/>
          <w:szCs w:val="22"/>
        </w:rPr>
        <w:t>3.1: Consultation process</w:t>
      </w:r>
      <w:r w:rsidRPr="00F57F22">
        <w:rPr>
          <w:rFonts w:ascii="Segoe UI Semilight" w:hAnsi="Segoe UI Semilight" w:cs="Segoe UI Semilight"/>
          <w:color w:val="000000"/>
          <w:szCs w:val="22"/>
        </w:rPr>
        <w:t xml:space="preserve"> </w:t>
      </w:r>
    </w:p>
    <w:p w14:paraId="31A70969" w14:textId="5D6A42D3" w:rsidR="006D090E" w:rsidRPr="00F57F22" w:rsidRDefault="006D090E" w:rsidP="00EA0D0D">
      <w:pPr>
        <w:pStyle w:val="TBLText"/>
        <w:pBdr>
          <w:top w:val="single" w:sz="4" w:space="1" w:color="auto"/>
          <w:left w:val="single" w:sz="4" w:space="4" w:color="auto"/>
          <w:bottom w:val="single" w:sz="4" w:space="1" w:color="auto"/>
          <w:right w:val="single" w:sz="4" w:space="4" w:color="auto"/>
        </w:pBdr>
        <w:shd w:val="clear" w:color="auto" w:fill="E0E8F2" w:themeFill="background2"/>
      </w:pPr>
      <w:r w:rsidRPr="00F57F22">
        <w:t>Services Australia should put in place processes for genuine and receptive consultation with front</w:t>
      </w:r>
      <w:r w:rsidR="0025752D">
        <w:t>-</w:t>
      </w:r>
      <w:r w:rsidRPr="00F57F22">
        <w:t>line staff when new programs are being designed and implemented.</w:t>
      </w:r>
    </w:p>
    <w:p w14:paraId="2ACE1D58" w14:textId="51864FFB" w:rsidR="007608C5" w:rsidRPr="00F57F22" w:rsidRDefault="00D96DAF" w:rsidP="000C2D43">
      <w:pPr>
        <w:pStyle w:val="TBLText"/>
      </w:pPr>
      <w:r w:rsidRPr="00F57F22">
        <w:t xml:space="preserve">The Government </w:t>
      </w:r>
      <w:r w:rsidRPr="00F57F22">
        <w:rPr>
          <w:b/>
          <w:color w:val="000000"/>
        </w:rPr>
        <w:t>accepts</w:t>
      </w:r>
      <w:r w:rsidRPr="00F57F22">
        <w:rPr>
          <w:b/>
        </w:rPr>
        <w:t xml:space="preserve"> </w:t>
      </w:r>
      <w:r w:rsidR="00C85416">
        <w:t>this recommendation.</w:t>
      </w:r>
    </w:p>
    <w:p w14:paraId="40487D27" w14:textId="21C7E5FD" w:rsidR="007608C5" w:rsidRPr="00F57F22" w:rsidRDefault="00D96DAF" w:rsidP="007608C5">
      <w:pPr>
        <w:tabs>
          <w:tab w:val="left" w:pos="3960"/>
        </w:tabs>
        <w:rPr>
          <w:rFonts w:ascii="Segoe UI Semilight" w:hAnsi="Segoe UI Semilight" w:cs="Segoe UI Semilight"/>
          <w:szCs w:val="22"/>
        </w:rPr>
      </w:pPr>
      <w:r w:rsidRPr="00F57F22">
        <w:rPr>
          <w:rFonts w:ascii="Segoe UI Semilight" w:hAnsi="Segoe UI Semilight" w:cs="Segoe UI Semilight"/>
          <w:color w:val="000000"/>
          <w:szCs w:val="22"/>
        </w:rPr>
        <w:t xml:space="preserve">The Government supports undertaking consultation with </w:t>
      </w:r>
      <w:r w:rsidR="0025752D" w:rsidRPr="00F57F22">
        <w:rPr>
          <w:rFonts w:ascii="Segoe UI Semilight" w:hAnsi="Segoe UI Semilight" w:cs="Segoe UI Semilight"/>
          <w:color w:val="000000"/>
          <w:szCs w:val="22"/>
        </w:rPr>
        <w:t>front</w:t>
      </w:r>
      <w:r w:rsidR="0025752D">
        <w:rPr>
          <w:rFonts w:ascii="Segoe UI Semilight" w:hAnsi="Segoe UI Semilight" w:cs="Segoe UI Semilight"/>
          <w:color w:val="000000"/>
          <w:szCs w:val="22"/>
        </w:rPr>
        <w:t>-</w:t>
      </w:r>
      <w:r w:rsidR="0025752D" w:rsidRPr="00F57F22">
        <w:rPr>
          <w:rFonts w:ascii="Segoe UI Semilight" w:hAnsi="Segoe UI Semilight" w:cs="Segoe UI Semilight"/>
          <w:color w:val="000000"/>
          <w:szCs w:val="22"/>
        </w:rPr>
        <w:t xml:space="preserve">line </w:t>
      </w:r>
      <w:r w:rsidRPr="00F57F22">
        <w:rPr>
          <w:rFonts w:ascii="Segoe UI Semilight" w:hAnsi="Segoe UI Semilight" w:cs="Segoe UI Semilight"/>
          <w:color w:val="000000"/>
          <w:szCs w:val="22"/>
        </w:rPr>
        <w:t>staff when designing and</w:t>
      </w:r>
      <w:r w:rsidRPr="00F57F22">
        <w:rPr>
          <w:rFonts w:ascii="Segoe UI Semilight" w:hAnsi="Segoe UI Semilight" w:cs="Segoe UI Semilight"/>
          <w:szCs w:val="22"/>
        </w:rPr>
        <w:t xml:space="preserve"> implementing new programs, noting their expert</w:t>
      </w:r>
      <w:r w:rsidR="00C85416">
        <w:rPr>
          <w:rFonts w:ascii="Segoe UI Semilight" w:hAnsi="Segoe UI Semilight" w:cs="Segoe UI Semilight"/>
          <w:szCs w:val="22"/>
        </w:rPr>
        <w:t>ise in engaging with customers.</w:t>
      </w:r>
    </w:p>
    <w:p w14:paraId="5E958C20" w14:textId="4D0E420E" w:rsidR="00D820E4" w:rsidRDefault="003669FE" w:rsidP="009E2FAE">
      <w:pPr>
        <w:pStyle w:val="TBLText"/>
      </w:pPr>
      <w:r w:rsidRPr="00F57F22">
        <w:t xml:space="preserve">Services Australia will </w:t>
      </w:r>
      <w:r w:rsidR="00357816" w:rsidRPr="00F57F22">
        <w:rPr>
          <w:bCs/>
        </w:rPr>
        <w:t>ensure the experience</w:t>
      </w:r>
      <w:r w:rsidR="003648A6">
        <w:rPr>
          <w:bCs/>
        </w:rPr>
        <w:t>s</w:t>
      </w:r>
      <w:r w:rsidR="00357816" w:rsidRPr="00F57F22">
        <w:rPr>
          <w:bCs/>
        </w:rPr>
        <w:t xml:space="preserve"> of </w:t>
      </w:r>
      <w:r w:rsidR="0081194C" w:rsidRPr="00F57F22">
        <w:t>front</w:t>
      </w:r>
      <w:r w:rsidR="0025752D">
        <w:t>-</w:t>
      </w:r>
      <w:r w:rsidR="0081194C" w:rsidRPr="00F57F22">
        <w:t xml:space="preserve">line staff </w:t>
      </w:r>
      <w:r w:rsidR="003648A6">
        <w:t>are</w:t>
      </w:r>
      <w:r w:rsidR="00357816" w:rsidRPr="00F57F22">
        <w:t xml:space="preserve"> </w:t>
      </w:r>
      <w:r w:rsidR="00FB28AB">
        <w:t xml:space="preserve">sought and </w:t>
      </w:r>
      <w:r w:rsidR="00357816" w:rsidRPr="00F57F22">
        <w:t xml:space="preserve">fed into design practice and </w:t>
      </w:r>
      <w:r w:rsidR="0081194C" w:rsidRPr="00F57F22">
        <w:t>service delivery policy</w:t>
      </w:r>
      <w:r w:rsidR="006850C8" w:rsidRPr="00F57F22">
        <w:t>.</w:t>
      </w:r>
      <w:r w:rsidR="00D820E4">
        <w:br w:type="page"/>
      </w:r>
    </w:p>
    <w:p w14:paraId="16CA5283" w14:textId="66764723" w:rsidR="006D090E" w:rsidRPr="00D914D3" w:rsidRDefault="006D090E"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1</w:t>
      </w:r>
      <w:r w:rsidRPr="00D914D3">
        <w:rPr>
          <w:rFonts w:ascii="Segoe UI Semilight" w:hAnsi="Segoe UI Semilight" w:cs="Segoe UI Semilight"/>
          <w:b/>
          <w:bCs/>
          <w:color w:val="000000"/>
          <w:szCs w:val="22"/>
        </w:rPr>
        <w:t xml:space="preserve">3.2: Feedback processes </w:t>
      </w:r>
    </w:p>
    <w:p w14:paraId="5EFA28E0" w14:textId="34F3D9FE" w:rsidR="006D090E" w:rsidRPr="000C2D43" w:rsidRDefault="006D090E" w:rsidP="00EA0D0D">
      <w:pPr>
        <w:pStyle w:val="TBLText"/>
        <w:pBdr>
          <w:top w:val="single" w:sz="4" w:space="1" w:color="auto"/>
          <w:left w:val="single" w:sz="4" w:space="1" w:color="auto"/>
          <w:bottom w:val="single" w:sz="4" w:space="1" w:color="auto"/>
          <w:right w:val="single" w:sz="4" w:space="1" w:color="auto"/>
        </w:pBdr>
        <w:shd w:val="clear" w:color="auto" w:fill="E0E8F2" w:themeFill="background2"/>
        <w:rPr>
          <w:bCs/>
        </w:rPr>
      </w:pPr>
      <w:r w:rsidRPr="00F57F22">
        <w:t>Better feedback processes should be put in place so that front</w:t>
      </w:r>
      <w:r w:rsidR="0025752D">
        <w:t>-</w:t>
      </w:r>
      <w:r w:rsidRPr="00F57F22">
        <w:t>line staff can communicate their feedback in an open and consultative environment. Management should have constructive processes in place to review and respond to staff feedback.</w:t>
      </w:r>
    </w:p>
    <w:p w14:paraId="7DBAF9AA" w14:textId="5E540120" w:rsidR="008915F7" w:rsidRPr="00F57F22" w:rsidRDefault="00D96DAF" w:rsidP="000C2D43">
      <w:pPr>
        <w:pStyle w:val="TBLText"/>
      </w:pPr>
      <w:r w:rsidRPr="00F57F22">
        <w:t xml:space="preserve">The Government </w:t>
      </w:r>
      <w:r w:rsidRPr="00F57F22">
        <w:rPr>
          <w:b/>
          <w:color w:val="000000"/>
        </w:rPr>
        <w:t>accepts</w:t>
      </w:r>
      <w:r w:rsidRPr="00F57F22">
        <w:rPr>
          <w:b/>
        </w:rPr>
        <w:t xml:space="preserve"> </w:t>
      </w:r>
      <w:r w:rsidR="00C85416">
        <w:t>this recommendation.</w:t>
      </w:r>
    </w:p>
    <w:p w14:paraId="37599E64" w14:textId="670B39F5" w:rsidR="003B73D1" w:rsidRPr="00F57F22" w:rsidRDefault="00D96DAF" w:rsidP="000C2D43">
      <w:pPr>
        <w:pStyle w:val="TBLText"/>
      </w:pPr>
      <w:r w:rsidRPr="00F57F22">
        <w:t>The Government commits to ensuring agencies have processes in place to gather feedback from front</w:t>
      </w:r>
      <w:r w:rsidR="0025752D">
        <w:t>-</w:t>
      </w:r>
      <w:r w:rsidRPr="00F57F22">
        <w:t xml:space="preserve">line staff, noting their </w:t>
      </w:r>
      <w:r w:rsidR="00196D22" w:rsidRPr="00F57F22">
        <w:t>first-</w:t>
      </w:r>
      <w:r w:rsidRPr="00F57F22">
        <w:t xml:space="preserve">hand experiences in </w:t>
      </w:r>
      <w:r w:rsidR="003B73D1" w:rsidRPr="00F57F22">
        <w:t>engaging with the community</w:t>
      </w:r>
      <w:r w:rsidR="008915F7" w:rsidRPr="00F57F22">
        <w:t>.</w:t>
      </w:r>
    </w:p>
    <w:p w14:paraId="76877E67" w14:textId="434C09DD" w:rsidR="000C2D43" w:rsidRDefault="00D96DAF" w:rsidP="000C2D43">
      <w:pPr>
        <w:pStyle w:val="TBLText"/>
      </w:pPr>
      <w:r w:rsidRPr="00F57F22">
        <w:t>Services Australia ha</w:t>
      </w:r>
      <w:r w:rsidR="00196D22" w:rsidRPr="00F57F22">
        <w:t>s</w:t>
      </w:r>
      <w:r w:rsidRPr="00F57F22">
        <w:t xml:space="preserve"> </w:t>
      </w:r>
      <w:r w:rsidR="0081194C" w:rsidRPr="00F57F22">
        <w:t xml:space="preserve">a variety of </w:t>
      </w:r>
      <w:r w:rsidRPr="00F57F22">
        <w:t xml:space="preserve">mechanisms in place </w:t>
      </w:r>
      <w:r w:rsidR="008915F7" w:rsidRPr="00F57F22">
        <w:t>for</w:t>
      </w:r>
      <w:r w:rsidRPr="00F57F22">
        <w:t xml:space="preserve"> staff to provide feedback</w:t>
      </w:r>
      <w:r w:rsidR="003648A6">
        <w:t>,</w:t>
      </w:r>
      <w:r w:rsidR="00B2395C" w:rsidRPr="00F57F22">
        <w:t xml:space="preserve"> </w:t>
      </w:r>
      <w:r w:rsidR="0081194C" w:rsidRPr="00F57F22">
        <w:t>given the variability of services provided by the agency.</w:t>
      </w:r>
      <w:r w:rsidR="00357816" w:rsidRPr="00F57F22">
        <w:t xml:space="preserve"> </w:t>
      </w:r>
      <w:r w:rsidR="00196D22" w:rsidRPr="00F57F22">
        <w:t xml:space="preserve">Services Australia is committed to </w:t>
      </w:r>
      <w:r w:rsidR="003B73D1" w:rsidRPr="00F57F22">
        <w:t>support</w:t>
      </w:r>
      <w:r w:rsidR="00196D22" w:rsidRPr="00F57F22">
        <w:t>ing</w:t>
      </w:r>
      <w:r w:rsidR="003B73D1" w:rsidRPr="00F57F22">
        <w:t xml:space="preserve"> </w:t>
      </w:r>
      <w:r w:rsidRPr="00F57F22">
        <w:t xml:space="preserve">staff </w:t>
      </w:r>
      <w:r w:rsidR="003B73D1" w:rsidRPr="00F57F22">
        <w:t xml:space="preserve">input into </w:t>
      </w:r>
      <w:r w:rsidRPr="00F57F22">
        <w:t>the delivery of programs</w:t>
      </w:r>
      <w:r w:rsidR="003B73D1" w:rsidRPr="00F57F22">
        <w:t xml:space="preserve">, both specific and </w:t>
      </w:r>
      <w:r w:rsidRPr="00F57F22">
        <w:t>systemic delivery</w:t>
      </w:r>
      <w:r w:rsidR="003B73D1" w:rsidRPr="00F57F22">
        <w:t xml:space="preserve"> considerations</w:t>
      </w:r>
      <w:r w:rsidR="003648A6">
        <w:t>,</w:t>
      </w:r>
      <w:r w:rsidR="0081194C" w:rsidRPr="00F57F22">
        <w:t xml:space="preserve"> and insights on emerging issues for policy design and program delivery</w:t>
      </w:r>
      <w:r w:rsidRPr="00F57F22">
        <w:t>.</w:t>
      </w:r>
    </w:p>
    <w:p w14:paraId="43613388" w14:textId="292DE819" w:rsidR="006D090E" w:rsidRDefault="006D090E" w:rsidP="00D914D3">
      <w:pPr>
        <w:keepNext/>
        <w:keepLines/>
        <w:pBdr>
          <w:top w:val="single" w:sz="4" w:space="1" w:color="auto"/>
          <w:left w:val="single" w:sz="4" w:space="4" w:color="auto"/>
          <w:bottom w:val="single" w:sz="4" w:space="1" w:color="auto"/>
          <w:right w:val="single" w:sz="4" w:space="4" w:color="auto"/>
        </w:pBdr>
        <w:shd w:val="clear" w:color="auto" w:fill="E0E8F2" w:themeFill="background2"/>
        <w:spacing w:before="360"/>
        <w:outlineLvl w:val="2"/>
        <w:rPr>
          <w:rFonts w:ascii="Segoe UI Semilight" w:hAnsi="Segoe UI Semilight" w:cs="Segoe UI Semilight"/>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1</w:t>
      </w:r>
      <w:r w:rsidRPr="00F57F22">
        <w:rPr>
          <w:rFonts w:ascii="Segoe UI Semilight" w:hAnsi="Segoe UI Semilight" w:cs="Segoe UI Semilight"/>
          <w:b/>
          <w:bCs/>
          <w:szCs w:val="22"/>
        </w:rPr>
        <w:t>3.</w:t>
      </w:r>
      <w:r>
        <w:rPr>
          <w:rFonts w:ascii="Segoe UI Semilight" w:hAnsi="Segoe UI Semilight" w:cs="Segoe UI Semilight"/>
          <w:b/>
          <w:bCs/>
          <w:szCs w:val="22"/>
        </w:rPr>
        <w:t>3</w:t>
      </w:r>
      <w:r w:rsidRPr="00F57F22">
        <w:rPr>
          <w:rFonts w:ascii="Segoe UI Semilight" w:hAnsi="Segoe UI Semilight" w:cs="Segoe UI Semilight"/>
          <w:b/>
          <w:bCs/>
          <w:szCs w:val="22"/>
        </w:rPr>
        <w:t xml:space="preserve">: </w:t>
      </w:r>
      <w:r>
        <w:rPr>
          <w:rFonts w:ascii="Segoe UI Semilight" w:hAnsi="Segoe UI Semilight" w:cs="Segoe UI Semilight"/>
          <w:b/>
          <w:bCs/>
          <w:szCs w:val="22"/>
        </w:rPr>
        <w:t>“Face-to-face” support</w:t>
      </w:r>
    </w:p>
    <w:p w14:paraId="0302C732" w14:textId="1CC6EB65" w:rsidR="006D090E" w:rsidRPr="00F57F22" w:rsidRDefault="006D090E" w:rsidP="00EA0D0D">
      <w:pPr>
        <w:pStyle w:val="TBLText"/>
        <w:pBdr>
          <w:top w:val="single" w:sz="4" w:space="1" w:color="auto"/>
          <w:left w:val="single" w:sz="4" w:space="4" w:color="auto"/>
          <w:bottom w:val="single" w:sz="4" w:space="1" w:color="auto"/>
          <w:right w:val="single" w:sz="4" w:space="4" w:color="auto"/>
        </w:pBdr>
        <w:shd w:val="clear" w:color="auto" w:fill="E0E8F2" w:themeFill="background2"/>
      </w:pPr>
      <w:r w:rsidRPr="00F57F22">
        <w:t>More “face-to-face” customer service support options should be available for vulnerable recipients needing support</w:t>
      </w:r>
      <w:r w:rsidR="00C85416">
        <w:t>.</w:t>
      </w:r>
    </w:p>
    <w:p w14:paraId="627AB087" w14:textId="25214701" w:rsidR="003B73D1" w:rsidRPr="00F57F22" w:rsidRDefault="00595ABA" w:rsidP="006D090E">
      <w:pPr>
        <w:pStyle w:val="TBLText"/>
      </w:pPr>
      <w:r w:rsidRPr="00F57F22">
        <w:t xml:space="preserve">The Government </w:t>
      </w:r>
      <w:r w:rsidRPr="00F57F22">
        <w:rPr>
          <w:b/>
          <w:color w:val="000000"/>
        </w:rPr>
        <w:t>accepts</w:t>
      </w:r>
      <w:r w:rsidRPr="00F57F22">
        <w:rPr>
          <w:b/>
        </w:rPr>
        <w:t xml:space="preserve"> in principle</w:t>
      </w:r>
      <w:r w:rsidRPr="00F57F22">
        <w:t xml:space="preserve"> this recommendation.</w:t>
      </w:r>
    </w:p>
    <w:p w14:paraId="18F5BB2B" w14:textId="785B1E0E" w:rsidR="003B73D1" w:rsidRPr="000C2D43" w:rsidRDefault="003B73D1" w:rsidP="000C2D43">
      <w:pPr>
        <w:pStyle w:val="TBLText"/>
        <w:rPr>
          <w:rFonts w:eastAsiaTheme="minorHAnsi"/>
        </w:rPr>
      </w:pPr>
      <w:r w:rsidRPr="00F57F22">
        <w:rPr>
          <w:rFonts w:eastAsiaTheme="minorHAnsi"/>
        </w:rPr>
        <w:t>The Government recognises the importance of designing services to</w:t>
      </w:r>
      <w:r w:rsidR="00A37D29" w:rsidRPr="00F57F22">
        <w:rPr>
          <w:rFonts w:eastAsiaTheme="minorHAnsi"/>
        </w:rPr>
        <w:t xml:space="preserve"> meet</w:t>
      </w:r>
      <w:r w:rsidRPr="00F57F22">
        <w:rPr>
          <w:rFonts w:eastAsiaTheme="minorHAnsi"/>
        </w:rPr>
        <w:t xml:space="preserve"> the needs of individuals, particularly vulnerable</w:t>
      </w:r>
      <w:r w:rsidR="00F93FA6">
        <w:rPr>
          <w:rFonts w:eastAsiaTheme="minorHAnsi"/>
        </w:rPr>
        <w:t xml:space="preserve"> </w:t>
      </w:r>
      <w:r w:rsidRPr="00F57F22">
        <w:rPr>
          <w:rFonts w:eastAsiaTheme="minorHAnsi"/>
        </w:rPr>
        <w:t>recipients. This includes making services as accessible as possible</w:t>
      </w:r>
      <w:r w:rsidR="00754014">
        <w:rPr>
          <w:rFonts w:eastAsiaTheme="minorHAnsi"/>
        </w:rPr>
        <w:t>, including for individuals located in remote areas,</w:t>
      </w:r>
      <w:r w:rsidRPr="00F57F22">
        <w:rPr>
          <w:rFonts w:eastAsiaTheme="minorHAnsi"/>
        </w:rPr>
        <w:t xml:space="preserve"> through the preferred channel of the individual.</w:t>
      </w:r>
    </w:p>
    <w:p w14:paraId="52FD43AF" w14:textId="407C58C5" w:rsidR="00291C18" w:rsidRPr="00F57F22" w:rsidRDefault="00291C18" w:rsidP="000C2D43">
      <w:pPr>
        <w:pStyle w:val="TBLText"/>
        <w:rPr>
          <w:rFonts w:eastAsiaTheme="minorHAnsi"/>
        </w:rPr>
      </w:pPr>
      <w:r w:rsidRPr="00F57F22">
        <w:rPr>
          <w:rFonts w:eastAsiaTheme="minorHAnsi"/>
        </w:rPr>
        <w:t xml:space="preserve">The Australian Public Sector Reform Office and Services Australia are partnering to develop </w:t>
      </w:r>
      <w:r w:rsidR="00D820E4" w:rsidRPr="00F57F22">
        <w:rPr>
          <w:rFonts w:eastAsiaTheme="minorHAnsi"/>
        </w:rPr>
        <w:t>whole</w:t>
      </w:r>
      <w:r w:rsidR="00D820E4">
        <w:rPr>
          <w:rFonts w:eastAsiaTheme="minorHAnsi"/>
        </w:rPr>
        <w:t>-</w:t>
      </w:r>
      <w:r w:rsidR="00D820E4" w:rsidRPr="00F57F22">
        <w:rPr>
          <w:rFonts w:eastAsiaTheme="minorHAnsi"/>
        </w:rPr>
        <w:t>of</w:t>
      </w:r>
      <w:r w:rsidR="00D820E4">
        <w:rPr>
          <w:rFonts w:eastAsiaTheme="minorHAnsi"/>
        </w:rPr>
        <w:t>-</w:t>
      </w:r>
      <w:r w:rsidRPr="00F57F22">
        <w:rPr>
          <w:rFonts w:eastAsiaTheme="minorHAnsi"/>
        </w:rPr>
        <w:t xml:space="preserve">government service delivery attributes and </w:t>
      </w:r>
      <w:r w:rsidR="00BD1E3D">
        <w:rPr>
          <w:rFonts w:eastAsiaTheme="minorHAnsi"/>
        </w:rPr>
        <w:t xml:space="preserve">Service </w:t>
      </w:r>
      <w:r w:rsidR="00D820E4">
        <w:rPr>
          <w:rFonts w:eastAsiaTheme="minorHAnsi"/>
        </w:rPr>
        <w:t>D</w:t>
      </w:r>
      <w:r w:rsidR="00D820E4" w:rsidRPr="00F57F22">
        <w:rPr>
          <w:rFonts w:eastAsiaTheme="minorHAnsi"/>
        </w:rPr>
        <w:t xml:space="preserve">esign </w:t>
      </w:r>
      <w:r w:rsidR="00D820E4">
        <w:rPr>
          <w:rFonts w:eastAsiaTheme="minorHAnsi"/>
        </w:rPr>
        <w:t>S</w:t>
      </w:r>
      <w:r w:rsidR="00D820E4" w:rsidRPr="00F57F22">
        <w:rPr>
          <w:rFonts w:eastAsiaTheme="minorHAnsi"/>
        </w:rPr>
        <w:t xml:space="preserve">tandards </w:t>
      </w:r>
      <w:r w:rsidRPr="00F57F22">
        <w:rPr>
          <w:rFonts w:eastAsiaTheme="minorHAnsi"/>
        </w:rPr>
        <w:t xml:space="preserve">to support agencies to design and administer new and existing services and payments. The </w:t>
      </w:r>
      <w:r w:rsidR="00D820E4">
        <w:rPr>
          <w:rFonts w:eastAsiaTheme="minorHAnsi"/>
        </w:rPr>
        <w:t>S</w:t>
      </w:r>
      <w:r w:rsidR="00D820E4" w:rsidRPr="00F57F22">
        <w:rPr>
          <w:rFonts w:eastAsiaTheme="minorHAnsi"/>
        </w:rPr>
        <w:t xml:space="preserve">tandards </w:t>
      </w:r>
      <w:r w:rsidRPr="00F57F22">
        <w:rPr>
          <w:rFonts w:eastAsiaTheme="minorHAnsi"/>
        </w:rPr>
        <w:t>will be evidence-based and informed by the needs and expectations of the Australian community.</w:t>
      </w:r>
    </w:p>
    <w:p w14:paraId="56061203" w14:textId="563DE3AC" w:rsidR="00D820E4" w:rsidRDefault="0053266C" w:rsidP="009E2FAE">
      <w:pPr>
        <w:pStyle w:val="TBLText"/>
        <w:rPr>
          <w:rFonts w:eastAsiaTheme="minorHAnsi"/>
        </w:rPr>
      </w:pPr>
      <w:r w:rsidRPr="00F57F22">
        <w:rPr>
          <w:bCs/>
        </w:rPr>
        <w:t>The Government recognises the importance of having face-to-face services available to Australians</w:t>
      </w:r>
      <w:r w:rsidR="00424605" w:rsidRPr="00F57F22">
        <w:rPr>
          <w:bCs/>
        </w:rPr>
        <w:t xml:space="preserve"> when required</w:t>
      </w:r>
      <w:r w:rsidRPr="00F57F22">
        <w:rPr>
          <w:bCs/>
        </w:rPr>
        <w:t>.</w:t>
      </w:r>
      <w:r w:rsidR="003B73D1" w:rsidRPr="00F57F22" w:rsidDel="00CF54CB">
        <w:rPr>
          <w:rFonts w:eastAsiaTheme="minorHAnsi"/>
        </w:rPr>
        <w:t xml:space="preserve"> </w:t>
      </w:r>
      <w:r w:rsidR="0079520A" w:rsidRPr="00F57F22">
        <w:rPr>
          <w:rFonts w:eastAsiaTheme="minorHAnsi"/>
        </w:rPr>
        <w:t>Services Australia has been transforming its face-to-face services since 2019-20</w:t>
      </w:r>
      <w:r w:rsidR="006E11AD" w:rsidRPr="00F57F22">
        <w:rPr>
          <w:rFonts w:eastAsiaTheme="minorHAnsi"/>
        </w:rPr>
        <w:t xml:space="preserve">. </w:t>
      </w:r>
      <w:r w:rsidR="0079520A" w:rsidRPr="00F57F22">
        <w:rPr>
          <w:rFonts w:eastAsiaTheme="minorHAnsi"/>
        </w:rPr>
        <w:t xml:space="preserve"> </w:t>
      </w:r>
      <w:r w:rsidR="006E11AD" w:rsidRPr="00F57F22">
        <w:rPr>
          <w:rFonts w:eastAsiaTheme="minorHAnsi"/>
        </w:rPr>
        <w:t xml:space="preserve">Improvements have been made to the service environment including in person and online. Services Australia will continue to adopt a </w:t>
      </w:r>
      <w:r w:rsidR="00D820E4" w:rsidRPr="00F57F22">
        <w:rPr>
          <w:rFonts w:eastAsiaTheme="minorHAnsi"/>
        </w:rPr>
        <w:t>customer</w:t>
      </w:r>
      <w:r w:rsidR="00D820E4">
        <w:rPr>
          <w:rFonts w:eastAsiaTheme="minorHAnsi"/>
        </w:rPr>
        <w:t>-</w:t>
      </w:r>
      <w:r w:rsidR="006E11AD" w:rsidRPr="00F57F22">
        <w:rPr>
          <w:rFonts w:eastAsiaTheme="minorHAnsi"/>
        </w:rPr>
        <w:t xml:space="preserve">centred approach. The ongoing efforts to transform service delivery will be directed toward </w:t>
      </w:r>
      <w:r w:rsidR="0079520A" w:rsidRPr="00F57F22">
        <w:rPr>
          <w:rFonts w:eastAsiaTheme="minorHAnsi"/>
        </w:rPr>
        <w:t>better assisting customers to navigate services tailored to their needs</w:t>
      </w:r>
      <w:r w:rsidR="006E11AD" w:rsidRPr="00F57F22">
        <w:rPr>
          <w:rFonts w:eastAsiaTheme="minorHAnsi"/>
        </w:rPr>
        <w:t xml:space="preserve">, including through identifying </w:t>
      </w:r>
      <w:r w:rsidR="0079520A" w:rsidRPr="00F57F22">
        <w:rPr>
          <w:rFonts w:eastAsiaTheme="minorHAnsi"/>
        </w:rPr>
        <w:t xml:space="preserve">opportunities to engage and collaborate with government service delivery partners </w:t>
      </w:r>
      <w:r w:rsidR="006E11AD" w:rsidRPr="00F57F22">
        <w:rPr>
          <w:rFonts w:eastAsiaTheme="minorHAnsi"/>
        </w:rPr>
        <w:t xml:space="preserve">and support </w:t>
      </w:r>
      <w:r w:rsidR="0079520A" w:rsidRPr="00F57F22">
        <w:rPr>
          <w:rFonts w:eastAsiaTheme="minorHAnsi"/>
        </w:rPr>
        <w:t>more customers to access government services from a single location.</w:t>
      </w:r>
      <w:r w:rsidR="00D820E4">
        <w:rPr>
          <w:rFonts w:eastAsiaTheme="minorHAnsi"/>
        </w:rPr>
        <w:br w:type="page"/>
      </w:r>
    </w:p>
    <w:p w14:paraId="4EA926C3" w14:textId="1988ABAC" w:rsidR="006D090E" w:rsidRDefault="006D090E" w:rsidP="00D914D3">
      <w:pPr>
        <w:keepNext/>
        <w:keepLines/>
        <w:pBdr>
          <w:top w:val="single" w:sz="4" w:space="1" w:color="auto"/>
          <w:left w:val="single" w:sz="4" w:space="4" w:color="auto"/>
          <w:bottom w:val="single" w:sz="4" w:space="1" w:color="auto"/>
          <w:right w:val="single" w:sz="4" w:space="4" w:color="auto"/>
        </w:pBdr>
        <w:shd w:val="clear" w:color="auto" w:fill="E0E8F2" w:themeFill="background2"/>
        <w:spacing w:before="360"/>
        <w:outlineLvl w:val="2"/>
        <w:rPr>
          <w:rFonts w:ascii="Segoe UI Semilight" w:hAnsi="Segoe UI Semilight" w:cs="Segoe UI Semilight"/>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1</w:t>
      </w:r>
      <w:r w:rsidRPr="00F57F22">
        <w:rPr>
          <w:rFonts w:ascii="Segoe UI Semilight" w:hAnsi="Segoe UI Semilight" w:cs="Segoe UI Semilight"/>
          <w:b/>
          <w:bCs/>
          <w:szCs w:val="22"/>
        </w:rPr>
        <w:t>3.</w:t>
      </w:r>
      <w:r>
        <w:rPr>
          <w:rFonts w:ascii="Segoe UI Semilight" w:hAnsi="Segoe UI Semilight" w:cs="Segoe UI Semilight"/>
          <w:b/>
          <w:bCs/>
          <w:szCs w:val="22"/>
        </w:rPr>
        <w:t>4</w:t>
      </w:r>
      <w:r w:rsidRPr="00F57F22">
        <w:rPr>
          <w:rFonts w:ascii="Segoe UI Semilight" w:hAnsi="Segoe UI Semilight" w:cs="Segoe UI Semilight"/>
          <w:b/>
          <w:bCs/>
          <w:szCs w:val="22"/>
        </w:rPr>
        <w:t xml:space="preserve">: </w:t>
      </w:r>
      <w:r>
        <w:rPr>
          <w:rFonts w:ascii="Segoe UI Semilight" w:hAnsi="Segoe UI Semilight" w:cs="Segoe UI Semilight"/>
          <w:b/>
          <w:bCs/>
          <w:szCs w:val="22"/>
        </w:rPr>
        <w:t>I</w:t>
      </w:r>
      <w:r w:rsidRPr="00F57F22">
        <w:rPr>
          <w:rFonts w:ascii="Segoe UI Semilight" w:hAnsi="Segoe UI Semilight" w:cs="Segoe UI Semilight"/>
          <w:b/>
          <w:bCs/>
          <w:szCs w:val="22"/>
        </w:rPr>
        <w:t>ncreased number of social workers</w:t>
      </w:r>
    </w:p>
    <w:p w14:paraId="4A40DC68" w14:textId="53BCCA58" w:rsidR="006D090E" w:rsidRPr="00F57F22" w:rsidRDefault="006D090E" w:rsidP="00EA0D0D">
      <w:pPr>
        <w:pStyle w:val="TBLText"/>
        <w:pBdr>
          <w:top w:val="single" w:sz="4" w:space="1" w:color="auto"/>
          <w:left w:val="single" w:sz="4" w:space="4" w:color="auto"/>
          <w:bottom w:val="single" w:sz="4" w:space="1" w:color="auto"/>
          <w:right w:val="single" w:sz="4" w:space="4" w:color="auto"/>
        </w:pBdr>
        <w:shd w:val="clear" w:color="auto" w:fill="E0E8F2" w:themeFill="background2"/>
      </w:pPr>
      <w:r w:rsidRPr="00F57F22">
        <w:t>Increased social worker support (for both recipients and staff), and better referral processes to enable this support, should be implemented.</w:t>
      </w:r>
    </w:p>
    <w:p w14:paraId="42F16BA3" w14:textId="59442CBD" w:rsidR="00BF17C4" w:rsidRPr="00F57F22" w:rsidRDefault="00595ABA" w:rsidP="000C2D43">
      <w:pPr>
        <w:pStyle w:val="TBLText"/>
      </w:pPr>
      <w:r w:rsidRPr="00F57F22">
        <w:t xml:space="preserve">The Government </w:t>
      </w:r>
      <w:r w:rsidRPr="00F57F22">
        <w:rPr>
          <w:b/>
          <w:color w:val="000000"/>
        </w:rPr>
        <w:t>accepts</w:t>
      </w:r>
      <w:r w:rsidRPr="00F57F22">
        <w:rPr>
          <w:b/>
        </w:rPr>
        <w:t xml:space="preserve"> in principle</w:t>
      </w:r>
      <w:r w:rsidR="00C85416">
        <w:t xml:space="preserve"> this recommendation.</w:t>
      </w:r>
    </w:p>
    <w:p w14:paraId="2122B396" w14:textId="258CA29B" w:rsidR="00595ABA" w:rsidRPr="00F57F22" w:rsidRDefault="00595ABA" w:rsidP="000C2D43">
      <w:pPr>
        <w:pStyle w:val="TBLText"/>
      </w:pPr>
      <w:r w:rsidRPr="00F57F22">
        <w:t xml:space="preserve">The Government recognises the important role </w:t>
      </w:r>
      <w:r w:rsidR="00BF17C4" w:rsidRPr="00F57F22">
        <w:t>s</w:t>
      </w:r>
      <w:r w:rsidRPr="00F57F22">
        <w:t xml:space="preserve">ocial </w:t>
      </w:r>
      <w:r w:rsidR="00BF17C4" w:rsidRPr="00F57F22">
        <w:t>w</w:t>
      </w:r>
      <w:r w:rsidRPr="00F57F22">
        <w:t xml:space="preserve">orkers play in supporting </w:t>
      </w:r>
      <w:r w:rsidR="004E7E41" w:rsidRPr="00F57F22">
        <w:t>our community</w:t>
      </w:r>
      <w:r w:rsidRPr="00F57F22">
        <w:t xml:space="preserve">, </w:t>
      </w:r>
      <w:r w:rsidR="004E7E41" w:rsidRPr="00F57F22">
        <w:t xml:space="preserve">and </w:t>
      </w:r>
      <w:r w:rsidRPr="00F57F22">
        <w:t xml:space="preserve">connecting </w:t>
      </w:r>
      <w:r w:rsidR="004E7E41" w:rsidRPr="00F57F22">
        <w:t xml:space="preserve">Australians </w:t>
      </w:r>
      <w:r w:rsidRPr="00F57F22">
        <w:t>with ser</w:t>
      </w:r>
      <w:r w:rsidR="00C85416">
        <w:t>vices that support their needs.</w:t>
      </w:r>
    </w:p>
    <w:p w14:paraId="094FA8E4" w14:textId="00D5405E" w:rsidR="004E7E41" w:rsidRPr="00F57F22" w:rsidRDefault="00FB28AB" w:rsidP="000C2D43">
      <w:pPr>
        <w:pStyle w:val="TBLText"/>
      </w:pPr>
      <w:r>
        <w:t xml:space="preserve">The </w:t>
      </w:r>
      <w:r w:rsidR="00595ABA" w:rsidRPr="00F57F22">
        <w:t>Services Australia</w:t>
      </w:r>
      <w:r>
        <w:t xml:space="preserve"> </w:t>
      </w:r>
      <w:r w:rsidR="00595ABA" w:rsidRPr="00F57F22">
        <w:t xml:space="preserve">Social Work Servicing Strategy </w:t>
      </w:r>
      <w:r>
        <w:t xml:space="preserve">(2021-2025) outlines how the agency is </w:t>
      </w:r>
      <w:r w:rsidR="00595ABA" w:rsidRPr="00F57F22">
        <w:t>transform</w:t>
      </w:r>
      <w:r>
        <w:t>ing the way it</w:t>
      </w:r>
      <w:r w:rsidR="00BF17C4" w:rsidRPr="00F57F22">
        <w:t xml:space="preserve"> deliver</w:t>
      </w:r>
      <w:r>
        <w:t>s</w:t>
      </w:r>
      <w:r w:rsidR="00BF17C4" w:rsidRPr="00F57F22">
        <w:t xml:space="preserve"> s</w:t>
      </w:r>
      <w:r w:rsidR="00595ABA" w:rsidRPr="00F57F22">
        <w:t xml:space="preserve">ocial </w:t>
      </w:r>
      <w:r w:rsidR="00317AEF" w:rsidRPr="00F57F22">
        <w:t>w</w:t>
      </w:r>
      <w:r w:rsidR="00595ABA" w:rsidRPr="00F57F22">
        <w:t>ork services</w:t>
      </w:r>
      <w:r w:rsidR="004E7E41" w:rsidRPr="00F57F22">
        <w:t xml:space="preserve">. The Strategy was developed in consultation with </w:t>
      </w:r>
      <w:r w:rsidR="00E01CE2" w:rsidRPr="00F57F22">
        <w:t xml:space="preserve">Services Australia </w:t>
      </w:r>
      <w:r w:rsidR="004E7E41" w:rsidRPr="00F57F22">
        <w:t>social workers, and draws on their expertise and experience</w:t>
      </w:r>
      <w:r w:rsidR="00595ABA" w:rsidRPr="00F57F22">
        <w:t xml:space="preserve">. </w:t>
      </w:r>
      <w:r w:rsidR="004E7E41" w:rsidRPr="00F57F22">
        <w:t>The</w:t>
      </w:r>
      <w:r w:rsidR="00B315D4" w:rsidRPr="00F57F22">
        <w:t xml:space="preserve"> vision </w:t>
      </w:r>
      <w:r w:rsidR="004E7E41" w:rsidRPr="00F57F22">
        <w:t xml:space="preserve">identified in the Strategy </w:t>
      </w:r>
      <w:r w:rsidR="00B315D4" w:rsidRPr="00F57F22">
        <w:t>is to ensure “a progressive social work service committed to social justice and helping individuals, families and communities so people can get on with their lives” consistent with the agency’s Master Plan</w:t>
      </w:r>
      <w:r w:rsidR="004E7E41" w:rsidRPr="00F57F22">
        <w:t>,</w:t>
      </w:r>
      <w:r w:rsidR="00B315D4" w:rsidRPr="00F57F22">
        <w:t xml:space="preserve"> and to provide</w:t>
      </w:r>
      <w:r w:rsidR="00595ABA" w:rsidRPr="00F57F22">
        <w:t xml:space="preserve"> </w:t>
      </w:r>
      <w:r w:rsidR="00D820E4" w:rsidRPr="00F57F22">
        <w:t>world</w:t>
      </w:r>
      <w:r w:rsidR="00D820E4">
        <w:t>-</w:t>
      </w:r>
      <w:r w:rsidR="00595ABA" w:rsidRPr="00F57F22">
        <w:t>class services</w:t>
      </w:r>
      <w:r w:rsidR="00317AEF" w:rsidRPr="00F57F22">
        <w:t xml:space="preserve"> to citizens through increased social w</w:t>
      </w:r>
      <w:r w:rsidR="00595ABA" w:rsidRPr="00F57F22">
        <w:t xml:space="preserve">orker </w:t>
      </w:r>
      <w:r w:rsidR="00B315D4" w:rsidRPr="00F57F22">
        <w:t>accessibility</w:t>
      </w:r>
      <w:r w:rsidR="00317AEF" w:rsidRPr="00F57F22">
        <w:t>.</w:t>
      </w:r>
    </w:p>
    <w:p w14:paraId="137BA37B" w14:textId="3FFC0052" w:rsidR="00BF17C4" w:rsidRPr="00F57F22" w:rsidRDefault="005A687D" w:rsidP="000C2D43">
      <w:pPr>
        <w:pStyle w:val="TBLText"/>
      </w:pPr>
      <w:r w:rsidRPr="00F57F22">
        <w:t>T</w:t>
      </w:r>
      <w:r w:rsidR="00595ABA" w:rsidRPr="00F57F22">
        <w:t xml:space="preserve">o maximise </w:t>
      </w:r>
      <w:r w:rsidRPr="00F57F22">
        <w:t>access to</w:t>
      </w:r>
      <w:r w:rsidR="006C6495" w:rsidRPr="00F57F22">
        <w:t xml:space="preserve"> </w:t>
      </w:r>
      <w:r w:rsidR="00595ABA" w:rsidRPr="00F57F22">
        <w:t xml:space="preserve">social work support </w:t>
      </w:r>
      <w:r w:rsidRPr="00F57F22">
        <w:t>for</w:t>
      </w:r>
      <w:r w:rsidR="00595ABA" w:rsidRPr="00F57F22">
        <w:t xml:space="preserve"> customers and staff, </w:t>
      </w:r>
      <w:r w:rsidR="000D7F98" w:rsidRPr="00F57F22">
        <w:t xml:space="preserve">Services Australia is </w:t>
      </w:r>
      <w:r w:rsidR="004E7E41" w:rsidRPr="00F57F22">
        <w:t xml:space="preserve">also </w:t>
      </w:r>
      <w:r w:rsidR="000D7F98" w:rsidRPr="00F57F22">
        <w:t xml:space="preserve">exploring </w:t>
      </w:r>
      <w:r w:rsidR="00E01CE2" w:rsidRPr="00F57F22">
        <w:t xml:space="preserve">additional </w:t>
      </w:r>
      <w:r w:rsidR="00FB28AB">
        <w:t xml:space="preserve">delivery </w:t>
      </w:r>
      <w:r w:rsidR="003648A6">
        <w:t xml:space="preserve">methods </w:t>
      </w:r>
      <w:r w:rsidR="003648A6" w:rsidRPr="00F57F22">
        <w:t>to</w:t>
      </w:r>
      <w:r w:rsidR="00595ABA" w:rsidRPr="00F57F22">
        <w:t xml:space="preserve"> </w:t>
      </w:r>
      <w:r w:rsidR="00FB28AB">
        <w:t>support</w:t>
      </w:r>
      <w:r w:rsidR="00595ABA" w:rsidRPr="00F57F22">
        <w:t xml:space="preserve"> connections with customers</w:t>
      </w:r>
      <w:r w:rsidR="00E01CE2" w:rsidRPr="00F57F22">
        <w:t xml:space="preserve"> and continue</w:t>
      </w:r>
      <w:r w:rsidR="003648A6">
        <w:t>s</w:t>
      </w:r>
      <w:r w:rsidR="00E01CE2" w:rsidRPr="00F57F22">
        <w:t xml:space="preserve"> to respond to </w:t>
      </w:r>
      <w:r w:rsidR="00FB28AB">
        <w:t xml:space="preserve">customer </w:t>
      </w:r>
      <w:r w:rsidR="00E01CE2" w:rsidRPr="00F57F22">
        <w:t>needs through their preferred method of contact.</w:t>
      </w:r>
    </w:p>
    <w:p w14:paraId="0BCDC3ED" w14:textId="15FD0120" w:rsidR="00962D9F" w:rsidRDefault="00962D9F" w:rsidP="00D914D3">
      <w:pPr>
        <w:keepNext/>
        <w:keepLines/>
        <w:pBdr>
          <w:top w:val="single" w:sz="4" w:space="1" w:color="auto"/>
          <w:left w:val="single" w:sz="4" w:space="4" w:color="auto"/>
          <w:bottom w:val="single" w:sz="4" w:space="1" w:color="auto"/>
          <w:right w:val="single" w:sz="4" w:space="4" w:color="auto"/>
        </w:pBdr>
        <w:shd w:val="clear" w:color="auto" w:fill="E0E8F2" w:themeFill="background2"/>
        <w:spacing w:before="360"/>
        <w:outlineLvl w:val="2"/>
        <w:rPr>
          <w:rFonts w:ascii="Segoe UI Semilight" w:hAnsi="Segoe UI Semilight" w:cs="Segoe UI Semilight"/>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szCs w:val="22"/>
        </w:rPr>
        <w:t>15.1: Legislative change better defined in New Policy Proposals</w:t>
      </w:r>
      <w:r w:rsidRPr="00F57F22">
        <w:rPr>
          <w:rFonts w:ascii="Segoe UI Semilight" w:hAnsi="Segoe UI Semilight" w:cs="Segoe UI Semilight"/>
          <w:szCs w:val="22"/>
        </w:rPr>
        <w:t xml:space="preserve"> </w:t>
      </w:r>
    </w:p>
    <w:p w14:paraId="1099F3F4" w14:textId="2DB5094B" w:rsidR="00962D9F" w:rsidRDefault="00962D9F" w:rsidP="00EA0D0D">
      <w:pPr>
        <w:pStyle w:val="TBLText"/>
        <w:pBdr>
          <w:top w:val="single" w:sz="4" w:space="1" w:color="auto"/>
          <w:left w:val="single" w:sz="4" w:space="4" w:color="auto"/>
          <w:bottom w:val="single" w:sz="4" w:space="1" w:color="auto"/>
          <w:right w:val="single" w:sz="4" w:space="4" w:color="auto"/>
        </w:pBdr>
        <w:shd w:val="clear" w:color="auto" w:fill="E0E8F2" w:themeFill="background2"/>
      </w:pPr>
      <w:r w:rsidRPr="00F57F22">
        <w:t>The Budget Process Operational Rules should include a requirement that all New Policy Proposals contain a statement as to whether the proposal requires legislative change in order to be lawfully implemented, as distinct from legislative change to authorise expenditure.</w:t>
      </w:r>
    </w:p>
    <w:p w14:paraId="61845581" w14:textId="3817A878" w:rsidR="00317AEF" w:rsidRPr="00F57F22" w:rsidRDefault="00913760" w:rsidP="000C2D43">
      <w:pPr>
        <w:pStyle w:val="TBLText"/>
      </w:pPr>
      <w:r w:rsidRPr="00F57F22">
        <w:t xml:space="preserve">The </w:t>
      </w:r>
      <w:r w:rsidRPr="00F57F22">
        <w:rPr>
          <w:bCs/>
        </w:rPr>
        <w:t>Government</w:t>
      </w:r>
      <w:r w:rsidRPr="00F57F22">
        <w:t xml:space="preserve"> </w:t>
      </w:r>
      <w:r w:rsidRPr="00F57F22">
        <w:rPr>
          <w:b/>
        </w:rPr>
        <w:t xml:space="preserve">accepts </w:t>
      </w:r>
      <w:r w:rsidR="00C85416">
        <w:t>this recommendation.</w:t>
      </w:r>
    </w:p>
    <w:p w14:paraId="70844250" w14:textId="7CFCC478" w:rsidR="003C34E6" w:rsidRPr="00F57F22" w:rsidRDefault="003C34E6" w:rsidP="000C2D43">
      <w:pPr>
        <w:pStyle w:val="TBLText"/>
      </w:pPr>
      <w:r>
        <w:t xml:space="preserve">In </w:t>
      </w:r>
      <w:r w:rsidR="0025752D">
        <w:t>providing advice</w:t>
      </w:r>
      <w:r>
        <w:t xml:space="preserve"> to Cabinet, </w:t>
      </w:r>
      <w:r w:rsidRPr="00F57F22">
        <w:t xml:space="preserve">Ministers, departments and agencies should indicate whether a new policy proposal will require legislative change in order </w:t>
      </w:r>
      <w:r>
        <w:t xml:space="preserve">for it </w:t>
      </w:r>
      <w:r w:rsidRPr="00F57F22">
        <w:t xml:space="preserve">to be lawfully implemented, in addition to </w:t>
      </w:r>
      <w:r>
        <w:t xml:space="preserve">giving </w:t>
      </w:r>
      <w:r w:rsidRPr="00F57F22">
        <w:t xml:space="preserve">advice on whether legislation is required to authorise expenditure. In circumstances where it has not been possible to determine whether legislative change is required, this should also be clearly stated. </w:t>
      </w:r>
      <w:r>
        <w:t>Relevant Cabinet procedures will be updated to reflect this.</w:t>
      </w:r>
    </w:p>
    <w:p w14:paraId="2EB8FCAD" w14:textId="33269D89" w:rsidR="00D820E4" w:rsidRDefault="003C34E6" w:rsidP="009E2FAE">
      <w:pPr>
        <w:pStyle w:val="TBLText"/>
      </w:pPr>
      <w:r w:rsidRPr="00F57F22">
        <w:t>This recommendation will be implemented by the Department of the Prime Minister and Cabinet, the Department of Finance and the Treasury, in</w:t>
      </w:r>
      <w:r w:rsidR="00E3757F">
        <w:t xml:space="preserve"> consultation with the Attorney</w:t>
      </w:r>
      <w:r w:rsidR="00E3757F">
        <w:noBreakHyphen/>
      </w:r>
      <w:r w:rsidRPr="00F57F22">
        <w:t>General’s Department</w:t>
      </w:r>
      <w:r w:rsidR="00682071">
        <w:t>.</w:t>
      </w:r>
      <w:r w:rsidR="00D820E4">
        <w:br w:type="page"/>
      </w:r>
    </w:p>
    <w:p w14:paraId="41F0B0B3" w14:textId="730F6ADF" w:rsidR="00962D9F" w:rsidRPr="0089733F" w:rsidRDefault="00962D9F"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89733F">
        <w:rPr>
          <w:rFonts w:ascii="Segoe UI Semilight" w:hAnsi="Segoe UI Semilight" w:cs="Segoe UI Semilight"/>
          <w:b/>
          <w:bCs/>
          <w:color w:val="000000"/>
          <w:szCs w:val="22"/>
        </w:rPr>
        <w:t>15.2: Include legal advices with New Policy Proposals</w:t>
      </w:r>
    </w:p>
    <w:p w14:paraId="0B3BC4F8" w14:textId="5BC2241F" w:rsidR="00962D9F" w:rsidRPr="00F57F22" w:rsidRDefault="00962D9F" w:rsidP="0089733F">
      <w:pPr>
        <w:pBdr>
          <w:top w:val="single" w:sz="4" w:space="1" w:color="auto"/>
          <w:left w:val="single" w:sz="4" w:space="1" w:color="auto"/>
          <w:bottom w:val="single" w:sz="4" w:space="1" w:color="auto"/>
          <w:right w:val="single" w:sz="4" w:space="1" w:color="auto"/>
        </w:pBdr>
        <w:shd w:val="clear" w:color="auto" w:fill="E0E8F2" w:themeFill="background2"/>
      </w:pPr>
      <w:r w:rsidRPr="00F57F22">
        <w:rPr>
          <w:rFonts w:ascii="Segoe UI Semilight" w:hAnsi="Segoe UI Semilight" w:cs="Segoe UI Semilight"/>
          <w:szCs w:val="22"/>
        </w:rPr>
        <w:t>The Budget Process Operational Rules should include a requirement that any legal advice (either internal or external) relating to whether the proposal requires legislative change in order to be implemented be included with the New Policy Proposal in any versions of the Portfolio Budget Submission circulated to other agencies or Cabinet ministers.</w:t>
      </w:r>
    </w:p>
    <w:p w14:paraId="6E4DF390" w14:textId="77777777" w:rsidR="00197CAF" w:rsidRPr="00F57F22" w:rsidRDefault="00595ABA" w:rsidP="000C2D43">
      <w:pPr>
        <w:pStyle w:val="TBLText"/>
      </w:pPr>
      <w:r w:rsidRPr="00F57F22">
        <w:t xml:space="preserve">The </w:t>
      </w:r>
      <w:r w:rsidRPr="00F57F22">
        <w:rPr>
          <w:bCs/>
        </w:rPr>
        <w:t>Government</w:t>
      </w:r>
      <w:r w:rsidRPr="00F57F22">
        <w:t xml:space="preserve"> </w:t>
      </w:r>
      <w:r w:rsidRPr="00F57F22">
        <w:rPr>
          <w:b/>
          <w:color w:val="000000"/>
        </w:rPr>
        <w:t>accepts</w:t>
      </w:r>
      <w:r w:rsidR="00030537">
        <w:rPr>
          <w:b/>
          <w:color w:val="000000"/>
        </w:rPr>
        <w:t xml:space="preserve"> in principle</w:t>
      </w:r>
      <w:r w:rsidRPr="00F57F22">
        <w:t xml:space="preserve"> this recommendation.</w:t>
      </w:r>
    </w:p>
    <w:p w14:paraId="244477FF" w14:textId="7E0B215F" w:rsidR="00CC4729" w:rsidRPr="00F57F22" w:rsidRDefault="00CC4729" w:rsidP="000C2D43">
      <w:pPr>
        <w:pStyle w:val="TBLText"/>
      </w:pPr>
      <w:r w:rsidRPr="00F57F22">
        <w:t xml:space="preserve">The Government agrees that Cabinet should be clearly informed of identifiable legal issues associated with the implementation of new policy proposals. The Government considers that clear, concise and succinct summaries of legal issues </w:t>
      </w:r>
      <w:r>
        <w:t>are</w:t>
      </w:r>
      <w:r w:rsidRPr="00F57F22">
        <w:t xml:space="preserve"> likely to be of greater assistance to entities and Ministers than copies of entire legal advices. </w:t>
      </w:r>
      <w:r>
        <w:t>Relevant Cabinet procedures will be updated to reflect this.</w:t>
      </w:r>
    </w:p>
    <w:p w14:paraId="5D63B31D" w14:textId="74298EE5" w:rsidR="00197CAF" w:rsidRDefault="00CC4729" w:rsidP="000C2D43">
      <w:pPr>
        <w:pStyle w:val="TBLText"/>
      </w:pPr>
      <w:r w:rsidRPr="00F57F22">
        <w:t>This recommendation will be implemented by the Department of the Prime Minister and Cabinet, the Department of Finance and the Treasury, in consultatio</w:t>
      </w:r>
      <w:r w:rsidR="00E3757F">
        <w:t>n with the Attorney</w:t>
      </w:r>
      <w:r w:rsidR="00E3757F">
        <w:noBreakHyphen/>
      </w:r>
      <w:r w:rsidRPr="00F57F22">
        <w:t>General’s Department.</w:t>
      </w:r>
    </w:p>
    <w:p w14:paraId="1611BC6A" w14:textId="3E69E494" w:rsidR="00962D9F" w:rsidRPr="00D914D3" w:rsidRDefault="00962D9F"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D914D3">
        <w:rPr>
          <w:rFonts w:ascii="Segoe UI Semilight" w:hAnsi="Segoe UI Semilight" w:cs="Segoe UI Semilight"/>
          <w:b/>
          <w:bCs/>
          <w:color w:val="000000"/>
          <w:szCs w:val="22"/>
        </w:rPr>
        <w:t xml:space="preserve">15.3: Australian </w:t>
      </w:r>
      <w:r w:rsidRPr="0089733F">
        <w:rPr>
          <w:rFonts w:ascii="Segoe UI Semilight" w:hAnsi="Segoe UI Semilight" w:cs="Segoe UI Semilight"/>
          <w:b/>
          <w:bCs/>
          <w:color w:val="000000"/>
          <w:szCs w:val="22"/>
        </w:rPr>
        <w:t>Government</w:t>
      </w:r>
      <w:r w:rsidRPr="00D914D3">
        <w:rPr>
          <w:rFonts w:ascii="Segoe UI Semilight" w:hAnsi="Segoe UI Semilight" w:cs="Segoe UI Semilight"/>
          <w:b/>
          <w:bCs/>
          <w:color w:val="000000"/>
          <w:szCs w:val="22"/>
        </w:rPr>
        <w:t xml:space="preserve"> Solicitor statement in the NPP</w:t>
      </w:r>
    </w:p>
    <w:p w14:paraId="0E52CA42" w14:textId="313953E2" w:rsidR="00962D9F" w:rsidRPr="000C2D43" w:rsidRDefault="00962D9F" w:rsidP="0089733F">
      <w:pPr>
        <w:pStyle w:val="TBLText"/>
        <w:pBdr>
          <w:top w:val="single" w:sz="4" w:space="1" w:color="auto"/>
          <w:left w:val="single" w:sz="4" w:space="1" w:color="auto"/>
          <w:bottom w:val="single" w:sz="4" w:space="1" w:color="auto"/>
          <w:right w:val="single" w:sz="4" w:space="1" w:color="auto"/>
        </w:pBdr>
        <w:shd w:val="clear" w:color="auto" w:fill="E0E8F2" w:themeFill="background2"/>
      </w:pPr>
      <w:r w:rsidRPr="00F57F22">
        <w:t>The Budget Process Operational Rules should include a requirement that where legal advice has been given in relation to whether the proposal requires legislative change in order to be implemented, the New Policy Proposal includes a statement as to whether the Australian Government Solicitor has reviewed and agreed with the advice.</w:t>
      </w:r>
    </w:p>
    <w:p w14:paraId="4494FBD6" w14:textId="3E44B62F" w:rsidR="00197CAF" w:rsidRPr="00F57F22" w:rsidRDefault="00595ABA" w:rsidP="000C2D43">
      <w:pPr>
        <w:pStyle w:val="TBLText"/>
      </w:pPr>
      <w:r w:rsidRPr="00F57F22">
        <w:t xml:space="preserve">The Government </w:t>
      </w:r>
      <w:r w:rsidRPr="00F57F22">
        <w:rPr>
          <w:b/>
          <w:color w:val="000000"/>
        </w:rPr>
        <w:t>accepts</w:t>
      </w:r>
      <w:r w:rsidR="00F329BD" w:rsidRPr="00F57F22">
        <w:rPr>
          <w:b/>
          <w:color w:val="000000"/>
        </w:rPr>
        <w:t xml:space="preserve"> </w:t>
      </w:r>
      <w:r w:rsidRPr="00F57F22">
        <w:t>this recommendation.</w:t>
      </w:r>
    </w:p>
    <w:p w14:paraId="42CF1E95" w14:textId="05A00ECB" w:rsidR="004175E2" w:rsidRPr="00F57F22" w:rsidRDefault="004175E2" w:rsidP="000C2D43">
      <w:pPr>
        <w:pStyle w:val="TBLText"/>
      </w:pPr>
      <w:r w:rsidRPr="00F57F22">
        <w:t xml:space="preserve">Sponsoring Ministers and entities are responsible for ensuring that they present clear information on what is required to implement a new policy proposal. Where </w:t>
      </w:r>
      <w:r>
        <w:t>legal advice is provided on a new policy proposal</w:t>
      </w:r>
      <w:r w:rsidRPr="00F57F22">
        <w:t xml:space="preserve">, </w:t>
      </w:r>
      <w:r>
        <w:t>Cabinet should receive complete and accurate information, particularly regarding</w:t>
      </w:r>
      <w:r w:rsidRPr="00F57F22">
        <w:t xml:space="preserve"> whether or not the Australian Government Solicitor has reviewed and agreed with any legal advice on whether legislative change is required. </w:t>
      </w:r>
      <w:r>
        <w:t>Relevant Cabinet procedures will be updated to reflect this.</w:t>
      </w:r>
    </w:p>
    <w:p w14:paraId="03A5647C" w14:textId="60CB4689" w:rsidR="00592F58" w:rsidRDefault="004175E2" w:rsidP="009E2FAE">
      <w:pPr>
        <w:pStyle w:val="TBLText"/>
      </w:pPr>
      <w:r w:rsidRPr="00F57F22">
        <w:t>This recommendation will be implemented by the Department of the Prime Minister and Cabinet, the Department of Finance and the Treasury, in</w:t>
      </w:r>
      <w:r w:rsidR="00E3757F">
        <w:t xml:space="preserve"> consultation with the Attorney</w:t>
      </w:r>
      <w:r w:rsidR="00E3757F">
        <w:noBreakHyphen/>
      </w:r>
      <w:r w:rsidRPr="00F57F22">
        <w:t>General’s Department.</w:t>
      </w:r>
      <w:r w:rsidR="00592F58">
        <w:br w:type="page"/>
      </w:r>
    </w:p>
    <w:p w14:paraId="76F7763E" w14:textId="009C722C" w:rsidR="00962D9F" w:rsidRPr="00D914D3" w:rsidRDefault="00962D9F"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D914D3">
        <w:rPr>
          <w:rFonts w:ascii="Segoe UI Semilight" w:hAnsi="Segoe UI Semilight" w:cs="Segoe UI Semilight"/>
          <w:b/>
          <w:bCs/>
          <w:color w:val="000000"/>
          <w:szCs w:val="22"/>
        </w:rPr>
        <w:t xml:space="preserve">15.4: </w:t>
      </w:r>
      <w:r w:rsidRPr="0089733F">
        <w:rPr>
          <w:rFonts w:ascii="Segoe UI Semilight" w:hAnsi="Segoe UI Semilight" w:cs="Segoe UI Semilight"/>
          <w:b/>
          <w:bCs/>
          <w:color w:val="000000"/>
          <w:szCs w:val="22"/>
        </w:rPr>
        <w:t>Standard</w:t>
      </w:r>
      <w:r w:rsidRPr="00D914D3">
        <w:rPr>
          <w:rFonts w:ascii="Segoe UI Semilight" w:hAnsi="Segoe UI Semilight" w:cs="Segoe UI Semilight"/>
          <w:b/>
          <w:bCs/>
          <w:color w:val="000000"/>
          <w:szCs w:val="22"/>
        </w:rPr>
        <w:t>, specific language on legal risks in the NPP</w:t>
      </w:r>
    </w:p>
    <w:p w14:paraId="0E80274E" w14:textId="3A93F0DF" w:rsidR="00962D9F" w:rsidRPr="000C2D43" w:rsidRDefault="00962D9F" w:rsidP="0089733F">
      <w:pPr>
        <w:pStyle w:val="TBLText"/>
        <w:pBdr>
          <w:top w:val="single" w:sz="4" w:space="1" w:color="auto"/>
          <w:left w:val="single" w:sz="4" w:space="1" w:color="auto"/>
          <w:bottom w:val="single" w:sz="4" w:space="1" w:color="auto"/>
          <w:right w:val="single" w:sz="4" w:space="1" w:color="auto"/>
        </w:pBdr>
        <w:shd w:val="clear" w:color="auto" w:fill="E0E8F2" w:themeFill="background2"/>
      </w:pPr>
      <w:r w:rsidRPr="00F57F22">
        <w:t>The standard language used in the NPP Checklist should be sufficiently specific to make it obvious on the face of the document what advice is being provided, in respect of what legal risks and by whom it is being provided.</w:t>
      </w:r>
    </w:p>
    <w:p w14:paraId="2488F30A" w14:textId="69B0E831" w:rsidR="00743136" w:rsidRPr="00F57F22" w:rsidRDefault="00595ABA" w:rsidP="000C2D43">
      <w:pPr>
        <w:pStyle w:val="TBLText"/>
      </w:pPr>
      <w:r w:rsidRPr="00F57F22">
        <w:t xml:space="preserve">The </w:t>
      </w:r>
      <w:r w:rsidRPr="00F57F22">
        <w:rPr>
          <w:bCs/>
        </w:rPr>
        <w:t>Government</w:t>
      </w:r>
      <w:r w:rsidRPr="00F57F22">
        <w:t xml:space="preserve"> </w:t>
      </w:r>
      <w:r w:rsidRPr="00F57F22">
        <w:rPr>
          <w:b/>
          <w:color w:val="000000"/>
        </w:rPr>
        <w:t>accepts</w:t>
      </w:r>
      <w:r w:rsidR="00A53FCF" w:rsidRPr="00F57F22">
        <w:rPr>
          <w:b/>
          <w:color w:val="000000"/>
        </w:rPr>
        <w:t xml:space="preserve"> </w:t>
      </w:r>
      <w:r w:rsidRPr="00F57F22">
        <w:t>this recommendation.</w:t>
      </w:r>
    </w:p>
    <w:p w14:paraId="34E07AEF" w14:textId="4F9E9E3B" w:rsidR="007A790F" w:rsidRPr="00F57F22" w:rsidRDefault="007A790F" w:rsidP="000C2D43">
      <w:pPr>
        <w:pStyle w:val="TBLText"/>
      </w:pPr>
      <w:r>
        <w:t xml:space="preserve">Cabinet should receive clear and accurate advice on new policy proposals, to ensure it fully understands associated legal issues and risks. Relevant Cabinet procedures will be updated </w:t>
      </w:r>
      <w:r w:rsidRPr="00F57F22">
        <w:t xml:space="preserve">to make it clear what legal advice has been obtained, in respect of what risks, and by whom it was provided. The </w:t>
      </w:r>
      <w:r>
        <w:t xml:space="preserve">updates </w:t>
      </w:r>
      <w:r w:rsidRPr="00F57F22">
        <w:t>will provide clearer information on legislative authority issues relating to spending, and on legal issues relating to</w:t>
      </w:r>
      <w:r w:rsidR="00C85416">
        <w:t xml:space="preserve"> other aspects of the proposal.</w:t>
      </w:r>
    </w:p>
    <w:p w14:paraId="572284B1" w14:textId="72CB8E3D" w:rsidR="00B172C6" w:rsidRDefault="00842C3B" w:rsidP="000C2D43">
      <w:pPr>
        <w:pStyle w:val="TBLText"/>
      </w:pPr>
      <w:r w:rsidRPr="00F57F22">
        <w:t>This recommendation will be implemented by the Department of the Prime Minister and Cabinet, in consultation with the Department of Finance, the Treasury</w:t>
      </w:r>
      <w:r w:rsidR="000B4512" w:rsidRPr="00F57F22">
        <w:t xml:space="preserve"> and</w:t>
      </w:r>
      <w:r w:rsidRPr="00F57F22">
        <w:t xml:space="preserve"> the </w:t>
      </w:r>
      <w:r w:rsidR="00D25615">
        <w:br/>
      </w:r>
      <w:r w:rsidRPr="00F57F22">
        <w:t>Attorney-General’s Department.</w:t>
      </w:r>
    </w:p>
    <w:p w14:paraId="3D3D2471" w14:textId="6D8B24DE" w:rsidR="00962D9F" w:rsidRPr="00D914D3" w:rsidRDefault="00962D9F"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D914D3">
        <w:rPr>
          <w:rFonts w:ascii="Segoe UI Semilight" w:hAnsi="Segoe UI Semilight" w:cs="Segoe UI Semilight"/>
          <w:b/>
          <w:bCs/>
          <w:color w:val="000000"/>
          <w:szCs w:val="22"/>
        </w:rPr>
        <w:t xml:space="preserve">15.5: </w:t>
      </w:r>
      <w:r w:rsidRPr="0089733F">
        <w:rPr>
          <w:rFonts w:ascii="Segoe UI Semilight" w:hAnsi="Segoe UI Semilight" w:cs="Segoe UI Semilight"/>
          <w:b/>
          <w:bCs/>
          <w:color w:val="000000"/>
          <w:szCs w:val="22"/>
        </w:rPr>
        <w:t>Documented</w:t>
      </w:r>
      <w:r w:rsidRPr="00D914D3">
        <w:rPr>
          <w:rFonts w:ascii="Segoe UI Semilight" w:hAnsi="Segoe UI Semilight" w:cs="Segoe UI Semilight"/>
          <w:b/>
          <w:bCs/>
          <w:color w:val="000000"/>
          <w:szCs w:val="22"/>
        </w:rPr>
        <w:t xml:space="preserve"> assumptions for compliance Budget measures</w:t>
      </w:r>
    </w:p>
    <w:p w14:paraId="6DABCECD" w14:textId="615F064A" w:rsidR="00962D9F" w:rsidRPr="000C2D43" w:rsidRDefault="00962D9F" w:rsidP="0089733F">
      <w:pPr>
        <w:pStyle w:val="TBLText"/>
        <w:pBdr>
          <w:top w:val="single" w:sz="4" w:space="1" w:color="auto"/>
          <w:left w:val="single" w:sz="4" w:space="1" w:color="auto"/>
          <w:bottom w:val="single" w:sz="4" w:space="1" w:color="auto"/>
          <w:right w:val="single" w:sz="4" w:space="1" w:color="auto"/>
        </w:pBdr>
        <w:shd w:val="clear" w:color="auto" w:fill="E0E8F2" w:themeFill="background2"/>
      </w:pPr>
      <w:r w:rsidRPr="00F57F22">
        <w:t>That in developing compliance Budget measures, Services Australia and DSS document the basis for the assumptions and inputs used, including th</w:t>
      </w:r>
      <w:r>
        <w:t>e sources of the data relied on</w:t>
      </w:r>
      <w:r w:rsidRPr="00F57F22">
        <w:t>.</w:t>
      </w:r>
    </w:p>
    <w:p w14:paraId="2B46A07C" w14:textId="3EF25E48" w:rsidR="00824E90" w:rsidRPr="00F57F22" w:rsidRDefault="00824E90" w:rsidP="000C2D43">
      <w:pPr>
        <w:pStyle w:val="TBLText"/>
      </w:pPr>
      <w:r w:rsidRPr="00F57F22">
        <w:t xml:space="preserve">The </w:t>
      </w:r>
      <w:r w:rsidRPr="00F57F22">
        <w:rPr>
          <w:bCs/>
        </w:rPr>
        <w:t>Government</w:t>
      </w:r>
      <w:r w:rsidRPr="00F57F22">
        <w:t xml:space="preserve"> </w:t>
      </w:r>
      <w:r w:rsidRPr="00F57F22">
        <w:rPr>
          <w:b/>
          <w:color w:val="000000"/>
        </w:rPr>
        <w:t>accepts</w:t>
      </w:r>
      <w:r w:rsidRPr="00F57F22">
        <w:rPr>
          <w:b/>
          <w:bCs/>
        </w:rPr>
        <w:t xml:space="preserve"> </w:t>
      </w:r>
      <w:r w:rsidRPr="00F57F22">
        <w:t>th</w:t>
      </w:r>
      <w:r w:rsidR="00C85416">
        <w:t>is recommendation.</w:t>
      </w:r>
    </w:p>
    <w:p w14:paraId="1D67C451" w14:textId="77777777" w:rsidR="00824E90" w:rsidRPr="00F57F22" w:rsidRDefault="0053266C" w:rsidP="000C2D43">
      <w:pPr>
        <w:pStyle w:val="TBLText"/>
      </w:pPr>
      <w:r w:rsidRPr="00F57F22">
        <w:t xml:space="preserve">All </w:t>
      </w:r>
      <w:r w:rsidR="001152EF" w:rsidRPr="00F57F22">
        <w:t>Ministers</w:t>
      </w:r>
      <w:r w:rsidR="00394C67" w:rsidRPr="00F57F22">
        <w:t xml:space="preserve">, departments </w:t>
      </w:r>
      <w:r w:rsidR="001152EF" w:rsidRPr="00F57F22">
        <w:t xml:space="preserve">and </w:t>
      </w:r>
      <w:r w:rsidR="00824E90" w:rsidRPr="00F57F22">
        <w:t xml:space="preserve">agencies </w:t>
      </w:r>
      <w:r w:rsidRPr="00F57F22">
        <w:t xml:space="preserve">are expected and required to </w:t>
      </w:r>
      <w:r w:rsidR="00204802" w:rsidRPr="00F57F22">
        <w:t>comply</w:t>
      </w:r>
      <w:r w:rsidR="00824E90" w:rsidRPr="00F57F22">
        <w:t xml:space="preserve"> with the rules outlined </w:t>
      </w:r>
      <w:r w:rsidR="00B243DC" w:rsidRPr="00F57F22">
        <w:t>in</w:t>
      </w:r>
      <w:r w:rsidR="00824E90" w:rsidRPr="00F57F22">
        <w:t xml:space="preserve"> the Cabinet Handbook and the Budget Process Operational Rules when developing </w:t>
      </w:r>
      <w:r w:rsidR="00204802" w:rsidRPr="00F57F22">
        <w:t>new policy proposals and measures</w:t>
      </w:r>
      <w:r w:rsidR="00824E90" w:rsidRPr="00F57F22">
        <w:t xml:space="preserve"> with financial implications.</w:t>
      </w:r>
    </w:p>
    <w:p w14:paraId="108DB873" w14:textId="77777777" w:rsidR="00824E90" w:rsidRPr="00F57F22" w:rsidRDefault="00E34F33" w:rsidP="000C2D43">
      <w:pPr>
        <w:pStyle w:val="TBLText"/>
      </w:pPr>
      <w:r w:rsidRPr="00F57F22">
        <w:t xml:space="preserve">The Department of Social Services and </w:t>
      </w:r>
      <w:r w:rsidR="00824E90" w:rsidRPr="00F57F22">
        <w:t xml:space="preserve">Services Australia </w:t>
      </w:r>
      <w:r w:rsidR="00824E90" w:rsidRPr="00F57F22">
        <w:rPr>
          <w:bCs/>
        </w:rPr>
        <w:t>will</w:t>
      </w:r>
      <w:r w:rsidR="00824E90" w:rsidRPr="00F57F22">
        <w:t xml:space="preserve"> ensure budget initiatives are progressed in consultation with the Department of Finance, </w:t>
      </w:r>
      <w:r w:rsidR="00204802" w:rsidRPr="00F57F22">
        <w:t xml:space="preserve">and </w:t>
      </w:r>
      <w:r w:rsidR="00824E90" w:rsidRPr="00F57F22">
        <w:t>in compliance with the Budget Process Operational Rules</w:t>
      </w:r>
      <w:r w:rsidR="00204802" w:rsidRPr="00F57F22">
        <w:t xml:space="preserve">. </w:t>
      </w:r>
      <w:r w:rsidR="00394C67" w:rsidRPr="00F57F22">
        <w:t>Data sources will be identified, and a</w:t>
      </w:r>
      <w:r w:rsidR="00824E90" w:rsidRPr="00F57F22">
        <w:t xml:space="preserve">ssumptions </w:t>
      </w:r>
      <w:r w:rsidR="00204802" w:rsidRPr="00F57F22">
        <w:t xml:space="preserve">will be required to be documented and provided </w:t>
      </w:r>
      <w:r w:rsidR="00824E90" w:rsidRPr="00F57F22">
        <w:t>in a transparent manner.</w:t>
      </w:r>
    </w:p>
    <w:p w14:paraId="31EFEA92" w14:textId="6F5ADF13" w:rsidR="00592F58" w:rsidRDefault="00ED489D" w:rsidP="009E2FAE">
      <w:pPr>
        <w:pStyle w:val="TBLText"/>
      </w:pPr>
      <w:r w:rsidRPr="00FF4525">
        <w:t xml:space="preserve">The Digital Transformation Agency is also </w:t>
      </w:r>
      <w:r w:rsidR="00754014" w:rsidRPr="00FF4525">
        <w:t>assisting</w:t>
      </w:r>
      <w:r w:rsidRPr="00FF4525">
        <w:t xml:space="preserve"> agencies articulate and measure the benefits of investment in technology, including as th</w:t>
      </w:r>
      <w:r w:rsidR="003648A6" w:rsidRPr="00FF4525">
        <w:t>ey</w:t>
      </w:r>
      <w:r w:rsidRPr="00FF4525">
        <w:t xml:space="preserve"> relate to technology-enabled compliance measures</w:t>
      </w:r>
      <w:r w:rsidRPr="0015025F">
        <w:t>.</w:t>
      </w:r>
      <w:r w:rsidR="00592F58">
        <w:br w:type="page"/>
      </w:r>
    </w:p>
    <w:p w14:paraId="62AD2B0B" w14:textId="136CF1FB" w:rsidR="00962D9F" w:rsidRPr="00D914D3" w:rsidRDefault="00962D9F"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D914D3">
        <w:rPr>
          <w:rFonts w:ascii="Segoe UI Semilight" w:hAnsi="Segoe UI Semilight" w:cs="Segoe UI Semilight"/>
          <w:b/>
          <w:bCs/>
          <w:color w:val="000000"/>
          <w:szCs w:val="22"/>
        </w:rPr>
        <w:t xml:space="preserve">15.6: </w:t>
      </w:r>
      <w:r w:rsidRPr="0089733F">
        <w:rPr>
          <w:rFonts w:ascii="Segoe UI Semilight" w:hAnsi="Segoe UI Semilight" w:cs="Segoe UI Semilight"/>
          <w:b/>
          <w:bCs/>
          <w:color w:val="000000"/>
          <w:szCs w:val="22"/>
        </w:rPr>
        <w:t>Documentation</w:t>
      </w:r>
      <w:r w:rsidRPr="00D914D3">
        <w:rPr>
          <w:rFonts w:ascii="Segoe UI Semilight" w:hAnsi="Segoe UI Semilight" w:cs="Segoe UI Semilight"/>
          <w:b/>
          <w:bCs/>
          <w:color w:val="000000"/>
          <w:szCs w:val="22"/>
        </w:rPr>
        <w:t xml:space="preserve"> on the basis for assumptions provided to Finance </w:t>
      </w:r>
    </w:p>
    <w:p w14:paraId="355165EE" w14:textId="60BDA0EF" w:rsidR="00962D9F" w:rsidRPr="000C2D43" w:rsidRDefault="00962D9F"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szCs w:val="22"/>
        </w:rPr>
        <w:t>T</w:t>
      </w:r>
      <w:r>
        <w:rPr>
          <w:rFonts w:ascii="Segoe UI Semilight" w:hAnsi="Segoe UI Semilight" w:cs="Segoe UI Semilight"/>
          <w:szCs w:val="22"/>
        </w:rPr>
        <w:t xml:space="preserve">hat in </w:t>
      </w:r>
      <w:r w:rsidRPr="00F57F22">
        <w:rPr>
          <w:rFonts w:ascii="Segoe UI Semilight" w:hAnsi="Segoe UI Semilight" w:cs="Segoe UI Semilight"/>
          <w:szCs w:val="22"/>
        </w:rPr>
        <w:t>seeking agreement from Finance for costings of compliance Budget measures, Services Australia and DSS provide Finance with documentation setting out the basis for the assumptions and inputs used, including related data sources, to allow Finance to properly investigate and test those assumptions and inputs.</w:t>
      </w:r>
    </w:p>
    <w:p w14:paraId="738FC2D3" w14:textId="3C8AF373" w:rsidR="00824E90" w:rsidRPr="00F57F22" w:rsidRDefault="00824E90" w:rsidP="000C2D43">
      <w:pPr>
        <w:pStyle w:val="TBLText"/>
      </w:pPr>
      <w:r w:rsidRPr="00F57F22">
        <w:t xml:space="preserve">The </w:t>
      </w:r>
      <w:r w:rsidRPr="00F57F22">
        <w:rPr>
          <w:bCs/>
        </w:rPr>
        <w:t>Government</w:t>
      </w:r>
      <w:r w:rsidRPr="00F57F22">
        <w:t xml:space="preserve"> </w:t>
      </w:r>
      <w:r w:rsidRPr="00F57F22">
        <w:rPr>
          <w:b/>
          <w:color w:val="000000"/>
        </w:rPr>
        <w:t>accepts</w:t>
      </w:r>
      <w:r w:rsidRPr="00F57F22">
        <w:rPr>
          <w:b/>
          <w:bCs/>
        </w:rPr>
        <w:t xml:space="preserve"> </w:t>
      </w:r>
      <w:r w:rsidR="00C85416">
        <w:t>this recommendation.</w:t>
      </w:r>
    </w:p>
    <w:p w14:paraId="370FCE60" w14:textId="77777777" w:rsidR="00824E90" w:rsidRPr="00F57F22" w:rsidRDefault="00D62669" w:rsidP="000C2D43">
      <w:pPr>
        <w:pStyle w:val="TBLText"/>
      </w:pPr>
      <w:r w:rsidRPr="00F57F22">
        <w:t xml:space="preserve">All </w:t>
      </w:r>
      <w:r w:rsidR="00394C67" w:rsidRPr="00F57F22">
        <w:t>Ministers, departments and a</w:t>
      </w:r>
      <w:r w:rsidR="00824E90" w:rsidRPr="00F57F22">
        <w:t xml:space="preserve">gencies </w:t>
      </w:r>
      <w:r w:rsidRPr="00F57F22">
        <w:t xml:space="preserve">are expected and required to </w:t>
      </w:r>
      <w:r w:rsidR="00824E90" w:rsidRPr="00F57F22">
        <w:t>comply</w:t>
      </w:r>
      <w:r w:rsidR="00394C67" w:rsidRPr="00F57F22">
        <w:t xml:space="preserve"> </w:t>
      </w:r>
      <w:r w:rsidR="00824E90" w:rsidRPr="00F57F22">
        <w:t>with the rules outlined within the Cabinet Handbook and the Budget Process Operational Rules when developing</w:t>
      </w:r>
      <w:r w:rsidR="00394C67" w:rsidRPr="00F57F22">
        <w:t xml:space="preserve"> new policy proposals and</w:t>
      </w:r>
      <w:r w:rsidR="00824E90" w:rsidRPr="00F57F22">
        <w:t xml:space="preserve"> measures with financial implications.</w:t>
      </w:r>
    </w:p>
    <w:p w14:paraId="10BCD5B6" w14:textId="5D814F23" w:rsidR="001152EF" w:rsidRDefault="00824E90" w:rsidP="000C2D43">
      <w:pPr>
        <w:pStyle w:val="TBLText"/>
      </w:pPr>
      <w:r w:rsidRPr="00F57F22">
        <w:t xml:space="preserve">The </w:t>
      </w:r>
      <w:r w:rsidRPr="00F57F22">
        <w:rPr>
          <w:bCs/>
        </w:rPr>
        <w:t>Department</w:t>
      </w:r>
      <w:r w:rsidRPr="00F57F22">
        <w:t xml:space="preserve"> of Social Services and Services Australia </w:t>
      </w:r>
      <w:r w:rsidRPr="00F57F22">
        <w:rPr>
          <w:bCs/>
        </w:rPr>
        <w:t>will</w:t>
      </w:r>
      <w:r w:rsidRPr="00F57F22">
        <w:t xml:space="preserve"> ensure budget initiatives are progressed in consultation with the Department of Finance,</w:t>
      </w:r>
      <w:r w:rsidR="00394C67" w:rsidRPr="00F57F22">
        <w:t xml:space="preserve"> and</w:t>
      </w:r>
      <w:r w:rsidRPr="00F57F22">
        <w:t xml:space="preserve"> in com</w:t>
      </w:r>
      <w:r w:rsidR="00B243DC" w:rsidRPr="00F57F22">
        <w:t>pliance with the Budget Process</w:t>
      </w:r>
      <w:r w:rsidRPr="00F57F22">
        <w:t xml:space="preserve"> Operational Rules</w:t>
      </w:r>
      <w:r w:rsidR="00394C67" w:rsidRPr="00F57F22">
        <w:t>. Data sources will be identified, and assumptions and inputs will be provided for compliance measures. These will be required to be documented and provided in a transparent manner.</w:t>
      </w:r>
    </w:p>
    <w:p w14:paraId="106A847D" w14:textId="088D8A58" w:rsidR="00962D9F" w:rsidRPr="00D914D3" w:rsidRDefault="00962D9F"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16.1: Legal advice on end-to-end data exchanges</w:t>
      </w:r>
    </w:p>
    <w:p w14:paraId="61695B04" w14:textId="7221D421" w:rsidR="00962D9F" w:rsidRPr="000C2D43" w:rsidRDefault="00962D9F"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szCs w:val="22"/>
        </w:rPr>
        <w:t>T</w:t>
      </w:r>
      <w:r w:rsidRPr="00F57F22">
        <w:rPr>
          <w:rFonts w:ascii="Segoe UI Semilight" w:hAnsi="Segoe UI Semilight" w:cs="Segoe UI Semilight"/>
          <w:color w:val="000000"/>
          <w:szCs w:val="22"/>
        </w:rPr>
        <w:t>he Commonwealth should seek legal advice on the end-to-end data exchange processes which are currently operating between Services Australia and the ATO to ensure they are lawful.</w:t>
      </w:r>
    </w:p>
    <w:p w14:paraId="054054DC" w14:textId="70430873" w:rsidR="00824E90" w:rsidRPr="00F57F22" w:rsidRDefault="00824E90" w:rsidP="000C2D43">
      <w:pPr>
        <w:pStyle w:val="TBLText"/>
      </w:pPr>
      <w:r w:rsidRPr="00F57F22">
        <w:t xml:space="preserve">The Government </w:t>
      </w:r>
      <w:r w:rsidRPr="00F57F22">
        <w:rPr>
          <w:b/>
        </w:rPr>
        <w:t xml:space="preserve">accepts </w:t>
      </w:r>
      <w:r w:rsidRPr="00F57F22">
        <w:t>this</w:t>
      </w:r>
      <w:r w:rsidR="00C85416">
        <w:t xml:space="preserve"> recommendation.</w:t>
      </w:r>
    </w:p>
    <w:p w14:paraId="0DF3F2B3" w14:textId="77777777" w:rsidR="00824E90" w:rsidRPr="00F57F22" w:rsidRDefault="00824E90" w:rsidP="000C2D43">
      <w:pPr>
        <w:pStyle w:val="TBLText"/>
      </w:pPr>
      <w:r w:rsidRPr="00F57F22">
        <w:t xml:space="preserve">The collection, use, storage and disclosure of personal information is fundamental to the effective administration of </w:t>
      </w:r>
      <w:r w:rsidR="00497AC7" w:rsidRPr="00F57F22">
        <w:t>g</w:t>
      </w:r>
      <w:r w:rsidRPr="00F57F22">
        <w:t xml:space="preserve">overnment agencies and departments. It is therefore critical the public </w:t>
      </w:r>
      <w:r w:rsidR="008D3F70">
        <w:t xml:space="preserve">have </w:t>
      </w:r>
      <w:r w:rsidRPr="00F57F22">
        <w:t xml:space="preserve">trust and confidence that agencies and departments </w:t>
      </w:r>
      <w:r w:rsidR="008D3F70">
        <w:t xml:space="preserve">are </w:t>
      </w:r>
      <w:r w:rsidRPr="00F57F22">
        <w:t>adher</w:t>
      </w:r>
      <w:r w:rsidR="008D3F70">
        <w:t>ing</w:t>
      </w:r>
      <w:r w:rsidRPr="00F57F22">
        <w:t xml:space="preserve"> to the robust legislative frameworks in place which protect personal privacy.</w:t>
      </w:r>
    </w:p>
    <w:p w14:paraId="75A952F8" w14:textId="7ACD8B7A" w:rsidR="00824E90" w:rsidRPr="00F57F22" w:rsidRDefault="00824E90" w:rsidP="000C2D43">
      <w:pPr>
        <w:pStyle w:val="TBLText"/>
      </w:pPr>
      <w:r w:rsidRPr="00F57F22">
        <w:t xml:space="preserve">Government agencies and departments have obligations </w:t>
      </w:r>
      <w:r w:rsidR="008D3F70">
        <w:t xml:space="preserve">to protect an individual’s information </w:t>
      </w:r>
      <w:r w:rsidRPr="00F57F22">
        <w:t xml:space="preserve">under the </w:t>
      </w:r>
      <w:r w:rsidRPr="00F57F22">
        <w:rPr>
          <w:i/>
        </w:rPr>
        <w:t>Privacy Act 1988</w:t>
      </w:r>
      <w:r w:rsidR="00592F58">
        <w:rPr>
          <w:i/>
        </w:rPr>
        <w:t xml:space="preserve"> </w:t>
      </w:r>
      <w:r w:rsidR="00592F58" w:rsidRPr="0065101F">
        <w:t>(Cth)</w:t>
      </w:r>
      <w:r w:rsidRPr="00F57F22">
        <w:t>, th</w:t>
      </w:r>
      <w:r w:rsidR="00C70AFD" w:rsidRPr="00F57F22">
        <w:t>e Australian </w:t>
      </w:r>
      <w:r w:rsidRPr="00F57F22">
        <w:t>Privacy Principles and relevant guidelines issued by the Office of the</w:t>
      </w:r>
      <w:r w:rsidR="00AA6DC6" w:rsidRPr="00F57F22">
        <w:t xml:space="preserve"> Australian</w:t>
      </w:r>
      <w:r w:rsidRPr="00F57F22">
        <w:t xml:space="preserve"> Information Commissioner. Recognising the importance the protection of personal information has in the administration of the tax and social security systems, the </w:t>
      </w:r>
      <w:r w:rsidRPr="00F57F22">
        <w:rPr>
          <w:i/>
        </w:rPr>
        <w:t>Taxation Administration Act 1953</w:t>
      </w:r>
      <w:r w:rsidRPr="00F57F22">
        <w:t xml:space="preserve"> </w:t>
      </w:r>
      <w:r w:rsidR="00592F58" w:rsidRPr="000B722F">
        <w:t>(Cth)</w:t>
      </w:r>
      <w:r w:rsidR="00592F58">
        <w:t xml:space="preserve"> </w:t>
      </w:r>
      <w:r w:rsidRPr="00F57F22">
        <w:t xml:space="preserve">and </w:t>
      </w:r>
      <w:r w:rsidRPr="00F57F22">
        <w:rPr>
          <w:i/>
        </w:rPr>
        <w:t>Social Security (Administration) Act 1999</w:t>
      </w:r>
      <w:r w:rsidRPr="00F57F22">
        <w:t xml:space="preserve"> </w:t>
      </w:r>
      <w:r w:rsidR="00592F58" w:rsidRPr="000B722F">
        <w:t>(Cth)</w:t>
      </w:r>
      <w:r w:rsidR="00592F58">
        <w:t xml:space="preserve"> </w:t>
      </w:r>
      <w:r w:rsidRPr="00F57F22">
        <w:t>also contain provisions that protect an individual’s information.</w:t>
      </w:r>
    </w:p>
    <w:p w14:paraId="06AD6991" w14:textId="3D4684DD" w:rsidR="00B172C6" w:rsidRPr="00F57F22" w:rsidRDefault="00EF4B9F" w:rsidP="000C2D43">
      <w:pPr>
        <w:pStyle w:val="TBLText"/>
      </w:pPr>
      <w:r w:rsidRPr="00F57F22">
        <w:t>The A</w:t>
      </w:r>
      <w:r w:rsidR="00AD14A8">
        <w:t xml:space="preserve">ustralian </w:t>
      </w:r>
      <w:r w:rsidRPr="00F57F22">
        <w:t>T</w:t>
      </w:r>
      <w:r w:rsidR="00AD14A8">
        <w:t xml:space="preserve">axation </w:t>
      </w:r>
      <w:r w:rsidRPr="00F57F22">
        <w:t>O</w:t>
      </w:r>
      <w:r w:rsidR="00AD14A8">
        <w:t>ffice</w:t>
      </w:r>
      <w:r w:rsidRPr="00F57F22">
        <w:t xml:space="preserve"> and Services Australia have obtained independent, external legal advice in respect of the P</w:t>
      </w:r>
      <w:r w:rsidR="00592F58">
        <w:t xml:space="preserve">ay </w:t>
      </w:r>
      <w:r w:rsidRPr="00F57F22">
        <w:t>A</w:t>
      </w:r>
      <w:r w:rsidR="00592F58">
        <w:t xml:space="preserve">s </w:t>
      </w:r>
      <w:r w:rsidRPr="00F57F22">
        <w:t>Y</w:t>
      </w:r>
      <w:r w:rsidR="00592F58">
        <w:t xml:space="preserve">ou </w:t>
      </w:r>
      <w:r w:rsidRPr="00F57F22">
        <w:t>G</w:t>
      </w:r>
      <w:r w:rsidR="00592F58">
        <w:t>o (PAYG)</w:t>
      </w:r>
      <w:r w:rsidRPr="00F57F22">
        <w:t xml:space="preserve"> and Single Touch Payroll (STP) data exchange programs, which confirm that both agencies are complying with the required legislative frameworks governing each aspect of the data exchange, specifically</w:t>
      </w:r>
      <w:r w:rsidR="008D3F70">
        <w:t>,</w:t>
      </w:r>
      <w:r w:rsidRPr="00F57F22">
        <w:t xml:space="preserve"> the confidentiality and T</w:t>
      </w:r>
      <w:r w:rsidR="00592F58">
        <w:t xml:space="preserve">ax </w:t>
      </w:r>
      <w:r w:rsidRPr="00F57F22">
        <w:t>F</w:t>
      </w:r>
      <w:r w:rsidR="00592F58">
        <w:t xml:space="preserve">ile </w:t>
      </w:r>
      <w:r w:rsidRPr="00F57F22">
        <w:t>N</w:t>
      </w:r>
      <w:r w:rsidR="00592F58">
        <w:t>umber (TFN)</w:t>
      </w:r>
      <w:r w:rsidRPr="00F57F22">
        <w:t xml:space="preserve"> provisions in the </w:t>
      </w:r>
      <w:r w:rsidRPr="00CF13C2">
        <w:rPr>
          <w:i/>
        </w:rPr>
        <w:t>Taxation Administration Act 1953</w:t>
      </w:r>
      <w:r w:rsidRPr="00F57F22">
        <w:t xml:space="preserve">, the confidentiality provisions of the </w:t>
      </w:r>
      <w:r w:rsidRPr="00CF13C2">
        <w:rPr>
          <w:i/>
        </w:rPr>
        <w:t>Social Security (Administration) Act 1999</w:t>
      </w:r>
      <w:r w:rsidRPr="00F57F22">
        <w:t xml:space="preserve">, and the </w:t>
      </w:r>
      <w:r w:rsidRPr="00CF13C2">
        <w:rPr>
          <w:i/>
        </w:rPr>
        <w:t>Privac</w:t>
      </w:r>
      <w:r w:rsidRPr="00134690">
        <w:rPr>
          <w:i/>
        </w:rPr>
        <w:t>y Act 1988</w:t>
      </w:r>
      <w:r w:rsidRPr="00F57F22">
        <w:t>.</w:t>
      </w:r>
    </w:p>
    <w:p w14:paraId="16574463" w14:textId="63C9C91C" w:rsidR="00962D9F" w:rsidRPr="00D914D3" w:rsidRDefault="00962D9F"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16.2: Review and strengthen governance of data-matching programs</w:t>
      </w:r>
    </w:p>
    <w:p w14:paraId="09279D8B" w14:textId="77777777" w:rsidR="00962D9F" w:rsidRPr="00F57F22" w:rsidRDefault="00962D9F"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color w:val="000000"/>
          <w:szCs w:val="22"/>
        </w:rPr>
      </w:pPr>
      <w:r w:rsidRPr="00F57F22">
        <w:rPr>
          <w:rFonts w:ascii="Segoe UI Semilight" w:hAnsi="Segoe UI Semilight" w:cs="Segoe UI Semilight"/>
          <w:color w:val="000000"/>
          <w:szCs w:val="22"/>
        </w:rPr>
        <w:t>The ATO and DHS should take immediate steps to review and strengthen their operational governance practices as applied to jointly conducted data-matching programs. This should include:</w:t>
      </w:r>
    </w:p>
    <w:p w14:paraId="2E1B5B47" w14:textId="77777777" w:rsidR="00962D9F" w:rsidRDefault="00962D9F" w:rsidP="00962D9F">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962D9F">
        <w:rPr>
          <w:rFonts w:ascii="Segoe UI Semilight" w:hAnsi="Segoe UI Semilight" w:cs="Segoe UI Semilight"/>
          <w:color w:val="000000"/>
          <w:szCs w:val="22"/>
        </w:rPr>
        <w:t>reviews to ensure that all steps and operations relating to existing or proposed data-matching programs are properly documented</w:t>
      </w:r>
    </w:p>
    <w:p w14:paraId="5D2F1668" w14:textId="77777777" w:rsidR="00962D9F" w:rsidRDefault="00962D9F" w:rsidP="00962D9F">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a review of all existing framework documents for existing or proposed data-matching programs</w:t>
      </w:r>
    </w:p>
    <w:p w14:paraId="77DCD001" w14:textId="77777777" w:rsidR="00962D9F" w:rsidRDefault="00962D9F" w:rsidP="00962D9F">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a review of the operations of the ATO/DHS Consultative Forum and the ATO/DHS Data Management Forum</w:t>
      </w:r>
    </w:p>
    <w:p w14:paraId="4E38C1A6" w14:textId="77777777" w:rsidR="00962D9F" w:rsidRPr="00962D9F" w:rsidRDefault="00962D9F" w:rsidP="00962D9F">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szCs w:val="22"/>
        </w:rPr>
      </w:pPr>
      <w:r w:rsidRPr="00F57F22">
        <w:rPr>
          <w:rFonts w:ascii="Segoe UI Semilight" w:hAnsi="Segoe UI Semilight" w:cs="Segoe UI Semilight"/>
          <w:color w:val="000000"/>
          <w:szCs w:val="22"/>
        </w:rPr>
        <w:t>a review of the existing Head Agreement/s, Memoranda of Understanding and Services Schedule</w:t>
      </w:r>
    </w:p>
    <w:p w14:paraId="331A6DE1" w14:textId="1F829E9E" w:rsidR="00962D9F" w:rsidRPr="00962D9F" w:rsidRDefault="00962D9F" w:rsidP="000C2D43">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szCs w:val="22"/>
        </w:rPr>
      </w:pPr>
      <w:r w:rsidRPr="00F57F22">
        <w:rPr>
          <w:rFonts w:ascii="Segoe UI Semilight" w:hAnsi="Segoe UI Semilight" w:cs="Segoe UI Semilight"/>
          <w:color w:val="000000"/>
          <w:szCs w:val="22"/>
        </w:rPr>
        <w:t>a joint review of any existing or proposed data-matching program protocols to ensure they are legally compliant in respect of their provision for the data exchanges contemplated for the relevant data-matching program.</w:t>
      </w:r>
    </w:p>
    <w:p w14:paraId="3801F3D2" w14:textId="1A3B3BDF" w:rsidR="00037BC7" w:rsidRPr="00F57F22" w:rsidRDefault="00037BC7" w:rsidP="000C2D43">
      <w:pPr>
        <w:pStyle w:val="TBLText"/>
      </w:pPr>
      <w:r w:rsidRPr="00F57F22">
        <w:t xml:space="preserve">The Government </w:t>
      </w:r>
      <w:r w:rsidRPr="00F57F22">
        <w:rPr>
          <w:b/>
        </w:rPr>
        <w:t xml:space="preserve">accepts </w:t>
      </w:r>
      <w:r w:rsidRPr="00F57F22">
        <w:t>this recommendation.</w:t>
      </w:r>
    </w:p>
    <w:p w14:paraId="460F8F9B" w14:textId="77777777" w:rsidR="00037BC7" w:rsidRPr="00F57F22" w:rsidRDefault="00037BC7" w:rsidP="000C2D43">
      <w:pPr>
        <w:pStyle w:val="TBLText"/>
      </w:pPr>
      <w:r w:rsidRPr="00F57F22">
        <w:t xml:space="preserve">The Government recognises the importance governance frameworks have in providing an effective level of oversight of joint programs operating between government agencies. </w:t>
      </w:r>
      <w:r w:rsidR="008D3F70">
        <w:t>These</w:t>
      </w:r>
      <w:r w:rsidR="008D3F70" w:rsidRPr="00F57F22">
        <w:t xml:space="preserve"> </w:t>
      </w:r>
      <w:r w:rsidRPr="00F57F22">
        <w:t>frameworks provide agencies with appropriate issues resolution pathways, clearly articulate the objectives of the arrangement and outline the expectations and responsibilities of each party.</w:t>
      </w:r>
    </w:p>
    <w:p w14:paraId="04A1EF71" w14:textId="77777777" w:rsidR="00037BC7" w:rsidRPr="00F57F22" w:rsidRDefault="00037BC7" w:rsidP="000C2D43">
      <w:pPr>
        <w:pStyle w:val="TBLText"/>
      </w:pPr>
      <w:r w:rsidRPr="00F57F22">
        <w:t xml:space="preserve">The Australian Taxation Office and Services Australia </w:t>
      </w:r>
      <w:r w:rsidR="0043244F" w:rsidRPr="00F57F22">
        <w:t xml:space="preserve">are </w:t>
      </w:r>
      <w:r w:rsidRPr="00F57F22">
        <w:t>review</w:t>
      </w:r>
      <w:r w:rsidR="0043244F" w:rsidRPr="00F57F22">
        <w:t>ing</w:t>
      </w:r>
      <w:r w:rsidRPr="00F57F22">
        <w:t xml:space="preserve"> all existing data exchanges operating between the agencies to ensure all legal and ethical requirements are met, and that the governance arrangements and supporting framework documentation, including Memoranda of Understanding and joint forum terms of reference, are in place and accurately reflect the processes and procedures of the exchange.</w:t>
      </w:r>
    </w:p>
    <w:p w14:paraId="6D8FBBD7" w14:textId="28C6832B" w:rsidR="002110A1" w:rsidRDefault="00037BC7" w:rsidP="009E2FAE">
      <w:pPr>
        <w:pStyle w:val="TBLText"/>
      </w:pPr>
      <w:r w:rsidRPr="00F57F22">
        <w:t>The Australian Taxation Office and Services Australia will review new and existing data sharing arrangements in line with guidance material issued by the Office of the</w:t>
      </w:r>
      <w:r w:rsidR="00AA6DC6" w:rsidRPr="00F57F22">
        <w:t xml:space="preserve"> Australian</w:t>
      </w:r>
      <w:r w:rsidRPr="00F57F22">
        <w:t xml:space="preserve"> Information Commissioner and the Office of the National Data Commissioner</w:t>
      </w:r>
      <w:r w:rsidR="008D3F70">
        <w:t>,</w:t>
      </w:r>
      <w:r w:rsidRPr="00F57F22">
        <w:t xml:space="preserve"> and will consult with</w:t>
      </w:r>
      <w:r w:rsidR="00D037E0" w:rsidRPr="00F57F22">
        <w:t xml:space="preserve"> these</w:t>
      </w:r>
      <w:r w:rsidRPr="00F57F22">
        <w:t xml:space="preserve"> oversight bodies where required.</w:t>
      </w:r>
      <w:r w:rsidR="002110A1">
        <w:br w:type="page"/>
      </w:r>
    </w:p>
    <w:p w14:paraId="3E89910F" w14:textId="44F5C4D3" w:rsidR="002110A1" w:rsidRPr="00D914D3" w:rsidRDefault="002110A1"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17.1: Reform of legislation and implementation of regulation</w:t>
      </w:r>
    </w:p>
    <w:p w14:paraId="7D70F6B0" w14:textId="77777777" w:rsidR="002110A1" w:rsidRPr="002110A1" w:rsidRDefault="002110A1"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color w:val="000000"/>
          <w:szCs w:val="22"/>
        </w:rPr>
      </w:pPr>
      <w:r w:rsidRPr="002110A1">
        <w:rPr>
          <w:rFonts w:ascii="Segoe UI Semilight" w:hAnsi="Segoe UI Semilight" w:cs="Segoe UI Semilight"/>
          <w:color w:val="000000"/>
          <w:szCs w:val="22"/>
        </w:rPr>
        <w:t>The Commonwealth should consider legislative reform to introduce a consistent legal framework in which automation in government services can operate. Where automated decision-making is implemented:</w:t>
      </w:r>
    </w:p>
    <w:p w14:paraId="69932FCF" w14:textId="77777777" w:rsidR="002110A1" w:rsidRDefault="002110A1" w:rsidP="0089733F">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 xml:space="preserve">there should be a clear path for those affected by decisions to seek review </w:t>
      </w:r>
    </w:p>
    <w:p w14:paraId="3A583B33" w14:textId="6FFFD78D" w:rsidR="002110A1" w:rsidRDefault="002110A1" w:rsidP="0089733F">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departmental websites should contain information advising that automated decision-making is used and explaining in plain language how the process works</w:t>
      </w:r>
    </w:p>
    <w:p w14:paraId="45E19B67" w14:textId="0DE7FDA2" w:rsidR="002110A1" w:rsidRDefault="002110A1" w:rsidP="002110A1">
      <w:pPr>
        <w:pStyle w:val="ListParagraph"/>
        <w:numPr>
          <w:ilvl w:val="0"/>
          <w:numId w:val="60"/>
        </w:numPr>
        <w:pBdr>
          <w:top w:val="single" w:sz="4" w:space="1" w:color="auto"/>
          <w:left w:val="single" w:sz="4" w:space="1" w:color="auto"/>
          <w:bottom w:val="single" w:sz="4" w:space="1" w:color="auto"/>
          <w:right w:val="single" w:sz="4" w:space="1" w:color="auto"/>
        </w:pBdr>
        <w:shd w:val="clear" w:color="auto" w:fill="E0E8F2" w:themeFill="background2"/>
        <w:ind w:left="284" w:hanging="284"/>
      </w:pPr>
      <w:r w:rsidRPr="00F57F22">
        <w:rPr>
          <w:rFonts w:ascii="Segoe UI Semilight" w:hAnsi="Segoe UI Semilight" w:cs="Segoe UI Semilight"/>
          <w:color w:val="000000"/>
          <w:szCs w:val="22"/>
        </w:rPr>
        <w:t>business rules and algorithms should be made available, to enable independent expert scrutiny.</w:t>
      </w:r>
    </w:p>
    <w:p w14:paraId="411450A6" w14:textId="318235B8" w:rsidR="00DC1B8B" w:rsidRPr="00F57F22" w:rsidRDefault="00DC1B8B" w:rsidP="000C2D43">
      <w:pPr>
        <w:pStyle w:val="TBLText"/>
      </w:pPr>
      <w:r w:rsidRPr="00F57F22">
        <w:t xml:space="preserve">The Government </w:t>
      </w:r>
      <w:r w:rsidRPr="00F57F22">
        <w:rPr>
          <w:b/>
          <w:color w:val="000000"/>
        </w:rPr>
        <w:t>accepts</w:t>
      </w:r>
      <w:r w:rsidRPr="00F57F22">
        <w:rPr>
          <w:b/>
        </w:rPr>
        <w:t xml:space="preserve"> </w:t>
      </w:r>
      <w:r w:rsidR="00C85416">
        <w:t>this recommendation.</w:t>
      </w:r>
    </w:p>
    <w:p w14:paraId="57B97262" w14:textId="77777777" w:rsidR="00DC1B8B" w:rsidRPr="00F57F22" w:rsidRDefault="00DC1B8B" w:rsidP="000C2D43">
      <w:pPr>
        <w:pStyle w:val="TBLText"/>
      </w:pPr>
      <w:r w:rsidRPr="00F57F22">
        <w:t>The safe and responsible development and deployment of automated decision</w:t>
      </w:r>
      <w:r w:rsidR="00F0336F">
        <w:t>-</w:t>
      </w:r>
      <w:r w:rsidRPr="00F57F22">
        <w:t xml:space="preserve">making provides important opportunities to deliver timely and efficient services for Australians. </w:t>
      </w:r>
    </w:p>
    <w:p w14:paraId="6230681C" w14:textId="77777777" w:rsidR="00DC1B8B" w:rsidRPr="00F57F22" w:rsidRDefault="00DC1B8B" w:rsidP="000C2D43">
      <w:pPr>
        <w:pStyle w:val="TBLText"/>
      </w:pPr>
      <w:r w:rsidRPr="00F57F22">
        <w:t xml:space="preserve">The Government will consider </w:t>
      </w:r>
      <w:r w:rsidR="00850743" w:rsidRPr="00F57F22">
        <w:t xml:space="preserve">opportunities for </w:t>
      </w:r>
      <w:r w:rsidRPr="00F57F22">
        <w:t>legislative reform to introduce a consistent legal framework in which automation in government services can operate</w:t>
      </w:r>
      <w:r w:rsidR="00D457F1" w:rsidRPr="00F57F22">
        <w:t xml:space="preserve"> </w:t>
      </w:r>
      <w:r w:rsidR="00FB28AB">
        <w:t xml:space="preserve">ethically, without bias and </w:t>
      </w:r>
      <w:r w:rsidR="00D457F1" w:rsidRPr="00F57F22">
        <w:t>with appropriate safeguards</w:t>
      </w:r>
      <w:r w:rsidRPr="00F57F22">
        <w:t>, which will include consideration of:</w:t>
      </w:r>
    </w:p>
    <w:p w14:paraId="7616DFEC" w14:textId="77777777" w:rsidR="00DC1B8B" w:rsidRPr="00F57F22" w:rsidRDefault="00DC1B8B" w:rsidP="000C2D43">
      <w:pPr>
        <w:pStyle w:val="TBLText"/>
        <w:numPr>
          <w:ilvl w:val="0"/>
          <w:numId w:val="57"/>
        </w:numPr>
      </w:pPr>
      <w:r w:rsidRPr="00F57F22">
        <w:t>review pathways for those affected by decisions, and</w:t>
      </w:r>
    </w:p>
    <w:p w14:paraId="66996295" w14:textId="77777777" w:rsidR="00FB28AB" w:rsidRDefault="00DC1B8B" w:rsidP="000C2D43">
      <w:pPr>
        <w:pStyle w:val="TBLText"/>
        <w:numPr>
          <w:ilvl w:val="0"/>
          <w:numId w:val="57"/>
        </w:numPr>
      </w:pPr>
      <w:r w:rsidRPr="00F57F22">
        <w:t>transparency about the use of automated decision-making, and how such decision-making processes operate, for persons affected by decisions</w:t>
      </w:r>
      <w:r w:rsidR="00822C04">
        <w:t xml:space="preserve"> and to enable independent scrutiny</w:t>
      </w:r>
      <w:r w:rsidR="00FB28AB" w:rsidRPr="00323A7E">
        <w:t>.</w:t>
      </w:r>
    </w:p>
    <w:p w14:paraId="27067BCE" w14:textId="2DEE638E" w:rsidR="005F4D33" w:rsidRDefault="00101522" w:rsidP="009E2FAE">
      <w:pPr>
        <w:rPr>
          <w:rFonts w:ascii="Segoe UI Semilight" w:hAnsi="Segoe UI Semilight" w:cs="Segoe UI Semilight"/>
          <w:szCs w:val="22"/>
        </w:rPr>
      </w:pPr>
      <w:r>
        <w:rPr>
          <w:rFonts w:ascii="Segoe UI Semilight" w:hAnsi="Segoe UI Semilight" w:cs="Segoe UI Semilight"/>
          <w:szCs w:val="22"/>
        </w:rPr>
        <w:t>The</w:t>
      </w:r>
      <w:r w:rsidR="00DB5EEB" w:rsidRPr="00FB28AB">
        <w:rPr>
          <w:rFonts w:ascii="Segoe UI Semilight" w:hAnsi="Segoe UI Semilight" w:cs="Segoe UI Semilight"/>
          <w:szCs w:val="22"/>
        </w:rPr>
        <w:t xml:space="preserve"> reforms agreed to in the Government response to the Privacy Act Review Report, released </w:t>
      </w:r>
      <w:r w:rsidR="00543D2F" w:rsidRPr="00FB28AB">
        <w:rPr>
          <w:rFonts w:ascii="Segoe UI Semilight" w:hAnsi="Segoe UI Semilight" w:cs="Segoe UI Semilight"/>
          <w:szCs w:val="22"/>
        </w:rPr>
        <w:t>28 September 2023</w:t>
      </w:r>
      <w:r w:rsidR="00DB5EEB" w:rsidRPr="00FB28AB">
        <w:rPr>
          <w:rFonts w:ascii="Segoe UI Semilight" w:hAnsi="Segoe UI Semilight" w:cs="Segoe UI Semilight"/>
          <w:szCs w:val="22"/>
        </w:rPr>
        <w:t>,</w:t>
      </w:r>
      <w:r>
        <w:rPr>
          <w:rFonts w:ascii="Segoe UI Semilight" w:hAnsi="Segoe UI Semilight" w:cs="Segoe UI Semilight"/>
          <w:szCs w:val="22"/>
        </w:rPr>
        <w:t xml:space="preserve"> will also</w:t>
      </w:r>
      <w:r w:rsidR="00DB5EEB" w:rsidRPr="00FB28AB">
        <w:rPr>
          <w:rFonts w:ascii="Segoe UI Semilight" w:hAnsi="Segoe UI Semilight" w:cs="Segoe UI Semilight"/>
          <w:szCs w:val="22"/>
        </w:rPr>
        <w:t xml:space="preserve"> increase the transparency and integrity of decisions made using automated decision</w:t>
      </w:r>
      <w:r w:rsidR="00F0336F">
        <w:rPr>
          <w:rFonts w:ascii="Segoe UI Semilight" w:hAnsi="Segoe UI Semilight" w:cs="Segoe UI Semilight"/>
          <w:szCs w:val="22"/>
        </w:rPr>
        <w:t>-</w:t>
      </w:r>
      <w:r w:rsidR="00DB5EEB" w:rsidRPr="00FB28AB">
        <w:rPr>
          <w:rFonts w:ascii="Segoe UI Semilight" w:hAnsi="Segoe UI Semilight" w:cs="Segoe UI Semilight"/>
          <w:szCs w:val="22"/>
        </w:rPr>
        <w:t xml:space="preserve">making that uses personal information. Privacy policies will be required to set out the types of personal information used in automated decision-making systems that have a legal or similarly significant effect on </w:t>
      </w:r>
      <w:r w:rsidR="005F4D33">
        <w:rPr>
          <w:rFonts w:ascii="Segoe UI Semilight" w:hAnsi="Segoe UI Semilight" w:cs="Segoe UI Semilight"/>
          <w:szCs w:val="22"/>
        </w:rPr>
        <w:t xml:space="preserve">an </w:t>
      </w:r>
      <w:r w:rsidR="00DB5EEB" w:rsidRPr="00FB28AB">
        <w:rPr>
          <w:rFonts w:ascii="Segoe UI Semilight" w:hAnsi="Segoe UI Semilight" w:cs="Segoe UI Semilight"/>
          <w:szCs w:val="22"/>
        </w:rPr>
        <w:t>individual’s rights. There will also be a right for individuals to request meaningful information about how these decisions are made</w:t>
      </w:r>
      <w:r w:rsidR="00B25E8E" w:rsidRPr="00FB28AB">
        <w:rPr>
          <w:rFonts w:ascii="Segoe UI Semilight" w:hAnsi="Segoe UI Semilight" w:cs="Segoe UI Semilight"/>
          <w:szCs w:val="22"/>
        </w:rPr>
        <w:t>.</w:t>
      </w:r>
      <w:r w:rsidR="00B25E8E" w:rsidRPr="00F57F22">
        <w:rPr>
          <w:rStyle w:val="FootnoteReference"/>
          <w:rFonts w:ascii="Segoe UI Semilight" w:hAnsi="Segoe UI Semilight" w:cs="Segoe UI Semilight"/>
          <w:szCs w:val="22"/>
        </w:rPr>
        <w:footnoteReference w:id="22"/>
      </w:r>
      <w:r w:rsidR="005F4D33">
        <w:rPr>
          <w:rFonts w:ascii="Segoe UI Semilight" w:hAnsi="Segoe UI Semilight" w:cs="Segoe UI Semilight"/>
          <w:szCs w:val="22"/>
        </w:rPr>
        <w:br w:type="page"/>
      </w:r>
    </w:p>
    <w:p w14:paraId="4352F826" w14:textId="7CF4F5A0" w:rsidR="002110A1" w:rsidRPr="00D914D3" w:rsidRDefault="002110A1"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Pr>
          <w:rFonts w:ascii="Segoe UI Semilight" w:hAnsi="Segoe UI Semilight" w:cs="Segoe UI Semilight"/>
          <w:b/>
          <w:bCs/>
          <w:color w:val="000000"/>
          <w:szCs w:val="22"/>
        </w:rPr>
        <w:t>1</w:t>
      </w:r>
      <w:r w:rsidRPr="00F57F22">
        <w:rPr>
          <w:rFonts w:ascii="Segoe UI Semilight" w:hAnsi="Segoe UI Semilight" w:cs="Segoe UI Semilight"/>
          <w:b/>
          <w:bCs/>
          <w:color w:val="000000"/>
          <w:szCs w:val="22"/>
        </w:rPr>
        <w:t>7.2: Establishment of a body to monitor and audit automated decision-making</w:t>
      </w:r>
    </w:p>
    <w:p w14:paraId="6106A36B" w14:textId="64F63CCE" w:rsidR="002110A1" w:rsidRPr="000C2D43" w:rsidRDefault="002110A1"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Commonwealth should consider establishing a body, or expanding an existing body, with the power to monitor and audit automate decision-making processes with regard to their technical aspects and their impact in respect of fairness, the avoiding of bias, and client usability.</w:t>
      </w:r>
    </w:p>
    <w:p w14:paraId="04C6A7D7" w14:textId="77777777" w:rsidR="00DC1B8B" w:rsidRPr="00F57F22" w:rsidRDefault="00DC1B8B" w:rsidP="000C2D43">
      <w:pPr>
        <w:pStyle w:val="TBLText"/>
      </w:pPr>
      <w:r w:rsidRPr="00F57F22">
        <w:t xml:space="preserve">The Government </w:t>
      </w:r>
      <w:r w:rsidRPr="00F57F22">
        <w:rPr>
          <w:b/>
          <w:color w:val="000000"/>
        </w:rPr>
        <w:t>accepts</w:t>
      </w:r>
      <w:r w:rsidRPr="00F57F22">
        <w:rPr>
          <w:b/>
        </w:rPr>
        <w:t xml:space="preserve"> </w:t>
      </w:r>
      <w:r w:rsidRPr="00F57F22">
        <w:t>this recommendation.</w:t>
      </w:r>
    </w:p>
    <w:p w14:paraId="25734FCF" w14:textId="561A6972" w:rsidR="00DC7A4E" w:rsidRPr="00F57F22" w:rsidRDefault="00DC1B8B" w:rsidP="000C2D43">
      <w:pPr>
        <w:pStyle w:val="TBLText"/>
      </w:pPr>
      <w:r w:rsidRPr="00F57F22">
        <w:t>The Government</w:t>
      </w:r>
      <w:r w:rsidR="00DD6AF3" w:rsidRPr="00F57F22">
        <w:t xml:space="preserve"> agrees that ethical considerations</w:t>
      </w:r>
      <w:r w:rsidR="00BF60A4" w:rsidRPr="00F57F22">
        <w:t xml:space="preserve"> and principles of administrative law</w:t>
      </w:r>
      <w:r w:rsidR="00DD6AF3" w:rsidRPr="00F57F22">
        <w:t xml:space="preserve"> must be taken into account in the design of automated decision</w:t>
      </w:r>
      <w:r w:rsidR="00F0336F">
        <w:t>-</w:t>
      </w:r>
      <w:r w:rsidR="00DD6AF3" w:rsidRPr="00F57F22">
        <w:t>making processes and there should be proper oversight of these arrangements.</w:t>
      </w:r>
    </w:p>
    <w:p w14:paraId="72796EE7" w14:textId="71486803" w:rsidR="00DC7A4E" w:rsidRPr="00F57F22" w:rsidRDefault="00DC7A4E" w:rsidP="000C2D43">
      <w:pPr>
        <w:pStyle w:val="TBLText"/>
      </w:pPr>
      <w:r w:rsidRPr="00F57F22">
        <w:t xml:space="preserve">The </w:t>
      </w:r>
      <w:r w:rsidR="00AA7A55" w:rsidRPr="00F57F22">
        <w:t>G</w:t>
      </w:r>
      <w:r w:rsidRPr="00F57F22">
        <w:t xml:space="preserve">overnment will ensure there is appropriate oversight of the use of automation in service delivery. This includes oversight of technical aspects to identify potential bias and ensure the use of automated </w:t>
      </w:r>
      <w:r w:rsidR="000367EA" w:rsidRPr="00F57F22">
        <w:t>decision-</w:t>
      </w:r>
      <w:r w:rsidRPr="00F57F22">
        <w:t xml:space="preserve">making or artificial intelligence is ethical and in accordance with legislative protections. In implementing this recommendation, the </w:t>
      </w:r>
      <w:r w:rsidR="00AA7A55" w:rsidRPr="00F57F22">
        <w:t>G</w:t>
      </w:r>
      <w:r w:rsidRPr="00F57F22">
        <w:t>overnment will consider establishing a body, or expanding the functions of an existing body, with the power to monitor and audit automated decision-making processes.</w:t>
      </w:r>
    </w:p>
    <w:p w14:paraId="2581E50B" w14:textId="1EBB080B" w:rsidR="00DD6AF3" w:rsidRPr="00F57F22" w:rsidRDefault="00A00B15" w:rsidP="000C2D43">
      <w:pPr>
        <w:pStyle w:val="TBLText"/>
        <w:rPr>
          <w:lang w:eastAsia="en-AU"/>
        </w:rPr>
      </w:pPr>
      <w:r w:rsidRPr="00F57F22">
        <w:t>The Government will examine existing regulatory frameworks that provide safeguards for artificial intelligence and automated decision</w:t>
      </w:r>
      <w:r w:rsidR="00EC2F2F">
        <w:t>-</w:t>
      </w:r>
      <w:r w:rsidRPr="00F57F22">
        <w:t>making to ensure a consistent legal, ethical and governance framework in which automation in government services can operate with appropriate safeguards.</w:t>
      </w:r>
    </w:p>
    <w:p w14:paraId="4E5AF1EB" w14:textId="29B08A73" w:rsidR="005F4D33" w:rsidRDefault="00514D92" w:rsidP="009E2FAE">
      <w:pPr>
        <w:pStyle w:val="TBLText"/>
      </w:pPr>
      <w:r w:rsidRPr="00F57F22">
        <w:t xml:space="preserve">The Government commits to ensuring new technologies are integrated in a safe and responsible manner. </w:t>
      </w:r>
      <w:r w:rsidR="00A00B15" w:rsidRPr="00F57F22" w:rsidDel="00E64F48">
        <w:t>The Government's Data and Digital Government Strategy</w:t>
      </w:r>
      <w:r w:rsidR="00A00B15" w:rsidRPr="00F57F22" w:rsidDel="00E64F48">
        <w:rPr>
          <w:rStyle w:val="FootnoteReference"/>
        </w:rPr>
        <w:footnoteReference w:id="23"/>
      </w:r>
      <w:r w:rsidR="00A00B15" w:rsidRPr="00F57F22" w:rsidDel="00E64F48">
        <w:t xml:space="preserve"> </w:t>
      </w:r>
      <w:r w:rsidR="00A00B15" w:rsidRPr="00F57F22">
        <w:t xml:space="preserve">includes a Government commitment to empower departments and agencies to safely engage with emerging technologies like artificial intelligence and ensure they remain transparent about how these technologies are used in the functioning of government and the delivery of government programs, payments and services. Governance of automated decision-making will also be further considered as part of current work to develop appropriate </w:t>
      </w:r>
      <w:r w:rsidR="005F4D33" w:rsidRPr="00F57F22">
        <w:t>whole</w:t>
      </w:r>
      <w:r w:rsidR="005F4D33">
        <w:t>-</w:t>
      </w:r>
      <w:r w:rsidR="005F4D33" w:rsidRPr="00F57F22">
        <w:t>of</w:t>
      </w:r>
      <w:r w:rsidR="005F4D33">
        <w:t>-</w:t>
      </w:r>
      <w:r w:rsidR="00A00B15" w:rsidRPr="00F57F22">
        <w:t xml:space="preserve">government assurance and governance of </w:t>
      </w:r>
      <w:r w:rsidR="00110077">
        <w:t>a</w:t>
      </w:r>
      <w:r w:rsidR="00110077" w:rsidRPr="00F57F22">
        <w:t xml:space="preserve">rtificial </w:t>
      </w:r>
      <w:r w:rsidR="00110077">
        <w:t>i</w:t>
      </w:r>
      <w:r w:rsidR="00110077" w:rsidRPr="00F57F22">
        <w:t>ntelligence</w:t>
      </w:r>
      <w:r w:rsidR="00A00B15" w:rsidRPr="00F57F22">
        <w:t>.</w:t>
      </w:r>
      <w:r w:rsidR="005F4D33">
        <w:br w:type="page"/>
      </w:r>
    </w:p>
    <w:p w14:paraId="4FAA55A7" w14:textId="75EC427D" w:rsidR="009F1B67" w:rsidRPr="00D914D3" w:rsidRDefault="009F1B6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18.1: Comprehensive debt recovery policy for Services Australia</w:t>
      </w:r>
    </w:p>
    <w:p w14:paraId="767EBCE0" w14:textId="77777777" w:rsidR="009F1B67" w:rsidRPr="00F57F22" w:rsidRDefault="009F1B6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color w:val="000000"/>
          <w:szCs w:val="22"/>
        </w:rPr>
      </w:pPr>
      <w:r w:rsidRPr="00F57F22">
        <w:rPr>
          <w:rFonts w:ascii="Segoe UI Semilight" w:hAnsi="Segoe UI Semilight" w:cs="Segoe UI Semilight"/>
          <w:color w:val="000000"/>
          <w:szCs w:val="22"/>
        </w:rPr>
        <w:t>Services Australia should develop a comprehensive debt recovery management policy which among other things should incorporate the Guideline for Collectors and Creditors’ issued by the Australian Competition and Consumer Commission (ACCC) and the Australian Securities and Investments Commission (ASIC). Examples of such documents already exist at both federal and state levels. Any such policy should also prescribe how Services Australia undertakes to engage with debtors, including that staff must:</w:t>
      </w:r>
    </w:p>
    <w:p w14:paraId="7720CA2B" w14:textId="585672B2" w:rsidR="009F1B67" w:rsidRPr="00F57F22" w:rsidRDefault="009F1B67" w:rsidP="009F1B67">
      <w:pPr>
        <w:pStyle w:val="ListParagraph"/>
        <w:numPr>
          <w:ilvl w:val="0"/>
          <w:numId w:val="61"/>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ensure any debt recovery action is always ethical, proportionate, consistent and transparent</w:t>
      </w:r>
    </w:p>
    <w:p w14:paraId="3FF8C9EF" w14:textId="431736FB" w:rsidR="009F1B67" w:rsidRPr="00F57F22" w:rsidRDefault="009F1B67" w:rsidP="009F1B67">
      <w:pPr>
        <w:pStyle w:val="ListParagraph"/>
        <w:numPr>
          <w:ilvl w:val="0"/>
          <w:numId w:val="61"/>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treat all recipients fairly and with dignity, taking each person’s circumstances into account before commencing recovery action</w:t>
      </w:r>
    </w:p>
    <w:p w14:paraId="4667A878" w14:textId="3689D6BD" w:rsidR="009F1B67" w:rsidRPr="009F1B67" w:rsidRDefault="009F1B67" w:rsidP="009F1B67">
      <w:pPr>
        <w:pStyle w:val="ListParagraph"/>
        <w:numPr>
          <w:ilvl w:val="0"/>
          <w:numId w:val="61"/>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9F1B67">
        <w:rPr>
          <w:rFonts w:ascii="Segoe UI Semilight" w:hAnsi="Segoe UI Semilight" w:cs="Segoe UI Semilight"/>
          <w:color w:val="000000"/>
          <w:szCs w:val="22"/>
        </w:rPr>
        <w:t>subject to any express legal authority to do so, refrain from commencing or continuing recovery action while a debt is being reviewed or disputed, and</w:t>
      </w:r>
    </w:p>
    <w:p w14:paraId="11B6EAD9" w14:textId="61B5A39C" w:rsidR="009F1B67" w:rsidRPr="00F57F22" w:rsidRDefault="009F1B67" w:rsidP="009F1B67">
      <w:pPr>
        <w:pStyle w:val="ListParagraph"/>
        <w:numPr>
          <w:ilvl w:val="0"/>
          <w:numId w:val="61"/>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in accordance with legal authority, consider and respond appropriately and proportionately to cases of hardship.</w:t>
      </w:r>
    </w:p>
    <w:p w14:paraId="7B9DBF44" w14:textId="47BDB5B9" w:rsidR="009F1B67" w:rsidRPr="009F1B67" w:rsidRDefault="009F1B67" w:rsidP="009F1B67">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color w:val="000000"/>
          <w:szCs w:val="22"/>
        </w:rPr>
      </w:pPr>
      <w:r w:rsidRPr="009F1B67">
        <w:rPr>
          <w:rFonts w:ascii="Segoe UI Semilight" w:hAnsi="Segoe UI Semilight" w:cs="Segoe UI Semilight"/>
          <w:color w:val="000000"/>
          <w:szCs w:val="22"/>
        </w:rPr>
        <w:t>Services Australia should ensure that recipients are given ample and appropriate opportunities to challenge, review and seek guidance on any proposed debts before they are referred for debt recovery.</w:t>
      </w:r>
      <w:r w:rsidR="00765607" w:rsidRPr="00765607" w:rsidDel="00765607">
        <w:rPr>
          <w:rFonts w:ascii="Segoe UI Semilight" w:hAnsi="Segoe UI Semilight" w:cs="Segoe UI Semilight"/>
          <w:color w:val="000000"/>
          <w:szCs w:val="22"/>
        </w:rPr>
        <w:t xml:space="preserve"> </w:t>
      </w:r>
    </w:p>
    <w:p w14:paraId="1ECC20F8" w14:textId="7F295627" w:rsidR="0010522E" w:rsidRPr="00F57F22" w:rsidRDefault="0010522E" w:rsidP="000C2D43">
      <w:pPr>
        <w:pStyle w:val="TBLText"/>
      </w:pPr>
      <w:r w:rsidRPr="00F57F22">
        <w:t xml:space="preserve">The Government </w:t>
      </w:r>
      <w:r w:rsidRPr="00F57F22">
        <w:rPr>
          <w:b/>
        </w:rPr>
        <w:t xml:space="preserve">accepts </w:t>
      </w:r>
      <w:r w:rsidR="00C85416">
        <w:t>this recommendation.</w:t>
      </w:r>
    </w:p>
    <w:p w14:paraId="2968485F" w14:textId="77777777" w:rsidR="00572BDC" w:rsidRPr="00572BDC" w:rsidRDefault="00572BDC" w:rsidP="000C2D43">
      <w:pPr>
        <w:pStyle w:val="TBLText"/>
      </w:pPr>
      <w:r w:rsidRPr="00572BDC">
        <w:t xml:space="preserve">The Government commits to ensuring income support and other services are available to vulnerable Australians when they need it, without stigma; and that debt recovery practices are </w:t>
      </w:r>
      <w:r>
        <w:t xml:space="preserve">undertaken in a manner that is </w:t>
      </w:r>
      <w:r w:rsidRPr="00572BDC">
        <w:t>fai</w:t>
      </w:r>
      <w:r>
        <w:t>r,</w:t>
      </w:r>
      <w:r w:rsidRPr="00572BDC">
        <w:t xml:space="preserve"> empath</w:t>
      </w:r>
      <w:r>
        <w:t>etic</w:t>
      </w:r>
      <w:r w:rsidRPr="00572BDC">
        <w:t xml:space="preserve"> and respect</w:t>
      </w:r>
      <w:r>
        <w:t>ful, and take</w:t>
      </w:r>
      <w:r w:rsidR="000B2754">
        <w:t>s</w:t>
      </w:r>
      <w:r>
        <w:t xml:space="preserve"> into account individual circumstances</w:t>
      </w:r>
      <w:r w:rsidRPr="00572BDC">
        <w:t>.</w:t>
      </w:r>
    </w:p>
    <w:p w14:paraId="2D751FF4" w14:textId="3EE0A449" w:rsidR="00572BDC" w:rsidRDefault="00572BDC" w:rsidP="000C2D43">
      <w:pPr>
        <w:pStyle w:val="TBLText"/>
      </w:pPr>
      <w:r w:rsidRPr="00572BDC">
        <w:t xml:space="preserve">The </w:t>
      </w:r>
      <w:r>
        <w:t>Government will continue to implement changes t</w:t>
      </w:r>
      <w:r w:rsidR="00B42BAB">
        <w:t xml:space="preserve">o </w:t>
      </w:r>
      <w:r>
        <w:t xml:space="preserve">improve debt recovery policy and practice, </w:t>
      </w:r>
      <w:r w:rsidR="00F0336F">
        <w:t>within the</w:t>
      </w:r>
      <w:r w:rsidR="009F1B67">
        <w:t xml:space="preserve"> underpinning legal framework.</w:t>
      </w:r>
    </w:p>
    <w:p w14:paraId="3591629B" w14:textId="622514DB" w:rsidR="009F1B67" w:rsidRPr="00D914D3" w:rsidRDefault="009F1B6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 xml:space="preserve">18.2: </w:t>
      </w:r>
      <w:r w:rsidRPr="00F57F22">
        <w:rPr>
          <w:rFonts w:ascii="Segoe UI Semilight" w:hAnsi="Segoe UI Semilight" w:cs="Segoe UI Semilight"/>
          <w:b/>
          <w:bCs/>
          <w:color w:val="000000"/>
          <w:szCs w:val="22"/>
        </w:rPr>
        <w:t>Reinstate the limitation of six years on debt recovery</w:t>
      </w:r>
    </w:p>
    <w:p w14:paraId="2580A84E" w14:textId="2CDFCAA2" w:rsidR="009F1B67" w:rsidRPr="000C2D43" w:rsidRDefault="009F1B6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Commonwealth should repeal s 1234B of the Social Security Act and reinstate the effective limitation period of six years for the bringing of proceedings to recover debts under Part 5.2 of the Act formerly contained in s 1232 and s 1236 of that Act, before repeal of the relevant sub-sections by the Budget Savings (Omnibus) Act (No 55) 2016 (Cth). There is no reason that current and former social security recipients should be on any different footing from other debtors.</w:t>
      </w:r>
    </w:p>
    <w:p w14:paraId="62DB1058" w14:textId="15E6181B" w:rsidR="002B1F94" w:rsidRPr="00F57F22" w:rsidRDefault="002B1F94" w:rsidP="000C2D43">
      <w:pPr>
        <w:pStyle w:val="TBLText"/>
      </w:pPr>
      <w:r w:rsidRPr="00F57F22">
        <w:t xml:space="preserve">The Government </w:t>
      </w:r>
      <w:r w:rsidRPr="00F57F22">
        <w:rPr>
          <w:b/>
        </w:rPr>
        <w:t>accepts in principle</w:t>
      </w:r>
      <w:r w:rsidRPr="00F57F22">
        <w:t xml:space="preserve"> this recommendatio</w:t>
      </w:r>
      <w:r w:rsidR="00C85416">
        <w:t>n.</w:t>
      </w:r>
    </w:p>
    <w:p w14:paraId="1E6416B8" w14:textId="49EFBFAB" w:rsidR="002B1F94" w:rsidRPr="00F57F22" w:rsidRDefault="003E654F" w:rsidP="000C2D43">
      <w:pPr>
        <w:pStyle w:val="TBLText"/>
      </w:pPr>
      <w:r w:rsidRPr="00FE6FCF">
        <w:t xml:space="preserve">The Government </w:t>
      </w:r>
      <w:r w:rsidR="005D0385">
        <w:t>will improve</w:t>
      </w:r>
      <w:r w:rsidRPr="00FE6FCF">
        <w:t xml:space="preserve"> social security debt arrangements </w:t>
      </w:r>
      <w:r w:rsidR="00B42BAB">
        <w:t xml:space="preserve">and </w:t>
      </w:r>
      <w:r w:rsidRPr="00FE6FCF">
        <w:t>is committed to ensuring debt raising and recovery is undertaken in a timely, fair</w:t>
      </w:r>
      <w:r w:rsidR="00B42BAB">
        <w:t xml:space="preserve"> and</w:t>
      </w:r>
      <w:r w:rsidRPr="00FE6FCF">
        <w:t xml:space="preserve"> respectful</w:t>
      </w:r>
      <w:r w:rsidR="00C85416">
        <w:t xml:space="preserve"> manner.</w:t>
      </w:r>
    </w:p>
    <w:p w14:paraId="22C2F7FB" w14:textId="4289B0BA" w:rsidR="00AF7771" w:rsidRDefault="00986B97" w:rsidP="000C2D43">
      <w:pPr>
        <w:pStyle w:val="TBLText"/>
      </w:pPr>
      <w:r>
        <w:t>Any r</w:t>
      </w:r>
      <w:r w:rsidR="00FE51C5">
        <w:t>eform to</w:t>
      </w:r>
      <w:r w:rsidR="00FE51C5" w:rsidRPr="00FE6FCF">
        <w:t xml:space="preserve"> the approach of raising and </w:t>
      </w:r>
      <w:r>
        <w:t xml:space="preserve">recovering </w:t>
      </w:r>
      <w:r w:rsidR="00FE51C5" w:rsidRPr="00FE6FCF">
        <w:t xml:space="preserve">social security debts </w:t>
      </w:r>
      <w:r>
        <w:t xml:space="preserve">should </w:t>
      </w:r>
      <w:r w:rsidR="00FE51C5" w:rsidRPr="00FE6FCF">
        <w:t xml:space="preserve">be </w:t>
      </w:r>
      <w:r w:rsidR="00FE51C5">
        <w:t xml:space="preserve">undertaken </w:t>
      </w:r>
      <w:r w:rsidR="00FE51C5" w:rsidRPr="00FE6FCF">
        <w:t>in a systematic way</w:t>
      </w:r>
      <w:r>
        <w:t xml:space="preserve">, with careful consideration of the </w:t>
      </w:r>
      <w:r w:rsidR="00525D8F" w:rsidRPr="00FE6FCF">
        <w:t>unique circumstances</w:t>
      </w:r>
      <w:r>
        <w:t xml:space="preserve"> of social security debtors</w:t>
      </w:r>
      <w:r w:rsidR="00525D8F" w:rsidRPr="00FE6FCF">
        <w:t>. </w:t>
      </w:r>
      <w:r w:rsidR="00525D8F">
        <w:t xml:space="preserve">The Government will carefully consider options for legislative reform, including </w:t>
      </w:r>
      <w:r w:rsidR="006E6D38">
        <w:lastRenderedPageBreak/>
        <w:t xml:space="preserve">appropriate </w:t>
      </w:r>
      <w:r w:rsidR="00525D8F">
        <w:t>statutory limitation period</w:t>
      </w:r>
      <w:r w:rsidR="00B37F94">
        <w:t>s</w:t>
      </w:r>
      <w:r w:rsidR="00525D8F">
        <w:t xml:space="preserve"> for the </w:t>
      </w:r>
      <w:r w:rsidR="0066733F">
        <w:t xml:space="preserve">raising and </w:t>
      </w:r>
      <w:r w:rsidR="00525D8F">
        <w:t>recovery of social security debts</w:t>
      </w:r>
      <w:r w:rsidR="006E6D38">
        <w:t xml:space="preserve"> to comprehensively</w:t>
      </w:r>
      <w:r w:rsidR="0066733F">
        <w:t xml:space="preserve"> address the issues identified by the Royal Commission</w:t>
      </w:r>
      <w:r w:rsidR="00C85416">
        <w:t>.</w:t>
      </w:r>
    </w:p>
    <w:p w14:paraId="7DEF13B0" w14:textId="3E58DFA5" w:rsidR="00AF7771" w:rsidRDefault="00525D8F" w:rsidP="000C2D43">
      <w:pPr>
        <w:pStyle w:val="TBLText"/>
      </w:pPr>
      <w:r>
        <w:t>T</w:t>
      </w:r>
      <w:r w:rsidRPr="00FE6FCF">
        <w:t xml:space="preserve">he Government </w:t>
      </w:r>
      <w:r w:rsidR="0066733F">
        <w:t xml:space="preserve">is committed to </w:t>
      </w:r>
      <w:r w:rsidR="00AF7771">
        <w:t>improv</w:t>
      </w:r>
      <w:r w:rsidR="0066733F">
        <w:t>ing</w:t>
      </w:r>
      <w:r w:rsidRPr="00FE6FCF">
        <w:t xml:space="preserve"> social security debt arrangements </w:t>
      </w:r>
      <w:r>
        <w:t xml:space="preserve">to ensure </w:t>
      </w:r>
      <w:r w:rsidR="00FE51C5">
        <w:t xml:space="preserve">that debt recovery </w:t>
      </w:r>
      <w:r w:rsidR="00AF7771">
        <w:t>practices</w:t>
      </w:r>
      <w:r w:rsidR="00FE51C5">
        <w:t xml:space="preserve"> are</w:t>
      </w:r>
      <w:r>
        <w:t xml:space="preserve"> clear</w:t>
      </w:r>
      <w:r w:rsidR="00AF7771">
        <w:t xml:space="preserve"> and conducted in a respectful manner</w:t>
      </w:r>
      <w:r w:rsidR="00C85416">
        <w:t>.</w:t>
      </w:r>
    </w:p>
    <w:p w14:paraId="5D420A09" w14:textId="4D2D296E" w:rsidR="0066733F" w:rsidRDefault="00B42BAB" w:rsidP="000C2D43">
      <w:pPr>
        <w:pStyle w:val="TBLText"/>
      </w:pPr>
      <w:r>
        <w:t>The Government will</w:t>
      </w:r>
      <w:r w:rsidR="00AF7771">
        <w:t xml:space="preserve"> </w:t>
      </w:r>
      <w:r>
        <w:t xml:space="preserve">continue to implement </w:t>
      </w:r>
      <w:r w:rsidR="00FE51C5">
        <w:t xml:space="preserve">administrative </w:t>
      </w:r>
      <w:r>
        <w:t xml:space="preserve">changes </w:t>
      </w:r>
      <w:r w:rsidRPr="00FE6FCF">
        <w:t>to make the system fairer for those who incur debts</w:t>
      </w:r>
      <w:r>
        <w:t>,</w:t>
      </w:r>
      <w:r w:rsidRPr="00FE6FCF">
        <w:t xml:space="preserve"> and to reduce the likelihood of </w:t>
      </w:r>
      <w:r w:rsidR="009C3746">
        <w:t xml:space="preserve">recipients </w:t>
      </w:r>
      <w:r w:rsidRPr="00FE6FCF">
        <w:t>incurring a debt in the first place.</w:t>
      </w:r>
    </w:p>
    <w:p w14:paraId="7C4C363A" w14:textId="1AFE5C39" w:rsidR="00B42BAB" w:rsidRPr="00FE6FCF" w:rsidRDefault="00B42BAB" w:rsidP="000C2D43">
      <w:pPr>
        <w:pStyle w:val="TBLText"/>
      </w:pPr>
      <w:r w:rsidRPr="00FE6FCF">
        <w:t xml:space="preserve">If social security recipients do not agree with a debt decision, they can </w:t>
      </w:r>
      <w:r>
        <w:t>seek</w:t>
      </w:r>
      <w:r w:rsidRPr="00FE6FCF">
        <w:t xml:space="preserve"> an explanation </w:t>
      </w:r>
      <w:r>
        <w:t xml:space="preserve">from </w:t>
      </w:r>
      <w:r w:rsidR="00C508BA">
        <w:t>Services Australia</w:t>
      </w:r>
      <w:r>
        <w:t xml:space="preserve"> and/</w:t>
      </w:r>
      <w:r w:rsidRPr="00FE6FCF">
        <w:t xml:space="preserve">or apply for a formal review. </w:t>
      </w:r>
      <w:r w:rsidR="00CA561E">
        <w:t>Information about opportunities for review</w:t>
      </w:r>
      <w:r w:rsidRPr="00FE6FCF">
        <w:t xml:space="preserve"> is included </w:t>
      </w:r>
      <w:r>
        <w:t>i</w:t>
      </w:r>
      <w:r w:rsidRPr="00FE6FCF">
        <w:t xml:space="preserve">n Services Australia debt notices and </w:t>
      </w:r>
      <w:r>
        <w:t xml:space="preserve">is also available on the Services Australia </w:t>
      </w:r>
      <w:r w:rsidRPr="00FE6FCF">
        <w:t>website. In addition, social security recipients may request an appointment with a Services</w:t>
      </w:r>
      <w:r w:rsidR="00CA561E">
        <w:t> </w:t>
      </w:r>
      <w:r w:rsidRPr="00FE6FCF">
        <w:t>Australia social worker who can refer them to financial co</w:t>
      </w:r>
      <w:r w:rsidR="00C85416">
        <w:t>unselling and support services.</w:t>
      </w:r>
    </w:p>
    <w:p w14:paraId="4F15AC35" w14:textId="1CE61953" w:rsidR="00B42BAB" w:rsidRPr="00F57F22" w:rsidRDefault="00B42BAB" w:rsidP="000C2D43">
      <w:pPr>
        <w:pStyle w:val="TBLText"/>
      </w:pPr>
      <w:r w:rsidRPr="00FE6FCF">
        <w:t>Measures</w:t>
      </w:r>
      <w:r w:rsidR="0066733F">
        <w:t xml:space="preserve"> to improve the accuracy of social security payments</w:t>
      </w:r>
      <w:r w:rsidRPr="00FE6FCF">
        <w:t xml:space="preserve"> are </w:t>
      </w:r>
      <w:r>
        <w:t xml:space="preserve">being implemented </w:t>
      </w:r>
      <w:r w:rsidR="0066733F">
        <w:t xml:space="preserve">as a priority for the Government, </w:t>
      </w:r>
      <w:r w:rsidRPr="00FE6FCF">
        <w:t>reduc</w:t>
      </w:r>
      <w:r w:rsidR="0066733F">
        <w:t>ing</w:t>
      </w:r>
      <w:r w:rsidRPr="00FE6FCF">
        <w:t xml:space="preserve"> the likelihood of debts being incurred</w:t>
      </w:r>
      <w:r w:rsidR="007A086E">
        <w:t xml:space="preserve"> due to overpayments</w:t>
      </w:r>
      <w:r>
        <w:t xml:space="preserve">. </w:t>
      </w:r>
      <w:r w:rsidR="007A086E" w:rsidRPr="00F57F22">
        <w:t>These include the use of Single Touch Payroll (STP) for reporting of employment income</w:t>
      </w:r>
      <w:r w:rsidR="007A086E">
        <w:t xml:space="preserve">. STP has now been implemented for the majority of employers, enabling </w:t>
      </w:r>
      <w:r w:rsidRPr="00FE6FCF">
        <w:t xml:space="preserve">the pre-filling </w:t>
      </w:r>
      <w:r w:rsidR="00E64F48">
        <w:t xml:space="preserve">of </w:t>
      </w:r>
      <w:r w:rsidR="00B37F94" w:rsidRPr="00B37F94">
        <w:t>social security recipients’ employment income reports</w:t>
      </w:r>
      <w:r w:rsidR="007A086E">
        <w:t xml:space="preserve">, and supporting </w:t>
      </w:r>
      <w:r w:rsidRPr="00FE6FCF">
        <w:t xml:space="preserve">faster and more accurate </w:t>
      </w:r>
      <w:r w:rsidR="007A086E">
        <w:t xml:space="preserve">actual </w:t>
      </w:r>
      <w:r w:rsidRPr="00FE6FCF">
        <w:t>income reporting.</w:t>
      </w:r>
    </w:p>
    <w:p w14:paraId="77552C22" w14:textId="567DE259" w:rsidR="00B42BAB" w:rsidRDefault="00B42BAB" w:rsidP="000C2D43">
      <w:pPr>
        <w:pStyle w:val="TBLText"/>
      </w:pPr>
      <w:r>
        <w:t xml:space="preserve">The </w:t>
      </w:r>
      <w:r w:rsidRPr="00FE6FCF">
        <w:t>Australian National Audit Office has</w:t>
      </w:r>
      <w:r>
        <w:t xml:space="preserve"> also</w:t>
      </w:r>
      <w:r w:rsidRPr="00FE6FCF">
        <w:t xml:space="preserve"> recently completed a performance audit on the accuracy and timeliness of </w:t>
      </w:r>
      <w:r w:rsidR="00FA17C3">
        <w:t>income support</w:t>
      </w:r>
      <w:r>
        <w:t xml:space="preserve">, and </w:t>
      </w:r>
      <w:r w:rsidR="00FA17C3">
        <w:t xml:space="preserve">Services Australia </w:t>
      </w:r>
      <w:r w:rsidR="00964A41">
        <w:t>and</w:t>
      </w:r>
      <w:r w:rsidR="00FA17C3">
        <w:t xml:space="preserve"> </w:t>
      </w:r>
      <w:r>
        <w:t>the</w:t>
      </w:r>
      <w:r w:rsidRPr="00FE6FCF">
        <w:t xml:space="preserve"> Department of Social Services </w:t>
      </w:r>
      <w:r w:rsidR="008101E2">
        <w:t>are</w:t>
      </w:r>
      <w:r w:rsidR="008101E2" w:rsidRPr="00FE6FCF">
        <w:t xml:space="preserve"> </w:t>
      </w:r>
      <w:r w:rsidRPr="00FE6FCF">
        <w:t>implement</w:t>
      </w:r>
      <w:r w:rsidR="00B37F94">
        <w:t>ing</w:t>
      </w:r>
      <w:r w:rsidRPr="00FE6FCF">
        <w:t xml:space="preserve"> the agreed recommendations.</w:t>
      </w:r>
    </w:p>
    <w:p w14:paraId="51CCCC67" w14:textId="3AC85B3F" w:rsidR="0045510A" w:rsidRPr="00D914D3" w:rsidRDefault="0045510A"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1: Selection of chief counsel</w:t>
      </w:r>
    </w:p>
    <w:p w14:paraId="38CA5EF7" w14:textId="6F7D5A6D" w:rsidR="0045510A" w:rsidRPr="000C2D43" w:rsidRDefault="0045510A"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selection panel for the appointment of chief counsel of Services Australia or DSS (chief counsel being the head of the entity’s legal practice) should include as a member of the panel, the Australian Government Solicitor.</w:t>
      </w:r>
    </w:p>
    <w:p w14:paraId="404A1407" w14:textId="57F94721" w:rsidR="003F2E54" w:rsidRPr="00F57F22" w:rsidRDefault="003F2E54" w:rsidP="000C2D43">
      <w:pPr>
        <w:pStyle w:val="TBLText"/>
      </w:pPr>
      <w:r w:rsidRPr="00F57F22">
        <w:t xml:space="preserve">The Government </w:t>
      </w:r>
      <w:r w:rsidRPr="00F57F22">
        <w:rPr>
          <w:b/>
          <w:color w:val="000000"/>
        </w:rPr>
        <w:t>accepts</w:t>
      </w:r>
      <w:r w:rsidRPr="00F57F22">
        <w:t xml:space="preserve"> this</w:t>
      </w:r>
      <w:r w:rsidR="00C85416">
        <w:t xml:space="preserve"> recommendation.</w:t>
      </w:r>
    </w:p>
    <w:p w14:paraId="101252A7" w14:textId="799A6C34" w:rsidR="005F4D33" w:rsidRDefault="003F2E54" w:rsidP="009E2FAE">
      <w:pPr>
        <w:pStyle w:val="TBLText"/>
      </w:pPr>
      <w:r w:rsidRPr="00F57F22">
        <w:t xml:space="preserve">The Government recognises the specialist input the Australian Government Solicitor </w:t>
      </w:r>
      <w:r w:rsidR="0090795B" w:rsidRPr="00F57F22">
        <w:t xml:space="preserve">or their representative </w:t>
      </w:r>
      <w:r w:rsidR="006C72AD" w:rsidRPr="00F57F22">
        <w:t>c</w:t>
      </w:r>
      <w:r w:rsidRPr="00F57F22">
        <w:t xml:space="preserve">ould provide in the selection of </w:t>
      </w:r>
      <w:r w:rsidR="00FC3858" w:rsidRPr="00F57F22">
        <w:t>the</w:t>
      </w:r>
      <w:r w:rsidRPr="00F57F22">
        <w:t xml:space="preserve"> chief legal officer</w:t>
      </w:r>
      <w:r w:rsidR="006C72AD" w:rsidRPr="00F57F22">
        <w:t>s</w:t>
      </w:r>
      <w:r w:rsidR="00FC3858" w:rsidRPr="00F57F22">
        <w:t xml:space="preserve"> of </w:t>
      </w:r>
      <w:r w:rsidR="006C72AD" w:rsidRPr="00F57F22">
        <w:t>Services Australia and the Department of Social Services</w:t>
      </w:r>
      <w:r w:rsidR="004C73B9" w:rsidRPr="00F57F22">
        <w:t>.</w:t>
      </w:r>
      <w:r w:rsidR="005F4D33">
        <w:br w:type="page"/>
      </w:r>
    </w:p>
    <w:p w14:paraId="1F7C50AE" w14:textId="3772F621" w:rsidR="0045510A" w:rsidRPr="00D914D3" w:rsidRDefault="0045510A"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2: Training for lawyers – Services Australia</w:t>
      </w:r>
    </w:p>
    <w:p w14:paraId="7F2FF541" w14:textId="618FD0AD" w:rsidR="0045510A"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color w:val="000000"/>
          <w:szCs w:val="22"/>
        </w:rPr>
      </w:pPr>
      <w:r w:rsidRPr="00F57F22">
        <w:rPr>
          <w:rFonts w:ascii="Segoe UI Semilight" w:hAnsi="Segoe UI Semilight" w:cs="Segoe UI Semilight"/>
          <w:color w:val="000000"/>
          <w:szCs w:val="22"/>
        </w:rPr>
        <w:t>Services Australia should provide regular training to its in-house lawyers on the core duties and responsibilities set out in the Legal Practice Standards, including:</w:t>
      </w:r>
    </w:p>
    <w:p w14:paraId="1A793AD4" w14:textId="2A0B9F1D" w:rsidR="00DF7A6C" w:rsidRPr="00F57F22" w:rsidRDefault="00DF7A6C" w:rsidP="00EA0D0D">
      <w:pPr>
        <w:pStyle w:val="ListParagraph"/>
        <w:numPr>
          <w:ilvl w:val="0"/>
          <w:numId w:val="61"/>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an emphasis on the duty to avoid any compromise to their integrity and professional independence and the challenges that may be presented to a government lawyer in fulfilling that obligation.</w:t>
      </w:r>
    </w:p>
    <w:p w14:paraId="0A4B4D4B" w14:textId="2AD285EC" w:rsidR="0045510A" w:rsidRPr="00DF7A6C" w:rsidRDefault="00DF7A6C" w:rsidP="00EA0D0D">
      <w:pPr>
        <w:pStyle w:val="ListParagraph"/>
        <w:numPr>
          <w:ilvl w:val="0"/>
          <w:numId w:val="61"/>
        </w:numPr>
        <w:pBdr>
          <w:top w:val="single" w:sz="4" w:space="1" w:color="auto"/>
          <w:left w:val="single" w:sz="4" w:space="1" w:color="auto"/>
          <w:bottom w:val="single" w:sz="4" w:space="1" w:color="auto"/>
          <w:right w:val="single" w:sz="4" w:space="1" w:color="auto"/>
        </w:pBdr>
        <w:shd w:val="clear" w:color="auto" w:fill="E0E8F2" w:themeFill="background2"/>
        <w:ind w:left="284" w:hanging="284"/>
        <w:rPr>
          <w:rFonts w:ascii="Segoe UI Semilight" w:hAnsi="Segoe UI Semilight" w:cs="Segoe UI Semilight"/>
          <w:color w:val="000000"/>
          <w:szCs w:val="22"/>
        </w:rPr>
      </w:pPr>
      <w:r w:rsidRPr="00F57F22">
        <w:rPr>
          <w:rFonts w:ascii="Segoe UI Semilight" w:hAnsi="Segoe UI Semilight" w:cs="Segoe UI Semilight"/>
          <w:color w:val="000000"/>
          <w:szCs w:val="22"/>
        </w:rPr>
        <w:t>appropriate statutory and case authority references in advice writing.</w:t>
      </w:r>
    </w:p>
    <w:p w14:paraId="7FFC9968" w14:textId="7F0BF374" w:rsidR="003F2E54" w:rsidRPr="00F57F22" w:rsidRDefault="003F2E54" w:rsidP="000C2D43">
      <w:pPr>
        <w:pStyle w:val="TBLText"/>
      </w:pPr>
      <w:r w:rsidRPr="00F57F22">
        <w:t xml:space="preserve">The Government </w:t>
      </w:r>
      <w:r w:rsidRPr="00F57F22">
        <w:rPr>
          <w:b/>
          <w:color w:val="000000"/>
        </w:rPr>
        <w:t>accepts</w:t>
      </w:r>
      <w:r w:rsidRPr="00F57F22">
        <w:rPr>
          <w:b/>
        </w:rPr>
        <w:t xml:space="preserve"> </w:t>
      </w:r>
      <w:r w:rsidR="00C85416">
        <w:t>this recommendation.</w:t>
      </w:r>
    </w:p>
    <w:p w14:paraId="55CD8DE1" w14:textId="7AA41698" w:rsidR="003F2E54" w:rsidRPr="00F57F22" w:rsidRDefault="003F2E54" w:rsidP="000C2D43">
      <w:pPr>
        <w:pStyle w:val="TBLText"/>
      </w:pPr>
      <w:r w:rsidRPr="00F57F22">
        <w:t>The Government recognises the importance of providing training and development to its in-house legal officers, to ensure that they are able to deliver services in line with Legal Practice Standards.</w:t>
      </w:r>
    </w:p>
    <w:p w14:paraId="4CB5A3A3" w14:textId="6FEBA110" w:rsidR="004C73B9" w:rsidRPr="00F57F22" w:rsidRDefault="003F2E54" w:rsidP="000C2D43">
      <w:pPr>
        <w:pStyle w:val="TBLText"/>
      </w:pPr>
      <w:r w:rsidRPr="00F57F22">
        <w:t xml:space="preserve">Services Australia legal staff are subject to Legal Practice Directions issued by the Chief Counsel which set out the obligations and requirements of agency legal staff, including </w:t>
      </w:r>
      <w:r w:rsidR="004C73B9" w:rsidRPr="00F57F22">
        <w:t xml:space="preserve">a requirement to </w:t>
      </w:r>
      <w:r w:rsidRPr="00F57F22">
        <w:t>undertak</w:t>
      </w:r>
      <w:r w:rsidR="004C73B9" w:rsidRPr="00F57F22">
        <w:t>e</w:t>
      </w:r>
      <w:r w:rsidRPr="00F57F22">
        <w:t xml:space="preserve"> regular training. </w:t>
      </w:r>
      <w:r w:rsidR="004C73B9" w:rsidRPr="00F57F22">
        <w:t>In addition, performance agreements for all Services Australia legal staff will require staff to</w:t>
      </w:r>
      <w:r w:rsidRPr="00F57F22">
        <w:t xml:space="preserve"> compl</w:t>
      </w:r>
      <w:r w:rsidR="004C73B9" w:rsidRPr="00F57F22">
        <w:t>y</w:t>
      </w:r>
      <w:r w:rsidRPr="00F57F22">
        <w:t xml:space="preserve"> with the Legal Practice Directions.</w:t>
      </w:r>
    </w:p>
    <w:p w14:paraId="6F538D56" w14:textId="36AF7C0E" w:rsidR="004C73B9" w:rsidRDefault="003F2E54" w:rsidP="000C2D43">
      <w:pPr>
        <w:pStyle w:val="TBLText"/>
      </w:pPr>
      <w:r w:rsidRPr="00F57F22">
        <w:t xml:space="preserve">Services Australia has also engaged with the Department of Social Services and other agencies within the Social Services portfolio </w:t>
      </w:r>
      <w:r w:rsidR="004C73B9" w:rsidRPr="00F57F22">
        <w:t xml:space="preserve">on </w:t>
      </w:r>
      <w:r w:rsidRPr="00F57F22">
        <w:t xml:space="preserve">shared training for legal staff across the </w:t>
      </w:r>
      <w:r w:rsidR="00284A94">
        <w:t>s</w:t>
      </w:r>
      <w:r w:rsidRPr="00F57F22">
        <w:t xml:space="preserve">ocial </w:t>
      </w:r>
      <w:r w:rsidR="00284A94">
        <w:t>s</w:t>
      </w:r>
      <w:r w:rsidRPr="00F57F22">
        <w:t>ervices portfolio. Areas in focus include training</w:t>
      </w:r>
      <w:r w:rsidR="004C73B9" w:rsidRPr="00F57F22">
        <w:t xml:space="preserve"> on</w:t>
      </w:r>
      <w:r w:rsidRPr="00F57F22">
        <w:t xml:space="preserve"> legal ethics, obligations of in</w:t>
      </w:r>
      <w:r w:rsidRPr="00F57F22">
        <w:noBreakHyphen/>
        <w:t xml:space="preserve">house lawyers and principles of advice writing. This training </w:t>
      </w:r>
      <w:r w:rsidR="004C73B9" w:rsidRPr="00F57F22">
        <w:t>is</w:t>
      </w:r>
      <w:r w:rsidRPr="00F57F22">
        <w:t xml:space="preserve"> additional to </w:t>
      </w:r>
      <w:r w:rsidR="009C3746">
        <w:t xml:space="preserve">the </w:t>
      </w:r>
      <w:r w:rsidRPr="00F57F22">
        <w:t>obligations of in</w:t>
      </w:r>
      <w:r w:rsidRPr="00F57F22">
        <w:noBreakHyphen/>
        <w:t>house lawyers to complete mandatory Continuing Legal Education (CLE) to maintain</w:t>
      </w:r>
      <w:r w:rsidR="00DF7A6C">
        <w:t xml:space="preserve"> their practising certificates.</w:t>
      </w:r>
    </w:p>
    <w:p w14:paraId="54C2C7D1" w14:textId="5806007A"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.3: Legal practice standards – Social Services</w:t>
      </w:r>
    </w:p>
    <w:p w14:paraId="4F788AC5" w14:textId="3627550E" w:rsidR="00DF7A6C" w:rsidRPr="000C2D43"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DSS should develop Legal Practice Standards which set out the core duties and responsibilities of all legal officers working at DSS.</w:t>
      </w:r>
    </w:p>
    <w:p w14:paraId="4927D3D5" w14:textId="77777777" w:rsidR="003F2E54" w:rsidRPr="00F57F22" w:rsidRDefault="003F2E54" w:rsidP="000C2D43">
      <w:pPr>
        <w:pStyle w:val="TBLText"/>
      </w:pPr>
      <w:r w:rsidRPr="00F57F22">
        <w:t xml:space="preserve">The Government </w:t>
      </w:r>
      <w:r w:rsidRPr="00F57F22">
        <w:rPr>
          <w:b/>
          <w:color w:val="000000"/>
        </w:rPr>
        <w:t>accepts</w:t>
      </w:r>
      <w:r w:rsidRPr="00F57F22">
        <w:rPr>
          <w:b/>
        </w:rPr>
        <w:t xml:space="preserve"> </w:t>
      </w:r>
      <w:r w:rsidRPr="00F57F22">
        <w:t>this recommendation.</w:t>
      </w:r>
    </w:p>
    <w:p w14:paraId="6171EB3B" w14:textId="77777777" w:rsidR="004C73B9" w:rsidRPr="00F57F22" w:rsidRDefault="003F2E54" w:rsidP="000C2D43">
      <w:pPr>
        <w:pStyle w:val="TBLText"/>
      </w:pPr>
      <w:r w:rsidRPr="00F57F22">
        <w:t>The Government recognises the importance of having clear Legal Practice Standards in place that outline the core duties and responsibilities of in-house government lawyers.</w:t>
      </w:r>
    </w:p>
    <w:p w14:paraId="01DD3A21" w14:textId="2AED04C9" w:rsidR="005F4D33" w:rsidRDefault="003F2E54" w:rsidP="009E2FAE">
      <w:pPr>
        <w:pStyle w:val="TBLText"/>
      </w:pPr>
      <w:r w:rsidRPr="00F57F22">
        <w:t xml:space="preserve">The Department of Social Services </w:t>
      </w:r>
      <w:r w:rsidR="005F4D33">
        <w:t xml:space="preserve">(DSS) </w:t>
      </w:r>
      <w:r w:rsidRPr="00F57F22">
        <w:t>has developed a new package of legal practice governance documents, which include updates to the Legal Practice Manual issued by the Chief Counsel that set out the core duties and responsibilities of all legal officers working at DSS. Compliance with these duties and obligations will be included in the performance agreements for all legal staff.</w:t>
      </w:r>
      <w:r w:rsidR="005F4D33">
        <w:br w:type="page"/>
      </w:r>
    </w:p>
    <w:p w14:paraId="57A43ACA" w14:textId="667733C4"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Pr>
          <w:rFonts w:ascii="Segoe UI Semilight" w:hAnsi="Segoe UI Semilight" w:cs="Segoe UI Semilight"/>
          <w:b/>
          <w:bCs/>
          <w:color w:val="000000"/>
          <w:szCs w:val="22"/>
        </w:rPr>
        <w:t>19.4</w:t>
      </w:r>
      <w:r w:rsidRPr="00F57F22">
        <w:rPr>
          <w:rFonts w:ascii="Segoe UI Semilight" w:hAnsi="Segoe UI Semilight" w:cs="Segoe UI Semilight"/>
          <w:b/>
          <w:bCs/>
          <w:color w:val="000000"/>
          <w:szCs w:val="22"/>
        </w:rPr>
        <w:t>: Training for lawyers – Social Services</w:t>
      </w:r>
    </w:p>
    <w:p w14:paraId="5270381D" w14:textId="52FADB6F" w:rsidR="00DF7A6C" w:rsidRPr="000C2D43"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DSS should provide regular training on the core duties and responsibilities to be set out in the Legal Practice Standards which should include: an emphasis on the duty to avoid any compromise to their integrity and professional independence and the challenges that may be presented to a government lawyer in fulfilling that obligation appropriate statutory and case authority references in advice writing.</w:t>
      </w:r>
    </w:p>
    <w:p w14:paraId="0692099D" w14:textId="272769CA" w:rsidR="004C73B9" w:rsidRPr="00F57F22" w:rsidRDefault="003F2E54" w:rsidP="000C2D43">
      <w:pPr>
        <w:pStyle w:val="TBLText"/>
      </w:pPr>
      <w:r w:rsidRPr="00F57F22">
        <w:t xml:space="preserve">The Government </w:t>
      </w:r>
      <w:r w:rsidRPr="00F57F22">
        <w:rPr>
          <w:b/>
        </w:rPr>
        <w:t xml:space="preserve">accepts </w:t>
      </w:r>
      <w:r w:rsidRPr="00F57F22">
        <w:t>this recommendation.</w:t>
      </w:r>
    </w:p>
    <w:p w14:paraId="05A9F37E" w14:textId="7B86305B" w:rsidR="003F2E54" w:rsidRPr="00F57F22" w:rsidRDefault="003F2E54" w:rsidP="000C2D43">
      <w:pPr>
        <w:pStyle w:val="TBLText"/>
      </w:pPr>
      <w:r w:rsidRPr="00F57F22">
        <w:t>The Government recognises the importance of providing training and development to its in-house legal officers, to ensure that they are able to deliver services in line with Legal Practice Standards.</w:t>
      </w:r>
    </w:p>
    <w:p w14:paraId="5F0B4355" w14:textId="0812B5BA" w:rsidR="003F2E54" w:rsidRPr="00F57F22" w:rsidRDefault="003F2E54" w:rsidP="000C2D43">
      <w:pPr>
        <w:pStyle w:val="TBLText"/>
      </w:pPr>
      <w:r w:rsidRPr="00F57F22">
        <w:t xml:space="preserve">The Department of Social Services (DSS) is establishing a regular training program for in-house lawyers that will include a focus on core studies and responsibilities laid down in DSS Legal Practice Standards. DSS is also actively taking steps to engage providers to deliver integrity and professional independence </w:t>
      </w:r>
      <w:r w:rsidR="005F4D33">
        <w:t xml:space="preserve">training </w:t>
      </w:r>
      <w:r w:rsidRPr="00F57F22">
        <w:t xml:space="preserve">for all lawyers in the Department. This training will be in addition to the lawyers’ obligation to complete Continuing Legal Education </w:t>
      </w:r>
      <w:r w:rsidR="005F4D33">
        <w:t xml:space="preserve">(CLE) </w:t>
      </w:r>
      <w:r w:rsidRPr="00F57F22">
        <w:t>associated with maintaining the required Practising Certificate.</w:t>
      </w:r>
    </w:p>
    <w:p w14:paraId="2F34246D" w14:textId="325F7339" w:rsidR="003F2E54" w:rsidRPr="00F57F22" w:rsidRDefault="003F2E54" w:rsidP="000C2D43">
      <w:pPr>
        <w:pStyle w:val="TBLText"/>
      </w:pPr>
      <w:r w:rsidRPr="00F57F22">
        <w:t xml:space="preserve">DSS has also engaged with Services Australia and other agencies within the </w:t>
      </w:r>
      <w:r w:rsidR="00284A94">
        <w:t>s</w:t>
      </w:r>
      <w:r w:rsidRPr="00F57F22">
        <w:t xml:space="preserve">ocial </w:t>
      </w:r>
      <w:r w:rsidR="00284A94">
        <w:t>s</w:t>
      </w:r>
      <w:r w:rsidRPr="00F57F22">
        <w:t xml:space="preserve">ervices portfolio regarding the opportunities for shared training for legal staff across the </w:t>
      </w:r>
      <w:r w:rsidR="00284A94">
        <w:t>s</w:t>
      </w:r>
      <w:r w:rsidRPr="00F57F22">
        <w:t xml:space="preserve">ocial </w:t>
      </w:r>
      <w:r w:rsidR="00284A94">
        <w:t>s</w:t>
      </w:r>
      <w:r w:rsidRPr="00F57F22">
        <w:t xml:space="preserve">ervices portfolio. Areas in focus include training </w:t>
      </w:r>
      <w:r w:rsidR="004C73B9" w:rsidRPr="00F57F22">
        <w:t>on</w:t>
      </w:r>
      <w:r w:rsidRPr="00F57F22">
        <w:t xml:space="preserve"> legal ethics, obligations of in</w:t>
      </w:r>
      <w:r w:rsidRPr="00F57F22">
        <w:noBreakHyphen/>
        <w:t>house lawyers and principl</w:t>
      </w:r>
      <w:r w:rsidR="005F4D33">
        <w:t>e</w:t>
      </w:r>
      <w:r w:rsidRPr="00F57F22">
        <w:t xml:space="preserve">s of </w:t>
      </w:r>
      <w:r w:rsidR="00C85416">
        <w:t>advice writing.</w:t>
      </w:r>
    </w:p>
    <w:p w14:paraId="7B7E67C9" w14:textId="193F06F4"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.5: Draft advice – Social Services</w:t>
      </w:r>
    </w:p>
    <w:p w14:paraId="74B5035C" w14:textId="4D25F437"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DSS should issue a further direction providing that, if the administering agency decides that a draft advice need not be provided in final form, that decision and the reasons for it must be documented. One of those steps – finalisation, or a documented decision against finalisation – should have been taken within three months of the receipt of the draft advice.</w:t>
      </w:r>
    </w:p>
    <w:p w14:paraId="7B356FBC" w14:textId="1C95F18F" w:rsidR="00A900DD" w:rsidRPr="00F57F22" w:rsidRDefault="00A900DD" w:rsidP="000C2D43">
      <w:pPr>
        <w:pStyle w:val="TBLText"/>
      </w:pPr>
      <w:r w:rsidRPr="00F57F22">
        <w:t xml:space="preserve">The Government </w:t>
      </w:r>
      <w:r w:rsidRPr="00F57F22">
        <w:rPr>
          <w:b/>
        </w:rPr>
        <w:t xml:space="preserve">accepts </w:t>
      </w:r>
      <w:r w:rsidR="00C85416">
        <w:t>this recommendation.</w:t>
      </w:r>
    </w:p>
    <w:p w14:paraId="15A6CD48" w14:textId="3D0A9F64" w:rsidR="00A900DD" w:rsidRPr="00F57F22" w:rsidRDefault="00A900DD" w:rsidP="000C2D43">
      <w:pPr>
        <w:pStyle w:val="TBLText"/>
      </w:pPr>
      <w:r w:rsidRPr="00F57F22">
        <w:t xml:space="preserve">The Government agrees that </w:t>
      </w:r>
      <w:r w:rsidR="00F93FA6">
        <w:t xml:space="preserve">legal advice cannot be disregarded because it is in draft form and </w:t>
      </w:r>
      <w:r w:rsidRPr="00F57F22">
        <w:t>it is never acceptable for legal advice not to be finalised on the basis that the advice may b</w:t>
      </w:r>
      <w:r w:rsidR="00C85416">
        <w:t>e inconvenient or unwelcome.</w:t>
      </w:r>
    </w:p>
    <w:p w14:paraId="0B206D46" w14:textId="77777777" w:rsidR="00E47CD4" w:rsidRPr="00F57F22" w:rsidRDefault="00A25CA3" w:rsidP="000C2D43">
      <w:pPr>
        <w:pStyle w:val="TBLText"/>
      </w:pPr>
      <w:r w:rsidRPr="00F57F22">
        <w:t xml:space="preserve">The Secretary of the Department of Social Services issued guidance on the practice of requesting, clarifying and finalising legal advice on 14 November 2022. The Chief Counsel of the Department of Social Services has </w:t>
      </w:r>
      <w:r w:rsidR="00FE6FCF">
        <w:t xml:space="preserve">also </w:t>
      </w:r>
      <w:r w:rsidRPr="00F57F22">
        <w:t>issued Legal Services Practice guidance on obtaining external legal advice, including draft advice, clearly articulating that external advice is not to be left in draft form indefinitely, but should be finalised as soon as is practicable.</w:t>
      </w:r>
    </w:p>
    <w:p w14:paraId="620F8D72" w14:textId="58CDB5D6" w:rsidR="00A900DD" w:rsidRDefault="00A900DD" w:rsidP="000C2D43">
      <w:pPr>
        <w:pStyle w:val="TBLText"/>
      </w:pPr>
      <w:r w:rsidRPr="00F57F22">
        <w:t xml:space="preserve">The Government </w:t>
      </w:r>
      <w:r w:rsidR="00E47CD4" w:rsidRPr="00F57F22">
        <w:t xml:space="preserve">also </w:t>
      </w:r>
      <w:r w:rsidRPr="00F57F22">
        <w:t xml:space="preserve">considers it is important that the treatment of draft legal advice is consistent across agencies. On 15 May 2023, the </w:t>
      </w:r>
      <w:r w:rsidR="007E0A98" w:rsidRPr="00F57F22">
        <w:t xml:space="preserve">Secretary of the </w:t>
      </w:r>
      <w:r w:rsidRPr="00F57F22">
        <w:t>Attorney-General’s Department circulated</w:t>
      </w:r>
      <w:r w:rsidR="007E0A98" w:rsidRPr="00F57F22">
        <w:t xml:space="preserve"> </w:t>
      </w:r>
      <w:r w:rsidR="00900037" w:rsidRPr="00F57F22">
        <w:t>initial</w:t>
      </w:r>
      <w:r w:rsidRPr="00F57F22">
        <w:t xml:space="preserve"> </w:t>
      </w:r>
      <w:r w:rsidR="007E0A98" w:rsidRPr="00F57F22">
        <w:t xml:space="preserve">guidance </w:t>
      </w:r>
      <w:r w:rsidRPr="00F57F22">
        <w:t xml:space="preserve">to all the heads of legal services functions across the </w:t>
      </w:r>
      <w:r w:rsidR="007E0A98" w:rsidRPr="00F57F22">
        <w:t>APS</w:t>
      </w:r>
      <w:r w:rsidRPr="00F57F22">
        <w:t xml:space="preserve"> </w:t>
      </w:r>
      <w:r w:rsidR="007E0A98" w:rsidRPr="00F57F22">
        <w:t>on the use of draft legal advice within government</w:t>
      </w:r>
      <w:r w:rsidRPr="00F57F22">
        <w:t xml:space="preserve">, making it clear that legal advice cannot be </w:t>
      </w:r>
      <w:r w:rsidRPr="00F57F22">
        <w:lastRenderedPageBreak/>
        <w:t xml:space="preserve">disregarded because it is in draft form and that it is never acceptable for legal advice not to be finalised on the basis that the advice may be inconvenient or unwelcome. The </w:t>
      </w:r>
      <w:r w:rsidR="00D25615">
        <w:br/>
      </w:r>
      <w:r w:rsidRPr="00F57F22">
        <w:t xml:space="preserve">Attorney-General’s Department </w:t>
      </w:r>
      <w:r w:rsidR="00110077">
        <w:t xml:space="preserve">is </w:t>
      </w:r>
      <w:r w:rsidRPr="00F57F22">
        <w:t>review</w:t>
      </w:r>
      <w:r w:rsidR="00110077">
        <w:t>ing</w:t>
      </w:r>
      <w:r w:rsidRPr="00F57F22">
        <w:t xml:space="preserve"> th</w:t>
      </w:r>
      <w:r w:rsidR="00900037" w:rsidRPr="00F57F22">
        <w:t xml:space="preserve">e </w:t>
      </w:r>
      <w:r w:rsidRPr="00F57F22">
        <w:t>guidance in light of the observations made by the Royal Commission.</w:t>
      </w:r>
    </w:p>
    <w:p w14:paraId="384E80B2" w14:textId="6B2B6F97"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w:t>
      </w:r>
      <w:r>
        <w:rPr>
          <w:rFonts w:ascii="Segoe UI Semilight" w:hAnsi="Segoe UI Semilight" w:cs="Segoe UI Semilight"/>
          <w:b/>
          <w:bCs/>
          <w:color w:val="000000"/>
          <w:szCs w:val="22"/>
        </w:rPr>
        <w:t>6</w:t>
      </w:r>
      <w:r w:rsidRPr="00F57F22">
        <w:rPr>
          <w:rFonts w:ascii="Segoe UI Semilight" w:hAnsi="Segoe UI Semilight" w:cs="Segoe UI Semilight"/>
          <w:b/>
          <w:bCs/>
          <w:color w:val="000000"/>
          <w:szCs w:val="22"/>
        </w:rPr>
        <w:t>: Draft advice – S</w:t>
      </w:r>
      <w:r>
        <w:rPr>
          <w:rFonts w:ascii="Segoe UI Semilight" w:hAnsi="Segoe UI Semilight" w:cs="Segoe UI Semilight"/>
          <w:b/>
          <w:bCs/>
          <w:color w:val="000000"/>
          <w:szCs w:val="22"/>
        </w:rPr>
        <w:t>ervices Australia</w:t>
      </w:r>
    </w:p>
    <w:p w14:paraId="1E2E5E4A" w14:textId="7E11085F"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Services Australia should issue a direction that legal advice is to be left in draft form only to the extent that the administrative step of finalising it has not yet been undertaken by lawyers or there are remaining questions to be answered in relation to the issues under consideration and that, if the administering agency decides that a draft advice need not be provided in final form, that decision and the reasons for it must be documented. One of those steps – finalisation, or a documented decision against finalisation – should have been taken within three months of the receipt of the draft advice.</w:t>
      </w:r>
    </w:p>
    <w:p w14:paraId="71F00056" w14:textId="77777777" w:rsidR="00A900DD" w:rsidRPr="00F57F22" w:rsidRDefault="00A900DD" w:rsidP="000C2D43">
      <w:pPr>
        <w:pStyle w:val="TBLText"/>
      </w:pPr>
      <w:r w:rsidRPr="00F57F22">
        <w:t xml:space="preserve">The Government </w:t>
      </w:r>
      <w:r w:rsidRPr="00F57F22">
        <w:rPr>
          <w:b/>
        </w:rPr>
        <w:t xml:space="preserve">accepts </w:t>
      </w:r>
      <w:r w:rsidRPr="00F57F22">
        <w:t xml:space="preserve">this recommendation. </w:t>
      </w:r>
    </w:p>
    <w:p w14:paraId="707F1FF8" w14:textId="3266B19F" w:rsidR="00A900DD" w:rsidRPr="00F57F22" w:rsidRDefault="00A900DD" w:rsidP="000C2D43">
      <w:pPr>
        <w:pStyle w:val="TBLText"/>
      </w:pPr>
      <w:r w:rsidRPr="00F57F22">
        <w:t xml:space="preserve">The Government agrees that </w:t>
      </w:r>
      <w:r w:rsidR="00C2206E">
        <w:t xml:space="preserve">legal advice cannot be disregarded because it is in draft form and </w:t>
      </w:r>
      <w:r w:rsidRPr="00F57F22">
        <w:t>it is never acceptable for legal advice not to be finalised on the basis that the advice ma</w:t>
      </w:r>
      <w:r w:rsidR="00C85416">
        <w:t>y be inconvenient or unwelcome.</w:t>
      </w:r>
    </w:p>
    <w:p w14:paraId="3B5FC3E1" w14:textId="77777777" w:rsidR="0020031C" w:rsidRPr="00F57F22" w:rsidRDefault="00733EDF" w:rsidP="000C2D43">
      <w:pPr>
        <w:pStyle w:val="TBLText"/>
      </w:pPr>
      <w:r w:rsidRPr="00F57F22">
        <w:t xml:space="preserve">The Chief Counsel of Services Australia has </w:t>
      </w:r>
      <w:r w:rsidR="00D1639F" w:rsidRPr="00F57F22">
        <w:t>issued</w:t>
      </w:r>
      <w:r w:rsidRPr="00F57F22">
        <w:t xml:space="preserve"> internal Legal Practice Standards</w:t>
      </w:r>
      <w:r w:rsidR="00D1639F" w:rsidRPr="00F57F22">
        <w:t xml:space="preserve"> on obtaining external legal advice, including draft advice</w:t>
      </w:r>
      <w:r w:rsidRPr="00F57F22">
        <w:t>. Legal Officers are</w:t>
      </w:r>
      <w:r w:rsidR="00D1639F" w:rsidRPr="00F57F22">
        <w:t xml:space="preserve"> required</w:t>
      </w:r>
      <w:r w:rsidRPr="00F57F22">
        <w:t xml:space="preserve"> to have regard to the Chief Counsel’s expectation that draft legal advice will ordinarily be finalised, that legal advice cannot be disregarded on the basis that it is in draft form, that it is never acceptable for draft legal advice not to be finalised because it may be unwelcome or inconvenient, and that draft legal advice should be finalised before it is relied upon to make decisions. Where finalisation of draft advice is not practicable, Legal Officers must place a file note on the relevant file confirming the reason the advice was not finalised.</w:t>
      </w:r>
    </w:p>
    <w:p w14:paraId="32506C39" w14:textId="11068678" w:rsidR="00900037" w:rsidRDefault="00900037" w:rsidP="000C2D43">
      <w:pPr>
        <w:pStyle w:val="TBLText"/>
      </w:pPr>
      <w:r w:rsidRPr="00F57F22">
        <w:t xml:space="preserve">The Government </w:t>
      </w:r>
      <w:r w:rsidR="000E7486" w:rsidRPr="00F57F22">
        <w:t xml:space="preserve">also </w:t>
      </w:r>
      <w:r w:rsidRPr="00F57F22">
        <w:t xml:space="preserve">considers it is important that the treatment of draft legal advice is consistent across agencies. On 15 May 2023, the Secretary of the Attorney-General’s Department circulated initial guidance to all the heads of legal services functions across the APS on the use of draft legal advice within government, making it clear that legal advice cannot be disregarded because it is in draft form and that it is never acceptable for legal advice not to be finalised on the basis that the advice may be inconvenient or unwelcome. The </w:t>
      </w:r>
      <w:r w:rsidR="00D25615">
        <w:br/>
      </w:r>
      <w:r w:rsidRPr="00F57F22">
        <w:t xml:space="preserve">Attorney-General’s Department </w:t>
      </w:r>
      <w:r w:rsidR="00110077">
        <w:t>is</w:t>
      </w:r>
      <w:r w:rsidRPr="00F57F22">
        <w:t xml:space="preserve"> review</w:t>
      </w:r>
      <w:r w:rsidR="00110077">
        <w:t>ing</w:t>
      </w:r>
      <w:r w:rsidRPr="00F57F22">
        <w:t xml:space="preserve"> the guidance in light of the observations made by the Royal Commission.</w:t>
      </w:r>
    </w:p>
    <w:p w14:paraId="03FFA848" w14:textId="7EE63929"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w:t>
      </w:r>
      <w:r>
        <w:rPr>
          <w:rFonts w:ascii="Segoe UI Semilight" w:hAnsi="Segoe UI Semilight" w:cs="Segoe UI Semilight"/>
          <w:b/>
          <w:bCs/>
          <w:color w:val="000000"/>
          <w:szCs w:val="22"/>
        </w:rPr>
        <w:t>7</w:t>
      </w:r>
      <w:r w:rsidRPr="00F57F22">
        <w:rPr>
          <w:rFonts w:ascii="Segoe UI Semilight" w:hAnsi="Segoe UI Semilight" w:cs="Segoe UI Semilight"/>
          <w:b/>
          <w:bCs/>
          <w:color w:val="000000"/>
          <w:szCs w:val="22"/>
        </w:rPr>
        <w:t xml:space="preserve">: </w:t>
      </w:r>
      <w:r>
        <w:rPr>
          <w:rFonts w:ascii="Segoe UI Semilight" w:hAnsi="Segoe UI Semilight" w:cs="Segoe UI Semilight"/>
          <w:b/>
          <w:bCs/>
          <w:color w:val="000000"/>
          <w:szCs w:val="22"/>
        </w:rPr>
        <w:t>The Directions</w:t>
      </w:r>
    </w:p>
    <w:p w14:paraId="01E783C3" w14:textId="5300CB00"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 xml:space="preserve">The </w:t>
      </w:r>
      <w:r w:rsidRPr="0065101F">
        <w:rPr>
          <w:rFonts w:ascii="Segoe UI Semilight" w:hAnsi="Segoe UI Semilight" w:cs="Segoe UI Semilight"/>
          <w:i/>
          <w:color w:val="000000"/>
          <w:szCs w:val="22"/>
        </w:rPr>
        <w:t>Legal Services Directions 2017</w:t>
      </w:r>
      <w:r w:rsidRPr="00F57F22">
        <w:rPr>
          <w:rFonts w:ascii="Segoe UI Semilight" w:hAnsi="Segoe UI Semilight" w:cs="Segoe UI Semilight"/>
          <w:color w:val="000000"/>
          <w:szCs w:val="22"/>
        </w:rPr>
        <w:t xml:space="preserve"> should be reviewed and simplified.</w:t>
      </w:r>
    </w:p>
    <w:p w14:paraId="072C6F65" w14:textId="18A5472D" w:rsidR="00A900DD" w:rsidRPr="00F57F22" w:rsidRDefault="00A900DD" w:rsidP="000C2D43">
      <w:pPr>
        <w:pStyle w:val="TBLText"/>
      </w:pPr>
      <w:r w:rsidRPr="00F57F22">
        <w:t xml:space="preserve">The Government </w:t>
      </w:r>
      <w:r w:rsidRPr="00F57F22">
        <w:rPr>
          <w:b/>
        </w:rPr>
        <w:t xml:space="preserve">accepts </w:t>
      </w:r>
      <w:r w:rsidR="00C85416">
        <w:t>this recommendation.</w:t>
      </w:r>
    </w:p>
    <w:p w14:paraId="5842B75A" w14:textId="77777777" w:rsidR="00A900DD" w:rsidRPr="00F57F22" w:rsidRDefault="00A900DD" w:rsidP="00A900DD">
      <w:pPr>
        <w:rPr>
          <w:rFonts w:ascii="Segoe UI Semilight" w:hAnsi="Segoe UI Semilight" w:cs="Segoe UI Semilight"/>
          <w:color w:val="000000"/>
          <w:szCs w:val="22"/>
        </w:rPr>
      </w:pPr>
      <w:r w:rsidRPr="00F57F22">
        <w:rPr>
          <w:rFonts w:ascii="Segoe UI Semilight" w:hAnsi="Segoe UI Semilight" w:cs="Segoe UI Semilight"/>
          <w:color w:val="000000"/>
          <w:szCs w:val="22"/>
        </w:rPr>
        <w:t xml:space="preserve">The </w:t>
      </w:r>
      <w:r w:rsidRPr="00F57F22">
        <w:rPr>
          <w:rFonts w:ascii="Segoe UI Semilight" w:hAnsi="Segoe UI Semilight" w:cs="Segoe UI Semilight"/>
          <w:i/>
          <w:color w:val="000000"/>
          <w:szCs w:val="22"/>
        </w:rPr>
        <w:t>Legal Services Directions 2017</w:t>
      </w:r>
      <w:r w:rsidRPr="00F57F22">
        <w:rPr>
          <w:rFonts w:ascii="Segoe UI Semilight" w:hAnsi="Segoe UI Semilight" w:cs="Segoe UI Semilight"/>
          <w:color w:val="000000"/>
          <w:szCs w:val="22"/>
        </w:rPr>
        <w:t xml:space="preserve"> play an important function setting out the requirements for sound practice in the provision of legal services to the Australian Government.</w:t>
      </w:r>
    </w:p>
    <w:p w14:paraId="1280CE51" w14:textId="4997C256" w:rsidR="00C23A62" w:rsidRPr="00F57F22" w:rsidRDefault="00C23A62" w:rsidP="000C2D43">
      <w:pPr>
        <w:pStyle w:val="TBLText"/>
      </w:pPr>
      <w:r w:rsidRPr="00F57F22">
        <w:lastRenderedPageBreak/>
        <w:t xml:space="preserve">The Government will review </w:t>
      </w:r>
      <w:r w:rsidR="00F15DC9">
        <w:t xml:space="preserve">and redraft aspects of </w:t>
      </w:r>
      <w:r w:rsidRPr="00F57F22">
        <w:t xml:space="preserve">the </w:t>
      </w:r>
      <w:r w:rsidRPr="00F57F22">
        <w:rPr>
          <w:i/>
        </w:rPr>
        <w:t>Legal Services Directions 2017</w:t>
      </w:r>
      <w:r w:rsidRPr="00F57F22">
        <w:t xml:space="preserve"> </w:t>
      </w:r>
      <w:r>
        <w:t xml:space="preserve">with a view </w:t>
      </w:r>
      <w:r w:rsidRPr="00F57F22">
        <w:t>to ensur</w:t>
      </w:r>
      <w:r>
        <w:t>ing</w:t>
      </w:r>
      <w:r w:rsidRPr="00F57F22">
        <w:t xml:space="preserve"> the Directions are fit-for-purpose in supporting agencies to undertake Commonwealth legal work and manage legal risk in an effective, consistent and </w:t>
      </w:r>
      <w:r w:rsidR="00D25615">
        <w:br/>
      </w:r>
      <w:r w:rsidRPr="00F57F22">
        <w:t>whole-of-Commonwealth manner.</w:t>
      </w:r>
    </w:p>
    <w:p w14:paraId="740E6D24" w14:textId="799549EF" w:rsidR="00A900DD" w:rsidRDefault="00A900DD" w:rsidP="000C2D43">
      <w:pPr>
        <w:pStyle w:val="TBLText"/>
      </w:pPr>
      <w:r w:rsidRPr="00F57F22">
        <w:t>The Attorney-General’s Department will</w:t>
      </w:r>
      <w:r w:rsidR="00900037" w:rsidRPr="00F57F22">
        <w:t xml:space="preserve"> lead implementation of this recommendation</w:t>
      </w:r>
      <w:r w:rsidR="00F15DC9">
        <w:t>.</w:t>
      </w:r>
    </w:p>
    <w:p w14:paraId="159610BF" w14:textId="52DB772D"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8: Office of Legal Services Coordination to assist agencies with significant issues reporting</w:t>
      </w:r>
    </w:p>
    <w:p w14:paraId="390D26C2" w14:textId="07189B48"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OLSC should provide more extensive information and feedback to assist agencies with the significant legal issues process.</w:t>
      </w:r>
    </w:p>
    <w:p w14:paraId="02FEB11C" w14:textId="50F8A1FC" w:rsidR="00245432" w:rsidRPr="00F57F22" w:rsidRDefault="00245432" w:rsidP="000C2D43">
      <w:pPr>
        <w:pStyle w:val="TBLText"/>
      </w:pPr>
      <w:r w:rsidRPr="00F57F22">
        <w:t xml:space="preserve">The Government </w:t>
      </w:r>
      <w:r w:rsidRPr="00F57F22">
        <w:rPr>
          <w:b/>
        </w:rPr>
        <w:t xml:space="preserve">accepts </w:t>
      </w:r>
      <w:r w:rsidR="00C85416">
        <w:t>this recommendation.</w:t>
      </w:r>
    </w:p>
    <w:p w14:paraId="624EEE9A" w14:textId="77777777" w:rsidR="00245432" w:rsidRPr="00F57F22" w:rsidRDefault="00245432" w:rsidP="000C2D43">
      <w:pPr>
        <w:pStyle w:val="TBLText"/>
      </w:pPr>
      <w:r w:rsidRPr="00F57F22">
        <w:t xml:space="preserve">The Government recognises the important function that the Office of Legal Services Coordination performs for the </w:t>
      </w:r>
      <w:r w:rsidR="00905506" w:rsidRPr="00F57F22">
        <w:t>APS</w:t>
      </w:r>
      <w:r w:rsidRPr="00F57F22">
        <w:t xml:space="preserve"> and supports the provision of any guidance that would further strengthen the reporting of significant legal issues.</w:t>
      </w:r>
    </w:p>
    <w:p w14:paraId="546B23D0" w14:textId="03009138" w:rsidR="00245432" w:rsidRPr="00F57F22" w:rsidRDefault="00245432" w:rsidP="000C2D43">
      <w:pPr>
        <w:pStyle w:val="TBLText"/>
      </w:pPr>
      <w:r w:rsidRPr="00F57F22">
        <w:t xml:space="preserve">The significant issues reporting and settlement regime in the </w:t>
      </w:r>
      <w:r w:rsidRPr="00F57F22">
        <w:rPr>
          <w:i/>
        </w:rPr>
        <w:t>Legal Services Directions 2017</w:t>
      </w:r>
      <w:r w:rsidRPr="00F57F22">
        <w:t xml:space="preserve"> allows the Attorney-General as First Law Officer to have visibility of</w:t>
      </w:r>
      <w:r w:rsidR="00905506" w:rsidRPr="00F57F22">
        <w:t>,</w:t>
      </w:r>
      <w:r w:rsidRPr="00F57F22">
        <w:t xml:space="preserve"> and the ability to influence</w:t>
      </w:r>
      <w:r w:rsidR="00905506" w:rsidRPr="00F57F22">
        <w:t>,</w:t>
      </w:r>
      <w:r w:rsidRPr="00F57F22">
        <w:t xml:space="preserve"> key legal matters across the Commonwealth. </w:t>
      </w:r>
      <w:r w:rsidR="00153D52">
        <w:t>T</w:t>
      </w:r>
      <w:r w:rsidRPr="00F57F22">
        <w:t xml:space="preserve">he Attorney-General’s Department </w:t>
      </w:r>
      <w:r w:rsidR="00B94248" w:rsidRPr="00F57F22">
        <w:t>will</w:t>
      </w:r>
      <w:r w:rsidR="00905506" w:rsidRPr="00F57F22">
        <w:t xml:space="preserve"> </w:t>
      </w:r>
      <w:r w:rsidR="00B94248" w:rsidRPr="00F57F22">
        <w:t>review its practices to provide</w:t>
      </w:r>
      <w:r w:rsidRPr="00F57F22">
        <w:t xml:space="preserve"> </w:t>
      </w:r>
      <w:r w:rsidR="00B94248" w:rsidRPr="00F57F22">
        <w:t>improved guidance and</w:t>
      </w:r>
      <w:r w:rsidRPr="00F57F22">
        <w:t xml:space="preserve"> support to better enable agencies to identify significant issues arising in their legal work, and to provide the relevant information at the appropriate time to support the Attorney-General perform the functions</w:t>
      </w:r>
      <w:r w:rsidR="00905506" w:rsidRPr="00F57F22">
        <w:t xml:space="preserve"> of the First Law Officer</w:t>
      </w:r>
      <w:r w:rsidRPr="00F57F22">
        <w:t>.</w:t>
      </w:r>
    </w:p>
    <w:p w14:paraId="7F749C9B" w14:textId="1E805486" w:rsidR="00905506" w:rsidRDefault="0078217A" w:rsidP="000C2D43">
      <w:pPr>
        <w:pStyle w:val="TBLText"/>
      </w:pPr>
      <w:r>
        <w:t xml:space="preserve">The Government is providing </w:t>
      </w:r>
      <w:r w:rsidR="006F6EB4">
        <w:t>$</w:t>
      </w:r>
      <w:r w:rsidR="00D52692" w:rsidRPr="007F0926">
        <w:t>5.2</w:t>
      </w:r>
      <w:r w:rsidR="00D52692">
        <w:t xml:space="preserve"> </w:t>
      </w:r>
      <w:r w:rsidR="006F6EB4">
        <w:t>m</w:t>
      </w:r>
      <w:r w:rsidR="00D52692">
        <w:t>illion</w:t>
      </w:r>
      <w:r w:rsidR="006F6EB4">
        <w:t xml:space="preserve"> over the forward estimates and $</w:t>
      </w:r>
      <w:r w:rsidR="00D52692" w:rsidRPr="007F0926">
        <w:t>1.</w:t>
      </w:r>
      <w:r w:rsidR="00B54ABE" w:rsidRPr="007F0926">
        <w:t>1</w:t>
      </w:r>
      <w:r w:rsidR="006F6EB4">
        <w:t xml:space="preserve"> million per year, ongoing, including </w:t>
      </w:r>
      <w:r>
        <w:t>additional ongoing staff for the Attorney-General’s Department</w:t>
      </w:r>
      <w:r w:rsidR="00D52692">
        <w:t>,</w:t>
      </w:r>
      <w:r>
        <w:t xml:space="preserve"> to provide improved support and guidance </w:t>
      </w:r>
      <w:r w:rsidR="006F6EB4">
        <w:t>on the significant legal issues regime.</w:t>
      </w:r>
    </w:p>
    <w:p w14:paraId="199ED882" w14:textId="2B0655DA"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9: Recording of reporting obligation</w:t>
      </w:r>
      <w:r>
        <w:rPr>
          <w:rFonts w:ascii="Segoe UI Semilight" w:hAnsi="Segoe UI Semilight" w:cs="Segoe UI Semilight"/>
          <w:b/>
          <w:bCs/>
          <w:color w:val="000000"/>
          <w:szCs w:val="22"/>
        </w:rPr>
        <w:t>s</w:t>
      </w:r>
    </w:p>
    <w:p w14:paraId="7DE4BEAD" w14:textId="5C96EF03"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OLSC should ensure a documentary record is made of substantive inquiries made with and responses given by agencies concerning their obligations to report significant issues pursuant to para 3.1 of the Directions.</w:t>
      </w:r>
    </w:p>
    <w:p w14:paraId="760AB45E" w14:textId="77777777" w:rsidR="00245432" w:rsidRPr="00F57F22" w:rsidRDefault="00245432" w:rsidP="000C2D43">
      <w:pPr>
        <w:pStyle w:val="TBLText"/>
      </w:pPr>
      <w:r w:rsidRPr="00F57F22">
        <w:t xml:space="preserve">The Government </w:t>
      </w:r>
      <w:r w:rsidRPr="00F57F22">
        <w:rPr>
          <w:b/>
        </w:rPr>
        <w:t xml:space="preserve">accepts </w:t>
      </w:r>
      <w:r w:rsidRPr="00F57F22">
        <w:t xml:space="preserve">this recommendation. </w:t>
      </w:r>
    </w:p>
    <w:p w14:paraId="004C1E6C" w14:textId="2A7C609C" w:rsidR="00005A6C" w:rsidRDefault="00245432" w:rsidP="009E2FAE">
      <w:pPr>
        <w:pStyle w:val="TBLText"/>
      </w:pPr>
      <w:r w:rsidRPr="00F57F22">
        <w:t>The Attorney-General’s Department will build on existing work to ensure it has appropriate processes to document and record all inquiries with agencies on whether a legal issue is required to be reported.</w:t>
      </w:r>
      <w:r w:rsidR="00005A6C">
        <w:br w:type="page"/>
      </w:r>
    </w:p>
    <w:p w14:paraId="283A5DC0" w14:textId="2B96F8A5"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10: The Directions 2</w:t>
      </w:r>
    </w:p>
    <w:p w14:paraId="622B5A93" w14:textId="25D4A43D"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OLSC</w:t>
      </w:r>
      <w:r w:rsidRPr="00DF7A6C">
        <w:rPr>
          <w:rFonts w:ascii="Segoe UI Semilight" w:hAnsi="Segoe UI Semilight" w:cs="Segoe UI Semilight"/>
          <w:color w:val="000000"/>
          <w:szCs w:val="22"/>
        </w:rPr>
        <w:t xml:space="preserve"> </w:t>
      </w:r>
      <w:r w:rsidRPr="00F57F22">
        <w:rPr>
          <w:rFonts w:ascii="Segoe UI Semilight" w:hAnsi="Segoe UI Semilight" w:cs="Segoe UI Semilight"/>
          <w:color w:val="000000"/>
          <w:szCs w:val="22"/>
        </w:rPr>
        <w:t xml:space="preserve">should issue guidance material on the obligations to consult on and disclose advice in clause 10 of the </w:t>
      </w:r>
      <w:r w:rsidRPr="0065101F">
        <w:rPr>
          <w:rFonts w:ascii="Segoe UI Semilight" w:hAnsi="Segoe UI Semilight" w:cs="Segoe UI Semilight"/>
          <w:i/>
          <w:color w:val="000000"/>
          <w:szCs w:val="22"/>
        </w:rPr>
        <w:t>Legal Services Directions 2017</w:t>
      </w:r>
      <w:r w:rsidRPr="00F57F22">
        <w:rPr>
          <w:rFonts w:ascii="Segoe UI Semilight" w:hAnsi="Segoe UI Semilight" w:cs="Segoe UI Semilight"/>
          <w:color w:val="000000"/>
          <w:szCs w:val="22"/>
        </w:rPr>
        <w:t>.</w:t>
      </w:r>
    </w:p>
    <w:p w14:paraId="1858DE4B" w14:textId="764D396D" w:rsidR="00245432" w:rsidRPr="00F57F22" w:rsidRDefault="00245432" w:rsidP="000C2D43">
      <w:pPr>
        <w:pStyle w:val="TBLText"/>
      </w:pPr>
      <w:r w:rsidRPr="00F57F22">
        <w:t xml:space="preserve">The Government </w:t>
      </w:r>
      <w:r w:rsidRPr="00F57F22">
        <w:rPr>
          <w:b/>
        </w:rPr>
        <w:t xml:space="preserve">accepts </w:t>
      </w:r>
      <w:r w:rsidRPr="00F57F22">
        <w:t>this recommendation.</w:t>
      </w:r>
    </w:p>
    <w:p w14:paraId="5F4BE4AB" w14:textId="77777777" w:rsidR="00245432" w:rsidRPr="00F57F22" w:rsidRDefault="00245432" w:rsidP="000C2D43">
      <w:pPr>
        <w:pStyle w:val="TBLText"/>
      </w:pPr>
      <w:r w:rsidRPr="00F57F22">
        <w:t>The Government recognises the important function that the Office of Legal Services Coordination performs for the Australian Public Service and supports the provision of any guidance that would further strengthen the reporting of significant legal issues.</w:t>
      </w:r>
    </w:p>
    <w:p w14:paraId="23876DFD" w14:textId="29AA59D9" w:rsidR="00245432" w:rsidRDefault="00245432" w:rsidP="000C2D43">
      <w:pPr>
        <w:pStyle w:val="TBLText"/>
      </w:pPr>
      <w:r w:rsidRPr="00F57F22">
        <w:t xml:space="preserve">The Attorney-General’s Department will develop new guidance material to support agencies' understanding of and compliance with the obligations in paragraph 10 of the </w:t>
      </w:r>
      <w:r w:rsidRPr="00F57F22">
        <w:rPr>
          <w:i/>
        </w:rPr>
        <w:t>Legal Services Directions 2017</w:t>
      </w:r>
      <w:r w:rsidRPr="00F57F22">
        <w:t xml:space="preserve"> on the consultation on and sharing of legal advices.</w:t>
      </w:r>
    </w:p>
    <w:p w14:paraId="1544686C" w14:textId="734454DC"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1</w:t>
      </w:r>
      <w:r>
        <w:rPr>
          <w:rFonts w:ascii="Segoe UI Semilight" w:hAnsi="Segoe UI Semilight" w:cs="Segoe UI Semilight"/>
          <w:b/>
          <w:bCs/>
          <w:color w:val="000000"/>
          <w:szCs w:val="22"/>
        </w:rPr>
        <w:t>1</w:t>
      </w:r>
      <w:r w:rsidRPr="00F57F22">
        <w:rPr>
          <w:rFonts w:ascii="Segoe UI Semilight" w:hAnsi="Segoe UI Semilight" w:cs="Segoe UI Semilight"/>
          <w:b/>
          <w:bCs/>
          <w:color w:val="000000"/>
          <w:szCs w:val="22"/>
        </w:rPr>
        <w:t>: Resourcing the Office of Legal Services Coordinatio</w:t>
      </w:r>
      <w:r>
        <w:rPr>
          <w:rFonts w:ascii="Segoe UI Semilight" w:hAnsi="Segoe UI Semilight" w:cs="Segoe UI Semilight"/>
          <w:b/>
          <w:bCs/>
          <w:color w:val="000000"/>
          <w:szCs w:val="22"/>
        </w:rPr>
        <w:t>n</w:t>
      </w:r>
    </w:p>
    <w:p w14:paraId="7C66BA97" w14:textId="02D3F659"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OLSC should be properly resourced to deliver these functions.</w:t>
      </w:r>
    </w:p>
    <w:p w14:paraId="2B681170" w14:textId="2B4CB6E5" w:rsidR="00754878" w:rsidRPr="00F57F22" w:rsidRDefault="00754878" w:rsidP="000C2D43">
      <w:pPr>
        <w:pStyle w:val="TBLText"/>
      </w:pPr>
      <w:r w:rsidRPr="00F57F22">
        <w:t xml:space="preserve">The Government </w:t>
      </w:r>
      <w:r w:rsidRPr="00F57F22">
        <w:rPr>
          <w:b/>
        </w:rPr>
        <w:t xml:space="preserve">accepts </w:t>
      </w:r>
      <w:r w:rsidR="00C85416">
        <w:t>this recommendation.</w:t>
      </w:r>
    </w:p>
    <w:p w14:paraId="6FA9C873" w14:textId="3945163E" w:rsidR="00754878" w:rsidRPr="00F57F22" w:rsidRDefault="00754878" w:rsidP="00754878">
      <w:pPr>
        <w:rPr>
          <w:rFonts w:ascii="Segoe UI Semilight" w:hAnsi="Segoe UI Semilight" w:cs="Segoe UI Semilight"/>
          <w:color w:val="000000"/>
          <w:szCs w:val="22"/>
        </w:rPr>
      </w:pPr>
      <w:r w:rsidRPr="00F57F22">
        <w:rPr>
          <w:rFonts w:ascii="Segoe UI Semilight" w:hAnsi="Segoe UI Semilight" w:cs="Segoe UI Semilight"/>
          <w:color w:val="000000"/>
          <w:szCs w:val="22"/>
        </w:rPr>
        <w:t>The Government recognises the important function that the Office of Legal Services Coordination performs for the Australian Public Service and that it be properly resourc</w:t>
      </w:r>
      <w:r w:rsidR="00C85416">
        <w:rPr>
          <w:rFonts w:ascii="Segoe UI Semilight" w:hAnsi="Segoe UI Semilight" w:cs="Segoe UI Semilight"/>
          <w:color w:val="000000"/>
          <w:szCs w:val="22"/>
        </w:rPr>
        <w:t>ed.</w:t>
      </w:r>
    </w:p>
    <w:p w14:paraId="5F7BDD4F" w14:textId="77777777" w:rsidR="00754878" w:rsidRPr="00F57F22" w:rsidRDefault="00754878" w:rsidP="000C2D43">
      <w:pPr>
        <w:pStyle w:val="TBLText"/>
      </w:pPr>
      <w:r w:rsidRPr="00F57F22">
        <w:t>The Office of Legal Services Coordination in the Attorney-General’s Department performs a critical function in supporting the Attorney-General as First Law Officer in having overarching responsibility for all Commonwealth legal work, and supporting agencies to manage legal risk in a collaborative and whole-of-Commonwealth manner. The Government will ensure that OLSC is adequately resourced to perform its functions, which will enable it to provide the support necessary for agencies to manage legal issues effectively.</w:t>
      </w:r>
    </w:p>
    <w:p w14:paraId="08A6E536" w14:textId="787F6324"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.12: Chief counse</w:t>
      </w:r>
      <w:r>
        <w:rPr>
          <w:rFonts w:ascii="Segoe UI Semilight" w:hAnsi="Segoe UI Semilight" w:cs="Segoe UI Semilight"/>
          <w:b/>
          <w:bCs/>
          <w:color w:val="000000"/>
          <w:szCs w:val="22"/>
        </w:rPr>
        <w:t>l</w:t>
      </w:r>
    </w:p>
    <w:p w14:paraId="1AEE80C3" w14:textId="0D51F9DF"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 xml:space="preserve">The Australian Government Legal Service’s General Counsel Charter be amended to place a positive obligation on chief counsel to ensure that the </w:t>
      </w:r>
      <w:r w:rsidRPr="0065101F">
        <w:rPr>
          <w:rFonts w:ascii="Segoe UI Semilight" w:hAnsi="Segoe UI Semilight" w:cs="Segoe UI Semilight"/>
          <w:i/>
          <w:color w:val="000000"/>
          <w:szCs w:val="22"/>
        </w:rPr>
        <w:t>Legal Services Directions 2017</w:t>
      </w:r>
      <w:r w:rsidRPr="00F57F22">
        <w:rPr>
          <w:rFonts w:ascii="Segoe UI Semilight" w:hAnsi="Segoe UI Semilight" w:cs="Segoe UI Semilight"/>
          <w:color w:val="000000"/>
          <w:szCs w:val="22"/>
        </w:rPr>
        <w:t xml:space="preserve"> (Cth) are complied with and to document interactions with OLSC about inquiries made, and responses given, concerning reporting obl</w:t>
      </w:r>
      <w:r>
        <w:rPr>
          <w:rFonts w:ascii="Segoe UI Semilight" w:hAnsi="Segoe UI Semilight" w:cs="Segoe UI Semilight"/>
          <w:color w:val="000000"/>
          <w:szCs w:val="22"/>
        </w:rPr>
        <w:t>igations under those Directions</w:t>
      </w:r>
      <w:r w:rsidRPr="00F57F22">
        <w:rPr>
          <w:rFonts w:ascii="Segoe UI Semilight" w:hAnsi="Segoe UI Semilight" w:cs="Segoe UI Semilight"/>
          <w:color w:val="000000"/>
          <w:szCs w:val="22"/>
        </w:rPr>
        <w:t>.</w:t>
      </w:r>
    </w:p>
    <w:p w14:paraId="7BF70859" w14:textId="79DEDB77" w:rsidR="00754878" w:rsidRPr="00F57F22" w:rsidRDefault="00754878" w:rsidP="000C2D43">
      <w:pPr>
        <w:pStyle w:val="TBLText"/>
      </w:pPr>
      <w:r w:rsidRPr="00F57F22">
        <w:t xml:space="preserve">The Government </w:t>
      </w:r>
      <w:r w:rsidRPr="00F57F22">
        <w:rPr>
          <w:b/>
        </w:rPr>
        <w:t xml:space="preserve">accepts </w:t>
      </w:r>
      <w:r w:rsidR="00C85416">
        <w:t>this recommendation.</w:t>
      </w:r>
    </w:p>
    <w:p w14:paraId="09B8A681" w14:textId="22BD0308" w:rsidR="00905506" w:rsidRPr="00F57F22" w:rsidRDefault="00754878" w:rsidP="000C2D43">
      <w:pPr>
        <w:pStyle w:val="TBLText"/>
      </w:pPr>
      <w:r w:rsidRPr="00F57F22">
        <w:t>The Government recognises that the General Counsel</w:t>
      </w:r>
      <w:r w:rsidR="00A746D1" w:rsidRPr="00F57F22">
        <w:t xml:space="preserve"> or Chief Counsel</w:t>
      </w:r>
      <w:r w:rsidRPr="00F57F22">
        <w:t xml:space="preserve"> in </w:t>
      </w:r>
      <w:r w:rsidR="00952699" w:rsidRPr="00F57F22">
        <w:t xml:space="preserve">a </w:t>
      </w:r>
      <w:r w:rsidRPr="00F57F22">
        <w:t>government agency plays an important role in the managem</w:t>
      </w:r>
      <w:r w:rsidR="00C85416">
        <w:t>ent of Commonwealth legal risk.</w:t>
      </w:r>
    </w:p>
    <w:p w14:paraId="0549FB39" w14:textId="523A7EF2" w:rsidR="00905506" w:rsidRPr="00F57F22" w:rsidRDefault="00754878" w:rsidP="000C2D43">
      <w:pPr>
        <w:pStyle w:val="TBLText"/>
      </w:pPr>
      <w:r w:rsidRPr="00F57F22">
        <w:t xml:space="preserve">The General Counsel Charter, established in January 2022, establishes a set of common expectations for General Counsel, and creates a relationship between General Counsel and the </w:t>
      </w:r>
      <w:r w:rsidR="00B94248" w:rsidRPr="00F57F22">
        <w:t>Attorney-General’s Department</w:t>
      </w:r>
      <w:r w:rsidRPr="00F57F22">
        <w:t xml:space="preserve"> Secretary as the head of the Australian G</w:t>
      </w:r>
      <w:r w:rsidR="00C85416">
        <w:t>overnment Legal Service (AGLS).</w:t>
      </w:r>
    </w:p>
    <w:p w14:paraId="21173043" w14:textId="79322702" w:rsidR="00754878" w:rsidRDefault="00B94248" w:rsidP="000C2D43">
      <w:pPr>
        <w:pStyle w:val="TBLText"/>
      </w:pPr>
      <w:r w:rsidRPr="00F57F22">
        <w:lastRenderedPageBreak/>
        <w:t>The Attorney-General’s Department</w:t>
      </w:r>
      <w:r w:rsidR="00754878" w:rsidRPr="00F57F22">
        <w:t>, in consultation with the AGLS Board and General Counsel, will review and update the General Counsel Charter in light of the recommendations and observations of the Royal Commission.</w:t>
      </w:r>
    </w:p>
    <w:p w14:paraId="534CE8C3" w14:textId="02961A0E" w:rsidR="00DF7A6C" w:rsidRPr="00D914D3" w:rsidRDefault="00DF7A6C"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Pr>
          <w:rFonts w:ascii="Segoe UI Semilight" w:hAnsi="Segoe UI Semilight" w:cs="Segoe UI Semilight"/>
          <w:b/>
          <w:bCs/>
          <w:color w:val="000000"/>
          <w:szCs w:val="22"/>
        </w:rPr>
        <w:t>19</w:t>
      </w:r>
      <w:r w:rsidRPr="00F57F22">
        <w:rPr>
          <w:rFonts w:ascii="Segoe UI Semilight" w:hAnsi="Segoe UI Semilight" w:cs="Segoe UI Semilight"/>
          <w:b/>
          <w:bCs/>
          <w:color w:val="000000"/>
          <w:szCs w:val="22"/>
        </w:rPr>
        <w:t>.13: Review of the Bilateral Management Agreement</w:t>
      </w:r>
    </w:p>
    <w:p w14:paraId="488A556F" w14:textId="25EE2537" w:rsidR="00DF7A6C" w:rsidRPr="00DF7A6C" w:rsidRDefault="00DF7A6C"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w:t>
      </w:r>
      <w:r w:rsidR="00742D5E" w:rsidRPr="00742D5E">
        <w:rPr>
          <w:rFonts w:ascii="Segoe UI Semilight" w:hAnsi="Segoe UI Semilight" w:cs="Segoe UI Semilight"/>
          <w:color w:val="000000"/>
          <w:szCs w:val="22"/>
        </w:rPr>
        <w:t xml:space="preserve"> </w:t>
      </w:r>
      <w:r w:rsidR="00742D5E" w:rsidRPr="00F57F22">
        <w:rPr>
          <w:rFonts w:ascii="Segoe UI Semilight" w:hAnsi="Segoe UI Semilight" w:cs="Segoe UI Semilight"/>
          <w:color w:val="000000"/>
          <w:szCs w:val="22"/>
        </w:rPr>
        <w:t>revised Bilateral Management Agreement should set out the requirement to consult on and disclose legal advices between the two agencies where any int</w:t>
      </w:r>
      <w:r w:rsidR="00742D5E">
        <w:rPr>
          <w:rFonts w:ascii="Segoe UI Semilight" w:hAnsi="Segoe UI Semilight" w:cs="Segoe UI Semilight"/>
          <w:color w:val="000000"/>
          <w:szCs w:val="22"/>
        </w:rPr>
        <w:t>ersection of work is identified</w:t>
      </w:r>
      <w:r w:rsidRPr="00F57F22">
        <w:rPr>
          <w:rFonts w:ascii="Segoe UI Semilight" w:hAnsi="Segoe UI Semilight" w:cs="Segoe UI Semilight"/>
          <w:color w:val="000000"/>
          <w:szCs w:val="22"/>
        </w:rPr>
        <w:t>.</w:t>
      </w:r>
    </w:p>
    <w:p w14:paraId="1902704F" w14:textId="1663149A" w:rsidR="003E2BC2" w:rsidRPr="00F57F22" w:rsidRDefault="003E2BC2" w:rsidP="000C2D43">
      <w:pPr>
        <w:pStyle w:val="TBLText"/>
      </w:pPr>
      <w:r w:rsidRPr="00F57F22">
        <w:t xml:space="preserve">The Government </w:t>
      </w:r>
      <w:r w:rsidRPr="00F57F22">
        <w:rPr>
          <w:b/>
        </w:rPr>
        <w:t xml:space="preserve">accepts </w:t>
      </w:r>
      <w:r w:rsidR="00C85416">
        <w:t>this recommendation.</w:t>
      </w:r>
    </w:p>
    <w:p w14:paraId="1A2CFE54" w14:textId="449C24DE" w:rsidR="00905506" w:rsidRPr="00F57F22" w:rsidRDefault="003E2BC2" w:rsidP="000C2D43">
      <w:pPr>
        <w:pStyle w:val="TBLText"/>
      </w:pPr>
      <w:r w:rsidRPr="00F57F22">
        <w:t xml:space="preserve">In April 2023, the Secretary of the Department of Social Services and the Chief Executive </w:t>
      </w:r>
      <w:r w:rsidR="00CD0EA2" w:rsidRPr="00F57F22">
        <w:t xml:space="preserve">Officer </w:t>
      </w:r>
      <w:r w:rsidRPr="00F57F22">
        <w:t xml:space="preserve">of Services Australia executed a new </w:t>
      </w:r>
      <w:r w:rsidR="002D33F5">
        <w:t xml:space="preserve">Head Agreement to support the </w:t>
      </w:r>
      <w:r w:rsidRPr="00F57F22">
        <w:t xml:space="preserve">Bilateral Management </w:t>
      </w:r>
      <w:r w:rsidR="00AF3DE9">
        <w:t xml:space="preserve">Arrangement. </w:t>
      </w:r>
      <w:r w:rsidRPr="00F57F22">
        <w:t>Under that agreement both committed to reviewing all Protocols, Service Arrangements and Service Schedules entered into u</w:t>
      </w:r>
      <w:r w:rsidR="00C85416">
        <w:t>nder the former Head Agreement.</w:t>
      </w:r>
    </w:p>
    <w:p w14:paraId="7D05FE70" w14:textId="77986B81" w:rsidR="00EC5D34" w:rsidRDefault="00EC5D34" w:rsidP="000C2D43">
      <w:pPr>
        <w:pStyle w:val="TBLText"/>
      </w:pPr>
      <w:r>
        <w:t xml:space="preserve">Work is underway by both agencies to include the requirement to consult on and disclose relevant legal advices in an updated Protocol. In conjunction, Chief Counsels within the </w:t>
      </w:r>
      <w:r w:rsidR="00284A94">
        <w:t>s</w:t>
      </w:r>
      <w:r>
        <w:t xml:space="preserve">ocial </w:t>
      </w:r>
      <w:r w:rsidR="00284A94">
        <w:t>s</w:t>
      </w:r>
      <w:r>
        <w:t xml:space="preserve">ervices </w:t>
      </w:r>
      <w:r w:rsidR="00005A6C">
        <w:t xml:space="preserve">portfolio </w:t>
      </w:r>
      <w:r>
        <w:t xml:space="preserve">have updated the advice-sharing arrangements agreed in 2021. Chief Counsels also have regular dialogue on significant legal issues and </w:t>
      </w:r>
      <w:r w:rsidR="007D2750">
        <w:t>p</w:t>
      </w:r>
      <w:r>
        <w:t>ortfolio-level responses, including through a regular Chief Counsel Forum.</w:t>
      </w:r>
    </w:p>
    <w:p w14:paraId="3C3F4C8B" w14:textId="175ED9BE" w:rsidR="00974797" w:rsidRPr="00D914D3" w:rsidRDefault="0097479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20.1: AAT cases with significant legal and policy issue</w:t>
      </w:r>
      <w:r>
        <w:rPr>
          <w:rFonts w:ascii="Segoe UI Semilight" w:hAnsi="Segoe UI Semilight" w:cs="Segoe UI Semilight"/>
          <w:b/>
          <w:bCs/>
          <w:color w:val="000000"/>
          <w:szCs w:val="22"/>
        </w:rPr>
        <w:t>s</w:t>
      </w:r>
    </w:p>
    <w:p w14:paraId="2289D2AE" w14:textId="5E93B920" w:rsidR="00974797" w:rsidRPr="0089733F" w:rsidRDefault="0097479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Services Australia should put in place a system for identifying AAT cases which raise significant legal and policy issues and ensuring that they are brought to the attention of senior DSS and Services Australia officers.</w:t>
      </w:r>
    </w:p>
    <w:p w14:paraId="30499303" w14:textId="63591ACE" w:rsidR="008A1A17" w:rsidRPr="00F57F22" w:rsidRDefault="008A1A17" w:rsidP="000C2D43">
      <w:pPr>
        <w:pStyle w:val="TBLText"/>
      </w:pPr>
      <w:r w:rsidRPr="00F57F22">
        <w:t xml:space="preserve">The Government </w:t>
      </w:r>
      <w:r w:rsidRPr="00F57F22">
        <w:rPr>
          <w:b/>
        </w:rPr>
        <w:t xml:space="preserve">accepts </w:t>
      </w:r>
      <w:r w:rsidR="00C85416">
        <w:t>this recommendation.</w:t>
      </w:r>
    </w:p>
    <w:p w14:paraId="5119DD50" w14:textId="63AAD92C" w:rsidR="00844549" w:rsidRPr="00F57F22" w:rsidRDefault="008A1A17" w:rsidP="000C2D43">
      <w:pPr>
        <w:pStyle w:val="TBLText"/>
      </w:pPr>
      <w:r w:rsidRPr="00F57F22">
        <w:t>The Government recognises the importance of this recommendation and supports the work underway within the Department of Social Service</w:t>
      </w:r>
      <w:r w:rsidR="00C25C1F">
        <w:t>s (DSS)</w:t>
      </w:r>
      <w:r w:rsidRPr="00F57F22">
        <w:t xml:space="preserve"> and Services Australia to strengthen their processes</w:t>
      </w:r>
      <w:r w:rsidR="00196AFE" w:rsidRPr="00F57F22">
        <w:t xml:space="preserve"> and </w:t>
      </w:r>
      <w:r w:rsidRPr="00F57F22">
        <w:t xml:space="preserve">ensure greater transparency in the reporting of information relating to </w:t>
      </w:r>
      <w:r w:rsidR="003E19DB">
        <w:t xml:space="preserve">Administrative Appeals Tribunal (AAT) </w:t>
      </w:r>
      <w:r w:rsidRPr="00F57F22">
        <w:t>cases to senior officers of both agencies</w:t>
      </w:r>
      <w:r w:rsidR="00844549" w:rsidRPr="00F57F22">
        <w:t>.</w:t>
      </w:r>
    </w:p>
    <w:p w14:paraId="4C53C85F" w14:textId="20F72E34" w:rsidR="00C444B6" w:rsidRPr="00F57F22" w:rsidRDefault="00C444B6" w:rsidP="000C2D43">
      <w:pPr>
        <w:pStyle w:val="TBLText"/>
      </w:pPr>
      <w:r w:rsidRPr="00F57F22">
        <w:t xml:space="preserve">Services Australia and </w:t>
      </w:r>
      <w:r w:rsidR="00C25C1F">
        <w:t xml:space="preserve">DSS </w:t>
      </w:r>
      <w:r w:rsidRPr="00F57F22">
        <w:t xml:space="preserve">legal areas </w:t>
      </w:r>
      <w:r w:rsidR="00223343">
        <w:t xml:space="preserve">are updating </w:t>
      </w:r>
      <w:r w:rsidRPr="00F57F22">
        <w:t>the</w:t>
      </w:r>
      <w:r w:rsidR="00325447">
        <w:t>ir</w:t>
      </w:r>
      <w:r w:rsidRPr="00F57F22">
        <w:t xml:space="preserve"> Stand</w:t>
      </w:r>
      <w:r w:rsidR="00B52F71">
        <w:t>ing</w:t>
      </w:r>
      <w:r w:rsidRPr="00F57F22">
        <w:t xml:space="preserve"> Operati</w:t>
      </w:r>
      <w:r w:rsidR="00DF29D4">
        <w:t>onal</w:t>
      </w:r>
      <w:r w:rsidRPr="00F57F22">
        <w:t xml:space="preserve"> Statement which </w:t>
      </w:r>
      <w:r w:rsidR="00325447">
        <w:t>prescribes</w:t>
      </w:r>
      <w:r w:rsidRPr="00F57F22">
        <w:t xml:space="preserve"> arrangements </w:t>
      </w:r>
      <w:r w:rsidR="00325447">
        <w:t>to ensure</w:t>
      </w:r>
      <w:r w:rsidRPr="00F57F22">
        <w:t xml:space="preserve"> matters which raise significant legal and policy issues are brought to the attention of senior officials</w:t>
      </w:r>
      <w:r w:rsidR="00325447">
        <w:t>,</w:t>
      </w:r>
      <w:r w:rsidRPr="00F57F22">
        <w:t xml:space="preserve"> and </w:t>
      </w:r>
      <w:r w:rsidR="00325447">
        <w:t>are also raised with</w:t>
      </w:r>
      <w:r w:rsidRPr="00F57F22">
        <w:t xml:space="preserve"> the Office of Legal Services Coordination</w:t>
      </w:r>
      <w:r w:rsidR="00325447">
        <w:t xml:space="preserve"> when required</w:t>
      </w:r>
      <w:r w:rsidRPr="00F57F22">
        <w:t>.</w:t>
      </w:r>
    </w:p>
    <w:p w14:paraId="7C881321" w14:textId="4DBC007B" w:rsidR="008A1A17" w:rsidRDefault="008A1A17" w:rsidP="000C2D43">
      <w:pPr>
        <w:pStyle w:val="TBLText"/>
      </w:pPr>
      <w:r w:rsidRPr="00F57F22">
        <w:t xml:space="preserve">Services Australia will </w:t>
      </w:r>
      <w:r w:rsidR="00844549" w:rsidRPr="00F57F22">
        <w:t xml:space="preserve">also </w:t>
      </w:r>
      <w:r w:rsidRPr="00F57F22">
        <w:t xml:space="preserve">review any revised settings and approaches required, including systems implementation, to support the establishment of the </w:t>
      </w:r>
      <w:r w:rsidR="00BD7729" w:rsidRPr="00F57F22">
        <w:t>new federal administrative review body,</w:t>
      </w:r>
      <w:r w:rsidRPr="00F57F22">
        <w:t xml:space="preserve"> and its procedures</w:t>
      </w:r>
      <w:r w:rsidR="00BD7729" w:rsidRPr="00F57F22">
        <w:t>, once established</w:t>
      </w:r>
      <w:r w:rsidR="00974797">
        <w:t>.</w:t>
      </w:r>
    </w:p>
    <w:p w14:paraId="19324ED1" w14:textId="583C32F0" w:rsidR="00974797" w:rsidRPr="00D914D3" w:rsidRDefault="0097479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20.</w:t>
      </w:r>
      <w:r>
        <w:rPr>
          <w:rFonts w:ascii="Segoe UI Semilight" w:hAnsi="Segoe UI Semilight" w:cs="Segoe UI Semilight"/>
          <w:b/>
          <w:bCs/>
          <w:color w:val="000000"/>
          <w:szCs w:val="22"/>
        </w:rPr>
        <w:t>2</w:t>
      </w:r>
      <w:r w:rsidRPr="00F57F22">
        <w:rPr>
          <w:rFonts w:ascii="Segoe UI Semilight" w:hAnsi="Segoe UI Semilight" w:cs="Segoe UI Semilight"/>
          <w:b/>
          <w:bCs/>
          <w:color w:val="000000"/>
          <w:szCs w:val="22"/>
        </w:rPr>
        <w:t>: Training for DHS legal officer</w:t>
      </w:r>
      <w:r>
        <w:rPr>
          <w:rFonts w:ascii="Segoe UI Semilight" w:hAnsi="Segoe UI Semilight" w:cs="Segoe UI Semilight"/>
          <w:b/>
          <w:bCs/>
          <w:color w:val="000000"/>
          <w:szCs w:val="22"/>
        </w:rPr>
        <w:t>s</w:t>
      </w:r>
    </w:p>
    <w:p w14:paraId="3A06564F" w14:textId="5C5737E6" w:rsidR="00974797" w:rsidRPr="00DF7A6C" w:rsidRDefault="0097479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Services Australia legal officers whose duties involve the preparation of advices in relation to AAT decisions should receive training which emphasises the requirements of the Standing Operational Statements in relation to appeal recommendations and referral to DSS; Services Australia’s obligations as a model litigant; and the obligation to pay due regard to AAT decisions and directions.</w:t>
      </w:r>
    </w:p>
    <w:p w14:paraId="2935A4FB" w14:textId="334EA9D5" w:rsidR="008A1A17" w:rsidRPr="00F57F22" w:rsidRDefault="008A1A17" w:rsidP="000C2D43">
      <w:pPr>
        <w:pStyle w:val="TBLText"/>
      </w:pPr>
      <w:r w:rsidRPr="00F57F22">
        <w:t xml:space="preserve">The Government </w:t>
      </w:r>
      <w:r w:rsidRPr="00F57F22">
        <w:rPr>
          <w:b/>
        </w:rPr>
        <w:t>accepts</w:t>
      </w:r>
      <w:r w:rsidR="00C85416">
        <w:t xml:space="preserve"> this recommendation.</w:t>
      </w:r>
    </w:p>
    <w:p w14:paraId="469E6C22" w14:textId="77777777" w:rsidR="008A1A17" w:rsidRPr="00F57F22" w:rsidRDefault="008A1A17" w:rsidP="000C2D43">
      <w:pPr>
        <w:pStyle w:val="TBLText"/>
      </w:pPr>
      <w:r w:rsidRPr="00F57F22">
        <w:t>The Government recognises the importance of providing training and development to legal officers, to ensure that they are able to deliver services in line with the Commonwealth model litigant obligations.</w:t>
      </w:r>
    </w:p>
    <w:p w14:paraId="180E0F2E" w14:textId="77777777" w:rsidR="00D4076A" w:rsidRPr="00F57F22" w:rsidRDefault="00D4076A" w:rsidP="000C2D43">
      <w:pPr>
        <w:pStyle w:val="TBLText"/>
      </w:pPr>
      <w:r w:rsidRPr="00F57F22">
        <w:t>The Australian Government Legal Service (AGLS) is the overarching, formal professional network for government lawyers. The AGLS supports coherent and consistent legal services across the Commonwealth and provides a professional network for collaboration including on training modules and legal standards. In addition, the Statement of Expectations of Australian Government Lawyers sets out the expectations of government lawyers and provides guidance for government lawyers in fulfilling their duties in a government context.</w:t>
      </w:r>
      <w:r w:rsidRPr="00F57F22">
        <w:rPr>
          <w:rStyle w:val="FootnoteReference"/>
          <w:color w:val="000000"/>
        </w:rPr>
        <w:footnoteReference w:id="24"/>
      </w:r>
      <w:r w:rsidRPr="00F57F22">
        <w:t xml:space="preserve"> </w:t>
      </w:r>
    </w:p>
    <w:p w14:paraId="4C30BC58" w14:textId="7C8E53EE" w:rsidR="008A1A17" w:rsidRPr="00F57F22" w:rsidRDefault="008A1A17" w:rsidP="000C2D43">
      <w:pPr>
        <w:pStyle w:val="TBLText"/>
      </w:pPr>
      <w:r w:rsidRPr="00F57F22">
        <w:t xml:space="preserve">Services Australia </w:t>
      </w:r>
      <w:r w:rsidR="00196AFE" w:rsidRPr="00F57F22">
        <w:t>will update its</w:t>
      </w:r>
      <w:r w:rsidRPr="00F57F22">
        <w:t xml:space="preserve"> training packages and </w:t>
      </w:r>
      <w:r w:rsidR="00196AFE" w:rsidRPr="00F57F22">
        <w:t>provide specific training to</w:t>
      </w:r>
      <w:r w:rsidRPr="00F57F22">
        <w:t xml:space="preserve"> lawyers within the Litigation </w:t>
      </w:r>
      <w:r w:rsidR="007D2750">
        <w:t>B</w:t>
      </w:r>
      <w:r w:rsidRPr="00F57F22">
        <w:t xml:space="preserve">ranch on the Model Litigant Obligations under the </w:t>
      </w:r>
      <w:r w:rsidRPr="00F57F22">
        <w:rPr>
          <w:i/>
        </w:rPr>
        <w:t>Legal Services Directions</w:t>
      </w:r>
      <w:r w:rsidR="00BD7729" w:rsidRPr="00F57F22">
        <w:rPr>
          <w:i/>
        </w:rPr>
        <w:t xml:space="preserve"> 2017</w:t>
      </w:r>
      <w:r w:rsidRPr="00F57F22">
        <w:t xml:space="preserve">, as well as the </w:t>
      </w:r>
      <w:r w:rsidR="00B52F71" w:rsidRPr="00F57F22">
        <w:t>Stand</w:t>
      </w:r>
      <w:r w:rsidR="00B52F71">
        <w:t>ing</w:t>
      </w:r>
      <w:r w:rsidR="00B52F71" w:rsidRPr="00F57F22">
        <w:t xml:space="preserve"> </w:t>
      </w:r>
      <w:r w:rsidRPr="00F57F22">
        <w:t>Operat</w:t>
      </w:r>
      <w:r w:rsidR="00005A6C">
        <w:t xml:space="preserve">ional </w:t>
      </w:r>
      <w:r w:rsidRPr="00F57F22">
        <w:t>Statement with the Department of Social Services</w:t>
      </w:r>
      <w:r w:rsidR="00C25C1F">
        <w:t xml:space="preserve"> (DSS)</w:t>
      </w:r>
      <w:r w:rsidRPr="00F57F22">
        <w:t>.</w:t>
      </w:r>
    </w:p>
    <w:p w14:paraId="63E6C246" w14:textId="7A24C8D2" w:rsidR="00844549" w:rsidRDefault="00C25C1F" w:rsidP="000C2D43">
      <w:pPr>
        <w:pStyle w:val="TBLText"/>
      </w:pPr>
      <w:r>
        <w:t>DSS</w:t>
      </w:r>
      <w:r w:rsidR="008A1A17" w:rsidRPr="00F57F22">
        <w:t xml:space="preserve"> has also engaged with Services Australia and other agencies within the </w:t>
      </w:r>
      <w:r w:rsidR="0027082F">
        <w:t>s</w:t>
      </w:r>
      <w:r w:rsidR="008A1A17" w:rsidRPr="00F57F22">
        <w:t xml:space="preserve">ocial </w:t>
      </w:r>
      <w:r w:rsidR="0027082F">
        <w:t>s</w:t>
      </w:r>
      <w:r w:rsidR="008A1A17" w:rsidRPr="00F57F22">
        <w:t xml:space="preserve">ervices portfolio regarding the opportunities for shared training for legal staff across the </w:t>
      </w:r>
      <w:r w:rsidR="0027082F">
        <w:t>s</w:t>
      </w:r>
      <w:r w:rsidR="008A1A17" w:rsidRPr="00F57F22">
        <w:t xml:space="preserve">ocial </w:t>
      </w:r>
      <w:r w:rsidR="0027082F">
        <w:t>s</w:t>
      </w:r>
      <w:r w:rsidR="008A1A17" w:rsidRPr="00F57F22">
        <w:t>ervices portfolio. The initial focus of discussion will be for training in areas of legal ethics, obligations of in</w:t>
      </w:r>
      <w:r w:rsidR="008A1A17" w:rsidRPr="00F57F22">
        <w:noBreakHyphen/>
        <w:t>house lawyers and principl</w:t>
      </w:r>
      <w:r w:rsidR="00005A6C">
        <w:t>e</w:t>
      </w:r>
      <w:r w:rsidR="008A1A17" w:rsidRPr="00F57F22">
        <w:t>s of advice writing. In addition, all in</w:t>
      </w:r>
      <w:r w:rsidR="008A1A17" w:rsidRPr="00F57F22">
        <w:noBreakHyphen/>
        <w:t>house lawyers admitted to practice are required to complete mandatory Continuing Legal Education</w:t>
      </w:r>
      <w:r w:rsidR="00B52F71">
        <w:t xml:space="preserve"> and provide monthly reports of active significant matters</w:t>
      </w:r>
      <w:r w:rsidR="008A1A17" w:rsidRPr="00F57F22">
        <w:t>.</w:t>
      </w:r>
    </w:p>
    <w:p w14:paraId="03663485" w14:textId="43496FA8" w:rsidR="00974797" w:rsidRPr="00D914D3" w:rsidRDefault="0097479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20.</w:t>
      </w:r>
      <w:r>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w:t>
      </w:r>
      <w:r w:rsidRPr="00974797">
        <w:rPr>
          <w:rFonts w:ascii="Segoe UI Semilight" w:hAnsi="Segoe UI Semilight" w:cs="Segoe UI Semilight"/>
          <w:b/>
          <w:bCs/>
          <w:color w:val="000000"/>
          <w:szCs w:val="22"/>
        </w:rPr>
        <w:t xml:space="preserve"> </w:t>
      </w:r>
      <w:r w:rsidRPr="00F57F22">
        <w:rPr>
          <w:rFonts w:ascii="Segoe UI Semilight" w:hAnsi="Segoe UI Semilight" w:cs="Segoe UI Semilight"/>
          <w:b/>
          <w:bCs/>
          <w:color w:val="000000"/>
          <w:szCs w:val="22"/>
        </w:rPr>
        <w:t>Identifying significant AAT decision</w:t>
      </w:r>
      <w:r>
        <w:rPr>
          <w:rFonts w:ascii="Segoe UI Semilight" w:hAnsi="Segoe UI Semilight" w:cs="Segoe UI Semilight"/>
          <w:b/>
          <w:bCs/>
          <w:color w:val="000000"/>
          <w:szCs w:val="22"/>
        </w:rPr>
        <w:t>s</w:t>
      </w:r>
    </w:p>
    <w:p w14:paraId="02F97EE7" w14:textId="743A612D" w:rsidR="0097479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DSS should establish, or if it is established, maintain, a system for identifying all significant AAT decisions and bringing them to the attention of its secretary</w:t>
      </w:r>
      <w:r w:rsidR="00974797" w:rsidRPr="00F57F22">
        <w:rPr>
          <w:rFonts w:ascii="Segoe UI Semilight" w:hAnsi="Segoe UI Semilight" w:cs="Segoe UI Semilight"/>
          <w:color w:val="000000"/>
          <w:szCs w:val="22"/>
        </w:rPr>
        <w:t>.</w:t>
      </w:r>
    </w:p>
    <w:p w14:paraId="0E46EC41" w14:textId="5AB2D226" w:rsidR="004960EB" w:rsidRPr="00F57F22" w:rsidRDefault="004960EB" w:rsidP="000C2D43">
      <w:pPr>
        <w:pStyle w:val="TBLText"/>
      </w:pPr>
      <w:r w:rsidRPr="00F57F22">
        <w:t xml:space="preserve">The Government </w:t>
      </w:r>
      <w:r w:rsidRPr="00F57F22">
        <w:rPr>
          <w:b/>
        </w:rPr>
        <w:t xml:space="preserve">accepts </w:t>
      </w:r>
      <w:r w:rsidR="00C85416">
        <w:t>this recommendation.</w:t>
      </w:r>
    </w:p>
    <w:p w14:paraId="6E138F93" w14:textId="4328652D" w:rsidR="004960EB" w:rsidRPr="00F57F22" w:rsidRDefault="004960EB" w:rsidP="000C2D43">
      <w:pPr>
        <w:pStyle w:val="TBLText"/>
      </w:pPr>
      <w:r w:rsidRPr="00F57F22">
        <w:t xml:space="preserve">The Government recognises the importance of this recommendation and supports the work presently underway within the Department of Social Service </w:t>
      </w:r>
      <w:r w:rsidR="00005A6C">
        <w:t xml:space="preserve">(DSS) </w:t>
      </w:r>
      <w:r w:rsidRPr="00F57F22">
        <w:t>and Services Australia to strengthen their processes</w:t>
      </w:r>
      <w:r w:rsidR="00F824ED" w:rsidRPr="00F57F22">
        <w:t xml:space="preserve"> and ensure greater transparency in the reporting of information relating to </w:t>
      </w:r>
      <w:r w:rsidR="003E19DB">
        <w:t xml:space="preserve">Administrative Appeals Tribunal (AAT) </w:t>
      </w:r>
      <w:r w:rsidR="00F824ED" w:rsidRPr="00F57F22">
        <w:t>cases to senior officers of both agencies</w:t>
      </w:r>
      <w:r w:rsidR="00C85416">
        <w:t>.</w:t>
      </w:r>
    </w:p>
    <w:p w14:paraId="37C7AA36" w14:textId="075B2D1F" w:rsidR="004304BB" w:rsidRPr="00F57F22" w:rsidRDefault="004304BB" w:rsidP="004304BB">
      <w:pPr>
        <w:rPr>
          <w:rFonts w:ascii="Times New Roman" w:hAnsi="Times New Roman" w:cs="Times New Roman"/>
          <w:szCs w:val="22"/>
        </w:rPr>
      </w:pPr>
      <w:r w:rsidRPr="00F57F22">
        <w:rPr>
          <w:rFonts w:ascii="Segoe UI Semilight" w:hAnsi="Segoe UI Semilight" w:cs="Segoe UI Semilight"/>
          <w:color w:val="000000"/>
          <w:szCs w:val="22"/>
        </w:rPr>
        <w:lastRenderedPageBreak/>
        <w:t xml:space="preserve">Identification and reporting on significant AAT decisions is governed by </w:t>
      </w:r>
      <w:r w:rsidR="00325447" w:rsidRPr="00F57F22">
        <w:rPr>
          <w:rFonts w:ascii="Segoe UI Semilight" w:hAnsi="Segoe UI Semilight" w:cs="Segoe UI Semilight"/>
          <w:color w:val="000000"/>
          <w:szCs w:val="22"/>
        </w:rPr>
        <w:t xml:space="preserve">Services Australia and the Department of Social Services </w:t>
      </w:r>
      <w:r w:rsidRPr="00F57F22">
        <w:rPr>
          <w:rFonts w:ascii="Segoe UI Semilight" w:hAnsi="Segoe UI Semilight" w:cs="Segoe UI Semilight"/>
          <w:color w:val="000000"/>
          <w:szCs w:val="22"/>
        </w:rPr>
        <w:t>Standing Operational Statement</w:t>
      </w:r>
      <w:r w:rsidR="00325447">
        <w:rPr>
          <w:rFonts w:ascii="Segoe UI Semilight" w:hAnsi="Segoe UI Semilight" w:cs="Segoe UI Semilight"/>
          <w:color w:val="000000"/>
          <w:szCs w:val="22"/>
        </w:rPr>
        <w:t>. The Statement</w:t>
      </w:r>
      <w:r w:rsidRPr="00F57F22">
        <w:rPr>
          <w:rFonts w:ascii="Segoe UI Semilight" w:hAnsi="Segoe UI Semilight" w:cs="Segoe UI Semilight"/>
          <w:color w:val="000000"/>
          <w:szCs w:val="22"/>
        </w:rPr>
        <w:t xml:space="preserve"> requires Services Australia to notify DSS of significant AAT decisions and provide month</w:t>
      </w:r>
      <w:r w:rsidR="00C85416">
        <w:rPr>
          <w:rFonts w:ascii="Segoe UI Semilight" w:hAnsi="Segoe UI Semilight" w:cs="Segoe UI Semilight"/>
          <w:color w:val="000000"/>
          <w:szCs w:val="22"/>
        </w:rPr>
        <w:t>ly reporting of active matters.</w:t>
      </w:r>
    </w:p>
    <w:p w14:paraId="01D9BDCD" w14:textId="5C25A874" w:rsidR="004960EB" w:rsidRDefault="00005A6C" w:rsidP="000C2D43">
      <w:pPr>
        <w:pStyle w:val="TBLText"/>
      </w:pPr>
      <w:r>
        <w:t>DSS</w:t>
      </w:r>
      <w:r w:rsidR="004304BB" w:rsidRPr="00F57F22">
        <w:t xml:space="preserve"> and Services Australia will consider the impact of the establishment of the new federal administrative review body on its processes for identifying significant matters and will </w:t>
      </w:r>
      <w:r w:rsidR="00325447">
        <w:t xml:space="preserve">further </w:t>
      </w:r>
      <w:r w:rsidR="004304BB" w:rsidRPr="00F57F22">
        <w:t>adjust any processes a</w:t>
      </w:r>
      <w:r w:rsidR="00325447">
        <w:t>s required</w:t>
      </w:r>
      <w:r w:rsidR="004304BB" w:rsidRPr="00F57F22">
        <w:t>.</w:t>
      </w:r>
    </w:p>
    <w:p w14:paraId="7818280D" w14:textId="1F5819F7"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20.4: Publication of first instance AAT decision</w:t>
      </w:r>
      <w:r>
        <w:rPr>
          <w:rFonts w:ascii="Segoe UI Semilight" w:hAnsi="Segoe UI Semilight" w:cs="Segoe UI Semilight"/>
          <w:b/>
          <w:bCs/>
          <w:color w:val="000000"/>
          <w:szCs w:val="22"/>
        </w:rPr>
        <w:t>s</w:t>
      </w:r>
    </w:p>
    <w:p w14:paraId="51C5753B" w14:textId="11D97845"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federal administrative review body which replaces the AAT should devise a system for publication on a readily accessible platform of first instance social security decisions which involve significant conclusions of law or have implications for social security policy.</w:t>
      </w:r>
    </w:p>
    <w:p w14:paraId="10055E8C" w14:textId="463523C7" w:rsidR="004960EB" w:rsidRPr="00F57F22" w:rsidRDefault="004960EB" w:rsidP="000C2D43">
      <w:pPr>
        <w:pStyle w:val="TBLText"/>
      </w:pPr>
      <w:r w:rsidRPr="00F57F22">
        <w:t xml:space="preserve">The Government </w:t>
      </w:r>
      <w:r w:rsidR="00D35E6B" w:rsidRPr="00F57F22">
        <w:rPr>
          <w:b/>
        </w:rPr>
        <w:t xml:space="preserve">accepts </w:t>
      </w:r>
      <w:r w:rsidR="00D35E6B" w:rsidRPr="00F57F22">
        <w:t>this</w:t>
      </w:r>
      <w:r w:rsidR="00C85416">
        <w:t xml:space="preserve"> recommendation.</w:t>
      </w:r>
    </w:p>
    <w:p w14:paraId="246A7189" w14:textId="77777777" w:rsidR="00F15DC9" w:rsidRDefault="00F15DC9" w:rsidP="00F15DC9">
      <w:r>
        <w:t>On 29 September 2023, the Government announced that by the end of the year it will introduce legislation to abolish the Administrative Appeals Tribunal (AAT) and replace it with a new body, the Administrative Review Tribunal (ART).</w:t>
      </w:r>
    </w:p>
    <w:p w14:paraId="64DB5D2A" w14:textId="221A241E" w:rsidR="00F15DC9" w:rsidRDefault="004960EB" w:rsidP="000C2D43">
      <w:pPr>
        <w:pStyle w:val="TBLText"/>
      </w:pPr>
      <w:r w:rsidRPr="00F57F22">
        <w:t xml:space="preserve">The </w:t>
      </w:r>
      <w:r w:rsidR="00005A6C">
        <w:t>G</w:t>
      </w:r>
      <w:r w:rsidR="00005A6C" w:rsidRPr="00F57F22">
        <w:t xml:space="preserve">overnment </w:t>
      </w:r>
      <w:r w:rsidRPr="00F57F22">
        <w:t xml:space="preserve">is developing legislation to repeal the </w:t>
      </w:r>
      <w:r w:rsidRPr="00F57F22">
        <w:rPr>
          <w:i/>
        </w:rPr>
        <w:t>Administrative Appeals Tribunal Act 1975</w:t>
      </w:r>
      <w:r w:rsidRPr="00F57F22">
        <w:t xml:space="preserve"> (Cth) and to establish the </w:t>
      </w:r>
      <w:r w:rsidR="00F15DC9">
        <w:t>ART</w:t>
      </w:r>
      <w:r w:rsidR="00C85416">
        <w:t>.</w:t>
      </w:r>
    </w:p>
    <w:p w14:paraId="5108D400" w14:textId="68B55991" w:rsidR="004960EB" w:rsidRPr="00F57F22" w:rsidRDefault="004960EB" w:rsidP="000C2D43">
      <w:pPr>
        <w:pStyle w:val="TBLText"/>
      </w:pPr>
      <w:r w:rsidRPr="00F57F22">
        <w:t xml:space="preserve">The legislation </w:t>
      </w:r>
      <w:r w:rsidR="00B27F1B">
        <w:t>is being</w:t>
      </w:r>
      <w:r w:rsidRPr="00F57F22">
        <w:t xml:space="preserve"> informed by public consultation with a wide range of stakeholders including the Expert Advisory Group on the administrative review reforms, representatives of the legal, disability, veterans, social security, migration and refugee sectors</w:t>
      </w:r>
      <w:r w:rsidR="00D35E6B">
        <w:t>,</w:t>
      </w:r>
      <w:r w:rsidR="00C85416">
        <w:t xml:space="preserve"> and users of the current AAT.</w:t>
      </w:r>
    </w:p>
    <w:p w14:paraId="29DED77E" w14:textId="58B6B9F9" w:rsidR="00844549" w:rsidRDefault="00325447" w:rsidP="000C2D43">
      <w:pPr>
        <w:pStyle w:val="TBLText"/>
      </w:pPr>
      <w:r w:rsidRPr="007F0926">
        <w:t xml:space="preserve">The Government’s proposed legislation to establish the new administrative review body </w:t>
      </w:r>
      <w:r w:rsidR="00543D2F" w:rsidRPr="007F0926">
        <w:t>will provide for decisions of the new administrative review body to be published</w:t>
      </w:r>
      <w:r w:rsidRPr="007F0926">
        <w:t xml:space="preserve">, and will require the publication of </w:t>
      </w:r>
      <w:r w:rsidR="00543D2F" w:rsidRPr="007F0926">
        <w:t>decision</w:t>
      </w:r>
      <w:r w:rsidRPr="007F0926">
        <w:t>s</w:t>
      </w:r>
      <w:r w:rsidR="00543D2F" w:rsidRPr="007F0926">
        <w:t xml:space="preserve"> </w:t>
      </w:r>
      <w:r w:rsidRPr="007F0926">
        <w:t xml:space="preserve">that </w:t>
      </w:r>
      <w:r w:rsidR="00543D2F" w:rsidRPr="007F0926">
        <w:t>involv</w:t>
      </w:r>
      <w:r w:rsidRPr="007F0926">
        <w:t>e</w:t>
      </w:r>
      <w:r w:rsidR="00543D2F" w:rsidRPr="007F0926">
        <w:t xml:space="preserve"> a significant conclusion of law or have significant implications for Commonwealth policy</w:t>
      </w:r>
      <w:r w:rsidR="00F15DC9" w:rsidRPr="007F0926">
        <w:t xml:space="preserve"> or administration</w:t>
      </w:r>
      <w:r w:rsidR="00543D2F" w:rsidRPr="007F0926">
        <w:t xml:space="preserve">. </w:t>
      </w:r>
      <w:r w:rsidRPr="007F0926">
        <w:t xml:space="preserve">Decisions could also be de-identified before being published if </w:t>
      </w:r>
      <w:r w:rsidR="00543D2F" w:rsidRPr="007F0926">
        <w:t>non-disclosure requirements and privacy considerations</w:t>
      </w:r>
      <w:r w:rsidRPr="007F0926">
        <w:t xml:space="preserve"> apply in a particular matter</w:t>
      </w:r>
      <w:r w:rsidR="00FC7107">
        <w:t>.</w:t>
      </w:r>
    </w:p>
    <w:p w14:paraId="5538DE49" w14:textId="4032D3FE"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20.5: Administrative Review Council</w:t>
      </w:r>
    </w:p>
    <w:p w14:paraId="01B474DC" w14:textId="07A6E769"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Re-instate the Administrative Review Council or a body with similar membership and similar functions, with consideration given to a particular role in review of Commonwealth administrative decision-making processes.</w:t>
      </w:r>
    </w:p>
    <w:p w14:paraId="3B9D1399" w14:textId="42D3027D" w:rsidR="004960EB" w:rsidRPr="00F57F22" w:rsidRDefault="004960EB" w:rsidP="000C2D43">
      <w:pPr>
        <w:pStyle w:val="TBLText"/>
      </w:pPr>
      <w:r w:rsidRPr="00F57F22">
        <w:t xml:space="preserve">The Government </w:t>
      </w:r>
      <w:r w:rsidRPr="00F57F22">
        <w:rPr>
          <w:b/>
        </w:rPr>
        <w:t xml:space="preserve">accepts </w:t>
      </w:r>
      <w:r w:rsidR="00C85416">
        <w:t>this recommendation.</w:t>
      </w:r>
    </w:p>
    <w:p w14:paraId="3A7F85B5" w14:textId="6E5889B2" w:rsidR="00F5036D" w:rsidRDefault="00F5036D" w:rsidP="000C2D43">
      <w:pPr>
        <w:pStyle w:val="TBLText"/>
      </w:pPr>
      <w:r>
        <w:t>As noted in the response to recommendation 20.4, o</w:t>
      </w:r>
      <w:r w:rsidRPr="00F57F22">
        <w:t xml:space="preserve">n </w:t>
      </w:r>
      <w:r w:rsidR="00F15DC9" w:rsidRPr="00F15DC9">
        <w:t xml:space="preserve">29 September 2023, the Government announced that by the end of the year it will introduce legislation to abolish the Administrative Appeals Tribunal (AAT) and replace it with a new body, the Administrative Review Tribunal </w:t>
      </w:r>
      <w:r w:rsidR="00F15DC9" w:rsidRPr="00F15DC9">
        <w:lastRenderedPageBreak/>
        <w:t>(ART)</w:t>
      </w:r>
      <w:r w:rsidR="003F0F2A">
        <w:t>. The G</w:t>
      </w:r>
      <w:r w:rsidRPr="00F57F22">
        <w:t xml:space="preserve">overnment is developing legislation to repeal the </w:t>
      </w:r>
      <w:r w:rsidRPr="00F57F22">
        <w:rPr>
          <w:i/>
        </w:rPr>
        <w:t>Administrative Appeals Tribunal Act 1975</w:t>
      </w:r>
      <w:r w:rsidRPr="00F57F22">
        <w:t xml:space="preserve"> (Cth) and to establish the </w:t>
      </w:r>
      <w:r w:rsidR="00F15DC9">
        <w:t>ART</w:t>
      </w:r>
      <w:r w:rsidR="00C85416">
        <w:t>.</w:t>
      </w:r>
    </w:p>
    <w:p w14:paraId="3437AEAE" w14:textId="50F6814A" w:rsidR="00F5036D" w:rsidRPr="00F57F22" w:rsidRDefault="00F5036D" w:rsidP="000C2D43">
      <w:pPr>
        <w:pStyle w:val="TBLText"/>
      </w:pPr>
      <w:r w:rsidRPr="00F57F22">
        <w:t xml:space="preserve">The Administrative Review Council </w:t>
      </w:r>
      <w:r w:rsidR="005102DC">
        <w:t xml:space="preserve">(ARC) </w:t>
      </w:r>
      <w:r w:rsidRPr="00F57F22">
        <w:t>will be re-established under the new legislation as an expert body to monitor and advise on the operation and integrity of the Commonwealt</w:t>
      </w:r>
      <w:r w:rsidR="00C85416">
        <w:t>h administrative review system.</w:t>
      </w:r>
    </w:p>
    <w:p w14:paraId="293E818C" w14:textId="1C6128B3" w:rsidR="00F5036D" w:rsidRPr="00F57F22" w:rsidRDefault="00F5036D" w:rsidP="000C2D43">
      <w:pPr>
        <w:pStyle w:val="TBLText"/>
      </w:pPr>
      <w:r w:rsidRPr="00F57F22">
        <w:t xml:space="preserve">The </w:t>
      </w:r>
      <w:r w:rsidR="005102DC">
        <w:t xml:space="preserve">ARC </w:t>
      </w:r>
      <w:r w:rsidRPr="00F57F22">
        <w:t>will provide expertise to improve the quality of government decision</w:t>
      </w:r>
      <w:r w:rsidRPr="00F57F22">
        <w:noBreakHyphen/>
        <w:t>making through the development of guidance, as well as reports to provide early identification of systemic issues and opportunities for</w:t>
      </w:r>
      <w:r w:rsidR="00C85416">
        <w:t xml:space="preserve"> improvement across government.</w:t>
      </w:r>
    </w:p>
    <w:p w14:paraId="405FA70A" w14:textId="7B3E29A3" w:rsidR="00F5036D" w:rsidRDefault="00F5036D" w:rsidP="000C2D43">
      <w:pPr>
        <w:pStyle w:val="TBLText"/>
      </w:pPr>
      <w:r w:rsidRPr="00F57F22">
        <w:t xml:space="preserve">Legislation is expected to be introduced in </w:t>
      </w:r>
      <w:r w:rsidR="00005A6C" w:rsidRPr="00F57F22">
        <w:t>late</w:t>
      </w:r>
      <w:r w:rsidR="00005A6C">
        <w:t>-</w:t>
      </w:r>
      <w:r w:rsidRPr="00F57F22">
        <w:t>2023. The process to appoint ARC members would commence following passage of the legislation.</w:t>
      </w:r>
    </w:p>
    <w:p w14:paraId="0CEFFB41" w14:textId="0E350A68"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sidRPr="00D914D3">
        <w:rPr>
          <w:rFonts w:ascii="Segoe UI Semilight" w:hAnsi="Segoe UI Semilight" w:cs="Segoe UI Semilight"/>
          <w:b/>
          <w:bCs/>
          <w:color w:val="000000"/>
          <w:szCs w:val="22"/>
        </w:rPr>
        <w:t xml:space="preserve">1.1: Statutory </w:t>
      </w:r>
      <w:r w:rsidRPr="0089733F">
        <w:rPr>
          <w:rFonts w:ascii="Segoe UI Semilight" w:hAnsi="Segoe UI Semilight" w:cs="Segoe UI Semilight"/>
          <w:b/>
          <w:bCs/>
          <w:color w:val="000000"/>
          <w:szCs w:val="22"/>
        </w:rPr>
        <w:t>duty</w:t>
      </w:r>
      <w:r w:rsidRPr="00D914D3">
        <w:rPr>
          <w:rFonts w:ascii="Segoe UI Semilight" w:hAnsi="Segoe UI Semilight" w:cs="Segoe UI Semilight"/>
          <w:b/>
          <w:bCs/>
          <w:color w:val="000000"/>
          <w:szCs w:val="22"/>
        </w:rPr>
        <w:t xml:space="preserve"> to assist</w:t>
      </w:r>
    </w:p>
    <w:p w14:paraId="6D8691DA" w14:textId="13D320AB"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szCs w:val="22"/>
        </w:rPr>
        <w:t>A statutory duty be imposed on departmental secretaries and agency chief executive officers to ensure that their department or agency use its best endeavours to assist the Ombudsman in any investigation concerning it, with a corresponding statutory duty on the part of Commonwealth public servants within a department or agency being investigated to use their best endeavours to assist the Ombudsman in the investigation</w:t>
      </w:r>
      <w:r>
        <w:rPr>
          <w:rFonts w:ascii="Segoe UI Semilight" w:hAnsi="Segoe UI Semilight" w:cs="Segoe UI Semilight"/>
          <w:szCs w:val="22"/>
        </w:rPr>
        <w:t>.</w:t>
      </w:r>
    </w:p>
    <w:p w14:paraId="2DE689C7" w14:textId="5E26DCE2" w:rsidR="006E4AD5" w:rsidRPr="00F57F22" w:rsidRDefault="00543D1B" w:rsidP="000C2D43">
      <w:pPr>
        <w:pStyle w:val="TBLText"/>
      </w:pPr>
      <w:r w:rsidRPr="00F57F22">
        <w:t xml:space="preserve">The </w:t>
      </w:r>
      <w:r w:rsidRPr="00F57F22">
        <w:rPr>
          <w:color w:val="000000"/>
        </w:rPr>
        <w:t>Government</w:t>
      </w:r>
      <w:r w:rsidRPr="00F57F22">
        <w:t xml:space="preserve"> </w:t>
      </w:r>
      <w:r w:rsidRPr="00F57F22">
        <w:rPr>
          <w:b/>
          <w:color w:val="000000"/>
        </w:rPr>
        <w:t>accepts</w:t>
      </w:r>
      <w:r w:rsidRPr="00F57F22">
        <w:rPr>
          <w:b/>
        </w:rPr>
        <w:t xml:space="preserve"> </w:t>
      </w:r>
      <w:r w:rsidRPr="00F57F22">
        <w:t>this recommendation.</w:t>
      </w:r>
    </w:p>
    <w:p w14:paraId="434996A3" w14:textId="0DC46E70" w:rsidR="00543D1B" w:rsidRPr="00F57F22" w:rsidRDefault="00543D1B" w:rsidP="000C2D43">
      <w:pPr>
        <w:pStyle w:val="TBLText"/>
      </w:pPr>
      <w:r w:rsidRPr="00F57F22">
        <w:t>The Government recognises the importance of ensuring agencies and departments are accountable and act in a manner that is lawful, fair and transparent. A properly resourced, independent, impartial and robust Ombudsman is vital to safeguarding the community in their deali</w:t>
      </w:r>
      <w:r w:rsidR="00EC25DF" w:rsidRPr="00F57F22">
        <w:t>ngs with g</w:t>
      </w:r>
      <w:r w:rsidR="00C85416">
        <w:t>overnment agencies.</w:t>
      </w:r>
    </w:p>
    <w:p w14:paraId="10BD0043" w14:textId="1689DECF" w:rsidR="00543D1B" w:rsidRPr="00F57F22" w:rsidRDefault="00543D1B" w:rsidP="000C2D43">
      <w:pPr>
        <w:pStyle w:val="TBLText"/>
      </w:pPr>
      <w:r w:rsidRPr="00F57F22">
        <w:t>The Government agrees that a clearly stated statutory duty, imposed on departmental secretaries and agency chief executive officers, to ensure that their department or agency use its best endeavours to assist the Ombudsman would reinforce the responsibility on heads of agencies to ensure their agency engages in good faith and proactively assists the Commonwealth Ombudsman.</w:t>
      </w:r>
    </w:p>
    <w:p w14:paraId="013ABD15" w14:textId="77777777" w:rsidR="00543D1B" w:rsidRPr="00F57F22" w:rsidRDefault="00543D1B" w:rsidP="000C2D43">
      <w:pPr>
        <w:pStyle w:val="TBLText"/>
      </w:pPr>
      <w:r w:rsidRPr="00F57F22">
        <w:t xml:space="preserve">The Government agrees that a corresponding statutory duty on Commonwealth public servants within a </w:t>
      </w:r>
      <w:r w:rsidRPr="00F57F22">
        <w:rPr>
          <w:color w:val="000000"/>
        </w:rPr>
        <w:t>department</w:t>
      </w:r>
      <w:r w:rsidRPr="00F57F22">
        <w:t xml:space="preserve"> or agency being investigated to use their best endeavours to assist the Commonwealth Ombudsman would ensure the responsibility to assist is clearly individually borne by each of those responsible.</w:t>
      </w:r>
    </w:p>
    <w:p w14:paraId="223FD104" w14:textId="6EACBA1E" w:rsidR="00CE1973" w:rsidRPr="00F57F22" w:rsidRDefault="00543D1B" w:rsidP="000C2D43">
      <w:pPr>
        <w:pStyle w:val="TBLText"/>
      </w:pPr>
      <w:r w:rsidRPr="00F57F22">
        <w:t>The Government also recognises the importance of the Inspector-General of Taxation</w:t>
      </w:r>
      <w:r w:rsidR="00D7467F" w:rsidRPr="00F57F22">
        <w:t xml:space="preserve"> and Taxation Ombudsman</w:t>
      </w:r>
      <w:r w:rsidRPr="00F57F22">
        <w:t xml:space="preserve"> (IGTO) in providing assurance to the community that taxation laws are being administered</w:t>
      </w:r>
      <w:r w:rsidR="00D7467F" w:rsidRPr="00F57F22">
        <w:t xml:space="preserve"> with integrity.</w:t>
      </w:r>
      <w:r w:rsidRPr="00F57F22">
        <w:t xml:space="preserve"> The Government </w:t>
      </w:r>
      <w:r w:rsidR="00D14AE7" w:rsidRPr="00F57F22">
        <w:t xml:space="preserve">supports </w:t>
      </w:r>
      <w:r w:rsidR="006E4AD5" w:rsidRPr="00F57F22">
        <w:t xml:space="preserve">also </w:t>
      </w:r>
      <w:r w:rsidR="00592797" w:rsidRPr="00F57F22">
        <w:t xml:space="preserve">introducing equivalent </w:t>
      </w:r>
      <w:r w:rsidR="006E4AD5" w:rsidRPr="00F57F22">
        <w:t xml:space="preserve">statutory duties </w:t>
      </w:r>
      <w:r w:rsidRPr="00F57F22">
        <w:t>to investigations conducted by the IGTO</w:t>
      </w:r>
      <w:r w:rsidR="00D7467F" w:rsidRPr="00F57F22">
        <w:t>.</w:t>
      </w:r>
    </w:p>
    <w:p w14:paraId="5DF9547A" w14:textId="540FE894" w:rsidR="00B172C6" w:rsidRDefault="00CA0213" w:rsidP="000C2D43">
      <w:pPr>
        <w:pStyle w:val="TBLText"/>
      </w:pPr>
      <w:r w:rsidRPr="00F57F22">
        <w:t xml:space="preserve">The </w:t>
      </w:r>
      <w:r w:rsidR="00CE1973" w:rsidRPr="00F57F22">
        <w:t xml:space="preserve">Government </w:t>
      </w:r>
      <w:r w:rsidR="006E4AD5" w:rsidRPr="00F57F22">
        <w:t xml:space="preserve">will </w:t>
      </w:r>
      <w:r w:rsidR="00CE1973" w:rsidRPr="00F57F22">
        <w:t xml:space="preserve">progress </w:t>
      </w:r>
      <w:r w:rsidR="006E4AD5" w:rsidRPr="00F57F22">
        <w:t xml:space="preserve">amendments </w:t>
      </w:r>
      <w:r w:rsidR="00CE1973" w:rsidRPr="00F57F22">
        <w:t>to relevant legislation to introduce these statutory duties</w:t>
      </w:r>
      <w:r w:rsidR="00543D1B" w:rsidRPr="00F57F22">
        <w:t>.</w:t>
      </w:r>
    </w:p>
    <w:p w14:paraId="36F5D1A6" w14:textId="48BE07F0"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2</w:t>
      </w:r>
      <w:r w:rsidRPr="00D914D3">
        <w:rPr>
          <w:rFonts w:ascii="Segoe UI Semilight" w:hAnsi="Segoe UI Semilight" w:cs="Segoe UI Semilight"/>
          <w:b/>
          <w:bCs/>
          <w:color w:val="000000"/>
          <w:szCs w:val="22"/>
        </w:rPr>
        <w:t xml:space="preserve">1.2: </w:t>
      </w:r>
      <w:r w:rsidRPr="0089733F">
        <w:rPr>
          <w:rFonts w:ascii="Segoe UI Semilight" w:hAnsi="Segoe UI Semilight" w:cs="Segoe UI Semilight"/>
          <w:b/>
          <w:bCs/>
          <w:color w:val="000000"/>
          <w:szCs w:val="22"/>
        </w:rPr>
        <w:t>Another</w:t>
      </w:r>
      <w:r w:rsidRPr="00D914D3">
        <w:rPr>
          <w:rFonts w:ascii="Segoe UI Semilight" w:hAnsi="Segoe UI Semilight" w:cs="Segoe UI Semilight"/>
          <w:b/>
          <w:bCs/>
          <w:color w:val="000000"/>
          <w:szCs w:val="22"/>
        </w:rPr>
        <w:t xml:space="preserve"> power to obtain information</w:t>
      </w:r>
    </w:p>
    <w:p w14:paraId="0F78A1AD" w14:textId="58A2BD26"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szCs w:val="22"/>
        </w:rPr>
        <w:t>The Ombudsman Act be amended to confer on the Ombudsman a power in equivalent terms to that in s 33(3) of the Auditor-General Act.</w:t>
      </w:r>
    </w:p>
    <w:p w14:paraId="35810249" w14:textId="7C842484" w:rsidR="00A82F6E" w:rsidRPr="00F57F22" w:rsidRDefault="00A82F6E" w:rsidP="000C2D43">
      <w:pPr>
        <w:pStyle w:val="TBLText"/>
      </w:pPr>
      <w:r w:rsidRPr="00F57F22">
        <w:t xml:space="preserve">The Government </w:t>
      </w:r>
      <w:r w:rsidRPr="00F57F22">
        <w:rPr>
          <w:b/>
          <w:color w:val="000000"/>
        </w:rPr>
        <w:t>accepts</w:t>
      </w:r>
      <w:r w:rsidRPr="00F57F22">
        <w:rPr>
          <w:b/>
        </w:rPr>
        <w:t xml:space="preserve"> </w:t>
      </w:r>
      <w:r w:rsidR="00C85416">
        <w:t>this recommendation.</w:t>
      </w:r>
    </w:p>
    <w:p w14:paraId="3A2C0756" w14:textId="73ECA5FB" w:rsidR="00D9127C" w:rsidRPr="00F57F22" w:rsidRDefault="00A82F6E" w:rsidP="000C2D43">
      <w:pPr>
        <w:pStyle w:val="TBLText"/>
      </w:pPr>
      <w:r w:rsidRPr="00F57F22">
        <w:t xml:space="preserve">The Government recognises the importance of ensuring that the </w:t>
      </w:r>
      <w:r w:rsidRPr="00F57F22">
        <w:rPr>
          <w:color w:val="000000"/>
        </w:rPr>
        <w:t xml:space="preserve">Office of the Commonwealth Ombudsman </w:t>
      </w:r>
      <w:r w:rsidR="008C008B" w:rsidRPr="00F57F22">
        <w:rPr>
          <w:color w:val="000000"/>
        </w:rPr>
        <w:t xml:space="preserve">has </w:t>
      </w:r>
      <w:r w:rsidRPr="00F57F22">
        <w:rPr>
          <w:color w:val="000000"/>
        </w:rPr>
        <w:t xml:space="preserve">the legislative powers to undertake full, independent and transparent investigations. </w:t>
      </w:r>
      <w:r w:rsidRPr="00F57F22">
        <w:t xml:space="preserve">The Government </w:t>
      </w:r>
      <w:r w:rsidR="00D9127C" w:rsidRPr="00F57F22">
        <w:t xml:space="preserve">also </w:t>
      </w:r>
      <w:r w:rsidRPr="00F57F22">
        <w:t xml:space="preserve">recognises that in order to provide assurance that an Ombudsman investigation is independent, </w:t>
      </w:r>
      <w:r w:rsidR="00F20C0A" w:rsidRPr="00F57F22">
        <w:t xml:space="preserve">the Ombudsman </w:t>
      </w:r>
      <w:r w:rsidRPr="00F57F22">
        <w:t>needs powers to obtain full, free and direct access to agency recor</w:t>
      </w:r>
      <w:r w:rsidR="00C85416">
        <w:t>ds as part of an investigation.</w:t>
      </w:r>
    </w:p>
    <w:p w14:paraId="29937D91" w14:textId="3422E502" w:rsidR="00A82F6E" w:rsidRPr="00F57F22" w:rsidRDefault="00A82F6E" w:rsidP="000C2D43">
      <w:pPr>
        <w:pStyle w:val="TBLText"/>
      </w:pPr>
      <w:r w:rsidRPr="00F57F22">
        <w:t xml:space="preserve">The Government </w:t>
      </w:r>
      <w:r w:rsidR="00D9127C" w:rsidRPr="00F57F22">
        <w:t>will introduce legislation to establish</w:t>
      </w:r>
      <w:r w:rsidRPr="00F57F22">
        <w:t xml:space="preserve"> </w:t>
      </w:r>
      <w:r w:rsidR="008C008B" w:rsidRPr="00F57F22">
        <w:t xml:space="preserve">a </w:t>
      </w:r>
      <w:r w:rsidRPr="00F57F22">
        <w:t>statutory power</w:t>
      </w:r>
      <w:r w:rsidR="008C008B" w:rsidRPr="00F57F22">
        <w:t xml:space="preserve"> equivalent</w:t>
      </w:r>
      <w:r w:rsidRPr="00F57F22">
        <w:t xml:space="preserve"> to that of </w:t>
      </w:r>
      <w:r w:rsidR="00F15DC9">
        <w:t>sub</w:t>
      </w:r>
      <w:r w:rsidRPr="00F57F22">
        <w:t>s</w:t>
      </w:r>
      <w:r w:rsidR="00D9127C" w:rsidRPr="00F57F22">
        <w:t>ection </w:t>
      </w:r>
      <w:r w:rsidRPr="00F57F22">
        <w:t>33</w:t>
      </w:r>
      <w:r w:rsidR="00F15DC9">
        <w:t>(3)</w:t>
      </w:r>
      <w:r w:rsidRPr="00F57F22">
        <w:t xml:space="preserve"> of the </w:t>
      </w:r>
      <w:r w:rsidRPr="00F57F22">
        <w:rPr>
          <w:i/>
        </w:rPr>
        <w:t>Auditor-General Act 1997</w:t>
      </w:r>
      <w:r w:rsidR="00AD14A8" w:rsidRPr="0065101F">
        <w:t xml:space="preserve"> (Cth)</w:t>
      </w:r>
      <w:r w:rsidR="00F20C0A" w:rsidRPr="00F57F22">
        <w:t>. This would ensure the Ombudsman</w:t>
      </w:r>
      <w:r w:rsidRPr="00F57F22">
        <w:t xml:space="preserve"> </w:t>
      </w:r>
      <w:r w:rsidR="00F20C0A" w:rsidRPr="00F57F22">
        <w:t xml:space="preserve">is </w:t>
      </w:r>
      <w:r w:rsidRPr="00F57F22">
        <w:t>not dependent upon agencies to undertake searches and provide documents and information</w:t>
      </w:r>
      <w:r w:rsidR="009A32B2">
        <w:t>,</w:t>
      </w:r>
      <w:r w:rsidRPr="00F57F22">
        <w:t xml:space="preserve"> and </w:t>
      </w:r>
      <w:r w:rsidR="009A32B2">
        <w:t>will</w:t>
      </w:r>
      <w:r w:rsidRPr="00F57F22">
        <w:t xml:space="preserve"> complement the Ombudsman’s existing powers to request and compel a</w:t>
      </w:r>
      <w:r w:rsidR="00C85416">
        <w:t>gencies to provide information.</w:t>
      </w:r>
    </w:p>
    <w:p w14:paraId="5EB6BC90" w14:textId="74B1839E" w:rsidR="00A82F6E" w:rsidRDefault="00A82F6E" w:rsidP="000C2D43">
      <w:pPr>
        <w:pStyle w:val="TBLText"/>
      </w:pPr>
      <w:r w:rsidRPr="00F57F22">
        <w:t xml:space="preserve">The Government </w:t>
      </w:r>
      <w:r w:rsidR="001817B3" w:rsidRPr="00F57F22">
        <w:t xml:space="preserve">will also seek to </w:t>
      </w:r>
      <w:r w:rsidR="00592797" w:rsidRPr="00F57F22">
        <w:t>introduce</w:t>
      </w:r>
      <w:r w:rsidRPr="00F57F22">
        <w:t xml:space="preserve"> </w:t>
      </w:r>
      <w:r w:rsidR="008C008B" w:rsidRPr="00F57F22">
        <w:t xml:space="preserve">an equivalent </w:t>
      </w:r>
      <w:r w:rsidRPr="00F57F22">
        <w:t xml:space="preserve">power </w:t>
      </w:r>
      <w:r w:rsidR="00592797" w:rsidRPr="00F57F22">
        <w:t xml:space="preserve">for </w:t>
      </w:r>
      <w:r w:rsidRPr="00F57F22">
        <w:t>the Inspector-G</w:t>
      </w:r>
      <w:r w:rsidR="001817B3" w:rsidRPr="00F57F22">
        <w:t>eneral of Taxation</w:t>
      </w:r>
      <w:r w:rsidR="001F2199" w:rsidRPr="00F57F22">
        <w:t xml:space="preserve"> and Taxation Ombudsman</w:t>
      </w:r>
      <w:r w:rsidR="00C43F1C" w:rsidRPr="00F57F22">
        <w:t>.</w:t>
      </w:r>
    </w:p>
    <w:p w14:paraId="64DA3BDC" w14:textId="7B750778"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sidRPr="00D914D3">
        <w:rPr>
          <w:rFonts w:ascii="Segoe UI Semilight" w:hAnsi="Segoe UI Semilight" w:cs="Segoe UI Semilight"/>
          <w:b/>
          <w:bCs/>
          <w:color w:val="000000"/>
          <w:szCs w:val="22"/>
        </w:rPr>
        <w:t xml:space="preserve">1.3: </w:t>
      </w:r>
      <w:r w:rsidRPr="0089733F">
        <w:rPr>
          <w:rFonts w:ascii="Segoe UI Semilight" w:hAnsi="Segoe UI Semilight" w:cs="Segoe UI Semilight"/>
          <w:b/>
          <w:bCs/>
          <w:color w:val="000000"/>
          <w:szCs w:val="22"/>
        </w:rPr>
        <w:t>Oversight</w:t>
      </w:r>
      <w:r w:rsidRPr="00D914D3">
        <w:rPr>
          <w:rFonts w:ascii="Segoe UI Semilight" w:hAnsi="Segoe UI Semilight" w:cs="Segoe UI Semilight"/>
          <w:b/>
          <w:bCs/>
          <w:color w:val="000000"/>
          <w:szCs w:val="22"/>
        </w:rPr>
        <w:t xml:space="preserve"> of the legal services division</w:t>
      </w:r>
    </w:p>
    <w:p w14:paraId="2337542B" w14:textId="44BBAF05"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szCs w:val="22"/>
        </w:rPr>
        <w:t>Departmental and agency responses to own motion investigations by the Ombudsman should be overseen by the legal services division of the relevant department or agency.</w:t>
      </w:r>
    </w:p>
    <w:p w14:paraId="25AA4EE3" w14:textId="1EF278FC" w:rsidR="00037F2F" w:rsidRPr="00F57F22" w:rsidRDefault="00037F2F" w:rsidP="000C2D43">
      <w:pPr>
        <w:pStyle w:val="TBLText"/>
      </w:pPr>
      <w:r w:rsidRPr="00F57F22">
        <w:t xml:space="preserve">The Government </w:t>
      </w:r>
      <w:r w:rsidRPr="00F57F22">
        <w:rPr>
          <w:b/>
        </w:rPr>
        <w:t>accepts in principle</w:t>
      </w:r>
      <w:r w:rsidRPr="00F57F22">
        <w:t xml:space="preserve"> </w:t>
      </w:r>
      <w:r w:rsidR="00E00804" w:rsidRPr="00E00804">
        <w:t>this recommendation</w:t>
      </w:r>
      <w:r w:rsidR="00893EF0" w:rsidRPr="00F57F22">
        <w:t>.</w:t>
      </w:r>
    </w:p>
    <w:p w14:paraId="6B641F6D" w14:textId="77777777" w:rsidR="00037F2F" w:rsidRPr="00F57F22" w:rsidRDefault="00037F2F" w:rsidP="000C2D43">
      <w:pPr>
        <w:pStyle w:val="TBLText"/>
      </w:pPr>
      <w:r w:rsidRPr="00F57F22">
        <w:t xml:space="preserve">The Government </w:t>
      </w:r>
      <w:r w:rsidR="00893EF0" w:rsidRPr="00F57F22">
        <w:t>agrees</w:t>
      </w:r>
      <w:r w:rsidR="00CA4E41" w:rsidRPr="00F57F22">
        <w:t xml:space="preserve"> </w:t>
      </w:r>
      <w:r w:rsidRPr="00F57F22">
        <w:t xml:space="preserve">that agency and departmental responses to Ombudsman investigations </w:t>
      </w:r>
      <w:r w:rsidR="00F20C0A" w:rsidRPr="00F57F22">
        <w:t xml:space="preserve">must be accurate, complete </w:t>
      </w:r>
      <w:r w:rsidRPr="00F57F22">
        <w:t xml:space="preserve">and </w:t>
      </w:r>
      <w:r w:rsidR="00893EF0" w:rsidRPr="00F57F22">
        <w:t>provided in a timely manner</w:t>
      </w:r>
      <w:r w:rsidRPr="00F57F22">
        <w:t>. This needs to be appropriately balanced with the fact that not all departments or agencies have a legal services division</w:t>
      </w:r>
      <w:r w:rsidR="00893EF0" w:rsidRPr="00F57F22">
        <w:t xml:space="preserve"> to provide oversight of responses</w:t>
      </w:r>
      <w:r w:rsidR="009A32B2">
        <w:t>.</w:t>
      </w:r>
      <w:r w:rsidRPr="00F57F22">
        <w:t xml:space="preserve"> </w:t>
      </w:r>
      <w:r w:rsidR="00893EF0" w:rsidRPr="00F57F22">
        <w:t>It</w:t>
      </w:r>
      <w:r w:rsidR="00F20C0A" w:rsidRPr="00F57F22">
        <w:t xml:space="preserve"> would </w:t>
      </w:r>
      <w:r w:rsidR="00893EF0" w:rsidRPr="00F57F22">
        <w:t xml:space="preserve">also </w:t>
      </w:r>
      <w:r w:rsidR="00F20C0A" w:rsidRPr="00F57F22">
        <w:t>not be appropriate</w:t>
      </w:r>
      <w:r w:rsidRPr="00F57F22">
        <w:t xml:space="preserve"> </w:t>
      </w:r>
      <w:r w:rsidR="00893EF0" w:rsidRPr="00F57F22">
        <w:t>for a legal division to provide oversight of a response in</w:t>
      </w:r>
      <w:r w:rsidRPr="00F57F22">
        <w:t xml:space="preserve"> circumstances </w:t>
      </w:r>
      <w:r w:rsidR="00F20C0A" w:rsidRPr="00F57F22">
        <w:t xml:space="preserve">where </w:t>
      </w:r>
      <w:r w:rsidRPr="00F57F22">
        <w:t xml:space="preserve">the Ombudsman </w:t>
      </w:r>
      <w:r w:rsidR="00F20C0A" w:rsidRPr="00F57F22">
        <w:t>is</w:t>
      </w:r>
      <w:r w:rsidRPr="00F57F22">
        <w:t xml:space="preserve"> investigat</w:t>
      </w:r>
      <w:r w:rsidR="00F20C0A" w:rsidRPr="00F57F22">
        <w:t>ing</w:t>
      </w:r>
      <w:r w:rsidRPr="00F57F22">
        <w:t xml:space="preserve"> </w:t>
      </w:r>
      <w:r w:rsidR="00F20C0A" w:rsidRPr="00F57F22">
        <w:t xml:space="preserve">matters in which a legal area </w:t>
      </w:r>
      <w:r w:rsidRPr="00F57F22">
        <w:t>within a department or agency</w:t>
      </w:r>
      <w:r w:rsidR="00F20C0A" w:rsidRPr="00F57F22">
        <w:t xml:space="preserve"> has been directly involved</w:t>
      </w:r>
      <w:r w:rsidRPr="00F57F22">
        <w:t>.</w:t>
      </w:r>
    </w:p>
    <w:p w14:paraId="5F09D088" w14:textId="6B4E8472" w:rsidR="00CF184B" w:rsidRDefault="00037F2F" w:rsidP="009E2FAE">
      <w:pPr>
        <w:pStyle w:val="TBLText"/>
      </w:pPr>
      <w:r w:rsidRPr="00F57F22">
        <w:t xml:space="preserve">The Government </w:t>
      </w:r>
      <w:r w:rsidR="00E00804">
        <w:t xml:space="preserve">has </w:t>
      </w:r>
      <w:r w:rsidR="00F20C0A" w:rsidRPr="00F57F22">
        <w:t>accept</w:t>
      </w:r>
      <w:r w:rsidR="00E00804">
        <w:t>ed</w:t>
      </w:r>
      <w:r w:rsidRPr="00F57F22">
        <w:t xml:space="preserve"> recommendation 21.1</w:t>
      </w:r>
      <w:r w:rsidR="00E00804">
        <w:t>, and will progress legislative amendments to require</w:t>
      </w:r>
      <w:r w:rsidRPr="00F57F22">
        <w:t xml:space="preserve"> </w:t>
      </w:r>
      <w:r w:rsidR="00E00804">
        <w:t xml:space="preserve">that </w:t>
      </w:r>
      <w:r w:rsidRPr="00F57F22">
        <w:t xml:space="preserve">departmental secretaries and agency chief executive officers ensure that their department or agency use its best endeavours to assist the Ombudsman. Consistent with this obligation, departmental secretaries and chief executive officers </w:t>
      </w:r>
      <w:r w:rsidR="00893EF0" w:rsidRPr="00F57F22">
        <w:t>will ensure</w:t>
      </w:r>
      <w:r w:rsidRPr="00F57F22">
        <w:t xml:space="preserve"> responses to Ombudsman investigations are not led </w:t>
      </w:r>
      <w:r w:rsidR="00893EF0" w:rsidRPr="00F57F22">
        <w:t xml:space="preserve">or overseen </w:t>
      </w:r>
      <w:r w:rsidRPr="00F57F22">
        <w:t>by individuals or divisions directly involved in matters under investigation.</w:t>
      </w:r>
      <w:r w:rsidR="00CF184B">
        <w:br w:type="page"/>
      </w:r>
    </w:p>
    <w:p w14:paraId="0B0823B3" w14:textId="27E5B89F"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2</w:t>
      </w:r>
      <w:r w:rsidRPr="00D914D3">
        <w:rPr>
          <w:rFonts w:ascii="Segoe UI Semilight" w:hAnsi="Segoe UI Semilight" w:cs="Segoe UI Semilight"/>
          <w:b/>
          <w:bCs/>
          <w:color w:val="000000"/>
          <w:szCs w:val="22"/>
        </w:rPr>
        <w:t>1.</w:t>
      </w:r>
      <w:r w:rsidRPr="00F57F22">
        <w:rPr>
          <w:rFonts w:ascii="Segoe UI Semilight" w:hAnsi="Segoe UI Semilight" w:cs="Segoe UI Semilight"/>
          <w:b/>
          <w:bCs/>
          <w:color w:val="000000"/>
          <w:szCs w:val="22"/>
        </w:rPr>
        <w:t>4: Log of communication</w:t>
      </w:r>
      <w:r>
        <w:rPr>
          <w:rFonts w:ascii="Segoe UI Semilight" w:hAnsi="Segoe UI Semilight" w:cs="Segoe UI Semilight"/>
          <w:b/>
          <w:bCs/>
          <w:color w:val="000000"/>
          <w:szCs w:val="22"/>
        </w:rPr>
        <w:t>s</w:t>
      </w:r>
    </w:p>
    <w:p w14:paraId="524E3A35" w14:textId="74DB8AA4"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Ombudsman maintain a log, recording communications with a department or agency for the purposes of an own moti</w:t>
      </w:r>
      <w:r>
        <w:rPr>
          <w:rFonts w:ascii="Segoe UI Semilight" w:hAnsi="Segoe UI Semilight" w:cs="Segoe UI Semilight"/>
          <w:color w:val="000000"/>
          <w:szCs w:val="22"/>
        </w:rPr>
        <w:t>on investigation</w:t>
      </w:r>
      <w:r w:rsidRPr="00F57F22">
        <w:rPr>
          <w:rFonts w:ascii="Segoe UI Semilight" w:hAnsi="Segoe UI Semilight" w:cs="Segoe UI Semilight"/>
          <w:szCs w:val="22"/>
        </w:rPr>
        <w:t>.</w:t>
      </w:r>
    </w:p>
    <w:p w14:paraId="35CDD72E" w14:textId="71A52494" w:rsidR="00037F2F" w:rsidRPr="00F57F22" w:rsidRDefault="00037F2F" w:rsidP="000C2D43">
      <w:pPr>
        <w:pStyle w:val="TBLText"/>
      </w:pPr>
      <w:r w:rsidRPr="00F57F22">
        <w:t>The</w:t>
      </w:r>
      <w:r w:rsidRPr="00F57F22">
        <w:rPr>
          <w:rFonts w:eastAsiaTheme="minorHAnsi"/>
        </w:rPr>
        <w:t xml:space="preserve"> </w:t>
      </w:r>
      <w:r w:rsidR="00BF265D" w:rsidRPr="00F57F22">
        <w:t xml:space="preserve">Government </w:t>
      </w:r>
      <w:r w:rsidR="00BF265D" w:rsidRPr="00F57F22">
        <w:rPr>
          <w:b/>
        </w:rPr>
        <w:t>a</w:t>
      </w:r>
      <w:r w:rsidRPr="00F57F22">
        <w:rPr>
          <w:b/>
        </w:rPr>
        <w:t>ccepts</w:t>
      </w:r>
      <w:r w:rsidR="00C85416">
        <w:t xml:space="preserve"> this recommendation.</w:t>
      </w:r>
    </w:p>
    <w:p w14:paraId="7E67CD10" w14:textId="561963B3" w:rsidR="00BF265D" w:rsidRPr="00F57F22" w:rsidRDefault="00037F2F" w:rsidP="000C2D43">
      <w:pPr>
        <w:pStyle w:val="TBLText"/>
      </w:pPr>
      <w:r w:rsidRPr="00F57F22">
        <w:t xml:space="preserve">The Commonwealth Ombudsman is committed to effective information and records management systems that meet business needs, accountability requirements and stakeholder expectations. As a public administration oversight and educative body, the Commonwealth Ombudsman </w:t>
      </w:r>
      <w:r w:rsidR="00BF265D" w:rsidRPr="00F57F22">
        <w:t>should</w:t>
      </w:r>
      <w:r w:rsidRPr="00F57F22">
        <w:t xml:space="preserve"> maintain excellent records and demonstrate a high stan</w:t>
      </w:r>
      <w:r w:rsidR="00C85416">
        <w:t>dard of information management.</w:t>
      </w:r>
    </w:p>
    <w:p w14:paraId="0F461B52" w14:textId="3D6CE37A" w:rsidR="00037F2F" w:rsidRDefault="00BF265D" w:rsidP="000C2D43">
      <w:pPr>
        <w:pStyle w:val="TBLText"/>
      </w:pPr>
      <w:r w:rsidRPr="00F57F22">
        <w:t>The Commonwealth Ombudsman require</w:t>
      </w:r>
      <w:r w:rsidR="00C33385">
        <w:t>s</w:t>
      </w:r>
      <w:r w:rsidR="00B603E5" w:rsidRPr="00F57F22">
        <w:t xml:space="preserve"> investigators</w:t>
      </w:r>
      <w:r w:rsidRPr="00F57F22">
        <w:t xml:space="preserve"> to</w:t>
      </w:r>
      <w:r w:rsidR="00037F2F" w:rsidRPr="00F57F22">
        <w:t xml:space="preserve"> maintain a log of communications with agenc</w:t>
      </w:r>
      <w:r w:rsidRPr="00F57F22">
        <w:t>ies</w:t>
      </w:r>
      <w:r w:rsidR="00037F2F" w:rsidRPr="00F57F22">
        <w:t xml:space="preserve"> under investigation</w:t>
      </w:r>
      <w:r w:rsidR="00B603E5" w:rsidRPr="00F57F22">
        <w:t xml:space="preserve"> </w:t>
      </w:r>
      <w:r w:rsidRPr="00F57F22">
        <w:t>when conduc</w:t>
      </w:r>
      <w:r w:rsidR="00FC7107">
        <w:t>ting own motion investigations.</w:t>
      </w:r>
    </w:p>
    <w:p w14:paraId="52F83A1E" w14:textId="007088F9"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sidRPr="00D914D3">
        <w:rPr>
          <w:rFonts w:ascii="Segoe UI Semilight" w:hAnsi="Segoe UI Semilight" w:cs="Segoe UI Semilight"/>
          <w:b/>
          <w:bCs/>
          <w:color w:val="000000"/>
          <w:szCs w:val="22"/>
        </w:rPr>
        <w:t>1.</w:t>
      </w:r>
      <w:r w:rsidRPr="00F57F22">
        <w:rPr>
          <w:rFonts w:ascii="Segoe UI Semilight" w:hAnsi="Segoe UI Semilight" w:cs="Segoe UI Semilight"/>
          <w:b/>
          <w:bCs/>
          <w:color w:val="000000"/>
          <w:szCs w:val="22"/>
        </w:rPr>
        <w:t>5: Powers of referral</w:t>
      </w:r>
    </w:p>
    <w:p w14:paraId="17DA6891" w14:textId="18B14377"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AAT is soon to be replaced by a new administrative review body. S 10A and s 11 of the Ombudsman Act should be amended so as to ensure the Ombudsman has the powers of referral and recommendation of referral in respect of that new administrative review body.</w:t>
      </w:r>
    </w:p>
    <w:p w14:paraId="645A5691" w14:textId="7E46160C" w:rsidR="00037F2F" w:rsidRPr="00F57F22" w:rsidRDefault="00037F2F" w:rsidP="000C2D43">
      <w:pPr>
        <w:pStyle w:val="TBLText"/>
      </w:pPr>
      <w:r w:rsidRPr="00F57F22">
        <w:t xml:space="preserve">The Government </w:t>
      </w:r>
      <w:r w:rsidRPr="00F57F22">
        <w:rPr>
          <w:b/>
        </w:rPr>
        <w:t xml:space="preserve">accepts </w:t>
      </w:r>
      <w:r w:rsidR="00C85416">
        <w:t>this recommendation.</w:t>
      </w:r>
    </w:p>
    <w:p w14:paraId="4152C9C3" w14:textId="1B2FD52D" w:rsidR="00037F2F" w:rsidRPr="00F57F22" w:rsidRDefault="00037F2F" w:rsidP="000C2D43">
      <w:pPr>
        <w:pStyle w:val="TBLText"/>
      </w:pPr>
      <w:r w:rsidRPr="00F57F22">
        <w:t xml:space="preserve">The </w:t>
      </w:r>
      <w:r w:rsidR="009A32B2">
        <w:t>Commonwealth</w:t>
      </w:r>
      <w:r w:rsidRPr="00F57F22">
        <w:t xml:space="preserve"> Ombudsman has the power under s</w:t>
      </w:r>
      <w:r w:rsidR="00A620B7" w:rsidRPr="00F57F22">
        <w:t>ection</w:t>
      </w:r>
      <w:r w:rsidRPr="00F57F22">
        <w:t xml:space="preserve"> 10A of the </w:t>
      </w:r>
      <w:r w:rsidRPr="00F57F22">
        <w:rPr>
          <w:i/>
        </w:rPr>
        <w:t xml:space="preserve">Ombudsman Act </w:t>
      </w:r>
      <w:r w:rsidR="00C7627A" w:rsidRPr="00F57F22">
        <w:rPr>
          <w:i/>
        </w:rPr>
        <w:t>1976</w:t>
      </w:r>
      <w:r w:rsidR="00C7627A" w:rsidRPr="00F57F22">
        <w:t xml:space="preserve"> (Cth) </w:t>
      </w:r>
      <w:r w:rsidRPr="00F57F22">
        <w:t xml:space="preserve">to refer questions of law arising in an investigation for the opinion of the </w:t>
      </w:r>
      <w:r w:rsidR="003E19DB">
        <w:t>Administrative Appeals Tribunal (AAT)</w:t>
      </w:r>
      <w:r w:rsidR="009A32B2">
        <w:t xml:space="preserve">. </w:t>
      </w:r>
      <w:r w:rsidR="00552885">
        <w:t>The Ombudsman</w:t>
      </w:r>
      <w:r w:rsidR="009A32B2">
        <w:t xml:space="preserve"> also has a</w:t>
      </w:r>
      <w:r w:rsidRPr="00F57F22">
        <w:t xml:space="preserve"> related power, under</w:t>
      </w:r>
      <w:r w:rsidR="00A620B7" w:rsidRPr="00F57F22">
        <w:t xml:space="preserve"> section </w:t>
      </w:r>
      <w:r w:rsidRPr="00F57F22">
        <w:t>11</w:t>
      </w:r>
      <w:r w:rsidR="009A32B2">
        <w:t xml:space="preserve"> </w:t>
      </w:r>
      <w:r w:rsidR="009A32B2" w:rsidRPr="00F57F22">
        <w:t xml:space="preserve">of the </w:t>
      </w:r>
      <w:r w:rsidR="009A32B2" w:rsidRPr="00F57F22">
        <w:rPr>
          <w:i/>
        </w:rPr>
        <w:t>Ombudsman Act 1976</w:t>
      </w:r>
      <w:r w:rsidR="009A32B2" w:rsidRPr="00F57F22">
        <w:t> (Cth)</w:t>
      </w:r>
      <w:r w:rsidR="00552885">
        <w:t xml:space="preserve"> </w:t>
      </w:r>
      <w:r w:rsidRPr="00F57F22">
        <w:t xml:space="preserve">to recommend that the principal officer of a department </w:t>
      </w:r>
      <w:r w:rsidR="009A32B2">
        <w:t>make such a referral</w:t>
      </w:r>
      <w:r w:rsidRPr="00F57F22">
        <w:t xml:space="preserve">. These powers are integral to ensuring there are not unresolved matters of law in respect of </w:t>
      </w:r>
      <w:r w:rsidR="009A32B2">
        <w:t xml:space="preserve">an </w:t>
      </w:r>
      <w:r w:rsidRPr="00F57F22">
        <w:t>agenc</w:t>
      </w:r>
      <w:r w:rsidR="00552885">
        <w:t>y’s</w:t>
      </w:r>
      <w:r w:rsidRPr="00F57F22">
        <w:t xml:space="preserve"> actions under investigation by the Ombudsman.</w:t>
      </w:r>
    </w:p>
    <w:p w14:paraId="20CF5E0C" w14:textId="1DA72D24" w:rsidR="00A97A24" w:rsidRPr="00F57F22" w:rsidRDefault="00652451" w:rsidP="000C2D43">
      <w:pPr>
        <w:pStyle w:val="TBLText"/>
      </w:pPr>
      <w:r w:rsidRPr="00F57F22">
        <w:t xml:space="preserve">The Government is developing legislation to repeal the </w:t>
      </w:r>
      <w:r w:rsidRPr="00F57F22">
        <w:rPr>
          <w:i/>
        </w:rPr>
        <w:t>Administrative Appeals Tribunal Act 1975</w:t>
      </w:r>
      <w:r w:rsidR="00B8461A">
        <w:t> </w:t>
      </w:r>
      <w:r w:rsidRPr="00F57F22">
        <w:t xml:space="preserve">(Cth) and to establish </w:t>
      </w:r>
      <w:r>
        <w:t>a new administrative review body</w:t>
      </w:r>
      <w:r w:rsidRPr="00F57F22">
        <w:t xml:space="preserve">. The </w:t>
      </w:r>
      <w:r w:rsidR="00005A6C">
        <w:t>G</w:t>
      </w:r>
      <w:r w:rsidR="00005A6C" w:rsidRPr="00F57F22">
        <w:t xml:space="preserve">overnment </w:t>
      </w:r>
      <w:r w:rsidRPr="00F57F22">
        <w:t xml:space="preserve">will introduce consequential amendments to sections 10A and 11 of the </w:t>
      </w:r>
      <w:r w:rsidRPr="00F57F22">
        <w:rPr>
          <w:i/>
        </w:rPr>
        <w:t>Ombudsman Act 1976</w:t>
      </w:r>
      <w:r w:rsidRPr="00F57F22">
        <w:t xml:space="preserve"> (Cth) to retain the power for the Commonwealth Ombudsman to refer or recommend referral of matters to </w:t>
      </w:r>
      <w:r>
        <w:t>that new</w:t>
      </w:r>
      <w:r w:rsidRPr="00F57F22">
        <w:t xml:space="preserve"> body.</w:t>
      </w:r>
    </w:p>
    <w:p w14:paraId="19A0EF91" w14:textId="722D4D0C" w:rsidR="00CF184B" w:rsidRDefault="00037F2F" w:rsidP="009E2FAE">
      <w:pPr>
        <w:pStyle w:val="TBLText"/>
      </w:pPr>
      <w:r w:rsidRPr="00F57F22">
        <w:t>These amendments will enable two important elements of the Commonwealth’s administrative law scheme to work together to resolve issues of significance to the community.</w:t>
      </w:r>
      <w:bookmarkStart w:id="5" w:name="_GoBack"/>
      <w:bookmarkEnd w:id="5"/>
      <w:r w:rsidR="00CF184B">
        <w:br w:type="page"/>
      </w:r>
    </w:p>
    <w:p w14:paraId="7C64126B" w14:textId="3C6594B8"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lastRenderedPageBreak/>
        <w:t xml:space="preserve">Recommendation </w:t>
      </w:r>
      <w:r w:rsidRPr="00F57F22">
        <w:rPr>
          <w:rFonts w:ascii="Segoe UI Semilight" w:hAnsi="Segoe UI Semilight" w:cs="Segoe UI Semilight"/>
          <w:b/>
          <w:bCs/>
          <w:color w:val="000000"/>
          <w:szCs w:val="22"/>
        </w:rPr>
        <w:t>23.1: Structure of government departments</w:t>
      </w:r>
    </w:p>
    <w:p w14:paraId="2623933A" w14:textId="733DF69B"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Australian Government should undertake an immediate and full review to examine whether the existing structure of the social services portfolio, and the status of Services Australia as an entity, are optimal.</w:t>
      </w:r>
    </w:p>
    <w:p w14:paraId="7EB68DA7" w14:textId="4D8652FD" w:rsidR="00037F2F" w:rsidRPr="00F57F22" w:rsidRDefault="00037F2F" w:rsidP="000C2D43">
      <w:pPr>
        <w:pStyle w:val="TBLText"/>
      </w:pPr>
      <w:r w:rsidRPr="00F57F22">
        <w:t xml:space="preserve">The Government </w:t>
      </w:r>
      <w:r w:rsidRPr="00F57F22">
        <w:rPr>
          <w:b/>
        </w:rPr>
        <w:t>accepts</w:t>
      </w:r>
      <w:r w:rsidR="000239DB" w:rsidRPr="00F57F22">
        <w:rPr>
          <w:b/>
        </w:rPr>
        <w:t xml:space="preserve"> in principle</w:t>
      </w:r>
      <w:r w:rsidRPr="00F57F22">
        <w:rPr>
          <w:b/>
        </w:rPr>
        <w:t xml:space="preserve"> </w:t>
      </w:r>
      <w:r w:rsidRPr="00F57F22">
        <w:t>this recomme</w:t>
      </w:r>
      <w:r w:rsidR="00C85416">
        <w:t>ndation.</w:t>
      </w:r>
    </w:p>
    <w:p w14:paraId="12F703B2" w14:textId="3B9F5AA4" w:rsidR="00037F2F" w:rsidRDefault="00037F2F" w:rsidP="000C2D43">
      <w:pPr>
        <w:pStyle w:val="TBLText"/>
      </w:pPr>
      <w:r w:rsidRPr="00F57F22">
        <w:t xml:space="preserve">The Government </w:t>
      </w:r>
      <w:r w:rsidR="0059385B">
        <w:t xml:space="preserve">agrees that </w:t>
      </w:r>
      <w:r w:rsidRPr="00F57F22">
        <w:t>portfolio structures</w:t>
      </w:r>
      <w:r w:rsidR="0059385B">
        <w:t xml:space="preserve"> should support the</w:t>
      </w:r>
      <w:r w:rsidRPr="00F57F22">
        <w:t xml:space="preserve"> </w:t>
      </w:r>
      <w:r w:rsidR="0059385B">
        <w:t>effective</w:t>
      </w:r>
      <w:r w:rsidRPr="00F57F22">
        <w:t xml:space="preserve"> delivery of </w:t>
      </w:r>
      <w:r w:rsidR="0059385B">
        <w:t xml:space="preserve">government services and programs. The Government </w:t>
      </w:r>
      <w:r w:rsidR="00FA0509">
        <w:t xml:space="preserve">will </w:t>
      </w:r>
      <w:r w:rsidR="00E637A6">
        <w:t>be guided by the Royal Commission</w:t>
      </w:r>
      <w:r w:rsidR="0059385B">
        <w:t>’</w:t>
      </w:r>
      <w:r w:rsidR="00E637A6">
        <w:t xml:space="preserve">s findings </w:t>
      </w:r>
      <w:r w:rsidR="0059385B">
        <w:t xml:space="preserve">when considering </w:t>
      </w:r>
      <w:r w:rsidR="00982401">
        <w:t>the most</w:t>
      </w:r>
      <w:r w:rsidR="0059385B">
        <w:t xml:space="preserve"> optimal arrangement of functions and responsibilities between the Department of Social Services and agencies in the</w:t>
      </w:r>
      <w:r w:rsidR="00E637A6">
        <w:t xml:space="preserve"> </w:t>
      </w:r>
      <w:r w:rsidR="00E33C0B">
        <w:t>s</w:t>
      </w:r>
      <w:r w:rsidR="00005A6C">
        <w:t xml:space="preserve">ocial </w:t>
      </w:r>
      <w:r w:rsidR="00E33C0B">
        <w:t>s</w:t>
      </w:r>
      <w:r w:rsidR="00005A6C">
        <w:t xml:space="preserve">ervices </w:t>
      </w:r>
      <w:r w:rsidR="00E637A6">
        <w:t>portfolio</w:t>
      </w:r>
      <w:r w:rsidR="0059385B">
        <w:t>,</w:t>
      </w:r>
      <w:r w:rsidR="00E637A6">
        <w:t xml:space="preserve"> and th</w:t>
      </w:r>
      <w:r w:rsidR="00FC7107">
        <w:t>e status of Services Australia.</w:t>
      </w:r>
    </w:p>
    <w:p w14:paraId="22976E0C" w14:textId="3015155B"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2: Obligations of public servants</w:t>
      </w:r>
    </w:p>
    <w:p w14:paraId="26657ADB" w14:textId="5131A592"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APSC should, as recommended by the Thodey Review, deliver whole-of-service induction on essential knowledge required for public servants.</w:t>
      </w:r>
    </w:p>
    <w:p w14:paraId="19E343F1" w14:textId="6AF57F10" w:rsidR="00037F2F" w:rsidRPr="00F57F22" w:rsidRDefault="00037F2F" w:rsidP="000C2D43">
      <w:pPr>
        <w:pStyle w:val="TBLText"/>
      </w:pPr>
      <w:r w:rsidRPr="00F57F22">
        <w:t xml:space="preserve">The Government </w:t>
      </w:r>
      <w:r w:rsidRPr="00F57F22">
        <w:rPr>
          <w:b/>
        </w:rPr>
        <w:t>accepts</w:t>
      </w:r>
      <w:r w:rsidR="00C85416">
        <w:t xml:space="preserve"> this recommendation.</w:t>
      </w:r>
    </w:p>
    <w:p w14:paraId="53FB631C" w14:textId="70E3ACC0" w:rsidR="00037F2F" w:rsidRPr="00F57F22" w:rsidRDefault="00037F2F" w:rsidP="000C2D43">
      <w:pPr>
        <w:pStyle w:val="TBLText"/>
      </w:pPr>
      <w:r w:rsidRPr="00F57F22">
        <w:t xml:space="preserve">The Government recognises the importance of building the skills and knowledge which are unique and essential to working in the </w:t>
      </w:r>
      <w:r w:rsidR="00005A6C">
        <w:t>APS</w:t>
      </w:r>
      <w:r w:rsidRPr="00F57F22">
        <w:t>.</w:t>
      </w:r>
    </w:p>
    <w:p w14:paraId="5FDA009A" w14:textId="249646C2" w:rsidR="008B5105" w:rsidRDefault="008B5105" w:rsidP="000C2D43">
      <w:pPr>
        <w:pStyle w:val="TBLText"/>
      </w:pPr>
      <w:r w:rsidRPr="00F57F22">
        <w:t xml:space="preserve">The APS Academy, within the Australian Public Service Commission, is a networked hub of learning and development; working with APS and industry partners to build the capability and performance of the APS workforce. The APS Induction Pathway (which includes an induction training suite and mandatory modules) provides essential information and guidance to assist new and returning officers </w:t>
      </w:r>
      <w:r w:rsidR="00FC7107">
        <w:t>to work effectively in the APS.</w:t>
      </w:r>
    </w:p>
    <w:p w14:paraId="5620412D" w14:textId="0DB61A6C"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Pr>
          <w:rFonts w:ascii="Segoe UI Semilight" w:hAnsi="Segoe UI Semilight" w:cs="Segoe UI Semilight"/>
          <w:b/>
          <w:bCs/>
          <w:color w:val="000000"/>
          <w:szCs w:val="22"/>
        </w:rPr>
        <w:t>3.</w:t>
      </w:r>
      <w:r w:rsidR="00005A6C">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 Fresh focus on “customer service”</w:t>
      </w:r>
    </w:p>
    <w:p w14:paraId="2E7149CB" w14:textId="2B84B6D1"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Services Australia and DSS should introduce mechanisms to ensure that all new programs and schemes are developed with a customer centric focus, and that specific testing is done to ensure that recipients are at the forefront of each new initiative.</w:t>
      </w:r>
    </w:p>
    <w:p w14:paraId="4E64192E" w14:textId="03C3AA32" w:rsidR="008C22E5" w:rsidRPr="00F57F22" w:rsidRDefault="008C22E5" w:rsidP="000C2D43">
      <w:pPr>
        <w:pStyle w:val="TBLText"/>
      </w:pPr>
      <w:r w:rsidRPr="00F57F22">
        <w:t xml:space="preserve">The Government </w:t>
      </w:r>
      <w:r w:rsidRPr="00F57F22">
        <w:rPr>
          <w:b/>
        </w:rPr>
        <w:t>accepts</w:t>
      </w:r>
      <w:r w:rsidR="00C85416">
        <w:t xml:space="preserve"> this recommendation.</w:t>
      </w:r>
    </w:p>
    <w:p w14:paraId="3D91FFAB" w14:textId="4744DE95" w:rsidR="00A620B7" w:rsidRPr="00F57F22" w:rsidRDefault="008C22E5" w:rsidP="000C2D43">
      <w:pPr>
        <w:pStyle w:val="TBLText"/>
      </w:pPr>
      <w:r w:rsidRPr="00F57F22">
        <w:t>The Government recognises the importance of designing policies and processes of government services that focus on the needs of the individuals engaging in those services. This includes making services as accessible as possible through a channel that meets the needs of the individual.</w:t>
      </w:r>
    </w:p>
    <w:p w14:paraId="250A2A26" w14:textId="5B7D2B5D" w:rsidR="008C22E5" w:rsidRPr="00F57F22" w:rsidRDefault="00E00804" w:rsidP="000C2D43">
      <w:pPr>
        <w:pStyle w:val="TBLText"/>
      </w:pPr>
      <w:r>
        <w:t>T</w:t>
      </w:r>
      <w:r w:rsidR="008C22E5" w:rsidRPr="00F57F22">
        <w:t xml:space="preserve">here has been a substantial change to the way Services Australia approaches </w:t>
      </w:r>
      <w:r>
        <w:t>service delivery</w:t>
      </w:r>
      <w:r w:rsidR="008C22E5" w:rsidRPr="00F57F22">
        <w:t xml:space="preserve">. </w:t>
      </w:r>
      <w:r w:rsidRPr="00F57F22">
        <w:t xml:space="preserve">When considering a change or improvement to delivery of a service an evidence-based understanding of the needs of </w:t>
      </w:r>
      <w:r>
        <w:t>customers</w:t>
      </w:r>
      <w:r w:rsidRPr="00F57F22">
        <w:t xml:space="preserve"> is formed based on their feedback, and with full exploration of how the proposed changes may impact them, before investment or service delivery decisions are mad</w:t>
      </w:r>
      <w:r w:rsidRPr="00F57F22">
        <w:rPr>
          <w:rStyle w:val="CommentReference"/>
          <w:sz w:val="22"/>
          <w:szCs w:val="22"/>
        </w:rPr>
        <w:t>e</w:t>
      </w:r>
      <w:r w:rsidRPr="00F57F22">
        <w:t>.</w:t>
      </w:r>
      <w:r>
        <w:t xml:space="preserve"> Services Australia will continue to embed </w:t>
      </w:r>
      <w:r w:rsidR="008C22E5" w:rsidRPr="00F57F22">
        <w:t xml:space="preserve">the customer voice in the earliest </w:t>
      </w:r>
      <w:r>
        <w:t>stages of decision</w:t>
      </w:r>
      <w:r w:rsidR="00EC2F2F">
        <w:t>-</w:t>
      </w:r>
      <w:r>
        <w:t xml:space="preserve">making, </w:t>
      </w:r>
      <w:r w:rsidR="008C22E5" w:rsidRPr="00F57F22">
        <w:t xml:space="preserve">and </w:t>
      </w:r>
      <w:r>
        <w:t xml:space="preserve">draw on customer feedback </w:t>
      </w:r>
      <w:r w:rsidR="008C22E5" w:rsidRPr="00F57F22">
        <w:t>to improve service</w:t>
      </w:r>
      <w:r>
        <w:t xml:space="preserve"> delivery</w:t>
      </w:r>
      <w:r w:rsidR="00C85416">
        <w:t>.</w:t>
      </w:r>
    </w:p>
    <w:p w14:paraId="1C19B4C8" w14:textId="3613902E" w:rsidR="00005A6C" w:rsidRDefault="00A620B7" w:rsidP="000C2D43">
      <w:pPr>
        <w:pStyle w:val="TBLText"/>
      </w:pPr>
      <w:r w:rsidRPr="00F57F22">
        <w:lastRenderedPageBreak/>
        <w:t>T</w:t>
      </w:r>
      <w:r w:rsidR="008C22E5" w:rsidRPr="00F57F22">
        <w:t>he Department of Social Services has</w:t>
      </w:r>
      <w:r w:rsidRPr="00F57F22">
        <w:t xml:space="preserve"> also</w:t>
      </w:r>
      <w:r w:rsidR="008C22E5" w:rsidRPr="00F57F22">
        <w:t xml:space="preserve"> established mechanisms to consult with representative bodies and ensure feedback from recipients </w:t>
      </w:r>
      <w:r w:rsidR="00005A6C">
        <w:t>is</w:t>
      </w:r>
      <w:r w:rsidR="00005A6C" w:rsidRPr="00F57F22">
        <w:t xml:space="preserve"> </w:t>
      </w:r>
      <w:r w:rsidR="008C22E5" w:rsidRPr="00F57F22">
        <w:t>considered in the development of new policies and programs.</w:t>
      </w:r>
      <w:r w:rsidR="00FA6C0A" w:rsidRPr="00F57F22">
        <w:t xml:space="preserve"> These mechanisms include regular engagements with the Australian Council of Social Service (ACOSS), Economic Justice Australia (EJA) and</w:t>
      </w:r>
      <w:r w:rsidR="00005A6C">
        <w:t xml:space="preserve"> the</w:t>
      </w:r>
      <w:r w:rsidR="00FA6C0A" w:rsidRPr="00F57F22">
        <w:t xml:space="preserve"> Federation of Ethnic Communities' Councils of Australia (FECCA).</w:t>
      </w:r>
    </w:p>
    <w:p w14:paraId="42A01344" w14:textId="38DB0901"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4: Administrative Review Council</w:t>
      </w:r>
    </w:p>
    <w:p w14:paraId="120FF24B" w14:textId="1D7831BE"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reinstated Administrative Review Council (or similar body) should provide training and develop resources to inform APS members about the Commonwealth administrative law system.</w:t>
      </w:r>
    </w:p>
    <w:p w14:paraId="2B2858BA" w14:textId="28A061B7" w:rsidR="008C22E5" w:rsidRPr="00F57F22" w:rsidRDefault="008C22E5" w:rsidP="000C2D43">
      <w:pPr>
        <w:pStyle w:val="TBLText"/>
      </w:pPr>
      <w:r w:rsidRPr="00F57F22">
        <w:t xml:space="preserve">The Government </w:t>
      </w:r>
      <w:r w:rsidRPr="00F57F22">
        <w:rPr>
          <w:b/>
        </w:rPr>
        <w:t xml:space="preserve">accepts </w:t>
      </w:r>
      <w:r w:rsidR="00C85416">
        <w:t>this recommendation.</w:t>
      </w:r>
    </w:p>
    <w:p w14:paraId="575382B4" w14:textId="77777777" w:rsidR="00722903" w:rsidRPr="00F57F22" w:rsidRDefault="00722903" w:rsidP="000C2D43">
      <w:pPr>
        <w:pStyle w:val="TBLText"/>
      </w:pPr>
      <w:r w:rsidRPr="00F57F22">
        <w:t>The Government agrees that access to training and resources on the Commonwealth administrative law system would support proper and lawful administrative decision-making across the public service. The Government will consider the most effective means through which to deliver this training and guidance.</w:t>
      </w:r>
    </w:p>
    <w:p w14:paraId="1A869E49" w14:textId="356D8C46" w:rsidR="00A620B7" w:rsidRDefault="00EA5821" w:rsidP="000C2D43">
      <w:pPr>
        <w:pStyle w:val="TBLText"/>
      </w:pPr>
      <w:r w:rsidRPr="00F57F22">
        <w:t>The Government is committed to restoring trust and confidence in Australia’s system of administrative review – beginning with the establishment of a new administrative review body that is user-focused, efficient, accessible, independent and fair.</w:t>
      </w:r>
      <w:r w:rsidRPr="00F57F22">
        <w:rPr>
          <w:rFonts w:ascii="Arial" w:hAnsi="Arial" w:cs="Arial"/>
          <w:color w:val="343A40"/>
          <w:shd w:val="clear" w:color="auto" w:fill="FFFFFF"/>
        </w:rPr>
        <w:t xml:space="preserve"> </w:t>
      </w:r>
      <w:r w:rsidR="00722903" w:rsidRPr="00F57F22">
        <w:t xml:space="preserve">As outlined in the Government’s response to recommendation 20.5, the Government will introduce </w:t>
      </w:r>
      <w:r w:rsidR="008C22E5" w:rsidRPr="00F57F22">
        <w:t xml:space="preserve">legislation to repeal the </w:t>
      </w:r>
      <w:r w:rsidR="008C22E5" w:rsidRPr="00F57F22">
        <w:rPr>
          <w:i/>
        </w:rPr>
        <w:t>Administrative Appeals Tribunal Act 1975</w:t>
      </w:r>
      <w:r w:rsidR="008C22E5" w:rsidRPr="00F57F22">
        <w:t xml:space="preserve"> (Cth) and to establish </w:t>
      </w:r>
      <w:r w:rsidR="00722903" w:rsidRPr="00F57F22">
        <w:t>a new administrative review body</w:t>
      </w:r>
      <w:r w:rsidR="008C22E5" w:rsidRPr="00F57F22">
        <w:t xml:space="preserve">. The Administrative Review Council </w:t>
      </w:r>
      <w:r w:rsidR="00E33C0B">
        <w:t xml:space="preserve">(ARC) </w:t>
      </w:r>
      <w:r w:rsidR="008C22E5" w:rsidRPr="00F57F22">
        <w:t>will be re-established under the new legislation. Legislation is expected to be introduced in late-2023</w:t>
      </w:r>
      <w:r w:rsidR="00722903" w:rsidRPr="00F57F22">
        <w:t>. The process to appoint ARC members would commence following passage of the legislation.</w:t>
      </w:r>
    </w:p>
    <w:p w14:paraId="4703A5DC" w14:textId="1CDA1F60"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.5: “Knowledge College”</w:t>
      </w:r>
    </w:p>
    <w:p w14:paraId="71FEC861" w14:textId="0B57A759"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Commonwealth should explore the feasibility of establishing an internal college within Services Australia to provide training and development to staff linked to the skills and knowledge required to undertake their duties.</w:t>
      </w:r>
    </w:p>
    <w:p w14:paraId="5C4E8487" w14:textId="03357D6C" w:rsidR="008C22E5" w:rsidRPr="00F57F22" w:rsidRDefault="008C22E5" w:rsidP="000C2D43">
      <w:pPr>
        <w:pStyle w:val="TBLText"/>
      </w:pPr>
      <w:r w:rsidRPr="00F57F22">
        <w:t xml:space="preserve">The Government </w:t>
      </w:r>
      <w:r w:rsidRPr="00F57F22">
        <w:rPr>
          <w:b/>
        </w:rPr>
        <w:t>accepts</w:t>
      </w:r>
      <w:r w:rsidR="00C85416">
        <w:t xml:space="preserve"> this recommendation.</w:t>
      </w:r>
    </w:p>
    <w:p w14:paraId="4DA907BD" w14:textId="41D9903E" w:rsidR="008C22E5" w:rsidRPr="00F57F22" w:rsidRDefault="008C22E5" w:rsidP="000C2D43">
      <w:pPr>
        <w:pStyle w:val="TBLText"/>
      </w:pPr>
      <w:r w:rsidRPr="00F57F22">
        <w:t>The Government supports providing training, development and the skills that support staff to deliver high quality services on behalf of the government.</w:t>
      </w:r>
    </w:p>
    <w:p w14:paraId="1095D129" w14:textId="41522F88" w:rsidR="008C22E5" w:rsidRPr="00F57F22" w:rsidRDefault="008C22E5" w:rsidP="000C2D43">
      <w:pPr>
        <w:pStyle w:val="TBLText"/>
        <w:rPr>
          <w:rFonts w:eastAsiaTheme="minorHAnsi"/>
        </w:rPr>
      </w:pPr>
      <w:r w:rsidRPr="00F57F22">
        <w:t xml:space="preserve">In 2022, Services Australia formed the Services Australia Learning Academy. The Learning Academy is a networked model of learning faculties and specialist enterprise learning teams, working in partnership to drive connected, professional and consistent learning practice across the agency. This represents a substantial investment in providing all staff with the support, skills and information needed to deliver critical services to the Australian public and to respond to emerging demands on </w:t>
      </w:r>
      <w:r w:rsidR="00005A6C">
        <w:t>Services Australia</w:t>
      </w:r>
      <w:r w:rsidRPr="00F57F22">
        <w:t xml:space="preserve">. </w:t>
      </w:r>
      <w:r w:rsidRPr="00F57F22">
        <w:rPr>
          <w:rFonts w:eastAsiaTheme="minorHAnsi"/>
        </w:rPr>
        <w:t xml:space="preserve">The focus on building capability is reflective of the </w:t>
      </w:r>
      <w:r w:rsidR="00005A6C">
        <w:rPr>
          <w:rFonts w:eastAsiaTheme="minorHAnsi"/>
        </w:rPr>
        <w:t>a</w:t>
      </w:r>
      <w:r w:rsidR="00005A6C" w:rsidRPr="00F57F22">
        <w:rPr>
          <w:rFonts w:eastAsiaTheme="minorHAnsi"/>
        </w:rPr>
        <w:t xml:space="preserve">gency’s </w:t>
      </w:r>
      <w:r w:rsidRPr="00F57F22">
        <w:rPr>
          <w:rFonts w:eastAsiaTheme="minorHAnsi"/>
        </w:rPr>
        <w:t xml:space="preserve">approach to supporting staff to deliver </w:t>
      </w:r>
      <w:r w:rsidR="00005A6C" w:rsidRPr="00F57F22">
        <w:rPr>
          <w:rFonts w:eastAsiaTheme="minorHAnsi"/>
        </w:rPr>
        <w:t>world</w:t>
      </w:r>
      <w:r w:rsidR="00005A6C">
        <w:rPr>
          <w:rFonts w:eastAsiaTheme="minorHAnsi"/>
        </w:rPr>
        <w:t>-</w:t>
      </w:r>
      <w:r w:rsidRPr="00F57F22">
        <w:rPr>
          <w:rFonts w:eastAsiaTheme="minorHAnsi"/>
        </w:rPr>
        <w:t xml:space="preserve">class customer service, through all methods of customer engagement. This includes providing staff access to </w:t>
      </w:r>
      <w:r w:rsidRPr="00F57F22">
        <w:t>training</w:t>
      </w:r>
      <w:r w:rsidRPr="00F57F22">
        <w:rPr>
          <w:rFonts w:eastAsiaTheme="minorHAnsi"/>
        </w:rPr>
        <w:t xml:space="preserve"> that supports service delivery to customers that may be vulnerable or require additional </w:t>
      </w:r>
      <w:r w:rsidRPr="00F57F22">
        <w:t>assistance</w:t>
      </w:r>
      <w:r w:rsidRPr="00F57F22">
        <w:rPr>
          <w:rFonts w:eastAsiaTheme="minorHAnsi"/>
        </w:rPr>
        <w:t>.</w:t>
      </w:r>
    </w:p>
    <w:p w14:paraId="4E618EA1" w14:textId="54FED5E5" w:rsidR="008C22E5" w:rsidRDefault="008C22E5" w:rsidP="000C2D43">
      <w:pPr>
        <w:pStyle w:val="TBLText"/>
      </w:pPr>
      <w:r w:rsidRPr="00F57F22">
        <w:lastRenderedPageBreak/>
        <w:t>Services Australia will continue to review and assess the need for additional or supplementary training programs that focus on elements of service delivery, where more formal training or a qualification may be of benefit.</w:t>
      </w:r>
    </w:p>
    <w:p w14:paraId="5E6C07E6" w14:textId="70D9D055"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.6: Front-line Service</w:t>
      </w:r>
    </w:p>
    <w:p w14:paraId="7177EAA1" w14:textId="1BE86746"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SES staff at Services Australia should spend some time in a front-line service delivery role and with other community partnerships.</w:t>
      </w:r>
    </w:p>
    <w:p w14:paraId="0F7A4380" w14:textId="77777777" w:rsidR="008C22E5" w:rsidRPr="00F57F22" w:rsidRDefault="008C22E5" w:rsidP="000C2D43">
      <w:pPr>
        <w:pStyle w:val="TBLText"/>
        <w:rPr>
          <w:rFonts w:eastAsiaTheme="minorHAnsi"/>
        </w:rPr>
      </w:pPr>
      <w:r w:rsidRPr="00F57F22">
        <w:rPr>
          <w:rFonts w:eastAsiaTheme="minorHAnsi"/>
        </w:rPr>
        <w:t xml:space="preserve">The </w:t>
      </w:r>
      <w:r w:rsidRPr="00F57F22">
        <w:t>Government</w:t>
      </w:r>
      <w:r w:rsidRPr="00F57F22">
        <w:rPr>
          <w:rFonts w:eastAsiaTheme="minorHAnsi"/>
        </w:rPr>
        <w:t xml:space="preserve"> </w:t>
      </w:r>
      <w:r w:rsidRPr="00F57F22">
        <w:rPr>
          <w:b/>
        </w:rPr>
        <w:t>accepts</w:t>
      </w:r>
      <w:r w:rsidRPr="00F57F22">
        <w:rPr>
          <w:rFonts w:eastAsiaTheme="minorHAnsi"/>
          <w:b/>
        </w:rPr>
        <w:t xml:space="preserve"> </w:t>
      </w:r>
      <w:r w:rsidRPr="00F57F22">
        <w:rPr>
          <w:rFonts w:eastAsiaTheme="minorHAnsi"/>
        </w:rPr>
        <w:t xml:space="preserve">this recommendation. </w:t>
      </w:r>
    </w:p>
    <w:p w14:paraId="17552F7F" w14:textId="2BCFD398" w:rsidR="007810A3" w:rsidRPr="00F57F22" w:rsidRDefault="008C22E5" w:rsidP="00A620B7">
      <w:pPr>
        <w:rPr>
          <w:rFonts w:ascii="Segoe UI Semilight" w:hAnsi="Segoe UI Semilight" w:cs="Segoe UI Semilight"/>
          <w:color w:val="000000"/>
          <w:szCs w:val="22"/>
        </w:rPr>
      </w:pPr>
      <w:r w:rsidRPr="00F57F22">
        <w:rPr>
          <w:rFonts w:ascii="Segoe UI Semilight" w:eastAsiaTheme="minorHAnsi" w:hAnsi="Segoe UI Semilight" w:cs="Segoe UI Semilight"/>
          <w:color w:val="000000"/>
          <w:szCs w:val="22"/>
        </w:rPr>
        <w:t xml:space="preserve">The </w:t>
      </w:r>
      <w:r w:rsidRPr="00F57F22">
        <w:rPr>
          <w:rFonts w:ascii="Segoe UI Semilight" w:hAnsi="Segoe UI Semilight" w:cs="Segoe UI Semilight"/>
          <w:szCs w:val="22"/>
        </w:rPr>
        <w:t>Government</w:t>
      </w:r>
      <w:r w:rsidRPr="00F57F22">
        <w:rPr>
          <w:rFonts w:ascii="Segoe UI Semilight" w:eastAsiaTheme="minorHAnsi" w:hAnsi="Segoe UI Semilight" w:cs="Segoe UI Semilight"/>
          <w:color w:val="000000"/>
          <w:szCs w:val="22"/>
        </w:rPr>
        <w:t xml:space="preserve"> supports Senior Executive Service officials spending time in a </w:t>
      </w:r>
      <w:r w:rsidR="00EC7AA9" w:rsidRPr="00F57F22">
        <w:rPr>
          <w:rFonts w:ascii="Segoe UI Semilight" w:eastAsiaTheme="minorHAnsi" w:hAnsi="Segoe UI Semilight" w:cs="Segoe UI Semilight"/>
          <w:color w:val="000000"/>
          <w:szCs w:val="22"/>
        </w:rPr>
        <w:t>front-</w:t>
      </w:r>
      <w:r w:rsidRPr="00F57F22">
        <w:rPr>
          <w:rFonts w:ascii="Segoe UI Semilight" w:eastAsiaTheme="minorHAnsi" w:hAnsi="Segoe UI Semilight" w:cs="Segoe UI Semilight"/>
          <w:color w:val="000000"/>
          <w:szCs w:val="22"/>
        </w:rPr>
        <w:t>line service delivery setting or with other community partnerships, to gain exposure and insights to the delivery of government services.</w:t>
      </w:r>
    </w:p>
    <w:p w14:paraId="3A0BDFD9" w14:textId="77777777" w:rsidR="00A620B7" w:rsidRPr="00F57F22" w:rsidRDefault="00B51F3C" w:rsidP="00A620B7">
      <w:pPr>
        <w:rPr>
          <w:rFonts w:ascii="Segoe UI Semilight" w:hAnsi="Segoe UI Semilight" w:cs="Segoe UI Semilight"/>
          <w:color w:val="000000"/>
          <w:szCs w:val="22"/>
        </w:rPr>
      </w:pPr>
      <w:r w:rsidRPr="00F57F22">
        <w:rPr>
          <w:rFonts w:ascii="Segoe UI Semilight" w:hAnsi="Segoe UI Semilight" w:cs="Segoe UI Semilight"/>
          <w:color w:val="000000"/>
          <w:szCs w:val="22"/>
        </w:rPr>
        <w:t xml:space="preserve">Senior Executive Service officials within </w:t>
      </w:r>
      <w:r w:rsidR="00A620B7" w:rsidRPr="00F57F22">
        <w:rPr>
          <w:rFonts w:ascii="Segoe UI Semilight" w:hAnsi="Segoe UI Semilight" w:cs="Segoe UI Semilight"/>
          <w:color w:val="000000"/>
          <w:szCs w:val="22"/>
        </w:rPr>
        <w:t xml:space="preserve">Services Australia </w:t>
      </w:r>
      <w:r w:rsidRPr="00F57F22">
        <w:rPr>
          <w:rFonts w:ascii="Segoe UI Semilight" w:hAnsi="Segoe UI Semilight" w:cs="Segoe UI Semilight"/>
          <w:color w:val="000000"/>
          <w:szCs w:val="22"/>
        </w:rPr>
        <w:t xml:space="preserve">regularly spend time in a </w:t>
      </w:r>
      <w:r w:rsidR="004F7D66" w:rsidRPr="00F57F22">
        <w:rPr>
          <w:rFonts w:ascii="Segoe UI Semilight" w:hAnsi="Segoe UI Semilight" w:cs="Segoe UI Semilight"/>
          <w:color w:val="000000"/>
          <w:szCs w:val="22"/>
        </w:rPr>
        <w:t>front-</w:t>
      </w:r>
      <w:r w:rsidRPr="00F57F22">
        <w:rPr>
          <w:rFonts w:ascii="Segoe UI Semilight" w:hAnsi="Segoe UI Semilight" w:cs="Segoe UI Semilight"/>
          <w:color w:val="000000"/>
          <w:szCs w:val="22"/>
        </w:rPr>
        <w:t>line service delivery setting, including the face-to-face and telephony environments, to gain insight into the experiences of both customers and staff.</w:t>
      </w:r>
    </w:p>
    <w:p w14:paraId="749750F6" w14:textId="1244BB18" w:rsidR="00EC7AA9" w:rsidRDefault="00EC7AA9" w:rsidP="00A620B7">
      <w:pPr>
        <w:rPr>
          <w:rFonts w:ascii="Segoe UI Semilight" w:hAnsi="Segoe UI Semilight" w:cs="Segoe UI Semilight"/>
          <w:color w:val="000000"/>
          <w:szCs w:val="22"/>
        </w:rPr>
      </w:pPr>
      <w:r w:rsidRPr="00F57F22">
        <w:rPr>
          <w:rFonts w:ascii="Segoe UI Semilight" w:hAnsi="Segoe UI Semilight" w:cs="Segoe UI Semilight"/>
          <w:color w:val="000000"/>
          <w:szCs w:val="22"/>
        </w:rPr>
        <w:t>Services Australia is also supportive of providing experience of front-line service delivery more broadly to Australian Public Service and Senior Executive Service officials responsible for policy development to assist when formulating policy/legislative changes and program delivery.</w:t>
      </w:r>
    </w:p>
    <w:p w14:paraId="561E8652" w14:textId="6204A841"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.7: Agency heads being held to account</w:t>
      </w:r>
    </w:p>
    <w:p w14:paraId="6C13EBDA" w14:textId="03D8A40C"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Public Service Act should be amended to make it clear that the Australian Public Service Commissioner can inquire into the conduct of former Agency Heads. Also, the Public Service Act should be amended to allow for a disciplinary declaration to be made against former APS employees and former Agency Heads.</w:t>
      </w:r>
    </w:p>
    <w:p w14:paraId="2F2D172C" w14:textId="6966A4D6" w:rsidR="008C22E5" w:rsidRPr="00F57F22" w:rsidRDefault="008C22E5" w:rsidP="000C2D43">
      <w:pPr>
        <w:pStyle w:val="TBLText"/>
      </w:pPr>
      <w:r w:rsidRPr="00F57F22">
        <w:t xml:space="preserve">The Government </w:t>
      </w:r>
      <w:r w:rsidRPr="00F57F22">
        <w:rPr>
          <w:b/>
        </w:rPr>
        <w:t>accepts</w:t>
      </w:r>
      <w:r w:rsidR="00C85416">
        <w:t xml:space="preserve"> this recommendation.</w:t>
      </w:r>
    </w:p>
    <w:p w14:paraId="4F0327BE" w14:textId="54F3EA67" w:rsidR="00434C6D" w:rsidRDefault="00434C6D" w:rsidP="00401E0C">
      <w:pPr>
        <w:rPr>
          <w:rFonts w:ascii="Segoe UI Semilight" w:hAnsi="Segoe UI Semilight" w:cs="Segoe UI Semilight"/>
          <w:color w:val="000000"/>
          <w:szCs w:val="22"/>
        </w:rPr>
      </w:pPr>
      <w:r>
        <w:rPr>
          <w:rFonts w:ascii="Segoe UI Semilight" w:hAnsi="Segoe UI Semilight" w:cs="Segoe UI Semilight"/>
          <w:color w:val="000000"/>
          <w:szCs w:val="22"/>
        </w:rPr>
        <w:t>S</w:t>
      </w:r>
      <w:r w:rsidR="00134690">
        <w:rPr>
          <w:rFonts w:ascii="Segoe UI Semilight" w:hAnsi="Segoe UI Semilight" w:cs="Segoe UI Semilight"/>
          <w:color w:val="000000"/>
          <w:szCs w:val="22"/>
        </w:rPr>
        <w:t xml:space="preserve">ecretaries and agency heads </w:t>
      </w:r>
      <w:r>
        <w:rPr>
          <w:rFonts w:ascii="Segoe UI Semilight" w:hAnsi="Segoe UI Semilight" w:cs="Segoe UI Semilight"/>
          <w:color w:val="000000"/>
          <w:szCs w:val="22"/>
        </w:rPr>
        <w:t>must be</w:t>
      </w:r>
      <w:r w:rsidR="00134690">
        <w:rPr>
          <w:rFonts w:ascii="Segoe UI Semilight" w:hAnsi="Segoe UI Semilight" w:cs="Segoe UI Semilight"/>
          <w:color w:val="000000"/>
          <w:szCs w:val="22"/>
        </w:rPr>
        <w:t xml:space="preserve"> accountable </w:t>
      </w:r>
      <w:r w:rsidR="00401E0C" w:rsidRPr="00401E0C">
        <w:rPr>
          <w:rFonts w:ascii="Segoe UI Semilight" w:hAnsi="Segoe UI Semilight" w:cs="Segoe UI Semilight"/>
          <w:color w:val="000000"/>
          <w:szCs w:val="22"/>
        </w:rPr>
        <w:t xml:space="preserve">for </w:t>
      </w:r>
      <w:r w:rsidR="00134690">
        <w:rPr>
          <w:rFonts w:ascii="Segoe UI Semilight" w:hAnsi="Segoe UI Semilight" w:cs="Segoe UI Semilight"/>
          <w:color w:val="000000"/>
          <w:szCs w:val="22"/>
        </w:rPr>
        <w:t>their actions</w:t>
      </w:r>
      <w:r w:rsidR="00C85416">
        <w:rPr>
          <w:rFonts w:ascii="Segoe UI Semilight" w:hAnsi="Segoe UI Semilight" w:cs="Segoe UI Semilight"/>
          <w:color w:val="000000"/>
          <w:szCs w:val="22"/>
        </w:rPr>
        <w:t>.</w:t>
      </w:r>
    </w:p>
    <w:p w14:paraId="471874DF" w14:textId="343C129F" w:rsidR="00941445" w:rsidRPr="00401E0C" w:rsidRDefault="00941445" w:rsidP="00941445">
      <w:pPr>
        <w:rPr>
          <w:rFonts w:ascii="Segoe UI Semilight" w:hAnsi="Segoe UI Semilight" w:cs="Segoe UI Semilight"/>
          <w:color w:val="000000"/>
          <w:szCs w:val="22"/>
        </w:rPr>
      </w:pPr>
      <w:r>
        <w:rPr>
          <w:rFonts w:ascii="Segoe UI Semilight" w:hAnsi="Segoe UI Semilight" w:cs="Segoe UI Semilight"/>
          <w:color w:val="000000"/>
          <w:szCs w:val="22"/>
        </w:rPr>
        <w:t>The Government will</w:t>
      </w:r>
      <w:r w:rsidRPr="00401E0C">
        <w:rPr>
          <w:rFonts w:ascii="Segoe UI Semilight" w:hAnsi="Segoe UI Semilight" w:cs="Segoe UI Semilight"/>
          <w:color w:val="000000"/>
          <w:szCs w:val="22"/>
        </w:rPr>
        <w:t xml:space="preserve"> require </w:t>
      </w:r>
      <w:r w:rsidR="00005A6C">
        <w:rPr>
          <w:rFonts w:ascii="Segoe UI Semilight" w:hAnsi="Segoe UI Semilight" w:cs="Segoe UI Semilight"/>
          <w:color w:val="000000"/>
          <w:szCs w:val="22"/>
        </w:rPr>
        <w:t xml:space="preserve">the </w:t>
      </w:r>
      <w:r w:rsidRPr="00401E0C">
        <w:rPr>
          <w:rFonts w:ascii="Segoe UI Semilight" w:hAnsi="Segoe UI Semilight" w:cs="Segoe UI Semilight"/>
          <w:color w:val="000000"/>
          <w:szCs w:val="22"/>
        </w:rPr>
        <w:t>performance process and framework</w:t>
      </w:r>
      <w:r>
        <w:rPr>
          <w:rFonts w:ascii="Segoe UI Semilight" w:hAnsi="Segoe UI Semilight" w:cs="Segoe UI Semilight"/>
          <w:color w:val="000000"/>
          <w:szCs w:val="22"/>
        </w:rPr>
        <w:t xml:space="preserve"> for secretaries and agency heads</w:t>
      </w:r>
      <w:r w:rsidR="00C85416">
        <w:rPr>
          <w:rFonts w:ascii="Segoe UI Semilight" w:hAnsi="Segoe UI Semilight" w:cs="Segoe UI Semilight"/>
          <w:color w:val="000000"/>
          <w:szCs w:val="22"/>
        </w:rPr>
        <w:t xml:space="preserve"> to be published.</w:t>
      </w:r>
    </w:p>
    <w:p w14:paraId="1048687B" w14:textId="695C22CF" w:rsidR="00434C6D" w:rsidRDefault="00134690" w:rsidP="00401E0C">
      <w:pPr>
        <w:rPr>
          <w:rFonts w:ascii="Segoe UI Semilight" w:hAnsi="Segoe UI Semilight" w:cs="Segoe UI Semilight"/>
          <w:color w:val="000000"/>
          <w:szCs w:val="22"/>
        </w:rPr>
      </w:pPr>
      <w:r>
        <w:rPr>
          <w:rFonts w:ascii="Segoe UI Semilight" w:hAnsi="Segoe UI Semilight" w:cs="Segoe UI Semilight"/>
          <w:color w:val="000000"/>
          <w:szCs w:val="22"/>
        </w:rPr>
        <w:t>T</w:t>
      </w:r>
      <w:r w:rsidR="00401E0C" w:rsidRPr="00401E0C">
        <w:rPr>
          <w:rFonts w:ascii="Segoe UI Semilight" w:hAnsi="Segoe UI Semilight" w:cs="Segoe UI Semilight"/>
          <w:color w:val="000000"/>
          <w:szCs w:val="22"/>
        </w:rPr>
        <w:t xml:space="preserve">he Government will introduce </w:t>
      </w:r>
      <w:r>
        <w:rPr>
          <w:rFonts w:ascii="Segoe UI Semilight" w:hAnsi="Segoe UI Semilight" w:cs="Segoe UI Semilight"/>
          <w:color w:val="000000"/>
          <w:szCs w:val="22"/>
        </w:rPr>
        <w:t xml:space="preserve">legislative </w:t>
      </w:r>
      <w:r w:rsidR="00401E0C" w:rsidRPr="00401E0C">
        <w:rPr>
          <w:rFonts w:ascii="Segoe UI Semilight" w:hAnsi="Segoe UI Semilight" w:cs="Segoe UI Semilight"/>
          <w:color w:val="000000"/>
          <w:szCs w:val="22"/>
        </w:rPr>
        <w:t xml:space="preserve">amendments to </w:t>
      </w:r>
      <w:r w:rsidR="00005A6C">
        <w:rPr>
          <w:rFonts w:ascii="Segoe UI Semilight" w:hAnsi="Segoe UI Semilight" w:cs="Segoe UI Semilight"/>
          <w:color w:val="000000"/>
          <w:szCs w:val="22"/>
        </w:rPr>
        <w:t xml:space="preserve">the </w:t>
      </w:r>
      <w:r w:rsidR="00005A6C" w:rsidRPr="000B722F">
        <w:rPr>
          <w:rFonts w:ascii="Segoe UI Semilight" w:hAnsi="Segoe UI Semilight" w:cs="Segoe UI Semilight"/>
          <w:i/>
          <w:color w:val="000000"/>
          <w:szCs w:val="22"/>
        </w:rPr>
        <w:t>Public Service Act 1999</w:t>
      </w:r>
      <w:r w:rsidR="00005A6C" w:rsidRPr="00B7119C">
        <w:rPr>
          <w:rFonts w:ascii="Segoe UI Semilight" w:hAnsi="Segoe UI Semilight" w:cs="Segoe UI Semilight"/>
          <w:color w:val="000000"/>
          <w:szCs w:val="22"/>
        </w:rPr>
        <w:t xml:space="preserve"> (Cth)</w:t>
      </w:r>
      <w:r w:rsidR="00005A6C">
        <w:rPr>
          <w:rFonts w:ascii="Segoe UI Semilight" w:hAnsi="Segoe UI Semilight" w:cs="Segoe UI Semilight"/>
          <w:color w:val="000000"/>
          <w:szCs w:val="22"/>
        </w:rPr>
        <w:t xml:space="preserve"> to </w:t>
      </w:r>
      <w:r>
        <w:rPr>
          <w:rFonts w:ascii="Segoe UI Semilight" w:hAnsi="Segoe UI Semilight" w:cs="Segoe UI Semilight"/>
          <w:color w:val="000000"/>
          <w:szCs w:val="22"/>
        </w:rPr>
        <w:t>provide the</w:t>
      </w:r>
      <w:r w:rsidR="00401E0C" w:rsidRPr="00401E0C">
        <w:rPr>
          <w:rFonts w:ascii="Segoe UI Semilight" w:hAnsi="Segoe UI Semilight" w:cs="Segoe UI Semilight"/>
          <w:color w:val="000000"/>
          <w:szCs w:val="22"/>
        </w:rPr>
        <w:t xml:space="preserve"> A</w:t>
      </w:r>
      <w:r w:rsidR="00663D23">
        <w:rPr>
          <w:rFonts w:ascii="Segoe UI Semilight" w:hAnsi="Segoe UI Semilight" w:cs="Segoe UI Semilight"/>
          <w:color w:val="000000"/>
          <w:szCs w:val="22"/>
        </w:rPr>
        <w:t xml:space="preserve">ustralian </w:t>
      </w:r>
      <w:r w:rsidR="00663D23" w:rsidRPr="00401E0C">
        <w:rPr>
          <w:rFonts w:ascii="Segoe UI Semilight" w:hAnsi="Segoe UI Semilight" w:cs="Segoe UI Semilight"/>
          <w:color w:val="000000"/>
          <w:szCs w:val="22"/>
        </w:rPr>
        <w:t>P</w:t>
      </w:r>
      <w:r w:rsidR="00663D23">
        <w:rPr>
          <w:rFonts w:ascii="Segoe UI Semilight" w:hAnsi="Segoe UI Semilight" w:cs="Segoe UI Semilight"/>
          <w:color w:val="000000"/>
          <w:szCs w:val="22"/>
        </w:rPr>
        <w:t xml:space="preserve">ublic </w:t>
      </w:r>
      <w:r w:rsidR="00401E0C" w:rsidRPr="00401E0C">
        <w:rPr>
          <w:rFonts w:ascii="Segoe UI Semilight" w:hAnsi="Segoe UI Semilight" w:cs="Segoe UI Semilight"/>
          <w:color w:val="000000"/>
          <w:szCs w:val="22"/>
        </w:rPr>
        <w:t>S</w:t>
      </w:r>
      <w:r w:rsidR="00663D23">
        <w:rPr>
          <w:rFonts w:ascii="Segoe UI Semilight" w:hAnsi="Segoe UI Semilight" w:cs="Segoe UI Semilight"/>
          <w:color w:val="000000"/>
          <w:szCs w:val="22"/>
        </w:rPr>
        <w:t>ervice</w:t>
      </w:r>
      <w:r w:rsidR="00401E0C" w:rsidRPr="00401E0C">
        <w:rPr>
          <w:rFonts w:ascii="Segoe UI Semilight" w:hAnsi="Segoe UI Semilight" w:cs="Segoe UI Semilight"/>
          <w:color w:val="000000"/>
          <w:szCs w:val="22"/>
        </w:rPr>
        <w:t xml:space="preserve"> </w:t>
      </w:r>
      <w:r w:rsidR="00663D23">
        <w:rPr>
          <w:rFonts w:ascii="Segoe UI Semilight" w:hAnsi="Segoe UI Semilight" w:cs="Segoe UI Semilight"/>
          <w:color w:val="000000"/>
          <w:szCs w:val="22"/>
        </w:rPr>
        <w:t xml:space="preserve">(APS) </w:t>
      </w:r>
      <w:r w:rsidR="00401E0C" w:rsidRPr="00401E0C">
        <w:rPr>
          <w:rFonts w:ascii="Segoe UI Semilight" w:hAnsi="Segoe UI Semilight" w:cs="Segoe UI Semilight"/>
          <w:color w:val="000000"/>
          <w:szCs w:val="22"/>
        </w:rPr>
        <w:t xml:space="preserve">Commissioner </w:t>
      </w:r>
      <w:r w:rsidRPr="00401E0C">
        <w:rPr>
          <w:rFonts w:ascii="Segoe UI Semilight" w:hAnsi="Segoe UI Semilight" w:cs="Segoe UI Semilight"/>
          <w:color w:val="000000"/>
          <w:szCs w:val="22"/>
        </w:rPr>
        <w:t>w</w:t>
      </w:r>
      <w:r>
        <w:rPr>
          <w:rFonts w:ascii="Segoe UI Semilight" w:hAnsi="Segoe UI Semilight" w:cs="Segoe UI Semilight"/>
          <w:color w:val="000000"/>
          <w:szCs w:val="22"/>
        </w:rPr>
        <w:t xml:space="preserve">ith a new power to commence </w:t>
      </w:r>
      <w:r w:rsidR="00401E0C" w:rsidRPr="00401E0C">
        <w:rPr>
          <w:rFonts w:ascii="Segoe UI Semilight" w:hAnsi="Segoe UI Semilight" w:cs="Segoe UI Semilight"/>
          <w:color w:val="000000"/>
          <w:szCs w:val="22"/>
        </w:rPr>
        <w:t xml:space="preserve">own motion reviews and investigations into Code of Conduct </w:t>
      </w:r>
      <w:r>
        <w:rPr>
          <w:rFonts w:ascii="Segoe UI Semilight" w:hAnsi="Segoe UI Semilight" w:cs="Segoe UI Semilight"/>
          <w:color w:val="000000"/>
          <w:szCs w:val="22"/>
        </w:rPr>
        <w:t>matters. The</w:t>
      </w:r>
      <w:r w:rsidR="00663D23">
        <w:rPr>
          <w:rFonts w:ascii="Segoe UI Semilight" w:hAnsi="Segoe UI Semilight" w:cs="Segoe UI Semilight"/>
          <w:color w:val="000000"/>
          <w:szCs w:val="22"/>
        </w:rPr>
        <w:t xml:space="preserve"> APS</w:t>
      </w:r>
      <w:r>
        <w:rPr>
          <w:rFonts w:ascii="Segoe UI Semilight" w:hAnsi="Segoe UI Semilight" w:cs="Segoe UI Semilight"/>
          <w:color w:val="000000"/>
          <w:szCs w:val="22"/>
        </w:rPr>
        <w:t xml:space="preserve"> </w:t>
      </w:r>
      <w:r w:rsidR="00434C6D">
        <w:rPr>
          <w:rFonts w:ascii="Segoe UI Semilight" w:hAnsi="Segoe UI Semilight" w:cs="Segoe UI Semilight"/>
          <w:color w:val="000000"/>
          <w:szCs w:val="22"/>
        </w:rPr>
        <w:t>Commissioner will no longer have to wait for a referra</w:t>
      </w:r>
      <w:r w:rsidR="00C85416">
        <w:rPr>
          <w:rFonts w:ascii="Segoe UI Semilight" w:hAnsi="Segoe UI Semilight" w:cs="Segoe UI Semilight"/>
          <w:color w:val="000000"/>
          <w:szCs w:val="22"/>
        </w:rPr>
        <w:t>l before commencing an inquiry.</w:t>
      </w:r>
    </w:p>
    <w:p w14:paraId="44DCE584" w14:textId="24B87967" w:rsidR="00401E0C" w:rsidRPr="00401E0C" w:rsidRDefault="007D0256" w:rsidP="00401E0C">
      <w:pPr>
        <w:rPr>
          <w:rFonts w:ascii="Segoe UI Semilight" w:hAnsi="Segoe UI Semilight" w:cs="Segoe UI Semilight"/>
          <w:color w:val="000000"/>
          <w:szCs w:val="22"/>
        </w:rPr>
      </w:pPr>
      <w:r>
        <w:rPr>
          <w:rFonts w:ascii="Segoe UI Semilight" w:hAnsi="Segoe UI Semilight" w:cs="Segoe UI Semilight"/>
          <w:color w:val="000000"/>
          <w:szCs w:val="22"/>
        </w:rPr>
        <w:t xml:space="preserve">The </w:t>
      </w:r>
      <w:r w:rsidR="00134690">
        <w:rPr>
          <w:rFonts w:ascii="Segoe UI Semilight" w:hAnsi="Segoe UI Semilight" w:cs="Segoe UI Semilight"/>
          <w:color w:val="000000"/>
          <w:szCs w:val="22"/>
        </w:rPr>
        <w:t xml:space="preserve">Government will </w:t>
      </w:r>
      <w:r w:rsidR="00941445">
        <w:rPr>
          <w:rFonts w:ascii="Segoe UI Semilight" w:hAnsi="Segoe UI Semilight" w:cs="Segoe UI Semilight"/>
          <w:color w:val="000000"/>
          <w:szCs w:val="22"/>
        </w:rPr>
        <w:t xml:space="preserve">also </w:t>
      </w:r>
      <w:r w:rsidR="00134690">
        <w:rPr>
          <w:rFonts w:ascii="Segoe UI Semilight" w:hAnsi="Segoe UI Semilight" w:cs="Segoe UI Semilight"/>
          <w:color w:val="000000"/>
          <w:szCs w:val="22"/>
        </w:rPr>
        <w:t>progress amendments to extend the APS Commissioner’s powers to</w:t>
      </w:r>
      <w:r w:rsidR="00941445">
        <w:rPr>
          <w:rFonts w:ascii="Segoe UI Semilight" w:hAnsi="Segoe UI Semilight" w:cs="Segoe UI Semilight"/>
          <w:color w:val="000000"/>
          <w:szCs w:val="22"/>
        </w:rPr>
        <w:t xml:space="preserve"> </w:t>
      </w:r>
      <w:r w:rsidR="00401E0C" w:rsidRPr="00401E0C">
        <w:rPr>
          <w:rFonts w:ascii="Segoe UI Semilight" w:hAnsi="Segoe UI Semilight" w:cs="Segoe UI Semilight"/>
          <w:color w:val="000000"/>
          <w:szCs w:val="22"/>
        </w:rPr>
        <w:t xml:space="preserve">former </w:t>
      </w:r>
      <w:r w:rsidR="00134690">
        <w:rPr>
          <w:rFonts w:ascii="Segoe UI Semilight" w:hAnsi="Segoe UI Semilight" w:cs="Segoe UI Semilight"/>
          <w:color w:val="000000"/>
          <w:szCs w:val="22"/>
        </w:rPr>
        <w:t>secretaries, a</w:t>
      </w:r>
      <w:r w:rsidR="00401E0C" w:rsidRPr="00401E0C">
        <w:rPr>
          <w:rFonts w:ascii="Segoe UI Semilight" w:hAnsi="Segoe UI Semilight" w:cs="Segoe UI Semilight"/>
          <w:color w:val="000000"/>
          <w:szCs w:val="22"/>
        </w:rPr>
        <w:t xml:space="preserve">gency </w:t>
      </w:r>
      <w:r w:rsidR="00134690">
        <w:rPr>
          <w:rFonts w:ascii="Segoe UI Semilight" w:hAnsi="Segoe UI Semilight" w:cs="Segoe UI Semilight"/>
          <w:color w:val="000000"/>
          <w:szCs w:val="22"/>
        </w:rPr>
        <w:t>h</w:t>
      </w:r>
      <w:r w:rsidR="00401E0C" w:rsidRPr="00401E0C">
        <w:rPr>
          <w:rFonts w:ascii="Segoe UI Semilight" w:hAnsi="Segoe UI Semilight" w:cs="Segoe UI Semilight"/>
          <w:color w:val="000000"/>
          <w:szCs w:val="22"/>
        </w:rPr>
        <w:t>eads and APS employees</w:t>
      </w:r>
      <w:r w:rsidR="00134690">
        <w:rPr>
          <w:rFonts w:ascii="Segoe UI Semilight" w:hAnsi="Segoe UI Semilight" w:cs="Segoe UI Semilight"/>
          <w:color w:val="000000"/>
          <w:szCs w:val="22"/>
        </w:rPr>
        <w:t xml:space="preserve">. </w:t>
      </w:r>
      <w:r w:rsidR="00941445">
        <w:rPr>
          <w:rFonts w:ascii="Segoe UI Semilight" w:hAnsi="Segoe UI Semilight" w:cs="Segoe UI Semilight"/>
          <w:color w:val="000000"/>
          <w:szCs w:val="22"/>
        </w:rPr>
        <w:t>These a</w:t>
      </w:r>
      <w:r w:rsidR="00941445" w:rsidRPr="00401E0C">
        <w:rPr>
          <w:rFonts w:ascii="Segoe UI Semilight" w:hAnsi="Segoe UI Semilight" w:cs="Segoe UI Semilight"/>
          <w:color w:val="000000"/>
          <w:szCs w:val="22"/>
        </w:rPr>
        <w:t xml:space="preserve">mendments will also </w:t>
      </w:r>
      <w:r w:rsidR="00941445">
        <w:rPr>
          <w:rFonts w:ascii="Segoe UI Semilight" w:hAnsi="Segoe UI Semilight" w:cs="Segoe UI Semilight"/>
          <w:color w:val="000000"/>
          <w:szCs w:val="22"/>
        </w:rPr>
        <w:t xml:space="preserve">provide for </w:t>
      </w:r>
      <w:r w:rsidR="00941445" w:rsidRPr="00401E0C">
        <w:rPr>
          <w:rFonts w:ascii="Segoe UI Semilight" w:hAnsi="Segoe UI Semilight" w:cs="Segoe UI Semilight"/>
          <w:color w:val="000000"/>
          <w:szCs w:val="22"/>
        </w:rPr>
        <w:t xml:space="preserve">disciplinary declarations to be made against </w:t>
      </w:r>
      <w:r w:rsidR="00941445">
        <w:rPr>
          <w:rFonts w:ascii="Segoe UI Semilight" w:hAnsi="Segoe UI Semilight" w:cs="Segoe UI Semilight"/>
          <w:color w:val="000000"/>
          <w:szCs w:val="22"/>
        </w:rPr>
        <w:t>past</w:t>
      </w:r>
      <w:r w:rsidR="00941445" w:rsidRPr="00401E0C">
        <w:rPr>
          <w:rFonts w:ascii="Segoe UI Semilight" w:hAnsi="Segoe UI Semilight" w:cs="Segoe UI Semilight"/>
          <w:color w:val="000000"/>
          <w:szCs w:val="22"/>
        </w:rPr>
        <w:t xml:space="preserve"> </w:t>
      </w:r>
      <w:r w:rsidR="00941445">
        <w:rPr>
          <w:rFonts w:ascii="Segoe UI Semilight" w:hAnsi="Segoe UI Semilight" w:cs="Segoe UI Semilight"/>
          <w:color w:val="000000"/>
          <w:szCs w:val="22"/>
        </w:rPr>
        <w:t>secretaries, a</w:t>
      </w:r>
      <w:r w:rsidR="00941445" w:rsidRPr="00401E0C">
        <w:rPr>
          <w:rFonts w:ascii="Segoe UI Semilight" w:hAnsi="Segoe UI Semilight" w:cs="Segoe UI Semilight"/>
          <w:color w:val="000000"/>
          <w:szCs w:val="22"/>
        </w:rPr>
        <w:t xml:space="preserve">gency </w:t>
      </w:r>
      <w:r w:rsidR="00941445">
        <w:rPr>
          <w:rFonts w:ascii="Segoe UI Semilight" w:hAnsi="Segoe UI Semilight" w:cs="Segoe UI Semilight"/>
          <w:color w:val="000000"/>
          <w:szCs w:val="22"/>
        </w:rPr>
        <w:t>h</w:t>
      </w:r>
      <w:r w:rsidR="00941445" w:rsidRPr="00401E0C">
        <w:rPr>
          <w:rFonts w:ascii="Segoe UI Semilight" w:hAnsi="Segoe UI Semilight" w:cs="Segoe UI Semilight"/>
          <w:color w:val="000000"/>
          <w:szCs w:val="22"/>
        </w:rPr>
        <w:t>eads and APS employees. </w:t>
      </w:r>
      <w:r w:rsidR="00134690">
        <w:rPr>
          <w:rFonts w:ascii="Segoe UI Semilight" w:hAnsi="Segoe UI Semilight" w:cs="Segoe UI Semilight"/>
          <w:color w:val="000000"/>
          <w:szCs w:val="22"/>
        </w:rPr>
        <w:t>Th</w:t>
      </w:r>
      <w:r w:rsidR="00941445">
        <w:rPr>
          <w:rFonts w:ascii="Segoe UI Semilight" w:hAnsi="Segoe UI Semilight" w:cs="Segoe UI Semilight"/>
          <w:color w:val="000000"/>
          <w:szCs w:val="22"/>
        </w:rPr>
        <w:t>is</w:t>
      </w:r>
      <w:r w:rsidR="00434C6D">
        <w:rPr>
          <w:rFonts w:ascii="Segoe UI Semilight" w:hAnsi="Segoe UI Semilight" w:cs="Segoe UI Semilight"/>
          <w:color w:val="000000"/>
          <w:szCs w:val="22"/>
        </w:rPr>
        <w:t xml:space="preserve"> </w:t>
      </w:r>
      <w:r w:rsidR="00134690">
        <w:rPr>
          <w:rFonts w:ascii="Segoe UI Semilight" w:hAnsi="Segoe UI Semilight" w:cs="Segoe UI Semilight"/>
          <w:color w:val="000000"/>
          <w:szCs w:val="22"/>
        </w:rPr>
        <w:t>will ensure that inquiries into the conduct of former public servants can be commenced and undertaken</w:t>
      </w:r>
      <w:r w:rsidR="00941445">
        <w:rPr>
          <w:rFonts w:ascii="Segoe UI Semilight" w:hAnsi="Segoe UI Semilight" w:cs="Segoe UI Semilight"/>
          <w:color w:val="000000"/>
          <w:szCs w:val="22"/>
        </w:rPr>
        <w:t>, and sanctions applied,</w:t>
      </w:r>
      <w:r w:rsidR="00134690">
        <w:rPr>
          <w:rFonts w:ascii="Segoe UI Semilight" w:hAnsi="Segoe UI Semilight" w:cs="Segoe UI Semilight"/>
          <w:color w:val="000000"/>
          <w:szCs w:val="22"/>
        </w:rPr>
        <w:t xml:space="preserve"> fol</w:t>
      </w:r>
      <w:r w:rsidR="00C85416">
        <w:rPr>
          <w:rFonts w:ascii="Segoe UI Semilight" w:hAnsi="Segoe UI Semilight" w:cs="Segoe UI Semilight"/>
          <w:color w:val="000000"/>
          <w:szCs w:val="22"/>
        </w:rPr>
        <w:t>lowing the end of their tenure.</w:t>
      </w:r>
    </w:p>
    <w:p w14:paraId="695DC095" w14:textId="3FCDE4BF" w:rsidR="00434C6D" w:rsidRDefault="00941445" w:rsidP="00941445">
      <w:pPr>
        <w:rPr>
          <w:rFonts w:ascii="Segoe UI Semilight" w:hAnsi="Segoe UI Semilight" w:cs="Segoe UI Semilight"/>
          <w:color w:val="000000"/>
          <w:szCs w:val="22"/>
        </w:rPr>
      </w:pPr>
      <w:r w:rsidRPr="00401E0C">
        <w:rPr>
          <w:rFonts w:ascii="Segoe UI Semilight" w:hAnsi="Segoe UI Semilight" w:cs="Segoe UI Semilight"/>
          <w:color w:val="000000"/>
          <w:szCs w:val="22"/>
        </w:rPr>
        <w:lastRenderedPageBreak/>
        <w:t>The Government is committed to robust and transparent arrangements for the employment of department secretaries and agency heads</w:t>
      </w:r>
      <w:r>
        <w:rPr>
          <w:rFonts w:ascii="Segoe UI Semilight" w:hAnsi="Segoe UI Semilight" w:cs="Segoe UI Semilight"/>
          <w:color w:val="000000"/>
          <w:szCs w:val="22"/>
        </w:rPr>
        <w:t xml:space="preserve">. </w:t>
      </w:r>
      <w:r w:rsidR="00434C6D">
        <w:rPr>
          <w:rFonts w:ascii="Segoe UI Semilight" w:hAnsi="Segoe UI Semilight" w:cs="Segoe UI Semilight"/>
          <w:color w:val="000000"/>
          <w:szCs w:val="22"/>
        </w:rPr>
        <w:t>T</w:t>
      </w:r>
      <w:r w:rsidR="00401E0C" w:rsidRPr="00401E0C">
        <w:rPr>
          <w:rFonts w:ascii="Segoe UI Semilight" w:hAnsi="Segoe UI Semilight" w:cs="Segoe UI Semilight"/>
          <w:color w:val="000000"/>
          <w:szCs w:val="22"/>
        </w:rPr>
        <w:t xml:space="preserve">he Government will require the APS Commissioner and the Secretary of the Department of the Prime Minister and Cabinet to have regard to the outcome of </w:t>
      </w:r>
      <w:r w:rsidR="00434C6D">
        <w:rPr>
          <w:rFonts w:ascii="Segoe UI Semilight" w:hAnsi="Segoe UI Semilight" w:cs="Segoe UI Semilight"/>
          <w:color w:val="000000"/>
          <w:szCs w:val="22"/>
        </w:rPr>
        <w:t xml:space="preserve">a </w:t>
      </w:r>
      <w:r w:rsidR="00401E0C" w:rsidRPr="00401E0C">
        <w:rPr>
          <w:rFonts w:ascii="Segoe UI Semilight" w:hAnsi="Segoe UI Semilight" w:cs="Segoe UI Semilight"/>
          <w:color w:val="000000"/>
          <w:szCs w:val="22"/>
        </w:rPr>
        <w:t xml:space="preserve">merit-based appointments process when providing </w:t>
      </w:r>
      <w:r w:rsidR="00434C6D">
        <w:rPr>
          <w:rFonts w:ascii="Segoe UI Semilight" w:hAnsi="Segoe UI Semilight" w:cs="Segoe UI Semilight"/>
          <w:color w:val="000000"/>
          <w:szCs w:val="22"/>
        </w:rPr>
        <w:t xml:space="preserve">a </w:t>
      </w:r>
      <w:r w:rsidR="00401E0C" w:rsidRPr="00401E0C">
        <w:rPr>
          <w:rFonts w:ascii="Segoe UI Semilight" w:hAnsi="Segoe UI Semilight" w:cs="Segoe UI Semilight"/>
          <w:color w:val="000000"/>
          <w:szCs w:val="22"/>
        </w:rPr>
        <w:t xml:space="preserve">report to the Prime Minister on </w:t>
      </w:r>
      <w:r w:rsidR="00434C6D">
        <w:rPr>
          <w:rFonts w:ascii="Segoe UI Semilight" w:hAnsi="Segoe UI Semilight" w:cs="Segoe UI Semilight"/>
          <w:color w:val="000000"/>
          <w:szCs w:val="22"/>
        </w:rPr>
        <w:t>a secretary</w:t>
      </w:r>
      <w:r w:rsidR="00C2206E">
        <w:rPr>
          <w:rFonts w:ascii="Segoe UI Semilight" w:hAnsi="Segoe UI Semilight" w:cs="Segoe UI Semilight"/>
          <w:color w:val="000000"/>
          <w:szCs w:val="22"/>
        </w:rPr>
        <w:t xml:space="preserve"> </w:t>
      </w:r>
      <w:r w:rsidR="00401E0C" w:rsidRPr="00401E0C">
        <w:rPr>
          <w:rFonts w:ascii="Segoe UI Semilight" w:hAnsi="Segoe UI Semilight" w:cs="Segoe UI Semilight"/>
          <w:color w:val="000000"/>
          <w:szCs w:val="22"/>
        </w:rPr>
        <w:t>appointment</w:t>
      </w:r>
      <w:r w:rsidR="00FC7107">
        <w:rPr>
          <w:rFonts w:ascii="Segoe UI Semilight" w:hAnsi="Segoe UI Semilight" w:cs="Segoe UI Semilight"/>
          <w:color w:val="000000"/>
          <w:szCs w:val="22"/>
        </w:rPr>
        <w:t>.</w:t>
      </w:r>
    </w:p>
    <w:p w14:paraId="18296494" w14:textId="3117FC45" w:rsidR="00FC7107" w:rsidRPr="00D914D3" w:rsidRDefault="00FC7107" w:rsidP="00D914D3">
      <w:pPr>
        <w:keepNext/>
        <w:keepLines/>
        <w:pBdr>
          <w:top w:val="single" w:sz="4" w:space="1" w:color="auto"/>
          <w:left w:val="single" w:sz="4" w:space="1" w:color="auto"/>
          <w:bottom w:val="single" w:sz="4" w:space="1" w:color="auto"/>
          <w:right w:val="single" w:sz="4" w:space="1" w:color="auto"/>
        </w:pBdr>
        <w:shd w:val="clear" w:color="auto" w:fill="E0E8F2" w:themeFill="background2"/>
        <w:spacing w:before="360"/>
        <w:outlineLvl w:val="2"/>
        <w:rPr>
          <w:rFonts w:ascii="Segoe UI Semilight" w:hAnsi="Segoe UI Semilight" w:cs="Segoe UI Semilight"/>
          <w:b/>
          <w:bCs/>
          <w:color w:val="000000"/>
          <w:szCs w:val="22"/>
        </w:rPr>
      </w:pPr>
      <w:r w:rsidRPr="00EA0E0B">
        <w:rPr>
          <w:rFonts w:ascii="Segoe UI Semilight" w:hAnsi="Segoe UI Semilight" w:cs="Segoe UI Semilight"/>
          <w:b/>
          <w:bCs/>
          <w:color w:val="000000"/>
          <w:szCs w:val="22"/>
        </w:rPr>
        <w:t xml:space="preserve">Recommendation </w:t>
      </w:r>
      <w:r w:rsidRPr="00F57F22">
        <w:rPr>
          <w:rFonts w:ascii="Segoe UI Semilight" w:hAnsi="Segoe UI Semilight" w:cs="Segoe UI Semilight"/>
          <w:b/>
          <w:bCs/>
          <w:color w:val="000000"/>
          <w:szCs w:val="22"/>
        </w:rPr>
        <w:t>2</w:t>
      </w:r>
      <w:r>
        <w:rPr>
          <w:rFonts w:ascii="Segoe UI Semilight" w:hAnsi="Segoe UI Semilight" w:cs="Segoe UI Semilight"/>
          <w:b/>
          <w:bCs/>
          <w:color w:val="000000"/>
          <w:szCs w:val="22"/>
        </w:rPr>
        <w:t>3</w:t>
      </w:r>
      <w:r w:rsidRPr="00F57F22">
        <w:rPr>
          <w:rFonts w:ascii="Segoe UI Semilight" w:hAnsi="Segoe UI Semilight" w:cs="Segoe UI Semilight"/>
          <w:b/>
          <w:bCs/>
          <w:color w:val="000000"/>
          <w:szCs w:val="22"/>
        </w:rPr>
        <w:t>.8: Documenting decisions and discussion</w:t>
      </w:r>
      <w:r>
        <w:rPr>
          <w:rFonts w:ascii="Segoe UI Semilight" w:hAnsi="Segoe UI Semilight" w:cs="Segoe UI Semilight"/>
          <w:b/>
          <w:bCs/>
          <w:color w:val="000000"/>
          <w:szCs w:val="22"/>
        </w:rPr>
        <w:t>s</w:t>
      </w:r>
    </w:p>
    <w:p w14:paraId="07043D56" w14:textId="0974A8AC" w:rsidR="00FC7107" w:rsidRPr="00DF7A6C" w:rsidRDefault="00FC7107" w:rsidP="0089733F">
      <w:pPr>
        <w:pBdr>
          <w:top w:val="single" w:sz="4" w:space="1" w:color="auto"/>
          <w:left w:val="single" w:sz="4" w:space="1" w:color="auto"/>
          <w:bottom w:val="single" w:sz="4" w:space="1" w:color="auto"/>
          <w:right w:val="single" w:sz="4" w:space="1" w:color="auto"/>
        </w:pBdr>
        <w:shd w:val="clear" w:color="auto" w:fill="E0E8F2" w:themeFill="background2"/>
        <w:rPr>
          <w:rFonts w:ascii="Segoe UI Semilight" w:hAnsi="Segoe UI Semilight" w:cs="Segoe UI Semilight"/>
          <w:szCs w:val="22"/>
        </w:rPr>
      </w:pPr>
      <w:r w:rsidRPr="00F57F22">
        <w:rPr>
          <w:rFonts w:ascii="Segoe UI Semilight" w:hAnsi="Segoe UI Semilight" w:cs="Segoe UI Semilight"/>
          <w:color w:val="000000"/>
          <w:szCs w:val="22"/>
        </w:rPr>
        <w:t>The Australian Public Service Commission should develop standards for documenting important decisions and discussions, and the delivery of training on those standards.</w:t>
      </w:r>
    </w:p>
    <w:p w14:paraId="2406288A" w14:textId="65C899B7" w:rsidR="00CF5D38" w:rsidRPr="00F57F22" w:rsidRDefault="00CF5D38" w:rsidP="000C2D43">
      <w:pPr>
        <w:pStyle w:val="TBLText"/>
      </w:pPr>
      <w:r w:rsidRPr="00F57F22">
        <w:t xml:space="preserve">The Government </w:t>
      </w:r>
      <w:r w:rsidRPr="00F57F22">
        <w:rPr>
          <w:b/>
        </w:rPr>
        <w:t xml:space="preserve">accepts </w:t>
      </w:r>
      <w:r w:rsidR="00C85416">
        <w:t>this recommendation.</w:t>
      </w:r>
    </w:p>
    <w:p w14:paraId="194C7D39" w14:textId="253C7173" w:rsidR="00A620B7" w:rsidRPr="00F57F22" w:rsidRDefault="00CF5D38" w:rsidP="00A620B7">
      <w:pPr>
        <w:rPr>
          <w:rFonts w:ascii="Segoe UI Semilight" w:hAnsi="Segoe UI Semilight" w:cs="Segoe UI Semilight"/>
          <w:color w:val="000000"/>
          <w:szCs w:val="22"/>
        </w:rPr>
      </w:pPr>
      <w:r w:rsidRPr="00F57F22">
        <w:rPr>
          <w:rFonts w:ascii="Segoe UI Semilight" w:hAnsi="Segoe UI Semilight" w:cs="Segoe UI Semilight"/>
          <w:color w:val="000000"/>
          <w:szCs w:val="22"/>
        </w:rPr>
        <w:t>The Government supports the implementation of</w:t>
      </w:r>
      <w:r w:rsidRPr="00F57F22">
        <w:rPr>
          <w:szCs w:val="22"/>
        </w:rPr>
        <w:t xml:space="preserve"> </w:t>
      </w:r>
      <w:r w:rsidRPr="00F57F22">
        <w:rPr>
          <w:rFonts w:ascii="Segoe UI Semilight" w:hAnsi="Segoe UI Semilight" w:cs="Segoe UI Semilight"/>
          <w:color w:val="000000"/>
          <w:szCs w:val="22"/>
        </w:rPr>
        <w:t xml:space="preserve">standards for documenting important decisions and discussions across </w:t>
      </w:r>
      <w:r w:rsidR="00A620B7" w:rsidRPr="00F57F22">
        <w:rPr>
          <w:rFonts w:ascii="Segoe UI Semilight" w:hAnsi="Segoe UI Semilight" w:cs="Segoe UI Semilight"/>
          <w:color w:val="000000"/>
          <w:szCs w:val="22"/>
        </w:rPr>
        <w:t xml:space="preserve">the </w:t>
      </w:r>
      <w:r w:rsidR="00663D23">
        <w:rPr>
          <w:rFonts w:ascii="Segoe UI Semilight" w:hAnsi="Segoe UI Semilight" w:cs="Segoe UI Semilight"/>
          <w:color w:val="000000"/>
          <w:szCs w:val="22"/>
        </w:rPr>
        <w:t>APS</w:t>
      </w:r>
      <w:r w:rsidR="00A620B7" w:rsidRPr="00F57F22">
        <w:rPr>
          <w:rFonts w:ascii="Segoe UI Semilight" w:hAnsi="Segoe UI Semilight" w:cs="Segoe UI Semilight"/>
          <w:color w:val="000000"/>
          <w:szCs w:val="22"/>
        </w:rPr>
        <w:t>.</w:t>
      </w:r>
    </w:p>
    <w:p w14:paraId="266CB246" w14:textId="61486CE8" w:rsidR="007F6B64" w:rsidRDefault="00CF5D38" w:rsidP="00A620B7">
      <w:pPr>
        <w:rPr>
          <w:rFonts w:ascii="Segoe UI Semilight" w:hAnsi="Segoe UI Semilight" w:cs="Segoe UI Semilight"/>
          <w:color w:val="000000"/>
          <w:szCs w:val="22"/>
        </w:rPr>
      </w:pPr>
      <w:r w:rsidRPr="00F57F22">
        <w:rPr>
          <w:rFonts w:ascii="Segoe UI Semilight" w:hAnsi="Segoe UI Semilight" w:cs="Segoe UI Semilight"/>
          <w:color w:val="000000"/>
          <w:szCs w:val="22"/>
        </w:rPr>
        <w:t xml:space="preserve">The Australian Public Service Commission will implement a coordinated, APS-wide communications strategy (in </w:t>
      </w:r>
      <w:r w:rsidRPr="00F57F22">
        <w:rPr>
          <w:rFonts w:ascii="Segoe UI Semilight" w:hAnsi="Segoe UI Semilight" w:cs="Segoe UI Semilight"/>
          <w:szCs w:val="22"/>
        </w:rPr>
        <w:t>consultation</w:t>
      </w:r>
      <w:r w:rsidRPr="00F57F22">
        <w:rPr>
          <w:rFonts w:ascii="Segoe UI Semilight" w:hAnsi="Segoe UI Semilight" w:cs="Segoe UI Semilight"/>
          <w:color w:val="000000"/>
          <w:szCs w:val="22"/>
        </w:rPr>
        <w:t xml:space="preserve"> with the Office of the Australian Information Commissioner and National Archives of Australia</w:t>
      </w:r>
      <w:r w:rsidR="00B8461A">
        <w:rPr>
          <w:rFonts w:ascii="Segoe UI Semilight" w:hAnsi="Segoe UI Semilight" w:cs="Segoe UI Semilight"/>
          <w:color w:val="000000"/>
          <w:szCs w:val="22"/>
        </w:rPr>
        <w:t xml:space="preserve"> (NAA)</w:t>
      </w:r>
      <w:r w:rsidRPr="00F57F22">
        <w:rPr>
          <w:rFonts w:ascii="Segoe UI Semilight" w:hAnsi="Segoe UI Semilight" w:cs="Segoe UI Semilight"/>
          <w:color w:val="000000"/>
          <w:szCs w:val="22"/>
        </w:rPr>
        <w:t xml:space="preserve">) that highlights the connection between integrity and recordkeeping, in line with the latest NAA guidance; articulates support from senior leadership for best practice in recordkeeping; and </w:t>
      </w:r>
      <w:r w:rsidR="00543D1B" w:rsidRPr="00F57F22">
        <w:rPr>
          <w:rFonts w:ascii="Segoe UI Semilight" w:hAnsi="Segoe UI Semilight" w:cs="Segoe UI Semilight"/>
          <w:color w:val="000000"/>
          <w:szCs w:val="22"/>
        </w:rPr>
        <w:t>p</w:t>
      </w:r>
      <w:r w:rsidRPr="00F57F22">
        <w:rPr>
          <w:rFonts w:ascii="Segoe UI Semilight" w:hAnsi="Segoe UI Semilight" w:cs="Segoe UI Semilight"/>
          <w:color w:val="000000"/>
          <w:szCs w:val="22"/>
        </w:rPr>
        <w:t>romotes existing training and resources to enhance capability and culture around recordkeeping, including for ministers’ offices.</w:t>
      </w:r>
    </w:p>
    <w:p w14:paraId="32FFF49B" w14:textId="114EBAF5" w:rsidR="003A3FB9" w:rsidRDefault="00722868" w:rsidP="00A620B7">
      <w:pPr>
        <w:rPr>
          <w:rFonts w:ascii="Segoe UI Semilight" w:hAnsi="Segoe UI Semilight" w:cs="Segoe UI Semilight"/>
          <w:color w:val="000000"/>
          <w:szCs w:val="22"/>
        </w:rPr>
      </w:pPr>
      <w:r>
        <w:rPr>
          <w:rFonts w:ascii="Segoe UI Semilight" w:hAnsi="Segoe UI Semilight" w:cs="Segoe UI Semilight"/>
          <w:color w:val="000000"/>
          <w:szCs w:val="22"/>
        </w:rPr>
        <w:t xml:space="preserve">The Australian Public Service Commission, through </w:t>
      </w:r>
      <w:r w:rsidR="007D0256">
        <w:rPr>
          <w:rFonts w:ascii="Segoe UI Semilight" w:hAnsi="Segoe UI Semilight" w:cs="Segoe UI Semilight"/>
          <w:color w:val="000000"/>
          <w:szCs w:val="22"/>
        </w:rPr>
        <w:t xml:space="preserve">the </w:t>
      </w:r>
      <w:r>
        <w:rPr>
          <w:rFonts w:ascii="Segoe UI Semilight" w:hAnsi="Segoe UI Semilight" w:cs="Segoe UI Semilight"/>
          <w:color w:val="000000"/>
          <w:szCs w:val="22"/>
        </w:rPr>
        <w:t xml:space="preserve">APS Academy, is </w:t>
      </w:r>
      <w:r w:rsidR="007F6B64">
        <w:rPr>
          <w:rFonts w:ascii="Segoe UI Semilight" w:hAnsi="Segoe UI Semilight" w:cs="Segoe UI Semilight"/>
          <w:color w:val="000000"/>
          <w:szCs w:val="22"/>
        </w:rPr>
        <w:t xml:space="preserve">also </w:t>
      </w:r>
      <w:r>
        <w:rPr>
          <w:rFonts w:ascii="Segoe UI Semilight" w:hAnsi="Segoe UI Semilight" w:cs="Segoe UI Semilight"/>
          <w:color w:val="000000"/>
          <w:szCs w:val="22"/>
        </w:rPr>
        <w:t>developing in partnership with the NAA an online Record Keeping Module as part of its induction program</w:t>
      </w:r>
      <w:r w:rsidR="007F6B64">
        <w:rPr>
          <w:rFonts w:ascii="Segoe UI Semilight" w:hAnsi="Segoe UI Semilight" w:cs="Segoe UI Semilight"/>
          <w:color w:val="000000"/>
          <w:szCs w:val="22"/>
        </w:rPr>
        <w:t xml:space="preserve">. This </w:t>
      </w:r>
      <w:r>
        <w:rPr>
          <w:rFonts w:ascii="Segoe UI Semilight" w:hAnsi="Segoe UI Semilight" w:cs="Segoe UI Semilight"/>
          <w:color w:val="000000"/>
          <w:szCs w:val="22"/>
        </w:rPr>
        <w:t>will include a range of case studies and scenarios to equip public servants to understand their obligations for documenting important decisions and discussions.</w:t>
      </w:r>
    </w:p>
    <w:sectPr w:rsidR="003A3FB9" w:rsidSect="00B172C6">
      <w:headerReference w:type="default" r:id="rId19"/>
      <w:footerReference w:type="default" r:id="rId20"/>
      <w:head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99D6A" w14:textId="77777777" w:rsidR="0070101C" w:rsidRDefault="0070101C" w:rsidP="00F957C6">
      <w:pPr>
        <w:spacing w:after="0" w:line="240" w:lineRule="auto"/>
      </w:pPr>
      <w:r>
        <w:separator/>
      </w:r>
    </w:p>
    <w:p w14:paraId="2308C127" w14:textId="77777777" w:rsidR="0070101C" w:rsidRDefault="0070101C"/>
  </w:endnote>
  <w:endnote w:type="continuationSeparator" w:id="0">
    <w:p w14:paraId="2C6A0AE1" w14:textId="77777777" w:rsidR="0070101C" w:rsidRDefault="0070101C" w:rsidP="00F957C6">
      <w:pPr>
        <w:spacing w:after="0" w:line="240" w:lineRule="auto"/>
      </w:pPr>
      <w:r>
        <w:continuationSeparator/>
      </w:r>
    </w:p>
    <w:p w14:paraId="7B3012FB" w14:textId="77777777" w:rsidR="0070101C" w:rsidRDefault="0070101C"/>
  </w:endnote>
  <w:endnote w:type="continuationNotice" w:id="1">
    <w:p w14:paraId="228761B7" w14:textId="77777777" w:rsidR="0070101C" w:rsidRDefault="0070101C">
      <w:pPr>
        <w:spacing w:after="0" w:line="240" w:lineRule="auto"/>
      </w:pPr>
    </w:p>
    <w:p w14:paraId="3EBC753C" w14:textId="77777777" w:rsidR="0070101C" w:rsidRDefault="00701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18C3" w14:textId="77777777" w:rsidR="007D2750" w:rsidRPr="00040D2E" w:rsidRDefault="007D2750" w:rsidP="00040D2E">
    <w:pPr>
      <w:ind w:left="720" w:firstLine="720"/>
      <w:jc w:val="center"/>
      <w:rPr>
        <w: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F1FE" w14:textId="3B9B7EC3" w:rsidR="007D2750" w:rsidRPr="00303C55" w:rsidRDefault="00550709" w:rsidP="00303C55">
    <w:pPr>
      <w:pStyle w:val="Footer"/>
    </w:pPr>
    <w:r>
      <w:t>Government Response | Royal Commission into the Robodebt Scheme</w:t>
    </w:r>
    <w:r w:rsidR="007D2750">
      <w:ptab w:relativeTo="margin" w:alignment="center" w:leader="none"/>
    </w:r>
    <w:r w:rsidR="007D2750">
      <w:rPr>
        <w:noProof/>
        <w:lang w:eastAsia="en-AU"/>
      </w:rPr>
      <mc:AlternateContent>
        <mc:Choice Requires="wps">
          <w:drawing>
            <wp:anchor distT="0" distB="0" distL="114300" distR="114300" simplePos="0" relativeHeight="251658242" behindDoc="1" locked="0" layoutInCell="1" allowOverlap="1" wp14:anchorId="4829BB5E" wp14:editId="0405EF54">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FB66D" id="Straight Connector 106" o:spid="_x0000_s1026" style="position:absolute;z-index:-251658238;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C613450CC36C4F8E82225CAD450A4875"/>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sidR="007D2750">
          <w:rPr>
            <w:rStyle w:val="CLASSIFICATIONChar"/>
          </w:rPr>
          <w:t>Official</w:t>
        </w:r>
      </w:sdtContent>
    </w:sdt>
    <w:r w:rsidR="007D2750">
      <w:rPr>
        <w:noProof/>
        <w:lang w:eastAsia="en-AU"/>
      </w:rPr>
      <mc:AlternateContent>
        <mc:Choice Requires="wps">
          <w:drawing>
            <wp:anchor distT="0" distB="0" distL="114300" distR="114300" simplePos="0" relativeHeight="251658241" behindDoc="0" locked="0" layoutInCell="1" allowOverlap="1" wp14:anchorId="72BB1C64" wp14:editId="0F3D0EFC">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E0770" id="Straight Connector 10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rsidR="007D2750">
      <w:t xml:space="preserve"> </w:t>
    </w:r>
    <w:r w:rsidR="007D2750">
      <w:ptab w:relativeTo="margin" w:alignment="right" w:leader="none"/>
    </w:r>
    <w:r w:rsidR="007D2750">
      <w:fldChar w:fldCharType="begin"/>
    </w:r>
    <w:r w:rsidR="007D2750">
      <w:instrText xml:space="preserve"> PAGE   \* MERGEFORMAT </w:instrText>
    </w:r>
    <w:r w:rsidR="007D2750">
      <w:fldChar w:fldCharType="separate"/>
    </w:r>
    <w:r w:rsidR="007D2750">
      <w:rPr>
        <w:noProof/>
      </w:rPr>
      <w:t>2</w:t>
    </w:r>
    <w:r w:rsidR="007D27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A2D9" w14:textId="77777777" w:rsidR="007D2750" w:rsidRDefault="007D2750" w:rsidP="009B2A40">
    <w:pPr>
      <w:jc w:val="center"/>
      <w:rPr>
        <w:rStyle w:val="CLASSIFICATIONChar"/>
      </w:rPr>
    </w:pPr>
  </w:p>
  <w:p w14:paraId="48244C3D" w14:textId="715046B2" w:rsidR="007D2750" w:rsidRPr="00CC1B69" w:rsidRDefault="00550709" w:rsidP="00CC1B69">
    <w:pPr>
      <w:pStyle w:val="Header"/>
      <w:rPr>
        <w:rFonts w:ascii="Segoe UI" w:hAnsi="Segoe UI" w:cs="Segoe UI"/>
        <w:color w:val="6E6E6E"/>
        <w:sz w:val="18"/>
      </w:rPr>
    </w:pPr>
    <w:r>
      <w:rPr>
        <w:rFonts w:ascii="Segoe UI" w:hAnsi="Segoe UI"/>
        <w:color w:val="6E6E6E"/>
        <w:sz w:val="18"/>
        <w:szCs w:val="18"/>
      </w:rPr>
      <w:t>Government Response | Royal Commission into the Robodebt Scheme</w:t>
    </w:r>
    <w:r w:rsidR="007D2750" w:rsidRPr="00852F35">
      <w:rPr>
        <w:color w:val="6E6E6E"/>
      </w:rPr>
      <w:ptab w:relativeTo="margin" w:alignment="right" w:leader="none"/>
    </w:r>
    <w:r w:rsidR="007D2750" w:rsidRPr="00852F35">
      <w:rPr>
        <w:rFonts w:ascii="Segoe UI" w:hAnsi="Segoe UI" w:cs="Segoe UI"/>
        <w:color w:val="6E6E6E"/>
        <w:sz w:val="18"/>
      </w:rPr>
      <w:fldChar w:fldCharType="begin"/>
    </w:r>
    <w:r w:rsidR="007D2750" w:rsidRPr="00852F35">
      <w:rPr>
        <w:rFonts w:ascii="Segoe UI" w:hAnsi="Segoe UI" w:cs="Segoe UI"/>
        <w:color w:val="6E6E6E"/>
        <w:sz w:val="18"/>
      </w:rPr>
      <w:instrText xml:space="preserve"> PAGE   \* MERGEFORMAT </w:instrText>
    </w:r>
    <w:r w:rsidR="007D2750" w:rsidRPr="00852F35">
      <w:rPr>
        <w:rFonts w:ascii="Segoe UI" w:hAnsi="Segoe UI" w:cs="Segoe UI"/>
        <w:color w:val="6E6E6E"/>
        <w:sz w:val="18"/>
      </w:rPr>
      <w:fldChar w:fldCharType="separate"/>
    </w:r>
    <w:r w:rsidR="009E2FAE">
      <w:rPr>
        <w:rFonts w:ascii="Segoe UI" w:hAnsi="Segoe UI" w:cs="Segoe UI"/>
        <w:noProof/>
        <w:color w:val="6E6E6E"/>
        <w:sz w:val="18"/>
      </w:rPr>
      <w:t>35</w:t>
    </w:r>
    <w:r w:rsidR="007D2750"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C709" w14:textId="77777777" w:rsidR="0070101C" w:rsidRDefault="0070101C" w:rsidP="00F957C6">
      <w:pPr>
        <w:spacing w:after="0" w:line="240" w:lineRule="auto"/>
      </w:pPr>
      <w:r>
        <w:separator/>
      </w:r>
    </w:p>
    <w:p w14:paraId="048D7100" w14:textId="77777777" w:rsidR="0070101C" w:rsidRDefault="0070101C"/>
  </w:footnote>
  <w:footnote w:type="continuationSeparator" w:id="0">
    <w:p w14:paraId="1FC8D9FF" w14:textId="77777777" w:rsidR="0070101C" w:rsidRDefault="0070101C" w:rsidP="00F957C6">
      <w:pPr>
        <w:spacing w:after="0" w:line="240" w:lineRule="auto"/>
      </w:pPr>
      <w:r>
        <w:continuationSeparator/>
      </w:r>
    </w:p>
    <w:p w14:paraId="775FBEA9" w14:textId="77777777" w:rsidR="0070101C" w:rsidRDefault="0070101C"/>
  </w:footnote>
  <w:footnote w:type="continuationNotice" w:id="1">
    <w:p w14:paraId="5216884C" w14:textId="77777777" w:rsidR="0070101C" w:rsidRDefault="0070101C">
      <w:pPr>
        <w:spacing w:after="0" w:line="240" w:lineRule="auto"/>
      </w:pPr>
    </w:p>
    <w:p w14:paraId="4577BDF3" w14:textId="77777777" w:rsidR="0070101C" w:rsidRDefault="0070101C"/>
  </w:footnote>
  <w:footnote w:id="2">
    <w:p w14:paraId="43327B95" w14:textId="77777777" w:rsidR="007D2750" w:rsidRDefault="007D2750">
      <w:pPr>
        <w:pStyle w:val="FootnoteText"/>
      </w:pPr>
      <w:r>
        <w:rPr>
          <w:rStyle w:val="FootnoteReference"/>
        </w:rPr>
        <w:footnoteRef/>
      </w:r>
      <w:r>
        <w:t xml:space="preserve"> Royal Commission into the Robodebt Scheme, Report, page xxix.</w:t>
      </w:r>
    </w:p>
  </w:footnote>
  <w:footnote w:id="3">
    <w:p w14:paraId="02BBC90B" w14:textId="711D70E7" w:rsidR="007D2750" w:rsidRDefault="007D2750" w:rsidP="0058706C">
      <w:pPr>
        <w:pStyle w:val="FootnoteText"/>
      </w:pPr>
      <w:r>
        <w:rPr>
          <w:rStyle w:val="FootnoteReference"/>
        </w:rPr>
        <w:footnoteRef/>
      </w:r>
      <w:r>
        <w:t xml:space="preserve"> Royal Commission into the Robodebt Scheme, Report, page xxvii.</w:t>
      </w:r>
    </w:p>
  </w:footnote>
  <w:footnote w:id="4">
    <w:p w14:paraId="791C4A2A" w14:textId="2B90D8F7" w:rsidR="007D2750" w:rsidRDefault="007D2750">
      <w:pPr>
        <w:pStyle w:val="FootnoteText"/>
      </w:pPr>
      <w:r>
        <w:rPr>
          <w:rStyle w:val="FootnoteReference"/>
        </w:rPr>
        <w:footnoteRef/>
      </w:r>
      <w:r>
        <w:t xml:space="preserve"> Royal Commission into the Robodebt Scheme, Report, page xxvii.</w:t>
      </w:r>
    </w:p>
  </w:footnote>
  <w:footnote w:id="5">
    <w:p w14:paraId="4D561CAE" w14:textId="77777777" w:rsidR="007D2750" w:rsidRDefault="007D2750">
      <w:pPr>
        <w:pStyle w:val="FootnoteText"/>
      </w:pPr>
      <w:r>
        <w:rPr>
          <w:rStyle w:val="FootnoteReference"/>
        </w:rPr>
        <w:footnoteRef/>
      </w:r>
      <w:r>
        <w:t xml:space="preserve"> </w:t>
      </w:r>
      <w:hyperlink r:id="rId1" w:history="1">
        <w:r>
          <w:rPr>
            <w:rStyle w:val="Hyperlink"/>
          </w:rPr>
          <w:t>9news, 9 July 2023</w:t>
        </w:r>
      </w:hyperlink>
      <w:r>
        <w:rPr>
          <w:rStyle w:val="Hyperlink"/>
        </w:rPr>
        <w:t>.</w:t>
      </w:r>
    </w:p>
  </w:footnote>
  <w:footnote w:id="6">
    <w:p w14:paraId="7B970D82" w14:textId="1F895B06" w:rsidR="007D2750" w:rsidRDefault="007D2750">
      <w:pPr>
        <w:pStyle w:val="FootnoteText"/>
      </w:pPr>
      <w:r>
        <w:rPr>
          <w:rStyle w:val="FootnoteReference"/>
        </w:rPr>
        <w:footnoteRef/>
      </w:r>
      <w:r>
        <w:t xml:space="preserve"> Royal Commission into the Robodebt Scheme, Report, page xxvii. M</w:t>
      </w:r>
      <w:r w:rsidRPr="00062D27">
        <w:t>ost people were target</w:t>
      </w:r>
      <w:r w:rsidRPr="00323A7E">
        <w:t>ed after</w:t>
      </w:r>
      <w:r>
        <w:t xml:space="preserve"> early 2017:</w:t>
      </w:r>
      <w:r w:rsidRPr="00323A7E">
        <w:t xml:space="preserve"> </w:t>
      </w:r>
      <w:r>
        <w:t>Royal Commission into the Robodebt Scheme Exhibit 8538 – Response to</w:t>
      </w:r>
      <w:r w:rsidRPr="00323A7E">
        <w:t xml:space="preserve"> NTG-009</w:t>
      </w:r>
      <w:r>
        <w:t>7 (681,292 reviews for EIC program from early 2017 and 247,459 reviews from October 2018 for CUPI program</w:t>
      </w:r>
      <w:r w:rsidR="0065101F">
        <w:t>,</w:t>
      </w:r>
      <w:r w:rsidR="0065101F" w:rsidDel="0040559E">
        <w:t xml:space="preserve"> </w:t>
      </w:r>
      <w:r w:rsidR="0065101F">
        <w:t>compared</w:t>
      </w:r>
      <w:r>
        <w:t xml:space="preserve"> to 220,439 reviews prior to 2017 for OCI program</w:t>
      </w:r>
      <w:r w:rsidRPr="00323A7E">
        <w:t>).</w:t>
      </w:r>
    </w:p>
  </w:footnote>
  <w:footnote w:id="7">
    <w:p w14:paraId="6CEE2D4F" w14:textId="68A12A5F" w:rsidR="007D2750" w:rsidRDefault="007D2750">
      <w:pPr>
        <w:pStyle w:val="FootnoteText"/>
      </w:pPr>
      <w:r>
        <w:rPr>
          <w:rStyle w:val="FootnoteReference"/>
        </w:rPr>
        <w:footnoteRef/>
      </w:r>
      <w:r>
        <w:t xml:space="preserve"> Royal Commission into the Robodebt Scheme, Report, page 659.</w:t>
      </w:r>
    </w:p>
  </w:footnote>
  <w:footnote w:id="8">
    <w:p w14:paraId="4FACF732" w14:textId="2D5D31B7" w:rsidR="007D2750" w:rsidRDefault="007D2750">
      <w:pPr>
        <w:pStyle w:val="FootnoteText"/>
      </w:pPr>
      <w:r>
        <w:rPr>
          <w:rStyle w:val="FootnoteReference"/>
        </w:rPr>
        <w:footnoteRef/>
      </w:r>
      <w:r>
        <w:t xml:space="preserve"> Royal Commission into the Robodebt Scheme, Report, page iii.</w:t>
      </w:r>
    </w:p>
  </w:footnote>
  <w:footnote w:id="9">
    <w:p w14:paraId="084D1DEC" w14:textId="77777777" w:rsidR="007D2750" w:rsidRDefault="007D2750" w:rsidP="00C15DDA">
      <w:pPr>
        <w:pStyle w:val="FootnoteText"/>
      </w:pPr>
      <w:r>
        <w:rPr>
          <w:rStyle w:val="FootnoteReference"/>
        </w:rPr>
        <w:footnoteRef/>
      </w:r>
      <w:r>
        <w:t xml:space="preserve"> Australian Government </w:t>
      </w:r>
      <w:hyperlink r:id="rId2" w:history="1">
        <w:r w:rsidRPr="00DF0108">
          <w:rPr>
            <w:rStyle w:val="Hyperlink"/>
          </w:rPr>
          <w:t>Code of Conduct for Ministers</w:t>
        </w:r>
      </w:hyperlink>
      <w:r>
        <w:t>, 8 July 2022.</w:t>
      </w:r>
    </w:p>
  </w:footnote>
  <w:footnote w:id="10">
    <w:p w14:paraId="1181A1B5" w14:textId="49897B4D" w:rsidR="007D2750" w:rsidRDefault="007D2750" w:rsidP="001826E3">
      <w:pPr>
        <w:pStyle w:val="FootnoteText"/>
      </w:pPr>
      <w:r>
        <w:rPr>
          <w:rStyle w:val="FootnoteReference"/>
        </w:rPr>
        <w:footnoteRef/>
      </w:r>
      <w:r>
        <w:t xml:space="preserve"> Royal Commission into the Robodebt Scheme, Report, page 330.</w:t>
      </w:r>
    </w:p>
  </w:footnote>
  <w:footnote w:id="11">
    <w:p w14:paraId="35254E5C" w14:textId="118888E4" w:rsidR="007D2750" w:rsidRDefault="007D2750" w:rsidP="001826E3">
      <w:pPr>
        <w:pStyle w:val="FootnoteText"/>
      </w:pPr>
      <w:r>
        <w:rPr>
          <w:rStyle w:val="FootnoteReference"/>
        </w:rPr>
        <w:footnoteRef/>
      </w:r>
      <w:r>
        <w:t xml:space="preserve"> Royal Commission into the Robodebt Scheme, Report, page 140.</w:t>
      </w:r>
    </w:p>
  </w:footnote>
  <w:footnote w:id="12">
    <w:p w14:paraId="733BDC56" w14:textId="675DAF85" w:rsidR="007D2750" w:rsidRDefault="007D2750" w:rsidP="001826E3">
      <w:pPr>
        <w:pStyle w:val="FootnoteText"/>
      </w:pPr>
      <w:r>
        <w:rPr>
          <w:rStyle w:val="FootnoteReference"/>
        </w:rPr>
        <w:footnoteRef/>
      </w:r>
      <w:r>
        <w:t xml:space="preserve"> Royal Commission into the Robodebt Scheme, Report, page iii.</w:t>
      </w:r>
    </w:p>
  </w:footnote>
  <w:footnote w:id="13">
    <w:p w14:paraId="5A80C2EE" w14:textId="03E419C9" w:rsidR="007D2750" w:rsidRDefault="007D2750" w:rsidP="001826E3">
      <w:pPr>
        <w:pStyle w:val="FootnoteText"/>
      </w:pPr>
      <w:r>
        <w:rPr>
          <w:rStyle w:val="FootnoteReference"/>
        </w:rPr>
        <w:footnoteRef/>
      </w:r>
      <w:r>
        <w:t xml:space="preserve"> Royal Commission into the Robodebt Scheme, Report, page iii.</w:t>
      </w:r>
    </w:p>
  </w:footnote>
  <w:footnote w:id="14">
    <w:p w14:paraId="18C30FB0" w14:textId="77777777" w:rsidR="007D2750" w:rsidRDefault="007D2750" w:rsidP="00630493">
      <w:pPr>
        <w:pStyle w:val="FootnoteText"/>
      </w:pPr>
      <w:r>
        <w:rPr>
          <w:rStyle w:val="FootnoteReference"/>
        </w:rPr>
        <w:footnoteRef/>
      </w:r>
      <w:r>
        <w:t xml:space="preserve"> </w:t>
      </w:r>
      <w:hyperlink r:id="rId3" w:history="1">
        <w:r>
          <w:rPr>
            <w:rStyle w:val="Hyperlink"/>
          </w:rPr>
          <w:t>Government response to the Privacy Act Review Report | Attorney-General's Department (ag.gov.au)</w:t>
        </w:r>
      </w:hyperlink>
      <w:r>
        <w:t>.</w:t>
      </w:r>
    </w:p>
  </w:footnote>
  <w:footnote w:id="15">
    <w:p w14:paraId="351DB519" w14:textId="0EC9AB9F" w:rsidR="007D2750" w:rsidRDefault="007D2750">
      <w:pPr>
        <w:pStyle w:val="FootnoteText"/>
      </w:pPr>
      <w:r>
        <w:rPr>
          <w:rStyle w:val="FootnoteReference"/>
        </w:rPr>
        <w:footnoteRef/>
      </w:r>
      <w:r>
        <w:t xml:space="preserve"> </w:t>
      </w:r>
      <w:hyperlink r:id="rId4" w:history="1">
        <w:r>
          <w:rPr>
            <w:rStyle w:val="Hyperlink"/>
          </w:rPr>
          <w:t>Cabinet Handbook - 15th edition | PM&amp;C (pmc.gov.au)</w:t>
        </w:r>
      </w:hyperlink>
      <w:r>
        <w:t>, para 21.</w:t>
      </w:r>
    </w:p>
  </w:footnote>
  <w:footnote w:id="16">
    <w:p w14:paraId="0E3D83A5" w14:textId="04BD1D22" w:rsidR="007D2750" w:rsidRDefault="007D2750">
      <w:pPr>
        <w:pStyle w:val="FootnoteText"/>
      </w:pPr>
      <w:r>
        <w:rPr>
          <w:rStyle w:val="FootnoteReference"/>
        </w:rPr>
        <w:footnoteRef/>
      </w:r>
      <w:r>
        <w:t xml:space="preserve"> </w:t>
      </w:r>
      <w:hyperlink r:id="rId5" w:history="1">
        <w:r>
          <w:rPr>
            <w:rStyle w:val="Hyperlink"/>
          </w:rPr>
          <w:t>APS Reform</w:t>
        </w:r>
      </w:hyperlink>
      <w:r>
        <w:rPr>
          <w:rStyle w:val="Hyperlink"/>
        </w:rPr>
        <w:t xml:space="preserve"> outcomes and initiatives (apsreform.gov.au)</w:t>
      </w:r>
      <w:r>
        <w:t>.</w:t>
      </w:r>
    </w:p>
  </w:footnote>
  <w:footnote w:id="17">
    <w:p w14:paraId="6B2E88A4" w14:textId="1BAE1012" w:rsidR="007D2750" w:rsidRDefault="007D2750">
      <w:pPr>
        <w:pStyle w:val="FootnoteText"/>
      </w:pPr>
      <w:r>
        <w:rPr>
          <w:rStyle w:val="FootnoteReference"/>
        </w:rPr>
        <w:footnoteRef/>
      </w:r>
      <w:r>
        <w:t xml:space="preserve"> </w:t>
      </w:r>
      <w:hyperlink r:id="rId6" w:history="1">
        <w:r w:rsidRPr="00451887">
          <w:rPr>
            <w:rStyle w:val="Hyperlink"/>
          </w:rPr>
          <w:t>APS Vision for user-centred service excellence | APS Reform</w:t>
        </w:r>
        <w:r w:rsidRPr="00C030E4">
          <w:rPr>
            <w:rStyle w:val="Hyperlink"/>
          </w:rPr>
          <w:t xml:space="preserve"> (apsreform.gov.au)</w:t>
        </w:r>
      </w:hyperlink>
      <w:r>
        <w:t>.</w:t>
      </w:r>
    </w:p>
  </w:footnote>
  <w:footnote w:id="18">
    <w:p w14:paraId="145F1285" w14:textId="2A655FC3" w:rsidR="007D2750" w:rsidRDefault="007D2750">
      <w:pPr>
        <w:pStyle w:val="FootnoteText"/>
      </w:pPr>
      <w:r>
        <w:rPr>
          <w:rStyle w:val="FootnoteReference"/>
        </w:rPr>
        <w:footnoteRef/>
      </w:r>
      <w:r>
        <w:t xml:space="preserve"> </w:t>
      </w:r>
      <w:hyperlink r:id="rId7" w:history="1">
        <w:r w:rsidRPr="00451887">
          <w:rPr>
            <w:rStyle w:val="Hyperlink"/>
          </w:rPr>
          <w:t>APS Vision for user-centred service excellence | APS Reform</w:t>
        </w:r>
        <w:r w:rsidRPr="00C030E4">
          <w:rPr>
            <w:rStyle w:val="Hyperlink"/>
          </w:rPr>
          <w:t xml:space="preserve"> (apsreform.gov.au)</w:t>
        </w:r>
      </w:hyperlink>
      <w:r>
        <w:t>.</w:t>
      </w:r>
    </w:p>
  </w:footnote>
  <w:footnote w:id="19">
    <w:p w14:paraId="68F006F6" w14:textId="77777777" w:rsidR="007D2750" w:rsidRDefault="007D2750">
      <w:pPr>
        <w:pStyle w:val="FootnoteText"/>
      </w:pPr>
      <w:r>
        <w:rPr>
          <w:rStyle w:val="FootnoteReference"/>
        </w:rPr>
        <w:footnoteRef/>
      </w:r>
      <w:r>
        <w:t xml:space="preserve"> </w:t>
      </w:r>
      <w:hyperlink r:id="rId8" w:history="1">
        <w:r>
          <w:rPr>
            <w:rStyle w:val="Hyperlink"/>
          </w:rPr>
          <w:t>Independent Review of the National Legal Assistance Partnership (ag.gov.au)</w:t>
        </w:r>
      </w:hyperlink>
      <w:r>
        <w:t>.</w:t>
      </w:r>
    </w:p>
  </w:footnote>
  <w:footnote w:id="20">
    <w:p w14:paraId="5B480A25" w14:textId="77777777" w:rsidR="007D2750" w:rsidRDefault="007D2750">
      <w:pPr>
        <w:pStyle w:val="FootnoteText"/>
      </w:pPr>
      <w:r>
        <w:rPr>
          <w:rStyle w:val="FootnoteReference"/>
        </w:rPr>
        <w:footnoteRef/>
      </w:r>
      <w:r>
        <w:t xml:space="preserve"> </w:t>
      </w:r>
      <w:hyperlink r:id="rId9" w:history="1">
        <w:r>
          <w:rPr>
            <w:rStyle w:val="Hyperlink"/>
          </w:rPr>
          <w:t>The Independent Review of the NLAP (nlapreview.com.au)</w:t>
        </w:r>
      </w:hyperlink>
      <w:r>
        <w:t>.</w:t>
      </w:r>
    </w:p>
  </w:footnote>
  <w:footnote w:id="21">
    <w:p w14:paraId="75BA142A" w14:textId="77777777" w:rsidR="007D2750" w:rsidRDefault="007D2750">
      <w:pPr>
        <w:pStyle w:val="FootnoteText"/>
      </w:pPr>
      <w:r>
        <w:rPr>
          <w:rStyle w:val="FootnoteReference"/>
        </w:rPr>
        <w:footnoteRef/>
      </w:r>
      <w:r>
        <w:t xml:space="preserve"> </w:t>
      </w:r>
      <w:hyperlink r:id="rId10" w:history="1">
        <w:r>
          <w:rPr>
            <w:rStyle w:val="Hyperlink"/>
          </w:rPr>
          <w:t>Issues Paper | NLAP review (nlapreview.com.au)</w:t>
        </w:r>
      </w:hyperlink>
      <w:r>
        <w:t>.</w:t>
      </w:r>
    </w:p>
  </w:footnote>
  <w:footnote w:id="22">
    <w:p w14:paraId="7EA49095" w14:textId="77777777" w:rsidR="007D2750" w:rsidRDefault="007D2750">
      <w:pPr>
        <w:pStyle w:val="FootnoteText"/>
      </w:pPr>
      <w:r>
        <w:rPr>
          <w:rStyle w:val="FootnoteReference"/>
        </w:rPr>
        <w:footnoteRef/>
      </w:r>
      <w:r>
        <w:t xml:space="preserve"> </w:t>
      </w:r>
      <w:hyperlink r:id="rId11" w:history="1">
        <w:r w:rsidRPr="00CB1B7E">
          <w:rPr>
            <w:rStyle w:val="Hyperlink"/>
          </w:rPr>
          <w:t>Government response to the Privacy Act Review Report</w:t>
        </w:r>
      </w:hyperlink>
      <w:r w:rsidRPr="00CB1B7E">
        <w:t>, 2023</w:t>
      </w:r>
      <w:r>
        <w:t>.</w:t>
      </w:r>
    </w:p>
  </w:footnote>
  <w:footnote w:id="23">
    <w:p w14:paraId="0A4B91C1" w14:textId="77777777" w:rsidR="007D2750" w:rsidDel="00E64F48" w:rsidRDefault="007D2750">
      <w:pPr>
        <w:pStyle w:val="FootnoteText"/>
      </w:pPr>
      <w:r w:rsidDel="00E64F48">
        <w:rPr>
          <w:rStyle w:val="FootnoteReference"/>
        </w:rPr>
        <w:footnoteRef/>
      </w:r>
      <w:r w:rsidDel="00E64F48">
        <w:t xml:space="preserve"> </w:t>
      </w:r>
      <w:hyperlink r:id="rId12" w:history="1">
        <w:r w:rsidDel="00E64F48">
          <w:rPr>
            <w:rStyle w:val="Hyperlink"/>
          </w:rPr>
          <w:t>Data and Digital Government Strategy</w:t>
        </w:r>
      </w:hyperlink>
      <w:r w:rsidDel="00E64F48">
        <w:t>, 2023.</w:t>
      </w:r>
    </w:p>
  </w:footnote>
  <w:footnote w:id="24">
    <w:p w14:paraId="102342B4" w14:textId="77777777" w:rsidR="007D2750" w:rsidRDefault="007D2750" w:rsidP="00D4076A">
      <w:pPr>
        <w:pStyle w:val="FootnoteText"/>
      </w:pPr>
      <w:r>
        <w:rPr>
          <w:rStyle w:val="FootnoteReference"/>
        </w:rPr>
        <w:footnoteRef/>
      </w:r>
      <w:r>
        <w:t xml:space="preserve"> </w:t>
      </w:r>
      <w:hyperlink r:id="rId13" w:history="1">
        <w:r>
          <w:rPr>
            <w:rStyle w:val="Hyperlink"/>
          </w:rPr>
          <w:t>Statement of expectations of Australian Government lawyers</w:t>
        </w:r>
      </w:hyperlink>
      <w:r>
        <w:t>.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0B95" w14:textId="7DF55DB0" w:rsidR="007D2750" w:rsidRPr="00285CAF" w:rsidRDefault="007D2750" w:rsidP="006D090E">
    <w:pPr>
      <w:pStyle w:val="Header"/>
    </w:pPr>
    <w:r>
      <w:rPr>
        <w:noProof/>
        <w:lang w:eastAsia="en-AU"/>
      </w:rPr>
      <w:drawing>
        <wp:anchor distT="0" distB="0" distL="114300" distR="114300" simplePos="0" relativeHeight="251658244" behindDoc="1" locked="0" layoutInCell="1" allowOverlap="1" wp14:anchorId="062EB352" wp14:editId="52BBEDEB">
          <wp:simplePos x="0" y="0"/>
          <wp:positionH relativeFrom="column">
            <wp:posOffset>0</wp:posOffset>
          </wp:positionH>
          <wp:positionV relativeFrom="page">
            <wp:posOffset>635635</wp:posOffset>
          </wp:positionV>
          <wp:extent cx="2325189" cy="623819"/>
          <wp:effectExtent l="0" t="0" r="0" b="5080"/>
          <wp:wrapNone/>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25189" cy="6238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074" w14:textId="77777777" w:rsidR="007D2750" w:rsidRDefault="007D2750" w:rsidP="00303C55">
    <w:pPr>
      <w:pStyle w:val="Header"/>
      <w:jc w:val="center"/>
    </w:pPr>
    <w:r>
      <w:rPr>
        <w:noProof/>
        <w:lang w:eastAsia="en-AU"/>
      </w:rPr>
      <mc:AlternateContent>
        <mc:Choice Requires="wps">
          <w:drawing>
            <wp:anchor distT="0" distB="0" distL="114300" distR="114300" simplePos="0" relativeHeight="251658240" behindDoc="1" locked="0" layoutInCell="1" allowOverlap="1" wp14:anchorId="44F83ED4" wp14:editId="028F2276">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E38657" id="Straight Connector 10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8DC20959C10C48ABB2683D9F75A0CB8B"/>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37AD" w14:textId="77777777" w:rsidR="007D2750" w:rsidRPr="00040D2E" w:rsidRDefault="007D2750" w:rsidP="00123176">
    <w:pPr>
      <w:ind w:left="720" w:firstLine="720"/>
      <w:jc w:val="center"/>
      <w:rPr>
        <w:b/>
        <w:sz w:val="28"/>
        <w:szCs w:val="28"/>
      </w:rPr>
    </w:pPr>
  </w:p>
  <w:p w14:paraId="48EB98AA" w14:textId="77777777" w:rsidR="007D2750" w:rsidRDefault="007D275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B564" w14:textId="77777777" w:rsidR="007D2750" w:rsidRDefault="007D2750" w:rsidP="00303C55">
    <w:pPr>
      <w:pStyle w:val="Header"/>
      <w:jc w:val="center"/>
    </w:pPr>
    <w:r>
      <w:rPr>
        <w:noProof/>
        <w:lang w:eastAsia="en-AU"/>
      </w:rPr>
      <mc:AlternateContent>
        <mc:Choice Requires="wps">
          <w:drawing>
            <wp:anchor distT="0" distB="0" distL="114300" distR="114300" simplePos="0" relativeHeight="251658243" behindDoc="1" locked="0" layoutInCell="1" allowOverlap="1" wp14:anchorId="55FE1A1C" wp14:editId="103C8F7A">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DCE1E" id="Straight Connector 108" o:spid="_x0000_s1026" style="position:absolute;z-index:-251658237;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847841C7FDDB42F38A9ED366AEB2F72F"/>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8E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B4704"/>
    <w:multiLevelType w:val="hybridMultilevel"/>
    <w:tmpl w:val="4122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3E4B3E"/>
    <w:multiLevelType w:val="hybridMultilevel"/>
    <w:tmpl w:val="EBCA2B26"/>
    <w:lvl w:ilvl="0" w:tplc="B704A1C4">
      <w:start w:val="1"/>
      <w:numFmt w:val="bullet"/>
      <w:lvlText w:val=""/>
      <w:lvlJc w:val="left"/>
      <w:pPr>
        <w:ind w:left="360" w:hanging="360"/>
      </w:pPr>
      <w:rPr>
        <w:rFonts w:ascii="Symbol" w:hAnsi="Symbol" w:hint="default"/>
        <w:color w:val="000000" w:themeColor="text1"/>
      </w:rPr>
    </w:lvl>
    <w:lvl w:ilvl="1" w:tplc="5D54C6AA">
      <w:start w:val="1"/>
      <w:numFmt w:val="bullet"/>
      <w:lvlText w:val="o"/>
      <w:lvlJc w:val="left"/>
      <w:pPr>
        <w:ind w:left="1080" w:hanging="360"/>
      </w:pPr>
      <w:rPr>
        <w:rFonts w:ascii="Courier New" w:hAnsi="Courier New" w:cs="Courier New" w:hint="default"/>
        <w:color w:val="000000" w:themeColor="text1"/>
      </w:rPr>
    </w:lvl>
    <w:lvl w:ilvl="2" w:tplc="0960E924">
      <w:start w:val="1"/>
      <w:numFmt w:val="bullet"/>
      <w:lvlText w:val=""/>
      <w:lvlJc w:val="left"/>
      <w:pPr>
        <w:ind w:left="1800" w:hanging="360"/>
      </w:pPr>
      <w:rPr>
        <w:rFonts w:ascii="Wingdings" w:hAnsi="Wingdings" w:hint="default"/>
      </w:rPr>
    </w:lvl>
    <w:lvl w:ilvl="3" w:tplc="BA165AEA" w:tentative="1">
      <w:start w:val="1"/>
      <w:numFmt w:val="bullet"/>
      <w:lvlText w:val=""/>
      <w:lvlJc w:val="left"/>
      <w:pPr>
        <w:ind w:left="2520" w:hanging="360"/>
      </w:pPr>
      <w:rPr>
        <w:rFonts w:ascii="Symbol" w:hAnsi="Symbol" w:hint="default"/>
      </w:rPr>
    </w:lvl>
    <w:lvl w:ilvl="4" w:tplc="2FEA6BF0" w:tentative="1">
      <w:start w:val="1"/>
      <w:numFmt w:val="bullet"/>
      <w:lvlText w:val="o"/>
      <w:lvlJc w:val="left"/>
      <w:pPr>
        <w:ind w:left="3240" w:hanging="360"/>
      </w:pPr>
      <w:rPr>
        <w:rFonts w:ascii="Courier New" w:hAnsi="Courier New" w:cs="Courier New" w:hint="default"/>
      </w:rPr>
    </w:lvl>
    <w:lvl w:ilvl="5" w:tplc="5770E2BE" w:tentative="1">
      <w:start w:val="1"/>
      <w:numFmt w:val="bullet"/>
      <w:lvlText w:val=""/>
      <w:lvlJc w:val="left"/>
      <w:pPr>
        <w:ind w:left="3960" w:hanging="360"/>
      </w:pPr>
      <w:rPr>
        <w:rFonts w:ascii="Wingdings" w:hAnsi="Wingdings" w:hint="default"/>
      </w:rPr>
    </w:lvl>
    <w:lvl w:ilvl="6" w:tplc="15AAA128" w:tentative="1">
      <w:start w:val="1"/>
      <w:numFmt w:val="bullet"/>
      <w:lvlText w:val=""/>
      <w:lvlJc w:val="left"/>
      <w:pPr>
        <w:ind w:left="4680" w:hanging="360"/>
      </w:pPr>
      <w:rPr>
        <w:rFonts w:ascii="Symbol" w:hAnsi="Symbol" w:hint="default"/>
      </w:rPr>
    </w:lvl>
    <w:lvl w:ilvl="7" w:tplc="19A89DF2" w:tentative="1">
      <w:start w:val="1"/>
      <w:numFmt w:val="bullet"/>
      <w:lvlText w:val="o"/>
      <w:lvlJc w:val="left"/>
      <w:pPr>
        <w:ind w:left="5400" w:hanging="360"/>
      </w:pPr>
      <w:rPr>
        <w:rFonts w:ascii="Courier New" w:hAnsi="Courier New" w:cs="Courier New" w:hint="default"/>
      </w:rPr>
    </w:lvl>
    <w:lvl w:ilvl="8" w:tplc="BD4807FC" w:tentative="1">
      <w:start w:val="1"/>
      <w:numFmt w:val="bullet"/>
      <w:lvlText w:val=""/>
      <w:lvlJc w:val="left"/>
      <w:pPr>
        <w:ind w:left="6120" w:hanging="360"/>
      </w:pPr>
      <w:rPr>
        <w:rFonts w:ascii="Wingdings" w:hAnsi="Wingdings" w:hint="default"/>
      </w:rPr>
    </w:lvl>
  </w:abstractNum>
  <w:abstractNum w:abstractNumId="12" w15:restartNumberingAfterBreak="0">
    <w:nsid w:val="05A128E7"/>
    <w:multiLevelType w:val="multilevel"/>
    <w:tmpl w:val="90A8F2F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254D50"/>
    <w:multiLevelType w:val="hybridMultilevel"/>
    <w:tmpl w:val="8702C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A0F233B"/>
    <w:multiLevelType w:val="hybridMultilevel"/>
    <w:tmpl w:val="8DA68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2E017D"/>
    <w:multiLevelType w:val="hybridMultilevel"/>
    <w:tmpl w:val="46523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812F12"/>
    <w:multiLevelType w:val="hybridMultilevel"/>
    <w:tmpl w:val="22E62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0E563703"/>
    <w:multiLevelType w:val="hybridMultilevel"/>
    <w:tmpl w:val="6D54D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2"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286AA1"/>
    <w:multiLevelType w:val="hybridMultilevel"/>
    <w:tmpl w:val="EDFA477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E76566E"/>
    <w:multiLevelType w:val="hybridMultilevel"/>
    <w:tmpl w:val="00AE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277861AB"/>
    <w:multiLevelType w:val="hybridMultilevel"/>
    <w:tmpl w:val="630665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8" w15:restartNumberingAfterBreak="0">
    <w:nsid w:val="2DA309F8"/>
    <w:multiLevelType w:val="hybridMultilevel"/>
    <w:tmpl w:val="4B4E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E97BFF"/>
    <w:multiLevelType w:val="hybridMultilevel"/>
    <w:tmpl w:val="6714F6C8"/>
    <w:lvl w:ilvl="0" w:tplc="B24A5AB6">
      <w:start w:val="1"/>
      <w:numFmt w:val="bullet"/>
      <w:pStyle w:val="Delete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1F03E5"/>
    <w:multiLevelType w:val="hybridMultilevel"/>
    <w:tmpl w:val="0756B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80D02A8"/>
    <w:multiLevelType w:val="hybridMultilevel"/>
    <w:tmpl w:val="AB06A786"/>
    <w:lvl w:ilvl="0" w:tplc="BF0A6096">
      <w:start w:val="1"/>
      <w:numFmt w:val="decimal"/>
      <w:lvlText w:val="2.%1"/>
      <w:lvlJc w:val="left"/>
      <w:pPr>
        <w:ind w:left="360" w:hanging="360"/>
      </w:pPr>
      <w:rPr>
        <w:rFonts w:asciiTheme="majorHAnsi" w:hAnsiTheme="majorHAnsi" w:cstheme="majorHAnsi" w:hint="default"/>
      </w:rPr>
    </w:lvl>
    <w:lvl w:ilvl="1" w:tplc="B562ED0A">
      <w:start w:val="1"/>
      <w:numFmt w:val="lowerLetter"/>
      <w:lvlText w:val="%2."/>
      <w:lvlJc w:val="left"/>
      <w:pPr>
        <w:ind w:left="1080" w:hanging="360"/>
      </w:pPr>
      <w:rPr>
        <w:rFonts w:ascii="Arial" w:eastAsiaTheme="minorHAnsi" w:hAnsi="Arial" w:cstheme="minorBidi"/>
      </w:rPr>
    </w:lvl>
    <w:lvl w:ilvl="2" w:tplc="A8AEBE38">
      <w:start w:val="1"/>
      <w:numFmt w:val="lowerRoman"/>
      <w:lvlText w:val="%3."/>
      <w:lvlJc w:val="right"/>
      <w:pPr>
        <w:ind w:left="1800" w:hanging="180"/>
      </w:pPr>
    </w:lvl>
    <w:lvl w:ilvl="3" w:tplc="601A5FBC">
      <w:start w:val="1"/>
      <w:numFmt w:val="decimal"/>
      <w:lvlText w:val="%4."/>
      <w:lvlJc w:val="left"/>
      <w:pPr>
        <w:ind w:left="2520" w:hanging="360"/>
      </w:pPr>
      <w:rPr>
        <w:rFonts w:hint="default"/>
      </w:rPr>
    </w:lvl>
    <w:lvl w:ilvl="4" w:tplc="81EEE97E" w:tentative="1">
      <w:start w:val="1"/>
      <w:numFmt w:val="lowerLetter"/>
      <w:lvlText w:val="%5."/>
      <w:lvlJc w:val="left"/>
      <w:pPr>
        <w:ind w:left="3240" w:hanging="360"/>
      </w:pPr>
    </w:lvl>
    <w:lvl w:ilvl="5" w:tplc="46025134" w:tentative="1">
      <w:start w:val="1"/>
      <w:numFmt w:val="lowerRoman"/>
      <w:lvlText w:val="%6."/>
      <w:lvlJc w:val="right"/>
      <w:pPr>
        <w:ind w:left="3960" w:hanging="180"/>
      </w:pPr>
    </w:lvl>
    <w:lvl w:ilvl="6" w:tplc="A1BE7E3E" w:tentative="1">
      <w:start w:val="1"/>
      <w:numFmt w:val="decimal"/>
      <w:lvlText w:val="%7."/>
      <w:lvlJc w:val="left"/>
      <w:pPr>
        <w:ind w:left="4680" w:hanging="360"/>
      </w:pPr>
    </w:lvl>
    <w:lvl w:ilvl="7" w:tplc="8B7A6712" w:tentative="1">
      <w:start w:val="1"/>
      <w:numFmt w:val="lowerLetter"/>
      <w:lvlText w:val="%8."/>
      <w:lvlJc w:val="left"/>
      <w:pPr>
        <w:ind w:left="5400" w:hanging="360"/>
      </w:pPr>
    </w:lvl>
    <w:lvl w:ilvl="8" w:tplc="99CA7BE4" w:tentative="1">
      <w:start w:val="1"/>
      <w:numFmt w:val="lowerRoman"/>
      <w:lvlText w:val="%9."/>
      <w:lvlJc w:val="right"/>
      <w:pPr>
        <w:ind w:left="6120" w:hanging="180"/>
      </w:pPr>
    </w:lvl>
  </w:abstractNum>
  <w:abstractNum w:abstractNumId="32" w15:restartNumberingAfterBreak="0">
    <w:nsid w:val="477E6643"/>
    <w:multiLevelType w:val="hybridMultilevel"/>
    <w:tmpl w:val="AA84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4"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561B11F6"/>
    <w:multiLevelType w:val="hybridMultilevel"/>
    <w:tmpl w:val="74C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A2B24"/>
    <w:multiLevelType w:val="hybridMultilevel"/>
    <w:tmpl w:val="7D885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072207"/>
    <w:multiLevelType w:val="hybridMultilevel"/>
    <w:tmpl w:val="55B8D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253C10"/>
    <w:multiLevelType w:val="hybridMultilevel"/>
    <w:tmpl w:val="A5CAB448"/>
    <w:lvl w:ilvl="0" w:tplc="9FEA4440">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F83667"/>
    <w:multiLevelType w:val="hybridMultilevel"/>
    <w:tmpl w:val="71C87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5E0FE9"/>
    <w:multiLevelType w:val="hybridMultilevel"/>
    <w:tmpl w:val="3E20B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FA69D6"/>
    <w:multiLevelType w:val="multilevel"/>
    <w:tmpl w:val="2668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C261FF"/>
    <w:multiLevelType w:val="hybridMultilevel"/>
    <w:tmpl w:val="5824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326D7A"/>
    <w:multiLevelType w:val="hybridMultilevel"/>
    <w:tmpl w:val="64D6E1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43"/>
  </w:num>
  <w:num w:numId="14">
    <w:abstractNumId w:val="27"/>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7"/>
    <w:lvlOverride w:ilvl="0">
      <w:startOverride w:val="1"/>
    </w:lvlOverride>
  </w:num>
  <w:num w:numId="19">
    <w:abstractNumId w:val="34"/>
  </w:num>
  <w:num w:numId="20">
    <w:abstractNumId w:val="34"/>
    <w:lvlOverride w:ilvl="0">
      <w:startOverride w:val="1"/>
    </w:lvlOverride>
  </w:num>
  <w:num w:numId="21">
    <w:abstractNumId w:val="44"/>
  </w:num>
  <w:num w:numId="22">
    <w:abstractNumId w:val="41"/>
  </w:num>
  <w:num w:numId="23">
    <w:abstractNumId w:val="16"/>
    <w:lvlOverride w:ilvl="0">
      <w:startOverride w:val="1"/>
    </w:lvlOverride>
  </w:num>
  <w:num w:numId="24">
    <w:abstractNumId w:val="44"/>
    <w:lvlOverride w:ilvl="0">
      <w:startOverride w:val="1"/>
    </w:lvlOverride>
  </w:num>
  <w:num w:numId="25">
    <w:abstractNumId w:val="41"/>
    <w:lvlOverride w:ilvl="0">
      <w:startOverride w:val="1"/>
    </w:lvlOverride>
  </w:num>
  <w:num w:numId="26">
    <w:abstractNumId w:val="41"/>
    <w:lvlOverride w:ilvl="0">
      <w:startOverride w:val="1"/>
    </w:lvlOverride>
  </w:num>
  <w:num w:numId="27">
    <w:abstractNumId w:val="22"/>
  </w:num>
  <w:num w:numId="28">
    <w:abstractNumId w:val="33"/>
  </w:num>
  <w:num w:numId="29">
    <w:abstractNumId w:val="21"/>
  </w:num>
  <w:num w:numId="30">
    <w:abstractNumId w:val="25"/>
  </w:num>
  <w:num w:numId="31">
    <w:abstractNumId w:val="20"/>
  </w:num>
  <w:num w:numId="32">
    <w:abstractNumId w:val="44"/>
    <w:lvlOverride w:ilvl="0">
      <w:startOverride w:val="1"/>
    </w:lvlOverride>
  </w:num>
  <w:num w:numId="33">
    <w:abstractNumId w:val="44"/>
    <w:lvlOverride w:ilvl="0">
      <w:startOverride w:val="1"/>
    </w:lvlOverride>
  </w:num>
  <w:num w:numId="34">
    <w:abstractNumId w:val="44"/>
    <w:lvlOverride w:ilvl="0">
      <w:startOverride w:val="1"/>
    </w:lvlOverride>
  </w:num>
  <w:num w:numId="35">
    <w:abstractNumId w:val="43"/>
    <w:lvlOverride w:ilvl="0">
      <w:startOverride w:val="1"/>
    </w:lvlOverride>
  </w:num>
  <w:num w:numId="36">
    <w:abstractNumId w:val="43"/>
    <w:lvlOverride w:ilvl="0">
      <w:startOverride w:val="1"/>
    </w:lvlOverride>
  </w:num>
  <w:num w:numId="37">
    <w:abstractNumId w:val="13"/>
  </w:num>
  <w:num w:numId="38">
    <w:abstractNumId w:val="37"/>
  </w:num>
  <w:num w:numId="39">
    <w:abstractNumId w:val="14"/>
  </w:num>
  <w:num w:numId="40">
    <w:abstractNumId w:val="17"/>
  </w:num>
  <w:num w:numId="41">
    <w:abstractNumId w:val="12"/>
  </w:num>
  <w:num w:numId="42">
    <w:abstractNumId w:val="19"/>
  </w:num>
  <w:num w:numId="43">
    <w:abstractNumId w:val="29"/>
  </w:num>
  <w:num w:numId="44">
    <w:abstractNumId w:val="38"/>
  </w:num>
  <w:num w:numId="45">
    <w:abstractNumId w:val="11"/>
  </w:num>
  <w:num w:numId="46">
    <w:abstractNumId w:val="28"/>
  </w:num>
  <w:num w:numId="47">
    <w:abstractNumId w:val="45"/>
  </w:num>
  <w:num w:numId="48">
    <w:abstractNumId w:val="26"/>
  </w:num>
  <w:num w:numId="49">
    <w:abstractNumId w:val="40"/>
  </w:num>
  <w:num w:numId="50">
    <w:abstractNumId w:val="42"/>
  </w:num>
  <w:num w:numId="51">
    <w:abstractNumId w:val="46"/>
  </w:num>
  <w:num w:numId="52">
    <w:abstractNumId w:val="23"/>
  </w:num>
  <w:num w:numId="53">
    <w:abstractNumId w:val="39"/>
  </w:num>
  <w:num w:numId="54">
    <w:abstractNumId w:val="10"/>
  </w:num>
  <w:num w:numId="55">
    <w:abstractNumId w:val="18"/>
  </w:num>
  <w:num w:numId="56">
    <w:abstractNumId w:val="31"/>
  </w:num>
  <w:num w:numId="57">
    <w:abstractNumId w:val="35"/>
  </w:num>
  <w:num w:numId="58">
    <w:abstractNumId w:val="30"/>
  </w:num>
  <w:num w:numId="59">
    <w:abstractNumId w:val="36"/>
  </w:num>
  <w:num w:numId="60">
    <w:abstractNumId w:val="24"/>
  </w:num>
  <w:num w:numId="61">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D0"/>
    <w:rsid w:val="00001886"/>
    <w:rsid w:val="00001BEB"/>
    <w:rsid w:val="00001CF1"/>
    <w:rsid w:val="00005A6C"/>
    <w:rsid w:val="00007AD5"/>
    <w:rsid w:val="00012AFB"/>
    <w:rsid w:val="0001305A"/>
    <w:rsid w:val="000168EA"/>
    <w:rsid w:val="000239DB"/>
    <w:rsid w:val="00024FE7"/>
    <w:rsid w:val="00027038"/>
    <w:rsid w:val="00027043"/>
    <w:rsid w:val="00027FB4"/>
    <w:rsid w:val="00030537"/>
    <w:rsid w:val="0003154E"/>
    <w:rsid w:val="000317FB"/>
    <w:rsid w:val="000354FE"/>
    <w:rsid w:val="000367EA"/>
    <w:rsid w:val="000371E5"/>
    <w:rsid w:val="00037513"/>
    <w:rsid w:val="00037BC7"/>
    <w:rsid w:val="00037F2F"/>
    <w:rsid w:val="00040D2E"/>
    <w:rsid w:val="00044F63"/>
    <w:rsid w:val="00047451"/>
    <w:rsid w:val="00047575"/>
    <w:rsid w:val="000546C1"/>
    <w:rsid w:val="0006130A"/>
    <w:rsid w:val="00062D27"/>
    <w:rsid w:val="00063631"/>
    <w:rsid w:val="00065804"/>
    <w:rsid w:val="00065851"/>
    <w:rsid w:val="0006627F"/>
    <w:rsid w:val="00071B31"/>
    <w:rsid w:val="0007606F"/>
    <w:rsid w:val="0008175B"/>
    <w:rsid w:val="00091667"/>
    <w:rsid w:val="000923FF"/>
    <w:rsid w:val="00092BAA"/>
    <w:rsid w:val="00095076"/>
    <w:rsid w:val="000A04DA"/>
    <w:rsid w:val="000A21E8"/>
    <w:rsid w:val="000A4BE4"/>
    <w:rsid w:val="000B2754"/>
    <w:rsid w:val="000B2DF0"/>
    <w:rsid w:val="000B3417"/>
    <w:rsid w:val="000B4512"/>
    <w:rsid w:val="000B55E3"/>
    <w:rsid w:val="000B58DA"/>
    <w:rsid w:val="000B6A28"/>
    <w:rsid w:val="000B7907"/>
    <w:rsid w:val="000C0D22"/>
    <w:rsid w:val="000C18B3"/>
    <w:rsid w:val="000C1CAA"/>
    <w:rsid w:val="000C2841"/>
    <w:rsid w:val="000C2D43"/>
    <w:rsid w:val="000C4695"/>
    <w:rsid w:val="000C5E79"/>
    <w:rsid w:val="000C62AA"/>
    <w:rsid w:val="000C713A"/>
    <w:rsid w:val="000D2D64"/>
    <w:rsid w:val="000D39D8"/>
    <w:rsid w:val="000D60AC"/>
    <w:rsid w:val="000D749D"/>
    <w:rsid w:val="000D7F98"/>
    <w:rsid w:val="000E02B3"/>
    <w:rsid w:val="000E02B7"/>
    <w:rsid w:val="000E0728"/>
    <w:rsid w:val="000E0878"/>
    <w:rsid w:val="000E0EDC"/>
    <w:rsid w:val="000E1015"/>
    <w:rsid w:val="000E3E0E"/>
    <w:rsid w:val="000E4898"/>
    <w:rsid w:val="000E4F7F"/>
    <w:rsid w:val="000E7486"/>
    <w:rsid w:val="000F166F"/>
    <w:rsid w:val="000F4DA2"/>
    <w:rsid w:val="000F568E"/>
    <w:rsid w:val="000F7A30"/>
    <w:rsid w:val="001012AC"/>
    <w:rsid w:val="00101342"/>
    <w:rsid w:val="00101522"/>
    <w:rsid w:val="00102605"/>
    <w:rsid w:val="00102987"/>
    <w:rsid w:val="00103F04"/>
    <w:rsid w:val="0010522E"/>
    <w:rsid w:val="00105585"/>
    <w:rsid w:val="00110077"/>
    <w:rsid w:val="001143CE"/>
    <w:rsid w:val="001152EF"/>
    <w:rsid w:val="001165B6"/>
    <w:rsid w:val="00117A77"/>
    <w:rsid w:val="00123176"/>
    <w:rsid w:val="00124178"/>
    <w:rsid w:val="00126406"/>
    <w:rsid w:val="00126F29"/>
    <w:rsid w:val="00127786"/>
    <w:rsid w:val="001307DF"/>
    <w:rsid w:val="00133202"/>
    <w:rsid w:val="00134065"/>
    <w:rsid w:val="00134690"/>
    <w:rsid w:val="001376DE"/>
    <w:rsid w:val="0015025F"/>
    <w:rsid w:val="00153D52"/>
    <w:rsid w:val="00153FD2"/>
    <w:rsid w:val="001548C2"/>
    <w:rsid w:val="001553F3"/>
    <w:rsid w:val="001611BF"/>
    <w:rsid w:val="00161853"/>
    <w:rsid w:val="00163F83"/>
    <w:rsid w:val="00167200"/>
    <w:rsid w:val="00170334"/>
    <w:rsid w:val="001708A9"/>
    <w:rsid w:val="00172998"/>
    <w:rsid w:val="001749F0"/>
    <w:rsid w:val="001806A2"/>
    <w:rsid w:val="001817B3"/>
    <w:rsid w:val="00182496"/>
    <w:rsid w:val="001826E3"/>
    <w:rsid w:val="001826E8"/>
    <w:rsid w:val="00185714"/>
    <w:rsid w:val="00185A94"/>
    <w:rsid w:val="00187055"/>
    <w:rsid w:val="0019147E"/>
    <w:rsid w:val="001954B4"/>
    <w:rsid w:val="00195E49"/>
    <w:rsid w:val="00196AFE"/>
    <w:rsid w:val="00196D22"/>
    <w:rsid w:val="00197CAF"/>
    <w:rsid w:val="001A0A7E"/>
    <w:rsid w:val="001A201F"/>
    <w:rsid w:val="001A4084"/>
    <w:rsid w:val="001A6CD5"/>
    <w:rsid w:val="001B2D56"/>
    <w:rsid w:val="001B3586"/>
    <w:rsid w:val="001C0D29"/>
    <w:rsid w:val="001C1631"/>
    <w:rsid w:val="001C4A28"/>
    <w:rsid w:val="001C50A1"/>
    <w:rsid w:val="001C76E5"/>
    <w:rsid w:val="001C7E10"/>
    <w:rsid w:val="001D3A16"/>
    <w:rsid w:val="001D50D4"/>
    <w:rsid w:val="001D670E"/>
    <w:rsid w:val="001D6D23"/>
    <w:rsid w:val="001E0492"/>
    <w:rsid w:val="001E42E0"/>
    <w:rsid w:val="001E67A5"/>
    <w:rsid w:val="001E7765"/>
    <w:rsid w:val="001E7964"/>
    <w:rsid w:val="001F03A4"/>
    <w:rsid w:val="001F2199"/>
    <w:rsid w:val="001F2F12"/>
    <w:rsid w:val="001F5361"/>
    <w:rsid w:val="001F72D0"/>
    <w:rsid w:val="0020031C"/>
    <w:rsid w:val="002025C8"/>
    <w:rsid w:val="00202F1F"/>
    <w:rsid w:val="00204802"/>
    <w:rsid w:val="002055C4"/>
    <w:rsid w:val="002059A4"/>
    <w:rsid w:val="002110A1"/>
    <w:rsid w:val="0021133D"/>
    <w:rsid w:val="0021195F"/>
    <w:rsid w:val="00212443"/>
    <w:rsid w:val="00213DDF"/>
    <w:rsid w:val="00215743"/>
    <w:rsid w:val="002170B4"/>
    <w:rsid w:val="002176DC"/>
    <w:rsid w:val="002204F4"/>
    <w:rsid w:val="00220DDA"/>
    <w:rsid w:val="00223343"/>
    <w:rsid w:val="00223DB2"/>
    <w:rsid w:val="00226875"/>
    <w:rsid w:val="00227A17"/>
    <w:rsid w:val="00227DB5"/>
    <w:rsid w:val="0023051D"/>
    <w:rsid w:val="00233A9D"/>
    <w:rsid w:val="00234B1E"/>
    <w:rsid w:val="00235B33"/>
    <w:rsid w:val="00235B9C"/>
    <w:rsid w:val="00241EA1"/>
    <w:rsid w:val="00245432"/>
    <w:rsid w:val="00246D14"/>
    <w:rsid w:val="002547A9"/>
    <w:rsid w:val="0025666D"/>
    <w:rsid w:val="0025752D"/>
    <w:rsid w:val="00261BD9"/>
    <w:rsid w:val="002649A1"/>
    <w:rsid w:val="00266CCC"/>
    <w:rsid w:val="00267DC4"/>
    <w:rsid w:val="0027082F"/>
    <w:rsid w:val="0027363D"/>
    <w:rsid w:val="00274D42"/>
    <w:rsid w:val="00277A7A"/>
    <w:rsid w:val="00277CFB"/>
    <w:rsid w:val="002805B0"/>
    <w:rsid w:val="00281471"/>
    <w:rsid w:val="00284A94"/>
    <w:rsid w:val="00284CF6"/>
    <w:rsid w:val="00285CAF"/>
    <w:rsid w:val="0028638C"/>
    <w:rsid w:val="002876FC"/>
    <w:rsid w:val="00291C18"/>
    <w:rsid w:val="00294893"/>
    <w:rsid w:val="002A61B3"/>
    <w:rsid w:val="002A7485"/>
    <w:rsid w:val="002A74E1"/>
    <w:rsid w:val="002A757E"/>
    <w:rsid w:val="002A7B0D"/>
    <w:rsid w:val="002B1079"/>
    <w:rsid w:val="002B1F94"/>
    <w:rsid w:val="002B272B"/>
    <w:rsid w:val="002B368F"/>
    <w:rsid w:val="002B4F88"/>
    <w:rsid w:val="002B661A"/>
    <w:rsid w:val="002C055C"/>
    <w:rsid w:val="002C3B2B"/>
    <w:rsid w:val="002C7A05"/>
    <w:rsid w:val="002D242A"/>
    <w:rsid w:val="002D292E"/>
    <w:rsid w:val="002D2EA2"/>
    <w:rsid w:val="002D33F5"/>
    <w:rsid w:val="002D5B0A"/>
    <w:rsid w:val="002D6060"/>
    <w:rsid w:val="002D6825"/>
    <w:rsid w:val="002D6B3D"/>
    <w:rsid w:val="002D7B0F"/>
    <w:rsid w:val="002E32F8"/>
    <w:rsid w:val="002E5916"/>
    <w:rsid w:val="002E6502"/>
    <w:rsid w:val="002F003C"/>
    <w:rsid w:val="002F0C8C"/>
    <w:rsid w:val="002F1416"/>
    <w:rsid w:val="002F64E6"/>
    <w:rsid w:val="002F6E0F"/>
    <w:rsid w:val="003004BA"/>
    <w:rsid w:val="003027E5"/>
    <w:rsid w:val="00302A18"/>
    <w:rsid w:val="00303C55"/>
    <w:rsid w:val="00306315"/>
    <w:rsid w:val="003069B6"/>
    <w:rsid w:val="00306C2E"/>
    <w:rsid w:val="00307914"/>
    <w:rsid w:val="00311C2D"/>
    <w:rsid w:val="00312A8D"/>
    <w:rsid w:val="0031457A"/>
    <w:rsid w:val="00317A54"/>
    <w:rsid w:val="00317AEF"/>
    <w:rsid w:val="00323083"/>
    <w:rsid w:val="00323A7E"/>
    <w:rsid w:val="00325447"/>
    <w:rsid w:val="0033164C"/>
    <w:rsid w:val="00331ED7"/>
    <w:rsid w:val="00331FE8"/>
    <w:rsid w:val="0033343A"/>
    <w:rsid w:val="0033671E"/>
    <w:rsid w:val="00340498"/>
    <w:rsid w:val="003412A6"/>
    <w:rsid w:val="003454D0"/>
    <w:rsid w:val="003456F2"/>
    <w:rsid w:val="00346005"/>
    <w:rsid w:val="003513F4"/>
    <w:rsid w:val="00353E5E"/>
    <w:rsid w:val="003542E4"/>
    <w:rsid w:val="003563D2"/>
    <w:rsid w:val="00357816"/>
    <w:rsid w:val="00360185"/>
    <w:rsid w:val="00361C7E"/>
    <w:rsid w:val="003634BA"/>
    <w:rsid w:val="003648A6"/>
    <w:rsid w:val="003649DA"/>
    <w:rsid w:val="003669FE"/>
    <w:rsid w:val="00366BE1"/>
    <w:rsid w:val="00372B8F"/>
    <w:rsid w:val="00372DDF"/>
    <w:rsid w:val="0037340A"/>
    <w:rsid w:val="00374D2A"/>
    <w:rsid w:val="00376BF0"/>
    <w:rsid w:val="00376CC0"/>
    <w:rsid w:val="00376FE6"/>
    <w:rsid w:val="003848D1"/>
    <w:rsid w:val="00384F8A"/>
    <w:rsid w:val="00385BD5"/>
    <w:rsid w:val="00387453"/>
    <w:rsid w:val="00387B37"/>
    <w:rsid w:val="00394C67"/>
    <w:rsid w:val="00395AD6"/>
    <w:rsid w:val="003A3FB9"/>
    <w:rsid w:val="003A4CFC"/>
    <w:rsid w:val="003B00FF"/>
    <w:rsid w:val="003B166B"/>
    <w:rsid w:val="003B1A13"/>
    <w:rsid w:val="003B4BD7"/>
    <w:rsid w:val="003B73D1"/>
    <w:rsid w:val="003B7F68"/>
    <w:rsid w:val="003C0547"/>
    <w:rsid w:val="003C05AD"/>
    <w:rsid w:val="003C181D"/>
    <w:rsid w:val="003C1EBE"/>
    <w:rsid w:val="003C34E6"/>
    <w:rsid w:val="003C4F91"/>
    <w:rsid w:val="003D247F"/>
    <w:rsid w:val="003D4EDE"/>
    <w:rsid w:val="003D676D"/>
    <w:rsid w:val="003D70BB"/>
    <w:rsid w:val="003E19DB"/>
    <w:rsid w:val="003E202A"/>
    <w:rsid w:val="003E2BC2"/>
    <w:rsid w:val="003E4857"/>
    <w:rsid w:val="003E58E3"/>
    <w:rsid w:val="003E654F"/>
    <w:rsid w:val="003F0F2A"/>
    <w:rsid w:val="003F23E9"/>
    <w:rsid w:val="003F2E54"/>
    <w:rsid w:val="003F5F25"/>
    <w:rsid w:val="0040079C"/>
    <w:rsid w:val="00401E0C"/>
    <w:rsid w:val="004021E9"/>
    <w:rsid w:val="004033AA"/>
    <w:rsid w:val="00403597"/>
    <w:rsid w:val="00405442"/>
    <w:rsid w:val="0040559E"/>
    <w:rsid w:val="00406E3C"/>
    <w:rsid w:val="00411F91"/>
    <w:rsid w:val="004121F4"/>
    <w:rsid w:val="00413646"/>
    <w:rsid w:val="00416446"/>
    <w:rsid w:val="004175E2"/>
    <w:rsid w:val="00424605"/>
    <w:rsid w:val="004251E3"/>
    <w:rsid w:val="00425EA7"/>
    <w:rsid w:val="004304BB"/>
    <w:rsid w:val="00431476"/>
    <w:rsid w:val="0043244F"/>
    <w:rsid w:val="0043394B"/>
    <w:rsid w:val="00434C6D"/>
    <w:rsid w:val="004373AF"/>
    <w:rsid w:val="004379DC"/>
    <w:rsid w:val="00443F97"/>
    <w:rsid w:val="004526BE"/>
    <w:rsid w:val="0045510A"/>
    <w:rsid w:val="004678A2"/>
    <w:rsid w:val="00467F67"/>
    <w:rsid w:val="00476027"/>
    <w:rsid w:val="004767DF"/>
    <w:rsid w:val="00481136"/>
    <w:rsid w:val="0048245E"/>
    <w:rsid w:val="004829F3"/>
    <w:rsid w:val="00484BDB"/>
    <w:rsid w:val="0048769C"/>
    <w:rsid w:val="0048791C"/>
    <w:rsid w:val="00490B90"/>
    <w:rsid w:val="0049202A"/>
    <w:rsid w:val="004920BD"/>
    <w:rsid w:val="00495ED5"/>
    <w:rsid w:val="004960EB"/>
    <w:rsid w:val="00497AC7"/>
    <w:rsid w:val="004A0276"/>
    <w:rsid w:val="004A0A7D"/>
    <w:rsid w:val="004A19AE"/>
    <w:rsid w:val="004A4FE4"/>
    <w:rsid w:val="004A5B13"/>
    <w:rsid w:val="004A5B18"/>
    <w:rsid w:val="004A5B93"/>
    <w:rsid w:val="004A7FE0"/>
    <w:rsid w:val="004B204F"/>
    <w:rsid w:val="004B2C90"/>
    <w:rsid w:val="004B48CA"/>
    <w:rsid w:val="004B7D0C"/>
    <w:rsid w:val="004C17DE"/>
    <w:rsid w:val="004C3ACE"/>
    <w:rsid w:val="004C3C23"/>
    <w:rsid w:val="004C4711"/>
    <w:rsid w:val="004C73B9"/>
    <w:rsid w:val="004D1960"/>
    <w:rsid w:val="004D358D"/>
    <w:rsid w:val="004D3D55"/>
    <w:rsid w:val="004D52BC"/>
    <w:rsid w:val="004D5CE4"/>
    <w:rsid w:val="004D7A26"/>
    <w:rsid w:val="004E208A"/>
    <w:rsid w:val="004E2CB2"/>
    <w:rsid w:val="004E4E29"/>
    <w:rsid w:val="004E5F0A"/>
    <w:rsid w:val="004E7522"/>
    <w:rsid w:val="004E7E41"/>
    <w:rsid w:val="004F0672"/>
    <w:rsid w:val="004F2115"/>
    <w:rsid w:val="004F285D"/>
    <w:rsid w:val="004F4C4F"/>
    <w:rsid w:val="004F56F8"/>
    <w:rsid w:val="004F57E6"/>
    <w:rsid w:val="004F580B"/>
    <w:rsid w:val="004F6F7E"/>
    <w:rsid w:val="004F7D66"/>
    <w:rsid w:val="00500B73"/>
    <w:rsid w:val="005102DC"/>
    <w:rsid w:val="0051068B"/>
    <w:rsid w:val="00512914"/>
    <w:rsid w:val="00514D92"/>
    <w:rsid w:val="005165E4"/>
    <w:rsid w:val="00521216"/>
    <w:rsid w:val="00522617"/>
    <w:rsid w:val="005226B9"/>
    <w:rsid w:val="0052443C"/>
    <w:rsid w:val="00525D8F"/>
    <w:rsid w:val="00526005"/>
    <w:rsid w:val="0052629A"/>
    <w:rsid w:val="00526F5D"/>
    <w:rsid w:val="0053266C"/>
    <w:rsid w:val="0053381A"/>
    <w:rsid w:val="005362B3"/>
    <w:rsid w:val="00537314"/>
    <w:rsid w:val="0054152C"/>
    <w:rsid w:val="005426D6"/>
    <w:rsid w:val="00543D1B"/>
    <w:rsid w:val="00543D2F"/>
    <w:rsid w:val="00543DCE"/>
    <w:rsid w:val="00544654"/>
    <w:rsid w:val="00544F19"/>
    <w:rsid w:val="00545DE5"/>
    <w:rsid w:val="00546229"/>
    <w:rsid w:val="00550709"/>
    <w:rsid w:val="00551E12"/>
    <w:rsid w:val="00552885"/>
    <w:rsid w:val="00554859"/>
    <w:rsid w:val="00554C67"/>
    <w:rsid w:val="0056003B"/>
    <w:rsid w:val="00561FB9"/>
    <w:rsid w:val="00564FBA"/>
    <w:rsid w:val="00571D36"/>
    <w:rsid w:val="00572740"/>
    <w:rsid w:val="005729F3"/>
    <w:rsid w:val="00572BDC"/>
    <w:rsid w:val="005742F0"/>
    <w:rsid w:val="005748E4"/>
    <w:rsid w:val="00576123"/>
    <w:rsid w:val="00577219"/>
    <w:rsid w:val="00577FE6"/>
    <w:rsid w:val="00581272"/>
    <w:rsid w:val="005830C3"/>
    <w:rsid w:val="0058706C"/>
    <w:rsid w:val="00591226"/>
    <w:rsid w:val="00591288"/>
    <w:rsid w:val="00591667"/>
    <w:rsid w:val="005917FD"/>
    <w:rsid w:val="00591957"/>
    <w:rsid w:val="00591CB3"/>
    <w:rsid w:val="00592797"/>
    <w:rsid w:val="00592BE4"/>
    <w:rsid w:val="00592F58"/>
    <w:rsid w:val="0059385B"/>
    <w:rsid w:val="00595ABA"/>
    <w:rsid w:val="00595EF9"/>
    <w:rsid w:val="005A0BE4"/>
    <w:rsid w:val="005A298C"/>
    <w:rsid w:val="005A3598"/>
    <w:rsid w:val="005A3BCF"/>
    <w:rsid w:val="005A4284"/>
    <w:rsid w:val="005A4AA1"/>
    <w:rsid w:val="005A687D"/>
    <w:rsid w:val="005A79E8"/>
    <w:rsid w:val="005A7E52"/>
    <w:rsid w:val="005B3358"/>
    <w:rsid w:val="005B3BDB"/>
    <w:rsid w:val="005B7D84"/>
    <w:rsid w:val="005C09BA"/>
    <w:rsid w:val="005C0F15"/>
    <w:rsid w:val="005C2436"/>
    <w:rsid w:val="005C3C13"/>
    <w:rsid w:val="005C77CE"/>
    <w:rsid w:val="005D0385"/>
    <w:rsid w:val="005D2088"/>
    <w:rsid w:val="005D29C4"/>
    <w:rsid w:val="005D36F2"/>
    <w:rsid w:val="005D4407"/>
    <w:rsid w:val="005D4706"/>
    <w:rsid w:val="005D5765"/>
    <w:rsid w:val="005D5B0C"/>
    <w:rsid w:val="005D6599"/>
    <w:rsid w:val="005D6A4D"/>
    <w:rsid w:val="005D6DDB"/>
    <w:rsid w:val="005D7500"/>
    <w:rsid w:val="005E0144"/>
    <w:rsid w:val="005E17DB"/>
    <w:rsid w:val="005E31C9"/>
    <w:rsid w:val="005E5E9F"/>
    <w:rsid w:val="005F4D33"/>
    <w:rsid w:val="005F5A6B"/>
    <w:rsid w:val="005F7FF7"/>
    <w:rsid w:val="0060058A"/>
    <w:rsid w:val="0060236B"/>
    <w:rsid w:val="006050BC"/>
    <w:rsid w:val="006115F0"/>
    <w:rsid w:val="00612B41"/>
    <w:rsid w:val="006147EB"/>
    <w:rsid w:val="00614FD1"/>
    <w:rsid w:val="00615141"/>
    <w:rsid w:val="00615C45"/>
    <w:rsid w:val="00615E3A"/>
    <w:rsid w:val="006200EB"/>
    <w:rsid w:val="00621A57"/>
    <w:rsid w:val="00621EA3"/>
    <w:rsid w:val="0062269B"/>
    <w:rsid w:val="006226E4"/>
    <w:rsid w:val="00622A59"/>
    <w:rsid w:val="0062375F"/>
    <w:rsid w:val="00630493"/>
    <w:rsid w:val="0063248B"/>
    <w:rsid w:val="00633034"/>
    <w:rsid w:val="0063405D"/>
    <w:rsid w:val="0063583C"/>
    <w:rsid w:val="00640234"/>
    <w:rsid w:val="00642C7B"/>
    <w:rsid w:val="0064343A"/>
    <w:rsid w:val="00644D1A"/>
    <w:rsid w:val="00646215"/>
    <w:rsid w:val="0064711F"/>
    <w:rsid w:val="0065101F"/>
    <w:rsid w:val="00652451"/>
    <w:rsid w:val="006553BE"/>
    <w:rsid w:val="00661AB1"/>
    <w:rsid w:val="00663D23"/>
    <w:rsid w:val="00664DA1"/>
    <w:rsid w:val="00665A71"/>
    <w:rsid w:val="0066733F"/>
    <w:rsid w:val="00670B18"/>
    <w:rsid w:val="00675D65"/>
    <w:rsid w:val="006762C5"/>
    <w:rsid w:val="006763E0"/>
    <w:rsid w:val="00677234"/>
    <w:rsid w:val="00680081"/>
    <w:rsid w:val="006811A6"/>
    <w:rsid w:val="006811FB"/>
    <w:rsid w:val="00682071"/>
    <w:rsid w:val="006831F6"/>
    <w:rsid w:val="00684827"/>
    <w:rsid w:val="006850C8"/>
    <w:rsid w:val="006856F8"/>
    <w:rsid w:val="006911EB"/>
    <w:rsid w:val="00695C06"/>
    <w:rsid w:val="0069602F"/>
    <w:rsid w:val="006A008F"/>
    <w:rsid w:val="006A042C"/>
    <w:rsid w:val="006A53C1"/>
    <w:rsid w:val="006A5AA6"/>
    <w:rsid w:val="006B421A"/>
    <w:rsid w:val="006B5597"/>
    <w:rsid w:val="006B5CFA"/>
    <w:rsid w:val="006C12DD"/>
    <w:rsid w:val="006C6495"/>
    <w:rsid w:val="006C72AD"/>
    <w:rsid w:val="006D090E"/>
    <w:rsid w:val="006D5A14"/>
    <w:rsid w:val="006D60EE"/>
    <w:rsid w:val="006E0630"/>
    <w:rsid w:val="006E11AD"/>
    <w:rsid w:val="006E170D"/>
    <w:rsid w:val="006E20DA"/>
    <w:rsid w:val="006E4AD5"/>
    <w:rsid w:val="006E698B"/>
    <w:rsid w:val="006E6D38"/>
    <w:rsid w:val="006F24FF"/>
    <w:rsid w:val="006F4FD6"/>
    <w:rsid w:val="006F6EB4"/>
    <w:rsid w:val="0070101C"/>
    <w:rsid w:val="007010B0"/>
    <w:rsid w:val="00702F27"/>
    <w:rsid w:val="00705B36"/>
    <w:rsid w:val="00707421"/>
    <w:rsid w:val="00714B9E"/>
    <w:rsid w:val="0071548B"/>
    <w:rsid w:val="007204A9"/>
    <w:rsid w:val="00722868"/>
    <w:rsid w:val="00722903"/>
    <w:rsid w:val="00725999"/>
    <w:rsid w:val="00730CA6"/>
    <w:rsid w:val="007325FB"/>
    <w:rsid w:val="00733EDF"/>
    <w:rsid w:val="0073428F"/>
    <w:rsid w:val="0073449C"/>
    <w:rsid w:val="007346B8"/>
    <w:rsid w:val="00736E0C"/>
    <w:rsid w:val="00742D5E"/>
    <w:rsid w:val="00743136"/>
    <w:rsid w:val="00743AD5"/>
    <w:rsid w:val="00747432"/>
    <w:rsid w:val="007505C5"/>
    <w:rsid w:val="00750C11"/>
    <w:rsid w:val="00753612"/>
    <w:rsid w:val="00754014"/>
    <w:rsid w:val="00754878"/>
    <w:rsid w:val="007564C6"/>
    <w:rsid w:val="00756929"/>
    <w:rsid w:val="007608C5"/>
    <w:rsid w:val="00760D05"/>
    <w:rsid w:val="00761976"/>
    <w:rsid w:val="00764D1D"/>
    <w:rsid w:val="00765607"/>
    <w:rsid w:val="00767035"/>
    <w:rsid w:val="00767DBB"/>
    <w:rsid w:val="00770887"/>
    <w:rsid w:val="0077216B"/>
    <w:rsid w:val="00772420"/>
    <w:rsid w:val="007743B1"/>
    <w:rsid w:val="00774646"/>
    <w:rsid w:val="007758CC"/>
    <w:rsid w:val="00776AE4"/>
    <w:rsid w:val="007810A3"/>
    <w:rsid w:val="00781695"/>
    <w:rsid w:val="00781F2E"/>
    <w:rsid w:val="0078217A"/>
    <w:rsid w:val="00782C2B"/>
    <w:rsid w:val="00785006"/>
    <w:rsid w:val="00785C7F"/>
    <w:rsid w:val="0078601D"/>
    <w:rsid w:val="0078727B"/>
    <w:rsid w:val="00791485"/>
    <w:rsid w:val="00793969"/>
    <w:rsid w:val="0079515E"/>
    <w:rsid w:val="0079520A"/>
    <w:rsid w:val="007A02A7"/>
    <w:rsid w:val="007A086E"/>
    <w:rsid w:val="007A277F"/>
    <w:rsid w:val="007A3A8F"/>
    <w:rsid w:val="007A6D73"/>
    <w:rsid w:val="007A790F"/>
    <w:rsid w:val="007B593E"/>
    <w:rsid w:val="007C0935"/>
    <w:rsid w:val="007C3143"/>
    <w:rsid w:val="007C636E"/>
    <w:rsid w:val="007C6D73"/>
    <w:rsid w:val="007D0256"/>
    <w:rsid w:val="007D2750"/>
    <w:rsid w:val="007D487D"/>
    <w:rsid w:val="007D597E"/>
    <w:rsid w:val="007E0A98"/>
    <w:rsid w:val="007E45E1"/>
    <w:rsid w:val="007E46F1"/>
    <w:rsid w:val="007E49E6"/>
    <w:rsid w:val="007E52E2"/>
    <w:rsid w:val="007E6090"/>
    <w:rsid w:val="007E6D84"/>
    <w:rsid w:val="007E7B81"/>
    <w:rsid w:val="007F0484"/>
    <w:rsid w:val="007F0926"/>
    <w:rsid w:val="007F2C68"/>
    <w:rsid w:val="007F30B1"/>
    <w:rsid w:val="007F3FC8"/>
    <w:rsid w:val="007F4E93"/>
    <w:rsid w:val="007F6B64"/>
    <w:rsid w:val="007F7C3D"/>
    <w:rsid w:val="008011F8"/>
    <w:rsid w:val="008015CC"/>
    <w:rsid w:val="008046D4"/>
    <w:rsid w:val="008066A1"/>
    <w:rsid w:val="008101E2"/>
    <w:rsid w:val="00810925"/>
    <w:rsid w:val="0081194C"/>
    <w:rsid w:val="008216F3"/>
    <w:rsid w:val="00822C04"/>
    <w:rsid w:val="008241C8"/>
    <w:rsid w:val="00824E90"/>
    <w:rsid w:val="0082665E"/>
    <w:rsid w:val="00830019"/>
    <w:rsid w:val="00833792"/>
    <w:rsid w:val="008345E5"/>
    <w:rsid w:val="0084229E"/>
    <w:rsid w:val="00842C3B"/>
    <w:rsid w:val="00844549"/>
    <w:rsid w:val="00844CCE"/>
    <w:rsid w:val="008461D9"/>
    <w:rsid w:val="00850743"/>
    <w:rsid w:val="0085283B"/>
    <w:rsid w:val="00852F35"/>
    <w:rsid w:val="00853221"/>
    <w:rsid w:val="008554DD"/>
    <w:rsid w:val="008569FE"/>
    <w:rsid w:val="00856B56"/>
    <w:rsid w:val="00857363"/>
    <w:rsid w:val="00860255"/>
    <w:rsid w:val="00860542"/>
    <w:rsid w:val="008608F5"/>
    <w:rsid w:val="008616A6"/>
    <w:rsid w:val="00872ABA"/>
    <w:rsid w:val="00877F1D"/>
    <w:rsid w:val="00880485"/>
    <w:rsid w:val="00881F42"/>
    <w:rsid w:val="00883248"/>
    <w:rsid w:val="00883F7B"/>
    <w:rsid w:val="0088694A"/>
    <w:rsid w:val="0088700B"/>
    <w:rsid w:val="0088758E"/>
    <w:rsid w:val="008912EC"/>
    <w:rsid w:val="008915F7"/>
    <w:rsid w:val="00893EF0"/>
    <w:rsid w:val="008964BD"/>
    <w:rsid w:val="0089733F"/>
    <w:rsid w:val="00897BB3"/>
    <w:rsid w:val="008A0614"/>
    <w:rsid w:val="008A1A17"/>
    <w:rsid w:val="008A202E"/>
    <w:rsid w:val="008B2D96"/>
    <w:rsid w:val="008B44F5"/>
    <w:rsid w:val="008B5105"/>
    <w:rsid w:val="008B6827"/>
    <w:rsid w:val="008C008B"/>
    <w:rsid w:val="008C1D7E"/>
    <w:rsid w:val="008C22E5"/>
    <w:rsid w:val="008C325E"/>
    <w:rsid w:val="008C3FC5"/>
    <w:rsid w:val="008C47A1"/>
    <w:rsid w:val="008C738F"/>
    <w:rsid w:val="008D1C14"/>
    <w:rsid w:val="008D2CD7"/>
    <w:rsid w:val="008D3F70"/>
    <w:rsid w:val="008D4A90"/>
    <w:rsid w:val="008D5273"/>
    <w:rsid w:val="008D6B9E"/>
    <w:rsid w:val="008D6E6A"/>
    <w:rsid w:val="008E075E"/>
    <w:rsid w:val="008E1024"/>
    <w:rsid w:val="008E1AAD"/>
    <w:rsid w:val="008E27E6"/>
    <w:rsid w:val="008E4678"/>
    <w:rsid w:val="008F0179"/>
    <w:rsid w:val="008F1219"/>
    <w:rsid w:val="008F4318"/>
    <w:rsid w:val="008F697D"/>
    <w:rsid w:val="008F7BFE"/>
    <w:rsid w:val="00900037"/>
    <w:rsid w:val="00903ACF"/>
    <w:rsid w:val="00905506"/>
    <w:rsid w:val="00906488"/>
    <w:rsid w:val="0090795B"/>
    <w:rsid w:val="009108AA"/>
    <w:rsid w:val="00913760"/>
    <w:rsid w:val="00913ED0"/>
    <w:rsid w:val="00913FD8"/>
    <w:rsid w:val="009221B8"/>
    <w:rsid w:val="009265F3"/>
    <w:rsid w:val="00927650"/>
    <w:rsid w:val="009313D9"/>
    <w:rsid w:val="00941445"/>
    <w:rsid w:val="00942CB6"/>
    <w:rsid w:val="00942CE9"/>
    <w:rsid w:val="00951680"/>
    <w:rsid w:val="0095193C"/>
    <w:rsid w:val="00951DB2"/>
    <w:rsid w:val="00952699"/>
    <w:rsid w:val="00954FF2"/>
    <w:rsid w:val="00955B8A"/>
    <w:rsid w:val="00956381"/>
    <w:rsid w:val="00956CCF"/>
    <w:rsid w:val="009605E0"/>
    <w:rsid w:val="0096182F"/>
    <w:rsid w:val="00962D9F"/>
    <w:rsid w:val="00962EE8"/>
    <w:rsid w:val="00964A41"/>
    <w:rsid w:val="00970C5D"/>
    <w:rsid w:val="009720FE"/>
    <w:rsid w:val="00972B01"/>
    <w:rsid w:val="00973C1C"/>
    <w:rsid w:val="00974797"/>
    <w:rsid w:val="00974B10"/>
    <w:rsid w:val="009758B8"/>
    <w:rsid w:val="00976EE9"/>
    <w:rsid w:val="009815E4"/>
    <w:rsid w:val="00982401"/>
    <w:rsid w:val="00986B97"/>
    <w:rsid w:val="0099011D"/>
    <w:rsid w:val="00990451"/>
    <w:rsid w:val="00991AD3"/>
    <w:rsid w:val="009920CF"/>
    <w:rsid w:val="00992FE1"/>
    <w:rsid w:val="00993716"/>
    <w:rsid w:val="009938F6"/>
    <w:rsid w:val="00996856"/>
    <w:rsid w:val="009A0978"/>
    <w:rsid w:val="009A32B2"/>
    <w:rsid w:val="009A3937"/>
    <w:rsid w:val="009A4738"/>
    <w:rsid w:val="009A59C1"/>
    <w:rsid w:val="009A6D9C"/>
    <w:rsid w:val="009A7A3A"/>
    <w:rsid w:val="009B2A40"/>
    <w:rsid w:val="009B2DFD"/>
    <w:rsid w:val="009B440A"/>
    <w:rsid w:val="009B559E"/>
    <w:rsid w:val="009C3746"/>
    <w:rsid w:val="009C60F6"/>
    <w:rsid w:val="009C622F"/>
    <w:rsid w:val="009D0AEC"/>
    <w:rsid w:val="009D1DFF"/>
    <w:rsid w:val="009D5538"/>
    <w:rsid w:val="009E2FAE"/>
    <w:rsid w:val="009E33D2"/>
    <w:rsid w:val="009E37A5"/>
    <w:rsid w:val="009F0889"/>
    <w:rsid w:val="009F1B67"/>
    <w:rsid w:val="009F4223"/>
    <w:rsid w:val="009F43CD"/>
    <w:rsid w:val="009F5CE6"/>
    <w:rsid w:val="009F6A0F"/>
    <w:rsid w:val="00A008E6"/>
    <w:rsid w:val="00A00B15"/>
    <w:rsid w:val="00A01F2A"/>
    <w:rsid w:val="00A034BF"/>
    <w:rsid w:val="00A104FD"/>
    <w:rsid w:val="00A109FB"/>
    <w:rsid w:val="00A1269A"/>
    <w:rsid w:val="00A12C83"/>
    <w:rsid w:val="00A14132"/>
    <w:rsid w:val="00A16E9A"/>
    <w:rsid w:val="00A17622"/>
    <w:rsid w:val="00A25CA3"/>
    <w:rsid w:val="00A31498"/>
    <w:rsid w:val="00A34256"/>
    <w:rsid w:val="00A34FC1"/>
    <w:rsid w:val="00A35300"/>
    <w:rsid w:val="00A37D29"/>
    <w:rsid w:val="00A420D2"/>
    <w:rsid w:val="00A46C00"/>
    <w:rsid w:val="00A5068B"/>
    <w:rsid w:val="00A53FCF"/>
    <w:rsid w:val="00A56C0B"/>
    <w:rsid w:val="00A61B12"/>
    <w:rsid w:val="00A620B7"/>
    <w:rsid w:val="00A62135"/>
    <w:rsid w:val="00A62FA6"/>
    <w:rsid w:val="00A644D6"/>
    <w:rsid w:val="00A663B0"/>
    <w:rsid w:val="00A70489"/>
    <w:rsid w:val="00A71D1B"/>
    <w:rsid w:val="00A73CAB"/>
    <w:rsid w:val="00A746D1"/>
    <w:rsid w:val="00A76234"/>
    <w:rsid w:val="00A76776"/>
    <w:rsid w:val="00A82F6E"/>
    <w:rsid w:val="00A84DFF"/>
    <w:rsid w:val="00A900DD"/>
    <w:rsid w:val="00A90AFC"/>
    <w:rsid w:val="00A9180B"/>
    <w:rsid w:val="00A918A7"/>
    <w:rsid w:val="00A97A24"/>
    <w:rsid w:val="00AA290E"/>
    <w:rsid w:val="00AA477E"/>
    <w:rsid w:val="00AA4D4A"/>
    <w:rsid w:val="00AA5F6A"/>
    <w:rsid w:val="00AA6130"/>
    <w:rsid w:val="00AA6197"/>
    <w:rsid w:val="00AA6DC6"/>
    <w:rsid w:val="00AA705F"/>
    <w:rsid w:val="00AA7A55"/>
    <w:rsid w:val="00AB13C8"/>
    <w:rsid w:val="00AB2B2F"/>
    <w:rsid w:val="00AB3A3B"/>
    <w:rsid w:val="00AB461E"/>
    <w:rsid w:val="00AB741A"/>
    <w:rsid w:val="00AC0F46"/>
    <w:rsid w:val="00AC1BCE"/>
    <w:rsid w:val="00AC2CDC"/>
    <w:rsid w:val="00AC35FD"/>
    <w:rsid w:val="00AD13AF"/>
    <w:rsid w:val="00AD14A8"/>
    <w:rsid w:val="00AD5E47"/>
    <w:rsid w:val="00AD7805"/>
    <w:rsid w:val="00AD7C8F"/>
    <w:rsid w:val="00AE253D"/>
    <w:rsid w:val="00AE290B"/>
    <w:rsid w:val="00AE7961"/>
    <w:rsid w:val="00AF10CF"/>
    <w:rsid w:val="00AF1F74"/>
    <w:rsid w:val="00AF3DE9"/>
    <w:rsid w:val="00AF5794"/>
    <w:rsid w:val="00AF6151"/>
    <w:rsid w:val="00AF7771"/>
    <w:rsid w:val="00B00506"/>
    <w:rsid w:val="00B0609C"/>
    <w:rsid w:val="00B0657E"/>
    <w:rsid w:val="00B068D8"/>
    <w:rsid w:val="00B0730C"/>
    <w:rsid w:val="00B10FB4"/>
    <w:rsid w:val="00B1124C"/>
    <w:rsid w:val="00B15EA0"/>
    <w:rsid w:val="00B172C6"/>
    <w:rsid w:val="00B17B23"/>
    <w:rsid w:val="00B202F5"/>
    <w:rsid w:val="00B2395C"/>
    <w:rsid w:val="00B242AD"/>
    <w:rsid w:val="00B243DC"/>
    <w:rsid w:val="00B2544D"/>
    <w:rsid w:val="00B25E8E"/>
    <w:rsid w:val="00B264F3"/>
    <w:rsid w:val="00B26678"/>
    <w:rsid w:val="00B27F1B"/>
    <w:rsid w:val="00B30E90"/>
    <w:rsid w:val="00B315D4"/>
    <w:rsid w:val="00B32A5D"/>
    <w:rsid w:val="00B34280"/>
    <w:rsid w:val="00B37F94"/>
    <w:rsid w:val="00B40F3B"/>
    <w:rsid w:val="00B41F24"/>
    <w:rsid w:val="00B42BAB"/>
    <w:rsid w:val="00B465F2"/>
    <w:rsid w:val="00B51F3C"/>
    <w:rsid w:val="00B52F71"/>
    <w:rsid w:val="00B53158"/>
    <w:rsid w:val="00B54ABE"/>
    <w:rsid w:val="00B55318"/>
    <w:rsid w:val="00B56736"/>
    <w:rsid w:val="00B603E5"/>
    <w:rsid w:val="00B6183A"/>
    <w:rsid w:val="00B6233F"/>
    <w:rsid w:val="00B6596F"/>
    <w:rsid w:val="00B71DAA"/>
    <w:rsid w:val="00B72B8B"/>
    <w:rsid w:val="00B76945"/>
    <w:rsid w:val="00B77EBD"/>
    <w:rsid w:val="00B81B71"/>
    <w:rsid w:val="00B81FBA"/>
    <w:rsid w:val="00B83730"/>
    <w:rsid w:val="00B83C8E"/>
    <w:rsid w:val="00B8461A"/>
    <w:rsid w:val="00B84FF8"/>
    <w:rsid w:val="00B8503A"/>
    <w:rsid w:val="00B86B7B"/>
    <w:rsid w:val="00B901D2"/>
    <w:rsid w:val="00B91D13"/>
    <w:rsid w:val="00B925BD"/>
    <w:rsid w:val="00B94248"/>
    <w:rsid w:val="00BA0C12"/>
    <w:rsid w:val="00BA2AE2"/>
    <w:rsid w:val="00BA2EC5"/>
    <w:rsid w:val="00BA451F"/>
    <w:rsid w:val="00BA739F"/>
    <w:rsid w:val="00BB131E"/>
    <w:rsid w:val="00BB2493"/>
    <w:rsid w:val="00BB3110"/>
    <w:rsid w:val="00BB340C"/>
    <w:rsid w:val="00BB5193"/>
    <w:rsid w:val="00BB5B2A"/>
    <w:rsid w:val="00BB724C"/>
    <w:rsid w:val="00BB7E2E"/>
    <w:rsid w:val="00BC1BB4"/>
    <w:rsid w:val="00BC3E0A"/>
    <w:rsid w:val="00BC53C3"/>
    <w:rsid w:val="00BC74EA"/>
    <w:rsid w:val="00BD0AD7"/>
    <w:rsid w:val="00BD171D"/>
    <w:rsid w:val="00BD1E3D"/>
    <w:rsid w:val="00BD290B"/>
    <w:rsid w:val="00BD2B02"/>
    <w:rsid w:val="00BD57F5"/>
    <w:rsid w:val="00BD7729"/>
    <w:rsid w:val="00BD7CFB"/>
    <w:rsid w:val="00BE3D98"/>
    <w:rsid w:val="00BE48A4"/>
    <w:rsid w:val="00BE551A"/>
    <w:rsid w:val="00BE56F0"/>
    <w:rsid w:val="00BE6613"/>
    <w:rsid w:val="00BE7DDB"/>
    <w:rsid w:val="00BF0DC9"/>
    <w:rsid w:val="00BF17C4"/>
    <w:rsid w:val="00BF2640"/>
    <w:rsid w:val="00BF265D"/>
    <w:rsid w:val="00BF60A4"/>
    <w:rsid w:val="00C06859"/>
    <w:rsid w:val="00C12D35"/>
    <w:rsid w:val="00C15C79"/>
    <w:rsid w:val="00C15DDA"/>
    <w:rsid w:val="00C2206E"/>
    <w:rsid w:val="00C2375A"/>
    <w:rsid w:val="00C23A62"/>
    <w:rsid w:val="00C24E4B"/>
    <w:rsid w:val="00C25C1F"/>
    <w:rsid w:val="00C27DC1"/>
    <w:rsid w:val="00C32195"/>
    <w:rsid w:val="00C33385"/>
    <w:rsid w:val="00C37E9E"/>
    <w:rsid w:val="00C40B70"/>
    <w:rsid w:val="00C43F1C"/>
    <w:rsid w:val="00C444B6"/>
    <w:rsid w:val="00C4602A"/>
    <w:rsid w:val="00C4735E"/>
    <w:rsid w:val="00C47620"/>
    <w:rsid w:val="00C508BA"/>
    <w:rsid w:val="00C51309"/>
    <w:rsid w:val="00C561B1"/>
    <w:rsid w:val="00C573C0"/>
    <w:rsid w:val="00C616DD"/>
    <w:rsid w:val="00C66B05"/>
    <w:rsid w:val="00C66F2E"/>
    <w:rsid w:val="00C6739A"/>
    <w:rsid w:val="00C70222"/>
    <w:rsid w:val="00C70947"/>
    <w:rsid w:val="00C70AFD"/>
    <w:rsid w:val="00C74CEC"/>
    <w:rsid w:val="00C7627A"/>
    <w:rsid w:val="00C76323"/>
    <w:rsid w:val="00C770FC"/>
    <w:rsid w:val="00C7797D"/>
    <w:rsid w:val="00C82882"/>
    <w:rsid w:val="00C83F9E"/>
    <w:rsid w:val="00C85416"/>
    <w:rsid w:val="00C85FD6"/>
    <w:rsid w:val="00C87A06"/>
    <w:rsid w:val="00C9229A"/>
    <w:rsid w:val="00CA0213"/>
    <w:rsid w:val="00CA0CC2"/>
    <w:rsid w:val="00CA4E41"/>
    <w:rsid w:val="00CA50B2"/>
    <w:rsid w:val="00CA561E"/>
    <w:rsid w:val="00CA5C2B"/>
    <w:rsid w:val="00CA5FF7"/>
    <w:rsid w:val="00CA60A6"/>
    <w:rsid w:val="00CA6D33"/>
    <w:rsid w:val="00CC0676"/>
    <w:rsid w:val="00CC1B69"/>
    <w:rsid w:val="00CC307F"/>
    <w:rsid w:val="00CC31AE"/>
    <w:rsid w:val="00CC387B"/>
    <w:rsid w:val="00CC4729"/>
    <w:rsid w:val="00CC47E0"/>
    <w:rsid w:val="00CC6110"/>
    <w:rsid w:val="00CC72BC"/>
    <w:rsid w:val="00CD0EA2"/>
    <w:rsid w:val="00CD1100"/>
    <w:rsid w:val="00CD2146"/>
    <w:rsid w:val="00CD2D1A"/>
    <w:rsid w:val="00CD5F7A"/>
    <w:rsid w:val="00CE1973"/>
    <w:rsid w:val="00CE4087"/>
    <w:rsid w:val="00CE4415"/>
    <w:rsid w:val="00CE77C1"/>
    <w:rsid w:val="00CF128E"/>
    <w:rsid w:val="00CF13C2"/>
    <w:rsid w:val="00CF184B"/>
    <w:rsid w:val="00CF335C"/>
    <w:rsid w:val="00CF59AE"/>
    <w:rsid w:val="00CF5D38"/>
    <w:rsid w:val="00D01EC1"/>
    <w:rsid w:val="00D03799"/>
    <w:rsid w:val="00D037E0"/>
    <w:rsid w:val="00D04E61"/>
    <w:rsid w:val="00D06BD9"/>
    <w:rsid w:val="00D07FA7"/>
    <w:rsid w:val="00D10635"/>
    <w:rsid w:val="00D11425"/>
    <w:rsid w:val="00D1240D"/>
    <w:rsid w:val="00D12F34"/>
    <w:rsid w:val="00D12F69"/>
    <w:rsid w:val="00D1457B"/>
    <w:rsid w:val="00D14AE7"/>
    <w:rsid w:val="00D1639F"/>
    <w:rsid w:val="00D254E9"/>
    <w:rsid w:val="00D2557E"/>
    <w:rsid w:val="00D25615"/>
    <w:rsid w:val="00D34CC4"/>
    <w:rsid w:val="00D35E6B"/>
    <w:rsid w:val="00D3706A"/>
    <w:rsid w:val="00D37A09"/>
    <w:rsid w:val="00D4076A"/>
    <w:rsid w:val="00D416CF"/>
    <w:rsid w:val="00D42C02"/>
    <w:rsid w:val="00D443C2"/>
    <w:rsid w:val="00D457F1"/>
    <w:rsid w:val="00D464BE"/>
    <w:rsid w:val="00D47C40"/>
    <w:rsid w:val="00D50644"/>
    <w:rsid w:val="00D50715"/>
    <w:rsid w:val="00D513F1"/>
    <w:rsid w:val="00D52106"/>
    <w:rsid w:val="00D525B8"/>
    <w:rsid w:val="00D52692"/>
    <w:rsid w:val="00D53203"/>
    <w:rsid w:val="00D53860"/>
    <w:rsid w:val="00D53D60"/>
    <w:rsid w:val="00D56AF5"/>
    <w:rsid w:val="00D56F34"/>
    <w:rsid w:val="00D60992"/>
    <w:rsid w:val="00D6113C"/>
    <w:rsid w:val="00D62669"/>
    <w:rsid w:val="00D63B7D"/>
    <w:rsid w:val="00D66935"/>
    <w:rsid w:val="00D70FF3"/>
    <w:rsid w:val="00D71133"/>
    <w:rsid w:val="00D728CD"/>
    <w:rsid w:val="00D74273"/>
    <w:rsid w:val="00D7467F"/>
    <w:rsid w:val="00D771C4"/>
    <w:rsid w:val="00D80C45"/>
    <w:rsid w:val="00D80DA6"/>
    <w:rsid w:val="00D820E4"/>
    <w:rsid w:val="00D849F5"/>
    <w:rsid w:val="00D85B06"/>
    <w:rsid w:val="00D9127C"/>
    <w:rsid w:val="00D9147E"/>
    <w:rsid w:val="00D914D3"/>
    <w:rsid w:val="00D93FA8"/>
    <w:rsid w:val="00D9556A"/>
    <w:rsid w:val="00D96DAF"/>
    <w:rsid w:val="00DA1366"/>
    <w:rsid w:val="00DA18A2"/>
    <w:rsid w:val="00DA1F5C"/>
    <w:rsid w:val="00DA5A1B"/>
    <w:rsid w:val="00DB07EF"/>
    <w:rsid w:val="00DB1615"/>
    <w:rsid w:val="00DB3654"/>
    <w:rsid w:val="00DB5EEB"/>
    <w:rsid w:val="00DB6989"/>
    <w:rsid w:val="00DB6D87"/>
    <w:rsid w:val="00DC123F"/>
    <w:rsid w:val="00DC1B8B"/>
    <w:rsid w:val="00DC3E7F"/>
    <w:rsid w:val="00DC484C"/>
    <w:rsid w:val="00DC50DA"/>
    <w:rsid w:val="00DC747F"/>
    <w:rsid w:val="00DC76ED"/>
    <w:rsid w:val="00DC7A4E"/>
    <w:rsid w:val="00DD3A3E"/>
    <w:rsid w:val="00DD5BC3"/>
    <w:rsid w:val="00DD6AF3"/>
    <w:rsid w:val="00DD6C7A"/>
    <w:rsid w:val="00DD7F3E"/>
    <w:rsid w:val="00DF0108"/>
    <w:rsid w:val="00DF0552"/>
    <w:rsid w:val="00DF06AF"/>
    <w:rsid w:val="00DF086D"/>
    <w:rsid w:val="00DF0EE3"/>
    <w:rsid w:val="00DF29D4"/>
    <w:rsid w:val="00DF2F8D"/>
    <w:rsid w:val="00DF47EF"/>
    <w:rsid w:val="00DF7A6C"/>
    <w:rsid w:val="00DF7B99"/>
    <w:rsid w:val="00E00804"/>
    <w:rsid w:val="00E01CE2"/>
    <w:rsid w:val="00E05FA4"/>
    <w:rsid w:val="00E07B4B"/>
    <w:rsid w:val="00E11701"/>
    <w:rsid w:val="00E11816"/>
    <w:rsid w:val="00E13781"/>
    <w:rsid w:val="00E13FE6"/>
    <w:rsid w:val="00E16216"/>
    <w:rsid w:val="00E224F4"/>
    <w:rsid w:val="00E23675"/>
    <w:rsid w:val="00E23A89"/>
    <w:rsid w:val="00E2517D"/>
    <w:rsid w:val="00E2727C"/>
    <w:rsid w:val="00E2753F"/>
    <w:rsid w:val="00E30266"/>
    <w:rsid w:val="00E32F06"/>
    <w:rsid w:val="00E33C0B"/>
    <w:rsid w:val="00E34F33"/>
    <w:rsid w:val="00E34F51"/>
    <w:rsid w:val="00E3757F"/>
    <w:rsid w:val="00E42882"/>
    <w:rsid w:val="00E43925"/>
    <w:rsid w:val="00E45FEF"/>
    <w:rsid w:val="00E47CD4"/>
    <w:rsid w:val="00E51FED"/>
    <w:rsid w:val="00E55091"/>
    <w:rsid w:val="00E55652"/>
    <w:rsid w:val="00E56507"/>
    <w:rsid w:val="00E56BE3"/>
    <w:rsid w:val="00E6076C"/>
    <w:rsid w:val="00E61FC3"/>
    <w:rsid w:val="00E6287A"/>
    <w:rsid w:val="00E6331D"/>
    <w:rsid w:val="00E634E5"/>
    <w:rsid w:val="00E637A6"/>
    <w:rsid w:val="00E64F48"/>
    <w:rsid w:val="00E67C3C"/>
    <w:rsid w:val="00E67FB8"/>
    <w:rsid w:val="00E745A4"/>
    <w:rsid w:val="00E749BD"/>
    <w:rsid w:val="00E81CB3"/>
    <w:rsid w:val="00E8260A"/>
    <w:rsid w:val="00E827F9"/>
    <w:rsid w:val="00E82D46"/>
    <w:rsid w:val="00E82E6B"/>
    <w:rsid w:val="00E8422B"/>
    <w:rsid w:val="00E84DC0"/>
    <w:rsid w:val="00E84F06"/>
    <w:rsid w:val="00E90062"/>
    <w:rsid w:val="00E9066E"/>
    <w:rsid w:val="00E92551"/>
    <w:rsid w:val="00E949ED"/>
    <w:rsid w:val="00E9680D"/>
    <w:rsid w:val="00EA0D0D"/>
    <w:rsid w:val="00EA0E0B"/>
    <w:rsid w:val="00EA0F30"/>
    <w:rsid w:val="00EA55AA"/>
    <w:rsid w:val="00EA5821"/>
    <w:rsid w:val="00EA583A"/>
    <w:rsid w:val="00EA5E5E"/>
    <w:rsid w:val="00EA6A52"/>
    <w:rsid w:val="00EB3929"/>
    <w:rsid w:val="00EB4E46"/>
    <w:rsid w:val="00EC25DF"/>
    <w:rsid w:val="00EC27CF"/>
    <w:rsid w:val="00EC2F2F"/>
    <w:rsid w:val="00EC3D51"/>
    <w:rsid w:val="00EC514B"/>
    <w:rsid w:val="00EC58D2"/>
    <w:rsid w:val="00EC5D34"/>
    <w:rsid w:val="00EC7AA9"/>
    <w:rsid w:val="00ED0697"/>
    <w:rsid w:val="00ED3B11"/>
    <w:rsid w:val="00ED489D"/>
    <w:rsid w:val="00EE00CF"/>
    <w:rsid w:val="00EE0D30"/>
    <w:rsid w:val="00EE27B9"/>
    <w:rsid w:val="00EE27E3"/>
    <w:rsid w:val="00EE4983"/>
    <w:rsid w:val="00EF2508"/>
    <w:rsid w:val="00EF339E"/>
    <w:rsid w:val="00EF4B9F"/>
    <w:rsid w:val="00F0118D"/>
    <w:rsid w:val="00F02A04"/>
    <w:rsid w:val="00F03073"/>
    <w:rsid w:val="00F0336F"/>
    <w:rsid w:val="00F06A81"/>
    <w:rsid w:val="00F109D3"/>
    <w:rsid w:val="00F12165"/>
    <w:rsid w:val="00F1267B"/>
    <w:rsid w:val="00F13819"/>
    <w:rsid w:val="00F15BB3"/>
    <w:rsid w:val="00F15DC9"/>
    <w:rsid w:val="00F15E32"/>
    <w:rsid w:val="00F16ED5"/>
    <w:rsid w:val="00F20BE4"/>
    <w:rsid w:val="00F20C0A"/>
    <w:rsid w:val="00F24F2A"/>
    <w:rsid w:val="00F26EB0"/>
    <w:rsid w:val="00F329BD"/>
    <w:rsid w:val="00F35798"/>
    <w:rsid w:val="00F36B42"/>
    <w:rsid w:val="00F45950"/>
    <w:rsid w:val="00F463FA"/>
    <w:rsid w:val="00F4701D"/>
    <w:rsid w:val="00F4711B"/>
    <w:rsid w:val="00F5036D"/>
    <w:rsid w:val="00F527DD"/>
    <w:rsid w:val="00F5399F"/>
    <w:rsid w:val="00F53DCC"/>
    <w:rsid w:val="00F5607B"/>
    <w:rsid w:val="00F57F22"/>
    <w:rsid w:val="00F607A6"/>
    <w:rsid w:val="00F627F5"/>
    <w:rsid w:val="00F64387"/>
    <w:rsid w:val="00F643D3"/>
    <w:rsid w:val="00F659FA"/>
    <w:rsid w:val="00F67C7C"/>
    <w:rsid w:val="00F7100D"/>
    <w:rsid w:val="00F71F6D"/>
    <w:rsid w:val="00F73841"/>
    <w:rsid w:val="00F73B28"/>
    <w:rsid w:val="00F824ED"/>
    <w:rsid w:val="00F87586"/>
    <w:rsid w:val="00F91BC7"/>
    <w:rsid w:val="00F91BD2"/>
    <w:rsid w:val="00F924F6"/>
    <w:rsid w:val="00F92A5C"/>
    <w:rsid w:val="00F93FA6"/>
    <w:rsid w:val="00F957C6"/>
    <w:rsid w:val="00FA0509"/>
    <w:rsid w:val="00FA17C3"/>
    <w:rsid w:val="00FA1E1C"/>
    <w:rsid w:val="00FA38C1"/>
    <w:rsid w:val="00FA3A71"/>
    <w:rsid w:val="00FA40CA"/>
    <w:rsid w:val="00FA4FF1"/>
    <w:rsid w:val="00FA6C0A"/>
    <w:rsid w:val="00FB0B5D"/>
    <w:rsid w:val="00FB28AB"/>
    <w:rsid w:val="00FB3A77"/>
    <w:rsid w:val="00FB4597"/>
    <w:rsid w:val="00FB4775"/>
    <w:rsid w:val="00FC1353"/>
    <w:rsid w:val="00FC233D"/>
    <w:rsid w:val="00FC2813"/>
    <w:rsid w:val="00FC3858"/>
    <w:rsid w:val="00FC3AA8"/>
    <w:rsid w:val="00FC5653"/>
    <w:rsid w:val="00FC66FF"/>
    <w:rsid w:val="00FC7107"/>
    <w:rsid w:val="00FC7BB0"/>
    <w:rsid w:val="00FD20A5"/>
    <w:rsid w:val="00FD23E2"/>
    <w:rsid w:val="00FD2C22"/>
    <w:rsid w:val="00FD548D"/>
    <w:rsid w:val="00FD703F"/>
    <w:rsid w:val="00FE2C7F"/>
    <w:rsid w:val="00FE3841"/>
    <w:rsid w:val="00FE4F41"/>
    <w:rsid w:val="00FE51C5"/>
    <w:rsid w:val="00FE52FF"/>
    <w:rsid w:val="00FE6E2A"/>
    <w:rsid w:val="00FE6FCF"/>
    <w:rsid w:val="00FF0A01"/>
    <w:rsid w:val="00FF2B7C"/>
    <w:rsid w:val="00FF3B41"/>
    <w:rsid w:val="00FF4525"/>
    <w:rsid w:val="00FF5BD7"/>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D36F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Heading2"/>
    <w:next w:val="Normal"/>
    <w:link w:val="Heading1Char"/>
    <w:uiPriority w:val="2"/>
    <w:qFormat/>
    <w:rsid w:val="00091667"/>
    <w:pPr>
      <w:outlineLvl w:val="0"/>
    </w:pPr>
    <w:rPr>
      <w:noProof/>
      <w:sz w:val="24"/>
      <w:szCs w:val="24"/>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B375C" w:themeColor="accent1"/>
      <w:sz w:val="36"/>
      <w:szCs w:val="28"/>
    </w:rPr>
  </w:style>
  <w:style w:type="paragraph" w:styleId="Heading3">
    <w:name w:val="heading 3"/>
    <w:basedOn w:val="Heading4"/>
    <w:next w:val="Normal"/>
    <w:link w:val="Heading3Char"/>
    <w:uiPriority w:val="2"/>
    <w:qFormat/>
    <w:rsid w:val="006147EB"/>
    <w:pPr>
      <w:outlineLvl w:val="2"/>
    </w:pPr>
    <w:rPr>
      <w:color w:val="1B375C"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91667"/>
    <w:rPr>
      <w:rFonts w:asciiTheme="majorHAnsi" w:eastAsiaTheme="majorEastAsia" w:hAnsiTheme="majorHAnsi" w:cstheme="majorBidi"/>
      <w:noProof/>
      <w:color w:val="1B375C" w:themeColor="accent1"/>
      <w:sz w:val="24"/>
      <w:szCs w:val="24"/>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B375C"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B375C"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51068B"/>
    <w:pPr>
      <w:spacing w:after="0" w:line="240" w:lineRule="auto"/>
    </w:pPr>
    <w:rPr>
      <w:rFonts w:ascii="Segoe UI" w:hAnsi="Segoe UI" w:cs="Segoe UI"/>
      <w:bCs/>
      <w:color w:val="FFFFFF" w:themeColor="background1"/>
      <w:sz w:val="18"/>
    </w:rPr>
  </w:style>
  <w:style w:type="paragraph" w:customStyle="1" w:styleId="TBLText">
    <w:name w:val="TBL Text"/>
    <w:basedOn w:val="Normal"/>
    <w:uiPriority w:val="9"/>
    <w:qFormat/>
    <w:rsid w:val="000C2D43"/>
    <w:pPr>
      <w:spacing w:before="160" w:line="240" w:lineRule="auto"/>
    </w:pPr>
    <w:rPr>
      <w:rFonts w:ascii="Segoe UI Semilight" w:hAnsi="Segoe UI Semilight" w:cs="Segoe UI Semilight"/>
      <w:szCs w:val="22"/>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Recommendation,List Paragraph1,List Paragraph11,List Paragraph2,Dot pt,F5 List Paragraph,No Spacing1,List Paragraph Char Char Char,Indicator Text,Numbered Para 1,Bullet 1,List Paragraph12,Bullet Points,MAIN CONTENT,Bullet,L,CV text"/>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1B375C" w:themeColor="accent1"/>
        <w:bottom w:val="single" w:sz="12" w:space="0" w:color="1B375C" w:themeColor="accent1"/>
        <w:insideH w:val="single" w:sz="4" w:space="0" w:color="1B375C" w:themeColor="accent1"/>
      </w:tblBorders>
      <w:tblCellMar>
        <w:top w:w="57" w:type="dxa"/>
        <w:bottom w:w="57" w:type="dxa"/>
      </w:tblCellMar>
    </w:tblPr>
    <w:tblStylePr w:type="firstRow">
      <w:rPr>
        <w:rFonts w:asciiTheme="minorHAnsi" w:hAnsiTheme="minorHAnsi"/>
        <w:b/>
        <w:sz w:val="18"/>
      </w:rPr>
      <w:tblPr/>
      <w:tcPr>
        <w:shd w:val="clear" w:color="auto" w:fill="1B375C" w:themeFill="accent1"/>
      </w:tcPr>
    </w:tblStylePr>
    <w:tblStylePr w:type="band1Horz">
      <w:tblPr/>
      <w:tcPr>
        <w:shd w:val="clear" w:color="auto" w:fill="E0E8F2" w:themeFill="background2"/>
      </w:tcPr>
    </w:tblStylePr>
  </w:style>
  <w:style w:type="table" w:customStyle="1" w:styleId="Style1">
    <w:name w:val="Style1"/>
    <w:basedOn w:val="Custom1"/>
    <w:uiPriority w:val="99"/>
    <w:rsid w:val="000D2D64"/>
    <w:tblPr>
      <w:tblBorders>
        <w:top w:val="none" w:sz="0" w:space="0" w:color="auto"/>
        <w:left w:val="single" w:sz="4" w:space="0" w:color="1B375C" w:themeColor="accent1"/>
        <w:bottom w:val="single" w:sz="4" w:space="0" w:color="1B375C" w:themeColor="accent1"/>
        <w:right w:val="single" w:sz="4" w:space="0" w:color="1B375C" w:themeColor="accent1"/>
        <w:insideH w:val="none" w:sz="0" w:space="0" w:color="auto"/>
        <w:insideV w:val="single" w:sz="4" w:space="0" w:color="1B375C" w:themeColor="accent1"/>
      </w:tblBorders>
    </w:tblPr>
    <w:tblStylePr w:type="firstRow">
      <w:rPr>
        <w:rFonts w:asciiTheme="minorHAnsi" w:hAnsiTheme="minorHAnsi"/>
        <w:b/>
        <w:sz w:val="18"/>
      </w:rPr>
      <w:tblPr/>
      <w:tcPr>
        <w:shd w:val="clear" w:color="auto" w:fill="1B375C" w:themeFill="accent1"/>
      </w:tcPr>
    </w:tblStylePr>
    <w:tblStylePr w:type="firstCol">
      <w:rPr>
        <w:b/>
      </w:rPr>
      <w:tblPr/>
      <w:tcPr>
        <w:shd w:val="clear" w:color="auto" w:fill="1B375C" w:themeFill="accent1"/>
      </w:tcPr>
    </w:tblStylePr>
    <w:tblStylePr w:type="band1Horz">
      <w:tblPr/>
      <w:tcPr>
        <w:shd w:val="clear" w:color="auto" w:fill="E0E8F2" w:themeFill="background2"/>
      </w:tcPr>
    </w:tblStylePr>
  </w:style>
  <w:style w:type="character" w:styleId="CommentReference">
    <w:name w:val="annotation reference"/>
    <w:basedOn w:val="DefaultParagraphFont"/>
    <w:uiPriority w:val="99"/>
    <w:semiHidden/>
    <w:unhideWhenUsed/>
    <w:rsid w:val="008241C8"/>
    <w:rPr>
      <w:sz w:val="16"/>
      <w:szCs w:val="16"/>
    </w:rPr>
  </w:style>
  <w:style w:type="paragraph" w:styleId="CommentText">
    <w:name w:val="annotation text"/>
    <w:basedOn w:val="Normal"/>
    <w:link w:val="CommentTextChar"/>
    <w:uiPriority w:val="99"/>
    <w:unhideWhenUsed/>
    <w:rsid w:val="008241C8"/>
    <w:pPr>
      <w:spacing w:line="240" w:lineRule="auto"/>
    </w:pPr>
    <w:rPr>
      <w:sz w:val="20"/>
      <w:szCs w:val="20"/>
    </w:rPr>
  </w:style>
  <w:style w:type="character" w:customStyle="1" w:styleId="CommentTextChar">
    <w:name w:val="Comment Text Char"/>
    <w:basedOn w:val="DefaultParagraphFont"/>
    <w:link w:val="CommentText"/>
    <w:uiPriority w:val="99"/>
    <w:rsid w:val="008241C8"/>
    <w:rPr>
      <w:sz w:val="20"/>
      <w:szCs w:val="20"/>
    </w:rPr>
  </w:style>
  <w:style w:type="paragraph" w:styleId="CommentSubject">
    <w:name w:val="annotation subject"/>
    <w:basedOn w:val="CommentText"/>
    <w:next w:val="CommentText"/>
    <w:link w:val="CommentSubjectChar"/>
    <w:uiPriority w:val="99"/>
    <w:semiHidden/>
    <w:unhideWhenUsed/>
    <w:rsid w:val="008241C8"/>
    <w:rPr>
      <w:b/>
      <w:bCs/>
    </w:rPr>
  </w:style>
  <w:style w:type="character" w:customStyle="1" w:styleId="CommentSubjectChar">
    <w:name w:val="Comment Subject Char"/>
    <w:basedOn w:val="CommentTextChar"/>
    <w:link w:val="CommentSubject"/>
    <w:uiPriority w:val="99"/>
    <w:semiHidden/>
    <w:rsid w:val="008241C8"/>
    <w:rPr>
      <w:b/>
      <w:bCs/>
      <w:sz w:val="20"/>
      <w:szCs w:val="20"/>
    </w:rPr>
  </w:style>
  <w:style w:type="character" w:customStyle="1" w:styleId="ui-provider">
    <w:name w:val="ui-provider"/>
    <w:basedOn w:val="DefaultParagraphFont"/>
    <w:rsid w:val="001307DF"/>
  </w:style>
  <w:style w:type="character" w:customStyle="1" w:styleId="ListParagraphChar">
    <w:name w:val="List Paragraph Char"/>
    <w:aliases w:val="Recommendation Char,List Paragraph1 Char,List Paragraph11 Char,List Paragraph2 Char,Dot pt Char,F5 List Paragraph Char,No Spacing1 Char,List Paragraph Char Char Char Char,Indicator Text Char,Numbered Para 1 Char,Bullet 1 Char,L Char"/>
    <w:basedOn w:val="DefaultParagraphFont"/>
    <w:link w:val="ListParagraph"/>
    <w:uiPriority w:val="34"/>
    <w:qFormat/>
    <w:locked/>
    <w:rsid w:val="00D457F1"/>
    <w:rPr>
      <w:sz w:val="22"/>
    </w:rPr>
  </w:style>
  <w:style w:type="paragraph" w:styleId="NormalWeb">
    <w:name w:val="Normal (Web)"/>
    <w:basedOn w:val="Normal"/>
    <w:uiPriority w:val="99"/>
    <w:unhideWhenUsed/>
    <w:rsid w:val="00680081"/>
    <w:rPr>
      <w:rFonts w:ascii="Times New Roman" w:hAnsi="Times New Roman" w:cs="Times New Roman"/>
      <w:sz w:val="24"/>
      <w:szCs w:val="24"/>
    </w:rPr>
  </w:style>
  <w:style w:type="paragraph" w:styleId="FootnoteText">
    <w:name w:val="footnote text"/>
    <w:basedOn w:val="Normal"/>
    <w:link w:val="FootnoteTextChar"/>
    <w:uiPriority w:val="99"/>
    <w:semiHidden/>
    <w:unhideWhenUsed/>
    <w:qFormat/>
    <w:rsid w:val="00680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081"/>
    <w:rPr>
      <w:sz w:val="20"/>
      <w:szCs w:val="20"/>
    </w:rPr>
  </w:style>
  <w:style w:type="character" w:styleId="FootnoteReference">
    <w:name w:val="footnote reference"/>
    <w:basedOn w:val="DefaultParagraphFont"/>
    <w:uiPriority w:val="99"/>
    <w:semiHidden/>
    <w:unhideWhenUsed/>
    <w:qFormat/>
    <w:rsid w:val="00680081"/>
    <w:rPr>
      <w:vertAlign w:val="superscript"/>
    </w:rPr>
  </w:style>
  <w:style w:type="paragraph" w:styleId="Revision">
    <w:name w:val="Revision"/>
    <w:hidden/>
    <w:uiPriority w:val="99"/>
    <w:semiHidden/>
    <w:rsid w:val="0063583C"/>
    <w:pPr>
      <w:spacing w:after="0" w:line="240" w:lineRule="auto"/>
    </w:pPr>
    <w:rPr>
      <w:sz w:val="22"/>
    </w:rPr>
  </w:style>
  <w:style w:type="paragraph" w:customStyle="1" w:styleId="Deletetext">
    <w:name w:val="Delete text"/>
    <w:basedOn w:val="Normal"/>
    <w:next w:val="ListBullet"/>
    <w:link w:val="DeletetextChar"/>
    <w:qFormat/>
    <w:rsid w:val="00AE7961"/>
    <w:pPr>
      <w:numPr>
        <w:numId w:val="43"/>
      </w:numPr>
      <w:spacing w:after="0" w:line="240" w:lineRule="auto"/>
    </w:pPr>
    <w:rPr>
      <w:rFonts w:eastAsiaTheme="minorHAnsi"/>
      <w:color w:val="FF0000"/>
      <w:szCs w:val="20"/>
    </w:rPr>
  </w:style>
  <w:style w:type="character" w:customStyle="1" w:styleId="DeletetextChar">
    <w:name w:val="Delete text Char"/>
    <w:basedOn w:val="DefaultParagraphFont"/>
    <w:link w:val="Deletetext"/>
    <w:rsid w:val="00AE7961"/>
    <w:rPr>
      <w:rFonts w:eastAsiaTheme="minorHAnsi"/>
      <w:color w:val="FF0000"/>
      <w:sz w:val="22"/>
      <w:szCs w:val="20"/>
    </w:rPr>
  </w:style>
  <w:style w:type="paragraph" w:styleId="ListBullet">
    <w:name w:val="List Bullet"/>
    <w:basedOn w:val="Normal"/>
    <w:uiPriority w:val="99"/>
    <w:semiHidden/>
    <w:unhideWhenUsed/>
    <w:rsid w:val="00AE7961"/>
    <w:pPr>
      <w:numPr>
        <w:numId w:val="2"/>
      </w:numPr>
      <w:contextualSpacing/>
    </w:pPr>
  </w:style>
  <w:style w:type="character" w:styleId="FollowedHyperlink">
    <w:name w:val="FollowedHyperlink"/>
    <w:basedOn w:val="DefaultParagraphFont"/>
    <w:uiPriority w:val="99"/>
    <w:semiHidden/>
    <w:unhideWhenUsed/>
    <w:rsid w:val="00D50644"/>
    <w:rPr>
      <w:color w:val="3266AB" w:themeColor="followedHyperlink"/>
      <w:u w:val="single"/>
    </w:rPr>
  </w:style>
  <w:style w:type="paragraph" w:styleId="EndnoteText">
    <w:name w:val="endnote text"/>
    <w:basedOn w:val="Normal"/>
    <w:link w:val="EndnoteTextChar"/>
    <w:uiPriority w:val="99"/>
    <w:semiHidden/>
    <w:unhideWhenUsed/>
    <w:rsid w:val="008E0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075E"/>
    <w:rPr>
      <w:sz w:val="20"/>
      <w:szCs w:val="20"/>
    </w:rPr>
  </w:style>
  <w:style w:type="character" w:styleId="EndnoteReference">
    <w:name w:val="endnote reference"/>
    <w:basedOn w:val="DefaultParagraphFont"/>
    <w:uiPriority w:val="99"/>
    <w:semiHidden/>
    <w:unhideWhenUsed/>
    <w:rsid w:val="008E075E"/>
    <w:rPr>
      <w:vertAlign w:val="superscript"/>
    </w:rPr>
  </w:style>
  <w:style w:type="paragraph" w:customStyle="1" w:styleId="null">
    <w:name w:val="null"/>
    <w:basedOn w:val="Normal"/>
    <w:rsid w:val="00A1269A"/>
    <w:pPr>
      <w:spacing w:before="100" w:beforeAutospacing="1" w:after="100" w:afterAutospacing="1" w:line="240" w:lineRule="auto"/>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159">
      <w:bodyDiv w:val="1"/>
      <w:marLeft w:val="0"/>
      <w:marRight w:val="0"/>
      <w:marTop w:val="0"/>
      <w:marBottom w:val="0"/>
      <w:divBdr>
        <w:top w:val="none" w:sz="0" w:space="0" w:color="auto"/>
        <w:left w:val="none" w:sz="0" w:space="0" w:color="auto"/>
        <w:bottom w:val="none" w:sz="0" w:space="0" w:color="auto"/>
        <w:right w:val="none" w:sz="0" w:space="0" w:color="auto"/>
      </w:divBdr>
    </w:div>
    <w:div w:id="96677633">
      <w:bodyDiv w:val="1"/>
      <w:marLeft w:val="0"/>
      <w:marRight w:val="0"/>
      <w:marTop w:val="0"/>
      <w:marBottom w:val="0"/>
      <w:divBdr>
        <w:top w:val="none" w:sz="0" w:space="0" w:color="auto"/>
        <w:left w:val="none" w:sz="0" w:space="0" w:color="auto"/>
        <w:bottom w:val="none" w:sz="0" w:space="0" w:color="auto"/>
        <w:right w:val="none" w:sz="0" w:space="0" w:color="auto"/>
      </w:divBdr>
    </w:div>
    <w:div w:id="259947018">
      <w:bodyDiv w:val="1"/>
      <w:marLeft w:val="0"/>
      <w:marRight w:val="0"/>
      <w:marTop w:val="0"/>
      <w:marBottom w:val="0"/>
      <w:divBdr>
        <w:top w:val="none" w:sz="0" w:space="0" w:color="auto"/>
        <w:left w:val="none" w:sz="0" w:space="0" w:color="auto"/>
        <w:bottom w:val="none" w:sz="0" w:space="0" w:color="auto"/>
        <w:right w:val="none" w:sz="0" w:space="0" w:color="auto"/>
      </w:divBdr>
    </w:div>
    <w:div w:id="356010933">
      <w:bodyDiv w:val="1"/>
      <w:marLeft w:val="0"/>
      <w:marRight w:val="0"/>
      <w:marTop w:val="0"/>
      <w:marBottom w:val="0"/>
      <w:divBdr>
        <w:top w:val="none" w:sz="0" w:space="0" w:color="auto"/>
        <w:left w:val="none" w:sz="0" w:space="0" w:color="auto"/>
        <w:bottom w:val="none" w:sz="0" w:space="0" w:color="auto"/>
        <w:right w:val="none" w:sz="0" w:space="0" w:color="auto"/>
      </w:divBdr>
    </w:div>
    <w:div w:id="447160992">
      <w:bodyDiv w:val="1"/>
      <w:marLeft w:val="0"/>
      <w:marRight w:val="0"/>
      <w:marTop w:val="0"/>
      <w:marBottom w:val="0"/>
      <w:divBdr>
        <w:top w:val="none" w:sz="0" w:space="0" w:color="auto"/>
        <w:left w:val="none" w:sz="0" w:space="0" w:color="auto"/>
        <w:bottom w:val="none" w:sz="0" w:space="0" w:color="auto"/>
        <w:right w:val="none" w:sz="0" w:space="0" w:color="auto"/>
      </w:divBdr>
    </w:div>
    <w:div w:id="453594761">
      <w:bodyDiv w:val="1"/>
      <w:marLeft w:val="0"/>
      <w:marRight w:val="0"/>
      <w:marTop w:val="0"/>
      <w:marBottom w:val="0"/>
      <w:divBdr>
        <w:top w:val="none" w:sz="0" w:space="0" w:color="auto"/>
        <w:left w:val="none" w:sz="0" w:space="0" w:color="auto"/>
        <w:bottom w:val="none" w:sz="0" w:space="0" w:color="auto"/>
        <w:right w:val="none" w:sz="0" w:space="0" w:color="auto"/>
      </w:divBdr>
    </w:div>
    <w:div w:id="542980963">
      <w:bodyDiv w:val="1"/>
      <w:marLeft w:val="0"/>
      <w:marRight w:val="0"/>
      <w:marTop w:val="0"/>
      <w:marBottom w:val="0"/>
      <w:divBdr>
        <w:top w:val="none" w:sz="0" w:space="0" w:color="auto"/>
        <w:left w:val="none" w:sz="0" w:space="0" w:color="auto"/>
        <w:bottom w:val="none" w:sz="0" w:space="0" w:color="auto"/>
        <w:right w:val="none" w:sz="0" w:space="0" w:color="auto"/>
      </w:divBdr>
    </w:div>
    <w:div w:id="639727449">
      <w:bodyDiv w:val="1"/>
      <w:marLeft w:val="0"/>
      <w:marRight w:val="0"/>
      <w:marTop w:val="0"/>
      <w:marBottom w:val="0"/>
      <w:divBdr>
        <w:top w:val="none" w:sz="0" w:space="0" w:color="auto"/>
        <w:left w:val="none" w:sz="0" w:space="0" w:color="auto"/>
        <w:bottom w:val="none" w:sz="0" w:space="0" w:color="auto"/>
        <w:right w:val="none" w:sz="0" w:space="0" w:color="auto"/>
      </w:divBdr>
    </w:div>
    <w:div w:id="667631614">
      <w:bodyDiv w:val="1"/>
      <w:marLeft w:val="0"/>
      <w:marRight w:val="0"/>
      <w:marTop w:val="0"/>
      <w:marBottom w:val="0"/>
      <w:divBdr>
        <w:top w:val="none" w:sz="0" w:space="0" w:color="auto"/>
        <w:left w:val="none" w:sz="0" w:space="0" w:color="auto"/>
        <w:bottom w:val="none" w:sz="0" w:space="0" w:color="auto"/>
        <w:right w:val="none" w:sz="0" w:space="0" w:color="auto"/>
      </w:divBdr>
    </w:div>
    <w:div w:id="693775687">
      <w:bodyDiv w:val="1"/>
      <w:marLeft w:val="0"/>
      <w:marRight w:val="0"/>
      <w:marTop w:val="0"/>
      <w:marBottom w:val="0"/>
      <w:divBdr>
        <w:top w:val="none" w:sz="0" w:space="0" w:color="auto"/>
        <w:left w:val="none" w:sz="0" w:space="0" w:color="auto"/>
        <w:bottom w:val="none" w:sz="0" w:space="0" w:color="auto"/>
        <w:right w:val="none" w:sz="0" w:space="0" w:color="auto"/>
      </w:divBdr>
    </w:div>
    <w:div w:id="933056190">
      <w:bodyDiv w:val="1"/>
      <w:marLeft w:val="0"/>
      <w:marRight w:val="0"/>
      <w:marTop w:val="0"/>
      <w:marBottom w:val="0"/>
      <w:divBdr>
        <w:top w:val="none" w:sz="0" w:space="0" w:color="auto"/>
        <w:left w:val="none" w:sz="0" w:space="0" w:color="auto"/>
        <w:bottom w:val="none" w:sz="0" w:space="0" w:color="auto"/>
        <w:right w:val="none" w:sz="0" w:space="0" w:color="auto"/>
      </w:divBdr>
    </w:div>
    <w:div w:id="957569099">
      <w:bodyDiv w:val="1"/>
      <w:marLeft w:val="0"/>
      <w:marRight w:val="0"/>
      <w:marTop w:val="0"/>
      <w:marBottom w:val="0"/>
      <w:divBdr>
        <w:top w:val="none" w:sz="0" w:space="0" w:color="auto"/>
        <w:left w:val="none" w:sz="0" w:space="0" w:color="auto"/>
        <w:bottom w:val="none" w:sz="0" w:space="0" w:color="auto"/>
        <w:right w:val="none" w:sz="0" w:space="0" w:color="auto"/>
      </w:divBdr>
    </w:div>
    <w:div w:id="1217357559">
      <w:bodyDiv w:val="1"/>
      <w:marLeft w:val="0"/>
      <w:marRight w:val="0"/>
      <w:marTop w:val="0"/>
      <w:marBottom w:val="0"/>
      <w:divBdr>
        <w:top w:val="none" w:sz="0" w:space="0" w:color="auto"/>
        <w:left w:val="none" w:sz="0" w:space="0" w:color="auto"/>
        <w:bottom w:val="none" w:sz="0" w:space="0" w:color="auto"/>
        <w:right w:val="none" w:sz="0" w:space="0" w:color="auto"/>
      </w:divBdr>
    </w:div>
    <w:div w:id="1381053095">
      <w:bodyDiv w:val="1"/>
      <w:marLeft w:val="0"/>
      <w:marRight w:val="0"/>
      <w:marTop w:val="0"/>
      <w:marBottom w:val="0"/>
      <w:divBdr>
        <w:top w:val="none" w:sz="0" w:space="0" w:color="auto"/>
        <w:left w:val="none" w:sz="0" w:space="0" w:color="auto"/>
        <w:bottom w:val="none" w:sz="0" w:space="0" w:color="auto"/>
        <w:right w:val="none" w:sz="0" w:space="0" w:color="auto"/>
      </w:divBdr>
    </w:div>
    <w:div w:id="1489900747">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00862212">
      <w:bodyDiv w:val="1"/>
      <w:marLeft w:val="0"/>
      <w:marRight w:val="0"/>
      <w:marTop w:val="0"/>
      <w:marBottom w:val="0"/>
      <w:divBdr>
        <w:top w:val="none" w:sz="0" w:space="0" w:color="auto"/>
        <w:left w:val="none" w:sz="0" w:space="0" w:color="auto"/>
        <w:bottom w:val="none" w:sz="0" w:space="0" w:color="auto"/>
        <w:right w:val="none" w:sz="0" w:space="0" w:color="auto"/>
      </w:divBdr>
    </w:div>
    <w:div w:id="1805997619">
      <w:bodyDiv w:val="1"/>
      <w:marLeft w:val="0"/>
      <w:marRight w:val="0"/>
      <w:marTop w:val="0"/>
      <w:marBottom w:val="0"/>
      <w:divBdr>
        <w:top w:val="none" w:sz="0" w:space="0" w:color="auto"/>
        <w:left w:val="none" w:sz="0" w:space="0" w:color="auto"/>
        <w:bottom w:val="none" w:sz="0" w:space="0" w:color="auto"/>
        <w:right w:val="none" w:sz="0" w:space="0" w:color="auto"/>
      </w:divBdr>
    </w:div>
    <w:div w:id="186366239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033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mc.gov.au/cca"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1.png@01D9FC62.732DDB8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inisters.ag.gov.au/media-centre/independent-review-national-legal-assistance-partnership-23-06-2023" TargetMode="External"/><Relationship Id="rId13" Type="http://schemas.openxmlformats.org/officeDocument/2006/relationships/hyperlink" Target="https://www.governmentlawyers.gov.au/publications/statement-expectations-australian-government-lawyers" TargetMode="External"/><Relationship Id="rId3" Type="http://schemas.openxmlformats.org/officeDocument/2006/relationships/hyperlink" Target="https://www.ag.gov.au/rights-and-protections/publications/government-response-privacy-act-review-report" TargetMode="External"/><Relationship Id="rId7" Type="http://schemas.openxmlformats.org/officeDocument/2006/relationships/hyperlink" Target="https://www.apsreform.gov.au/news/aps-vision-user-centred-service-excellence" TargetMode="External"/><Relationship Id="rId12" Type="http://schemas.openxmlformats.org/officeDocument/2006/relationships/hyperlink" Target="https://www.dataanddigital.gov.au/" TargetMode="External"/><Relationship Id="rId2" Type="http://schemas.openxmlformats.org/officeDocument/2006/relationships/hyperlink" Target="https://www.pmc.gov.au/sites/default/files/resource/download/code-of-conduct-for-ministers.pdf" TargetMode="External"/><Relationship Id="rId1" Type="http://schemas.openxmlformats.org/officeDocument/2006/relationships/hyperlink" Target="https://www.9news.com.au/national/robodebt-report-dutton-stands-firm-in-refusing-to-ask-morrison-to-resign-over-robodebt-report/7f73a220-034b-4de9-977d-67b2205287a6" TargetMode="External"/><Relationship Id="rId6" Type="http://schemas.openxmlformats.org/officeDocument/2006/relationships/hyperlink" Target="https://www.apsreform.gov.au/news/aps-vision-user-centred-service-excellence" TargetMode="External"/><Relationship Id="rId11" Type="http://schemas.openxmlformats.org/officeDocument/2006/relationships/hyperlink" Target="https://www.ag.gov.au/rights-and-protections/publications/government-response-privacy-act-review-report" TargetMode="External"/><Relationship Id="rId5" Type="http://schemas.openxmlformats.org/officeDocument/2006/relationships/hyperlink" Target="https://www.apsreform.gov.au/about-aps-reform/our-focus-areas" TargetMode="External"/><Relationship Id="rId10" Type="http://schemas.openxmlformats.org/officeDocument/2006/relationships/hyperlink" Target="https://nlapreview.com.au/issues-paper" TargetMode="External"/><Relationship Id="rId4" Type="http://schemas.openxmlformats.org/officeDocument/2006/relationships/hyperlink" Target="https://www.pmc.gov.au/government/administration/cabinet-handbook-15th-edition" TargetMode="External"/><Relationship Id="rId9" Type="http://schemas.openxmlformats.org/officeDocument/2006/relationships/hyperlink" Target="https://nlapreview.com.au/the-independent-review-of-the-nl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C20959C10C48ABB2683D9F75A0CB8B"/>
        <w:category>
          <w:name w:val="General"/>
          <w:gallery w:val="placeholder"/>
        </w:category>
        <w:types>
          <w:type w:val="bbPlcHdr"/>
        </w:types>
        <w:behaviors>
          <w:behavior w:val="content"/>
        </w:behaviors>
        <w:guid w:val="{01E8DE36-59F6-4BF6-9D9B-4173B37C0222}"/>
      </w:docPartPr>
      <w:docPartBody>
        <w:p w:rsidR="000A6865" w:rsidRDefault="00B7569B">
          <w:pPr>
            <w:pStyle w:val="8DC20959C10C48ABB2683D9F75A0CB8B"/>
          </w:pPr>
          <w:r w:rsidRPr="00293BFE">
            <w:rPr>
              <w:rStyle w:val="PlaceholderText"/>
            </w:rPr>
            <w:t>[Manager]</w:t>
          </w:r>
        </w:p>
      </w:docPartBody>
    </w:docPart>
    <w:docPart>
      <w:docPartPr>
        <w:name w:val="C613450CC36C4F8E82225CAD450A4875"/>
        <w:category>
          <w:name w:val="General"/>
          <w:gallery w:val="placeholder"/>
        </w:category>
        <w:types>
          <w:type w:val="bbPlcHdr"/>
        </w:types>
        <w:behaviors>
          <w:behavior w:val="content"/>
        </w:behaviors>
        <w:guid w:val="{6CA65870-8841-4A44-AEEA-01C91A36FDBD}"/>
      </w:docPartPr>
      <w:docPartBody>
        <w:p w:rsidR="000A6865" w:rsidRDefault="00B7569B">
          <w:pPr>
            <w:pStyle w:val="C613450CC36C4F8E82225CAD450A4875"/>
          </w:pPr>
          <w:r w:rsidRPr="00B6525C">
            <w:rPr>
              <w:rStyle w:val="PlaceholderText"/>
            </w:rPr>
            <w:t>[Title]</w:t>
          </w:r>
        </w:p>
      </w:docPartBody>
    </w:docPart>
    <w:docPart>
      <w:docPartPr>
        <w:name w:val="847841C7FDDB42F38A9ED366AEB2F72F"/>
        <w:category>
          <w:name w:val="General"/>
          <w:gallery w:val="placeholder"/>
        </w:category>
        <w:types>
          <w:type w:val="bbPlcHdr"/>
        </w:types>
        <w:behaviors>
          <w:behavior w:val="content"/>
        </w:behaviors>
        <w:guid w:val="{AEE1F93C-2A6A-44F2-8B8B-23C5B74BD59F}"/>
      </w:docPartPr>
      <w:docPartBody>
        <w:p w:rsidR="000A6865" w:rsidRDefault="00B7569B">
          <w:pPr>
            <w:pStyle w:val="847841C7FDDB42F38A9ED366AEB2F72F"/>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9B"/>
    <w:rsid w:val="00046ABA"/>
    <w:rsid w:val="000715D9"/>
    <w:rsid w:val="000A6865"/>
    <w:rsid w:val="000F6E2E"/>
    <w:rsid w:val="00120DFD"/>
    <w:rsid w:val="0023550D"/>
    <w:rsid w:val="00242F42"/>
    <w:rsid w:val="00246A1D"/>
    <w:rsid w:val="002633A2"/>
    <w:rsid w:val="00295403"/>
    <w:rsid w:val="003200A4"/>
    <w:rsid w:val="00372CF4"/>
    <w:rsid w:val="00427EFD"/>
    <w:rsid w:val="004E6314"/>
    <w:rsid w:val="005F6AB2"/>
    <w:rsid w:val="006B685B"/>
    <w:rsid w:val="0071148C"/>
    <w:rsid w:val="007260D7"/>
    <w:rsid w:val="00735E3D"/>
    <w:rsid w:val="008200E4"/>
    <w:rsid w:val="0083413E"/>
    <w:rsid w:val="00891313"/>
    <w:rsid w:val="00902F8E"/>
    <w:rsid w:val="009B6930"/>
    <w:rsid w:val="009E4A65"/>
    <w:rsid w:val="00A8641B"/>
    <w:rsid w:val="00B51C2A"/>
    <w:rsid w:val="00B5260B"/>
    <w:rsid w:val="00B7569B"/>
    <w:rsid w:val="00BF07A7"/>
    <w:rsid w:val="00C434DD"/>
    <w:rsid w:val="00E417A3"/>
    <w:rsid w:val="00F42D32"/>
    <w:rsid w:val="00FB5EB3"/>
    <w:rsid w:val="00FC25BA"/>
    <w:rsid w:val="00FC3A83"/>
    <w:rsid w:val="00FC7747"/>
    <w:rsid w:val="00FE4A62"/>
    <w:rsid w:val="00FF6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AB2"/>
    <w:rPr>
      <w:color w:val="808080"/>
    </w:rPr>
  </w:style>
  <w:style w:type="paragraph" w:customStyle="1" w:styleId="4412EC11D9114896B8D90BD2CF31D334">
    <w:name w:val="4412EC11D9114896B8D90BD2CF31D334"/>
  </w:style>
  <w:style w:type="paragraph" w:customStyle="1" w:styleId="4B78F1F1DBD54F2A982EC5C3391A8662">
    <w:name w:val="4B78F1F1DBD54F2A982EC5C3391A8662"/>
  </w:style>
  <w:style w:type="paragraph" w:customStyle="1" w:styleId="8DC20959C10C48ABB2683D9F75A0CB8B">
    <w:name w:val="8DC20959C10C48ABB2683D9F75A0CB8B"/>
  </w:style>
  <w:style w:type="paragraph" w:customStyle="1" w:styleId="C613450CC36C4F8E82225CAD450A4875">
    <w:name w:val="C613450CC36C4F8E82225CAD450A4875"/>
  </w:style>
  <w:style w:type="paragraph" w:customStyle="1" w:styleId="847841C7FDDB42F38A9ED366AEB2F72F">
    <w:name w:val="847841C7FDDB42F38A9ED366AEB2F72F"/>
  </w:style>
  <w:style w:type="paragraph" w:customStyle="1" w:styleId="805431C9DF114DAFBD2001D653E361E1">
    <w:name w:val="805431C9DF114DAFBD2001D653E361E1"/>
    <w:rsid w:val="005F6AB2"/>
  </w:style>
  <w:style w:type="paragraph" w:customStyle="1" w:styleId="07BD6F80022B4D508BC4ED604257D6A2">
    <w:name w:val="07BD6F80022B4D508BC4ED604257D6A2"/>
    <w:rsid w:val="005F6AB2"/>
  </w:style>
  <w:style w:type="paragraph" w:customStyle="1" w:styleId="88FA2B2E89D5423094D18359919F3DB3">
    <w:name w:val="88FA2B2E89D5423094D18359919F3DB3"/>
    <w:rsid w:val="005F6AB2"/>
  </w:style>
  <w:style w:type="paragraph" w:customStyle="1" w:styleId="451E3FC1ED1F4E6A8589F11421FB8F73">
    <w:name w:val="451E3FC1ED1F4E6A8589F11421FB8F73"/>
    <w:rsid w:val="005F6AB2"/>
  </w:style>
  <w:style w:type="paragraph" w:customStyle="1" w:styleId="8311366B8A574379A1A841C2B1363506">
    <w:name w:val="8311366B8A574379A1A841C2B1363506"/>
    <w:rsid w:val="005F6AB2"/>
  </w:style>
  <w:style w:type="paragraph" w:customStyle="1" w:styleId="768A18D5288246C6ACCA41558335CEC4">
    <w:name w:val="768A18D5288246C6ACCA41558335CEC4"/>
    <w:rsid w:val="005F6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DOC23-361395</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5FE7-E532-4643-BB87-7F63CDBB18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162F4455-F1BA-44A4-BC41-F77CE4542D89}">
  <ds:schemaRefs>
    <ds:schemaRef ds:uri="http://schemas.microsoft.com/sharepoint/v3/contenttype/forms"/>
  </ds:schemaRefs>
</ds:datastoreItem>
</file>

<file path=customXml/itemProps3.xml><?xml version="1.0" encoding="utf-8"?>
<ds:datastoreItem xmlns:ds="http://schemas.openxmlformats.org/officeDocument/2006/customXml" ds:itemID="{CB7810A4-EDF5-42E2-9AE8-4C203F7D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08A6F-89D2-47EE-A404-B1557CD8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13039</Words>
  <Characters>77328</Characters>
  <Application>Microsoft Office Word</Application>
  <DocSecurity>0</DocSecurity>
  <Lines>1208</Lines>
  <Paragraphs>485</Paragraphs>
  <ScaleCrop>false</ScaleCrop>
  <HeadingPairs>
    <vt:vector size="2" baseType="variant">
      <vt:variant>
        <vt:lpstr>Title</vt:lpstr>
      </vt:variant>
      <vt:variant>
        <vt:i4>1</vt:i4>
      </vt:variant>
    </vt:vector>
  </HeadingPairs>
  <TitlesOfParts>
    <vt:vector size="1" baseType="lpstr">
      <vt:lpstr>Government Response | Royal Commission into the Robodebt Scheme</vt:lpstr>
    </vt:vector>
  </TitlesOfParts>
  <Manager/>
  <Company/>
  <LinksUpToDate>false</LinksUpToDate>
  <CharactersWithSpaces>89882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 Royal Commission into the Robodebt Scheme</dc:title>
  <dc:subject/>
  <dc:creator/>
  <cp:keywords/>
  <dc:description/>
  <cp:lastModifiedBy/>
  <cp:revision>1</cp:revision>
  <dcterms:created xsi:type="dcterms:W3CDTF">2023-11-10T05:26:00Z</dcterms:created>
  <dcterms:modified xsi:type="dcterms:W3CDTF">2023-11-10T05:45:00Z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ies>
</file>