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289B7B" w14:textId="029EB7EB" w:rsidR="00E92551" w:rsidRPr="00F957C6" w:rsidRDefault="00FF1215" w:rsidP="005226B9">
      <w:pPr>
        <w:pStyle w:val="Title"/>
        <w:ind w:left="1134"/>
      </w:pPr>
      <w:r>
        <w:t>Evaluation of the National Women’s Alliances</w:t>
      </w:r>
      <w:r w:rsidR="000F060B">
        <w:t xml:space="preserve"> Model</w:t>
      </w:r>
    </w:p>
    <w:p w14:paraId="0EE1BCEA" w14:textId="49F7F2C8" w:rsidR="005226B9" w:rsidRDefault="005C3C13" w:rsidP="005226B9">
      <w:pPr>
        <w:pStyle w:val="Subtitle"/>
        <w:ind w:left="1134"/>
        <w:rPr>
          <w:rFonts w:eastAsiaTheme="minorEastAsia" w:cstheme="minorBidi"/>
          <w:noProof w:val="0"/>
          <w:sz w:val="22"/>
          <w:szCs w:val="21"/>
        </w:rPr>
      </w:pPr>
      <w:r>
        <w:rPr>
          <w:lang w:eastAsia="en-AU"/>
        </w:rPr>
        <w:drawing>
          <wp:anchor distT="0" distB="0" distL="114300" distR="114300" simplePos="0" relativeHeight="251658240" behindDoc="0" locked="0" layoutInCell="1" allowOverlap="1" wp14:anchorId="4588DBAD" wp14:editId="21BD37CF">
            <wp:simplePos x="0" y="0"/>
            <wp:positionH relativeFrom="column">
              <wp:posOffset>716824</wp:posOffset>
            </wp:positionH>
            <wp:positionV relativeFrom="paragraph">
              <wp:posOffset>581206</wp:posOffset>
            </wp:positionV>
            <wp:extent cx="6119495" cy="6119495"/>
            <wp:effectExtent l="0" t="0" r="0" b="0"/>
            <wp:wrapNone/>
            <wp:docPr id="113" name="Picture 113" descr="Box in medium blue with PM&amp;C in dark blue letters presented in a stylised way." title="Logo: Department of the Prime Minist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PM&amp;C Template Cov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19495" cy="6119495"/>
                    </a:xfrm>
                    <a:prstGeom prst="rect">
                      <a:avLst/>
                    </a:prstGeom>
                  </pic:spPr>
                </pic:pic>
              </a:graphicData>
            </a:graphic>
            <wp14:sizeRelH relativeFrom="margin">
              <wp14:pctWidth>0</wp14:pctWidth>
            </wp14:sizeRelH>
            <wp14:sizeRelV relativeFrom="margin">
              <wp14:pctHeight>0</wp14:pctHeight>
            </wp14:sizeRelV>
          </wp:anchor>
        </w:drawing>
      </w:r>
      <w:r w:rsidR="00FF1215">
        <w:t>Global Institute for Women’s Leadership</w:t>
      </w:r>
      <w:r w:rsidR="00400197">
        <w:t xml:space="preserve"> and </w:t>
      </w:r>
      <w:r w:rsidR="00E96148">
        <w:t xml:space="preserve">the </w:t>
      </w:r>
      <w:r w:rsidR="00400197">
        <w:t>Office for Women</w:t>
      </w:r>
    </w:p>
    <w:p w14:paraId="051920F9" w14:textId="77777777" w:rsidR="00C6577F" w:rsidRPr="00C6577F" w:rsidRDefault="00C6577F" w:rsidP="00C6577F"/>
    <w:p w14:paraId="30129A45" w14:textId="77777777" w:rsidR="00C6577F" w:rsidRPr="00C6577F" w:rsidRDefault="00C6577F" w:rsidP="00C6577F"/>
    <w:p w14:paraId="54B50A2E" w14:textId="77777777" w:rsidR="00C6577F" w:rsidRPr="00C6577F" w:rsidRDefault="00C6577F" w:rsidP="00C6577F"/>
    <w:p w14:paraId="40545AA2" w14:textId="77777777" w:rsidR="00C6577F" w:rsidRDefault="00C6577F" w:rsidP="00C6577F"/>
    <w:p w14:paraId="7F25BD1C" w14:textId="5181EC1B" w:rsidR="00C6577F" w:rsidRDefault="00C6577F" w:rsidP="00C6577F"/>
    <w:p w14:paraId="65D4C737" w14:textId="77777777" w:rsidR="005226B9" w:rsidRDefault="005226B9" w:rsidP="00C6577F">
      <w:pPr>
        <w:sectPr w:rsidR="005226B9" w:rsidSect="005226B9">
          <w:headerReference w:type="default" r:id="rId12"/>
          <w:headerReference w:type="first" r:id="rId13"/>
          <w:footerReference w:type="first" r:id="rId14"/>
          <w:pgSz w:w="11906" w:h="16838"/>
          <w:pgMar w:top="5387" w:right="1134" w:bottom="1701" w:left="1134" w:header="709" w:footer="709" w:gutter="0"/>
          <w:cols w:space="708"/>
          <w:docGrid w:linePitch="360"/>
        </w:sectPr>
      </w:pPr>
    </w:p>
    <w:p w14:paraId="0660E057" w14:textId="77777777" w:rsidR="0041135B" w:rsidRPr="0041135B" w:rsidRDefault="0041135B" w:rsidP="0041135B">
      <w:pPr>
        <w:pStyle w:val="NormalWeb"/>
        <w:shd w:val="clear" w:color="auto" w:fill="FFFFFF"/>
        <w:spacing w:before="150" w:beforeAutospacing="0" w:after="0" w:afterAutospacing="0"/>
        <w:rPr>
          <w:rFonts w:ascii="Segoe UI Semilight" w:hAnsi="Segoe UI Semilight" w:cs="Segoe UI Semilight"/>
          <w:color w:val="2C2B2B"/>
          <w:sz w:val="18"/>
          <w:szCs w:val="18"/>
        </w:rPr>
      </w:pPr>
      <w:r w:rsidRPr="0041135B">
        <w:rPr>
          <w:rFonts w:ascii="Segoe UI Semilight" w:hAnsi="Segoe UI Semilight" w:cs="Segoe UI Semilight"/>
          <w:color w:val="2C2B2B"/>
          <w:sz w:val="18"/>
          <w:szCs w:val="18"/>
        </w:rPr>
        <w:lastRenderedPageBreak/>
        <w:t xml:space="preserve">Copyright Statement </w:t>
      </w:r>
    </w:p>
    <w:p w14:paraId="4D8B209A" w14:textId="77777777" w:rsidR="0041135B" w:rsidRPr="0041135B" w:rsidRDefault="0041135B" w:rsidP="0041135B">
      <w:pPr>
        <w:pStyle w:val="NormalWeb"/>
        <w:shd w:val="clear" w:color="auto" w:fill="FFFFFF"/>
        <w:spacing w:before="150" w:beforeAutospacing="0" w:after="0" w:afterAutospacing="0"/>
        <w:rPr>
          <w:rFonts w:ascii="Segoe UI Semilight" w:hAnsi="Segoe UI Semilight" w:cs="Segoe UI Semilight"/>
          <w:color w:val="2C2B2B"/>
          <w:sz w:val="18"/>
          <w:szCs w:val="18"/>
        </w:rPr>
      </w:pPr>
      <w:r w:rsidRPr="0041135B">
        <w:rPr>
          <w:rFonts w:ascii="Segoe UI Semilight" w:hAnsi="Segoe UI Semilight" w:cs="Segoe UI Semilight"/>
          <w:color w:val="2C2B2B"/>
          <w:sz w:val="18"/>
          <w:szCs w:val="18"/>
        </w:rPr>
        <w:t>Evaluation of the National Women’s Alliances Model</w:t>
      </w:r>
    </w:p>
    <w:p w14:paraId="6D6E9A38" w14:textId="77777777" w:rsidR="0041135B" w:rsidRPr="0041135B" w:rsidRDefault="0041135B" w:rsidP="0041135B">
      <w:pPr>
        <w:pStyle w:val="NormalWeb"/>
        <w:shd w:val="clear" w:color="auto" w:fill="FFFFFF"/>
        <w:spacing w:before="150" w:beforeAutospacing="0" w:after="0" w:afterAutospacing="0"/>
        <w:rPr>
          <w:rFonts w:ascii="Segoe UI Semilight" w:hAnsi="Segoe UI Semilight" w:cs="Segoe UI Semilight"/>
          <w:color w:val="2C2B2B"/>
          <w:sz w:val="18"/>
          <w:szCs w:val="18"/>
        </w:rPr>
      </w:pPr>
      <w:r w:rsidRPr="0041135B">
        <w:rPr>
          <w:rFonts w:ascii="Segoe UI Semilight" w:hAnsi="Segoe UI Semilight" w:cs="Segoe UI Semilight"/>
          <w:color w:val="2C2B2B"/>
          <w:sz w:val="18"/>
          <w:szCs w:val="18"/>
        </w:rPr>
        <w:t>© Commonwealth of Australia 2023</w:t>
      </w:r>
    </w:p>
    <w:p w14:paraId="471F5439" w14:textId="77777777" w:rsidR="0041135B" w:rsidRPr="0041135B" w:rsidRDefault="0041135B" w:rsidP="0041135B">
      <w:pPr>
        <w:pStyle w:val="NormalWeb"/>
        <w:shd w:val="clear" w:color="auto" w:fill="FFFFFF"/>
        <w:spacing w:before="150" w:beforeAutospacing="0" w:after="0" w:afterAutospacing="0"/>
        <w:rPr>
          <w:rFonts w:ascii="Segoe UI Semilight" w:hAnsi="Segoe UI Semilight" w:cs="Segoe UI Semilight"/>
          <w:color w:val="2C2B2B"/>
          <w:sz w:val="18"/>
          <w:szCs w:val="18"/>
        </w:rPr>
      </w:pPr>
      <w:r w:rsidRPr="0041135B">
        <w:rPr>
          <w:rFonts w:ascii="Segoe UI Semilight" w:hAnsi="Segoe UI Semilight" w:cs="Segoe UI Semilight"/>
          <w:color w:val="2C2B2B"/>
          <w:sz w:val="18"/>
          <w:szCs w:val="18"/>
        </w:rPr>
        <w:t xml:space="preserve">ISBN: 978-1-925365-31-3 (online) </w:t>
      </w:r>
    </w:p>
    <w:p w14:paraId="17EEEE8B" w14:textId="77777777" w:rsidR="0041135B" w:rsidRPr="0041135B" w:rsidRDefault="0041135B" w:rsidP="0041135B">
      <w:pPr>
        <w:pStyle w:val="NormalWeb"/>
        <w:shd w:val="clear" w:color="auto" w:fill="FFFFFF"/>
        <w:spacing w:before="150" w:beforeAutospacing="0" w:after="0" w:afterAutospacing="0"/>
        <w:rPr>
          <w:rFonts w:ascii="Segoe UI Semilight" w:hAnsi="Segoe UI Semilight" w:cs="Segoe UI Semilight"/>
          <w:color w:val="2C2B2B"/>
          <w:sz w:val="18"/>
          <w:szCs w:val="18"/>
        </w:rPr>
      </w:pPr>
      <w:r w:rsidRPr="0041135B">
        <w:rPr>
          <w:rFonts w:ascii="Segoe UI Semilight" w:hAnsi="Segoe UI Semilight" w:cs="Segoe UI Semilight"/>
          <w:color w:val="2C2B2B"/>
          <w:sz w:val="18"/>
          <w:szCs w:val="18"/>
        </w:rPr>
        <w:t>With the exception of the Commonwealth Coat of Arms this work is licensed under a Creative Commons Attribution 4.0 International licence (CC BY 4.0)( </w:t>
      </w:r>
      <w:hyperlink r:id="rId15" w:history="1">
        <w:r w:rsidRPr="0041135B">
          <w:rPr>
            <w:rStyle w:val="Hyperlink"/>
            <w:rFonts w:ascii="Segoe UI Semilight" w:hAnsi="Segoe UI Semilight" w:cs="Segoe UI Semilight"/>
            <w:color w:val="1772AF"/>
            <w:sz w:val="18"/>
            <w:szCs w:val="18"/>
          </w:rPr>
          <w:t>https://creativecommons.org/licenses/by/4.0/</w:t>
        </w:r>
      </w:hyperlink>
      <w:r w:rsidRPr="0041135B">
        <w:rPr>
          <w:rFonts w:ascii="Segoe UI Semilight" w:hAnsi="Segoe UI Semilight" w:cs="Segoe UI Semilight"/>
          <w:color w:val="2C2B2B"/>
          <w:sz w:val="18"/>
          <w:szCs w:val="18"/>
        </w:rPr>
        <w:t> ).</w:t>
      </w:r>
    </w:p>
    <w:p w14:paraId="44420A2F" w14:textId="0A238FD9" w:rsidR="0041135B" w:rsidRPr="0041135B" w:rsidRDefault="0041135B" w:rsidP="0041135B">
      <w:pPr>
        <w:pStyle w:val="NormalWeb"/>
        <w:shd w:val="clear" w:color="auto" w:fill="FFFFFF"/>
        <w:spacing w:before="150" w:beforeAutospacing="0" w:after="0" w:afterAutospacing="0"/>
        <w:rPr>
          <w:rFonts w:ascii="Segoe UI Semilight" w:hAnsi="Segoe UI Semilight" w:cs="Segoe UI Semilight"/>
          <w:color w:val="2C2B2B"/>
          <w:sz w:val="18"/>
          <w:szCs w:val="18"/>
        </w:rPr>
      </w:pPr>
      <w:r w:rsidRPr="0041135B">
        <w:rPr>
          <w:rFonts w:ascii="Segoe UI Semilight" w:hAnsi="Segoe UI Semilight" w:cs="Segoe UI Semilight"/>
          <w:noProof/>
          <w:color w:val="1772AF"/>
          <w:sz w:val="18"/>
          <w:szCs w:val="18"/>
        </w:rPr>
        <w:drawing>
          <wp:inline distT="0" distB="0" distL="0" distR="0" wp14:anchorId="65E7BD95" wp14:editId="20AC396B">
            <wp:extent cx="829945" cy="285115"/>
            <wp:effectExtent l="0" t="0" r="8255" b="635"/>
            <wp:docPr id="1" name="Picture 1" descr="ccby">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cby"/>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829945" cy="285115"/>
                    </a:xfrm>
                    <a:prstGeom prst="rect">
                      <a:avLst/>
                    </a:prstGeom>
                    <a:noFill/>
                    <a:ln>
                      <a:noFill/>
                    </a:ln>
                  </pic:spPr>
                </pic:pic>
              </a:graphicData>
            </a:graphic>
          </wp:inline>
        </w:drawing>
      </w:r>
    </w:p>
    <w:p w14:paraId="348D960D" w14:textId="77777777" w:rsidR="0041135B" w:rsidRPr="0041135B" w:rsidRDefault="0041135B" w:rsidP="0041135B">
      <w:pPr>
        <w:pStyle w:val="NormalWeb"/>
        <w:shd w:val="clear" w:color="auto" w:fill="FFFFFF"/>
        <w:spacing w:before="150" w:beforeAutospacing="0" w:after="0" w:afterAutospacing="0"/>
        <w:rPr>
          <w:rFonts w:ascii="Segoe UI Semilight" w:hAnsi="Segoe UI Semilight" w:cs="Segoe UI Semilight"/>
          <w:color w:val="2C2B2B"/>
          <w:sz w:val="18"/>
          <w:szCs w:val="18"/>
        </w:rPr>
      </w:pPr>
      <w:r w:rsidRPr="0041135B">
        <w:rPr>
          <w:rFonts w:ascii="Segoe UI Semilight" w:hAnsi="Segoe UI Semilight" w:cs="Segoe UI Semilight"/>
          <w:color w:val="2C2B2B"/>
          <w:sz w:val="18"/>
          <w:szCs w:val="18"/>
        </w:rPr>
        <w:t> </w:t>
      </w:r>
    </w:p>
    <w:p w14:paraId="36C2368F" w14:textId="77777777" w:rsidR="0041135B" w:rsidRPr="0041135B" w:rsidRDefault="0041135B" w:rsidP="0041135B">
      <w:pPr>
        <w:pStyle w:val="NormalWeb"/>
        <w:shd w:val="clear" w:color="auto" w:fill="FFFFFF"/>
        <w:spacing w:before="150" w:beforeAutospacing="0" w:after="0" w:afterAutospacing="0"/>
        <w:rPr>
          <w:rFonts w:ascii="Segoe UI Semilight" w:hAnsi="Segoe UI Semilight" w:cs="Segoe UI Semilight"/>
          <w:color w:val="2C2B2B"/>
          <w:sz w:val="18"/>
          <w:szCs w:val="18"/>
        </w:rPr>
      </w:pPr>
      <w:r w:rsidRPr="0041135B">
        <w:rPr>
          <w:rFonts w:ascii="Segoe UI Semilight" w:hAnsi="Segoe UI Semilight" w:cs="Segoe UI Semilight"/>
          <w:color w:val="2C2B2B"/>
          <w:sz w:val="18"/>
          <w:szCs w:val="18"/>
        </w:rPr>
        <w:t> </w:t>
      </w:r>
    </w:p>
    <w:p w14:paraId="53B3CA83" w14:textId="77777777" w:rsidR="0041135B" w:rsidRPr="0041135B" w:rsidRDefault="0041135B" w:rsidP="0041135B">
      <w:pPr>
        <w:pStyle w:val="NormalWeb"/>
        <w:shd w:val="clear" w:color="auto" w:fill="FFFFFF"/>
        <w:spacing w:before="150" w:beforeAutospacing="0" w:after="0" w:afterAutospacing="0"/>
        <w:rPr>
          <w:rFonts w:ascii="Segoe UI Semilight" w:hAnsi="Segoe UI Semilight" w:cs="Segoe UI Semilight"/>
          <w:color w:val="2C2B2B"/>
          <w:sz w:val="18"/>
          <w:szCs w:val="18"/>
        </w:rPr>
      </w:pPr>
      <w:r w:rsidRPr="0041135B">
        <w:rPr>
          <w:rStyle w:val="Strong"/>
          <w:rFonts w:ascii="Segoe UI Semilight" w:hAnsi="Segoe UI Semilight" w:cs="Segoe UI Semilight"/>
          <w:color w:val="2C2B2B"/>
          <w:sz w:val="18"/>
          <w:szCs w:val="18"/>
        </w:rPr>
        <w:t>Third party copyright</w:t>
      </w:r>
      <w:r w:rsidRPr="0041135B">
        <w:rPr>
          <w:rFonts w:ascii="Segoe UI Semilight" w:hAnsi="Segoe UI Semilight" w:cs="Segoe UI Semilight"/>
          <w:b/>
          <w:bCs/>
          <w:color w:val="2C2B2B"/>
          <w:sz w:val="18"/>
          <w:szCs w:val="18"/>
        </w:rPr>
        <w:br/>
      </w:r>
      <w:r w:rsidRPr="0041135B">
        <w:rPr>
          <w:rFonts w:ascii="Segoe UI Semilight" w:hAnsi="Segoe UI Semilight" w:cs="Segoe UI Semilight"/>
          <w:color w:val="2C2B2B"/>
          <w:sz w:val="18"/>
          <w:szCs w:val="18"/>
        </w:rPr>
        <w:t>Wherever a third party holds copyright in this material, the copyright remains with that party.  Their permission may be required to use the material. Please contact them directly.</w:t>
      </w:r>
    </w:p>
    <w:p w14:paraId="336CF721" w14:textId="77777777" w:rsidR="0041135B" w:rsidRPr="0041135B" w:rsidRDefault="0041135B" w:rsidP="0041135B">
      <w:pPr>
        <w:pStyle w:val="NormalWeb"/>
        <w:shd w:val="clear" w:color="auto" w:fill="FFFFFF"/>
        <w:spacing w:before="150" w:beforeAutospacing="0" w:after="0" w:afterAutospacing="0"/>
        <w:rPr>
          <w:rFonts w:ascii="Segoe UI Semilight" w:hAnsi="Segoe UI Semilight" w:cs="Segoe UI Semilight"/>
          <w:color w:val="2C2B2B"/>
          <w:sz w:val="18"/>
          <w:szCs w:val="18"/>
        </w:rPr>
      </w:pPr>
      <w:r w:rsidRPr="0041135B">
        <w:rPr>
          <w:rStyle w:val="Strong"/>
          <w:rFonts w:ascii="Segoe UI Semilight" w:hAnsi="Segoe UI Semilight" w:cs="Segoe UI Semilight"/>
          <w:color w:val="2C2B2B"/>
          <w:sz w:val="18"/>
          <w:szCs w:val="18"/>
        </w:rPr>
        <w:t>Attribution</w:t>
      </w:r>
      <w:r w:rsidRPr="0041135B">
        <w:rPr>
          <w:rFonts w:ascii="Segoe UI Semilight" w:hAnsi="Segoe UI Semilight" w:cs="Segoe UI Semilight"/>
          <w:b/>
          <w:bCs/>
          <w:color w:val="2C2B2B"/>
          <w:sz w:val="18"/>
          <w:szCs w:val="18"/>
        </w:rPr>
        <w:br/>
      </w:r>
      <w:r w:rsidRPr="0041135B">
        <w:rPr>
          <w:rFonts w:ascii="Segoe UI Semilight" w:hAnsi="Segoe UI Semilight" w:cs="Segoe UI Semilight"/>
          <w:color w:val="2C2B2B"/>
          <w:sz w:val="18"/>
          <w:szCs w:val="18"/>
        </w:rPr>
        <w:t>This publication should be attributed as follows:</w:t>
      </w:r>
    </w:p>
    <w:p w14:paraId="76518A45" w14:textId="77777777" w:rsidR="0041135B" w:rsidRPr="0041135B" w:rsidRDefault="0041135B" w:rsidP="0041135B">
      <w:pPr>
        <w:pStyle w:val="NormalWeb"/>
        <w:shd w:val="clear" w:color="auto" w:fill="FFFFFF"/>
        <w:spacing w:before="150" w:beforeAutospacing="0" w:after="0" w:afterAutospacing="0"/>
        <w:rPr>
          <w:rStyle w:val="Emphasis"/>
          <w:rFonts w:ascii="Segoe UI Semilight" w:hAnsi="Segoe UI Semilight" w:cs="Segoe UI Semilight"/>
        </w:rPr>
      </w:pPr>
      <w:r w:rsidRPr="0041135B">
        <w:rPr>
          <w:rFonts w:ascii="Segoe UI Semilight" w:hAnsi="Segoe UI Semilight" w:cs="Segoe UI Semilight"/>
          <w:color w:val="2C2B2B"/>
          <w:sz w:val="18"/>
          <w:szCs w:val="18"/>
        </w:rPr>
        <w:t xml:space="preserve">© Commonwealth of Australia, Department of the Prime Minister and Cabinet, Global Institute for Women’s Leadership and the Office for Women, </w:t>
      </w:r>
      <w:r w:rsidRPr="0041135B">
        <w:rPr>
          <w:rStyle w:val="Emphasis"/>
          <w:rFonts w:ascii="Segoe UI Semilight" w:hAnsi="Segoe UI Semilight" w:cs="Segoe UI Semilight"/>
          <w:color w:val="2C2B2B"/>
          <w:sz w:val="18"/>
          <w:szCs w:val="18"/>
        </w:rPr>
        <w:t>Evaluation of the National Women’s Alliances Model, 2023</w:t>
      </w:r>
    </w:p>
    <w:p w14:paraId="31327EBD" w14:textId="77777777" w:rsidR="0041135B" w:rsidRPr="0041135B" w:rsidRDefault="0041135B" w:rsidP="0041135B">
      <w:pPr>
        <w:pStyle w:val="NormalWeb"/>
        <w:shd w:val="clear" w:color="auto" w:fill="FFFFFF"/>
        <w:spacing w:before="150" w:beforeAutospacing="0" w:after="0" w:afterAutospacing="0"/>
        <w:rPr>
          <w:rFonts w:ascii="Segoe UI Semilight" w:hAnsi="Segoe UI Semilight" w:cs="Segoe UI Semilight"/>
        </w:rPr>
      </w:pPr>
      <w:r w:rsidRPr="0041135B">
        <w:rPr>
          <w:rStyle w:val="Strong"/>
          <w:rFonts w:ascii="Segoe UI Semilight" w:hAnsi="Segoe UI Semilight" w:cs="Segoe UI Semilight"/>
          <w:color w:val="2C2B2B"/>
          <w:sz w:val="18"/>
          <w:szCs w:val="18"/>
        </w:rPr>
        <w:t>Use of the Coat of Arms</w:t>
      </w:r>
      <w:r w:rsidRPr="0041135B">
        <w:rPr>
          <w:rFonts w:ascii="Segoe UI Semilight" w:hAnsi="Segoe UI Semilight" w:cs="Segoe UI Semilight"/>
          <w:b/>
          <w:bCs/>
          <w:color w:val="2C2B2B"/>
          <w:sz w:val="18"/>
          <w:szCs w:val="18"/>
        </w:rPr>
        <w:br/>
      </w:r>
      <w:r w:rsidRPr="0041135B">
        <w:rPr>
          <w:rFonts w:ascii="Segoe UI Semilight" w:hAnsi="Segoe UI Semilight" w:cs="Segoe UI Semilight"/>
          <w:color w:val="2C2B2B"/>
          <w:sz w:val="18"/>
          <w:szCs w:val="18"/>
        </w:rPr>
        <w:t>The terms under which the Coat of Arms can be used are detailed on the following website:</w:t>
      </w:r>
      <w:r w:rsidRPr="0041135B">
        <w:rPr>
          <w:rFonts w:ascii="Segoe UI Semilight" w:hAnsi="Segoe UI Semilight" w:cs="Segoe UI Semilight"/>
          <w:color w:val="2C2B2B"/>
          <w:sz w:val="18"/>
          <w:szCs w:val="18"/>
        </w:rPr>
        <w:br/>
      </w:r>
      <w:hyperlink r:id="rId19" w:history="1">
        <w:r w:rsidRPr="0041135B">
          <w:rPr>
            <w:rStyle w:val="Hyperlink"/>
            <w:rFonts w:ascii="Segoe UI Semilight" w:hAnsi="Segoe UI Semilight" w:cs="Segoe UI Semilight"/>
            <w:color w:val="1772AF"/>
            <w:sz w:val="18"/>
            <w:szCs w:val="18"/>
          </w:rPr>
          <w:t>https://pmc.gov.au/cca</w:t>
        </w:r>
      </w:hyperlink>
    </w:p>
    <w:p w14:paraId="1E947EB8" w14:textId="165F119C" w:rsidR="0041135B" w:rsidRDefault="0041135B" w:rsidP="0041135B">
      <w:pPr>
        <w:pStyle w:val="NormalWeb"/>
        <w:shd w:val="clear" w:color="auto" w:fill="FFFFFF"/>
        <w:spacing w:before="150" w:beforeAutospacing="0" w:after="240" w:afterAutospacing="0"/>
        <w:rPr>
          <w:rFonts w:ascii="Segoe UI Semilight" w:hAnsi="Segoe UI Semilight" w:cs="Segoe UI Semilight"/>
          <w:color w:val="2C2B2B"/>
          <w:sz w:val="18"/>
          <w:szCs w:val="18"/>
        </w:rPr>
      </w:pPr>
      <w:r w:rsidRPr="0041135B">
        <w:rPr>
          <w:rStyle w:val="Strong"/>
          <w:rFonts w:ascii="Segoe UI Semilight" w:hAnsi="Segoe UI Semilight" w:cs="Segoe UI Semilight"/>
          <w:color w:val="2C2B2B"/>
          <w:sz w:val="18"/>
          <w:szCs w:val="18"/>
        </w:rPr>
        <w:t>Other uses</w:t>
      </w:r>
      <w:r w:rsidRPr="0041135B">
        <w:rPr>
          <w:rFonts w:ascii="Segoe UI Semilight" w:hAnsi="Segoe UI Semilight" w:cs="Segoe UI Semilight"/>
          <w:b/>
          <w:bCs/>
          <w:color w:val="2C2B2B"/>
          <w:sz w:val="18"/>
          <w:szCs w:val="18"/>
        </w:rPr>
        <w:br/>
      </w:r>
      <w:r w:rsidRPr="0041135B">
        <w:rPr>
          <w:rFonts w:ascii="Segoe UI Semilight" w:hAnsi="Segoe UI Semilight" w:cs="Segoe UI Semilight"/>
          <w:color w:val="2C2B2B"/>
          <w:sz w:val="18"/>
          <w:szCs w:val="18"/>
        </w:rPr>
        <w:t>Enquiries regarding this document are welcome at:</w:t>
      </w:r>
    </w:p>
    <w:p w14:paraId="7F8CE711" w14:textId="0B10CCFB" w:rsidR="0041135B" w:rsidRPr="0041135B" w:rsidRDefault="0041135B" w:rsidP="0041135B">
      <w:pPr>
        <w:spacing w:after="0"/>
        <w:rPr>
          <w:rFonts w:ascii="Segoe UI Semilight" w:hAnsi="Segoe UI Semilight" w:cs="Segoe UI Semilight"/>
          <w:color w:val="2C2B2B"/>
          <w:sz w:val="18"/>
          <w:szCs w:val="18"/>
        </w:rPr>
      </w:pPr>
      <w:r w:rsidRPr="0041135B">
        <w:rPr>
          <w:rFonts w:ascii="Segoe UI Semilight" w:hAnsi="Segoe UI Semilight" w:cs="Segoe UI Semilight"/>
          <w:color w:val="2C2B2B"/>
          <w:sz w:val="18"/>
          <w:szCs w:val="18"/>
        </w:rPr>
        <w:t>Department of the Prime Minister and Cabinet</w:t>
      </w:r>
    </w:p>
    <w:p w14:paraId="5B8960E6" w14:textId="77777777" w:rsidR="0041135B" w:rsidRPr="0041135B" w:rsidRDefault="0041135B" w:rsidP="0041135B">
      <w:pPr>
        <w:spacing w:after="0" w:line="276" w:lineRule="auto"/>
        <w:rPr>
          <w:rFonts w:ascii="Segoe UI Semilight" w:hAnsi="Segoe UI Semilight" w:cs="Segoe UI Semilight"/>
          <w:color w:val="2C2B2B"/>
          <w:sz w:val="18"/>
          <w:szCs w:val="18"/>
        </w:rPr>
      </w:pPr>
      <w:r w:rsidRPr="0041135B">
        <w:rPr>
          <w:rFonts w:ascii="Segoe UI Semilight" w:hAnsi="Segoe UI Semilight" w:cs="Segoe UI Semilight"/>
          <w:color w:val="2C2B2B"/>
          <w:sz w:val="18"/>
          <w:szCs w:val="18"/>
        </w:rPr>
        <w:t>PO Box 6500</w:t>
      </w:r>
    </w:p>
    <w:p w14:paraId="40573CC8" w14:textId="77777777" w:rsidR="0041135B" w:rsidRPr="0041135B" w:rsidRDefault="0041135B" w:rsidP="0041135B">
      <w:pPr>
        <w:spacing w:after="0" w:line="276" w:lineRule="auto"/>
        <w:rPr>
          <w:rFonts w:ascii="Segoe UI Semilight" w:hAnsi="Segoe UI Semilight" w:cs="Segoe UI Semilight"/>
          <w:color w:val="2C2B2B"/>
          <w:sz w:val="18"/>
          <w:szCs w:val="18"/>
        </w:rPr>
      </w:pPr>
      <w:r w:rsidRPr="0041135B">
        <w:rPr>
          <w:rFonts w:ascii="Segoe UI Semilight" w:hAnsi="Segoe UI Semilight" w:cs="Segoe UI Semilight"/>
          <w:color w:val="2C2B2B"/>
          <w:sz w:val="18"/>
          <w:szCs w:val="18"/>
        </w:rPr>
        <w:t>Canberra ACT 2600</w:t>
      </w:r>
    </w:p>
    <w:p w14:paraId="06EBC58F" w14:textId="3EEDD42B" w:rsidR="0041135B" w:rsidRPr="0041135B" w:rsidRDefault="0041135B" w:rsidP="0041135B">
      <w:pPr>
        <w:spacing w:after="0" w:line="276" w:lineRule="auto"/>
        <w:rPr>
          <w:rFonts w:ascii="Segoe UI Semilight" w:hAnsi="Segoe UI Semilight" w:cs="Segoe UI Semilight"/>
          <w:color w:val="2C2B2B"/>
          <w:sz w:val="18"/>
          <w:szCs w:val="18"/>
        </w:rPr>
      </w:pPr>
      <w:r w:rsidRPr="0041135B">
        <w:rPr>
          <w:rFonts w:ascii="Segoe UI Semilight" w:hAnsi="Segoe UI Semilight" w:cs="Segoe UI Semilight"/>
          <w:color w:val="2C2B2B"/>
          <w:sz w:val="18"/>
          <w:szCs w:val="18"/>
        </w:rPr>
        <w:t>Australia</w:t>
      </w:r>
    </w:p>
    <w:p w14:paraId="1E06B978" w14:textId="1D126E46" w:rsidR="0041135B" w:rsidRPr="0041135B" w:rsidRDefault="0041135B" w:rsidP="0041135B">
      <w:pPr>
        <w:spacing w:after="0" w:line="276" w:lineRule="auto"/>
        <w:rPr>
          <w:rFonts w:ascii="Segoe UI Semilight" w:hAnsi="Segoe UI Semilight" w:cs="Segoe UI Semilight"/>
          <w:color w:val="2C2B2B"/>
          <w:sz w:val="18"/>
          <w:szCs w:val="18"/>
        </w:rPr>
      </w:pPr>
      <w:r>
        <w:rPr>
          <w:rFonts w:ascii="Segoe UI Semilight" w:hAnsi="Segoe UI Semilight" w:cs="Segoe UI Semilight"/>
          <w:color w:val="2C2B2B"/>
          <w:sz w:val="18"/>
          <w:szCs w:val="18"/>
        </w:rPr>
        <w:t xml:space="preserve">Telephone: </w:t>
      </w:r>
      <w:r w:rsidRPr="0041135B">
        <w:rPr>
          <w:rFonts w:ascii="Segoe UI Semilight" w:hAnsi="Segoe UI Semilight" w:cs="Segoe UI Semilight"/>
          <w:color w:val="2C2B2B"/>
          <w:sz w:val="18"/>
          <w:szCs w:val="18"/>
        </w:rPr>
        <w:t>02 6271 5111</w:t>
      </w:r>
    </w:p>
    <w:p w14:paraId="2EC00A1E" w14:textId="6B5292F3" w:rsidR="0041135B" w:rsidRPr="0041135B" w:rsidRDefault="0041135B" w:rsidP="0041135B">
      <w:pPr>
        <w:spacing w:after="0" w:line="276" w:lineRule="auto"/>
        <w:rPr>
          <w:rFonts w:ascii="Segoe UI Semilight" w:hAnsi="Segoe UI Semilight" w:cs="Segoe UI Semilight"/>
          <w:color w:val="2C2B2B"/>
          <w:sz w:val="18"/>
          <w:szCs w:val="18"/>
        </w:rPr>
      </w:pPr>
      <w:r w:rsidRPr="0041135B">
        <w:rPr>
          <w:rFonts w:ascii="Segoe UI Semilight" w:hAnsi="Segoe UI Semilight" w:cs="Segoe UI Semilight"/>
          <w:color w:val="2C2B2B"/>
          <w:sz w:val="18"/>
          <w:szCs w:val="18"/>
        </w:rPr>
        <w:t xml:space="preserve">Website: </w:t>
      </w:r>
      <w:hyperlink r:id="rId20" w:history="1">
        <w:r w:rsidRPr="0041135B">
          <w:rPr>
            <w:rStyle w:val="Hyperlink"/>
            <w:rFonts w:ascii="Segoe UI Semilight" w:hAnsi="Segoe UI Semilight" w:cs="Segoe UI Semilight"/>
            <w:sz w:val="18"/>
            <w:szCs w:val="18"/>
          </w:rPr>
          <w:t>www.pmc.gov.au</w:t>
        </w:r>
      </w:hyperlink>
      <w:r w:rsidRPr="0041135B">
        <w:rPr>
          <w:rFonts w:ascii="Segoe UI Semilight" w:hAnsi="Segoe UI Semilight" w:cs="Segoe UI Semilight"/>
          <w:color w:val="2C2B2B"/>
          <w:sz w:val="18"/>
          <w:szCs w:val="18"/>
        </w:rPr>
        <w:t xml:space="preserve"> </w:t>
      </w:r>
    </w:p>
    <w:p w14:paraId="2E8091B5" w14:textId="3CBC5447" w:rsidR="0041135B" w:rsidRDefault="0041135B" w:rsidP="0041135B">
      <w:pPr>
        <w:spacing w:after="0" w:line="288" w:lineRule="auto"/>
        <w:rPr>
          <w:b/>
          <w:bCs/>
          <w:noProof/>
        </w:rPr>
      </w:pPr>
      <w:r>
        <w:rPr>
          <w:b/>
          <w:bCs/>
          <w:noProof/>
        </w:rPr>
        <w:br w:type="page"/>
      </w:r>
    </w:p>
    <w:sdt>
      <w:sdtPr>
        <w:rPr>
          <w:rFonts w:asciiTheme="minorHAnsi" w:eastAsiaTheme="minorEastAsia" w:hAnsiTheme="minorHAnsi" w:cstheme="minorBidi"/>
          <w:color w:val="auto"/>
          <w:sz w:val="22"/>
          <w:szCs w:val="21"/>
        </w:rPr>
        <w:id w:val="-1632619507"/>
        <w:docPartObj>
          <w:docPartGallery w:val="Table of Contents"/>
          <w:docPartUnique/>
        </w:docPartObj>
      </w:sdtPr>
      <w:sdtEndPr>
        <w:rPr>
          <w:b/>
          <w:bCs/>
          <w:noProof/>
        </w:rPr>
      </w:sdtEndPr>
      <w:sdtContent>
        <w:p w14:paraId="61215D4C" w14:textId="77777777" w:rsidR="0041135B" w:rsidRDefault="0041135B" w:rsidP="0041135B">
          <w:pPr>
            <w:pStyle w:val="TOCHeading"/>
          </w:pPr>
          <w:r>
            <w:t>Contents</w:t>
          </w:r>
        </w:p>
        <w:p w14:paraId="580514D5" w14:textId="77777777" w:rsidR="0041135B" w:rsidRDefault="0041135B" w:rsidP="0041135B">
          <w:pPr>
            <w:pStyle w:val="TOC1"/>
            <w:tabs>
              <w:tab w:val="right" w:leader="dot" w:pos="9628"/>
            </w:tabs>
            <w:rPr>
              <w:noProof/>
              <w:szCs w:val="22"/>
              <w:lang w:eastAsia="en-AU"/>
            </w:rPr>
          </w:pPr>
          <w:r>
            <w:fldChar w:fldCharType="begin"/>
          </w:r>
          <w:r>
            <w:instrText xml:space="preserve"> TOC \o "1-3" \h \z \u </w:instrText>
          </w:r>
          <w:r>
            <w:fldChar w:fldCharType="separate"/>
          </w:r>
          <w:hyperlink w:anchor="_Toc141081520" w:history="1">
            <w:r w:rsidRPr="003C57E7">
              <w:rPr>
                <w:rStyle w:val="Hyperlink"/>
                <w:noProof/>
              </w:rPr>
              <w:t>Executive Summary</w:t>
            </w:r>
            <w:r>
              <w:rPr>
                <w:noProof/>
                <w:webHidden/>
              </w:rPr>
              <w:tab/>
            </w:r>
            <w:r>
              <w:rPr>
                <w:noProof/>
                <w:webHidden/>
              </w:rPr>
              <w:fldChar w:fldCharType="begin"/>
            </w:r>
            <w:r>
              <w:rPr>
                <w:noProof/>
                <w:webHidden/>
              </w:rPr>
              <w:instrText xml:space="preserve"> PAGEREF _Toc141081520 \h </w:instrText>
            </w:r>
            <w:r>
              <w:rPr>
                <w:noProof/>
                <w:webHidden/>
              </w:rPr>
            </w:r>
            <w:r>
              <w:rPr>
                <w:noProof/>
                <w:webHidden/>
              </w:rPr>
              <w:fldChar w:fldCharType="separate"/>
            </w:r>
            <w:r>
              <w:rPr>
                <w:noProof/>
                <w:webHidden/>
              </w:rPr>
              <w:t>1</w:t>
            </w:r>
            <w:r>
              <w:rPr>
                <w:noProof/>
                <w:webHidden/>
              </w:rPr>
              <w:fldChar w:fldCharType="end"/>
            </w:r>
          </w:hyperlink>
        </w:p>
        <w:p w14:paraId="55FD229E" w14:textId="77777777" w:rsidR="0041135B" w:rsidRDefault="007716DD" w:rsidP="0041135B">
          <w:pPr>
            <w:pStyle w:val="TOC2"/>
            <w:tabs>
              <w:tab w:val="right" w:leader="dot" w:pos="9628"/>
            </w:tabs>
            <w:rPr>
              <w:noProof/>
              <w:szCs w:val="22"/>
              <w:lang w:eastAsia="en-AU"/>
            </w:rPr>
          </w:pPr>
          <w:hyperlink w:anchor="_Toc141081521" w:history="1">
            <w:r w:rsidR="0041135B" w:rsidRPr="003C57E7">
              <w:rPr>
                <w:rStyle w:val="Hyperlink"/>
                <w:noProof/>
              </w:rPr>
              <w:t>Recommendations</w:t>
            </w:r>
            <w:r w:rsidR="0041135B">
              <w:rPr>
                <w:noProof/>
                <w:webHidden/>
              </w:rPr>
              <w:tab/>
            </w:r>
            <w:r w:rsidR="0041135B">
              <w:rPr>
                <w:noProof/>
                <w:webHidden/>
              </w:rPr>
              <w:fldChar w:fldCharType="begin"/>
            </w:r>
            <w:r w:rsidR="0041135B">
              <w:rPr>
                <w:noProof/>
                <w:webHidden/>
              </w:rPr>
              <w:instrText xml:space="preserve"> PAGEREF _Toc141081521 \h </w:instrText>
            </w:r>
            <w:r w:rsidR="0041135B">
              <w:rPr>
                <w:noProof/>
                <w:webHidden/>
              </w:rPr>
            </w:r>
            <w:r w:rsidR="0041135B">
              <w:rPr>
                <w:noProof/>
                <w:webHidden/>
              </w:rPr>
              <w:fldChar w:fldCharType="separate"/>
            </w:r>
            <w:r w:rsidR="0041135B">
              <w:rPr>
                <w:noProof/>
                <w:webHidden/>
              </w:rPr>
              <w:t>2</w:t>
            </w:r>
            <w:r w:rsidR="0041135B">
              <w:rPr>
                <w:noProof/>
                <w:webHidden/>
              </w:rPr>
              <w:fldChar w:fldCharType="end"/>
            </w:r>
          </w:hyperlink>
        </w:p>
        <w:p w14:paraId="6B25EF2C" w14:textId="77777777" w:rsidR="0041135B" w:rsidRDefault="007716DD" w:rsidP="0041135B">
          <w:pPr>
            <w:pStyle w:val="TOC3"/>
            <w:tabs>
              <w:tab w:val="right" w:leader="dot" w:pos="9628"/>
            </w:tabs>
            <w:rPr>
              <w:noProof/>
              <w:szCs w:val="22"/>
              <w:lang w:eastAsia="en-AU"/>
            </w:rPr>
          </w:pPr>
          <w:hyperlink w:anchor="_Toc141081522" w:history="1">
            <w:r w:rsidR="0041135B" w:rsidRPr="003C57E7">
              <w:rPr>
                <w:rStyle w:val="Hyperlink"/>
                <w:noProof/>
              </w:rPr>
              <w:t>Resourcing</w:t>
            </w:r>
            <w:r w:rsidR="0041135B">
              <w:rPr>
                <w:noProof/>
                <w:webHidden/>
              </w:rPr>
              <w:tab/>
            </w:r>
            <w:r w:rsidR="0041135B">
              <w:rPr>
                <w:noProof/>
                <w:webHidden/>
              </w:rPr>
              <w:fldChar w:fldCharType="begin"/>
            </w:r>
            <w:r w:rsidR="0041135B">
              <w:rPr>
                <w:noProof/>
                <w:webHidden/>
              </w:rPr>
              <w:instrText xml:space="preserve"> PAGEREF _Toc141081522 \h </w:instrText>
            </w:r>
            <w:r w:rsidR="0041135B">
              <w:rPr>
                <w:noProof/>
                <w:webHidden/>
              </w:rPr>
            </w:r>
            <w:r w:rsidR="0041135B">
              <w:rPr>
                <w:noProof/>
                <w:webHidden/>
              </w:rPr>
              <w:fldChar w:fldCharType="separate"/>
            </w:r>
            <w:r w:rsidR="0041135B">
              <w:rPr>
                <w:noProof/>
                <w:webHidden/>
              </w:rPr>
              <w:t>2</w:t>
            </w:r>
            <w:r w:rsidR="0041135B">
              <w:rPr>
                <w:noProof/>
                <w:webHidden/>
              </w:rPr>
              <w:fldChar w:fldCharType="end"/>
            </w:r>
          </w:hyperlink>
        </w:p>
        <w:p w14:paraId="29555AC7" w14:textId="77777777" w:rsidR="0041135B" w:rsidRDefault="007716DD" w:rsidP="0041135B">
          <w:pPr>
            <w:pStyle w:val="TOC3"/>
            <w:tabs>
              <w:tab w:val="right" w:leader="dot" w:pos="9628"/>
            </w:tabs>
            <w:rPr>
              <w:noProof/>
              <w:szCs w:val="22"/>
              <w:lang w:eastAsia="en-AU"/>
            </w:rPr>
          </w:pPr>
          <w:hyperlink w:anchor="_Toc141081523" w:history="1">
            <w:r w:rsidR="0041135B" w:rsidRPr="003C57E7">
              <w:rPr>
                <w:rStyle w:val="Hyperlink"/>
                <w:noProof/>
              </w:rPr>
              <w:t>Grant management</w:t>
            </w:r>
            <w:r w:rsidR="0041135B">
              <w:rPr>
                <w:noProof/>
                <w:webHidden/>
              </w:rPr>
              <w:tab/>
            </w:r>
            <w:r w:rsidR="0041135B">
              <w:rPr>
                <w:noProof/>
                <w:webHidden/>
              </w:rPr>
              <w:fldChar w:fldCharType="begin"/>
            </w:r>
            <w:r w:rsidR="0041135B">
              <w:rPr>
                <w:noProof/>
                <w:webHidden/>
              </w:rPr>
              <w:instrText xml:space="preserve"> PAGEREF _Toc141081523 \h </w:instrText>
            </w:r>
            <w:r w:rsidR="0041135B">
              <w:rPr>
                <w:noProof/>
                <w:webHidden/>
              </w:rPr>
            </w:r>
            <w:r w:rsidR="0041135B">
              <w:rPr>
                <w:noProof/>
                <w:webHidden/>
              </w:rPr>
              <w:fldChar w:fldCharType="separate"/>
            </w:r>
            <w:r w:rsidR="0041135B">
              <w:rPr>
                <w:noProof/>
                <w:webHidden/>
              </w:rPr>
              <w:t>2</w:t>
            </w:r>
            <w:r w:rsidR="0041135B">
              <w:rPr>
                <w:noProof/>
                <w:webHidden/>
              </w:rPr>
              <w:fldChar w:fldCharType="end"/>
            </w:r>
          </w:hyperlink>
        </w:p>
        <w:p w14:paraId="4A885E6E" w14:textId="77777777" w:rsidR="0041135B" w:rsidRDefault="007716DD" w:rsidP="0041135B">
          <w:pPr>
            <w:pStyle w:val="TOC3"/>
            <w:tabs>
              <w:tab w:val="right" w:leader="dot" w:pos="9628"/>
            </w:tabs>
            <w:rPr>
              <w:noProof/>
              <w:szCs w:val="22"/>
              <w:lang w:eastAsia="en-AU"/>
            </w:rPr>
          </w:pPr>
          <w:hyperlink w:anchor="_Toc141081524" w:history="1">
            <w:r w:rsidR="0041135B" w:rsidRPr="003C57E7">
              <w:rPr>
                <w:rStyle w:val="Hyperlink"/>
                <w:noProof/>
              </w:rPr>
              <w:t>Representation</w:t>
            </w:r>
            <w:r w:rsidR="0041135B">
              <w:rPr>
                <w:noProof/>
                <w:webHidden/>
              </w:rPr>
              <w:tab/>
            </w:r>
            <w:r w:rsidR="0041135B">
              <w:rPr>
                <w:noProof/>
                <w:webHidden/>
              </w:rPr>
              <w:fldChar w:fldCharType="begin"/>
            </w:r>
            <w:r w:rsidR="0041135B">
              <w:rPr>
                <w:noProof/>
                <w:webHidden/>
              </w:rPr>
              <w:instrText xml:space="preserve"> PAGEREF _Toc141081524 \h </w:instrText>
            </w:r>
            <w:r w:rsidR="0041135B">
              <w:rPr>
                <w:noProof/>
                <w:webHidden/>
              </w:rPr>
            </w:r>
            <w:r w:rsidR="0041135B">
              <w:rPr>
                <w:noProof/>
                <w:webHidden/>
              </w:rPr>
              <w:fldChar w:fldCharType="separate"/>
            </w:r>
            <w:r w:rsidR="0041135B">
              <w:rPr>
                <w:noProof/>
                <w:webHidden/>
              </w:rPr>
              <w:t>3</w:t>
            </w:r>
            <w:r w:rsidR="0041135B">
              <w:rPr>
                <w:noProof/>
                <w:webHidden/>
              </w:rPr>
              <w:fldChar w:fldCharType="end"/>
            </w:r>
          </w:hyperlink>
        </w:p>
        <w:p w14:paraId="6C9B8F81" w14:textId="77777777" w:rsidR="0041135B" w:rsidRDefault="007716DD" w:rsidP="0041135B">
          <w:pPr>
            <w:pStyle w:val="TOC3"/>
            <w:tabs>
              <w:tab w:val="right" w:leader="dot" w:pos="9628"/>
            </w:tabs>
            <w:rPr>
              <w:noProof/>
              <w:szCs w:val="22"/>
              <w:lang w:eastAsia="en-AU"/>
            </w:rPr>
          </w:pPr>
          <w:hyperlink w:anchor="_Toc141081525" w:history="1">
            <w:r w:rsidR="0041135B" w:rsidRPr="003C57E7">
              <w:rPr>
                <w:rStyle w:val="Hyperlink"/>
                <w:noProof/>
              </w:rPr>
              <w:t>Facilitating policy engagement</w:t>
            </w:r>
            <w:r w:rsidR="0041135B">
              <w:rPr>
                <w:noProof/>
                <w:webHidden/>
              </w:rPr>
              <w:tab/>
            </w:r>
            <w:r w:rsidR="0041135B">
              <w:rPr>
                <w:noProof/>
                <w:webHidden/>
              </w:rPr>
              <w:fldChar w:fldCharType="begin"/>
            </w:r>
            <w:r w:rsidR="0041135B">
              <w:rPr>
                <w:noProof/>
                <w:webHidden/>
              </w:rPr>
              <w:instrText xml:space="preserve"> PAGEREF _Toc141081525 \h </w:instrText>
            </w:r>
            <w:r w:rsidR="0041135B">
              <w:rPr>
                <w:noProof/>
                <w:webHidden/>
              </w:rPr>
            </w:r>
            <w:r w:rsidR="0041135B">
              <w:rPr>
                <w:noProof/>
                <w:webHidden/>
              </w:rPr>
              <w:fldChar w:fldCharType="separate"/>
            </w:r>
            <w:r w:rsidR="0041135B">
              <w:rPr>
                <w:noProof/>
                <w:webHidden/>
              </w:rPr>
              <w:t>3</w:t>
            </w:r>
            <w:r w:rsidR="0041135B">
              <w:rPr>
                <w:noProof/>
                <w:webHidden/>
              </w:rPr>
              <w:fldChar w:fldCharType="end"/>
            </w:r>
          </w:hyperlink>
        </w:p>
        <w:p w14:paraId="26DD3722" w14:textId="77777777" w:rsidR="0041135B" w:rsidRDefault="007716DD" w:rsidP="0041135B">
          <w:pPr>
            <w:pStyle w:val="TOC3"/>
            <w:tabs>
              <w:tab w:val="right" w:leader="dot" w:pos="9628"/>
            </w:tabs>
            <w:rPr>
              <w:noProof/>
              <w:szCs w:val="22"/>
              <w:lang w:eastAsia="en-AU"/>
            </w:rPr>
          </w:pPr>
          <w:hyperlink w:anchor="_Toc141081526" w:history="1">
            <w:r w:rsidR="0041135B" w:rsidRPr="003C57E7">
              <w:rPr>
                <w:rStyle w:val="Hyperlink"/>
                <w:noProof/>
              </w:rPr>
              <w:t>Inter-Alliance collaboration</w:t>
            </w:r>
            <w:r w:rsidR="0041135B">
              <w:rPr>
                <w:noProof/>
                <w:webHidden/>
              </w:rPr>
              <w:tab/>
            </w:r>
            <w:r w:rsidR="0041135B">
              <w:rPr>
                <w:noProof/>
                <w:webHidden/>
              </w:rPr>
              <w:fldChar w:fldCharType="begin"/>
            </w:r>
            <w:r w:rsidR="0041135B">
              <w:rPr>
                <w:noProof/>
                <w:webHidden/>
              </w:rPr>
              <w:instrText xml:space="preserve"> PAGEREF _Toc141081526 \h </w:instrText>
            </w:r>
            <w:r w:rsidR="0041135B">
              <w:rPr>
                <w:noProof/>
                <w:webHidden/>
              </w:rPr>
            </w:r>
            <w:r w:rsidR="0041135B">
              <w:rPr>
                <w:noProof/>
                <w:webHidden/>
              </w:rPr>
              <w:fldChar w:fldCharType="separate"/>
            </w:r>
            <w:r w:rsidR="0041135B">
              <w:rPr>
                <w:noProof/>
                <w:webHidden/>
              </w:rPr>
              <w:t>3</w:t>
            </w:r>
            <w:r w:rsidR="0041135B">
              <w:rPr>
                <w:noProof/>
                <w:webHidden/>
              </w:rPr>
              <w:fldChar w:fldCharType="end"/>
            </w:r>
          </w:hyperlink>
        </w:p>
        <w:p w14:paraId="0F98E327" w14:textId="77777777" w:rsidR="0041135B" w:rsidRDefault="007716DD" w:rsidP="0041135B">
          <w:pPr>
            <w:pStyle w:val="TOC1"/>
            <w:tabs>
              <w:tab w:val="right" w:leader="dot" w:pos="9628"/>
            </w:tabs>
            <w:rPr>
              <w:noProof/>
              <w:szCs w:val="22"/>
              <w:lang w:eastAsia="en-AU"/>
            </w:rPr>
          </w:pPr>
          <w:hyperlink w:anchor="_Toc141081527" w:history="1">
            <w:r w:rsidR="0041135B" w:rsidRPr="003C57E7">
              <w:rPr>
                <w:rStyle w:val="Hyperlink"/>
                <w:noProof/>
              </w:rPr>
              <w:t>Introduction</w:t>
            </w:r>
            <w:r w:rsidR="0041135B">
              <w:rPr>
                <w:noProof/>
                <w:webHidden/>
              </w:rPr>
              <w:tab/>
            </w:r>
            <w:r w:rsidR="0041135B">
              <w:rPr>
                <w:noProof/>
                <w:webHidden/>
              </w:rPr>
              <w:fldChar w:fldCharType="begin"/>
            </w:r>
            <w:r w:rsidR="0041135B">
              <w:rPr>
                <w:noProof/>
                <w:webHidden/>
              </w:rPr>
              <w:instrText xml:space="preserve"> PAGEREF _Toc141081527 \h </w:instrText>
            </w:r>
            <w:r w:rsidR="0041135B">
              <w:rPr>
                <w:noProof/>
                <w:webHidden/>
              </w:rPr>
            </w:r>
            <w:r w:rsidR="0041135B">
              <w:rPr>
                <w:noProof/>
                <w:webHidden/>
              </w:rPr>
              <w:fldChar w:fldCharType="separate"/>
            </w:r>
            <w:r w:rsidR="0041135B">
              <w:rPr>
                <w:noProof/>
                <w:webHidden/>
              </w:rPr>
              <w:t>4</w:t>
            </w:r>
            <w:r w:rsidR="0041135B">
              <w:rPr>
                <w:noProof/>
                <w:webHidden/>
              </w:rPr>
              <w:fldChar w:fldCharType="end"/>
            </w:r>
          </w:hyperlink>
        </w:p>
        <w:p w14:paraId="774F13CD" w14:textId="77777777" w:rsidR="0041135B" w:rsidRDefault="007716DD" w:rsidP="0041135B">
          <w:pPr>
            <w:pStyle w:val="TOC1"/>
            <w:tabs>
              <w:tab w:val="right" w:leader="dot" w:pos="9628"/>
            </w:tabs>
            <w:rPr>
              <w:noProof/>
              <w:szCs w:val="22"/>
              <w:lang w:eastAsia="en-AU"/>
            </w:rPr>
          </w:pPr>
          <w:hyperlink w:anchor="_Toc141081528" w:history="1">
            <w:r w:rsidR="0041135B" w:rsidRPr="003C57E7">
              <w:rPr>
                <w:rStyle w:val="Hyperlink"/>
                <w:noProof/>
              </w:rPr>
              <w:t>Methodology</w:t>
            </w:r>
            <w:r w:rsidR="0041135B">
              <w:rPr>
                <w:noProof/>
                <w:webHidden/>
              </w:rPr>
              <w:tab/>
            </w:r>
            <w:r w:rsidR="0041135B">
              <w:rPr>
                <w:noProof/>
                <w:webHidden/>
              </w:rPr>
              <w:fldChar w:fldCharType="begin"/>
            </w:r>
            <w:r w:rsidR="0041135B">
              <w:rPr>
                <w:noProof/>
                <w:webHidden/>
              </w:rPr>
              <w:instrText xml:space="preserve"> PAGEREF _Toc141081528 \h </w:instrText>
            </w:r>
            <w:r w:rsidR="0041135B">
              <w:rPr>
                <w:noProof/>
                <w:webHidden/>
              </w:rPr>
            </w:r>
            <w:r w:rsidR="0041135B">
              <w:rPr>
                <w:noProof/>
                <w:webHidden/>
              </w:rPr>
              <w:fldChar w:fldCharType="separate"/>
            </w:r>
            <w:r w:rsidR="0041135B">
              <w:rPr>
                <w:noProof/>
                <w:webHidden/>
              </w:rPr>
              <w:t>5</w:t>
            </w:r>
            <w:r w:rsidR="0041135B">
              <w:rPr>
                <w:noProof/>
                <w:webHidden/>
              </w:rPr>
              <w:fldChar w:fldCharType="end"/>
            </w:r>
          </w:hyperlink>
        </w:p>
        <w:p w14:paraId="2FB78800" w14:textId="77777777" w:rsidR="0041135B" w:rsidRDefault="007716DD" w:rsidP="0041135B">
          <w:pPr>
            <w:pStyle w:val="TOC1"/>
            <w:tabs>
              <w:tab w:val="right" w:leader="dot" w:pos="9628"/>
            </w:tabs>
            <w:rPr>
              <w:noProof/>
              <w:szCs w:val="22"/>
              <w:lang w:eastAsia="en-AU"/>
            </w:rPr>
          </w:pPr>
          <w:hyperlink w:anchor="_Toc141081529" w:history="1">
            <w:r w:rsidR="0041135B" w:rsidRPr="003C57E7">
              <w:rPr>
                <w:rStyle w:val="Hyperlink"/>
                <w:noProof/>
              </w:rPr>
              <w:t>Findings</w:t>
            </w:r>
            <w:r w:rsidR="0041135B">
              <w:rPr>
                <w:noProof/>
                <w:webHidden/>
              </w:rPr>
              <w:tab/>
            </w:r>
            <w:r w:rsidR="0041135B">
              <w:rPr>
                <w:noProof/>
                <w:webHidden/>
              </w:rPr>
              <w:fldChar w:fldCharType="begin"/>
            </w:r>
            <w:r w:rsidR="0041135B">
              <w:rPr>
                <w:noProof/>
                <w:webHidden/>
              </w:rPr>
              <w:instrText xml:space="preserve"> PAGEREF _Toc141081529 \h </w:instrText>
            </w:r>
            <w:r w:rsidR="0041135B">
              <w:rPr>
                <w:noProof/>
                <w:webHidden/>
              </w:rPr>
            </w:r>
            <w:r w:rsidR="0041135B">
              <w:rPr>
                <w:noProof/>
                <w:webHidden/>
              </w:rPr>
              <w:fldChar w:fldCharType="separate"/>
            </w:r>
            <w:r w:rsidR="0041135B">
              <w:rPr>
                <w:noProof/>
                <w:webHidden/>
              </w:rPr>
              <w:t>7</w:t>
            </w:r>
            <w:r w:rsidR="0041135B">
              <w:rPr>
                <w:noProof/>
                <w:webHidden/>
              </w:rPr>
              <w:fldChar w:fldCharType="end"/>
            </w:r>
          </w:hyperlink>
        </w:p>
        <w:p w14:paraId="2EE92A76" w14:textId="77777777" w:rsidR="0041135B" w:rsidRDefault="007716DD" w:rsidP="0041135B">
          <w:pPr>
            <w:pStyle w:val="TOC2"/>
            <w:tabs>
              <w:tab w:val="right" w:leader="dot" w:pos="9628"/>
            </w:tabs>
            <w:rPr>
              <w:noProof/>
              <w:szCs w:val="22"/>
              <w:lang w:eastAsia="en-AU"/>
            </w:rPr>
          </w:pPr>
          <w:hyperlink w:anchor="_Toc141081530" w:history="1">
            <w:r w:rsidR="0041135B" w:rsidRPr="003C57E7">
              <w:rPr>
                <w:rStyle w:val="Hyperlink"/>
                <w:noProof/>
              </w:rPr>
              <w:t>Model suitability</w:t>
            </w:r>
            <w:r w:rsidR="0041135B">
              <w:rPr>
                <w:noProof/>
                <w:webHidden/>
              </w:rPr>
              <w:tab/>
            </w:r>
            <w:r w:rsidR="0041135B">
              <w:rPr>
                <w:noProof/>
                <w:webHidden/>
              </w:rPr>
              <w:fldChar w:fldCharType="begin"/>
            </w:r>
            <w:r w:rsidR="0041135B">
              <w:rPr>
                <w:noProof/>
                <w:webHidden/>
              </w:rPr>
              <w:instrText xml:space="preserve"> PAGEREF _Toc141081530 \h </w:instrText>
            </w:r>
            <w:r w:rsidR="0041135B">
              <w:rPr>
                <w:noProof/>
                <w:webHidden/>
              </w:rPr>
            </w:r>
            <w:r w:rsidR="0041135B">
              <w:rPr>
                <w:noProof/>
                <w:webHidden/>
              </w:rPr>
              <w:fldChar w:fldCharType="separate"/>
            </w:r>
            <w:r w:rsidR="0041135B">
              <w:rPr>
                <w:noProof/>
                <w:webHidden/>
              </w:rPr>
              <w:t>7</w:t>
            </w:r>
            <w:r w:rsidR="0041135B">
              <w:rPr>
                <w:noProof/>
                <w:webHidden/>
              </w:rPr>
              <w:fldChar w:fldCharType="end"/>
            </w:r>
          </w:hyperlink>
        </w:p>
        <w:p w14:paraId="420ECF21" w14:textId="77777777" w:rsidR="0041135B" w:rsidRDefault="007716DD" w:rsidP="0041135B">
          <w:pPr>
            <w:pStyle w:val="TOC3"/>
            <w:tabs>
              <w:tab w:val="right" w:leader="dot" w:pos="9628"/>
            </w:tabs>
            <w:rPr>
              <w:noProof/>
              <w:szCs w:val="22"/>
              <w:lang w:eastAsia="en-AU"/>
            </w:rPr>
          </w:pPr>
          <w:hyperlink w:anchor="_Toc141081531" w:history="1">
            <w:r w:rsidR="0041135B" w:rsidRPr="003C57E7">
              <w:rPr>
                <w:rStyle w:val="Hyperlink"/>
                <w:noProof/>
              </w:rPr>
              <w:t>Key conclusions:</w:t>
            </w:r>
            <w:r w:rsidR="0041135B">
              <w:rPr>
                <w:noProof/>
                <w:webHidden/>
              </w:rPr>
              <w:tab/>
            </w:r>
            <w:r w:rsidR="0041135B">
              <w:rPr>
                <w:noProof/>
                <w:webHidden/>
              </w:rPr>
              <w:fldChar w:fldCharType="begin"/>
            </w:r>
            <w:r w:rsidR="0041135B">
              <w:rPr>
                <w:noProof/>
                <w:webHidden/>
              </w:rPr>
              <w:instrText xml:space="preserve"> PAGEREF _Toc141081531 \h </w:instrText>
            </w:r>
            <w:r w:rsidR="0041135B">
              <w:rPr>
                <w:noProof/>
                <w:webHidden/>
              </w:rPr>
            </w:r>
            <w:r w:rsidR="0041135B">
              <w:rPr>
                <w:noProof/>
                <w:webHidden/>
              </w:rPr>
              <w:fldChar w:fldCharType="separate"/>
            </w:r>
            <w:r w:rsidR="0041135B">
              <w:rPr>
                <w:noProof/>
                <w:webHidden/>
              </w:rPr>
              <w:t>7</w:t>
            </w:r>
            <w:r w:rsidR="0041135B">
              <w:rPr>
                <w:noProof/>
                <w:webHidden/>
              </w:rPr>
              <w:fldChar w:fldCharType="end"/>
            </w:r>
          </w:hyperlink>
        </w:p>
        <w:p w14:paraId="4D2CEBCC" w14:textId="77777777" w:rsidR="0041135B" w:rsidRDefault="007716DD" w:rsidP="0041135B">
          <w:pPr>
            <w:pStyle w:val="TOC3"/>
            <w:tabs>
              <w:tab w:val="right" w:leader="dot" w:pos="9628"/>
            </w:tabs>
            <w:rPr>
              <w:noProof/>
              <w:szCs w:val="22"/>
              <w:lang w:eastAsia="en-AU"/>
            </w:rPr>
          </w:pPr>
          <w:hyperlink w:anchor="_Toc141081532" w:history="1">
            <w:r w:rsidR="0041135B" w:rsidRPr="003C57E7">
              <w:rPr>
                <w:rStyle w:val="Hyperlink"/>
                <w:noProof/>
              </w:rPr>
              <w:t>Purpose</w:t>
            </w:r>
            <w:r w:rsidR="0041135B">
              <w:rPr>
                <w:noProof/>
                <w:webHidden/>
              </w:rPr>
              <w:tab/>
            </w:r>
            <w:r w:rsidR="0041135B">
              <w:rPr>
                <w:noProof/>
                <w:webHidden/>
              </w:rPr>
              <w:fldChar w:fldCharType="begin"/>
            </w:r>
            <w:r w:rsidR="0041135B">
              <w:rPr>
                <w:noProof/>
                <w:webHidden/>
              </w:rPr>
              <w:instrText xml:space="preserve"> PAGEREF _Toc141081532 \h </w:instrText>
            </w:r>
            <w:r w:rsidR="0041135B">
              <w:rPr>
                <w:noProof/>
                <w:webHidden/>
              </w:rPr>
            </w:r>
            <w:r w:rsidR="0041135B">
              <w:rPr>
                <w:noProof/>
                <w:webHidden/>
              </w:rPr>
              <w:fldChar w:fldCharType="separate"/>
            </w:r>
            <w:r w:rsidR="0041135B">
              <w:rPr>
                <w:noProof/>
                <w:webHidden/>
              </w:rPr>
              <w:t>7</w:t>
            </w:r>
            <w:r w:rsidR="0041135B">
              <w:rPr>
                <w:noProof/>
                <w:webHidden/>
              </w:rPr>
              <w:fldChar w:fldCharType="end"/>
            </w:r>
          </w:hyperlink>
        </w:p>
        <w:p w14:paraId="4F5EBD89" w14:textId="77777777" w:rsidR="0041135B" w:rsidRDefault="007716DD" w:rsidP="0041135B">
          <w:pPr>
            <w:pStyle w:val="TOC3"/>
            <w:tabs>
              <w:tab w:val="right" w:leader="dot" w:pos="9628"/>
            </w:tabs>
            <w:rPr>
              <w:noProof/>
              <w:szCs w:val="22"/>
              <w:lang w:eastAsia="en-AU"/>
            </w:rPr>
          </w:pPr>
          <w:hyperlink w:anchor="_Toc141081533" w:history="1">
            <w:r w:rsidR="0041135B" w:rsidRPr="003C57E7">
              <w:rPr>
                <w:rStyle w:val="Hyperlink"/>
                <w:noProof/>
              </w:rPr>
              <w:t>Representation</w:t>
            </w:r>
            <w:r w:rsidR="0041135B">
              <w:rPr>
                <w:noProof/>
                <w:webHidden/>
              </w:rPr>
              <w:tab/>
            </w:r>
            <w:r w:rsidR="0041135B">
              <w:rPr>
                <w:noProof/>
                <w:webHidden/>
              </w:rPr>
              <w:fldChar w:fldCharType="begin"/>
            </w:r>
            <w:r w:rsidR="0041135B">
              <w:rPr>
                <w:noProof/>
                <w:webHidden/>
              </w:rPr>
              <w:instrText xml:space="preserve"> PAGEREF _Toc141081533 \h </w:instrText>
            </w:r>
            <w:r w:rsidR="0041135B">
              <w:rPr>
                <w:noProof/>
                <w:webHidden/>
              </w:rPr>
            </w:r>
            <w:r w:rsidR="0041135B">
              <w:rPr>
                <w:noProof/>
                <w:webHidden/>
              </w:rPr>
              <w:fldChar w:fldCharType="separate"/>
            </w:r>
            <w:r w:rsidR="0041135B">
              <w:rPr>
                <w:noProof/>
                <w:webHidden/>
              </w:rPr>
              <w:t>8</w:t>
            </w:r>
            <w:r w:rsidR="0041135B">
              <w:rPr>
                <w:noProof/>
                <w:webHidden/>
              </w:rPr>
              <w:fldChar w:fldCharType="end"/>
            </w:r>
          </w:hyperlink>
        </w:p>
        <w:p w14:paraId="009A151A" w14:textId="77777777" w:rsidR="0041135B" w:rsidRDefault="007716DD" w:rsidP="0041135B">
          <w:pPr>
            <w:pStyle w:val="TOC3"/>
            <w:tabs>
              <w:tab w:val="right" w:leader="dot" w:pos="9628"/>
            </w:tabs>
            <w:rPr>
              <w:noProof/>
              <w:szCs w:val="22"/>
              <w:lang w:eastAsia="en-AU"/>
            </w:rPr>
          </w:pPr>
          <w:hyperlink w:anchor="_Toc141081534" w:history="1">
            <w:r w:rsidR="0041135B" w:rsidRPr="003C57E7">
              <w:rPr>
                <w:rStyle w:val="Hyperlink"/>
                <w:noProof/>
              </w:rPr>
              <w:t>Collaboration</w:t>
            </w:r>
            <w:r w:rsidR="0041135B">
              <w:rPr>
                <w:noProof/>
                <w:webHidden/>
              </w:rPr>
              <w:tab/>
            </w:r>
            <w:r w:rsidR="0041135B">
              <w:rPr>
                <w:noProof/>
                <w:webHidden/>
              </w:rPr>
              <w:fldChar w:fldCharType="begin"/>
            </w:r>
            <w:r w:rsidR="0041135B">
              <w:rPr>
                <w:noProof/>
                <w:webHidden/>
              </w:rPr>
              <w:instrText xml:space="preserve"> PAGEREF _Toc141081534 \h </w:instrText>
            </w:r>
            <w:r w:rsidR="0041135B">
              <w:rPr>
                <w:noProof/>
                <w:webHidden/>
              </w:rPr>
            </w:r>
            <w:r w:rsidR="0041135B">
              <w:rPr>
                <w:noProof/>
                <w:webHidden/>
              </w:rPr>
              <w:fldChar w:fldCharType="separate"/>
            </w:r>
            <w:r w:rsidR="0041135B">
              <w:rPr>
                <w:noProof/>
                <w:webHidden/>
              </w:rPr>
              <w:t>10</w:t>
            </w:r>
            <w:r w:rsidR="0041135B">
              <w:rPr>
                <w:noProof/>
                <w:webHidden/>
              </w:rPr>
              <w:fldChar w:fldCharType="end"/>
            </w:r>
          </w:hyperlink>
        </w:p>
        <w:p w14:paraId="3228423D" w14:textId="77777777" w:rsidR="0041135B" w:rsidRDefault="007716DD" w:rsidP="0041135B">
          <w:pPr>
            <w:pStyle w:val="TOC3"/>
            <w:tabs>
              <w:tab w:val="right" w:leader="dot" w:pos="9628"/>
            </w:tabs>
            <w:rPr>
              <w:noProof/>
              <w:szCs w:val="22"/>
              <w:lang w:eastAsia="en-AU"/>
            </w:rPr>
          </w:pPr>
          <w:hyperlink w:anchor="_Toc141081535" w:history="1">
            <w:r w:rsidR="0041135B" w:rsidRPr="003C57E7">
              <w:rPr>
                <w:rStyle w:val="Hyperlink"/>
                <w:noProof/>
              </w:rPr>
              <w:t>Resourcing</w:t>
            </w:r>
            <w:r w:rsidR="0041135B">
              <w:rPr>
                <w:noProof/>
                <w:webHidden/>
              </w:rPr>
              <w:tab/>
            </w:r>
            <w:r w:rsidR="0041135B">
              <w:rPr>
                <w:noProof/>
                <w:webHidden/>
              </w:rPr>
              <w:fldChar w:fldCharType="begin"/>
            </w:r>
            <w:r w:rsidR="0041135B">
              <w:rPr>
                <w:noProof/>
                <w:webHidden/>
              </w:rPr>
              <w:instrText xml:space="preserve"> PAGEREF _Toc141081535 \h </w:instrText>
            </w:r>
            <w:r w:rsidR="0041135B">
              <w:rPr>
                <w:noProof/>
                <w:webHidden/>
              </w:rPr>
            </w:r>
            <w:r w:rsidR="0041135B">
              <w:rPr>
                <w:noProof/>
                <w:webHidden/>
              </w:rPr>
              <w:fldChar w:fldCharType="separate"/>
            </w:r>
            <w:r w:rsidR="0041135B">
              <w:rPr>
                <w:noProof/>
                <w:webHidden/>
              </w:rPr>
              <w:t>12</w:t>
            </w:r>
            <w:r w:rsidR="0041135B">
              <w:rPr>
                <w:noProof/>
                <w:webHidden/>
              </w:rPr>
              <w:fldChar w:fldCharType="end"/>
            </w:r>
          </w:hyperlink>
        </w:p>
        <w:p w14:paraId="4D81F60D" w14:textId="77777777" w:rsidR="0041135B" w:rsidRDefault="007716DD" w:rsidP="0041135B">
          <w:pPr>
            <w:pStyle w:val="TOC2"/>
            <w:tabs>
              <w:tab w:val="right" w:leader="dot" w:pos="9628"/>
            </w:tabs>
            <w:rPr>
              <w:noProof/>
              <w:szCs w:val="22"/>
              <w:lang w:eastAsia="en-AU"/>
            </w:rPr>
          </w:pPr>
          <w:hyperlink w:anchor="_Toc141081536" w:history="1">
            <w:r w:rsidR="0041135B" w:rsidRPr="003C57E7">
              <w:rPr>
                <w:rStyle w:val="Hyperlink"/>
                <w:noProof/>
              </w:rPr>
              <w:t>Recent changes</w:t>
            </w:r>
            <w:r w:rsidR="0041135B">
              <w:rPr>
                <w:noProof/>
                <w:webHidden/>
              </w:rPr>
              <w:tab/>
            </w:r>
            <w:r w:rsidR="0041135B">
              <w:rPr>
                <w:noProof/>
                <w:webHidden/>
              </w:rPr>
              <w:fldChar w:fldCharType="begin"/>
            </w:r>
            <w:r w:rsidR="0041135B">
              <w:rPr>
                <w:noProof/>
                <w:webHidden/>
              </w:rPr>
              <w:instrText xml:space="preserve"> PAGEREF _Toc141081536 \h </w:instrText>
            </w:r>
            <w:r w:rsidR="0041135B">
              <w:rPr>
                <w:noProof/>
                <w:webHidden/>
              </w:rPr>
            </w:r>
            <w:r w:rsidR="0041135B">
              <w:rPr>
                <w:noProof/>
                <w:webHidden/>
              </w:rPr>
              <w:fldChar w:fldCharType="separate"/>
            </w:r>
            <w:r w:rsidR="0041135B">
              <w:rPr>
                <w:noProof/>
                <w:webHidden/>
              </w:rPr>
              <w:t>13</w:t>
            </w:r>
            <w:r w:rsidR="0041135B">
              <w:rPr>
                <w:noProof/>
                <w:webHidden/>
              </w:rPr>
              <w:fldChar w:fldCharType="end"/>
            </w:r>
          </w:hyperlink>
        </w:p>
        <w:p w14:paraId="0DC9388A" w14:textId="77777777" w:rsidR="0041135B" w:rsidRDefault="007716DD" w:rsidP="0041135B">
          <w:pPr>
            <w:pStyle w:val="TOC3"/>
            <w:tabs>
              <w:tab w:val="right" w:leader="dot" w:pos="9628"/>
            </w:tabs>
            <w:rPr>
              <w:noProof/>
              <w:szCs w:val="22"/>
              <w:lang w:eastAsia="en-AU"/>
            </w:rPr>
          </w:pPr>
          <w:hyperlink w:anchor="_Toc141081537" w:history="1">
            <w:r w:rsidR="0041135B" w:rsidRPr="003C57E7">
              <w:rPr>
                <w:rStyle w:val="Hyperlink"/>
                <w:noProof/>
              </w:rPr>
              <w:t>Key conclusions:</w:t>
            </w:r>
            <w:r w:rsidR="0041135B">
              <w:rPr>
                <w:noProof/>
                <w:webHidden/>
              </w:rPr>
              <w:tab/>
            </w:r>
            <w:r w:rsidR="0041135B">
              <w:rPr>
                <w:noProof/>
                <w:webHidden/>
              </w:rPr>
              <w:fldChar w:fldCharType="begin"/>
            </w:r>
            <w:r w:rsidR="0041135B">
              <w:rPr>
                <w:noProof/>
                <w:webHidden/>
              </w:rPr>
              <w:instrText xml:space="preserve"> PAGEREF _Toc141081537 \h </w:instrText>
            </w:r>
            <w:r w:rsidR="0041135B">
              <w:rPr>
                <w:noProof/>
                <w:webHidden/>
              </w:rPr>
            </w:r>
            <w:r w:rsidR="0041135B">
              <w:rPr>
                <w:noProof/>
                <w:webHidden/>
              </w:rPr>
              <w:fldChar w:fldCharType="separate"/>
            </w:r>
            <w:r w:rsidR="0041135B">
              <w:rPr>
                <w:noProof/>
                <w:webHidden/>
              </w:rPr>
              <w:t>13</w:t>
            </w:r>
            <w:r w:rsidR="0041135B">
              <w:rPr>
                <w:noProof/>
                <w:webHidden/>
              </w:rPr>
              <w:fldChar w:fldCharType="end"/>
            </w:r>
          </w:hyperlink>
        </w:p>
        <w:p w14:paraId="7B8ABFD3" w14:textId="77777777" w:rsidR="0041135B" w:rsidRDefault="007716DD" w:rsidP="0041135B">
          <w:pPr>
            <w:pStyle w:val="TOC3"/>
            <w:tabs>
              <w:tab w:val="right" w:leader="dot" w:pos="9628"/>
            </w:tabs>
            <w:rPr>
              <w:noProof/>
              <w:szCs w:val="22"/>
              <w:lang w:eastAsia="en-AU"/>
            </w:rPr>
          </w:pPr>
          <w:hyperlink w:anchor="_Toc141081538" w:history="1">
            <w:r w:rsidR="0041135B" w:rsidRPr="003C57E7">
              <w:rPr>
                <w:rStyle w:val="Hyperlink"/>
                <w:noProof/>
              </w:rPr>
              <w:t>Composition of Alliances</w:t>
            </w:r>
            <w:r w:rsidR="0041135B">
              <w:rPr>
                <w:noProof/>
                <w:webHidden/>
              </w:rPr>
              <w:tab/>
            </w:r>
            <w:r w:rsidR="0041135B">
              <w:rPr>
                <w:noProof/>
                <w:webHidden/>
              </w:rPr>
              <w:fldChar w:fldCharType="begin"/>
            </w:r>
            <w:r w:rsidR="0041135B">
              <w:rPr>
                <w:noProof/>
                <w:webHidden/>
              </w:rPr>
              <w:instrText xml:space="preserve"> PAGEREF _Toc141081538 \h </w:instrText>
            </w:r>
            <w:r w:rsidR="0041135B">
              <w:rPr>
                <w:noProof/>
                <w:webHidden/>
              </w:rPr>
            </w:r>
            <w:r w:rsidR="0041135B">
              <w:rPr>
                <w:noProof/>
                <w:webHidden/>
              </w:rPr>
              <w:fldChar w:fldCharType="separate"/>
            </w:r>
            <w:r w:rsidR="0041135B">
              <w:rPr>
                <w:noProof/>
                <w:webHidden/>
              </w:rPr>
              <w:t>13</w:t>
            </w:r>
            <w:r w:rsidR="0041135B">
              <w:rPr>
                <w:noProof/>
                <w:webHidden/>
              </w:rPr>
              <w:fldChar w:fldCharType="end"/>
            </w:r>
          </w:hyperlink>
        </w:p>
        <w:p w14:paraId="14EDFC9D" w14:textId="77777777" w:rsidR="0041135B" w:rsidRDefault="007716DD" w:rsidP="0041135B">
          <w:pPr>
            <w:pStyle w:val="TOC3"/>
            <w:tabs>
              <w:tab w:val="right" w:leader="dot" w:pos="9628"/>
            </w:tabs>
            <w:rPr>
              <w:noProof/>
              <w:szCs w:val="22"/>
              <w:lang w:eastAsia="en-AU"/>
            </w:rPr>
          </w:pPr>
          <w:hyperlink w:anchor="_Toc141081539" w:history="1">
            <w:r w:rsidR="0041135B" w:rsidRPr="003C57E7">
              <w:rPr>
                <w:rStyle w:val="Hyperlink"/>
                <w:noProof/>
              </w:rPr>
              <w:t>Grant management</w:t>
            </w:r>
            <w:r w:rsidR="0041135B">
              <w:rPr>
                <w:noProof/>
                <w:webHidden/>
              </w:rPr>
              <w:tab/>
            </w:r>
            <w:r w:rsidR="0041135B">
              <w:rPr>
                <w:noProof/>
                <w:webHidden/>
              </w:rPr>
              <w:fldChar w:fldCharType="begin"/>
            </w:r>
            <w:r w:rsidR="0041135B">
              <w:rPr>
                <w:noProof/>
                <w:webHidden/>
              </w:rPr>
              <w:instrText xml:space="preserve"> PAGEREF _Toc141081539 \h </w:instrText>
            </w:r>
            <w:r w:rsidR="0041135B">
              <w:rPr>
                <w:noProof/>
                <w:webHidden/>
              </w:rPr>
            </w:r>
            <w:r w:rsidR="0041135B">
              <w:rPr>
                <w:noProof/>
                <w:webHidden/>
              </w:rPr>
              <w:fldChar w:fldCharType="separate"/>
            </w:r>
            <w:r w:rsidR="0041135B">
              <w:rPr>
                <w:noProof/>
                <w:webHidden/>
              </w:rPr>
              <w:t>14</w:t>
            </w:r>
            <w:r w:rsidR="0041135B">
              <w:rPr>
                <w:noProof/>
                <w:webHidden/>
              </w:rPr>
              <w:fldChar w:fldCharType="end"/>
            </w:r>
          </w:hyperlink>
        </w:p>
        <w:p w14:paraId="0900C95D" w14:textId="77777777" w:rsidR="0041135B" w:rsidRDefault="007716DD" w:rsidP="0041135B">
          <w:pPr>
            <w:pStyle w:val="TOC2"/>
            <w:tabs>
              <w:tab w:val="right" w:leader="dot" w:pos="9628"/>
            </w:tabs>
            <w:rPr>
              <w:noProof/>
              <w:szCs w:val="22"/>
              <w:lang w:eastAsia="en-AU"/>
            </w:rPr>
          </w:pPr>
          <w:hyperlink w:anchor="_Toc141081540" w:history="1">
            <w:r w:rsidR="0041135B" w:rsidRPr="003C57E7">
              <w:rPr>
                <w:rStyle w:val="Hyperlink"/>
                <w:noProof/>
              </w:rPr>
              <w:t>Model adaptation</w:t>
            </w:r>
            <w:r w:rsidR="0041135B">
              <w:rPr>
                <w:noProof/>
                <w:webHidden/>
              </w:rPr>
              <w:tab/>
            </w:r>
            <w:r w:rsidR="0041135B">
              <w:rPr>
                <w:noProof/>
                <w:webHidden/>
              </w:rPr>
              <w:fldChar w:fldCharType="begin"/>
            </w:r>
            <w:r w:rsidR="0041135B">
              <w:rPr>
                <w:noProof/>
                <w:webHidden/>
              </w:rPr>
              <w:instrText xml:space="preserve"> PAGEREF _Toc141081540 \h </w:instrText>
            </w:r>
            <w:r w:rsidR="0041135B">
              <w:rPr>
                <w:noProof/>
                <w:webHidden/>
              </w:rPr>
            </w:r>
            <w:r w:rsidR="0041135B">
              <w:rPr>
                <w:noProof/>
                <w:webHidden/>
              </w:rPr>
              <w:fldChar w:fldCharType="separate"/>
            </w:r>
            <w:r w:rsidR="0041135B">
              <w:rPr>
                <w:noProof/>
                <w:webHidden/>
              </w:rPr>
              <w:t>15</w:t>
            </w:r>
            <w:r w:rsidR="0041135B">
              <w:rPr>
                <w:noProof/>
                <w:webHidden/>
              </w:rPr>
              <w:fldChar w:fldCharType="end"/>
            </w:r>
          </w:hyperlink>
        </w:p>
        <w:p w14:paraId="7E399C58" w14:textId="77777777" w:rsidR="0041135B" w:rsidRDefault="007716DD" w:rsidP="0041135B">
          <w:pPr>
            <w:pStyle w:val="TOC3"/>
            <w:tabs>
              <w:tab w:val="right" w:leader="dot" w:pos="9628"/>
            </w:tabs>
            <w:rPr>
              <w:noProof/>
              <w:szCs w:val="22"/>
              <w:lang w:eastAsia="en-AU"/>
            </w:rPr>
          </w:pPr>
          <w:hyperlink w:anchor="_Toc141081541" w:history="1">
            <w:r w:rsidR="0041135B" w:rsidRPr="003C57E7">
              <w:rPr>
                <w:rStyle w:val="Hyperlink"/>
                <w:noProof/>
              </w:rPr>
              <w:t>Key conclusions:</w:t>
            </w:r>
            <w:r w:rsidR="0041135B">
              <w:rPr>
                <w:noProof/>
                <w:webHidden/>
              </w:rPr>
              <w:tab/>
            </w:r>
            <w:r w:rsidR="0041135B">
              <w:rPr>
                <w:noProof/>
                <w:webHidden/>
              </w:rPr>
              <w:fldChar w:fldCharType="begin"/>
            </w:r>
            <w:r w:rsidR="0041135B">
              <w:rPr>
                <w:noProof/>
                <w:webHidden/>
              </w:rPr>
              <w:instrText xml:space="preserve"> PAGEREF _Toc141081541 \h </w:instrText>
            </w:r>
            <w:r w:rsidR="0041135B">
              <w:rPr>
                <w:noProof/>
                <w:webHidden/>
              </w:rPr>
            </w:r>
            <w:r w:rsidR="0041135B">
              <w:rPr>
                <w:noProof/>
                <w:webHidden/>
              </w:rPr>
              <w:fldChar w:fldCharType="separate"/>
            </w:r>
            <w:r w:rsidR="0041135B">
              <w:rPr>
                <w:noProof/>
                <w:webHidden/>
              </w:rPr>
              <w:t>15</w:t>
            </w:r>
            <w:r w:rsidR="0041135B">
              <w:rPr>
                <w:noProof/>
                <w:webHidden/>
              </w:rPr>
              <w:fldChar w:fldCharType="end"/>
            </w:r>
          </w:hyperlink>
        </w:p>
        <w:p w14:paraId="032FD894" w14:textId="77777777" w:rsidR="0041135B" w:rsidRDefault="007716DD" w:rsidP="0041135B">
          <w:pPr>
            <w:pStyle w:val="TOC3"/>
            <w:tabs>
              <w:tab w:val="right" w:leader="dot" w:pos="9628"/>
            </w:tabs>
            <w:rPr>
              <w:noProof/>
              <w:szCs w:val="22"/>
              <w:lang w:eastAsia="en-AU"/>
            </w:rPr>
          </w:pPr>
          <w:hyperlink w:anchor="_Toc141081542" w:history="1">
            <w:r w:rsidR="0041135B" w:rsidRPr="003C57E7">
              <w:rPr>
                <w:rStyle w:val="Hyperlink"/>
                <w:noProof/>
              </w:rPr>
              <w:t>Activities undertaken</w:t>
            </w:r>
            <w:r w:rsidR="0041135B">
              <w:rPr>
                <w:noProof/>
                <w:webHidden/>
              </w:rPr>
              <w:tab/>
            </w:r>
            <w:r w:rsidR="0041135B">
              <w:rPr>
                <w:noProof/>
                <w:webHidden/>
              </w:rPr>
              <w:fldChar w:fldCharType="begin"/>
            </w:r>
            <w:r w:rsidR="0041135B">
              <w:rPr>
                <w:noProof/>
                <w:webHidden/>
              </w:rPr>
              <w:instrText xml:space="preserve"> PAGEREF _Toc141081542 \h </w:instrText>
            </w:r>
            <w:r w:rsidR="0041135B">
              <w:rPr>
                <w:noProof/>
                <w:webHidden/>
              </w:rPr>
            </w:r>
            <w:r w:rsidR="0041135B">
              <w:rPr>
                <w:noProof/>
                <w:webHidden/>
              </w:rPr>
              <w:fldChar w:fldCharType="separate"/>
            </w:r>
            <w:r w:rsidR="0041135B">
              <w:rPr>
                <w:noProof/>
                <w:webHidden/>
              </w:rPr>
              <w:t>15</w:t>
            </w:r>
            <w:r w:rsidR="0041135B">
              <w:rPr>
                <w:noProof/>
                <w:webHidden/>
              </w:rPr>
              <w:fldChar w:fldCharType="end"/>
            </w:r>
          </w:hyperlink>
        </w:p>
        <w:p w14:paraId="5D945BF0" w14:textId="77777777" w:rsidR="0041135B" w:rsidRDefault="007716DD" w:rsidP="0041135B">
          <w:pPr>
            <w:pStyle w:val="TOC3"/>
            <w:tabs>
              <w:tab w:val="right" w:leader="dot" w:pos="9628"/>
            </w:tabs>
            <w:rPr>
              <w:noProof/>
              <w:szCs w:val="22"/>
              <w:lang w:eastAsia="en-AU"/>
            </w:rPr>
          </w:pPr>
          <w:hyperlink w:anchor="_Toc141081543" w:history="1">
            <w:r w:rsidR="0041135B" w:rsidRPr="003C57E7">
              <w:rPr>
                <w:rStyle w:val="Hyperlink"/>
                <w:noProof/>
              </w:rPr>
              <w:t>Auspicing agreements</w:t>
            </w:r>
            <w:r w:rsidR="0041135B">
              <w:rPr>
                <w:noProof/>
                <w:webHidden/>
              </w:rPr>
              <w:tab/>
            </w:r>
            <w:r w:rsidR="0041135B">
              <w:rPr>
                <w:noProof/>
                <w:webHidden/>
              </w:rPr>
              <w:fldChar w:fldCharType="begin"/>
            </w:r>
            <w:r w:rsidR="0041135B">
              <w:rPr>
                <w:noProof/>
                <w:webHidden/>
              </w:rPr>
              <w:instrText xml:space="preserve"> PAGEREF _Toc141081543 \h </w:instrText>
            </w:r>
            <w:r w:rsidR="0041135B">
              <w:rPr>
                <w:noProof/>
                <w:webHidden/>
              </w:rPr>
            </w:r>
            <w:r w:rsidR="0041135B">
              <w:rPr>
                <w:noProof/>
                <w:webHidden/>
              </w:rPr>
              <w:fldChar w:fldCharType="separate"/>
            </w:r>
            <w:r w:rsidR="0041135B">
              <w:rPr>
                <w:noProof/>
                <w:webHidden/>
              </w:rPr>
              <w:t>16</w:t>
            </w:r>
            <w:r w:rsidR="0041135B">
              <w:rPr>
                <w:noProof/>
                <w:webHidden/>
              </w:rPr>
              <w:fldChar w:fldCharType="end"/>
            </w:r>
          </w:hyperlink>
        </w:p>
        <w:p w14:paraId="1F97EC8B" w14:textId="77777777" w:rsidR="0041135B" w:rsidRDefault="007716DD" w:rsidP="0041135B">
          <w:pPr>
            <w:pStyle w:val="TOC1"/>
            <w:tabs>
              <w:tab w:val="right" w:leader="dot" w:pos="9628"/>
            </w:tabs>
            <w:rPr>
              <w:noProof/>
              <w:szCs w:val="22"/>
              <w:lang w:eastAsia="en-AU"/>
            </w:rPr>
          </w:pPr>
          <w:hyperlink w:anchor="_Toc141081544" w:history="1">
            <w:r w:rsidR="0041135B" w:rsidRPr="003C57E7">
              <w:rPr>
                <w:rStyle w:val="Hyperlink"/>
                <w:noProof/>
              </w:rPr>
              <w:t xml:space="preserve">Appendix 1: </w:t>
            </w:r>
            <w:r w:rsidR="0041135B" w:rsidRPr="003C57E7">
              <w:rPr>
                <w:rStyle w:val="Hyperlink"/>
                <w:noProof/>
                <w:lang w:val="en-US"/>
              </w:rPr>
              <w:t>Interview participants by category</w:t>
            </w:r>
            <w:r w:rsidR="0041135B">
              <w:rPr>
                <w:noProof/>
                <w:webHidden/>
              </w:rPr>
              <w:tab/>
            </w:r>
            <w:r w:rsidR="0041135B">
              <w:rPr>
                <w:noProof/>
                <w:webHidden/>
              </w:rPr>
              <w:fldChar w:fldCharType="begin"/>
            </w:r>
            <w:r w:rsidR="0041135B">
              <w:rPr>
                <w:noProof/>
                <w:webHidden/>
              </w:rPr>
              <w:instrText xml:space="preserve"> PAGEREF _Toc141081544 \h </w:instrText>
            </w:r>
            <w:r w:rsidR="0041135B">
              <w:rPr>
                <w:noProof/>
                <w:webHidden/>
              </w:rPr>
            </w:r>
            <w:r w:rsidR="0041135B">
              <w:rPr>
                <w:noProof/>
                <w:webHidden/>
              </w:rPr>
              <w:fldChar w:fldCharType="separate"/>
            </w:r>
            <w:r w:rsidR="0041135B">
              <w:rPr>
                <w:noProof/>
                <w:webHidden/>
              </w:rPr>
              <w:t>18</w:t>
            </w:r>
            <w:r w:rsidR="0041135B">
              <w:rPr>
                <w:noProof/>
                <w:webHidden/>
              </w:rPr>
              <w:fldChar w:fldCharType="end"/>
            </w:r>
          </w:hyperlink>
        </w:p>
        <w:p w14:paraId="225A5F9F" w14:textId="77777777" w:rsidR="0041135B" w:rsidRDefault="007716DD" w:rsidP="0041135B">
          <w:pPr>
            <w:pStyle w:val="TOC3"/>
            <w:tabs>
              <w:tab w:val="right" w:leader="dot" w:pos="9628"/>
            </w:tabs>
            <w:rPr>
              <w:noProof/>
              <w:szCs w:val="22"/>
              <w:lang w:eastAsia="en-AU"/>
            </w:rPr>
          </w:pPr>
          <w:hyperlink w:anchor="_Toc141081545" w:history="1">
            <w:r w:rsidR="0041135B" w:rsidRPr="003C57E7">
              <w:rPr>
                <w:rStyle w:val="Hyperlink"/>
                <w:noProof/>
                <w:lang w:val="en-US"/>
              </w:rPr>
              <w:t>Alliances</w:t>
            </w:r>
            <w:r w:rsidR="0041135B">
              <w:rPr>
                <w:noProof/>
                <w:webHidden/>
              </w:rPr>
              <w:tab/>
            </w:r>
            <w:r w:rsidR="0041135B">
              <w:rPr>
                <w:noProof/>
                <w:webHidden/>
              </w:rPr>
              <w:fldChar w:fldCharType="begin"/>
            </w:r>
            <w:r w:rsidR="0041135B">
              <w:rPr>
                <w:noProof/>
                <w:webHidden/>
              </w:rPr>
              <w:instrText xml:space="preserve"> PAGEREF _Toc141081545 \h </w:instrText>
            </w:r>
            <w:r w:rsidR="0041135B">
              <w:rPr>
                <w:noProof/>
                <w:webHidden/>
              </w:rPr>
            </w:r>
            <w:r w:rsidR="0041135B">
              <w:rPr>
                <w:noProof/>
                <w:webHidden/>
              </w:rPr>
              <w:fldChar w:fldCharType="separate"/>
            </w:r>
            <w:r w:rsidR="0041135B">
              <w:rPr>
                <w:noProof/>
                <w:webHidden/>
              </w:rPr>
              <w:t>18</w:t>
            </w:r>
            <w:r w:rsidR="0041135B">
              <w:rPr>
                <w:noProof/>
                <w:webHidden/>
              </w:rPr>
              <w:fldChar w:fldCharType="end"/>
            </w:r>
          </w:hyperlink>
        </w:p>
        <w:p w14:paraId="00132969" w14:textId="77777777" w:rsidR="0041135B" w:rsidRDefault="007716DD" w:rsidP="0041135B">
          <w:pPr>
            <w:pStyle w:val="TOC3"/>
            <w:tabs>
              <w:tab w:val="right" w:leader="dot" w:pos="9628"/>
            </w:tabs>
            <w:rPr>
              <w:noProof/>
              <w:szCs w:val="22"/>
              <w:lang w:eastAsia="en-AU"/>
            </w:rPr>
          </w:pPr>
          <w:hyperlink w:anchor="_Toc141081546" w:history="1">
            <w:r w:rsidR="0041135B" w:rsidRPr="003C57E7">
              <w:rPr>
                <w:rStyle w:val="Hyperlink"/>
                <w:noProof/>
                <w:lang w:val="en-US"/>
              </w:rPr>
              <w:t>Government</w:t>
            </w:r>
            <w:r w:rsidR="0041135B">
              <w:rPr>
                <w:noProof/>
                <w:webHidden/>
              </w:rPr>
              <w:tab/>
            </w:r>
            <w:r w:rsidR="0041135B">
              <w:rPr>
                <w:noProof/>
                <w:webHidden/>
              </w:rPr>
              <w:fldChar w:fldCharType="begin"/>
            </w:r>
            <w:r w:rsidR="0041135B">
              <w:rPr>
                <w:noProof/>
                <w:webHidden/>
              </w:rPr>
              <w:instrText xml:space="preserve"> PAGEREF _Toc141081546 \h </w:instrText>
            </w:r>
            <w:r w:rsidR="0041135B">
              <w:rPr>
                <w:noProof/>
                <w:webHidden/>
              </w:rPr>
            </w:r>
            <w:r w:rsidR="0041135B">
              <w:rPr>
                <w:noProof/>
                <w:webHidden/>
              </w:rPr>
              <w:fldChar w:fldCharType="separate"/>
            </w:r>
            <w:r w:rsidR="0041135B">
              <w:rPr>
                <w:noProof/>
                <w:webHidden/>
              </w:rPr>
              <w:t>18</w:t>
            </w:r>
            <w:r w:rsidR="0041135B">
              <w:rPr>
                <w:noProof/>
                <w:webHidden/>
              </w:rPr>
              <w:fldChar w:fldCharType="end"/>
            </w:r>
          </w:hyperlink>
        </w:p>
        <w:p w14:paraId="7A286207" w14:textId="77777777" w:rsidR="0041135B" w:rsidRDefault="007716DD" w:rsidP="0041135B">
          <w:pPr>
            <w:pStyle w:val="TOC3"/>
            <w:tabs>
              <w:tab w:val="right" w:leader="dot" w:pos="9628"/>
            </w:tabs>
            <w:rPr>
              <w:b/>
              <w:bCs/>
              <w:noProof/>
            </w:rPr>
          </w:pPr>
          <w:hyperlink w:anchor="_Toc141081547" w:history="1">
            <w:r w:rsidR="0041135B" w:rsidRPr="003C57E7">
              <w:rPr>
                <w:rStyle w:val="Hyperlink"/>
                <w:noProof/>
                <w:lang w:val="en-US"/>
              </w:rPr>
              <w:t>Auspicing organisations</w:t>
            </w:r>
            <w:r w:rsidR="0041135B">
              <w:rPr>
                <w:noProof/>
                <w:webHidden/>
              </w:rPr>
              <w:tab/>
            </w:r>
            <w:r w:rsidR="0041135B">
              <w:rPr>
                <w:noProof/>
                <w:webHidden/>
              </w:rPr>
              <w:fldChar w:fldCharType="begin"/>
            </w:r>
            <w:r w:rsidR="0041135B">
              <w:rPr>
                <w:noProof/>
                <w:webHidden/>
              </w:rPr>
              <w:instrText xml:space="preserve"> PAGEREF _Toc141081547 \h </w:instrText>
            </w:r>
            <w:r w:rsidR="0041135B">
              <w:rPr>
                <w:noProof/>
                <w:webHidden/>
              </w:rPr>
            </w:r>
            <w:r w:rsidR="0041135B">
              <w:rPr>
                <w:noProof/>
                <w:webHidden/>
              </w:rPr>
              <w:fldChar w:fldCharType="separate"/>
            </w:r>
            <w:r w:rsidR="0041135B">
              <w:rPr>
                <w:noProof/>
                <w:webHidden/>
              </w:rPr>
              <w:t>18</w:t>
            </w:r>
            <w:r w:rsidR="0041135B">
              <w:rPr>
                <w:noProof/>
                <w:webHidden/>
              </w:rPr>
              <w:fldChar w:fldCharType="end"/>
            </w:r>
          </w:hyperlink>
          <w:r w:rsidR="0041135B">
            <w:rPr>
              <w:b/>
              <w:bCs/>
              <w:noProof/>
            </w:rPr>
            <w:fldChar w:fldCharType="end"/>
          </w:r>
        </w:p>
      </w:sdtContent>
    </w:sdt>
    <w:p w14:paraId="090E0847" w14:textId="77777777" w:rsidR="0041135B" w:rsidRPr="0041135B" w:rsidRDefault="0041135B" w:rsidP="0041135B"/>
    <w:p w14:paraId="1562AB3E" w14:textId="3BE45DD7" w:rsidR="00BD171D" w:rsidRDefault="00BD171D" w:rsidP="00E2753F">
      <w:pPr>
        <w:rPr>
          <w:noProof/>
        </w:rPr>
        <w:sectPr w:rsidR="00BD171D" w:rsidSect="00BD171D">
          <w:headerReference w:type="even" r:id="rId21"/>
          <w:headerReference w:type="default" r:id="rId22"/>
          <w:footerReference w:type="default" r:id="rId23"/>
          <w:headerReference w:type="first" r:id="rId24"/>
          <w:pgSz w:w="11906" w:h="16838"/>
          <w:pgMar w:top="1701" w:right="1134" w:bottom="1843" w:left="1134" w:header="993" w:footer="709" w:gutter="0"/>
          <w:pgNumType w:fmt="lowerRoman"/>
          <w:cols w:space="708"/>
          <w:docGrid w:linePitch="360"/>
        </w:sectPr>
      </w:pPr>
    </w:p>
    <w:p w14:paraId="1032D8CC" w14:textId="77777777" w:rsidR="00D76F3C" w:rsidRPr="00A80474" w:rsidRDefault="00FF1215" w:rsidP="008655FA">
      <w:pPr>
        <w:pStyle w:val="Heading1"/>
        <w:rPr>
          <w:noProof/>
        </w:rPr>
      </w:pPr>
      <w:bookmarkStart w:id="0" w:name="_Toc141081520"/>
      <w:r>
        <w:rPr>
          <w:noProof/>
        </w:rPr>
        <w:lastRenderedPageBreak/>
        <w:t>Executive Summary</w:t>
      </w:r>
      <w:bookmarkEnd w:id="0"/>
    </w:p>
    <w:p w14:paraId="09B3D0C5" w14:textId="14EC8A87" w:rsidR="008655FA" w:rsidRDefault="008655FA" w:rsidP="008655FA">
      <w:r w:rsidRPr="008655FA">
        <w:t xml:space="preserve">The primary purpose of </w:t>
      </w:r>
      <w:r>
        <w:t>this report is</w:t>
      </w:r>
      <w:r w:rsidRPr="008655FA">
        <w:t xml:space="preserve"> to assess the suitability of the </w:t>
      </w:r>
      <w:r>
        <w:t>National Women’s Alliance</w:t>
      </w:r>
      <w:r w:rsidRPr="008655FA">
        <w:t xml:space="preserve"> </w:t>
      </w:r>
      <w:r>
        <w:t xml:space="preserve">(NWA) </w:t>
      </w:r>
      <w:r w:rsidRPr="008655FA">
        <w:t>model as a vehicle for bringing women’s voices to the Australian Government to inform policy development</w:t>
      </w:r>
      <w:r>
        <w:t>. More specifically, this report aims to examine</w:t>
      </w:r>
      <w:r w:rsidRPr="008655FA">
        <w:t xml:space="preserve"> </w:t>
      </w:r>
      <w:r w:rsidR="00FA5B11">
        <w:t xml:space="preserve">(1) </w:t>
      </w:r>
      <w:r w:rsidRPr="008655FA">
        <w:t xml:space="preserve">how well suited the NWA model is </w:t>
      </w:r>
      <w:r>
        <w:t>to</w:t>
      </w:r>
      <w:r w:rsidRPr="008655FA">
        <w:t xml:space="preserve"> delivering the objectives of the Women’s Leadership and Development Program</w:t>
      </w:r>
      <w:r>
        <w:t xml:space="preserve">; </w:t>
      </w:r>
      <w:r w:rsidR="00FA5B11">
        <w:t xml:space="preserve">(2) </w:t>
      </w:r>
      <w:r>
        <w:t xml:space="preserve">whether recent changes to the model </w:t>
      </w:r>
      <w:r w:rsidRPr="008655FA">
        <w:t xml:space="preserve">have improved NWAs’ focus and </w:t>
      </w:r>
      <w:r>
        <w:t xml:space="preserve">the </w:t>
      </w:r>
      <w:r w:rsidRPr="008655FA">
        <w:t>delivery of outcomes and activities</w:t>
      </w:r>
      <w:r>
        <w:t xml:space="preserve">; and </w:t>
      </w:r>
      <w:r w:rsidR="00FA5B11">
        <w:t xml:space="preserve">(3) </w:t>
      </w:r>
      <w:r>
        <w:t xml:space="preserve">whether </w:t>
      </w:r>
      <w:r w:rsidRPr="008655FA">
        <w:t>the model has been adapted by grantees to their particular contexts</w:t>
      </w:r>
      <w:r>
        <w:t xml:space="preserve">, and </w:t>
      </w:r>
      <w:r w:rsidRPr="008655FA">
        <w:t>what impact any adaptations have had on meeting the model’s objectives</w:t>
      </w:r>
      <w:r>
        <w:t>.</w:t>
      </w:r>
      <w:r w:rsidRPr="008655FA">
        <w:t xml:space="preserve"> </w:t>
      </w:r>
      <w:r w:rsidR="00A175C2">
        <w:t>The report is an outcome of a joint evaluation by the Global Institute for Women’s Leadership (GIWL) at the Australian National University and the Office for Women</w:t>
      </w:r>
      <w:r w:rsidR="00065A0F">
        <w:t xml:space="preserve"> (OfW) in the Australian</w:t>
      </w:r>
      <w:r w:rsidR="00A338C4">
        <w:t xml:space="preserve"> Government</w:t>
      </w:r>
      <w:r w:rsidR="00065A0F">
        <w:t xml:space="preserve"> Department of </w:t>
      </w:r>
      <w:r w:rsidR="00A338C4">
        <w:t xml:space="preserve">the </w:t>
      </w:r>
      <w:r w:rsidR="00065A0F">
        <w:t>Prime Minister and Cabinet.</w:t>
      </w:r>
    </w:p>
    <w:p w14:paraId="525CD40E" w14:textId="7722D313" w:rsidR="00D76F3C" w:rsidRPr="00A80474" w:rsidRDefault="008655FA" w:rsidP="008655FA">
      <w:r>
        <w:t>Our analysis suggests that t</w:t>
      </w:r>
      <w:r w:rsidR="00D76F3C" w:rsidRPr="00A80474">
        <w:t xml:space="preserve">he NWA model is </w:t>
      </w:r>
      <w:r>
        <w:t xml:space="preserve">a </w:t>
      </w:r>
      <w:r w:rsidR="00D76F3C" w:rsidRPr="00A80474">
        <w:t xml:space="preserve">suitable a vehicle for delivering women’s voices to government and appears to be largely achieving the intended NWA outcomes. However, </w:t>
      </w:r>
      <w:r w:rsidR="00FA5B11">
        <w:t xml:space="preserve">this delivery is currently made possible by the free labour of many women, and </w:t>
      </w:r>
      <w:r w:rsidR="00263CD3">
        <w:t xml:space="preserve">as </w:t>
      </w:r>
      <w:r w:rsidR="00FA5B11">
        <w:t xml:space="preserve">a result </w:t>
      </w:r>
      <w:r>
        <w:t>a</w:t>
      </w:r>
      <w:r w:rsidRPr="008655FA">
        <w:t xml:space="preserve">dditional resourcing and support </w:t>
      </w:r>
      <w:r>
        <w:t>is</w:t>
      </w:r>
      <w:r w:rsidRPr="008655FA">
        <w:t xml:space="preserve"> needed to effectively leverage the contribution of the NWA</w:t>
      </w:r>
      <w:r>
        <w:t>. Currently,</w:t>
      </w:r>
      <w:r w:rsidRPr="008655FA">
        <w:t xml:space="preserve"> </w:t>
      </w:r>
      <w:r w:rsidR="00D76F3C" w:rsidRPr="00A80474">
        <w:t xml:space="preserve">the </w:t>
      </w:r>
      <w:r w:rsidR="00FA5B11">
        <w:t xml:space="preserve">full </w:t>
      </w:r>
      <w:r w:rsidR="00D76F3C" w:rsidRPr="00A80474">
        <w:t xml:space="preserve">effectiveness of the model </w:t>
      </w:r>
      <w:r w:rsidR="00FA5B11">
        <w:t>is</w:t>
      </w:r>
      <w:r w:rsidR="00D76F3C" w:rsidRPr="00A80474">
        <w:t xml:space="preserve"> constrained by inadequate resourcing and </w:t>
      </w:r>
      <w:r w:rsidR="00FA5B11">
        <w:t>restrictive</w:t>
      </w:r>
      <w:r w:rsidR="00FA5B11" w:rsidRPr="00A80474">
        <w:t xml:space="preserve"> </w:t>
      </w:r>
      <w:r w:rsidR="00D76F3C" w:rsidRPr="00A80474">
        <w:t>grant management procedures.</w:t>
      </w:r>
      <w:r>
        <w:t xml:space="preserve"> </w:t>
      </w:r>
      <w:r w:rsidR="00D76F3C" w:rsidRPr="00A80474">
        <w:t xml:space="preserve">Options to address </w:t>
      </w:r>
      <w:r>
        <w:t>mismatches</w:t>
      </w:r>
      <w:r w:rsidR="00D76F3C" w:rsidRPr="00A80474">
        <w:t xml:space="preserve"> between the NWA model and delivery of its objectives and outcomes are a key focus of the recommendations.</w:t>
      </w:r>
    </w:p>
    <w:p w14:paraId="4E4009A8" w14:textId="4DF8F315" w:rsidR="00D76F3C" w:rsidRPr="00A80474" w:rsidRDefault="008655FA" w:rsidP="008655FA">
      <w:r>
        <w:t xml:space="preserve">Examining recent changes to the NWA model, our research suggests that modifications to the composition of the Alliances have improved the focus and delivery of the program objective </w:t>
      </w:r>
      <w:r w:rsidRPr="00934087">
        <w:t>of</w:t>
      </w:r>
      <w:r>
        <w:t xml:space="preserve"> </w:t>
      </w:r>
      <w:r w:rsidR="00934087">
        <w:t xml:space="preserve">improving </w:t>
      </w:r>
      <w:r>
        <w:t>representation by better including under-represented women. However, changes to the grant management process</w:t>
      </w:r>
      <w:r w:rsidR="00FA5B11">
        <w:t>, while improving transparency and clarity,</w:t>
      </w:r>
      <w:r>
        <w:t xml:space="preserve"> have not improved the focus and delivery of the program objectives </w:t>
      </w:r>
      <w:r w:rsidR="00934087">
        <w:t xml:space="preserve">to lift </w:t>
      </w:r>
      <w:r>
        <w:t xml:space="preserve">representation. Instead, these changes appear to impede collaboration by encouraging a compliance-based approach to relationship management. Co-designed </w:t>
      </w:r>
      <w:r w:rsidRPr="008655FA">
        <w:t>reporting requirements</w:t>
      </w:r>
      <w:r>
        <w:t xml:space="preserve"> that are less time-intensive and emphasise flexibility should increase trust between the OfW and Alliances, and will allow the NWA to focus on </w:t>
      </w:r>
      <w:r w:rsidRPr="008655FA">
        <w:t>delivering model objectives</w:t>
      </w:r>
      <w:r>
        <w:t xml:space="preserve">. </w:t>
      </w:r>
    </w:p>
    <w:p w14:paraId="09BF5371" w14:textId="77777777" w:rsidR="00D76F3C" w:rsidRDefault="008655FA" w:rsidP="00D76F3C">
      <w:r>
        <w:t>We find that t</w:t>
      </w:r>
      <w:r w:rsidR="00D76F3C" w:rsidRPr="00A80474">
        <w:t>he model has been adapted by grantees to suit their particular context, particularly the needs, preferences</w:t>
      </w:r>
      <w:r w:rsidR="00FA5B11">
        <w:t>,</w:t>
      </w:r>
      <w:r w:rsidR="00D76F3C" w:rsidRPr="00A80474">
        <w:t xml:space="preserve"> and priorities of their members. </w:t>
      </w:r>
      <w:r>
        <w:t>Adaptations involve changes to the activities undertaken by Alliances in</w:t>
      </w:r>
      <w:r w:rsidRPr="008655FA">
        <w:t xml:space="preserve"> growing and consulting with their membership</w:t>
      </w:r>
      <w:r>
        <w:t xml:space="preserve">. </w:t>
      </w:r>
      <w:r w:rsidR="00D76F3C" w:rsidRPr="00A80474">
        <w:t>These adaptations largely appear operationally necessary for Alliances to secure the trust and engagement of members.</w:t>
      </w:r>
      <w:r>
        <w:t xml:space="preserve"> Adaptations to governance were also observed; </w:t>
      </w:r>
      <w:r w:rsidR="00FA5B11">
        <w:t xml:space="preserve">three </w:t>
      </w:r>
      <w:r>
        <w:t>Alliances have auspicing agreements with larger organisations. These auspicing agreements have helped Alliances to meet model objectives by removing administrative burdens and provid</w:t>
      </w:r>
      <w:r w:rsidR="00FA5B11">
        <w:t>ing</w:t>
      </w:r>
      <w:r>
        <w:t xml:space="preserve"> additional resourcing for Alliances to represent the women’s sector.</w:t>
      </w:r>
      <w:r w:rsidR="00045B5C">
        <w:t xml:space="preserve"> However, these resources are provided on an un-costed basis by auspicing organisations and as such, may not be sustainable.</w:t>
      </w:r>
      <w:r>
        <w:t xml:space="preserve"> </w:t>
      </w:r>
    </w:p>
    <w:p w14:paraId="0BF0CEA0" w14:textId="77777777" w:rsidR="00273EA8" w:rsidRPr="00A80474" w:rsidRDefault="007F2EB6" w:rsidP="00D76F3C">
      <w:r>
        <w:lastRenderedPageBreak/>
        <w:t xml:space="preserve">We propose a range of recommendation to support the optimisation of the NWA’s contribution to the </w:t>
      </w:r>
      <w:r w:rsidR="00FF506A">
        <w:t xml:space="preserve">objectives of the Women’s Leadership and Development Program and to help future-proof the </w:t>
      </w:r>
      <w:r w:rsidR="00270614">
        <w:t>NWA</w:t>
      </w:r>
      <w:r w:rsidR="00FF506A">
        <w:t xml:space="preserve"> model </w:t>
      </w:r>
      <w:r w:rsidR="002014AE">
        <w:t xml:space="preserve">as a </w:t>
      </w:r>
      <w:r w:rsidR="006F3BC8">
        <w:t>bridge between</w:t>
      </w:r>
      <w:r w:rsidR="00B20562">
        <w:t xml:space="preserve"> Government and</w:t>
      </w:r>
      <w:r w:rsidR="006F3BC8">
        <w:t xml:space="preserve"> </w:t>
      </w:r>
      <w:r w:rsidR="00F44607">
        <w:t>Australian women.</w:t>
      </w:r>
    </w:p>
    <w:p w14:paraId="303388EC" w14:textId="77777777" w:rsidR="00E92551" w:rsidRDefault="00FF1215" w:rsidP="006147EB">
      <w:pPr>
        <w:pStyle w:val="Heading2"/>
      </w:pPr>
      <w:bookmarkStart w:id="1" w:name="_Toc141081521"/>
      <w:r>
        <w:t>Recommendations</w:t>
      </w:r>
      <w:bookmarkEnd w:id="1"/>
    </w:p>
    <w:p w14:paraId="4418936F" w14:textId="77777777" w:rsidR="00E60014" w:rsidRPr="000F060B" w:rsidRDefault="00D76F3C" w:rsidP="00D76F3C">
      <w:pPr>
        <w:rPr>
          <w:rStyle w:val="eop"/>
          <w:iCs/>
        </w:rPr>
      </w:pPr>
      <w:r w:rsidRPr="000F060B">
        <w:rPr>
          <w:iCs/>
        </w:rPr>
        <w:t xml:space="preserve">These recommendations centre on the development of strategic advice on options to </w:t>
      </w:r>
      <w:r w:rsidR="77724D4E" w:rsidRPr="000F060B">
        <w:rPr>
          <w:iCs/>
        </w:rPr>
        <w:t>strengthen</w:t>
      </w:r>
      <w:r w:rsidRPr="000F060B">
        <w:rPr>
          <w:iCs/>
        </w:rPr>
        <w:t xml:space="preserve"> the NWA model and delivery of its objectives and outcomes.  </w:t>
      </w:r>
    </w:p>
    <w:p w14:paraId="7DDCF106" w14:textId="77777777" w:rsidR="00D76F3C" w:rsidRPr="00A80474" w:rsidRDefault="0018026A" w:rsidP="000F060B">
      <w:pPr>
        <w:pStyle w:val="Heading3"/>
      </w:pPr>
      <w:bookmarkStart w:id="2" w:name="_Toc141081522"/>
      <w:r>
        <w:t>Resourcing</w:t>
      </w:r>
      <w:bookmarkEnd w:id="2"/>
    </w:p>
    <w:p w14:paraId="20175C02" w14:textId="77777777" w:rsidR="00C47103" w:rsidRPr="00C47103" w:rsidRDefault="004A7719" w:rsidP="00C47103">
      <w:pPr>
        <w:pStyle w:val="NumberedList-Level1"/>
        <w:rPr>
          <w:rStyle w:val="eop"/>
        </w:rPr>
      </w:pPr>
      <w:r>
        <w:rPr>
          <w:rStyle w:val="eop"/>
        </w:rPr>
        <w:t>Establish options to i</w:t>
      </w:r>
      <w:r w:rsidR="00AA3A84">
        <w:rPr>
          <w:rStyle w:val="eop"/>
        </w:rPr>
        <w:t>ncrease</w:t>
      </w:r>
      <w:r w:rsidR="00B50442">
        <w:rPr>
          <w:rStyle w:val="eop"/>
        </w:rPr>
        <w:t xml:space="preserve"> and extend</w:t>
      </w:r>
      <w:r w:rsidR="00AA3A84">
        <w:rPr>
          <w:rStyle w:val="eop"/>
        </w:rPr>
        <w:t xml:space="preserve"> </w:t>
      </w:r>
      <w:r w:rsidR="008655FA">
        <w:rPr>
          <w:rStyle w:val="eop"/>
        </w:rPr>
        <w:t xml:space="preserve">grant </w:t>
      </w:r>
      <w:r w:rsidR="00AA3A84">
        <w:rPr>
          <w:rStyle w:val="eop"/>
        </w:rPr>
        <w:t xml:space="preserve">funding </w:t>
      </w:r>
      <w:r w:rsidR="008655FA">
        <w:rPr>
          <w:rStyle w:val="eop"/>
        </w:rPr>
        <w:t>for the</w:t>
      </w:r>
      <w:r w:rsidR="00AA3A84">
        <w:rPr>
          <w:rStyle w:val="eop"/>
        </w:rPr>
        <w:t xml:space="preserve"> Alliances</w:t>
      </w:r>
      <w:r w:rsidR="008655FA">
        <w:rPr>
          <w:rStyle w:val="eop"/>
        </w:rPr>
        <w:t>, to ensure they are adequately resourced to fulfil performance expectations</w:t>
      </w:r>
      <w:r w:rsidR="00600CA6">
        <w:rPr>
          <w:rStyle w:val="eop"/>
        </w:rPr>
        <w:t xml:space="preserve">, and to future-proof </w:t>
      </w:r>
      <w:r w:rsidR="00600CA6" w:rsidRPr="00600CA6">
        <w:rPr>
          <w:rStyle w:val="eop"/>
        </w:rPr>
        <w:t xml:space="preserve">the model’s ability to deliver women’s voices to </w:t>
      </w:r>
      <w:r w:rsidR="00600CA6">
        <w:rPr>
          <w:rStyle w:val="eop"/>
        </w:rPr>
        <w:t>G</w:t>
      </w:r>
      <w:r w:rsidR="00600CA6" w:rsidRPr="00600CA6">
        <w:rPr>
          <w:rStyle w:val="eop"/>
        </w:rPr>
        <w:t>overnmen</w:t>
      </w:r>
      <w:r w:rsidR="00600CA6">
        <w:rPr>
          <w:rStyle w:val="eop"/>
        </w:rPr>
        <w:t>t</w:t>
      </w:r>
      <w:r w:rsidR="00600CA6">
        <w:rPr>
          <w:rStyle w:val="eop"/>
          <w:rFonts w:ascii="Arial" w:hAnsi="Arial" w:cs="Arial"/>
          <w:szCs w:val="22"/>
        </w:rPr>
        <w:t xml:space="preserve">. </w:t>
      </w:r>
      <w:r w:rsidR="00EA7471" w:rsidRPr="00F55A6F">
        <w:rPr>
          <w:rStyle w:val="eop"/>
          <w:rFonts w:cstheme="minorHAnsi"/>
          <w:szCs w:val="22"/>
        </w:rPr>
        <w:t xml:space="preserve">Options </w:t>
      </w:r>
      <w:r w:rsidR="00B50442" w:rsidRPr="00F55A6F">
        <w:rPr>
          <w:rStyle w:val="eop"/>
          <w:rFonts w:cstheme="minorHAnsi"/>
          <w:szCs w:val="22"/>
        </w:rPr>
        <w:t>include:</w:t>
      </w:r>
    </w:p>
    <w:p w14:paraId="3B3170B3" w14:textId="77777777" w:rsidR="00600CA6" w:rsidRPr="00C47103" w:rsidRDefault="00EE650A" w:rsidP="00F55A6F">
      <w:pPr>
        <w:pStyle w:val="NumberedList-level2"/>
        <w:rPr>
          <w:rStyle w:val="eop"/>
        </w:rPr>
      </w:pPr>
      <w:r>
        <w:rPr>
          <w:rStyle w:val="eop"/>
        </w:rPr>
        <w:t>L</w:t>
      </w:r>
      <w:r w:rsidR="00600CA6">
        <w:rPr>
          <w:rStyle w:val="eop"/>
        </w:rPr>
        <w:t xml:space="preserve">engthening grant agreements </w:t>
      </w:r>
      <w:r w:rsidR="00B50442">
        <w:rPr>
          <w:rStyle w:val="eop"/>
        </w:rPr>
        <w:t>to five</w:t>
      </w:r>
      <w:r w:rsidR="00600CA6">
        <w:rPr>
          <w:rStyle w:val="eop"/>
        </w:rPr>
        <w:t xml:space="preserve"> years, to allow Alliances to engage in longer-term planning</w:t>
      </w:r>
      <w:r w:rsidR="00A9049F">
        <w:rPr>
          <w:rStyle w:val="eop"/>
        </w:rPr>
        <w:t>, employment</w:t>
      </w:r>
      <w:r w:rsidR="00600CA6">
        <w:rPr>
          <w:rStyle w:val="eop"/>
        </w:rPr>
        <w:t xml:space="preserve"> and services. </w:t>
      </w:r>
    </w:p>
    <w:p w14:paraId="72BD50CD" w14:textId="77777777" w:rsidR="00C47103" w:rsidRPr="00C47103" w:rsidRDefault="00C47103" w:rsidP="00F55A6F">
      <w:pPr>
        <w:pStyle w:val="NumberedList-level2"/>
        <w:rPr>
          <w:rStyle w:val="eop"/>
        </w:rPr>
      </w:pPr>
      <w:r w:rsidRPr="00C47103">
        <w:rPr>
          <w:rStyle w:val="eop"/>
        </w:rPr>
        <w:t>Establish funding</w:t>
      </w:r>
      <w:r w:rsidR="00AA3A84">
        <w:rPr>
          <w:rStyle w:val="eop"/>
        </w:rPr>
        <w:t xml:space="preserve"> arrangements</w:t>
      </w:r>
      <w:r w:rsidRPr="00C47103">
        <w:rPr>
          <w:rStyle w:val="eop"/>
        </w:rPr>
        <w:t xml:space="preserve"> to cover </w:t>
      </w:r>
      <w:r w:rsidR="00600CA6">
        <w:rPr>
          <w:rStyle w:val="eop"/>
        </w:rPr>
        <w:t xml:space="preserve">the </w:t>
      </w:r>
      <w:r w:rsidR="00600CA6" w:rsidRPr="00600CA6">
        <w:rPr>
          <w:rStyle w:val="eop"/>
        </w:rPr>
        <w:t>resource intensive forms of communication</w:t>
      </w:r>
      <w:r w:rsidR="00600CA6">
        <w:rPr>
          <w:rStyle w:val="eop"/>
        </w:rPr>
        <w:t xml:space="preserve"> </w:t>
      </w:r>
      <w:r w:rsidR="00183BA4">
        <w:rPr>
          <w:rStyle w:val="eop"/>
        </w:rPr>
        <w:t xml:space="preserve">and engagement </w:t>
      </w:r>
      <w:r w:rsidR="00600CA6">
        <w:rPr>
          <w:rStyle w:val="eop"/>
        </w:rPr>
        <w:t xml:space="preserve">required by Alliances </w:t>
      </w:r>
      <w:r w:rsidR="00600CA6" w:rsidRPr="00E66622">
        <w:t>(</w:t>
      </w:r>
      <w:r w:rsidR="00600CA6">
        <w:t>e.g., for</w:t>
      </w:r>
      <w:r w:rsidR="00600CA6" w:rsidRPr="00E66622">
        <w:t xml:space="preserve"> language translation,</w:t>
      </w:r>
      <w:r w:rsidR="00302941">
        <w:t xml:space="preserve"> cultural safety,</w:t>
      </w:r>
      <w:r w:rsidR="00600CA6" w:rsidRPr="00E66622">
        <w:t xml:space="preserve"> disability accessibility requirements, and/or </w:t>
      </w:r>
      <w:r w:rsidR="00600CA6">
        <w:t xml:space="preserve">travel to </w:t>
      </w:r>
      <w:r w:rsidR="00600CA6" w:rsidRPr="00E66622">
        <w:t>remote locations)</w:t>
      </w:r>
      <w:r w:rsidRPr="00C47103">
        <w:rPr>
          <w:rStyle w:val="eop"/>
        </w:rPr>
        <w:t>.</w:t>
      </w:r>
    </w:p>
    <w:p w14:paraId="63D1B724" w14:textId="5B1439C5" w:rsidR="00C47103" w:rsidRDefault="004B1B12" w:rsidP="00F55A6F">
      <w:pPr>
        <w:pStyle w:val="NumberedList-level2"/>
        <w:rPr>
          <w:rStyle w:val="eop"/>
        </w:rPr>
      </w:pPr>
      <w:r>
        <w:rPr>
          <w:rStyle w:val="eop"/>
        </w:rPr>
        <w:t>Develop</w:t>
      </w:r>
      <w:r w:rsidR="00A229B9">
        <w:rPr>
          <w:rStyle w:val="eop"/>
        </w:rPr>
        <w:t xml:space="preserve"> guidance on</w:t>
      </w:r>
      <w:r w:rsidR="00C47103" w:rsidRPr="00C47103">
        <w:rPr>
          <w:rStyle w:val="eop"/>
        </w:rPr>
        <w:t xml:space="preserve"> options </w:t>
      </w:r>
      <w:r w:rsidR="00F35D23">
        <w:rPr>
          <w:rStyle w:val="eop"/>
        </w:rPr>
        <w:t>for direct</w:t>
      </w:r>
      <w:r w:rsidR="00F35D23" w:rsidRPr="00C47103">
        <w:rPr>
          <w:rStyle w:val="eop"/>
        </w:rPr>
        <w:t xml:space="preserve"> </w:t>
      </w:r>
      <w:r w:rsidR="00600CA6">
        <w:rPr>
          <w:rStyle w:val="eop"/>
        </w:rPr>
        <w:t xml:space="preserve">funding </w:t>
      </w:r>
      <w:r w:rsidR="00F35D23">
        <w:rPr>
          <w:rStyle w:val="eop"/>
        </w:rPr>
        <w:t>by</w:t>
      </w:r>
      <w:r w:rsidR="000B1EFE">
        <w:rPr>
          <w:rStyle w:val="eop"/>
        </w:rPr>
        <w:t xml:space="preserve"> OfW, PMC</w:t>
      </w:r>
      <w:r w:rsidR="00936A6D">
        <w:rPr>
          <w:rStyle w:val="eop"/>
        </w:rPr>
        <w:t xml:space="preserve"> </w:t>
      </w:r>
      <w:r w:rsidR="00263CD3">
        <w:rPr>
          <w:rStyle w:val="eop"/>
        </w:rPr>
        <w:t xml:space="preserve">or </w:t>
      </w:r>
      <w:r w:rsidR="00936A6D">
        <w:rPr>
          <w:rStyle w:val="eop"/>
        </w:rPr>
        <w:t>other Government Agencies</w:t>
      </w:r>
      <w:r w:rsidR="00EE650A">
        <w:rPr>
          <w:rStyle w:val="eop"/>
        </w:rPr>
        <w:t xml:space="preserve"> for work</w:t>
      </w:r>
      <w:r w:rsidR="00FA5B11">
        <w:rPr>
          <w:rStyle w:val="eop"/>
        </w:rPr>
        <w:t xml:space="preserve"> </w:t>
      </w:r>
      <w:r w:rsidR="00600CA6">
        <w:rPr>
          <w:rStyle w:val="eop"/>
        </w:rPr>
        <w:t xml:space="preserve">that is </w:t>
      </w:r>
      <w:r w:rsidR="00936A6D">
        <w:rPr>
          <w:rStyle w:val="eop"/>
        </w:rPr>
        <w:t xml:space="preserve">beyond the scope of NWA </w:t>
      </w:r>
      <w:r w:rsidR="00600CA6">
        <w:rPr>
          <w:rStyle w:val="eop"/>
        </w:rPr>
        <w:t>activity plans</w:t>
      </w:r>
      <w:r w:rsidR="00C47103" w:rsidRPr="00C47103">
        <w:rPr>
          <w:rStyle w:val="eop"/>
        </w:rPr>
        <w:t>.</w:t>
      </w:r>
    </w:p>
    <w:p w14:paraId="7F6BC4DA" w14:textId="77777777" w:rsidR="00671480" w:rsidRDefault="00B63CFF" w:rsidP="00331621">
      <w:pPr>
        <w:pStyle w:val="NumberedList-Level1"/>
      </w:pPr>
      <w:r>
        <w:rPr>
          <w:rStyle w:val="eop"/>
        </w:rPr>
        <w:t xml:space="preserve">Establish options to </w:t>
      </w:r>
      <w:r>
        <w:t>i</w:t>
      </w:r>
      <w:r w:rsidR="008C6341">
        <w:t xml:space="preserve">ncrease resourcing </w:t>
      </w:r>
      <w:r w:rsidR="34F38BA7">
        <w:t xml:space="preserve">within </w:t>
      </w:r>
      <w:r w:rsidR="00B56DAA">
        <w:t>OfW</w:t>
      </w:r>
      <w:r w:rsidR="003A338F">
        <w:t xml:space="preserve"> to</w:t>
      </w:r>
      <w:r w:rsidR="00D4327A">
        <w:t xml:space="preserve"> ensure the program </w:t>
      </w:r>
      <w:r w:rsidR="00673354">
        <w:t>has adequate capability and capacity</w:t>
      </w:r>
      <w:r w:rsidR="00B5358B">
        <w:t xml:space="preserve"> for effective</w:t>
      </w:r>
      <w:r w:rsidR="00B5358B" w:rsidRPr="00B5358B">
        <w:t xml:space="preserve"> </w:t>
      </w:r>
      <w:r w:rsidR="00B5358B">
        <w:t>implementation. Options include:</w:t>
      </w:r>
    </w:p>
    <w:p w14:paraId="646BEB29" w14:textId="788D96EE" w:rsidR="00691852" w:rsidRDefault="00D91613" w:rsidP="2EEC76FC">
      <w:pPr>
        <w:pStyle w:val="NumberedList-level2"/>
      </w:pPr>
      <w:r>
        <w:t>S</w:t>
      </w:r>
      <w:r w:rsidR="00803D2B">
        <w:t>upport</w:t>
      </w:r>
      <w:r w:rsidR="00B56DAA">
        <w:t xml:space="preserve"> </w:t>
      </w:r>
      <w:r w:rsidR="00803D2B" w:rsidRPr="00C47103">
        <w:rPr>
          <w:rStyle w:val="eop"/>
        </w:rPr>
        <w:t>capability development, including</w:t>
      </w:r>
      <w:r w:rsidR="00803D2B">
        <w:rPr>
          <w:rStyle w:val="eop"/>
        </w:rPr>
        <w:t xml:space="preserve"> in</w:t>
      </w:r>
      <w:r w:rsidR="00803D2B" w:rsidRPr="00C47103">
        <w:rPr>
          <w:rStyle w:val="eop"/>
        </w:rPr>
        <w:t xml:space="preserve"> cultural safety and vicarious trauma, </w:t>
      </w:r>
      <w:r w:rsidR="00671480">
        <w:rPr>
          <w:rStyle w:val="eop"/>
        </w:rPr>
        <w:t xml:space="preserve">amongst </w:t>
      </w:r>
      <w:r w:rsidR="00671480">
        <w:t>relationship managers</w:t>
      </w:r>
      <w:r w:rsidR="00C519A2">
        <w:t>.</w:t>
      </w:r>
      <w:r w:rsidR="00671480">
        <w:t xml:space="preserve"> </w:t>
      </w:r>
    </w:p>
    <w:p w14:paraId="1B29696D" w14:textId="77777777" w:rsidR="00600CA6" w:rsidRDefault="00D91613" w:rsidP="2EEC76FC">
      <w:pPr>
        <w:pStyle w:val="NumberedList-level2"/>
      </w:pPr>
      <w:r>
        <w:rPr>
          <w:rStyle w:val="eop"/>
        </w:rPr>
        <w:t>A</w:t>
      </w:r>
      <w:r w:rsidR="00331621">
        <w:rPr>
          <w:rStyle w:val="eop"/>
        </w:rPr>
        <w:t xml:space="preserve">llow </w:t>
      </w:r>
      <w:r w:rsidR="00600CA6" w:rsidRPr="00600CA6">
        <w:t xml:space="preserve">time for meaningful engagement </w:t>
      </w:r>
      <w:r w:rsidR="00331621">
        <w:t>with</w:t>
      </w:r>
      <w:r w:rsidR="00331621" w:rsidRPr="00600CA6">
        <w:t xml:space="preserve"> </w:t>
      </w:r>
      <w:r w:rsidR="00600CA6" w:rsidRPr="00600CA6">
        <w:t>Alliance representatives</w:t>
      </w:r>
      <w:r w:rsidR="00600CA6">
        <w:t>.</w:t>
      </w:r>
    </w:p>
    <w:p w14:paraId="1EBE32CC" w14:textId="77777777" w:rsidR="00C47103" w:rsidRDefault="00D91613" w:rsidP="000F060B">
      <w:pPr>
        <w:pStyle w:val="NumberedList-level2"/>
      </w:pPr>
      <w:r>
        <w:rPr>
          <w:rStyle w:val="eop"/>
        </w:rPr>
        <w:t>Establish</w:t>
      </w:r>
      <w:r w:rsidRPr="00C47103" w:rsidDel="00D91613">
        <w:t xml:space="preserve"> </w:t>
      </w:r>
      <w:r w:rsidR="00C47103" w:rsidRPr="00C47103">
        <w:t xml:space="preserve">options for OfW </w:t>
      </w:r>
      <w:r w:rsidR="00D813A3">
        <w:t>provision</w:t>
      </w:r>
      <w:r w:rsidR="00C47103" w:rsidRPr="00C47103">
        <w:t xml:space="preserve"> </w:t>
      </w:r>
      <w:r w:rsidR="009929AB">
        <w:t>of</w:t>
      </w:r>
      <w:r w:rsidR="00C47103" w:rsidRPr="00C47103">
        <w:t xml:space="preserve"> </w:t>
      </w:r>
      <w:r w:rsidR="00854B4B">
        <w:t xml:space="preserve">administration, </w:t>
      </w:r>
      <w:r w:rsidR="00C47103" w:rsidRPr="00C47103">
        <w:t>communications and marketing</w:t>
      </w:r>
      <w:r w:rsidR="00D813A3">
        <w:t xml:space="preserve"> support</w:t>
      </w:r>
      <w:r w:rsidR="00600CA6">
        <w:t xml:space="preserve"> for the Alliances</w:t>
      </w:r>
      <w:r w:rsidR="009929AB">
        <w:t xml:space="preserve"> to enhance program efficiency and improve program reach and visibility.</w:t>
      </w:r>
    </w:p>
    <w:p w14:paraId="43ABCFE7" w14:textId="77777777" w:rsidR="008655FA" w:rsidRPr="006353B9" w:rsidRDefault="00C47103" w:rsidP="000F060B">
      <w:pPr>
        <w:pStyle w:val="Heading3"/>
      </w:pPr>
      <w:bookmarkStart w:id="3" w:name="_Toc141081523"/>
      <w:r w:rsidRPr="006353B9">
        <w:t>Grant management</w:t>
      </w:r>
      <w:bookmarkEnd w:id="3"/>
    </w:p>
    <w:p w14:paraId="3153B6C0" w14:textId="2675A00D" w:rsidR="007609A3" w:rsidRDefault="00C47103" w:rsidP="00C47103">
      <w:pPr>
        <w:pStyle w:val="NumberedList-Level1"/>
      </w:pPr>
      <w:r w:rsidRPr="00C47103">
        <w:t xml:space="preserve">Undertake consultation with Alliances </w:t>
      </w:r>
      <w:r w:rsidR="00197FC4">
        <w:t>about grant management</w:t>
      </w:r>
      <w:r w:rsidR="0088613D">
        <w:t xml:space="preserve"> processes</w:t>
      </w:r>
      <w:r w:rsidR="000117FB">
        <w:t>, with the aim of</w:t>
      </w:r>
      <w:r w:rsidR="00DC7DA0">
        <w:t>:</w:t>
      </w:r>
      <w:r w:rsidR="000117FB">
        <w:t xml:space="preserve"> </w:t>
      </w:r>
    </w:p>
    <w:p w14:paraId="7396A875" w14:textId="419D6C5B" w:rsidR="00767A35" w:rsidRPr="00C47103" w:rsidRDefault="00585364" w:rsidP="00F55A6F">
      <w:pPr>
        <w:pStyle w:val="NumberedList-level2"/>
      </w:pPr>
      <w:r>
        <w:t>B</w:t>
      </w:r>
      <w:r w:rsidR="00C47103" w:rsidRPr="00C47103">
        <w:t>alanc</w:t>
      </w:r>
      <w:r>
        <w:t>ing</w:t>
      </w:r>
      <w:r w:rsidR="00C47103" w:rsidRPr="00C47103">
        <w:t xml:space="preserve"> tensions between </w:t>
      </w:r>
      <w:r w:rsidR="00F255D5">
        <w:t xml:space="preserve">expectations of </w:t>
      </w:r>
      <w:r w:rsidR="00C47103" w:rsidRPr="00C47103">
        <w:t xml:space="preserve">OfW and </w:t>
      </w:r>
      <w:r w:rsidR="00BF7FD1">
        <w:t xml:space="preserve">Alliance </w:t>
      </w:r>
      <w:r w:rsidR="00C47103" w:rsidRPr="00C47103">
        <w:t>member</w:t>
      </w:r>
      <w:r w:rsidR="00FA5B11">
        <w:t>s</w:t>
      </w:r>
      <w:r w:rsidR="00BF7FD1" w:rsidRPr="00BF7FD1">
        <w:t xml:space="preserve"> </w:t>
      </w:r>
      <w:r w:rsidR="00BF7FD1">
        <w:t>in content of activity plans</w:t>
      </w:r>
      <w:r w:rsidR="00C47103" w:rsidRPr="00C47103">
        <w:t>.</w:t>
      </w:r>
    </w:p>
    <w:p w14:paraId="75C97FFF" w14:textId="605A45EA" w:rsidR="00C47103" w:rsidRPr="00091728" w:rsidRDefault="00C47103" w:rsidP="00767A35">
      <w:pPr>
        <w:pStyle w:val="NumberedList-level2"/>
      </w:pPr>
      <w:r w:rsidRPr="00091728">
        <w:t>Revis</w:t>
      </w:r>
      <w:r w:rsidR="00767A35">
        <w:t>ing</w:t>
      </w:r>
      <w:r w:rsidRPr="00091728">
        <w:t xml:space="preserve"> performance reporting requirements to better capture desired outcomes</w:t>
      </w:r>
      <w:r w:rsidR="001155BF">
        <w:t xml:space="preserve"> and better reflect variation in cultural and organisational practice</w:t>
      </w:r>
      <w:r w:rsidR="00BF7FD1">
        <w:t xml:space="preserve"> across Alliances</w:t>
      </w:r>
      <w:r w:rsidRPr="00091728">
        <w:t>.</w:t>
      </w:r>
    </w:p>
    <w:p w14:paraId="4E403E44" w14:textId="77777777" w:rsidR="001155BF" w:rsidRPr="00091728" w:rsidRDefault="001155BF" w:rsidP="00F55A6F">
      <w:pPr>
        <w:pStyle w:val="NumberedList-level2"/>
      </w:pPr>
      <w:r>
        <w:t xml:space="preserve">Introducing </w:t>
      </w:r>
      <w:r w:rsidR="000C6798">
        <w:t xml:space="preserve">flexibility in activity requirements to accommodate responsiveness </w:t>
      </w:r>
      <w:r w:rsidR="006C0A4B">
        <w:t xml:space="preserve">to emerging </w:t>
      </w:r>
      <w:r w:rsidR="00AE4576">
        <w:t>requests for policy input</w:t>
      </w:r>
      <w:r w:rsidR="00EC58A3">
        <w:t>.</w:t>
      </w:r>
    </w:p>
    <w:p w14:paraId="6F3E7B71" w14:textId="77777777" w:rsidR="000F060B" w:rsidRDefault="000F060B">
      <w:pPr>
        <w:spacing w:after="200" w:line="288" w:lineRule="auto"/>
        <w:rPr>
          <w:rFonts w:eastAsiaTheme="majorEastAsia" w:cstheme="minorHAnsi"/>
          <w:b/>
          <w:color w:val="1B375C" w:themeColor="accent1"/>
          <w:sz w:val="24"/>
          <w:szCs w:val="24"/>
        </w:rPr>
      </w:pPr>
      <w:r>
        <w:br w:type="page"/>
      </w:r>
    </w:p>
    <w:p w14:paraId="11A18E73" w14:textId="7A0A1116" w:rsidR="00C47103" w:rsidRPr="00C47103" w:rsidRDefault="00C47103" w:rsidP="000F060B">
      <w:pPr>
        <w:pStyle w:val="Heading3"/>
      </w:pPr>
      <w:bookmarkStart w:id="4" w:name="_Toc141081524"/>
      <w:r w:rsidRPr="00C47103">
        <w:lastRenderedPageBreak/>
        <w:t>Representation</w:t>
      </w:r>
      <w:bookmarkEnd w:id="4"/>
    </w:p>
    <w:p w14:paraId="7DE279C9" w14:textId="77777777" w:rsidR="00B179B7" w:rsidRDefault="00C47103" w:rsidP="00C47103">
      <w:pPr>
        <w:pStyle w:val="NumberedList-Level1"/>
      </w:pPr>
      <w:r w:rsidRPr="00C47103">
        <w:t>Establish</w:t>
      </w:r>
      <w:r w:rsidR="00BC4BA4">
        <w:t xml:space="preserve"> options to further improve the </w:t>
      </w:r>
      <w:r w:rsidR="00B179B7">
        <w:t xml:space="preserve">inclusiveness and </w:t>
      </w:r>
      <w:r w:rsidR="00BC4BA4">
        <w:t>representati</w:t>
      </w:r>
      <w:r w:rsidR="00B179B7">
        <w:t>veness of the model by:</w:t>
      </w:r>
      <w:r w:rsidR="00BC4BA4">
        <w:t xml:space="preserve"> </w:t>
      </w:r>
    </w:p>
    <w:p w14:paraId="74671412" w14:textId="77777777" w:rsidR="00B179B7" w:rsidRPr="00C47103" w:rsidRDefault="00B179B7" w:rsidP="00F55A6F">
      <w:pPr>
        <w:pStyle w:val="NumberedList-level2"/>
      </w:pPr>
      <w:r>
        <w:t>F</w:t>
      </w:r>
      <w:r w:rsidR="008655FA">
        <w:t xml:space="preserve">unding </w:t>
      </w:r>
      <w:r w:rsidR="00C47103" w:rsidRPr="00C47103">
        <w:t>a cross-</w:t>
      </w:r>
      <w:r w:rsidR="00C47103" w:rsidRPr="000F060B">
        <w:rPr>
          <w:rStyle w:val="eop"/>
        </w:rPr>
        <w:t>Alliance</w:t>
      </w:r>
      <w:r w:rsidR="00C47103" w:rsidRPr="00C47103">
        <w:t xml:space="preserve"> youth forum. </w:t>
      </w:r>
    </w:p>
    <w:p w14:paraId="3179E0B7" w14:textId="17912A61" w:rsidR="00B179B7" w:rsidRDefault="00C47103" w:rsidP="00F55A6F">
      <w:pPr>
        <w:pStyle w:val="NumberedList-level2"/>
      </w:pPr>
      <w:r w:rsidRPr="000F060B">
        <w:rPr>
          <w:rStyle w:val="eop"/>
        </w:rPr>
        <w:t>Explicitly</w:t>
      </w:r>
      <w:r w:rsidRPr="00C47103">
        <w:t xml:space="preserve"> includ</w:t>
      </w:r>
      <w:r w:rsidR="00B179B7">
        <w:t>ing</w:t>
      </w:r>
      <w:r w:rsidRPr="00C47103">
        <w:t xml:space="preserve"> transwomen and non</w:t>
      </w:r>
      <w:r w:rsidR="00BF7FD1">
        <w:t>-</w:t>
      </w:r>
      <w:r w:rsidRPr="00C47103">
        <w:t>binary individuals in the NWA purpose.</w:t>
      </w:r>
    </w:p>
    <w:p w14:paraId="2BAE8ECB" w14:textId="77777777" w:rsidR="00F255D5" w:rsidRDefault="00403C2B">
      <w:pPr>
        <w:pStyle w:val="NumberedList-level2"/>
      </w:pPr>
      <w:r>
        <w:t>Formally e</w:t>
      </w:r>
      <w:r w:rsidR="00FB04AF">
        <w:t xml:space="preserve">stablishing </w:t>
      </w:r>
      <w:r w:rsidR="00F255D5">
        <w:t>LGBTQI+ representation</w:t>
      </w:r>
      <w:r>
        <w:t>, either in an additional Alliance or</w:t>
      </w:r>
      <w:r w:rsidR="00F255D5">
        <w:t xml:space="preserve"> within existing </w:t>
      </w:r>
      <w:r w:rsidR="007A7361">
        <w:t>Alliance</w:t>
      </w:r>
      <w:r w:rsidR="00F255D5">
        <w:t>s</w:t>
      </w:r>
    </w:p>
    <w:p w14:paraId="62A8D211" w14:textId="77777777" w:rsidR="00C47103" w:rsidRPr="00C47103" w:rsidRDefault="00C47103" w:rsidP="000F060B">
      <w:pPr>
        <w:pStyle w:val="Heading3"/>
      </w:pPr>
      <w:bookmarkStart w:id="5" w:name="_Toc141081525"/>
      <w:r w:rsidRPr="00C47103">
        <w:t>Facilitating policy engagement</w:t>
      </w:r>
      <w:bookmarkEnd w:id="5"/>
    </w:p>
    <w:p w14:paraId="018FCB98" w14:textId="77777777" w:rsidR="00DF386D" w:rsidRDefault="00330089" w:rsidP="00C47103">
      <w:pPr>
        <w:pStyle w:val="NumberedList-Level1"/>
        <w:rPr>
          <w:rStyle w:val="eop"/>
        </w:rPr>
      </w:pPr>
      <w:r>
        <w:rPr>
          <w:rStyle w:val="eop"/>
        </w:rPr>
        <w:t>Support the development of more</w:t>
      </w:r>
      <w:r w:rsidR="001A13CC">
        <w:rPr>
          <w:rStyle w:val="eop"/>
        </w:rPr>
        <w:t xml:space="preserve"> collaborative and</w:t>
      </w:r>
      <w:r>
        <w:rPr>
          <w:rStyle w:val="eop"/>
        </w:rPr>
        <w:t xml:space="preserve"> inclusive policy making</w:t>
      </w:r>
      <w:r w:rsidR="001A13CC">
        <w:rPr>
          <w:rStyle w:val="eop"/>
        </w:rPr>
        <w:t xml:space="preserve"> to better enable the contribution of the NWA program to the objectives of the WLDP; options include: </w:t>
      </w:r>
    </w:p>
    <w:p w14:paraId="04822B89" w14:textId="08EA006F" w:rsidR="00F81BDE" w:rsidRPr="00194019" w:rsidRDefault="00F81BDE" w:rsidP="00F55A6F">
      <w:pPr>
        <w:pStyle w:val="NumberedList-level2"/>
        <w:rPr>
          <w:rStyle w:val="eop"/>
        </w:rPr>
      </w:pPr>
      <w:r w:rsidRPr="00194019">
        <w:rPr>
          <w:rStyle w:val="eop"/>
        </w:rPr>
        <w:t>Consider options for structuring or formalising the process by which Alliances are involved in policy</w:t>
      </w:r>
      <w:r w:rsidR="00BF7FD1">
        <w:rPr>
          <w:rStyle w:val="eop"/>
        </w:rPr>
        <w:t>-</w:t>
      </w:r>
      <w:r w:rsidRPr="00194019">
        <w:rPr>
          <w:rStyle w:val="eop"/>
        </w:rPr>
        <w:t xml:space="preserve">making decisions. </w:t>
      </w:r>
    </w:p>
    <w:p w14:paraId="10CCEBC8" w14:textId="77777777" w:rsidR="00DF386D" w:rsidRDefault="00DF386D" w:rsidP="00DF386D">
      <w:pPr>
        <w:pStyle w:val="NumberedList-level2"/>
        <w:rPr>
          <w:rStyle w:val="eop"/>
        </w:rPr>
      </w:pPr>
      <w:r>
        <w:rPr>
          <w:rStyle w:val="eop"/>
        </w:rPr>
        <w:t>Supporting capability development in inclusive policy within Government.</w:t>
      </w:r>
    </w:p>
    <w:p w14:paraId="207E21CC" w14:textId="4F52A6C4" w:rsidR="00CB08B2" w:rsidRDefault="00DF386D">
      <w:pPr>
        <w:pStyle w:val="NumberedList-level2"/>
        <w:rPr>
          <w:rStyle w:val="eop"/>
        </w:rPr>
      </w:pPr>
      <w:r>
        <w:rPr>
          <w:rStyle w:val="eop"/>
        </w:rPr>
        <w:t>E</w:t>
      </w:r>
      <w:r w:rsidR="001703ED">
        <w:rPr>
          <w:rStyle w:val="eop"/>
        </w:rPr>
        <w:t xml:space="preserve">stablish </w:t>
      </w:r>
      <w:r w:rsidR="00BF7FD1">
        <w:rPr>
          <w:rStyle w:val="eop"/>
        </w:rPr>
        <w:t xml:space="preserve">a </w:t>
      </w:r>
      <w:r w:rsidR="001703ED">
        <w:rPr>
          <w:rStyle w:val="eop"/>
        </w:rPr>
        <w:t xml:space="preserve">more explicit </w:t>
      </w:r>
      <w:r w:rsidR="00931844">
        <w:rPr>
          <w:rStyle w:val="eop"/>
        </w:rPr>
        <w:t>descripti</w:t>
      </w:r>
      <w:r w:rsidR="00BF7FD1">
        <w:rPr>
          <w:rStyle w:val="eop"/>
        </w:rPr>
        <w:t>on</w:t>
      </w:r>
      <w:r>
        <w:rPr>
          <w:rStyle w:val="eop"/>
        </w:rPr>
        <w:t xml:space="preserve"> of</w:t>
      </w:r>
      <w:r w:rsidR="001703ED">
        <w:rPr>
          <w:rStyle w:val="eop"/>
        </w:rPr>
        <w:t xml:space="preserve"> </w:t>
      </w:r>
      <w:r>
        <w:rPr>
          <w:rStyle w:val="eop"/>
        </w:rPr>
        <w:t>policy</w:t>
      </w:r>
      <w:r w:rsidR="001703ED">
        <w:rPr>
          <w:rStyle w:val="eop"/>
        </w:rPr>
        <w:t xml:space="preserve"> collaboration</w:t>
      </w:r>
      <w:r w:rsidR="008548F6">
        <w:rPr>
          <w:rStyle w:val="eop"/>
        </w:rPr>
        <w:t>, including the role of Government,</w:t>
      </w:r>
      <w:r w:rsidR="001703ED">
        <w:rPr>
          <w:rStyle w:val="eop"/>
        </w:rPr>
        <w:t xml:space="preserve"> </w:t>
      </w:r>
      <w:r w:rsidR="00326669">
        <w:rPr>
          <w:rStyle w:val="eop"/>
        </w:rPr>
        <w:t>in grant guidelines.</w:t>
      </w:r>
    </w:p>
    <w:p w14:paraId="21E343EB" w14:textId="77777777" w:rsidR="00C47103" w:rsidRPr="00C47103" w:rsidRDefault="00CB08B2" w:rsidP="00CB08B2">
      <w:pPr>
        <w:pStyle w:val="NumberedList-Level1"/>
        <w:rPr>
          <w:rStyle w:val="eop"/>
        </w:rPr>
      </w:pPr>
      <w:r>
        <w:t>Undertake an impact evaluation of the NWA program</w:t>
      </w:r>
      <w:r w:rsidR="00F66330">
        <w:t xml:space="preserve"> that concentrates on women and the women’s sector</w:t>
      </w:r>
      <w:r>
        <w:t xml:space="preserve"> to better understand barriers and enablers to flow on benefits from NWA activity to WLDP objectives.</w:t>
      </w:r>
    </w:p>
    <w:p w14:paraId="26B14BE4" w14:textId="77777777" w:rsidR="00C47103" w:rsidRPr="006353B9" w:rsidRDefault="00C47103" w:rsidP="000F060B">
      <w:pPr>
        <w:pStyle w:val="Heading3"/>
        <w:rPr>
          <w:rStyle w:val="eop"/>
          <w:rFonts w:ascii="Arial" w:hAnsi="Arial" w:cs="Arial"/>
          <w:szCs w:val="22"/>
        </w:rPr>
      </w:pPr>
      <w:bookmarkStart w:id="6" w:name="_Toc141081526"/>
      <w:r w:rsidRPr="00C47103">
        <w:t>Inter-Alliance collaboration</w:t>
      </w:r>
      <w:bookmarkEnd w:id="6"/>
    </w:p>
    <w:p w14:paraId="7AB9222C" w14:textId="30D48086" w:rsidR="002D328E" w:rsidRDefault="002D328E" w:rsidP="00C47103">
      <w:pPr>
        <w:pStyle w:val="NumberedList-Level1"/>
      </w:pPr>
      <w:r>
        <w:t xml:space="preserve">Support </w:t>
      </w:r>
      <w:r w:rsidRPr="006353B9">
        <w:t>inter-Alliance</w:t>
      </w:r>
      <w:r>
        <w:t xml:space="preserve"> collaboration to </w:t>
      </w:r>
      <w:r w:rsidR="00CB45C6">
        <w:t>ensure</w:t>
      </w:r>
      <w:r>
        <w:t xml:space="preserve"> </w:t>
      </w:r>
      <w:r w:rsidR="00CB45C6">
        <w:t xml:space="preserve">policy problems and </w:t>
      </w:r>
      <w:r>
        <w:t>solutions</w:t>
      </w:r>
      <w:r w:rsidR="00CB45C6">
        <w:t xml:space="preserve"> are </w:t>
      </w:r>
      <w:r w:rsidR="00F4366B">
        <w:t xml:space="preserve">interpreted and </w:t>
      </w:r>
      <w:r w:rsidR="00CB45C6">
        <w:t>addresse</w:t>
      </w:r>
      <w:r w:rsidR="00340647">
        <w:t>d</w:t>
      </w:r>
      <w:r w:rsidR="00CB45C6">
        <w:t xml:space="preserve"> through </w:t>
      </w:r>
      <w:r w:rsidR="00F4366B">
        <w:t xml:space="preserve">an </w:t>
      </w:r>
      <w:r w:rsidR="00CB45C6">
        <w:t xml:space="preserve">intersectional </w:t>
      </w:r>
      <w:r w:rsidR="00F4366B">
        <w:t>lens; options include:</w:t>
      </w:r>
    </w:p>
    <w:p w14:paraId="2B60E29A" w14:textId="77777777" w:rsidR="00C47103" w:rsidRDefault="00604BA7" w:rsidP="00F4366B">
      <w:pPr>
        <w:pStyle w:val="NumberedList-level2"/>
      </w:pPr>
      <w:r>
        <w:t>Establishing</w:t>
      </w:r>
      <w:r w:rsidR="00C47103" w:rsidRPr="006353B9">
        <w:t xml:space="preserve"> inter-Alliance projects </w:t>
      </w:r>
      <w:r w:rsidR="00E366B5">
        <w:t>to establish patterns of</w:t>
      </w:r>
      <w:r w:rsidR="00C47103" w:rsidRPr="006353B9">
        <w:t xml:space="preserve"> collaborative working</w:t>
      </w:r>
      <w:r w:rsidR="00E366B5">
        <w:t>.</w:t>
      </w:r>
      <w:r>
        <w:t xml:space="preserve"> </w:t>
      </w:r>
    </w:p>
    <w:p w14:paraId="3EE20816" w14:textId="77777777" w:rsidR="00604BA7" w:rsidRPr="006353B9" w:rsidRDefault="00FE1C06" w:rsidP="00604BA7">
      <w:pPr>
        <w:pStyle w:val="NumberedList-level2"/>
      </w:pPr>
      <w:r>
        <w:t>Work</w:t>
      </w:r>
      <w:r w:rsidR="00340647">
        <w:t>ing</w:t>
      </w:r>
      <w:r>
        <w:t xml:space="preserve"> with Alliances to identify appropriate</w:t>
      </w:r>
      <w:r w:rsidR="00423E69">
        <w:t xml:space="preserve"> platform</w:t>
      </w:r>
      <w:r w:rsidR="00340647">
        <w:t>s</w:t>
      </w:r>
      <w:r w:rsidR="00423E69">
        <w:t xml:space="preserve"> for</w:t>
      </w:r>
      <w:r w:rsidR="00604BA7" w:rsidRPr="006353B9">
        <w:t xml:space="preserve"> inter-Alliance communication and collaboration</w:t>
      </w:r>
      <w:r w:rsidR="00604BA7">
        <w:t xml:space="preserve"> to support</w:t>
      </w:r>
      <w:r>
        <w:t xml:space="preserve"> knowledge sharing and</w:t>
      </w:r>
      <w:r w:rsidR="00604BA7">
        <w:t xml:space="preserve"> trust building</w:t>
      </w:r>
      <w:r w:rsidR="00FF4301">
        <w:t xml:space="preserve"> (e.g. regular forums, online knowledge management platform)</w:t>
      </w:r>
      <w:r w:rsidR="00604BA7">
        <w:t>.</w:t>
      </w:r>
    </w:p>
    <w:p w14:paraId="005CFB2E" w14:textId="77777777" w:rsidR="00604BA7" w:rsidRPr="00C47103" w:rsidRDefault="00604BA7" w:rsidP="00604BA7">
      <w:pPr>
        <w:pStyle w:val="NumberedList-level2"/>
        <w:numPr>
          <w:ilvl w:val="0"/>
          <w:numId w:val="0"/>
        </w:numPr>
        <w:ind w:left="851" w:hanging="284"/>
      </w:pPr>
    </w:p>
    <w:p w14:paraId="0A1CB642" w14:textId="77777777" w:rsidR="00C47103" w:rsidRPr="006353B9" w:rsidRDefault="00C47103" w:rsidP="00C47103">
      <w:pPr>
        <w:rPr>
          <w:rFonts w:ascii="Arial" w:eastAsia="Arial" w:hAnsi="Arial" w:cs="Arial"/>
          <w:szCs w:val="22"/>
        </w:rPr>
      </w:pPr>
    </w:p>
    <w:p w14:paraId="0A88AB58" w14:textId="77777777" w:rsidR="00C47103" w:rsidRDefault="00C47103">
      <w:pPr>
        <w:spacing w:after="200" w:line="288" w:lineRule="auto"/>
        <w:rPr>
          <w:rFonts w:asciiTheme="majorHAnsi" w:eastAsiaTheme="majorEastAsia" w:hAnsiTheme="majorHAnsi" w:cstheme="majorBidi"/>
          <w:color w:val="1B375C" w:themeColor="accent1"/>
          <w:sz w:val="48"/>
          <w:szCs w:val="40"/>
        </w:rPr>
      </w:pPr>
      <w:r>
        <w:br w:type="page"/>
      </w:r>
    </w:p>
    <w:p w14:paraId="3821F4A6" w14:textId="77777777" w:rsidR="00FF1215" w:rsidRDefault="00FF1215" w:rsidP="00FF1215">
      <w:pPr>
        <w:pStyle w:val="Heading1"/>
      </w:pPr>
      <w:bookmarkStart w:id="7" w:name="_Toc141081527"/>
      <w:r>
        <w:lastRenderedPageBreak/>
        <w:t>Introduction</w:t>
      </w:r>
      <w:bookmarkEnd w:id="7"/>
    </w:p>
    <w:p w14:paraId="09B35CE7" w14:textId="1B05CF24" w:rsidR="00D76F3C" w:rsidRPr="00A80474" w:rsidRDefault="00D76F3C" w:rsidP="00A80474">
      <w:r w:rsidRPr="00A80474">
        <w:t xml:space="preserve">The Global Institute for Women’s Leadership (GIWL) at </w:t>
      </w:r>
      <w:r w:rsidR="00F255D5">
        <w:t>T</w:t>
      </w:r>
      <w:r w:rsidRPr="00A80474">
        <w:t xml:space="preserve">he Australian National University (ANU) was commissioned </w:t>
      </w:r>
      <w:r w:rsidR="00F255D5">
        <w:t xml:space="preserve">by </w:t>
      </w:r>
      <w:r w:rsidRPr="00A80474">
        <w:t xml:space="preserve">the Australian </w:t>
      </w:r>
      <w:r w:rsidR="00A338C4">
        <w:t xml:space="preserve">Government </w:t>
      </w:r>
      <w:r w:rsidRPr="00A80474">
        <w:t xml:space="preserve">Department of </w:t>
      </w:r>
      <w:r w:rsidR="00A338C4">
        <w:t xml:space="preserve">the </w:t>
      </w:r>
      <w:r w:rsidRPr="00A80474">
        <w:t>Prime Minister and Cabinet to support an evaluation of National Women’s Alliances in partnership with the Office for Women (OfW). The National Women’s Alliances are one of two streams in the Women’s Leadership and Development Program (WLDP) that funds engagement with the women’s sector and other activities to improve social and economic outcomes for women in Australia.</w:t>
      </w:r>
    </w:p>
    <w:p w14:paraId="40FFB946" w14:textId="77777777" w:rsidR="00D76F3C" w:rsidRPr="00A80474" w:rsidRDefault="00D76F3C" w:rsidP="00D76F3C">
      <w:r w:rsidRPr="00A80474">
        <w:t xml:space="preserve">The National Women’s Alliances (NWA) were established in 2010 to create a better, more informed and representative dialogue between women and the Australian Government. There are currently two issue-based NWAs, the Equality Rights Alliance and </w:t>
      </w:r>
      <w:r w:rsidR="00F255D5">
        <w:t xml:space="preserve">the </w:t>
      </w:r>
      <w:r w:rsidRPr="00A80474">
        <w:t>National Women’s Safety Alliance, and four cohort-based NWAs, National Aboriginal and Torres Strait Islander Women’s Alliance, Harmony Alliance, National Rural Women’s Coalition</w:t>
      </w:r>
      <w:r w:rsidR="00F255D5">
        <w:t>,</w:t>
      </w:r>
      <w:r w:rsidRPr="00A80474">
        <w:t xml:space="preserve"> and Women with Disability Australia.</w:t>
      </w:r>
    </w:p>
    <w:p w14:paraId="2D73847A" w14:textId="77777777" w:rsidR="00D76F3C" w:rsidRPr="00A80474" w:rsidRDefault="00D76F3C" w:rsidP="00D76F3C">
      <w:r w:rsidRPr="00A80474">
        <w:t>The primary purpose of the evaluation was to assess the suitability of the NWA model as a vehicle for bringing women’s voices to the Australian Government to inform policy development. The report is structured around three evaluation outcome requirements:</w:t>
      </w:r>
    </w:p>
    <w:p w14:paraId="43AE1230" w14:textId="77777777" w:rsidR="00D76F3C" w:rsidRPr="00A80474" w:rsidRDefault="00D76F3C" w:rsidP="00277997">
      <w:pPr>
        <w:pStyle w:val="NumberedList-Level1"/>
        <w:numPr>
          <w:ilvl w:val="0"/>
          <w:numId w:val="11"/>
        </w:numPr>
      </w:pPr>
      <w:r w:rsidRPr="00A80474">
        <w:t xml:space="preserve">Assessment of how well suited the NWA model is to delivering the objectives of the Women’s Leadership and Development Program </w:t>
      </w:r>
    </w:p>
    <w:p w14:paraId="07FC9B6D" w14:textId="77777777" w:rsidR="00D76F3C" w:rsidRPr="00A80474" w:rsidRDefault="00D76F3C" w:rsidP="00A80474">
      <w:pPr>
        <w:pStyle w:val="NumberedList-Level1"/>
      </w:pPr>
      <w:r w:rsidRPr="00A80474">
        <w:t xml:space="preserve">Analysis of whether (and if so, how) changes to the model in 2020-21 and 2021-22 have improved NWAs’ focus and delivery of the specified outcomes and activities </w:t>
      </w:r>
    </w:p>
    <w:p w14:paraId="00E34BDD" w14:textId="77777777" w:rsidR="00D76F3C" w:rsidRDefault="00D76F3C" w:rsidP="00FF1215">
      <w:pPr>
        <w:pStyle w:val="NumberedList-Level1"/>
      </w:pPr>
      <w:r w:rsidRPr="00A80474">
        <w:t xml:space="preserve">Analysis of whether (and if so, how) the model has been adapted by grantees to their particular contexts, including NWA focus area, organisational governance and culture, and what impact any adaptations have had on meeting the model’s objectives </w:t>
      </w:r>
    </w:p>
    <w:p w14:paraId="2AE217A8" w14:textId="77777777" w:rsidR="00D76F3C" w:rsidRDefault="00D76F3C">
      <w:pPr>
        <w:spacing w:after="200" w:line="288" w:lineRule="auto"/>
        <w:rPr>
          <w:rFonts w:asciiTheme="majorHAnsi" w:eastAsiaTheme="majorEastAsia" w:hAnsiTheme="majorHAnsi" w:cstheme="majorBidi"/>
          <w:color w:val="1B375C" w:themeColor="accent1"/>
          <w:sz w:val="48"/>
          <w:szCs w:val="40"/>
        </w:rPr>
      </w:pPr>
      <w:r>
        <w:br w:type="page"/>
      </w:r>
    </w:p>
    <w:p w14:paraId="3EB24E9E" w14:textId="77777777" w:rsidR="00FF1215" w:rsidRDefault="00FF1215" w:rsidP="00FF1215">
      <w:pPr>
        <w:pStyle w:val="Heading1"/>
      </w:pPr>
      <w:bookmarkStart w:id="8" w:name="_Toc141081528"/>
      <w:r>
        <w:lastRenderedPageBreak/>
        <w:t>Methodology</w:t>
      </w:r>
      <w:bookmarkEnd w:id="8"/>
    </w:p>
    <w:p w14:paraId="597EC66C" w14:textId="77777777" w:rsidR="00D76F3C" w:rsidRPr="00A80474" w:rsidRDefault="00D76F3C" w:rsidP="00A80474">
      <w:r w:rsidRPr="00A80474">
        <w:t xml:space="preserve">The evaluation involved </w:t>
      </w:r>
      <w:r w:rsidR="008655FA">
        <w:t xml:space="preserve">a </w:t>
      </w:r>
      <w:r w:rsidRPr="00A80474">
        <w:t xml:space="preserve">desktop review and interviews with </w:t>
      </w:r>
      <w:r w:rsidR="00F255D5">
        <w:t>selected</w:t>
      </w:r>
      <w:r w:rsidR="00F255D5" w:rsidRPr="00A80474">
        <w:t xml:space="preserve"> </w:t>
      </w:r>
      <w:r w:rsidRPr="00A80474">
        <w:t xml:space="preserve">stakeholders of the NWA program. Documents for the desktop review were provided by OfW and included grant administration documents, funding agreements, activity work plans, strategic documents related to the project such as </w:t>
      </w:r>
      <w:r w:rsidR="00F17E13">
        <w:t>program</w:t>
      </w:r>
      <w:r w:rsidRPr="00A80474">
        <w:t xml:space="preserve"> logic, and copies of previous reviews and evaluations. </w:t>
      </w:r>
    </w:p>
    <w:p w14:paraId="6F8EF63F" w14:textId="77777777" w:rsidR="00D76F3C" w:rsidRPr="00A80474" w:rsidRDefault="00D76F3C" w:rsidP="00A80474">
      <w:r w:rsidRPr="00A80474">
        <w:t>Key stakeholders for interview were identified in discussion between OfW</w:t>
      </w:r>
      <w:r w:rsidR="00F255D5">
        <w:t xml:space="preserve"> and GIWL</w:t>
      </w:r>
      <w:r w:rsidRPr="00A80474">
        <w:t>. The initial sampling strategy sought to include representatives from the Alliances, the Office for Women, other government agencies</w:t>
      </w:r>
      <w:r w:rsidR="00F255D5">
        <w:t>,</w:t>
      </w:r>
      <w:r w:rsidRPr="00A80474">
        <w:t xml:space="preserve"> and the women sector. Due to time and resource constraints, it was not possible to include individuals or representatives of the women's sector </w:t>
      </w:r>
      <w:r w:rsidR="00F255D5">
        <w:t xml:space="preserve">(either </w:t>
      </w:r>
      <w:r w:rsidRPr="00A80474">
        <w:t xml:space="preserve">members or non-members of the </w:t>
      </w:r>
      <w:r w:rsidR="00F255D5">
        <w:t>A</w:t>
      </w:r>
      <w:r w:rsidRPr="00A80474">
        <w:t>lliances</w:t>
      </w:r>
      <w:r w:rsidR="00F255D5">
        <w:t>)</w:t>
      </w:r>
      <w:r w:rsidRPr="00A80474">
        <w:t xml:space="preserve">. Table </w:t>
      </w:r>
      <w:r w:rsidR="00F255D5">
        <w:t>1</w:t>
      </w:r>
      <w:r w:rsidR="00F255D5" w:rsidRPr="00A80474">
        <w:t xml:space="preserve"> </w:t>
      </w:r>
      <w:r w:rsidRPr="00A80474">
        <w:t xml:space="preserve">below presents the number of interviews and participants in each </w:t>
      </w:r>
      <w:r w:rsidR="00536E34">
        <w:t>stakeholder</w:t>
      </w:r>
      <w:r w:rsidRPr="00A80474">
        <w:t xml:space="preserve"> category.</w:t>
      </w:r>
      <w:r w:rsidR="00B70AD6">
        <w:t xml:space="preserve"> A full list is provided in Appendix 1.</w:t>
      </w:r>
      <w:r w:rsidRPr="00A80474">
        <w:t xml:space="preserve"> All interviews were conducted using a semi structured interview schedule. Some interviews were individual interviews while others were group interviews (focus groups).</w:t>
      </w:r>
    </w:p>
    <w:p w14:paraId="5A89C6FF" w14:textId="77777777" w:rsidR="00D76F3C" w:rsidRPr="0015656F" w:rsidRDefault="00D76F3C" w:rsidP="00D76F3C">
      <w:pPr>
        <w:pStyle w:val="paragraph"/>
        <w:spacing w:before="0" w:beforeAutospacing="0" w:after="0" w:afterAutospacing="0"/>
        <w:textAlignment w:val="baseline"/>
        <w:rPr>
          <w:rStyle w:val="eop"/>
          <w:rFonts w:ascii="Arial" w:hAnsi="Arial" w:cs="Arial"/>
          <w:sz w:val="22"/>
          <w:szCs w:val="22"/>
        </w:rPr>
      </w:pPr>
    </w:p>
    <w:p w14:paraId="72A40511" w14:textId="77777777" w:rsidR="00D76F3C" w:rsidRPr="00E127AE" w:rsidRDefault="00D76F3C" w:rsidP="008655FA">
      <w:pPr>
        <w:rPr>
          <w:rFonts w:cstheme="minorHAnsi"/>
        </w:rPr>
      </w:pPr>
      <w:r w:rsidRPr="00E127AE">
        <w:rPr>
          <w:rFonts w:cstheme="minorHAnsi"/>
        </w:rPr>
        <w:t>Table 1: Interview Sample</w:t>
      </w:r>
    </w:p>
    <w:tbl>
      <w:tblPr>
        <w:tblStyle w:val="Style1"/>
        <w:tblW w:w="0" w:type="auto"/>
        <w:tblLook w:val="04A0" w:firstRow="1" w:lastRow="0" w:firstColumn="1" w:lastColumn="0" w:noHBand="0" w:noVBand="1"/>
      </w:tblPr>
      <w:tblGrid>
        <w:gridCol w:w="3005"/>
        <w:gridCol w:w="3005"/>
        <w:gridCol w:w="3006"/>
      </w:tblGrid>
      <w:tr w:rsidR="00D76F3C" w:rsidRPr="00A07D73" w14:paraId="53B1028D" w14:textId="77777777" w:rsidTr="00A74A8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05" w:type="dxa"/>
          </w:tcPr>
          <w:p w14:paraId="1963549D" w14:textId="77777777" w:rsidR="00D76F3C" w:rsidRPr="00A07D73" w:rsidRDefault="00D76F3C" w:rsidP="007C03C9">
            <w:pPr>
              <w:pStyle w:val="TBLHeading"/>
              <w:rPr>
                <w:rStyle w:val="eop"/>
                <w:b/>
              </w:rPr>
            </w:pPr>
            <w:bookmarkStart w:id="9" w:name="_GoBack" w:colFirst="0" w:colLast="3"/>
            <w:r w:rsidRPr="00A07D73">
              <w:rPr>
                <w:rStyle w:val="eop"/>
                <w:b/>
              </w:rPr>
              <w:t>Stakeholder group</w:t>
            </w:r>
          </w:p>
        </w:tc>
        <w:tc>
          <w:tcPr>
            <w:tcW w:w="3005" w:type="dxa"/>
          </w:tcPr>
          <w:p w14:paraId="12B1D332" w14:textId="77777777" w:rsidR="00D76F3C" w:rsidRPr="00A07D73" w:rsidRDefault="00D76F3C" w:rsidP="00A07D73">
            <w:pPr>
              <w:pStyle w:val="TBLHeading"/>
              <w:cnfStyle w:val="100000000000" w:firstRow="1" w:lastRow="0" w:firstColumn="0" w:lastColumn="0" w:oddVBand="0" w:evenVBand="0" w:oddHBand="0" w:evenHBand="0" w:firstRowFirstColumn="0" w:firstRowLastColumn="0" w:lastRowFirstColumn="0" w:lastRowLastColumn="0"/>
              <w:rPr>
                <w:rStyle w:val="eop"/>
                <w:b/>
              </w:rPr>
            </w:pPr>
            <w:r w:rsidRPr="00A07D73">
              <w:rPr>
                <w:rStyle w:val="eop"/>
                <w:b/>
              </w:rPr>
              <w:t>Number interviews</w:t>
            </w:r>
          </w:p>
        </w:tc>
        <w:tc>
          <w:tcPr>
            <w:tcW w:w="3006" w:type="dxa"/>
          </w:tcPr>
          <w:p w14:paraId="4AFFD591" w14:textId="57F2AFBD" w:rsidR="00D76F3C" w:rsidRPr="00A07D73" w:rsidRDefault="00D76F3C" w:rsidP="00A07D73">
            <w:pPr>
              <w:pStyle w:val="TBLHeading"/>
              <w:cnfStyle w:val="100000000000" w:firstRow="1" w:lastRow="0" w:firstColumn="0" w:lastColumn="0" w:oddVBand="0" w:evenVBand="0" w:oddHBand="0" w:evenHBand="0" w:firstRowFirstColumn="0" w:firstRowLastColumn="0" w:lastRowFirstColumn="0" w:lastRowLastColumn="0"/>
              <w:rPr>
                <w:rStyle w:val="eop"/>
                <w:b/>
              </w:rPr>
            </w:pPr>
            <w:r w:rsidRPr="00A07D73">
              <w:rPr>
                <w:rStyle w:val="eop"/>
                <w:b/>
              </w:rPr>
              <w:t>Number participants</w:t>
            </w:r>
          </w:p>
        </w:tc>
      </w:tr>
      <w:tr w:rsidR="005050B7" w:rsidRPr="000F060B" w14:paraId="2C97EA0E" w14:textId="77777777" w:rsidTr="008655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2DD392BD" w14:textId="77777777" w:rsidR="005050B7" w:rsidRPr="005050B7" w:rsidRDefault="005050B7" w:rsidP="005050B7">
            <w:pPr>
              <w:pStyle w:val="TBLHeading"/>
              <w:rPr>
                <w:rStyle w:val="eop"/>
              </w:rPr>
            </w:pPr>
          </w:p>
        </w:tc>
        <w:tc>
          <w:tcPr>
            <w:tcW w:w="3005" w:type="dxa"/>
          </w:tcPr>
          <w:p w14:paraId="28B12438" w14:textId="77777777" w:rsidR="005050B7" w:rsidRPr="000F060B" w:rsidRDefault="005050B7" w:rsidP="005050B7">
            <w:pPr>
              <w:pStyle w:val="TBLHeading"/>
              <w:cnfStyle w:val="000000100000" w:firstRow="0" w:lastRow="0" w:firstColumn="0" w:lastColumn="0" w:oddVBand="0" w:evenVBand="0" w:oddHBand="1" w:evenHBand="0" w:firstRowFirstColumn="0" w:firstRowLastColumn="0" w:lastRowFirstColumn="0" w:lastRowLastColumn="0"/>
              <w:rPr>
                <w:rStyle w:val="eop"/>
              </w:rPr>
            </w:pPr>
          </w:p>
        </w:tc>
        <w:tc>
          <w:tcPr>
            <w:tcW w:w="3006" w:type="dxa"/>
          </w:tcPr>
          <w:p w14:paraId="2EC73DBB" w14:textId="77777777" w:rsidR="005050B7" w:rsidRPr="000F060B" w:rsidRDefault="005050B7" w:rsidP="005050B7">
            <w:pPr>
              <w:pStyle w:val="TBLHeading"/>
              <w:cnfStyle w:val="000000100000" w:firstRow="0" w:lastRow="0" w:firstColumn="0" w:lastColumn="0" w:oddVBand="0" w:evenVBand="0" w:oddHBand="1" w:evenHBand="0" w:firstRowFirstColumn="0" w:firstRowLastColumn="0" w:lastRowFirstColumn="0" w:lastRowLastColumn="0"/>
              <w:rPr>
                <w:rStyle w:val="eop"/>
              </w:rPr>
            </w:pPr>
          </w:p>
        </w:tc>
      </w:tr>
      <w:tr w:rsidR="00D76F3C" w:rsidRPr="00E127AE" w14:paraId="7A673DAA" w14:textId="77777777" w:rsidTr="008655FA">
        <w:tc>
          <w:tcPr>
            <w:cnfStyle w:val="001000000000" w:firstRow="0" w:lastRow="0" w:firstColumn="1" w:lastColumn="0" w:oddVBand="0" w:evenVBand="0" w:oddHBand="0" w:evenHBand="0" w:firstRowFirstColumn="0" w:firstRowLastColumn="0" w:lastRowFirstColumn="0" w:lastRowLastColumn="0"/>
            <w:tcW w:w="3005" w:type="dxa"/>
          </w:tcPr>
          <w:p w14:paraId="48BBC41F" w14:textId="77777777" w:rsidR="00D76F3C" w:rsidRPr="005050B7" w:rsidRDefault="00F73D8D" w:rsidP="005050B7">
            <w:pPr>
              <w:pStyle w:val="TBLHeading"/>
              <w:rPr>
                <w:rStyle w:val="eop"/>
                <w:rFonts w:asciiTheme="minorHAnsi" w:hAnsiTheme="minorHAnsi" w:cstheme="minorHAnsi"/>
                <w:b/>
                <w:bCs w:val="0"/>
              </w:rPr>
            </w:pPr>
            <w:r w:rsidRPr="005050B7">
              <w:rPr>
                <w:b/>
              </w:rPr>
              <w:t>OfW</w:t>
            </w:r>
          </w:p>
        </w:tc>
        <w:tc>
          <w:tcPr>
            <w:tcW w:w="3005" w:type="dxa"/>
          </w:tcPr>
          <w:p w14:paraId="665FBE7D" w14:textId="77777777" w:rsidR="00D76F3C" w:rsidRPr="00E127AE" w:rsidRDefault="005600FB" w:rsidP="008606B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HAnsi"/>
                <w:bCs/>
                <w:sz w:val="22"/>
                <w:szCs w:val="22"/>
              </w:rPr>
            </w:pPr>
            <w:r w:rsidRPr="00E127AE">
              <w:rPr>
                <w:rStyle w:val="eop"/>
                <w:rFonts w:asciiTheme="minorHAnsi" w:hAnsiTheme="minorHAnsi" w:cstheme="minorHAnsi"/>
                <w:bCs/>
                <w:sz w:val="22"/>
                <w:szCs w:val="22"/>
              </w:rPr>
              <w:t>3</w:t>
            </w:r>
          </w:p>
        </w:tc>
        <w:tc>
          <w:tcPr>
            <w:tcW w:w="3006" w:type="dxa"/>
          </w:tcPr>
          <w:p w14:paraId="021BAA77" w14:textId="77777777" w:rsidR="00D76F3C" w:rsidRPr="00E127AE" w:rsidRDefault="005600FB" w:rsidP="008606B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HAnsi"/>
                <w:bCs/>
                <w:sz w:val="22"/>
                <w:szCs w:val="22"/>
              </w:rPr>
            </w:pPr>
            <w:r w:rsidRPr="00E127AE">
              <w:rPr>
                <w:rStyle w:val="eop"/>
                <w:rFonts w:asciiTheme="minorHAnsi" w:hAnsiTheme="minorHAnsi" w:cstheme="minorHAnsi"/>
                <w:bCs/>
                <w:sz w:val="22"/>
                <w:szCs w:val="22"/>
              </w:rPr>
              <w:t>9</w:t>
            </w:r>
            <w:r w:rsidR="00D76F3C" w:rsidRPr="00E127AE">
              <w:rPr>
                <w:rStyle w:val="eop"/>
                <w:rFonts w:asciiTheme="minorHAnsi" w:hAnsiTheme="minorHAnsi" w:cstheme="minorHAnsi"/>
                <w:bCs/>
                <w:sz w:val="22"/>
                <w:szCs w:val="22"/>
              </w:rPr>
              <w:t xml:space="preserve"> </w:t>
            </w:r>
          </w:p>
        </w:tc>
      </w:tr>
      <w:tr w:rsidR="00F73D8D" w:rsidRPr="00E127AE" w14:paraId="723C2395" w14:textId="77777777" w:rsidTr="008655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65B5A9EE" w14:textId="77777777" w:rsidR="00F73D8D" w:rsidRPr="005050B7" w:rsidRDefault="00F73D8D" w:rsidP="005050B7">
            <w:pPr>
              <w:pStyle w:val="TBLHeading"/>
              <w:rPr>
                <w:b/>
              </w:rPr>
            </w:pPr>
            <w:r w:rsidRPr="005050B7">
              <w:rPr>
                <w:b/>
              </w:rPr>
              <w:t>Government</w:t>
            </w:r>
          </w:p>
        </w:tc>
        <w:tc>
          <w:tcPr>
            <w:tcW w:w="3005" w:type="dxa"/>
          </w:tcPr>
          <w:p w14:paraId="0544F418" w14:textId="77777777" w:rsidR="00F73D8D" w:rsidRPr="00E127AE" w:rsidRDefault="00F73D8D" w:rsidP="008606B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cstheme="minorHAnsi"/>
                <w:bCs/>
                <w:sz w:val="22"/>
                <w:szCs w:val="22"/>
              </w:rPr>
            </w:pPr>
            <w:r w:rsidRPr="00E127AE">
              <w:rPr>
                <w:rStyle w:val="eop"/>
                <w:rFonts w:asciiTheme="minorHAnsi" w:hAnsiTheme="minorHAnsi" w:cstheme="minorHAnsi"/>
                <w:bCs/>
                <w:sz w:val="22"/>
                <w:szCs w:val="22"/>
              </w:rPr>
              <w:t>1</w:t>
            </w:r>
          </w:p>
        </w:tc>
        <w:tc>
          <w:tcPr>
            <w:tcW w:w="3006" w:type="dxa"/>
          </w:tcPr>
          <w:p w14:paraId="4154EE06" w14:textId="77777777" w:rsidR="00F73D8D" w:rsidRPr="00E127AE" w:rsidRDefault="00F73D8D" w:rsidP="008606B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cstheme="minorHAnsi"/>
                <w:bCs/>
                <w:sz w:val="22"/>
                <w:szCs w:val="22"/>
              </w:rPr>
            </w:pPr>
            <w:r w:rsidRPr="00E127AE">
              <w:rPr>
                <w:rStyle w:val="eop"/>
                <w:rFonts w:asciiTheme="minorHAnsi" w:hAnsiTheme="minorHAnsi" w:cstheme="minorHAnsi"/>
                <w:bCs/>
                <w:sz w:val="22"/>
                <w:szCs w:val="22"/>
              </w:rPr>
              <w:t>7</w:t>
            </w:r>
          </w:p>
        </w:tc>
      </w:tr>
      <w:tr w:rsidR="00D76F3C" w:rsidRPr="00E127AE" w14:paraId="79C97701" w14:textId="77777777" w:rsidTr="008655FA">
        <w:tc>
          <w:tcPr>
            <w:cnfStyle w:val="001000000000" w:firstRow="0" w:lastRow="0" w:firstColumn="1" w:lastColumn="0" w:oddVBand="0" w:evenVBand="0" w:oddHBand="0" w:evenHBand="0" w:firstRowFirstColumn="0" w:firstRowLastColumn="0" w:lastRowFirstColumn="0" w:lastRowLastColumn="0"/>
            <w:tcW w:w="3005" w:type="dxa"/>
          </w:tcPr>
          <w:p w14:paraId="082E0F4E" w14:textId="77777777" w:rsidR="00D76F3C" w:rsidRPr="005050B7" w:rsidRDefault="00D76F3C" w:rsidP="005050B7">
            <w:pPr>
              <w:pStyle w:val="TBLHeading"/>
              <w:rPr>
                <w:rStyle w:val="eop"/>
                <w:rFonts w:asciiTheme="minorHAnsi" w:hAnsiTheme="minorHAnsi" w:cstheme="minorHAnsi"/>
                <w:b/>
                <w:bCs w:val="0"/>
              </w:rPr>
            </w:pPr>
            <w:r w:rsidRPr="005050B7">
              <w:rPr>
                <w:b/>
              </w:rPr>
              <w:t>Alliance</w:t>
            </w:r>
          </w:p>
        </w:tc>
        <w:tc>
          <w:tcPr>
            <w:tcW w:w="3005" w:type="dxa"/>
          </w:tcPr>
          <w:p w14:paraId="6A0DE6B2" w14:textId="77777777" w:rsidR="00D76F3C" w:rsidRPr="00E127AE" w:rsidRDefault="00D76F3C" w:rsidP="008606B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HAnsi"/>
                <w:bCs/>
                <w:sz w:val="22"/>
                <w:szCs w:val="22"/>
              </w:rPr>
            </w:pPr>
            <w:r w:rsidRPr="00E127AE">
              <w:rPr>
                <w:rStyle w:val="eop"/>
                <w:rFonts w:asciiTheme="minorHAnsi" w:hAnsiTheme="minorHAnsi" w:cstheme="minorHAnsi"/>
                <w:bCs/>
                <w:sz w:val="22"/>
                <w:szCs w:val="22"/>
              </w:rPr>
              <w:t>6</w:t>
            </w:r>
          </w:p>
        </w:tc>
        <w:tc>
          <w:tcPr>
            <w:tcW w:w="3006" w:type="dxa"/>
          </w:tcPr>
          <w:p w14:paraId="32581FD2" w14:textId="77777777" w:rsidR="00D76F3C" w:rsidRPr="00E127AE" w:rsidRDefault="00D76F3C" w:rsidP="008606B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HAnsi"/>
                <w:bCs/>
                <w:sz w:val="22"/>
                <w:szCs w:val="22"/>
              </w:rPr>
            </w:pPr>
            <w:r w:rsidRPr="00E127AE">
              <w:rPr>
                <w:rStyle w:val="eop"/>
                <w:rFonts w:asciiTheme="minorHAnsi" w:hAnsiTheme="minorHAnsi" w:cstheme="minorHAnsi"/>
                <w:bCs/>
                <w:sz w:val="22"/>
                <w:szCs w:val="22"/>
              </w:rPr>
              <w:t>8</w:t>
            </w:r>
          </w:p>
        </w:tc>
      </w:tr>
      <w:tr w:rsidR="00D76F3C" w:rsidRPr="00E127AE" w14:paraId="0CF5234E" w14:textId="77777777" w:rsidTr="008655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40E758A6" w14:textId="77777777" w:rsidR="00D76F3C" w:rsidRPr="005050B7" w:rsidRDefault="00D76F3C" w:rsidP="005050B7">
            <w:pPr>
              <w:pStyle w:val="TBLHeading"/>
              <w:rPr>
                <w:rStyle w:val="eop"/>
                <w:rFonts w:asciiTheme="minorHAnsi" w:hAnsiTheme="minorHAnsi" w:cstheme="minorHAnsi"/>
                <w:b/>
                <w:bCs w:val="0"/>
              </w:rPr>
            </w:pPr>
            <w:r w:rsidRPr="005050B7">
              <w:rPr>
                <w:b/>
              </w:rPr>
              <w:t>Auspicing and member organisations</w:t>
            </w:r>
          </w:p>
        </w:tc>
        <w:tc>
          <w:tcPr>
            <w:tcW w:w="3005" w:type="dxa"/>
          </w:tcPr>
          <w:p w14:paraId="0640B8BE" w14:textId="77777777" w:rsidR="00D76F3C" w:rsidRPr="00E127AE" w:rsidRDefault="00D76F3C" w:rsidP="008606B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cstheme="minorHAnsi"/>
                <w:bCs/>
                <w:sz w:val="22"/>
                <w:szCs w:val="22"/>
              </w:rPr>
            </w:pPr>
            <w:r w:rsidRPr="00E127AE">
              <w:rPr>
                <w:rStyle w:val="eop"/>
                <w:rFonts w:asciiTheme="minorHAnsi" w:hAnsiTheme="minorHAnsi" w:cstheme="minorHAnsi"/>
                <w:bCs/>
                <w:sz w:val="22"/>
                <w:szCs w:val="22"/>
              </w:rPr>
              <w:t>3</w:t>
            </w:r>
          </w:p>
        </w:tc>
        <w:tc>
          <w:tcPr>
            <w:tcW w:w="3006" w:type="dxa"/>
          </w:tcPr>
          <w:p w14:paraId="7BFBFBBB" w14:textId="77777777" w:rsidR="00D76F3C" w:rsidRPr="00E127AE" w:rsidRDefault="00925734" w:rsidP="008606B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cstheme="minorHAnsi"/>
                <w:bCs/>
                <w:sz w:val="22"/>
                <w:szCs w:val="22"/>
              </w:rPr>
            </w:pPr>
            <w:r>
              <w:rPr>
                <w:rStyle w:val="eop"/>
                <w:rFonts w:asciiTheme="minorHAnsi" w:hAnsiTheme="minorHAnsi" w:cstheme="minorHAnsi"/>
                <w:bCs/>
                <w:sz w:val="22"/>
                <w:szCs w:val="22"/>
              </w:rPr>
              <w:t>4</w:t>
            </w:r>
          </w:p>
        </w:tc>
      </w:tr>
      <w:tr w:rsidR="00D76F3C" w:rsidRPr="00E127AE" w14:paraId="3489DBA8" w14:textId="77777777" w:rsidTr="008655FA">
        <w:tc>
          <w:tcPr>
            <w:cnfStyle w:val="001000000000" w:firstRow="0" w:lastRow="0" w:firstColumn="1" w:lastColumn="0" w:oddVBand="0" w:evenVBand="0" w:oddHBand="0" w:evenHBand="0" w:firstRowFirstColumn="0" w:firstRowLastColumn="0" w:lastRowFirstColumn="0" w:lastRowLastColumn="0"/>
            <w:tcW w:w="3005" w:type="dxa"/>
          </w:tcPr>
          <w:p w14:paraId="3358303E" w14:textId="77777777" w:rsidR="00D76F3C" w:rsidRPr="005050B7" w:rsidRDefault="00D76F3C" w:rsidP="005050B7">
            <w:pPr>
              <w:pStyle w:val="TBLHeading"/>
              <w:rPr>
                <w:b/>
              </w:rPr>
            </w:pPr>
            <w:r w:rsidRPr="005050B7">
              <w:rPr>
                <w:b/>
              </w:rPr>
              <w:t>Total</w:t>
            </w:r>
          </w:p>
        </w:tc>
        <w:tc>
          <w:tcPr>
            <w:tcW w:w="3005" w:type="dxa"/>
          </w:tcPr>
          <w:p w14:paraId="593F8A3F" w14:textId="77777777" w:rsidR="00D76F3C" w:rsidRPr="00E127AE" w:rsidRDefault="008655FA" w:rsidP="008606B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HAnsi"/>
                <w:bCs/>
                <w:sz w:val="22"/>
                <w:szCs w:val="22"/>
              </w:rPr>
            </w:pPr>
            <w:r w:rsidRPr="00E127AE">
              <w:rPr>
                <w:rStyle w:val="eop"/>
                <w:rFonts w:asciiTheme="minorHAnsi" w:hAnsiTheme="minorHAnsi" w:cstheme="minorHAnsi"/>
                <w:bCs/>
                <w:sz w:val="22"/>
                <w:szCs w:val="22"/>
              </w:rPr>
              <w:t>13</w:t>
            </w:r>
          </w:p>
        </w:tc>
        <w:tc>
          <w:tcPr>
            <w:tcW w:w="3006" w:type="dxa"/>
          </w:tcPr>
          <w:p w14:paraId="75A776EA" w14:textId="254EB57B" w:rsidR="00D76F3C" w:rsidRPr="00E127AE" w:rsidRDefault="00753DC9" w:rsidP="008606BB">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HAnsi"/>
                <w:bCs/>
                <w:sz w:val="22"/>
                <w:szCs w:val="22"/>
              </w:rPr>
            </w:pPr>
            <w:r w:rsidRPr="00E127AE">
              <w:rPr>
                <w:rStyle w:val="eop"/>
                <w:rFonts w:asciiTheme="minorHAnsi" w:hAnsiTheme="minorHAnsi" w:cstheme="minorHAnsi"/>
                <w:bCs/>
                <w:sz w:val="22"/>
                <w:szCs w:val="22"/>
              </w:rPr>
              <w:t>27</w:t>
            </w:r>
            <w:r w:rsidR="00BF7FD1">
              <w:rPr>
                <w:rStyle w:val="eop"/>
                <w:rFonts w:asciiTheme="minorHAnsi" w:hAnsiTheme="minorHAnsi" w:cstheme="minorHAnsi"/>
                <w:bCs/>
                <w:sz w:val="22"/>
                <w:szCs w:val="22"/>
              </w:rPr>
              <w:t>*</w:t>
            </w:r>
          </w:p>
        </w:tc>
      </w:tr>
    </w:tbl>
    <w:bookmarkEnd w:id="9"/>
    <w:p w14:paraId="27BC7E32" w14:textId="6F851102" w:rsidR="00D76F3C" w:rsidRPr="00BC150C" w:rsidRDefault="00BF7FD1" w:rsidP="000F060B">
      <w:pPr>
        <w:pStyle w:val="paragraph"/>
        <w:spacing w:before="0" w:beforeAutospacing="0" w:after="160" w:afterAutospacing="0"/>
        <w:textAlignment w:val="baseline"/>
        <w:rPr>
          <w:rStyle w:val="eop"/>
          <w:rFonts w:ascii="Arial" w:hAnsi="Arial" w:cs="Arial"/>
          <w:sz w:val="18"/>
          <w:szCs w:val="18"/>
        </w:rPr>
      </w:pPr>
      <w:r w:rsidRPr="00BC150C">
        <w:rPr>
          <w:rStyle w:val="eop"/>
          <w:rFonts w:ascii="Arial" w:hAnsi="Arial" w:cs="Arial"/>
          <w:sz w:val="18"/>
          <w:szCs w:val="18"/>
        </w:rPr>
        <w:t>*one participant in two interviews</w:t>
      </w:r>
    </w:p>
    <w:p w14:paraId="0542068E" w14:textId="77777777" w:rsidR="00D76F3C" w:rsidRPr="008655FA" w:rsidRDefault="00D76F3C" w:rsidP="008655FA">
      <w:pPr>
        <w:rPr>
          <w:rStyle w:val="eop"/>
        </w:rPr>
      </w:pPr>
      <w:r w:rsidRPr="00A80474">
        <w:t>All interviews were recorded and transcribed using speech to text software. Emergent thematic analysis and lines of argument synthesis were used to analyse interview data. Emergent thematic analysis involves reading interview transcripts to identify, analyse</w:t>
      </w:r>
      <w:r w:rsidR="00F255D5">
        <w:t>,</w:t>
      </w:r>
      <w:r w:rsidRPr="00A80474">
        <w:t xml:space="preserve"> and interpret patterns in participant responses. Lines of argument synthesis involves reviewing participant responses to interview questions to identify their core position on an issue (e.g.</w:t>
      </w:r>
      <w:r w:rsidR="00F255D5">
        <w:t>,</w:t>
      </w:r>
      <w:r w:rsidRPr="00A80474">
        <w:t xml:space="preserve"> resourcing, representation), and how these positions interact in an overall line of argument about a topic or phenomena—in this case, the NWA model.</w:t>
      </w:r>
    </w:p>
    <w:p w14:paraId="51022683" w14:textId="77777777" w:rsidR="00AB4792" w:rsidRDefault="00D76F3C" w:rsidP="00A80474">
      <w:r w:rsidRPr="00091728">
        <w:t>The project was conducted in partnership between OfW</w:t>
      </w:r>
      <w:r w:rsidR="00F255D5" w:rsidRPr="00091728">
        <w:t xml:space="preserve"> and GIWL</w:t>
      </w:r>
      <w:r w:rsidRPr="00091728">
        <w:t xml:space="preserve"> and </w:t>
      </w:r>
      <w:r w:rsidR="00F255D5" w:rsidRPr="00091728">
        <w:t xml:space="preserve">as such </w:t>
      </w:r>
      <w:r w:rsidRPr="00091728">
        <w:t xml:space="preserve">is not </w:t>
      </w:r>
      <w:r w:rsidR="00F255D5" w:rsidRPr="00091728">
        <w:t>an</w:t>
      </w:r>
      <w:r w:rsidRPr="00091728">
        <w:t xml:space="preserve"> independent evaluation. The project </w:t>
      </w:r>
      <w:r w:rsidR="00F255D5" w:rsidRPr="00091728">
        <w:t>may be best characterised</w:t>
      </w:r>
      <w:r w:rsidRPr="00091728">
        <w:t xml:space="preserve"> as a review rather than a</w:t>
      </w:r>
      <w:r w:rsidR="007A5FF0" w:rsidRPr="00091728">
        <w:t xml:space="preserve"> full</w:t>
      </w:r>
      <w:r w:rsidRPr="00091728">
        <w:t xml:space="preserve"> evaluation, as no outcome data were collected, and no data were collected from the target beneficiaries of the program (Australian women in general, the women’s sector, and under-represented women in particular).</w:t>
      </w:r>
      <w:r w:rsidRPr="00A80474">
        <w:t xml:space="preserve">  </w:t>
      </w:r>
    </w:p>
    <w:p w14:paraId="5A8C60E1" w14:textId="094626D4" w:rsidR="00D76F3C" w:rsidRDefault="00F255D5" w:rsidP="00A80474">
      <w:r w:rsidRPr="00091728">
        <w:lastRenderedPageBreak/>
        <w:t>This</w:t>
      </w:r>
      <w:r w:rsidR="00D76F3C" w:rsidRPr="00091728">
        <w:t xml:space="preserve"> partnership model has allowed </w:t>
      </w:r>
      <w:r w:rsidRPr="00091728">
        <w:t xml:space="preserve">for </w:t>
      </w:r>
      <w:r w:rsidR="00D76F3C" w:rsidRPr="00091728">
        <w:t xml:space="preserve">a collaborative mode of research to occur, </w:t>
      </w:r>
      <w:r w:rsidRPr="00091728">
        <w:t xml:space="preserve">however, it may have inadvertently introduced </w:t>
      </w:r>
      <w:r w:rsidR="00D76F3C" w:rsidRPr="00091728">
        <w:t>power imbalances in</w:t>
      </w:r>
      <w:r w:rsidRPr="00091728">
        <w:t>to</w:t>
      </w:r>
      <w:r w:rsidR="00D76F3C" w:rsidRPr="00091728">
        <w:t xml:space="preserve"> the research methodology. </w:t>
      </w:r>
      <w:r w:rsidRPr="00091728">
        <w:t>T</w:t>
      </w:r>
      <w:r w:rsidR="00D76F3C" w:rsidRPr="00091728">
        <w:t>he presence of the OfW representatives</w:t>
      </w:r>
      <w:r w:rsidRPr="00091728">
        <w:t xml:space="preserve"> (as funders of the NWA)</w:t>
      </w:r>
      <w:r w:rsidR="00D76F3C" w:rsidRPr="00091728">
        <w:t xml:space="preserve"> likely influenced the nature and completeness of data captured in interviews. These limitations and data integrity issues </w:t>
      </w:r>
      <w:r w:rsidR="008E626C" w:rsidRPr="00091728">
        <w:t>should</w:t>
      </w:r>
      <w:r w:rsidR="00D76F3C" w:rsidRPr="00091728">
        <w:t xml:space="preserve"> be considered when interpreting the findings of this evaluation.</w:t>
      </w:r>
      <w:r w:rsidR="00D76F3C" w:rsidRPr="00A80474">
        <w:t xml:space="preserve"> </w:t>
      </w:r>
    </w:p>
    <w:p w14:paraId="634C46F0" w14:textId="06F6352E" w:rsidR="00291CE1" w:rsidRDefault="00291CE1" w:rsidP="00A80474">
      <w:r>
        <w:t>The benefits and risks of the methods of data collection, especially the interviews, were carefully considered by O</w:t>
      </w:r>
      <w:r w:rsidR="00BF7FD1">
        <w:t>f</w:t>
      </w:r>
      <w:r>
        <w:t xml:space="preserve">W and GIWL. </w:t>
      </w:r>
      <w:r w:rsidR="0086712B">
        <w:t>O</w:t>
      </w:r>
      <w:r w:rsidR="00BF7FD1">
        <w:t>f</w:t>
      </w:r>
      <w:r w:rsidR="0086712B">
        <w:t xml:space="preserve">W was very aware of </w:t>
      </w:r>
      <w:r w:rsidR="009E4E00">
        <w:t xml:space="preserve">the </w:t>
      </w:r>
      <w:r w:rsidR="0086712B">
        <w:t xml:space="preserve">potential power imbalance, which </w:t>
      </w:r>
      <w:r w:rsidR="009E4E00">
        <w:t>shaped</w:t>
      </w:r>
      <w:r w:rsidR="0086712B">
        <w:t xml:space="preserve"> the interview design. The insights gained from the opportunity</w:t>
      </w:r>
      <w:r w:rsidR="00BF7FD1">
        <w:t xml:space="preserve"> for OfW</w:t>
      </w:r>
      <w:r w:rsidR="0086712B">
        <w:t xml:space="preserve"> to listen first</w:t>
      </w:r>
      <w:r w:rsidR="00BF7FD1">
        <w:t>-</w:t>
      </w:r>
      <w:r w:rsidR="0086712B">
        <w:t>hand</w:t>
      </w:r>
      <w:r w:rsidR="00BF7FD1">
        <w:t xml:space="preserve"> to participant perspectives</w:t>
      </w:r>
      <w:r w:rsidR="0086712B">
        <w:t xml:space="preserve"> will directly lead to improvements in management</w:t>
      </w:r>
      <w:r w:rsidR="007B3FDE">
        <w:t xml:space="preserve"> practice</w:t>
      </w:r>
      <w:r w:rsidR="0086712B">
        <w:t xml:space="preserve"> and relationship</w:t>
      </w:r>
      <w:r w:rsidR="007B3FDE">
        <w:t xml:space="preserve"> building</w:t>
      </w:r>
      <w:r w:rsidR="009E4E00">
        <w:t xml:space="preserve"> between OFW and Alliances</w:t>
      </w:r>
      <w:r w:rsidR="0086712B">
        <w:t>.</w:t>
      </w:r>
    </w:p>
    <w:p w14:paraId="3F221EA7" w14:textId="56B4DF81" w:rsidR="000B09D4" w:rsidRDefault="00291CE1" w:rsidP="00A80474">
      <w:r>
        <w:t xml:space="preserve">The authors offer </w:t>
      </w:r>
      <w:r w:rsidR="009E4E00">
        <w:t>their</w:t>
      </w:r>
      <w:r>
        <w:t xml:space="preserve"> thanks to all those who participated in the interviews for sharing their expertise</w:t>
      </w:r>
      <w:r w:rsidR="009E4E00">
        <w:t>,</w:t>
      </w:r>
      <w:r>
        <w:t xml:space="preserve"> </w:t>
      </w:r>
      <w:r w:rsidR="0086712B">
        <w:t>time, and, especially, their commitment to improving the NWA model</w:t>
      </w:r>
      <w:r>
        <w:t xml:space="preserve">. That generosity </w:t>
      </w:r>
      <w:r w:rsidR="0086712B">
        <w:t xml:space="preserve">and dedication to amplifying women’s voices </w:t>
      </w:r>
      <w:r>
        <w:t>added enormous value to this report.</w:t>
      </w:r>
    </w:p>
    <w:p w14:paraId="73EF4C13" w14:textId="77777777" w:rsidR="000B09D4" w:rsidRDefault="000B09D4">
      <w:pPr>
        <w:spacing w:after="200" w:line="288" w:lineRule="auto"/>
      </w:pPr>
      <w:r>
        <w:br w:type="page"/>
      </w:r>
    </w:p>
    <w:p w14:paraId="566D8A27" w14:textId="77777777" w:rsidR="00FF1215" w:rsidRDefault="00FF1215" w:rsidP="00FF1215">
      <w:pPr>
        <w:pStyle w:val="Heading1"/>
      </w:pPr>
      <w:bookmarkStart w:id="10" w:name="_Toc141081529"/>
      <w:r>
        <w:lastRenderedPageBreak/>
        <w:t>Findings</w:t>
      </w:r>
      <w:bookmarkEnd w:id="10"/>
    </w:p>
    <w:p w14:paraId="4359E205" w14:textId="77777777" w:rsidR="008E626C" w:rsidRPr="000F060B" w:rsidRDefault="008E626C" w:rsidP="008E626C">
      <w:pPr>
        <w:rPr>
          <w:iCs/>
        </w:rPr>
      </w:pPr>
      <w:r w:rsidRPr="000F060B">
        <w:rPr>
          <w:iCs/>
        </w:rPr>
        <w:t>This section presents an assessment of how well suited the NWA model is to delivering the objectives of the Women’s Leadership and Development Program.</w:t>
      </w:r>
    </w:p>
    <w:p w14:paraId="6A40AA36" w14:textId="77777777" w:rsidR="00FF1215" w:rsidRDefault="00FF1215" w:rsidP="00FF1215">
      <w:pPr>
        <w:pStyle w:val="Heading2"/>
      </w:pPr>
      <w:bookmarkStart w:id="11" w:name="_Toc141081530"/>
      <w:r>
        <w:t>Model suitability</w:t>
      </w:r>
      <w:bookmarkEnd w:id="11"/>
    </w:p>
    <w:p w14:paraId="4DCED5FF" w14:textId="77777777" w:rsidR="00E60014" w:rsidRPr="00E60014" w:rsidRDefault="00E60014" w:rsidP="000F060B">
      <w:pPr>
        <w:pStyle w:val="BOXHeading3"/>
      </w:pPr>
      <w:bookmarkStart w:id="12" w:name="_Toc141081531"/>
      <w:r w:rsidRPr="00E60014">
        <w:t>Key conclusions:</w:t>
      </w:r>
      <w:bookmarkEnd w:id="12"/>
    </w:p>
    <w:p w14:paraId="12F4858F" w14:textId="77777777" w:rsidR="00E60014" w:rsidRDefault="00E60014" w:rsidP="00E60014">
      <w:pPr>
        <w:pStyle w:val="BOXText"/>
      </w:pPr>
      <w:r>
        <w:t>The NWA model is suitable as a vehicle for delivering women’s voices to government and appears to be achieving the intended NWA outcomes.</w:t>
      </w:r>
    </w:p>
    <w:p w14:paraId="49B48455" w14:textId="77777777" w:rsidR="00E60014" w:rsidRDefault="00E60014" w:rsidP="00E60014">
      <w:pPr>
        <w:pStyle w:val="BOXText"/>
      </w:pPr>
      <w:r>
        <w:t>The NWA model is suitable for supporting the achievement of the WLDP objectives, but additional resourcing and support are needed to effectively leverage this contribution.</w:t>
      </w:r>
    </w:p>
    <w:p w14:paraId="2D45925D" w14:textId="77777777" w:rsidR="00412BBC" w:rsidRDefault="00412BBC" w:rsidP="00412BBC">
      <w:r w:rsidRPr="000F060B">
        <w:rPr>
          <w:bCs/>
        </w:rPr>
        <w:t>The NWA as a model delivers value to government that is both functional and symbolic</w:t>
      </w:r>
      <w:r w:rsidRPr="000F060B">
        <w:t>. The</w:t>
      </w:r>
      <w:r>
        <w:t xml:space="preserve"> centralising function of the NWA model </w:t>
      </w:r>
      <w:r w:rsidRPr="008655FA">
        <w:t>creates efficiency for Government consultation</w:t>
      </w:r>
      <w:r>
        <w:t>. The community membership and general representativeness of the Alliances supports the credibility and legitimacy of the advice provided in this forum. Recognising the marginalisation of women in political participation and funding the women’s sector to engage with</w:t>
      </w:r>
      <w:r w:rsidR="00F255D5">
        <w:t>,</w:t>
      </w:r>
      <w:r>
        <w:t xml:space="preserve"> and </w:t>
      </w:r>
      <w:r w:rsidRPr="008655FA">
        <w:t>influence</w:t>
      </w:r>
      <w:r w:rsidR="00F255D5">
        <w:t>,</w:t>
      </w:r>
      <w:r>
        <w:t xml:space="preserve"> policy symbolises the commitment of Government to more informed and more inclusive policy making.</w:t>
      </w:r>
    </w:p>
    <w:p w14:paraId="610CB953" w14:textId="77777777" w:rsidR="00412BBC" w:rsidRPr="000F060B" w:rsidRDefault="00412BBC" w:rsidP="00412BBC">
      <w:r w:rsidRPr="000F060B">
        <w:rPr>
          <w:bCs/>
        </w:rPr>
        <w:t>The NWA as a model is suitable as a vehicle for delivering women’s voices to government and is contributing directly to this outcome.</w:t>
      </w:r>
      <w:r w:rsidRPr="000F060B">
        <w:t xml:space="preserve"> </w:t>
      </w:r>
      <w:r w:rsidR="00736B86" w:rsidRPr="000F060B">
        <w:t xml:space="preserve">The model is suitable for supporting the achievement of the WLDP objectives, but additional resourcing and support are needed to effectively leverage this contribution. </w:t>
      </w:r>
      <w:r w:rsidRPr="000F060B">
        <w:t xml:space="preserve">The achievement of </w:t>
      </w:r>
      <w:r w:rsidR="00736B86" w:rsidRPr="000F060B">
        <w:t>WLDP</w:t>
      </w:r>
      <w:r w:rsidRPr="000F060B">
        <w:t xml:space="preserve"> outcomes relies on a broad range of factors, particularly whether the women’s voices delivered to government via the NWAs result in more effective policy. A more comprehensive evaluation including outcome data and the perspectives of women themselves (especially marginalised women) and the women’s sector is necessary to fully assess the model’s impact. </w:t>
      </w:r>
    </w:p>
    <w:p w14:paraId="402E8031" w14:textId="77777777" w:rsidR="00E60014" w:rsidRPr="008E626C" w:rsidRDefault="00412BBC" w:rsidP="00412BBC">
      <w:r>
        <w:t xml:space="preserve">This </w:t>
      </w:r>
      <w:r w:rsidR="000F5B29">
        <w:t xml:space="preserve">evaluation </w:t>
      </w:r>
      <w:r>
        <w:t>provides indicative findings that may support the optimisation of the model for achieving both NWA</w:t>
      </w:r>
      <w:r w:rsidR="000F5B29">
        <w:t xml:space="preserve"> specific objectives and those of the</w:t>
      </w:r>
      <w:r>
        <w:t xml:space="preserve"> WLDP </w:t>
      </w:r>
      <w:r w:rsidR="000F5B29">
        <w:t>more broadly</w:t>
      </w:r>
      <w:r>
        <w:t>. This section is arranged around key design considerations, those being: purpose, representation, collaboration</w:t>
      </w:r>
      <w:r w:rsidR="000F5B29">
        <w:t>,</w:t>
      </w:r>
      <w:r>
        <w:t xml:space="preserve"> and resourcing.  </w:t>
      </w:r>
    </w:p>
    <w:p w14:paraId="52F8A5E0" w14:textId="77777777" w:rsidR="00FF1215" w:rsidRDefault="00FF1215" w:rsidP="00FF1215">
      <w:pPr>
        <w:pStyle w:val="Heading3"/>
      </w:pPr>
      <w:bookmarkStart w:id="13" w:name="_Toc141081532"/>
      <w:r>
        <w:t>Purpose</w:t>
      </w:r>
      <w:bookmarkEnd w:id="13"/>
    </w:p>
    <w:p w14:paraId="2800668E" w14:textId="77777777" w:rsidR="00412BBC" w:rsidRPr="000F060B" w:rsidRDefault="00412BBC" w:rsidP="00412BBC">
      <w:r w:rsidRPr="000F060B">
        <w:t xml:space="preserve">There </w:t>
      </w:r>
      <w:r w:rsidR="004C72FD" w:rsidRPr="000F060B">
        <w:t>was</w:t>
      </w:r>
      <w:r w:rsidRPr="000F060B">
        <w:t xml:space="preserve"> general agreement among stakeholders that </w:t>
      </w:r>
      <w:r w:rsidRPr="000F060B">
        <w:rPr>
          <w:bCs/>
        </w:rPr>
        <w:t>a key purpose of the NWA is to bring women’s voice to government</w:t>
      </w:r>
      <w:r w:rsidRPr="000F060B">
        <w:t xml:space="preserve">. However, there was </w:t>
      </w:r>
      <w:r w:rsidR="004C72FD" w:rsidRPr="000F060B">
        <w:t xml:space="preserve">some </w:t>
      </w:r>
      <w:r w:rsidR="000F5B29" w:rsidRPr="000F060B">
        <w:rPr>
          <w:bCs/>
        </w:rPr>
        <w:t xml:space="preserve">inconsistency in an understanding of </w:t>
      </w:r>
      <w:r w:rsidR="008655FA" w:rsidRPr="000F060B">
        <w:rPr>
          <w:bCs/>
        </w:rPr>
        <w:t xml:space="preserve">what ‘voice’ incorporates, and </w:t>
      </w:r>
      <w:r w:rsidRPr="000F060B">
        <w:rPr>
          <w:bCs/>
        </w:rPr>
        <w:t>whether the NWA should aim to influence policy as advocates for women</w:t>
      </w:r>
      <w:r w:rsidRPr="000F060B">
        <w:t xml:space="preserve">. Some interviewees identified policy engagement and impact as a key goal of the NWA, whilst others </w:t>
      </w:r>
      <w:r w:rsidRPr="000F060B">
        <w:lastRenderedPageBreak/>
        <w:t xml:space="preserve">did not. This review used the intended objectives identified in the NWA grant guidelines as basis of assessment; those being to: </w:t>
      </w:r>
    </w:p>
    <w:p w14:paraId="326B29CE" w14:textId="77777777" w:rsidR="00412BBC" w:rsidRPr="00412BBC" w:rsidRDefault="00412BBC" w:rsidP="00412BBC">
      <w:pPr>
        <w:pStyle w:val="BulletedList-Level2"/>
      </w:pPr>
      <w:r>
        <w:t>R</w:t>
      </w:r>
      <w:r w:rsidRPr="00412BBC">
        <w:t xml:space="preserve">epresent Australian women, including underrepresented women </w:t>
      </w:r>
    </w:p>
    <w:p w14:paraId="542FA3F8" w14:textId="77777777" w:rsidR="00412BBC" w:rsidRPr="00412BBC" w:rsidRDefault="00412BBC" w:rsidP="00412BBC">
      <w:pPr>
        <w:pStyle w:val="BulletedList-Level2"/>
      </w:pPr>
      <w:r>
        <w:t>C</w:t>
      </w:r>
      <w:r w:rsidRPr="00412BBC">
        <w:t xml:space="preserve">ollaborate with policymakers to inform Government’s understanding of policy issues affecting Australian women </w:t>
      </w:r>
    </w:p>
    <w:p w14:paraId="42B23CA8" w14:textId="77777777" w:rsidR="00412BBC" w:rsidRPr="00412BBC" w:rsidRDefault="00412BBC" w:rsidP="00412BBC">
      <w:pPr>
        <w:pStyle w:val="BulletedList-Level2"/>
      </w:pPr>
      <w:r>
        <w:t>C</w:t>
      </w:r>
      <w:r w:rsidRPr="00412BBC">
        <w:t>ollaborate with policymakers to inform the development of policy solutions to issues affecting Australian women.</w:t>
      </w:r>
    </w:p>
    <w:p w14:paraId="4ACDD185" w14:textId="77777777" w:rsidR="00412BBC" w:rsidRPr="00412BBC" w:rsidRDefault="00412BBC" w:rsidP="00412BBC">
      <w:r w:rsidRPr="000D0D24">
        <w:t xml:space="preserve">However, these objectives are not applied consistently in all program documentation provided by OfW. </w:t>
      </w:r>
      <w:r w:rsidR="008655FA" w:rsidRPr="000D0D24">
        <w:t xml:space="preserve">For </w:t>
      </w:r>
      <w:r w:rsidRPr="000D0D24">
        <w:t>example, the program logic specifies that the NWA program goal is to “provide the Australian Government with an understanding of the issues affecting Australian women and potential p</w:t>
      </w:r>
      <w:r w:rsidRPr="00794D4E">
        <w:t xml:space="preserve">olicy issues”, whilst recent NWA application forms specify the goal is to “advocate for Australian women and collaborate with policymakers to inform Australian Government policies which impact women”. Creating more consistency among documentation may help </w:t>
      </w:r>
      <w:r w:rsidR="008655FA" w:rsidRPr="00C27787">
        <w:t>to</w:t>
      </w:r>
      <w:r w:rsidRPr="00C27787">
        <w:t xml:space="preserve"> enhance clarity for NWA</w:t>
      </w:r>
      <w:r w:rsidR="00B33FEF" w:rsidRPr="00C27787">
        <w:t xml:space="preserve">s, </w:t>
      </w:r>
      <w:r w:rsidRPr="00C27787">
        <w:t xml:space="preserve">and </w:t>
      </w:r>
      <w:r w:rsidR="00B33FEF" w:rsidRPr="00C27787">
        <w:t>thei</w:t>
      </w:r>
      <w:r w:rsidR="00151DDF" w:rsidRPr="00C27787">
        <w:t xml:space="preserve">r </w:t>
      </w:r>
      <w:r w:rsidRPr="00C27787">
        <w:t>members</w:t>
      </w:r>
      <w:r w:rsidR="00151DDF" w:rsidRPr="00C27787">
        <w:t xml:space="preserve"> OfW and policy makers across government</w:t>
      </w:r>
      <w:r w:rsidRPr="00C27787">
        <w:t>, and increase program implementation and effectiveness.</w:t>
      </w:r>
    </w:p>
    <w:p w14:paraId="54EBC903" w14:textId="77777777" w:rsidR="00412BBC" w:rsidRDefault="00412BBC" w:rsidP="00412BBC">
      <w:r w:rsidRPr="00412BBC">
        <w:t xml:space="preserve">In addition to this variation, key terms are being interpreted differently by different stakeholders. The purpose and meaning of bringing women’s voice to government, representing women or collaborating with government would benefit from being more clearly defined to create a shared understanding of </w:t>
      </w:r>
      <w:r w:rsidR="00F17E13">
        <w:t>program</w:t>
      </w:r>
      <w:r w:rsidRPr="00412BBC">
        <w:t xml:space="preserve"> purpose, process and value. These interpretations will be discussed with reference to the activity being undertaken to achieve program objectives. </w:t>
      </w:r>
    </w:p>
    <w:p w14:paraId="748B4EEE" w14:textId="77777777" w:rsidR="00FF1215" w:rsidRDefault="00FF1215" w:rsidP="00412BBC">
      <w:pPr>
        <w:pStyle w:val="Heading3"/>
      </w:pPr>
      <w:bookmarkStart w:id="14" w:name="_Toc141081533"/>
      <w:r>
        <w:t>Representation</w:t>
      </w:r>
      <w:bookmarkEnd w:id="14"/>
    </w:p>
    <w:p w14:paraId="1F5FEE4F" w14:textId="7B9D9E37" w:rsidR="004C72FD" w:rsidRPr="000F060B" w:rsidRDefault="004C72FD" w:rsidP="004C72FD">
      <w:pPr>
        <w:rPr>
          <w:bCs/>
        </w:rPr>
      </w:pPr>
      <w:r w:rsidRPr="000F060B">
        <w:t xml:space="preserve">The suitability of the model to represent Australian women, including underrepresented women, was assessed with reference to </w:t>
      </w:r>
      <w:r w:rsidRPr="000F060B">
        <w:rPr>
          <w:i/>
          <w:iCs/>
        </w:rPr>
        <w:t>who</w:t>
      </w:r>
      <w:r w:rsidRPr="000F060B">
        <w:t xml:space="preserve"> is being represented and </w:t>
      </w:r>
      <w:r w:rsidRPr="000F060B">
        <w:rPr>
          <w:i/>
          <w:iCs/>
        </w:rPr>
        <w:t>how</w:t>
      </w:r>
      <w:r w:rsidRPr="000F060B">
        <w:t xml:space="preserve"> they are being represented. With regards to who is being represented, the </w:t>
      </w:r>
      <w:r w:rsidR="00F17E13" w:rsidRPr="000F060B">
        <w:t>program</w:t>
      </w:r>
      <w:r w:rsidRPr="000F060B">
        <w:t xml:space="preserve"> has shifted over time from a focus on issue-based </w:t>
      </w:r>
      <w:r w:rsidR="007A7361" w:rsidRPr="000F060B">
        <w:t>Alliance</w:t>
      </w:r>
      <w:r w:rsidRPr="000F060B">
        <w:t xml:space="preserve">s to one that is now dominated by cohort-based </w:t>
      </w:r>
      <w:r w:rsidR="007A7361" w:rsidRPr="000F060B">
        <w:t>Alliance</w:t>
      </w:r>
      <w:r w:rsidRPr="000F060B">
        <w:t xml:space="preserve">s. In this way, </w:t>
      </w:r>
      <w:r w:rsidRPr="000F060B">
        <w:rPr>
          <w:bCs/>
        </w:rPr>
        <w:t xml:space="preserve">the </w:t>
      </w:r>
      <w:r w:rsidR="00CB418B" w:rsidRPr="000F060B">
        <w:rPr>
          <w:bCs/>
        </w:rPr>
        <w:t>model</w:t>
      </w:r>
      <w:r w:rsidRPr="000F060B">
        <w:rPr>
          <w:bCs/>
        </w:rPr>
        <w:t xml:space="preserve"> </w:t>
      </w:r>
      <w:r w:rsidR="000932E6" w:rsidRPr="000F060B">
        <w:rPr>
          <w:bCs/>
        </w:rPr>
        <w:t>is suitable for supporting the representation of</w:t>
      </w:r>
      <w:r w:rsidRPr="000F060B">
        <w:rPr>
          <w:bCs/>
        </w:rPr>
        <w:t xml:space="preserve"> underrepresented groups. </w:t>
      </w:r>
    </w:p>
    <w:p w14:paraId="3E460B44" w14:textId="77777777" w:rsidR="004C72FD" w:rsidRPr="00830DCF" w:rsidRDefault="004C72FD" w:rsidP="004C72FD">
      <w:r w:rsidRPr="00830DCF">
        <w:rPr>
          <w:bCs/>
        </w:rPr>
        <w:t>In the context of this overall positive trajectory and position, there are gaps in representation across and within the Alliances</w:t>
      </w:r>
      <w:r w:rsidRPr="00830DCF">
        <w:t xml:space="preserve">. Of particular note was the </w:t>
      </w:r>
      <w:r w:rsidRPr="00830DCF">
        <w:rPr>
          <w:bCs/>
        </w:rPr>
        <w:t>lack of representation of LGBTQI+ individuals</w:t>
      </w:r>
      <w:r w:rsidR="00155D15" w:rsidRPr="00830DCF">
        <w:rPr>
          <w:bCs/>
        </w:rPr>
        <w:t>,</w:t>
      </w:r>
      <w:r w:rsidRPr="00830DCF">
        <w:rPr>
          <w:bCs/>
        </w:rPr>
        <w:t xml:space="preserve"> including non-binary individuals and trans women</w:t>
      </w:r>
      <w:r w:rsidR="00155D15" w:rsidRPr="00830DCF">
        <w:rPr>
          <w:bCs/>
        </w:rPr>
        <w:t>,</w:t>
      </w:r>
      <w:r w:rsidRPr="00830DCF">
        <w:rPr>
          <w:bCs/>
        </w:rPr>
        <w:t xml:space="preserve"> and young people</w:t>
      </w:r>
      <w:r w:rsidRPr="00830DCF">
        <w:t xml:space="preserve">. </w:t>
      </w:r>
      <w:r w:rsidR="00FE6E7D" w:rsidRPr="00830DCF">
        <w:t>There was also uncertainty reported by some Alliances as to whether it was appropriate to incorporate men in the program</w:t>
      </w:r>
      <w:r w:rsidR="00C70BBF" w:rsidRPr="00830DCF">
        <w:t>, with the broader goal of enhancing gender equality.</w:t>
      </w:r>
      <w:r w:rsidR="00FE6E7D" w:rsidRPr="00830DCF">
        <w:t xml:space="preserve"> </w:t>
      </w:r>
      <w:r w:rsidRPr="00830DCF">
        <w:t xml:space="preserve">The need for representativeness is well understood amongst </w:t>
      </w:r>
      <w:r w:rsidR="00F17E13" w:rsidRPr="00830DCF">
        <w:t>program</w:t>
      </w:r>
      <w:r w:rsidRPr="00830DCF">
        <w:t xml:space="preserve"> stakeholders and gaps in representation are well recognised. However, there are various perspectives on how best to remedy gaps. There was discussion by some interviewees of ensuring these groups were represented within existing Alliances </w:t>
      </w:r>
      <w:r w:rsidR="00542A4E" w:rsidRPr="00830DCF">
        <w:t>such as</w:t>
      </w:r>
      <w:r w:rsidRPr="00830DCF">
        <w:t xml:space="preserve"> through </w:t>
      </w:r>
      <w:r w:rsidR="008655FA" w:rsidRPr="00830DCF">
        <w:t xml:space="preserve">the development of </w:t>
      </w:r>
      <w:r w:rsidRPr="00830DCF">
        <w:t>youth councils</w:t>
      </w:r>
      <w:r w:rsidR="00542A4E" w:rsidRPr="00830DCF">
        <w:t>.</w:t>
      </w:r>
      <w:r w:rsidRPr="00830DCF">
        <w:t xml:space="preserve"> </w:t>
      </w:r>
      <w:r w:rsidR="00542A4E" w:rsidRPr="00830DCF">
        <w:t>There w</w:t>
      </w:r>
      <w:r w:rsidR="003008C1" w:rsidRPr="00830DCF">
        <w:t>ere multiple recommendations to</w:t>
      </w:r>
      <w:r w:rsidRPr="00830DCF">
        <w:t xml:space="preserve"> creat</w:t>
      </w:r>
      <w:r w:rsidR="003008C1" w:rsidRPr="00830DCF">
        <w:t>e a</w:t>
      </w:r>
      <w:r w:rsidRPr="00830DCF">
        <w:t xml:space="preserve"> new cohort </w:t>
      </w:r>
      <w:r w:rsidR="007A7361" w:rsidRPr="00830DCF">
        <w:t>Alliance</w:t>
      </w:r>
      <w:r w:rsidRPr="00830DCF">
        <w:t xml:space="preserve"> to represent </w:t>
      </w:r>
      <w:r w:rsidR="00650DEE" w:rsidRPr="00830DCF">
        <w:t>LGBTQI+</w:t>
      </w:r>
      <w:r w:rsidR="003008C1" w:rsidRPr="00830DCF">
        <w:t xml:space="preserve">, as this group is not well represented in the model and </w:t>
      </w:r>
      <w:r w:rsidR="00E81012" w:rsidRPr="00830DCF">
        <w:t>there may be barriers to participation for transgender and gender diverse people participating in the existing Alliance structure.</w:t>
      </w:r>
    </w:p>
    <w:p w14:paraId="202AFCE2" w14:textId="77777777" w:rsidR="004C72FD" w:rsidRPr="0015656F" w:rsidRDefault="004C72FD" w:rsidP="00B71013">
      <w:r w:rsidRPr="00830DCF">
        <w:rPr>
          <w:bCs/>
        </w:rPr>
        <w:lastRenderedPageBreak/>
        <w:t xml:space="preserve">The co-existence of cohort and issues-based </w:t>
      </w:r>
      <w:r w:rsidR="007A7361" w:rsidRPr="00830DCF">
        <w:rPr>
          <w:bCs/>
        </w:rPr>
        <w:t>Alliance</w:t>
      </w:r>
      <w:r w:rsidRPr="00830DCF">
        <w:rPr>
          <w:bCs/>
        </w:rPr>
        <w:t>s is also creating some inter-Alliance tension.</w:t>
      </w:r>
      <w:r w:rsidRPr="0015656F">
        <w:t xml:space="preserve"> There are </w:t>
      </w:r>
      <w:r w:rsidR="000F5B29">
        <w:t>size and power</w:t>
      </w:r>
      <w:r w:rsidR="000F5B29" w:rsidRPr="0015656F">
        <w:t xml:space="preserve"> </w:t>
      </w:r>
      <w:r w:rsidRPr="0015656F">
        <w:t xml:space="preserve">imbalances between Alliances that </w:t>
      </w:r>
      <w:r w:rsidR="000F5B29">
        <w:t xml:space="preserve">tend to </w:t>
      </w:r>
      <w:r w:rsidRPr="0015656F">
        <w:t xml:space="preserve">favour issues-based Alliances. </w:t>
      </w:r>
      <w:r w:rsidR="00600CA6">
        <w:t>Some</w:t>
      </w:r>
      <w:r w:rsidRPr="0015656F">
        <w:t xml:space="preserve"> concerns were raised about size and scope of ERA compared with other Alliances</w:t>
      </w:r>
      <w:r w:rsidR="00600CA6">
        <w:t>, creating practical concerns about ERA’s workload</w:t>
      </w:r>
      <w:r w:rsidR="00665FAD">
        <w:t xml:space="preserve"> and potential power-imbalances for smaller Alliances</w:t>
      </w:r>
      <w:r w:rsidRPr="0015656F">
        <w:t xml:space="preserve">. Inter-Alliance collaboration has been proposed to improve </w:t>
      </w:r>
      <w:r w:rsidR="00600CA6">
        <w:t>this issue</w:t>
      </w:r>
      <w:r w:rsidRPr="0015656F">
        <w:t>, but the acceptability and perceived value of collaborative approaches varie</w:t>
      </w:r>
      <w:r w:rsidR="00600CA6">
        <w:t>d</w:t>
      </w:r>
      <w:r w:rsidRPr="0015656F">
        <w:t xml:space="preserve"> across the Alliances. There is a lack of clarity on appropriate formats and platforms for inter-Alliance engagement</w:t>
      </w:r>
      <w:r w:rsidR="000F5B29">
        <w:t xml:space="preserve">, </w:t>
      </w:r>
      <w:r w:rsidRPr="0015656F">
        <w:t>but there was agreement that OfW facilitation would be important</w:t>
      </w:r>
      <w:r w:rsidR="001A5F91">
        <w:t xml:space="preserve"> to support trust building</w:t>
      </w:r>
      <w:r w:rsidR="00204DD4">
        <w:t xml:space="preserve"> in the current context.</w:t>
      </w:r>
    </w:p>
    <w:p w14:paraId="2C342107" w14:textId="77777777" w:rsidR="00B71013" w:rsidRPr="00830DCF" w:rsidRDefault="004C72FD" w:rsidP="00B71013">
      <w:pPr>
        <w:rPr>
          <w:rStyle w:val="eop"/>
        </w:rPr>
      </w:pPr>
      <w:r w:rsidRPr="00830DCF">
        <w:rPr>
          <w:bCs/>
        </w:rPr>
        <w:t xml:space="preserve">Alliances’ ability to represent marginalised and underserved communities is complicated by a history of exclusion and discrimination that impedes trust in Government and may limit motivation to engage with </w:t>
      </w:r>
      <w:r w:rsidR="000F5B29" w:rsidRPr="00830DCF">
        <w:rPr>
          <w:bCs/>
        </w:rPr>
        <w:t>A</w:t>
      </w:r>
      <w:r w:rsidRPr="00830DCF">
        <w:rPr>
          <w:bCs/>
        </w:rPr>
        <w:t>lliances as a conduit to Government.</w:t>
      </w:r>
      <w:r w:rsidRPr="00830DCF">
        <w:t xml:space="preserve"> The NWA model requires Alliances to be both inward facing (members and the community) and outward facing (the Government). This can create tension in the activities of Alliances and perceived allegiances, and competing expectations of Alliances’ value proposition. Inward facing activity is necessary for Alliances to create trust with community and members, especially for cohort-based Alliances that directly represent marginalised women, and establish a value proposition for ongoing member participation. However, program objectives focus on outward facing achievements.</w:t>
      </w:r>
    </w:p>
    <w:p w14:paraId="66E3C27D" w14:textId="209454DC" w:rsidR="00B71013" w:rsidRPr="00830DCF" w:rsidRDefault="00B71013" w:rsidP="00B71013">
      <w:pPr>
        <w:rPr>
          <w:lang w:val="en-US"/>
        </w:rPr>
      </w:pPr>
      <w:r w:rsidRPr="00830DCF">
        <w:rPr>
          <w:lang w:val="en-US"/>
        </w:rPr>
        <w:t xml:space="preserve">With regards to </w:t>
      </w:r>
      <w:r w:rsidRPr="00830DCF">
        <w:rPr>
          <w:bCs/>
          <w:lang w:val="en-US"/>
        </w:rPr>
        <w:t>how women are being represented in the model</w:t>
      </w:r>
      <w:r w:rsidRPr="00830DCF">
        <w:rPr>
          <w:lang w:val="en-US"/>
        </w:rPr>
        <w:t xml:space="preserve">, the NWA is designed as a conduit between </w:t>
      </w:r>
      <w:r w:rsidR="000F5B29" w:rsidRPr="00830DCF">
        <w:rPr>
          <w:lang w:val="en-US"/>
        </w:rPr>
        <w:t xml:space="preserve">Government and </w:t>
      </w:r>
      <w:r w:rsidRPr="00830DCF">
        <w:rPr>
          <w:lang w:val="en-US"/>
        </w:rPr>
        <w:t xml:space="preserve">women and grassroots organisations. In this way, </w:t>
      </w:r>
      <w:r w:rsidR="00BA1920" w:rsidRPr="00830DCF">
        <w:rPr>
          <w:lang w:val="en-US"/>
        </w:rPr>
        <w:t xml:space="preserve">the </w:t>
      </w:r>
      <w:r w:rsidR="00BA1920" w:rsidRPr="00830DCF">
        <w:rPr>
          <w:bCs/>
          <w:lang w:val="en-US"/>
        </w:rPr>
        <w:t xml:space="preserve">NWA model provides the advantage of </w:t>
      </w:r>
      <w:r w:rsidRPr="00830DCF">
        <w:rPr>
          <w:bCs/>
          <w:lang w:val="en-US"/>
        </w:rPr>
        <w:t>perform</w:t>
      </w:r>
      <w:r w:rsidR="00BA1920" w:rsidRPr="00830DCF">
        <w:rPr>
          <w:bCs/>
          <w:lang w:val="en-US"/>
        </w:rPr>
        <w:t>ing</w:t>
      </w:r>
      <w:r w:rsidRPr="00830DCF">
        <w:rPr>
          <w:bCs/>
          <w:lang w:val="en-US"/>
        </w:rPr>
        <w:t xml:space="preserve"> a centralising function that creates efficiency for </w:t>
      </w:r>
      <w:r w:rsidR="000F5B29" w:rsidRPr="00830DCF">
        <w:rPr>
          <w:bCs/>
          <w:lang w:val="en-US"/>
        </w:rPr>
        <w:t>G</w:t>
      </w:r>
      <w:r w:rsidRPr="00830DCF">
        <w:rPr>
          <w:bCs/>
          <w:lang w:val="en-US"/>
        </w:rPr>
        <w:t xml:space="preserve">overnment. However, </w:t>
      </w:r>
      <w:r w:rsidR="001C450B" w:rsidRPr="00830DCF">
        <w:rPr>
          <w:bCs/>
          <w:lang w:val="en-US"/>
        </w:rPr>
        <w:t>a possible disadvantage of a</w:t>
      </w:r>
      <w:r w:rsidRPr="00830DCF">
        <w:rPr>
          <w:bCs/>
          <w:lang w:val="en-US"/>
        </w:rPr>
        <w:t xml:space="preserve"> centralising function </w:t>
      </w:r>
      <w:r w:rsidR="001C450B" w:rsidRPr="00830DCF">
        <w:rPr>
          <w:bCs/>
          <w:lang w:val="en-US"/>
        </w:rPr>
        <w:t xml:space="preserve">is that </w:t>
      </w:r>
      <w:r w:rsidRPr="00830DCF">
        <w:rPr>
          <w:bCs/>
          <w:lang w:val="en-US"/>
        </w:rPr>
        <w:t xml:space="preserve">aggregations and translations of </w:t>
      </w:r>
      <w:r w:rsidR="001C450B" w:rsidRPr="00830DCF">
        <w:rPr>
          <w:bCs/>
          <w:lang w:val="en-US"/>
        </w:rPr>
        <w:t xml:space="preserve">women’s </w:t>
      </w:r>
      <w:r w:rsidR="00C6465D" w:rsidRPr="00830DCF">
        <w:rPr>
          <w:bCs/>
          <w:lang w:val="en-US"/>
        </w:rPr>
        <w:t xml:space="preserve">diverse </w:t>
      </w:r>
      <w:r w:rsidRPr="00830DCF">
        <w:rPr>
          <w:bCs/>
          <w:lang w:val="en-US"/>
        </w:rPr>
        <w:t xml:space="preserve">perspectives that </w:t>
      </w:r>
      <w:r w:rsidR="000F5B29" w:rsidRPr="00830DCF">
        <w:rPr>
          <w:bCs/>
          <w:lang w:val="en-US"/>
        </w:rPr>
        <w:t xml:space="preserve">may </w:t>
      </w:r>
      <w:r w:rsidRPr="00830DCF">
        <w:rPr>
          <w:bCs/>
          <w:lang w:val="en-US"/>
        </w:rPr>
        <w:t xml:space="preserve">advertently or inadvertently advantage particular </w:t>
      </w:r>
      <w:r w:rsidR="00C6465D" w:rsidRPr="00830DCF">
        <w:rPr>
          <w:bCs/>
          <w:lang w:val="en-US"/>
        </w:rPr>
        <w:t>voices</w:t>
      </w:r>
      <w:r w:rsidRPr="00830DCF">
        <w:rPr>
          <w:bCs/>
          <w:lang w:val="en-US"/>
        </w:rPr>
        <w:t>.</w:t>
      </w:r>
      <w:r w:rsidRPr="00830DCF">
        <w:rPr>
          <w:lang w:val="en-US"/>
        </w:rPr>
        <w:t xml:space="preserve"> A more comprehensive evaluation that </w:t>
      </w:r>
      <w:r w:rsidR="000F5B29" w:rsidRPr="00830DCF">
        <w:rPr>
          <w:lang w:val="en-US"/>
        </w:rPr>
        <w:t xml:space="preserve">directly </w:t>
      </w:r>
      <w:r w:rsidRPr="00830DCF">
        <w:rPr>
          <w:lang w:val="en-US"/>
        </w:rPr>
        <w:t>captures the perspectives of women and the women</w:t>
      </w:r>
      <w:r w:rsidR="00C6465D" w:rsidRPr="00830DCF">
        <w:rPr>
          <w:lang w:val="en-US"/>
        </w:rPr>
        <w:t>’s</w:t>
      </w:r>
      <w:r w:rsidRPr="00830DCF">
        <w:rPr>
          <w:lang w:val="en-US"/>
        </w:rPr>
        <w:t xml:space="preserve"> sector is needed to assess the impact of </w:t>
      </w:r>
      <w:r w:rsidR="000F5B29" w:rsidRPr="00830DCF">
        <w:rPr>
          <w:lang w:val="en-US"/>
        </w:rPr>
        <w:t>A</w:t>
      </w:r>
      <w:r w:rsidRPr="00830DCF">
        <w:rPr>
          <w:lang w:val="en-US"/>
        </w:rPr>
        <w:t xml:space="preserve">lliance’s centralisation function. In advance of such an evaluation, insights can be drawn from desktop review of the pathways of participation within different Alliances. </w:t>
      </w:r>
    </w:p>
    <w:p w14:paraId="4AA9110C" w14:textId="103DEA11" w:rsidR="00B71013" w:rsidRPr="00830DCF" w:rsidRDefault="00B71013" w:rsidP="00B71013">
      <w:pPr>
        <w:rPr>
          <w:rStyle w:val="eop"/>
          <w:rFonts w:ascii="Arial" w:hAnsi="Arial" w:cs="Arial"/>
          <w:lang w:val="en-US"/>
        </w:rPr>
      </w:pPr>
      <w:r w:rsidRPr="00830DCF">
        <w:rPr>
          <w:lang w:val="en-US"/>
        </w:rPr>
        <w:t xml:space="preserve">Through the </w:t>
      </w:r>
      <w:r w:rsidR="007A7361" w:rsidRPr="00830DCF">
        <w:rPr>
          <w:lang w:val="en-US"/>
        </w:rPr>
        <w:t>Alliance</w:t>
      </w:r>
      <w:r w:rsidRPr="00830DCF">
        <w:rPr>
          <w:lang w:val="en-US"/>
        </w:rPr>
        <w:t xml:space="preserve"> model, the </w:t>
      </w:r>
      <w:r w:rsidRPr="00830DCF">
        <w:rPr>
          <w:bCs/>
          <w:lang w:val="en-US"/>
        </w:rPr>
        <w:t>OfW and policymakers are connected to women and women’s sector organisations through a variety of pathways, with some closer to individual women than others</w:t>
      </w:r>
      <w:r w:rsidR="00EC4FE6" w:rsidRPr="00830DCF">
        <w:rPr>
          <w:bCs/>
          <w:lang w:val="en-US"/>
        </w:rPr>
        <w:t>,</w:t>
      </w:r>
      <w:r w:rsidR="001D056B" w:rsidRPr="00830DCF">
        <w:rPr>
          <w:bCs/>
          <w:lang w:val="en-US"/>
        </w:rPr>
        <w:t xml:space="preserve"> due to the structure and format of the membership models within the different Alliances</w:t>
      </w:r>
      <w:r w:rsidRPr="00830DCF">
        <w:rPr>
          <w:lang w:val="en-US"/>
        </w:rPr>
        <w:t xml:space="preserve">. The ideas of individual women can, in some cases, be translated through </w:t>
      </w:r>
      <w:r w:rsidR="000F2F36" w:rsidRPr="00830DCF">
        <w:rPr>
          <w:lang w:val="en-US"/>
        </w:rPr>
        <w:t xml:space="preserve">multiple </w:t>
      </w:r>
      <w:r w:rsidRPr="00830DCF">
        <w:rPr>
          <w:lang w:val="en-US"/>
        </w:rPr>
        <w:t>separate entities prior to reaching the OfW and policymakers</w:t>
      </w:r>
      <w:r w:rsidR="009844BA" w:rsidRPr="00830DCF">
        <w:rPr>
          <w:lang w:val="en-US"/>
        </w:rPr>
        <w:t>; this is particularly common in Alliances with</w:t>
      </w:r>
      <w:r w:rsidR="00F27443" w:rsidRPr="00830DCF">
        <w:rPr>
          <w:lang w:val="en-US"/>
        </w:rPr>
        <w:t xml:space="preserve"> membership eligibility criteria that allow only</w:t>
      </w:r>
      <w:r w:rsidR="009844BA" w:rsidRPr="00830DCF">
        <w:rPr>
          <w:lang w:val="en-US"/>
        </w:rPr>
        <w:t xml:space="preserve"> organisation</w:t>
      </w:r>
      <w:r w:rsidR="00F27443" w:rsidRPr="00830DCF">
        <w:rPr>
          <w:lang w:val="en-US"/>
        </w:rPr>
        <w:t>s to join</w:t>
      </w:r>
      <w:r w:rsidR="009844BA" w:rsidRPr="00830DCF">
        <w:rPr>
          <w:lang w:val="en-US"/>
        </w:rPr>
        <w:t xml:space="preserve"> as opposed to individual</w:t>
      </w:r>
      <w:r w:rsidR="00F27443" w:rsidRPr="00830DCF">
        <w:rPr>
          <w:lang w:val="en-US"/>
        </w:rPr>
        <w:t>s</w:t>
      </w:r>
      <w:r w:rsidR="009844BA" w:rsidRPr="00830DCF">
        <w:rPr>
          <w:lang w:val="en-US"/>
        </w:rPr>
        <w:t xml:space="preserve"> and organisation</w:t>
      </w:r>
      <w:r w:rsidR="00B6522F" w:rsidRPr="00830DCF">
        <w:rPr>
          <w:lang w:val="en-US"/>
        </w:rPr>
        <w:t>s</w:t>
      </w:r>
      <w:r w:rsidR="009844BA" w:rsidRPr="00830DCF">
        <w:rPr>
          <w:lang w:val="en-US"/>
        </w:rPr>
        <w:t>.</w:t>
      </w:r>
      <w:r w:rsidRPr="00830DCF">
        <w:rPr>
          <w:lang w:val="en-US"/>
        </w:rPr>
        <w:t xml:space="preserve"> Both longer and shorter translation pathways have advantages and disadvantages</w:t>
      </w:r>
      <w:r w:rsidR="000F5B29" w:rsidRPr="00830DCF">
        <w:rPr>
          <w:lang w:val="en-US"/>
        </w:rPr>
        <w:t>. D</w:t>
      </w:r>
      <w:r w:rsidRPr="00830DCF">
        <w:rPr>
          <w:lang w:val="en-US"/>
        </w:rPr>
        <w:t xml:space="preserve">iscourse, discussion and networking in each phase can add value but can also result in </w:t>
      </w:r>
      <w:r w:rsidRPr="00830DCF">
        <w:t>the loss or marginalisation of minorit</w:t>
      </w:r>
      <w:r w:rsidR="000F5B29" w:rsidRPr="00830DCF">
        <w:t>ised</w:t>
      </w:r>
      <w:r w:rsidRPr="00830DCF">
        <w:t xml:space="preserve"> or underrepresented voices. </w:t>
      </w:r>
    </w:p>
    <w:p w14:paraId="52FFD8D1" w14:textId="77777777" w:rsidR="00B71013" w:rsidRPr="00B71013" w:rsidRDefault="00B71013" w:rsidP="00B71013">
      <w:pPr>
        <w:rPr>
          <w:lang w:val="en-US"/>
        </w:rPr>
      </w:pPr>
      <w:r w:rsidRPr="0015656F">
        <w:rPr>
          <w:lang w:val="en-US"/>
        </w:rPr>
        <w:t xml:space="preserve">For example, the National Rural Women’s Coalition consists primarily of organisational members, with five peak-bodies forming the </w:t>
      </w:r>
      <w:r w:rsidR="007A7361">
        <w:rPr>
          <w:lang w:val="en-US"/>
        </w:rPr>
        <w:t>Alliance</w:t>
      </w:r>
      <w:r w:rsidRPr="0015656F">
        <w:rPr>
          <w:lang w:val="en-US"/>
        </w:rPr>
        <w:t xml:space="preserve">’s membership. One of these bodies, the National Rural Health Alliance, has its own member organisations, such as the Australian Nursing and Midwifery Foundation, who then have individual members. The perspectives of </w:t>
      </w:r>
      <w:r w:rsidRPr="0015656F">
        <w:t xml:space="preserve">individual </w:t>
      </w:r>
      <w:r w:rsidRPr="0015656F">
        <w:rPr>
          <w:lang w:val="en-US"/>
        </w:rPr>
        <w:t xml:space="preserve">women engaged in the Australian Nursing and Midwifery Foundation can be </w:t>
      </w:r>
      <w:r w:rsidR="00675631" w:rsidRPr="0015656F">
        <w:rPr>
          <w:lang w:val="en-US"/>
        </w:rPr>
        <w:t>synthesi</w:t>
      </w:r>
      <w:r w:rsidR="00675631">
        <w:rPr>
          <w:lang w:val="en-US"/>
        </w:rPr>
        <w:t>s</w:t>
      </w:r>
      <w:r w:rsidR="00675631" w:rsidRPr="0015656F">
        <w:rPr>
          <w:lang w:val="en-US"/>
        </w:rPr>
        <w:t xml:space="preserve">ed </w:t>
      </w:r>
      <w:r w:rsidRPr="0015656F">
        <w:rPr>
          <w:lang w:val="en-US"/>
        </w:rPr>
        <w:t xml:space="preserve">and presented to the National Rural Health </w:t>
      </w:r>
      <w:r w:rsidRPr="0015656F">
        <w:rPr>
          <w:lang w:val="en-US"/>
        </w:rPr>
        <w:lastRenderedPageBreak/>
        <w:t xml:space="preserve">Alliance. The NRHA can then collate and </w:t>
      </w:r>
      <w:r w:rsidR="00675631" w:rsidRPr="0015656F">
        <w:rPr>
          <w:lang w:val="en-US"/>
        </w:rPr>
        <w:t>synthesi</w:t>
      </w:r>
      <w:r w:rsidR="00675631">
        <w:rPr>
          <w:lang w:val="en-US"/>
        </w:rPr>
        <w:t>s</w:t>
      </w:r>
      <w:r w:rsidR="00675631" w:rsidRPr="0015656F">
        <w:rPr>
          <w:lang w:val="en-US"/>
        </w:rPr>
        <w:t xml:space="preserve">e </w:t>
      </w:r>
      <w:r w:rsidRPr="0015656F">
        <w:rPr>
          <w:lang w:val="en-US"/>
        </w:rPr>
        <w:t>the perspectives of each of their member organisations and present this to the NRWC.</w:t>
      </w:r>
      <w:r w:rsidR="00A80BFF">
        <w:rPr>
          <w:lang w:val="en-US"/>
        </w:rPr>
        <w:t xml:space="preserve"> Although these organisations may, separately, liaise directly with government, within the</w:t>
      </w:r>
      <w:r w:rsidR="00E22202">
        <w:rPr>
          <w:lang w:val="en-US"/>
        </w:rPr>
        <w:t xml:space="preserve"> NWA</w:t>
      </w:r>
      <w:r w:rsidR="00A80BFF">
        <w:rPr>
          <w:lang w:val="en-US"/>
        </w:rPr>
        <w:t xml:space="preserve"> model </w:t>
      </w:r>
      <w:r w:rsidR="559701EF" w:rsidRPr="2EEC76FC">
        <w:rPr>
          <w:lang w:val="en-US"/>
        </w:rPr>
        <w:t xml:space="preserve">they </w:t>
      </w:r>
      <w:r w:rsidR="00E22202">
        <w:rPr>
          <w:lang w:val="en-US"/>
        </w:rPr>
        <w:t>form part of a multiphase translation pathway.</w:t>
      </w:r>
      <w:r w:rsidRPr="0015656F">
        <w:rPr>
          <w:lang w:val="en-US"/>
        </w:rPr>
        <w:t xml:space="preserve"> The NRWC can perform the same synthesis of </w:t>
      </w:r>
      <w:r w:rsidR="000F5B29">
        <w:rPr>
          <w:lang w:val="en-US"/>
        </w:rPr>
        <w:t xml:space="preserve">the views </w:t>
      </w:r>
      <w:r w:rsidRPr="0015656F">
        <w:rPr>
          <w:lang w:val="en-US"/>
        </w:rPr>
        <w:t xml:space="preserve">their five member </w:t>
      </w:r>
      <w:r w:rsidR="000F5B29">
        <w:rPr>
          <w:lang w:val="en-US"/>
        </w:rPr>
        <w:t xml:space="preserve">organization </w:t>
      </w:r>
      <w:r w:rsidRPr="0015656F">
        <w:rPr>
          <w:lang w:val="en-US"/>
        </w:rPr>
        <w:t xml:space="preserve">prior to delivering the voice of the women’s sector to the OfW and policymakers. From a network perspective, this pathway </w:t>
      </w:r>
      <w:r w:rsidR="000D3AC3">
        <w:rPr>
          <w:lang w:val="en-US"/>
        </w:rPr>
        <w:t>may be</w:t>
      </w:r>
      <w:r w:rsidR="000D3AC3" w:rsidRPr="0015656F">
        <w:rPr>
          <w:lang w:val="en-US"/>
        </w:rPr>
        <w:t xml:space="preserve"> </w:t>
      </w:r>
      <w:r w:rsidRPr="0015656F">
        <w:rPr>
          <w:lang w:val="en-US"/>
        </w:rPr>
        <w:t xml:space="preserve">advantageous </w:t>
      </w:r>
      <w:r w:rsidR="008655FA">
        <w:rPr>
          <w:lang w:val="en-US"/>
        </w:rPr>
        <w:t xml:space="preserve">as the additional discourse and discussion in each phase </w:t>
      </w:r>
      <w:r w:rsidR="00915795">
        <w:rPr>
          <w:lang w:val="en-US"/>
        </w:rPr>
        <w:t xml:space="preserve">can synthesise </w:t>
      </w:r>
      <w:r w:rsidR="008655FA">
        <w:rPr>
          <w:lang w:val="en-US"/>
        </w:rPr>
        <w:t xml:space="preserve">the advice provided to the OfW. However, </w:t>
      </w:r>
      <w:r w:rsidRPr="0015656F">
        <w:rPr>
          <w:lang w:val="en-US"/>
        </w:rPr>
        <w:t>from an individual voice perspective</w:t>
      </w:r>
      <w:r w:rsidR="008655FA">
        <w:rPr>
          <w:lang w:val="en-US"/>
        </w:rPr>
        <w:t>,</w:t>
      </w:r>
      <w:r w:rsidRPr="0015656F">
        <w:rPr>
          <w:lang w:val="en-US"/>
        </w:rPr>
        <w:t xml:space="preserve"> </w:t>
      </w:r>
      <w:r w:rsidRPr="000D0D24">
        <w:rPr>
          <w:lang w:val="en-US"/>
        </w:rPr>
        <w:t xml:space="preserve">this model </w:t>
      </w:r>
      <w:r w:rsidR="00915795">
        <w:rPr>
          <w:lang w:val="en-US"/>
        </w:rPr>
        <w:t>may be</w:t>
      </w:r>
      <w:r w:rsidR="00915795" w:rsidRPr="000D0D24">
        <w:rPr>
          <w:lang w:val="en-US"/>
        </w:rPr>
        <w:t xml:space="preserve"> </w:t>
      </w:r>
      <w:r w:rsidRPr="000D0D24">
        <w:rPr>
          <w:lang w:val="en-US"/>
        </w:rPr>
        <w:t>less advantageous</w:t>
      </w:r>
      <w:r w:rsidR="008655FA" w:rsidRPr="000D0D24">
        <w:rPr>
          <w:lang w:val="en-US"/>
        </w:rPr>
        <w:t>, as the multi-leveled pathway may result in the loss of information from minorit</w:t>
      </w:r>
      <w:r w:rsidR="000F5B29" w:rsidRPr="000D0D24">
        <w:rPr>
          <w:lang w:val="en-US"/>
        </w:rPr>
        <w:t>ised</w:t>
      </w:r>
      <w:r w:rsidR="008655FA" w:rsidRPr="000D0D24">
        <w:rPr>
          <w:lang w:val="en-US"/>
        </w:rPr>
        <w:t xml:space="preserve"> perspectives</w:t>
      </w:r>
      <w:r w:rsidRPr="000D0D24">
        <w:rPr>
          <w:lang w:val="en-US"/>
        </w:rPr>
        <w:t>.</w:t>
      </w:r>
    </w:p>
    <w:p w14:paraId="3C2DB380" w14:textId="77777777" w:rsidR="00B71013" w:rsidRPr="0015656F" w:rsidRDefault="00B71013" w:rsidP="00B71013">
      <w:pPr>
        <w:rPr>
          <w:lang w:val="en-US"/>
        </w:rPr>
      </w:pPr>
      <w:r w:rsidRPr="0015656F">
        <w:rPr>
          <w:lang w:val="en-US"/>
        </w:rPr>
        <w:t xml:space="preserve">Figure 1: Multi-phase translation pathway </w:t>
      </w:r>
      <w:r w:rsidR="000F5B29">
        <w:rPr>
          <w:lang w:val="en-US"/>
        </w:rPr>
        <w:t>example</w:t>
      </w:r>
    </w:p>
    <w:p w14:paraId="404C0CB8" w14:textId="77777777" w:rsidR="00B71013" w:rsidRDefault="35124557" w:rsidP="00B71013">
      <w:r>
        <w:rPr>
          <w:noProof/>
          <w:lang w:eastAsia="en-AU"/>
        </w:rPr>
        <w:drawing>
          <wp:inline distT="0" distB="0" distL="0" distR="0" wp14:anchorId="627C1084" wp14:editId="6C471F4C">
            <wp:extent cx="5876925" cy="722372"/>
            <wp:effectExtent l="0" t="0" r="0" b="1905"/>
            <wp:docPr id="796341608" name="Picture 796341608" descr="Figure one is a flow chart providing an example of the flow of information from an individual to an organisation, to a peak body, to the OFW (individual, Australian Nursing and Midwifery Foundation, National Rural Health Alliance, National Rural Women’s Coalition, OFW and Policy Makers). " title="Figure 1. Multi-phase translation pathway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876925" cy="722372"/>
                    </a:xfrm>
                    <a:prstGeom prst="rect">
                      <a:avLst/>
                    </a:prstGeom>
                  </pic:spPr>
                </pic:pic>
              </a:graphicData>
            </a:graphic>
          </wp:inline>
        </w:drawing>
      </w:r>
    </w:p>
    <w:p w14:paraId="4090B2CE" w14:textId="77777777" w:rsidR="00B71013" w:rsidRPr="0015656F" w:rsidRDefault="00B71013" w:rsidP="00B71013">
      <w:pPr>
        <w:rPr>
          <w:lang w:val="en-US"/>
        </w:rPr>
      </w:pPr>
    </w:p>
    <w:p w14:paraId="0A285903" w14:textId="77777777" w:rsidR="00B71013" w:rsidRPr="00B71013" w:rsidRDefault="00B71013" w:rsidP="00B71013">
      <w:pPr>
        <w:rPr>
          <w:lang w:val="en-US"/>
        </w:rPr>
      </w:pPr>
      <w:r w:rsidRPr="0015656F">
        <w:rPr>
          <w:lang w:val="en-US"/>
        </w:rPr>
        <w:t xml:space="preserve">In </w:t>
      </w:r>
      <w:r w:rsidRPr="0015656F">
        <w:t xml:space="preserve">another example, members </w:t>
      </w:r>
      <w:r w:rsidRPr="0015656F">
        <w:rPr>
          <w:lang w:val="en-US"/>
        </w:rPr>
        <w:t>of the National Women’s Safety Alliance are mostly individuals</w:t>
      </w:r>
      <w:r w:rsidR="000F5B29">
        <w:rPr>
          <w:lang w:val="en-US"/>
        </w:rPr>
        <w:t xml:space="preserve"> </w:t>
      </w:r>
      <w:r w:rsidRPr="0015656F">
        <w:rPr>
          <w:lang w:val="en-US"/>
        </w:rPr>
        <w:t>with lived experience and</w:t>
      </w:r>
      <w:r w:rsidR="000F5B29">
        <w:rPr>
          <w:lang w:val="en-US"/>
        </w:rPr>
        <w:t xml:space="preserve">/or </w:t>
      </w:r>
      <w:r w:rsidRPr="0015656F">
        <w:rPr>
          <w:lang w:val="en-US"/>
        </w:rPr>
        <w:t xml:space="preserve">subject matter experts in gender-based violence. NWSA also has organisations who are committed to their mission as members. NWSA is directly </w:t>
      </w:r>
      <w:r w:rsidR="000F5B29">
        <w:rPr>
          <w:lang w:val="en-US"/>
        </w:rPr>
        <w:t>connected to</w:t>
      </w:r>
      <w:r w:rsidR="000F5B29" w:rsidRPr="0015656F">
        <w:rPr>
          <w:lang w:val="en-US"/>
        </w:rPr>
        <w:t xml:space="preserve"> </w:t>
      </w:r>
      <w:r w:rsidRPr="0015656F">
        <w:rPr>
          <w:lang w:val="en-US"/>
        </w:rPr>
        <w:t xml:space="preserve">the experiences of individual women, </w:t>
      </w:r>
      <w:r w:rsidR="00E30F63" w:rsidRPr="0015656F">
        <w:rPr>
          <w:lang w:val="en-US"/>
        </w:rPr>
        <w:t>synthesi</w:t>
      </w:r>
      <w:r w:rsidR="00E30F63">
        <w:rPr>
          <w:lang w:val="en-US"/>
        </w:rPr>
        <w:t>s</w:t>
      </w:r>
      <w:r w:rsidR="00E30F63" w:rsidRPr="0015656F">
        <w:rPr>
          <w:lang w:val="en-US"/>
        </w:rPr>
        <w:t xml:space="preserve">ing </w:t>
      </w:r>
      <w:r w:rsidRPr="0015656F">
        <w:rPr>
          <w:lang w:val="en-US"/>
        </w:rPr>
        <w:t xml:space="preserve">perspectives only once when presenting them to the OfW and policy makers. </w:t>
      </w:r>
      <w:r w:rsidRPr="0015656F">
        <w:t xml:space="preserve">This model has advantages for the raising of individual voice, but </w:t>
      </w:r>
      <w:r w:rsidR="003846F7">
        <w:t>may be</w:t>
      </w:r>
      <w:r w:rsidR="003846F7" w:rsidRPr="0015656F">
        <w:t xml:space="preserve"> </w:t>
      </w:r>
      <w:r w:rsidRPr="0015656F">
        <w:t>less advantageous from a</w:t>
      </w:r>
      <w:r w:rsidR="003846F7">
        <w:t>n organisational</w:t>
      </w:r>
      <w:r w:rsidRPr="0015656F">
        <w:t xml:space="preserve"> network</w:t>
      </w:r>
      <w:r w:rsidR="003846F7">
        <w:t>ing</w:t>
      </w:r>
      <w:r w:rsidRPr="0015656F">
        <w:t xml:space="preserve"> perspective. </w:t>
      </w:r>
      <w:r w:rsidR="00287B85">
        <w:t>There was suggestion in interviews that all Alliances should accept individual members to strength</w:t>
      </w:r>
      <w:r w:rsidR="005C7B81">
        <w:t>en</w:t>
      </w:r>
      <w:r w:rsidR="00287B85">
        <w:t xml:space="preserve"> the voice of </w:t>
      </w:r>
      <w:r w:rsidR="000D3839">
        <w:t xml:space="preserve">women’s </w:t>
      </w:r>
      <w:r w:rsidR="00287B85">
        <w:t xml:space="preserve">lived experience </w:t>
      </w:r>
      <w:r w:rsidR="00CF7555">
        <w:t>within the NWA model.</w:t>
      </w:r>
      <w:r w:rsidR="003846F7">
        <w:t xml:space="preserve"> </w:t>
      </w:r>
    </w:p>
    <w:p w14:paraId="48EB8934" w14:textId="77777777" w:rsidR="00B71013" w:rsidRPr="0015656F" w:rsidRDefault="00B71013" w:rsidP="000B09D4">
      <w:pPr>
        <w:keepNext/>
        <w:keepLines/>
        <w:rPr>
          <w:lang w:val="en-US"/>
        </w:rPr>
      </w:pPr>
      <w:r w:rsidRPr="0015656F">
        <w:rPr>
          <w:lang w:val="en-US"/>
        </w:rPr>
        <w:t>Figure 2: Single-phase translation pathway</w:t>
      </w:r>
      <w:r w:rsidR="000F5B29">
        <w:rPr>
          <w:lang w:val="en-US"/>
        </w:rPr>
        <w:t xml:space="preserve"> example</w:t>
      </w:r>
    </w:p>
    <w:p w14:paraId="0EFB63D0" w14:textId="7B46F5AA" w:rsidR="00B71013" w:rsidRPr="00B71013" w:rsidRDefault="00B71013" w:rsidP="000B09D4">
      <w:pPr>
        <w:keepNext/>
        <w:keepLines/>
      </w:pPr>
      <w:r w:rsidRPr="0015656F">
        <w:rPr>
          <w:noProof/>
          <w:lang w:eastAsia="en-AU"/>
        </w:rPr>
        <w:drawing>
          <wp:inline distT="0" distB="0" distL="0" distR="0" wp14:anchorId="2AC237CC" wp14:editId="30C83DCA">
            <wp:extent cx="4572000" cy="1038225"/>
            <wp:effectExtent l="0" t="0" r="0" b="9525"/>
            <wp:docPr id="169852474" name="Picture 169852474" descr="Figure two is another example where the information flow is more direct (from an individual to the Women’s Safety Alliance to the OFW and Policy Makers)." title="Figure 2:.Single-phase translation pathway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52474" name="Picture 169852474" descr="Diagram&#10;&#10;Description automatically generated"/>
                    <pic:cNvPicPr/>
                  </pic:nvPicPr>
                  <pic:blipFill>
                    <a:blip r:embed="rId26">
                      <a:extLst>
                        <a:ext uri="{28A0092B-C50C-407E-A947-70E740481C1C}">
                          <a14:useLocalDpi xmlns:a14="http://schemas.microsoft.com/office/drawing/2010/main" val="0"/>
                        </a:ext>
                      </a:extLst>
                    </a:blip>
                    <a:stretch>
                      <a:fillRect/>
                    </a:stretch>
                  </pic:blipFill>
                  <pic:spPr>
                    <a:xfrm>
                      <a:off x="0" y="0"/>
                      <a:ext cx="4572000" cy="1038225"/>
                    </a:xfrm>
                    <a:prstGeom prst="rect">
                      <a:avLst/>
                    </a:prstGeom>
                  </pic:spPr>
                </pic:pic>
              </a:graphicData>
            </a:graphic>
          </wp:inline>
        </w:drawing>
      </w:r>
      <w:r w:rsidR="000B09D4">
        <w:br/>
      </w:r>
    </w:p>
    <w:p w14:paraId="5D30E6D2" w14:textId="77777777" w:rsidR="00B71013" w:rsidRDefault="00B71013" w:rsidP="00B71013">
      <w:r w:rsidRPr="00B71013">
        <w:t xml:space="preserve">More research is needed to more fully understand the nature of the various translation pathways within the NWA model and their implications for the delivery of model’s objective to represent women.  </w:t>
      </w:r>
    </w:p>
    <w:p w14:paraId="3813F256" w14:textId="77777777" w:rsidR="00FF1215" w:rsidRDefault="00FF1215" w:rsidP="00B71013">
      <w:pPr>
        <w:pStyle w:val="Heading3"/>
      </w:pPr>
      <w:bookmarkStart w:id="15" w:name="_Toc141081534"/>
      <w:r>
        <w:t>Collaboration</w:t>
      </w:r>
      <w:bookmarkEnd w:id="15"/>
    </w:p>
    <w:p w14:paraId="7044A43B" w14:textId="7206EF6C" w:rsidR="00B71013" w:rsidRPr="00B71013" w:rsidRDefault="00B71013" w:rsidP="00B71013">
      <w:pPr>
        <w:rPr>
          <w:rStyle w:val="eop"/>
        </w:rPr>
      </w:pPr>
      <w:r w:rsidRPr="00B71013">
        <w:t xml:space="preserve">The implementation of the current model </w:t>
      </w:r>
      <w:r w:rsidR="008655FA">
        <w:t>enables</w:t>
      </w:r>
      <w:r w:rsidRPr="00B71013">
        <w:t xml:space="preserve"> the delivery of women's voice to government, but </w:t>
      </w:r>
      <w:r>
        <w:t>more could be done to enhance</w:t>
      </w:r>
      <w:r w:rsidRPr="00B71013">
        <w:t xml:space="preserve"> </w:t>
      </w:r>
      <w:r w:rsidRPr="00B71013">
        <w:rPr>
          <w:i/>
          <w:iCs/>
        </w:rPr>
        <w:t>collaborations</w:t>
      </w:r>
      <w:r w:rsidRPr="00B71013">
        <w:t xml:space="preserve"> between </w:t>
      </w:r>
      <w:r>
        <w:t>the A</w:t>
      </w:r>
      <w:r w:rsidRPr="00B71013">
        <w:t xml:space="preserve">lliances and </w:t>
      </w:r>
      <w:r w:rsidR="000F5B29">
        <w:t>G</w:t>
      </w:r>
      <w:r w:rsidRPr="00B71013">
        <w:t>overnment.</w:t>
      </w:r>
      <w:r w:rsidRPr="005050B7">
        <w:t xml:space="preserve"> </w:t>
      </w:r>
      <w:r w:rsidRPr="005050B7">
        <w:rPr>
          <w:bCs/>
        </w:rPr>
        <w:t xml:space="preserve">Grant </w:t>
      </w:r>
      <w:r w:rsidRPr="005050B7">
        <w:rPr>
          <w:bCs/>
        </w:rPr>
        <w:lastRenderedPageBreak/>
        <w:t xml:space="preserve">guidelines designate objectives to collaborate with policymakers to inform Government, however, there is variation in interpretations of </w:t>
      </w:r>
      <w:r w:rsidR="000F5B29" w:rsidRPr="005050B7">
        <w:rPr>
          <w:bCs/>
        </w:rPr>
        <w:t>the</w:t>
      </w:r>
      <w:r w:rsidRPr="005050B7">
        <w:rPr>
          <w:bCs/>
        </w:rPr>
        <w:t xml:space="preserve"> extent</w:t>
      </w:r>
      <w:r w:rsidR="000F5B29" w:rsidRPr="005050B7">
        <w:rPr>
          <w:bCs/>
        </w:rPr>
        <w:t xml:space="preserve"> to which, </w:t>
      </w:r>
      <w:r w:rsidRPr="005050B7">
        <w:rPr>
          <w:bCs/>
        </w:rPr>
        <w:t>and how</w:t>
      </w:r>
      <w:r w:rsidR="000F5B29" w:rsidRPr="005050B7">
        <w:rPr>
          <w:bCs/>
        </w:rPr>
        <w:t>,</w:t>
      </w:r>
      <w:r w:rsidRPr="005050B7">
        <w:rPr>
          <w:bCs/>
        </w:rPr>
        <w:t xml:space="preserve"> informing policy should influence policy outcomes.</w:t>
      </w:r>
      <w:r w:rsidRPr="005050B7">
        <w:t xml:space="preserve"> The</w:t>
      </w:r>
      <w:r w:rsidRPr="000D0D24">
        <w:t xml:space="preserve">re is no commitment for the NWA model to </w:t>
      </w:r>
      <w:r w:rsidR="000D0D24">
        <w:t>direct or change</w:t>
      </w:r>
      <w:r w:rsidR="000D0D24" w:rsidRPr="000D0D24">
        <w:t xml:space="preserve"> </w:t>
      </w:r>
      <w:r w:rsidRPr="000D0D24">
        <w:t>policy</w:t>
      </w:r>
      <w:r w:rsidR="000D0D24">
        <w:t xml:space="preserve"> development</w:t>
      </w:r>
      <w:r w:rsidRPr="00B71013">
        <w:t xml:space="preserve">. However, the delivery of WLDP objectives to improve social and economic outcomes for women relies on the development of more inclusive and enabling policy. </w:t>
      </w:r>
      <w:r w:rsidR="00600CA6">
        <w:t>These mismatches between the NWA model and the goals of the WLDP highlight the need for greater clarity and structure on how policy collaborations between the Alliances and Government should occur.</w:t>
      </w:r>
    </w:p>
    <w:p w14:paraId="145D6738" w14:textId="77777777" w:rsidR="00B71013" w:rsidRPr="00600CA6" w:rsidRDefault="00B71013" w:rsidP="00B71013">
      <w:pPr>
        <w:rPr>
          <w:rStyle w:val="eop"/>
        </w:rPr>
      </w:pPr>
      <w:r w:rsidRPr="000B09D4">
        <w:rPr>
          <w:bCs/>
        </w:rPr>
        <w:t xml:space="preserve">Collaboration with OfW primarily </w:t>
      </w:r>
      <w:r w:rsidR="00600CA6" w:rsidRPr="000B09D4">
        <w:rPr>
          <w:bCs/>
        </w:rPr>
        <w:t xml:space="preserve">occurs </w:t>
      </w:r>
      <w:r w:rsidRPr="000B09D4">
        <w:rPr>
          <w:bCs/>
        </w:rPr>
        <w:t xml:space="preserve">via relationship management. However, </w:t>
      </w:r>
      <w:r w:rsidR="000F5B29" w:rsidRPr="000B09D4">
        <w:rPr>
          <w:bCs/>
        </w:rPr>
        <w:t xml:space="preserve">the </w:t>
      </w:r>
      <w:r w:rsidRPr="000B09D4">
        <w:rPr>
          <w:bCs/>
        </w:rPr>
        <w:t xml:space="preserve">resourcing </w:t>
      </w:r>
      <w:r w:rsidR="000F5B29" w:rsidRPr="000B09D4">
        <w:rPr>
          <w:bCs/>
        </w:rPr>
        <w:t xml:space="preserve">of </w:t>
      </w:r>
      <w:r w:rsidRPr="000B09D4">
        <w:rPr>
          <w:bCs/>
        </w:rPr>
        <w:t xml:space="preserve">OfW </w:t>
      </w:r>
      <w:r w:rsidR="000F5B29" w:rsidRPr="000B09D4">
        <w:rPr>
          <w:bCs/>
        </w:rPr>
        <w:t xml:space="preserve">staff </w:t>
      </w:r>
      <w:r w:rsidRPr="000B09D4">
        <w:rPr>
          <w:bCs/>
        </w:rPr>
        <w:t xml:space="preserve">primarily for formal grant management appears to, at times, result in transactional relationships between </w:t>
      </w:r>
      <w:r w:rsidR="000F5B29" w:rsidRPr="000B09D4">
        <w:rPr>
          <w:bCs/>
        </w:rPr>
        <w:t>A</w:t>
      </w:r>
      <w:r w:rsidRPr="000B09D4">
        <w:rPr>
          <w:bCs/>
        </w:rPr>
        <w:t>lliances and their relationship managers.</w:t>
      </w:r>
      <w:r w:rsidRPr="00B71013">
        <w:t xml:space="preserve"> Continued emphasis on administrative controls is likely to inhibit trust building</w:t>
      </w:r>
      <w:r w:rsidR="000F5B29">
        <w:t xml:space="preserve">, </w:t>
      </w:r>
      <w:r w:rsidRPr="00B71013">
        <w:t>reinforce power imbalances</w:t>
      </w:r>
      <w:r w:rsidR="000F5B29">
        <w:t>,</w:t>
      </w:r>
      <w:r w:rsidRPr="00B71013">
        <w:t xml:space="preserve"> and </w:t>
      </w:r>
      <w:r w:rsidR="000F5B29">
        <w:t xml:space="preserve">raise </w:t>
      </w:r>
      <w:r w:rsidRPr="00B71013">
        <w:t>consciousness of resource dependency.</w:t>
      </w:r>
      <w:r w:rsidR="00600CA6">
        <w:t xml:space="preserve"> Some Alliance interviewees noted that more recognition from Government about their work</w:t>
      </w:r>
      <w:r w:rsidR="00600CA6">
        <w:rPr>
          <w:rFonts w:ascii="Segoe UI Semilight" w:hAnsi="Segoe UI Semilight" w:cs="Segoe UI Semilight"/>
        </w:rPr>
        <w:t>—</w:t>
      </w:r>
      <w:r w:rsidR="00600CA6">
        <w:t>including positive acknowledgements from the Minister</w:t>
      </w:r>
      <w:r w:rsidR="00495594">
        <w:t>’s Office</w:t>
      </w:r>
      <w:r w:rsidR="00600CA6">
        <w:rPr>
          <w:rFonts w:ascii="Segoe UI Semilight" w:hAnsi="Segoe UI Semilight" w:cs="Segoe UI Semilight"/>
        </w:rPr>
        <w:t>—would help enhance the relationship and boost morale among NWA staff.</w:t>
      </w:r>
    </w:p>
    <w:p w14:paraId="5E4D8584" w14:textId="3737E200" w:rsidR="008655FA" w:rsidRPr="000B09D4" w:rsidRDefault="00B71013" w:rsidP="00B71013">
      <w:r w:rsidRPr="00B71013">
        <w:t xml:space="preserve">There were variations in this experience both across </w:t>
      </w:r>
      <w:r w:rsidR="000F5B29">
        <w:t>A</w:t>
      </w:r>
      <w:r w:rsidRPr="00B71013">
        <w:t xml:space="preserve">lliances and within </w:t>
      </w:r>
      <w:r w:rsidR="000F5B29">
        <w:t>A</w:t>
      </w:r>
      <w:r w:rsidRPr="00B71013">
        <w:t>lliances over time, with some participants reporting strong and high-quality relationships</w:t>
      </w:r>
      <w:r w:rsidR="000F5B29">
        <w:t xml:space="preserve">, both currently </w:t>
      </w:r>
      <w:r w:rsidRPr="00B71013">
        <w:t xml:space="preserve">or historically. However, a lack of trust (from both directions) is apparent in some instances, exacerbated by a lack of continuity in personnel in both the OfW and Alliances. In line with earlier evaluations of the model, </w:t>
      </w:r>
      <w:r w:rsidR="008655FA">
        <w:t>A</w:t>
      </w:r>
      <w:r w:rsidRPr="00B71013">
        <w:t xml:space="preserve">lliance interviewees frequently described a desire for a more collaborative relationship with </w:t>
      </w:r>
      <w:r w:rsidR="000F5B29" w:rsidRPr="000B09D4">
        <w:t>G</w:t>
      </w:r>
      <w:r w:rsidRPr="000B09D4">
        <w:t xml:space="preserve">overnment, and a lack of feedback on material or advice provided during reporting procedures. </w:t>
      </w:r>
      <w:r w:rsidR="008655FA" w:rsidRPr="000B09D4">
        <w:rPr>
          <w:bCs/>
        </w:rPr>
        <w:t>To enhance the relationship between NWA and OfW, consideration should be given to resourcing relationship building</w:t>
      </w:r>
      <w:r w:rsidR="008655FA" w:rsidRPr="000B09D4">
        <w:t xml:space="preserve">, including time for meaningful engagement between Alliance representatives and </w:t>
      </w:r>
      <w:r w:rsidR="001D1418" w:rsidRPr="000B09D4">
        <w:t>O</w:t>
      </w:r>
      <w:r w:rsidR="00BF7FD1" w:rsidRPr="000B09D4">
        <w:t>f</w:t>
      </w:r>
      <w:r w:rsidR="001D1418" w:rsidRPr="000B09D4">
        <w:t>W</w:t>
      </w:r>
      <w:r w:rsidR="008655FA" w:rsidRPr="000B09D4">
        <w:t xml:space="preserve">, and support for appropriate role clarity and capability development amongst </w:t>
      </w:r>
      <w:r w:rsidR="00551C08" w:rsidRPr="000B09D4">
        <w:t>OfW</w:t>
      </w:r>
      <w:r w:rsidR="001D1418" w:rsidRPr="000B09D4">
        <w:t xml:space="preserve"> and Alliances</w:t>
      </w:r>
      <w:r w:rsidR="008655FA" w:rsidRPr="000B09D4">
        <w:t>.</w:t>
      </w:r>
    </w:p>
    <w:p w14:paraId="5F07FF4E" w14:textId="5AD460B2" w:rsidR="00600CA6" w:rsidRPr="000B09D4" w:rsidRDefault="00600CA6" w:rsidP="00B71013">
      <w:r w:rsidRPr="008655FA">
        <w:t xml:space="preserve">Some interviewees noted that better communication </w:t>
      </w:r>
      <w:r>
        <w:t xml:space="preserve">between OfW and NWA </w:t>
      </w:r>
      <w:r w:rsidRPr="008655FA">
        <w:t>would allow Alliances to forecast upcoming policy requests from government and proactively develop advice</w:t>
      </w:r>
      <w:r w:rsidRPr="008655FA">
        <w:rPr>
          <w:b/>
          <w:bCs/>
        </w:rPr>
        <w:t xml:space="preserve">. </w:t>
      </w:r>
      <w:r>
        <w:t>Other interviewees believed that Alliances would have more substantial policy impact if Government familiaris</w:t>
      </w:r>
      <w:r w:rsidR="001D1418">
        <w:t>ed</w:t>
      </w:r>
      <w:r>
        <w:t xml:space="preserve"> them with the Australian policy cycle, and provided more support for ad-hoc and urgent policy requests. If poli</w:t>
      </w:r>
      <w:r w:rsidRPr="000B09D4">
        <w:t xml:space="preserve">cy change is a key outcome of the NWA, </w:t>
      </w:r>
      <w:r w:rsidRPr="000B09D4">
        <w:rPr>
          <w:bCs/>
        </w:rPr>
        <w:t>more support, communication, and guidance</w:t>
      </w:r>
      <w:r w:rsidR="002C7FE1" w:rsidRPr="000B09D4">
        <w:rPr>
          <w:bCs/>
        </w:rPr>
        <w:t xml:space="preserve"> on the role</w:t>
      </w:r>
      <w:r w:rsidR="00F05D58" w:rsidRPr="000B09D4">
        <w:rPr>
          <w:bCs/>
        </w:rPr>
        <w:t xml:space="preserve"> of NWAs and their value to</w:t>
      </w:r>
      <w:r w:rsidRPr="000B09D4">
        <w:rPr>
          <w:bCs/>
        </w:rPr>
        <w:t xml:space="preserve"> the policy ‘system’ would maximise the</w:t>
      </w:r>
      <w:r w:rsidR="00F05D58" w:rsidRPr="000B09D4">
        <w:rPr>
          <w:bCs/>
        </w:rPr>
        <w:t xml:space="preserve"> program’s</w:t>
      </w:r>
      <w:r w:rsidRPr="000B09D4">
        <w:rPr>
          <w:bCs/>
        </w:rPr>
        <w:t xml:space="preserve"> impact</w:t>
      </w:r>
      <w:r w:rsidRPr="000B09D4">
        <w:t>.</w:t>
      </w:r>
    </w:p>
    <w:p w14:paraId="50DA31D2" w14:textId="77777777" w:rsidR="00B71013" w:rsidRPr="00B71013" w:rsidRDefault="00B71013" w:rsidP="00B71013">
      <w:r w:rsidRPr="000B09D4">
        <w:rPr>
          <w:bCs/>
        </w:rPr>
        <w:t>Collaboration with policy makers is primarily possible via government consultation activity. However, there is significant variation in the scope and timing of this engagement, and there were few examples of formalised or fully embedded models of collaboration.</w:t>
      </w:r>
      <w:r w:rsidRPr="000B09D4">
        <w:t xml:space="preserve"> Descript</w:t>
      </w:r>
      <w:r w:rsidRPr="00B71013">
        <w:t xml:space="preserve">ions of policy engagement by both Alliance and </w:t>
      </w:r>
      <w:r w:rsidR="000F5B29">
        <w:t>G</w:t>
      </w:r>
      <w:r w:rsidRPr="00B71013">
        <w:t>overnment interviewees illustrate a largely unstructured and ad hoc approach to Alliances’ engagement with policy makers.</w:t>
      </w:r>
      <w:r w:rsidR="00875E4B">
        <w:t xml:space="preserve"> </w:t>
      </w:r>
      <w:r w:rsidR="00875E4B" w:rsidRPr="00875E4B">
        <w:t>Whilst policy insights from the Alliances were described positively in interviews, the process by which the engagement occurs could have an improved structure. For policymakers to fully realise the value add of Alliances</w:t>
      </w:r>
      <w:r w:rsidR="00C223F2">
        <w:t>’</w:t>
      </w:r>
      <w:r w:rsidR="00875E4B" w:rsidRPr="00875E4B">
        <w:t xml:space="preserve"> insights, policymakers should be </w:t>
      </w:r>
      <w:r w:rsidR="00201E1A">
        <w:t>encouraged to</w:t>
      </w:r>
      <w:r w:rsidR="00875E4B" w:rsidRPr="00875E4B">
        <w:t xml:space="preserve"> engage with Alliances in the stages of policy development</w:t>
      </w:r>
      <w:r w:rsidR="009911A1">
        <w:t xml:space="preserve"> in which lived experience or </w:t>
      </w:r>
      <w:r w:rsidR="009911A1">
        <w:lastRenderedPageBreak/>
        <w:t>implementation insights are most valuable</w:t>
      </w:r>
      <w:r w:rsidR="0056385A">
        <w:t xml:space="preserve"> and most impactful</w:t>
      </w:r>
      <w:r w:rsidR="00875E4B" w:rsidRPr="00875E4B">
        <w:t>. Additionally, policymakers may benefit from explicit guidance from the OfW and NWA on inclusive policy making, engagement with marginalised communities and the value of lived experience, to support capability development in inclusive policy making.</w:t>
      </w:r>
      <w:r w:rsidRPr="00B71013">
        <w:t xml:space="preserve"> </w:t>
      </w:r>
    </w:p>
    <w:p w14:paraId="5DB62100" w14:textId="01596071" w:rsidR="00B71013" w:rsidRPr="00B71013" w:rsidRDefault="00B71013" w:rsidP="00B71013">
      <w:r w:rsidRPr="000B09D4">
        <w:rPr>
          <w:bCs/>
        </w:rPr>
        <w:t>Consideration of future collaborative designs can be informed by examining existing network relationships relevant to the NWA model, and when</w:t>
      </w:r>
      <w:r w:rsidR="000F5B29" w:rsidRPr="000B09D4">
        <w:rPr>
          <w:bCs/>
        </w:rPr>
        <w:t>,</w:t>
      </w:r>
      <w:r w:rsidRPr="000B09D4">
        <w:rPr>
          <w:bCs/>
        </w:rPr>
        <w:t xml:space="preserve"> and how</w:t>
      </w:r>
      <w:r w:rsidR="000F5B29" w:rsidRPr="000B09D4">
        <w:rPr>
          <w:bCs/>
        </w:rPr>
        <w:t>,</w:t>
      </w:r>
      <w:r w:rsidRPr="000B09D4">
        <w:rPr>
          <w:bCs/>
        </w:rPr>
        <w:t xml:space="preserve"> higher levels of collaboration may be valuable, depending on available time, trust</w:t>
      </w:r>
      <w:r w:rsidR="000F5B29" w:rsidRPr="000B09D4">
        <w:rPr>
          <w:bCs/>
        </w:rPr>
        <w:t>,</w:t>
      </w:r>
      <w:r w:rsidRPr="000B09D4">
        <w:rPr>
          <w:bCs/>
        </w:rPr>
        <w:t xml:space="preserve"> and willingness to work together.</w:t>
      </w:r>
      <w:r w:rsidRPr="000B09D4">
        <w:t xml:space="preserve"> Figure</w:t>
      </w:r>
      <w:r w:rsidRPr="00B71013">
        <w:t xml:space="preserve"> 3 below presents a stakeholder network map for the NWA program, including current forms </w:t>
      </w:r>
      <w:r w:rsidR="001D1418" w:rsidRPr="00B71013">
        <w:t>o</w:t>
      </w:r>
      <w:r w:rsidR="001D1418">
        <w:t>f</w:t>
      </w:r>
      <w:r w:rsidR="001D1418" w:rsidRPr="00B71013">
        <w:t xml:space="preserve"> </w:t>
      </w:r>
      <w:r w:rsidRPr="00B71013">
        <w:t xml:space="preserve">engagement between different groups. These </w:t>
      </w:r>
      <w:r w:rsidR="00A07EAA">
        <w:t xml:space="preserve">relationships </w:t>
      </w:r>
      <w:r w:rsidRPr="00B71013">
        <w:t>differ</w:t>
      </w:r>
      <w:r w:rsidR="00A07EAA">
        <w:t xml:space="preserve"> in the</w:t>
      </w:r>
      <w:r w:rsidR="009874AC">
        <w:t xml:space="preserve"> degree of co</w:t>
      </w:r>
      <w:r w:rsidR="001F03A4">
        <w:t>llaboration</w:t>
      </w:r>
      <w:r w:rsidR="00BE5472">
        <w:t xml:space="preserve"> undertaken, ranging from information</w:t>
      </w:r>
      <w:r w:rsidR="008C7242">
        <w:t>-</w:t>
      </w:r>
      <w:r w:rsidR="00BE5472">
        <w:t xml:space="preserve">based </w:t>
      </w:r>
      <w:r w:rsidRPr="00B71013">
        <w:t xml:space="preserve">networking </w:t>
      </w:r>
      <w:r w:rsidR="00BE5472">
        <w:t>to</w:t>
      </w:r>
      <w:r w:rsidRPr="00B71013">
        <w:t xml:space="preserve"> collaborating</w:t>
      </w:r>
      <w:r w:rsidR="00BE5472">
        <w:t>.</w:t>
      </w:r>
      <w:r w:rsidR="003611C8">
        <w:t xml:space="preserve"> </w:t>
      </w:r>
      <w:r w:rsidR="001F5243">
        <w:t>Although collaboration is a stated objective of the model, analysis revealed that relationships within the network more often consist only of information sharing, which may be less likely to contribute to strategic objectives around effective policy</w:t>
      </w:r>
      <w:r w:rsidR="003C0792">
        <w:t xml:space="preserve"> or women’s leadership and development.</w:t>
      </w:r>
      <w:r w:rsidR="001F5243">
        <w:t xml:space="preserve"> </w:t>
      </w:r>
      <w:r w:rsidR="00DA65D8">
        <w:t>More collaborative</w:t>
      </w:r>
      <w:r w:rsidR="00B56C7C">
        <w:t xml:space="preserve"> and partnership-based</w:t>
      </w:r>
      <w:r w:rsidR="00DA65D8">
        <w:t xml:space="preserve"> structures </w:t>
      </w:r>
      <w:r w:rsidR="00B56C7C">
        <w:t xml:space="preserve">would also better support the embedding of the </w:t>
      </w:r>
      <w:r w:rsidR="00DA65D8">
        <w:t>feminist expertise captured</w:t>
      </w:r>
      <w:r w:rsidR="00B56C7C">
        <w:t xml:space="preserve"> in the NWA</w:t>
      </w:r>
      <w:r w:rsidR="00DA65D8">
        <w:t xml:space="preserve"> </w:t>
      </w:r>
      <w:r w:rsidR="00F516B8">
        <w:t>model.</w:t>
      </w:r>
    </w:p>
    <w:p w14:paraId="79B47450" w14:textId="77777777" w:rsidR="00FF1215" w:rsidRDefault="00FF1215" w:rsidP="00FF1215">
      <w:pPr>
        <w:pStyle w:val="Heading3"/>
      </w:pPr>
      <w:bookmarkStart w:id="16" w:name="_Toc141081535"/>
      <w:r>
        <w:t>Resourcing</w:t>
      </w:r>
      <w:bookmarkEnd w:id="16"/>
    </w:p>
    <w:p w14:paraId="1ADF07DE" w14:textId="77777777" w:rsidR="00E66622" w:rsidRPr="000B09D4" w:rsidRDefault="00DD3EB6" w:rsidP="00E66622">
      <w:r w:rsidRPr="000B09D4">
        <w:t>In interviews t</w:t>
      </w:r>
      <w:r w:rsidR="00E66622" w:rsidRPr="000B09D4">
        <w:t xml:space="preserve">here was almost </w:t>
      </w:r>
      <w:r w:rsidR="00E66622" w:rsidRPr="000B09D4">
        <w:rPr>
          <w:bCs/>
        </w:rPr>
        <w:t>unanimous agreement that current funding of the NWA does not align with the performance expectations</w:t>
      </w:r>
      <w:r w:rsidR="00E66622" w:rsidRPr="000B09D4">
        <w:t xml:space="preserve"> of the NWA model. More specifically, the level of expertise required for NWA activity completion, particularly around research and policy activity, was described as </w:t>
      </w:r>
      <w:r w:rsidRPr="000B09D4">
        <w:t>greater than</w:t>
      </w:r>
      <w:r w:rsidR="00E66622" w:rsidRPr="000B09D4">
        <w:t xml:space="preserve"> the funding designated for personnel. Interviewees </w:t>
      </w:r>
      <w:r w:rsidR="00C366E3" w:rsidRPr="000B09D4">
        <w:t xml:space="preserve">also </w:t>
      </w:r>
      <w:r w:rsidR="00E66622" w:rsidRPr="000B09D4">
        <w:t xml:space="preserve">noted that the funding available for personnel is below market rates for qualified policy and advisory positions. </w:t>
      </w:r>
    </w:p>
    <w:p w14:paraId="793DA24B" w14:textId="77777777" w:rsidR="00E66622" w:rsidRPr="000B09D4" w:rsidRDefault="00E66622" w:rsidP="00E66622">
      <w:r w:rsidRPr="000B09D4">
        <w:t xml:space="preserve">There was a general acknowledgement from interviewees that </w:t>
      </w:r>
      <w:r w:rsidRPr="000B09D4">
        <w:rPr>
          <w:bCs/>
        </w:rPr>
        <w:t>a key consequence of NWAs</w:t>
      </w:r>
      <w:r w:rsidR="001B2CC7" w:rsidRPr="000B09D4">
        <w:rPr>
          <w:bCs/>
        </w:rPr>
        <w:t>’</w:t>
      </w:r>
      <w:r w:rsidRPr="000B09D4">
        <w:rPr>
          <w:bCs/>
        </w:rPr>
        <w:t xml:space="preserve"> limited funding is the NWAs heavily reliance on the unpaid labour from the women’s sector</w:t>
      </w:r>
      <w:r w:rsidRPr="000B09D4">
        <w:t>. This work is largely provided by volunteer workers, paid employees working longer hours than they are remunerated for, and donated staff time from the auspicing agencies. NWA interviewees expressed gratitude for this work, but noted that the voluntary nature of the work left Alliances lacking sustaina</w:t>
      </w:r>
      <w:r w:rsidR="0665950A" w:rsidRPr="000B09D4">
        <w:t>bility</w:t>
      </w:r>
      <w:r w:rsidRPr="000B09D4">
        <w:t>. To allow Alliances to succeed in informing policy and decision making,</w:t>
      </w:r>
      <w:r w:rsidR="110E7FA4" w:rsidRPr="000B09D4">
        <w:t xml:space="preserve"> and </w:t>
      </w:r>
      <w:r w:rsidR="00600CA6" w:rsidRPr="000B09D4">
        <w:rPr>
          <w:bCs/>
        </w:rPr>
        <w:t xml:space="preserve">to </w:t>
      </w:r>
      <w:r w:rsidR="110E7FA4" w:rsidRPr="000B09D4">
        <w:t>future-proof the voice of under-represented women in government,</w:t>
      </w:r>
      <w:r w:rsidRPr="000B09D4">
        <w:t xml:space="preserve"> greater funding is required.</w:t>
      </w:r>
    </w:p>
    <w:p w14:paraId="4C87FE7F" w14:textId="77777777" w:rsidR="00E66622" w:rsidRPr="00E66622" w:rsidRDefault="63F70122" w:rsidP="00E66622">
      <w:r>
        <w:t>Interviewees noted that greater funding would allow the Alliances to</w:t>
      </w:r>
      <w:r w:rsidR="1CC34725">
        <w:t xml:space="preserve"> fund member engagement activities</w:t>
      </w:r>
      <w:r w:rsidR="16045D11">
        <w:t xml:space="preserve"> and</w:t>
      </w:r>
      <w:r>
        <w:t xml:space="preserve"> </w:t>
      </w:r>
      <w:r w:rsidR="004F5734">
        <w:t xml:space="preserve">fully </w:t>
      </w:r>
      <w:r w:rsidR="2092A38A">
        <w:t>pay curr</w:t>
      </w:r>
      <w:r w:rsidR="0C842A56">
        <w:t xml:space="preserve">ent or </w:t>
      </w:r>
      <w:r w:rsidR="13378F8C">
        <w:t xml:space="preserve">hire more personnel, which would in turn enable them to provide </w:t>
      </w:r>
      <w:r w:rsidR="7BC7B1F5">
        <w:t>better</w:t>
      </w:r>
      <w:r>
        <w:t xml:space="preserve"> in-depth advice to government (including both the OfW and other government departments). Additional personnel would also allow the Alliances to provide advice to government in a timely manner, which would be particularly valuable given the increasing requests for quick policy advice from government. Overall, NWA interviewees noted that they could imag</w:t>
      </w:r>
      <w:r w:rsidRPr="000B09D4">
        <w:t xml:space="preserve">ine </w:t>
      </w:r>
      <w:r w:rsidRPr="000B09D4">
        <w:rPr>
          <w:bCs/>
        </w:rPr>
        <w:t xml:space="preserve">significantly greater engagement with government and more imaginative </w:t>
      </w:r>
      <w:r w:rsidR="26951538" w:rsidRPr="000B09D4">
        <w:rPr>
          <w:bCs/>
        </w:rPr>
        <w:t xml:space="preserve">and sustained </w:t>
      </w:r>
      <w:r w:rsidRPr="000B09D4">
        <w:rPr>
          <w:bCs/>
        </w:rPr>
        <w:t>policy impact if they were better resourced</w:t>
      </w:r>
      <w:r w:rsidRPr="000B09D4">
        <w:t xml:space="preserve">. </w:t>
      </w:r>
      <w:r w:rsidR="008A1CC7" w:rsidRPr="000B09D4">
        <w:t xml:space="preserve">Examples for funding </w:t>
      </w:r>
      <w:r w:rsidR="004B6720" w:rsidRPr="000B09D4">
        <w:t>increases proposed in interviews</w:t>
      </w:r>
      <w:r w:rsidR="008A1CC7" w:rsidRPr="000B09D4">
        <w:t xml:space="preserve"> inclu</w:t>
      </w:r>
      <w:r w:rsidR="008A1CC7">
        <w:t>de</w:t>
      </w:r>
      <w:r w:rsidR="004B6720">
        <w:t xml:space="preserve"> substantial increases </w:t>
      </w:r>
      <w:r w:rsidR="00C7478C">
        <w:t>in direct funding for staff (e.g</w:t>
      </w:r>
      <w:r w:rsidR="5729C22F">
        <w:t>.</w:t>
      </w:r>
      <w:r w:rsidR="7B9D27D8">
        <w:t>,</w:t>
      </w:r>
      <w:r w:rsidR="00C7478C">
        <w:t xml:space="preserve"> 2-3 times current funding), </w:t>
      </w:r>
      <w:r w:rsidR="0079470E">
        <w:t>OfW</w:t>
      </w:r>
      <w:r w:rsidR="00BD52A1">
        <w:t xml:space="preserve"> </w:t>
      </w:r>
      <w:r w:rsidR="0079470E">
        <w:t xml:space="preserve">provision of </w:t>
      </w:r>
      <w:r w:rsidR="00BD52A1">
        <w:t>administrative</w:t>
      </w:r>
      <w:r w:rsidR="00B30932">
        <w:t xml:space="preserve"> and communications </w:t>
      </w:r>
      <w:r w:rsidR="0079470E">
        <w:t>support</w:t>
      </w:r>
      <w:r w:rsidR="00B30932">
        <w:t xml:space="preserve">, and top-up funding for program accessibility requirements (e.g. travel to regional and remote areas, language translation and disability accessibility). </w:t>
      </w:r>
    </w:p>
    <w:p w14:paraId="183B33AB" w14:textId="77777777" w:rsidR="00600CA6" w:rsidRDefault="00600CA6" w:rsidP="00E66622">
      <w:r>
        <w:lastRenderedPageBreak/>
        <w:t>Both Government and Alliance interviewees noted that longer funding cycles would also maximise the NWAs impact. The short-term nature of existing funding led to insecurities about the Alliances</w:t>
      </w:r>
      <w:r w:rsidR="00E21877">
        <w:t>’</w:t>
      </w:r>
      <w:r>
        <w:t xml:space="preserve"> futures, which made long-term planning difficult. The worry and planning about the future distracted Alliances from their core tasks. Longer-term funding would allow for more imaginative policy initiatives, and longer-term thinking about how to enhance gender equality in Australia. </w:t>
      </w:r>
    </w:p>
    <w:p w14:paraId="3239DF52" w14:textId="77777777" w:rsidR="00E66622" w:rsidRPr="000B09D4" w:rsidRDefault="00E66622" w:rsidP="00E66622">
      <w:r w:rsidRPr="00E66622">
        <w:t>Another theme that emerged throughout interviews conc</w:t>
      </w:r>
      <w:r w:rsidRPr="000B09D4">
        <w:t xml:space="preserve">erned </w:t>
      </w:r>
      <w:r w:rsidRPr="000B09D4">
        <w:rPr>
          <w:bCs/>
        </w:rPr>
        <w:t>funding inequities across Alliances</w:t>
      </w:r>
      <w:r w:rsidRPr="000B09D4">
        <w:t xml:space="preserve">. </w:t>
      </w:r>
      <w:r w:rsidR="00F64878" w:rsidRPr="000B09D4">
        <w:t xml:space="preserve">Some </w:t>
      </w:r>
      <w:r w:rsidRPr="000B09D4">
        <w:t xml:space="preserve">Alliances that have membership bases that require more resource intensive forms of communication (i.e., language translation, </w:t>
      </w:r>
      <w:r w:rsidR="000C092B" w:rsidRPr="000B09D4">
        <w:t xml:space="preserve">cultural safety, </w:t>
      </w:r>
      <w:r w:rsidRPr="000B09D4">
        <w:t>disability accessibility requirements, and/or remote locations) noted that the extra funds required to adequately represent their members and support staff put them at a funding disadva</w:t>
      </w:r>
      <w:r w:rsidR="00A0591A" w:rsidRPr="000B09D4">
        <w:t xml:space="preserve">ntage, and hampered the </w:t>
      </w:r>
      <w:r w:rsidR="002E2C5C" w:rsidRPr="000B09D4">
        <w:t xml:space="preserve">involvement </w:t>
      </w:r>
      <w:r w:rsidRPr="000B09D4">
        <w:t xml:space="preserve"> of marginal women. Interviewees noted that</w:t>
      </w:r>
      <w:r w:rsidR="003A4386" w:rsidRPr="000B09D4">
        <w:t xml:space="preserve"> while all Alliances have accessibility requirements, </w:t>
      </w:r>
      <w:r w:rsidR="003A4386" w:rsidRPr="000B09D4">
        <w:rPr>
          <w:bCs/>
        </w:rPr>
        <w:t>additional</w:t>
      </w:r>
      <w:r w:rsidRPr="000B09D4">
        <w:rPr>
          <w:bCs/>
        </w:rPr>
        <w:t xml:space="preserve"> funds</w:t>
      </w:r>
      <w:r w:rsidR="00046932" w:rsidRPr="000B09D4">
        <w:rPr>
          <w:bCs/>
        </w:rPr>
        <w:t xml:space="preserve"> </w:t>
      </w:r>
      <w:r w:rsidRPr="000B09D4">
        <w:rPr>
          <w:bCs/>
        </w:rPr>
        <w:t xml:space="preserve">for </w:t>
      </w:r>
      <w:r w:rsidR="00180838" w:rsidRPr="000B09D4">
        <w:rPr>
          <w:bCs/>
        </w:rPr>
        <w:t xml:space="preserve">more substantial </w:t>
      </w:r>
      <w:r w:rsidRPr="000B09D4">
        <w:rPr>
          <w:bCs/>
        </w:rPr>
        <w:t>accessibility requirements would increase equity and inclusivity within the NWA model.</w:t>
      </w:r>
    </w:p>
    <w:p w14:paraId="7139091B" w14:textId="77777777" w:rsidR="00FF1215" w:rsidRDefault="00FF1215" w:rsidP="00FF1215">
      <w:pPr>
        <w:pStyle w:val="Heading2"/>
      </w:pPr>
      <w:bookmarkStart w:id="17" w:name="_Toc141081536"/>
      <w:r>
        <w:t>Recent changes</w:t>
      </w:r>
      <w:bookmarkEnd w:id="17"/>
    </w:p>
    <w:p w14:paraId="341F331E" w14:textId="77777777" w:rsidR="008655FA" w:rsidRPr="000B09D4" w:rsidRDefault="008655FA" w:rsidP="008655FA">
      <w:pPr>
        <w:rPr>
          <w:iCs/>
        </w:rPr>
      </w:pPr>
      <w:r w:rsidRPr="000B09D4">
        <w:rPr>
          <w:iCs/>
        </w:rPr>
        <w:t>This section presents analysis of whether (and if so, how) changes to the model in 2020-21 and 2021-22 have improved NWAs’ focus and delivery of the specified outcomes and activities.</w:t>
      </w:r>
    </w:p>
    <w:p w14:paraId="2BF8C55D" w14:textId="77777777" w:rsidR="00E66622" w:rsidRPr="00E60014" w:rsidRDefault="00E66622" w:rsidP="000B09D4">
      <w:pPr>
        <w:pStyle w:val="BOXHeading3"/>
      </w:pPr>
      <w:bookmarkStart w:id="18" w:name="_Toc141081537"/>
      <w:r w:rsidRPr="00E60014">
        <w:t>Key conclusions:</w:t>
      </w:r>
      <w:bookmarkEnd w:id="18"/>
    </w:p>
    <w:p w14:paraId="01B854DC" w14:textId="46E39853" w:rsidR="008655FA" w:rsidRDefault="00E66622" w:rsidP="008655FA">
      <w:pPr>
        <w:pStyle w:val="BOXText"/>
      </w:pPr>
      <w:r w:rsidRPr="00E66622">
        <w:t>Changes to the composition of the Alliances have improved the focus and delivery of the program objective of representation by better including under-represent</w:t>
      </w:r>
      <w:r w:rsidR="00263CD3">
        <w:t>ed</w:t>
      </w:r>
      <w:r w:rsidRPr="00E66622">
        <w:t xml:space="preserve"> women.</w:t>
      </w:r>
    </w:p>
    <w:p w14:paraId="179C27C2" w14:textId="77777777" w:rsidR="008655FA" w:rsidRDefault="008655FA" w:rsidP="008655FA">
      <w:pPr>
        <w:pStyle w:val="BOXText"/>
      </w:pPr>
      <w:r w:rsidRPr="008655FA">
        <w:t>Changes to the grant management process d</w:t>
      </w:r>
      <w:r w:rsidR="006461B3">
        <w:t>o</w:t>
      </w:r>
      <w:r w:rsidRPr="008655FA">
        <w:t xml:space="preserve"> not</w:t>
      </w:r>
      <w:r w:rsidR="006461B3">
        <w:t xml:space="preserve"> appear to have</w:t>
      </w:r>
      <w:r w:rsidRPr="008655FA">
        <w:t xml:space="preserve"> improve</w:t>
      </w:r>
      <w:r w:rsidR="006461B3">
        <w:t>d</w:t>
      </w:r>
      <w:r w:rsidRPr="008655FA">
        <w:t xml:space="preserve"> the focus and delivery of the program objectives on representation and </w:t>
      </w:r>
      <w:r w:rsidR="006461B3">
        <w:t>appear to be</w:t>
      </w:r>
      <w:r w:rsidRPr="008655FA">
        <w:t xml:space="preserve"> impeding the delivery of the objective for collaboration by encouraging a compliance-based approach to relationship management. Changes to the objectives articulated in grant guidelines have not resulted in a shared understanding of the purpose of the program.</w:t>
      </w:r>
    </w:p>
    <w:p w14:paraId="5CADFAEB" w14:textId="77777777" w:rsidR="00691A8F" w:rsidRDefault="00691A8F" w:rsidP="00691A8F">
      <w:pPr>
        <w:pStyle w:val="Heading3"/>
      </w:pPr>
      <w:bookmarkStart w:id="19" w:name="_Toc141081538"/>
      <w:r>
        <w:t>Composition of Alliances</w:t>
      </w:r>
      <w:bookmarkEnd w:id="19"/>
    </w:p>
    <w:p w14:paraId="197FF81E" w14:textId="77777777" w:rsidR="00691A8F" w:rsidRDefault="00691A8F" w:rsidP="00691A8F">
      <w:r w:rsidRPr="000B09D4">
        <w:rPr>
          <w:bCs/>
        </w:rPr>
        <w:t xml:space="preserve">The composition of the model was </w:t>
      </w:r>
      <w:r w:rsidR="008655FA" w:rsidRPr="000B09D4">
        <w:rPr>
          <w:bCs/>
        </w:rPr>
        <w:t xml:space="preserve">recently </w:t>
      </w:r>
      <w:r w:rsidRPr="000B09D4">
        <w:rPr>
          <w:bCs/>
        </w:rPr>
        <w:t>changed to strengthen focus on representation, particularly of under-represented groups.</w:t>
      </w:r>
      <w:r w:rsidRPr="000B09D4">
        <w:t xml:space="preserve"> The changes involved adding an additional cohort </w:t>
      </w:r>
      <w:r w:rsidR="007A7361" w:rsidRPr="000B09D4">
        <w:t>Alliance</w:t>
      </w:r>
      <w:r w:rsidRPr="000B09D4">
        <w:t xml:space="preserve"> representing women with disabilities and amalgamating two thematic </w:t>
      </w:r>
      <w:r w:rsidR="007A7361" w:rsidRPr="000B09D4">
        <w:t>Alliance</w:t>
      </w:r>
      <w:r w:rsidRPr="000B09D4">
        <w:t xml:space="preserve">s relating to women's economic security. </w:t>
      </w:r>
      <w:r w:rsidRPr="000B09D4">
        <w:rPr>
          <w:bCs/>
        </w:rPr>
        <w:t xml:space="preserve">The addition of another cohort </w:t>
      </w:r>
      <w:r w:rsidR="007A7361" w:rsidRPr="000B09D4">
        <w:rPr>
          <w:bCs/>
        </w:rPr>
        <w:t>Alliance</w:t>
      </w:r>
      <w:r w:rsidRPr="000B09D4">
        <w:rPr>
          <w:bCs/>
        </w:rPr>
        <w:t xml:space="preserve"> was generally viewed positively</w:t>
      </w:r>
      <w:r w:rsidRPr="000B09D4">
        <w:t xml:space="preserve">, with women with a disability an agreed upon gap in the earlier composition of the NWAs and general agreement on the importance of representing marginalised voices. </w:t>
      </w:r>
      <w:r w:rsidRPr="000B09D4">
        <w:rPr>
          <w:bCs/>
        </w:rPr>
        <w:t xml:space="preserve">However, </w:t>
      </w:r>
      <w:r w:rsidR="007B5F8E" w:rsidRPr="000B09D4">
        <w:rPr>
          <w:bCs/>
        </w:rPr>
        <w:t xml:space="preserve">differences </w:t>
      </w:r>
      <w:r w:rsidRPr="000B09D4">
        <w:rPr>
          <w:bCs/>
        </w:rPr>
        <w:t xml:space="preserve">remain between cohort and thematic </w:t>
      </w:r>
      <w:r w:rsidR="007A7361" w:rsidRPr="000B09D4">
        <w:rPr>
          <w:bCs/>
        </w:rPr>
        <w:t>Alliance</w:t>
      </w:r>
      <w:r w:rsidRPr="000B09D4">
        <w:rPr>
          <w:bCs/>
        </w:rPr>
        <w:t>s, and there are variety of views on the advantages and disadvantages of both forms.</w:t>
      </w:r>
      <w:r w:rsidRPr="000B09D4">
        <w:t xml:space="preserve"> The </w:t>
      </w:r>
      <w:r w:rsidR="008655FA" w:rsidRPr="000B09D4">
        <w:t>A</w:t>
      </w:r>
      <w:r w:rsidRPr="000B09D4">
        <w:t xml:space="preserve">lliance that resulted from the amalgamation of two thematic </w:t>
      </w:r>
      <w:r w:rsidR="007A7361" w:rsidRPr="000B09D4">
        <w:t>Alliance</w:t>
      </w:r>
      <w:r w:rsidRPr="000B09D4">
        <w:t>s is very large, which was raised as a concern by multiple interviewees</w:t>
      </w:r>
      <w:r w:rsidR="00C366E3" w:rsidRPr="000B09D4">
        <w:t>, both in te</w:t>
      </w:r>
      <w:r w:rsidR="00C366E3">
        <w:t xml:space="preserve">rms of imbalances across </w:t>
      </w:r>
      <w:r w:rsidR="007A7361">
        <w:t>Alliance</w:t>
      </w:r>
      <w:r w:rsidR="00C366E3">
        <w:t>s and in terms of the ability to deliver across such broad themes</w:t>
      </w:r>
      <w:r>
        <w:t xml:space="preserve">. </w:t>
      </w:r>
    </w:p>
    <w:p w14:paraId="5D5E5C35" w14:textId="77777777" w:rsidR="00691A8F" w:rsidRDefault="00691A8F" w:rsidP="00691A8F">
      <w:r>
        <w:lastRenderedPageBreak/>
        <w:t xml:space="preserve">The composition of the </w:t>
      </w:r>
      <w:r w:rsidR="008655FA">
        <w:t>A</w:t>
      </w:r>
      <w:r>
        <w:t xml:space="preserve">lliances appears likely to be an enduring </w:t>
      </w:r>
      <w:r w:rsidR="00DD3CBB">
        <w:t>challenge</w:t>
      </w:r>
      <w:r>
        <w:t xml:space="preserve"> within the model, and the women sector more broadly, in relation to whose and what views are represented. Existing </w:t>
      </w:r>
      <w:r w:rsidR="00741983">
        <w:t xml:space="preserve">differences in approach and interpretation </w:t>
      </w:r>
      <w:r w:rsidR="003A1410">
        <w:t>a</w:t>
      </w:r>
      <w:r w:rsidR="003A1410" w:rsidRPr="003A1410">
        <w:t>re to be expected, given the broad range of views incorporated within ‘women’s voices’</w:t>
      </w:r>
      <w:r w:rsidR="003A1410">
        <w:t xml:space="preserve">, and </w:t>
      </w:r>
      <w:r>
        <w:t xml:space="preserve">do not appear inhibitive to the program objectives. </w:t>
      </w:r>
    </w:p>
    <w:p w14:paraId="080437C5" w14:textId="77777777" w:rsidR="00691A8F" w:rsidRDefault="00691A8F" w:rsidP="00691A8F">
      <w:r>
        <w:t xml:space="preserve">The overall weighting of the current Alliance composition towards cohort </w:t>
      </w:r>
      <w:r w:rsidR="007A7361">
        <w:t>Alliance</w:t>
      </w:r>
      <w:r>
        <w:t xml:space="preserve">s is well suited to the program objective of representing women's views. </w:t>
      </w:r>
      <w:r w:rsidR="008655FA">
        <w:t>However, a</w:t>
      </w:r>
      <w:r>
        <w:t>s discussed in Section 1, there remain some underrepresented groups who could be better included in the model.</w:t>
      </w:r>
    </w:p>
    <w:p w14:paraId="24DC443B" w14:textId="77777777" w:rsidR="00FF1215" w:rsidRDefault="00FF1215" w:rsidP="00FF1215">
      <w:pPr>
        <w:pStyle w:val="Heading3"/>
      </w:pPr>
      <w:bookmarkStart w:id="20" w:name="_Toc141081539"/>
      <w:r>
        <w:t>Grant management</w:t>
      </w:r>
      <w:bookmarkEnd w:id="20"/>
    </w:p>
    <w:p w14:paraId="31323FBC" w14:textId="77777777" w:rsidR="00691A8F" w:rsidRDefault="7CFF0F3A" w:rsidP="00691A8F">
      <w:r w:rsidRPr="000B09D4">
        <w:rPr>
          <w:bCs/>
        </w:rPr>
        <w:t xml:space="preserve">Grant management procedures were changed in </w:t>
      </w:r>
      <w:r w:rsidR="300C2C9E" w:rsidRPr="000B09D4">
        <w:rPr>
          <w:bCs/>
        </w:rPr>
        <w:t xml:space="preserve">an </w:t>
      </w:r>
      <w:r w:rsidRPr="000B09D4">
        <w:rPr>
          <w:bCs/>
        </w:rPr>
        <w:t>attempt to enable better focus and delivery of NWA objectives</w:t>
      </w:r>
      <w:r w:rsidRPr="000B09D4">
        <w:t>. This included changes in the grant guidelines, grant administration</w:t>
      </w:r>
      <w:r w:rsidR="08BD379A" w:rsidRPr="000B09D4">
        <w:t>,</w:t>
      </w:r>
      <w:r w:rsidRPr="000B09D4">
        <w:t xml:space="preserve"> and performance evaluation frameworks to standardise ongoing reporting requirements. </w:t>
      </w:r>
      <w:r w:rsidRPr="000B09D4">
        <w:rPr>
          <w:bCs/>
        </w:rPr>
        <w:t>On paper, changes in grant management appear to improve the focus of the NWA model</w:t>
      </w:r>
      <w:r w:rsidR="300C2C9E" w:rsidRPr="000B09D4">
        <w:rPr>
          <w:bCs/>
        </w:rPr>
        <w:t>. However, i</w:t>
      </w:r>
      <w:r w:rsidRPr="000B09D4">
        <w:rPr>
          <w:bCs/>
        </w:rPr>
        <w:t xml:space="preserve">n practice, </w:t>
      </w:r>
      <w:r w:rsidR="300C2C9E" w:rsidRPr="000B09D4">
        <w:rPr>
          <w:bCs/>
        </w:rPr>
        <w:t xml:space="preserve">these changes </w:t>
      </w:r>
      <w:r w:rsidRPr="000B09D4">
        <w:rPr>
          <w:bCs/>
        </w:rPr>
        <w:t>do not appear to be improving the delivery of specified outcomes and activities</w:t>
      </w:r>
      <w:r w:rsidRPr="000B09D4">
        <w:t>. Grant guidel</w:t>
      </w:r>
      <w:r>
        <w:t>ines contain objectives relating to collaboration between Alliances and</w:t>
      </w:r>
      <w:r w:rsidR="36429AF3">
        <w:t xml:space="preserve"> G</w:t>
      </w:r>
      <w:r>
        <w:t xml:space="preserve">overnment, but the relationship between Alliances and policymakers </w:t>
      </w:r>
      <w:r w:rsidR="36429AF3">
        <w:t xml:space="preserve">can </w:t>
      </w:r>
      <w:r>
        <w:t xml:space="preserve">appear more transactional than collaborative. The need to manage compliance with the grant guidelines appears likely to exacerbate this condition. The specificity of the activity work plans was described by some Alliances as constraining their ability to meet both member and OfW expectations. Some OfW personnel, on the other hand, considered the activity work plans overly flexible. The quantity of reporting requirements was described as overly burdensome by </w:t>
      </w:r>
      <w:r w:rsidR="00F73E0C">
        <w:t>some</w:t>
      </w:r>
      <w:r w:rsidR="70E75E8C">
        <w:t xml:space="preserve"> of the </w:t>
      </w:r>
      <w:r>
        <w:t xml:space="preserve">Alliances and </w:t>
      </w:r>
      <w:r w:rsidR="004A6AEA">
        <w:t>may</w:t>
      </w:r>
      <w:r w:rsidR="300C2C9E">
        <w:t xml:space="preserve"> </w:t>
      </w:r>
      <w:r w:rsidR="00CA4188">
        <w:t>not be optimising the efficiency of use of scarce resources within</w:t>
      </w:r>
      <w:r>
        <w:t xml:space="preserve"> </w:t>
      </w:r>
      <w:r w:rsidR="00CA4188">
        <w:t>the</w:t>
      </w:r>
      <w:r>
        <w:t xml:space="preserve"> model.</w:t>
      </w:r>
    </w:p>
    <w:p w14:paraId="6FC3E0E4" w14:textId="77777777" w:rsidR="00691A8F" w:rsidRDefault="7CFF0F3A" w:rsidP="00691A8F">
      <w:r>
        <w:t xml:space="preserve">The new performance evaluation frameworks aimed to articulate a clear program objective, </w:t>
      </w:r>
      <w:r w:rsidR="300C2C9E">
        <w:t xml:space="preserve">such </w:t>
      </w:r>
      <w:r>
        <w:t xml:space="preserve">that </w:t>
      </w:r>
      <w:r w:rsidR="300C2C9E">
        <w:t>A</w:t>
      </w:r>
      <w:r>
        <w:t xml:space="preserve">lliances are to advocate for Australian women and collaborate with policymakers to inform Australian Government policies which impact women. </w:t>
      </w:r>
      <w:r w:rsidR="300C2C9E">
        <w:t xml:space="preserve">However, </w:t>
      </w:r>
      <w:r w:rsidR="36429AF3">
        <w:t xml:space="preserve">there are </w:t>
      </w:r>
      <w:r w:rsidR="300C2C9E">
        <w:t>v</w:t>
      </w:r>
      <w:r>
        <w:t>arying interpretations of the program objective</w:t>
      </w:r>
      <w:r w:rsidR="00AE23D2">
        <w:t>s</w:t>
      </w:r>
      <w:r>
        <w:t xml:space="preserve"> </w:t>
      </w:r>
      <w:r w:rsidR="165D1400">
        <w:t xml:space="preserve">that </w:t>
      </w:r>
      <w:r>
        <w:t xml:space="preserve">exist, even after </w:t>
      </w:r>
      <w:r w:rsidR="606924CF">
        <w:t>this reiteration</w:t>
      </w:r>
      <w:r>
        <w:t>. As has been discussed, interpretations of the nature and meaning of advocacy, representation</w:t>
      </w:r>
      <w:r w:rsidR="36429AF3">
        <w:t>,</w:t>
      </w:r>
      <w:r>
        <w:t xml:space="preserve"> and collaboration varied across interviews. </w:t>
      </w:r>
    </w:p>
    <w:p w14:paraId="4897839D" w14:textId="77777777" w:rsidR="00691A8F" w:rsidRPr="00E66622" w:rsidRDefault="00691A8F" w:rsidP="00691A8F">
      <w:r>
        <w:t xml:space="preserve">Changes to grant management introduced standardised planning and reporting templates that include key performance metrics. The four key performance metrics Alliances must report against are: i) grow a membership base of organisations and individuals, ii) work collaboratively with other </w:t>
      </w:r>
      <w:r w:rsidR="007A7361">
        <w:t>Alliance</w:t>
      </w:r>
      <w:r>
        <w:t xml:space="preserve">s, iii) consult with Australian women to identify issues, and iv) gather evidence and develop solutions to priority issues affecting Australian women. </w:t>
      </w:r>
    </w:p>
    <w:p w14:paraId="77A0F061" w14:textId="77777777" w:rsidR="00691A8F" w:rsidRDefault="00691A8F" w:rsidP="00691A8F">
      <w:r w:rsidRPr="000B09D4">
        <w:rPr>
          <w:bCs/>
        </w:rPr>
        <w:t xml:space="preserve">There </w:t>
      </w:r>
      <w:r w:rsidR="00B95F89" w:rsidRPr="000B09D4">
        <w:rPr>
          <w:bCs/>
        </w:rPr>
        <w:t>are</w:t>
      </w:r>
      <w:r w:rsidRPr="000B09D4">
        <w:rPr>
          <w:bCs/>
        </w:rPr>
        <w:t xml:space="preserve"> benefit</w:t>
      </w:r>
      <w:r w:rsidR="00B95F89" w:rsidRPr="000B09D4">
        <w:rPr>
          <w:bCs/>
        </w:rPr>
        <w:t>s</w:t>
      </w:r>
      <w:r w:rsidRPr="000B09D4">
        <w:rPr>
          <w:bCs/>
        </w:rPr>
        <w:t xml:space="preserve"> of standardised grant management from the perspective of the program funder. However, reporting burden</w:t>
      </w:r>
      <w:r w:rsidR="008655FA" w:rsidRPr="000B09D4">
        <w:rPr>
          <w:bCs/>
        </w:rPr>
        <w:t>s</w:t>
      </w:r>
      <w:r w:rsidR="00082C62" w:rsidRPr="000B09D4">
        <w:rPr>
          <w:bCs/>
        </w:rPr>
        <w:t xml:space="preserve"> and a lack of feedback on reports</w:t>
      </w:r>
      <w:r w:rsidRPr="000B09D4">
        <w:rPr>
          <w:bCs/>
        </w:rPr>
        <w:t xml:space="preserve"> was a common theme identified in interviews.</w:t>
      </w:r>
      <w:r w:rsidRPr="000B09D4">
        <w:t xml:space="preserve"> </w:t>
      </w:r>
      <w:r w:rsidRPr="00691A8F">
        <w:t>Interviews revealed stres</w:t>
      </w:r>
      <w:r w:rsidR="00B95F89">
        <w:t>s associated with</w:t>
      </w:r>
      <w:r w:rsidRPr="00691A8F">
        <w:t xml:space="preserve"> reporting, the frequency and complexity of this, and the lack of feedback received after delivering a report. Current performance and reporting requirements were described by some Alliances as contributing to their work</w:t>
      </w:r>
      <w:r w:rsidR="00546BD3">
        <w:t xml:space="preserve"> in a way that</w:t>
      </w:r>
      <w:r w:rsidRPr="00691A8F">
        <w:t xml:space="preserve"> detract</w:t>
      </w:r>
      <w:r w:rsidR="00546BD3">
        <w:t>ed</w:t>
      </w:r>
      <w:r w:rsidRPr="00691A8F">
        <w:t xml:space="preserve"> </w:t>
      </w:r>
      <w:r w:rsidR="00B95F89">
        <w:t>rather than</w:t>
      </w:r>
      <w:r w:rsidR="00B95F89" w:rsidRPr="00691A8F">
        <w:t xml:space="preserve"> </w:t>
      </w:r>
      <w:r w:rsidRPr="00691A8F">
        <w:t>enabl</w:t>
      </w:r>
      <w:r w:rsidR="00022094">
        <w:t>ed</w:t>
      </w:r>
      <w:r w:rsidRPr="00691A8F">
        <w:t xml:space="preserve"> their capacity to work towards the model objectives. In some cases, performance reporting was described as adding strain to Alliances’ already limited resources. In addition, these adaptations to reporting emphasise compliance rather than a collaborative relationship between </w:t>
      </w:r>
      <w:r w:rsidRPr="00691A8F">
        <w:lastRenderedPageBreak/>
        <w:t>Alliances and the OfW. This adds to broader relational tensions in the model as Alliances attempt to navigate reporting compliance while delivering the model objectives, to advocate for women and collaborate with policymakers.</w:t>
      </w:r>
    </w:p>
    <w:p w14:paraId="56D62ED5" w14:textId="77777777" w:rsidR="00FF1215" w:rsidRDefault="00FF1215" w:rsidP="00FF1215">
      <w:pPr>
        <w:pStyle w:val="Heading2"/>
      </w:pPr>
      <w:bookmarkStart w:id="21" w:name="_Toc141081540"/>
      <w:r>
        <w:t>Model adaptation</w:t>
      </w:r>
      <w:bookmarkEnd w:id="21"/>
    </w:p>
    <w:p w14:paraId="71CF7E83" w14:textId="77777777" w:rsidR="00691A8F" w:rsidRPr="000B09D4" w:rsidRDefault="00691A8F" w:rsidP="00691A8F">
      <w:pPr>
        <w:rPr>
          <w:iCs/>
        </w:rPr>
      </w:pPr>
      <w:r w:rsidRPr="000B09D4">
        <w:rPr>
          <w:iCs/>
        </w:rPr>
        <w:t>This section presents analysis of whether (and if so, how) the model has been adapted by grantees to their particular contexts, including NWA focus area, organisational governance and culture, and what impact any adaptations have had on meeting the model’s objectives.</w:t>
      </w:r>
    </w:p>
    <w:p w14:paraId="40355F53" w14:textId="77777777" w:rsidR="00691A8F" w:rsidRPr="000B09D4" w:rsidRDefault="00691A8F" w:rsidP="000B09D4">
      <w:pPr>
        <w:pStyle w:val="BOXHeading3"/>
      </w:pPr>
      <w:bookmarkStart w:id="22" w:name="_Toc141081541"/>
      <w:r w:rsidRPr="000B09D4">
        <w:t>Key conclusions:</w:t>
      </w:r>
      <w:bookmarkEnd w:id="22"/>
    </w:p>
    <w:p w14:paraId="5A96D72E" w14:textId="77777777" w:rsidR="00691A8F" w:rsidRDefault="00691A8F" w:rsidP="00691A8F">
      <w:pPr>
        <w:pStyle w:val="BOXText"/>
      </w:pPr>
      <w:r>
        <w:t>The model has been adapted by grantees to suit their particular context, particularly the needs, preferences and priorities of their members.</w:t>
      </w:r>
      <w:r w:rsidR="008655FA">
        <w:t xml:space="preserve"> These changes </w:t>
      </w:r>
      <w:r w:rsidR="008655FA" w:rsidRPr="008655FA">
        <w:t xml:space="preserve">better enable Alliances to </w:t>
      </w:r>
      <w:r w:rsidR="008655FA">
        <w:t xml:space="preserve">meet their objectives to </w:t>
      </w:r>
      <w:r w:rsidR="008655FA" w:rsidRPr="008655FA">
        <w:t>grow their membership base and capture their members’ voice</w:t>
      </w:r>
      <w:r w:rsidR="008655FA">
        <w:t>.</w:t>
      </w:r>
    </w:p>
    <w:p w14:paraId="67C9EC5B" w14:textId="77777777" w:rsidR="008655FA" w:rsidRDefault="008655FA" w:rsidP="00691A8F">
      <w:pPr>
        <w:pStyle w:val="BOXText"/>
      </w:pPr>
      <w:r w:rsidRPr="008655FA">
        <w:t xml:space="preserve">Adaptations to governance were also observed; </w:t>
      </w:r>
      <w:r w:rsidR="00B95F89">
        <w:t>three</w:t>
      </w:r>
      <w:r w:rsidR="00B95F89" w:rsidRPr="008655FA">
        <w:t xml:space="preserve"> </w:t>
      </w:r>
      <w:r w:rsidRPr="008655FA">
        <w:t>Alliances have auspicing agreements with larger organisations. These auspicing agreements have helped Alliances to meet model objectives by removing administrative burdens and provided additional resourcing for Alliances to represent the women’s sector.</w:t>
      </w:r>
    </w:p>
    <w:p w14:paraId="487D476F" w14:textId="77777777" w:rsidR="008655FA" w:rsidRDefault="008655FA" w:rsidP="000B09D4">
      <w:pPr>
        <w:pStyle w:val="Heading3"/>
      </w:pPr>
      <w:bookmarkStart w:id="23" w:name="_Toc141081542"/>
      <w:r>
        <w:t>Activities undertaken</w:t>
      </w:r>
      <w:bookmarkEnd w:id="23"/>
    </w:p>
    <w:p w14:paraId="092A4824" w14:textId="77777777" w:rsidR="00A80474" w:rsidRPr="000B09D4" w:rsidRDefault="00A80474" w:rsidP="00A80474">
      <w:r w:rsidRPr="000B09D4">
        <w:rPr>
          <w:bCs/>
        </w:rPr>
        <w:t>The model has been adapted by grantees to suit their particular context, particularly the needs, preferences and priorities of their members</w:t>
      </w:r>
      <w:r w:rsidRPr="000B09D4">
        <w:t>. These adaptations largely appear operationally necessary for Alliances to secure the trust and engagement of members, and therefore to meeting the model’s objectives.</w:t>
      </w:r>
    </w:p>
    <w:p w14:paraId="361E4640" w14:textId="77777777" w:rsidR="00A80474" w:rsidRPr="000B09D4" w:rsidRDefault="00A80474" w:rsidP="00A80474">
      <w:r w:rsidRPr="000B09D4">
        <w:t xml:space="preserve">Activity work plans demonstrate that all Alliances are undertaking the four key activities required of them. However, the specific ways in which these activities are conducted vary between the Alliances, which reflects the differing needs and requirements of their membership base. Alliances had varying ways of growing and consulting with their membership. </w:t>
      </w:r>
      <w:r w:rsidRPr="000B09D4">
        <w:rPr>
          <w:bCs/>
        </w:rPr>
        <w:t>For some Alliances, consultation involves surveys, meetings, and online forums. However, other Alliances organised community workshops and programs to engage members and better understand their communities’ needs and concerns</w:t>
      </w:r>
      <w:r w:rsidRPr="000B09D4">
        <w:t xml:space="preserve">. For example, the NRWC set up book-clubs with their members during the COVID-19 pandemic to maintain </w:t>
      </w:r>
      <w:r w:rsidR="00B95F89" w:rsidRPr="000B09D4">
        <w:t xml:space="preserve">member </w:t>
      </w:r>
      <w:r w:rsidRPr="000B09D4">
        <w:t>engagement</w:t>
      </w:r>
      <w:r w:rsidR="00B95F89" w:rsidRPr="000B09D4">
        <w:t>;</w:t>
      </w:r>
      <w:r w:rsidRPr="000B09D4">
        <w:t xml:space="preserve"> support regional, remote and rural women’s mental health</w:t>
      </w:r>
      <w:r w:rsidR="00B95F89" w:rsidRPr="000B09D4">
        <w:t>;</w:t>
      </w:r>
      <w:r w:rsidRPr="000B09D4">
        <w:t xml:space="preserve"> and allow these women to share their experiences and issues during the period. Relatedly, NATSIWA (in conjunction with Westpac and others) organised workshops with female First Nations business owners to provide advice on how to promote their businesses online. This allowed NATSIWA to build trust with their base and better understand the issues facing First Nations businesswomen.</w:t>
      </w:r>
    </w:p>
    <w:p w14:paraId="4279CF6E" w14:textId="77777777" w:rsidR="00A80474" w:rsidRDefault="00A80474" w:rsidP="00A80474">
      <w:r w:rsidRPr="000B09D4">
        <w:rPr>
          <w:bCs/>
        </w:rPr>
        <w:t>The variation in community engagement reflects the differing sensitivities of Alliances’ membership base</w:t>
      </w:r>
      <w:r w:rsidRPr="000B09D4">
        <w:t>. Allianc</w:t>
      </w:r>
      <w:r>
        <w:t>es that aim to represent the voice of minorit</w:t>
      </w:r>
      <w:r w:rsidR="003207DC">
        <w:t>ised</w:t>
      </w:r>
      <w:r>
        <w:t xml:space="preserve"> women who have relatively low trust in </w:t>
      </w:r>
      <w:r>
        <w:lastRenderedPageBreak/>
        <w:t>Government and/or low connectedness with policy makers (i.e., First Nations women</w:t>
      </w:r>
      <w:r w:rsidR="003207DC">
        <w:t>;</w:t>
      </w:r>
      <w:r>
        <w:t xml:space="preserve"> Australian women from culturally and linguistically diverse backgrounds</w:t>
      </w:r>
      <w:r w:rsidR="003207DC">
        <w:t>;</w:t>
      </w:r>
      <w:r>
        <w:t xml:space="preserve"> women living in rural, regional, and remote areas of Australia) expressed difficulties in recruiting members and keeping their membership engaged. For these Alliances, giving back to communities via workshops and programs was described as essential part of building trust with their members, to better understanding the issues affecting their members’ daily lives. This may be particularly true for relatively newer Alliances without auspicing agreements that are still in the process of developing strong community ties. Alliances also expressed a need to engage in work ‘on the ground’ to develop policy advice that is fit for purpose, and articulated </w:t>
      </w:r>
      <w:r w:rsidR="003207DC">
        <w:t>a need for</w:t>
      </w:r>
      <w:r>
        <w:t xml:space="preserve"> funding for capacity building and community engagement. Indeed, some Alliances expressed a lack of clarity about what forms of community engagement was deemed in or out of scope by the O</w:t>
      </w:r>
      <w:r w:rsidR="003207DC">
        <w:t>f</w:t>
      </w:r>
      <w:r>
        <w:t xml:space="preserve">W. </w:t>
      </w:r>
    </w:p>
    <w:p w14:paraId="5617820E" w14:textId="77777777" w:rsidR="00A80474" w:rsidRPr="000B09D4" w:rsidRDefault="00A80474" w:rsidP="00A80474">
      <w:r w:rsidRPr="000B09D4">
        <w:rPr>
          <w:bCs/>
        </w:rPr>
        <w:t xml:space="preserve">These adaptations of the NWA model point to a broader </w:t>
      </w:r>
      <w:r w:rsidR="00F83406" w:rsidRPr="000B09D4">
        <w:rPr>
          <w:bCs/>
        </w:rPr>
        <w:t xml:space="preserve">challenge </w:t>
      </w:r>
      <w:r w:rsidRPr="000B09D4">
        <w:rPr>
          <w:bCs/>
        </w:rPr>
        <w:t>within some Alliances when trying to balance the needs of the O</w:t>
      </w:r>
      <w:r w:rsidR="003207DC" w:rsidRPr="000B09D4">
        <w:rPr>
          <w:bCs/>
        </w:rPr>
        <w:t>f</w:t>
      </w:r>
      <w:r w:rsidRPr="000B09D4">
        <w:rPr>
          <w:bCs/>
        </w:rPr>
        <w:t>W and the needs of Alliance members</w:t>
      </w:r>
      <w:r w:rsidRPr="000B09D4">
        <w:t>. On-the-ground community engagement has been deemed ‘out of scope’ or secondary by the Of</w:t>
      </w:r>
      <w:r w:rsidR="003207DC" w:rsidRPr="000B09D4">
        <w:t xml:space="preserve">W </w:t>
      </w:r>
      <w:r w:rsidRPr="000B09D4">
        <w:t xml:space="preserve">in previous years, to ensure the NWA remains focused on forming policy advice and providing a voice for Australian women </w:t>
      </w:r>
      <w:r w:rsidR="003207DC" w:rsidRPr="000B09D4">
        <w:t>to</w:t>
      </w:r>
      <w:r w:rsidRPr="000B09D4">
        <w:t xml:space="preserve"> Government. Previous reports identified that the O</w:t>
      </w:r>
      <w:r w:rsidR="003207DC" w:rsidRPr="000B09D4">
        <w:t>f</w:t>
      </w:r>
      <w:r w:rsidRPr="000B09D4">
        <w:t>W had concerns about the Alliances value for money in their delivery of program objectives, especially if secondary activities are being undertaken that may not appear strongly linked to the primary objective of the NWA. However, interviews with Alliances suggest that on-the-ground community engagement practices are, for some Alliances, an essential first-step in building their capacity to act as a conduit between Australian women and Government.</w:t>
      </w:r>
      <w:r w:rsidR="00FD46CD" w:rsidRPr="000B09D4">
        <w:t xml:space="preserve"> This was particularly important for </w:t>
      </w:r>
      <w:r w:rsidR="00072A14" w:rsidRPr="000B09D4">
        <w:t xml:space="preserve">Alliances serving populations with less well established civil society </w:t>
      </w:r>
      <w:r w:rsidR="00135DB8" w:rsidRPr="000B09D4">
        <w:t>infrastructure</w:t>
      </w:r>
      <w:r w:rsidR="00072A14" w:rsidRPr="000B09D4">
        <w:t>.</w:t>
      </w:r>
    </w:p>
    <w:p w14:paraId="5EE53DC8" w14:textId="77777777" w:rsidR="00A80474" w:rsidRPr="000B09D4" w:rsidRDefault="6E9D7CA8" w:rsidP="00A80474">
      <w:r w:rsidRPr="000B09D4">
        <w:rPr>
          <w:bCs/>
        </w:rPr>
        <w:t>Overall, these model adaptations appear to have a positive impact on the ability for the NWA to meet their objectives. Specifically, they better enable Alliances to grow their membership base and capture their members’ voice</w:t>
      </w:r>
      <w:r w:rsidRPr="000B09D4">
        <w:t>. However, these activities are likely to have a negative</w:t>
      </w:r>
      <w:r w:rsidR="14F0617F" w:rsidRPr="000B09D4">
        <w:t xml:space="preserve"> impact</w:t>
      </w:r>
      <w:r w:rsidRPr="000B09D4">
        <w:t xml:space="preserve"> </w:t>
      </w:r>
      <w:r w:rsidR="78FAB619" w:rsidRPr="000B09D4">
        <w:t>on</w:t>
      </w:r>
      <w:r w:rsidRPr="000B09D4">
        <w:t xml:space="preserve"> Alliance workload</w:t>
      </w:r>
      <w:r w:rsidR="78FAB619" w:rsidRPr="000B09D4">
        <w:t>s</w:t>
      </w:r>
      <w:r w:rsidRPr="000B09D4">
        <w:t xml:space="preserve">, as the activities are technically out of scope. </w:t>
      </w:r>
    </w:p>
    <w:p w14:paraId="1B8014AC" w14:textId="77777777" w:rsidR="00A80474" w:rsidRDefault="008655FA" w:rsidP="00A80474">
      <w:r w:rsidRPr="000B09D4">
        <w:rPr>
          <w:bCs/>
        </w:rPr>
        <w:t>A more shared decision-making process between the O</w:t>
      </w:r>
      <w:r w:rsidR="003207DC" w:rsidRPr="000B09D4">
        <w:rPr>
          <w:bCs/>
        </w:rPr>
        <w:t>f</w:t>
      </w:r>
      <w:r w:rsidRPr="000B09D4">
        <w:rPr>
          <w:bCs/>
        </w:rPr>
        <w:t>W and the NWA when determining the activities funded by the NWA</w:t>
      </w:r>
      <w:r w:rsidRPr="000B09D4">
        <w:t xml:space="preserve"> </w:t>
      </w:r>
      <w:r w:rsidRPr="000B09D4">
        <w:rPr>
          <w:bCs/>
        </w:rPr>
        <w:t>may</w:t>
      </w:r>
      <w:r w:rsidR="00A80474" w:rsidRPr="000B09D4">
        <w:rPr>
          <w:bCs/>
        </w:rPr>
        <w:t xml:space="preserve"> allow Alliances to balance the competing needs of the O</w:t>
      </w:r>
      <w:r w:rsidR="003207DC" w:rsidRPr="000B09D4">
        <w:rPr>
          <w:bCs/>
        </w:rPr>
        <w:t>f</w:t>
      </w:r>
      <w:r w:rsidR="00A80474" w:rsidRPr="000B09D4">
        <w:rPr>
          <w:bCs/>
        </w:rPr>
        <w:t>W and their members,</w:t>
      </w:r>
      <w:r w:rsidR="00A80474" w:rsidRPr="000B09D4">
        <w:t xml:space="preserve"> and to ensure that Alliances can build trust a</w:t>
      </w:r>
      <w:r w:rsidR="00A80474">
        <w:t>nd engage with minoriti</w:t>
      </w:r>
      <w:r w:rsidR="003207DC">
        <w:t>s</w:t>
      </w:r>
      <w:r w:rsidR="00A80474">
        <w:t xml:space="preserve">ed communities. This would provide more clarity about what is in scope for Alliances, support the implementation of the NWA model in a collaborative way, and recognise variation in how different groups of women engage with their Alliance. </w:t>
      </w:r>
    </w:p>
    <w:p w14:paraId="1BA5DD5C" w14:textId="77777777" w:rsidR="00A80474" w:rsidRPr="000B09D4" w:rsidRDefault="00A80474" w:rsidP="000B09D4">
      <w:pPr>
        <w:pStyle w:val="Heading3"/>
        <w:rPr>
          <w:rStyle w:val="eop"/>
        </w:rPr>
      </w:pPr>
      <w:bookmarkStart w:id="24" w:name="_Toc141081543"/>
      <w:r w:rsidRPr="000B09D4">
        <w:rPr>
          <w:rStyle w:val="eop"/>
        </w:rPr>
        <w:t>Auspicing agreements</w:t>
      </w:r>
      <w:bookmarkEnd w:id="24"/>
    </w:p>
    <w:p w14:paraId="4529C1DA" w14:textId="77777777" w:rsidR="00A80474" w:rsidRPr="000B09D4" w:rsidRDefault="00A80474" w:rsidP="00A80474">
      <w:r w:rsidRPr="00A80474">
        <w:t xml:space="preserve">Another key way that Alliances have adapted the NWA model </w:t>
      </w:r>
      <w:r w:rsidR="003207DC">
        <w:t xml:space="preserve">is in </w:t>
      </w:r>
      <w:r w:rsidRPr="00A80474">
        <w:t>regard</w:t>
      </w:r>
      <w:r w:rsidR="003207DC">
        <w:t xml:space="preserve"> to </w:t>
      </w:r>
      <w:r w:rsidRPr="00A80474">
        <w:t xml:space="preserve">their governance. Specifically, </w:t>
      </w:r>
      <w:r w:rsidR="00600CA6">
        <w:t xml:space="preserve">the </w:t>
      </w:r>
      <w:r w:rsidR="00600CA6" w:rsidRPr="00600CA6">
        <w:t>Equality Rights Alliance</w:t>
      </w:r>
      <w:r w:rsidR="00600CA6">
        <w:t xml:space="preserve">, </w:t>
      </w:r>
      <w:r w:rsidR="00600CA6" w:rsidRPr="00A80474">
        <w:t>National Women’s Safety Alliance</w:t>
      </w:r>
      <w:r w:rsidR="00600CA6">
        <w:t xml:space="preserve">, and </w:t>
      </w:r>
      <w:r w:rsidRPr="00A80474">
        <w:t>Harmony Alliance are auspiced by larger organisations (YWCA</w:t>
      </w:r>
      <w:r w:rsidR="007649B8">
        <w:t xml:space="preserve"> Australia, YWCA Canberra</w:t>
      </w:r>
      <w:r w:rsidRPr="00A80474">
        <w:t xml:space="preserve"> and Social Policy Group</w:t>
      </w:r>
      <w:r w:rsidR="007649B8">
        <w:t xml:space="preserve"> respectively</w:t>
      </w:r>
      <w:r w:rsidRPr="00A80474">
        <w:t>), whilst the other Alliances are stand-alone.</w:t>
      </w:r>
      <w:r w:rsidRPr="000B09D4">
        <w:t xml:space="preserve"> </w:t>
      </w:r>
      <w:r w:rsidRPr="000B09D4">
        <w:rPr>
          <w:bCs/>
        </w:rPr>
        <w:t xml:space="preserve">Auspicing agreements were talked about positively by many interviewees, and appear to bring significant benefits for these Alliances due to </w:t>
      </w:r>
      <w:r w:rsidRPr="000B09D4">
        <w:rPr>
          <w:bCs/>
        </w:rPr>
        <w:lastRenderedPageBreak/>
        <w:t>their history in effective governance and management practices</w:t>
      </w:r>
      <w:r w:rsidRPr="000B09D4">
        <w:t>. Interviewees specifically noted that auspicing agreements removed administrative burdens included in the Alliance work, allowing the Alliance staff more time to complete the work directly relevant to their activity plans.</w:t>
      </w:r>
      <w:r w:rsidR="002A0125" w:rsidRPr="000B09D4">
        <w:t xml:space="preserve"> However, auspicing entities not</w:t>
      </w:r>
      <w:r w:rsidR="007649B8" w:rsidRPr="000B09D4">
        <w:t>e</w:t>
      </w:r>
      <w:r w:rsidR="002A0125" w:rsidRPr="000B09D4">
        <w:t xml:space="preserve"> that this support is unfunded, which may threaten its sustainability.</w:t>
      </w:r>
      <w:r w:rsidRPr="000B09D4">
        <w:t xml:space="preserve"> Some interviewees noted that auspicing agreements allow Alliances to more easily gather information on the issues facing their membership base, as they can utilise the larger organisation’s existing networks with Australian women and the women’s sector. </w:t>
      </w:r>
    </w:p>
    <w:p w14:paraId="6DFEA135" w14:textId="77777777" w:rsidR="00A80474" w:rsidRPr="00A80474" w:rsidRDefault="6E9D7CA8" w:rsidP="001F05C7">
      <w:r w:rsidRPr="000B09D4">
        <w:rPr>
          <w:bCs/>
        </w:rPr>
        <w:t>Whilst the benefits of auspicing are clear, this adaptation of the NWA model may not be suitable for all Alliances</w:t>
      </w:r>
      <w:r w:rsidRPr="000B09D4">
        <w:t xml:space="preserve">. </w:t>
      </w:r>
      <w:r w:rsidR="300C2C9E" w:rsidRPr="000B09D4">
        <w:t>T</w:t>
      </w:r>
      <w:r w:rsidRPr="000B09D4">
        <w:t>here is a risk that auspicing organisations may</w:t>
      </w:r>
      <w:r>
        <w:t xml:space="preserve"> have an undue influence on the Alliance’s agenda. Additionally, Alliances that represent women who face multiple, intersecting forms of disadvantage, may lose credibility and trust with their membership base if they are tied to a larger organisation whose values are not always aligned. </w:t>
      </w:r>
      <w:r w:rsidR="71513D54">
        <w:t xml:space="preserve">Auspicing further indicates that the work of the NWAs is unsustainable without considerable support from the sector. Auspicing is not a reality that all Alliances can or may want to achieve, and therefore </w:t>
      </w:r>
      <w:r w:rsidR="10ACCD86">
        <w:t>reinforces the importance of adequate funding to future-proof NWAs going forward</w:t>
      </w:r>
      <w:r w:rsidR="71513D54">
        <w:t>.</w:t>
      </w:r>
    </w:p>
    <w:p w14:paraId="5C7B665D" w14:textId="77777777" w:rsidR="008655FA" w:rsidRDefault="008655FA">
      <w:pPr>
        <w:spacing w:after="200" w:line="288" w:lineRule="auto"/>
        <w:rPr>
          <w:rFonts w:asciiTheme="majorHAnsi" w:eastAsiaTheme="majorEastAsia" w:hAnsiTheme="majorHAnsi" w:cstheme="majorBidi"/>
          <w:color w:val="1B375C" w:themeColor="accent1"/>
          <w:sz w:val="48"/>
          <w:szCs w:val="40"/>
        </w:rPr>
      </w:pPr>
      <w:r>
        <w:br w:type="page"/>
      </w:r>
    </w:p>
    <w:p w14:paraId="0512DE39" w14:textId="6ABC90DC" w:rsidR="00FF1215" w:rsidRPr="00FF1215" w:rsidRDefault="00244A97" w:rsidP="00FF1215">
      <w:pPr>
        <w:pStyle w:val="Heading1"/>
      </w:pPr>
      <w:bookmarkStart w:id="25" w:name="_Toc141081544"/>
      <w:r>
        <w:lastRenderedPageBreak/>
        <w:t>Appendix</w:t>
      </w:r>
      <w:r w:rsidR="001F05C7">
        <w:t xml:space="preserve"> 1: </w:t>
      </w:r>
      <w:r w:rsidR="001F05C7">
        <w:rPr>
          <w:lang w:val="en-US"/>
        </w:rPr>
        <w:t>I</w:t>
      </w:r>
      <w:r w:rsidR="001F05C7" w:rsidRPr="0015656F">
        <w:rPr>
          <w:lang w:val="en-US"/>
        </w:rPr>
        <w:t>nterview participants by category</w:t>
      </w:r>
      <w:bookmarkEnd w:id="25"/>
    </w:p>
    <w:p w14:paraId="55FAD120" w14:textId="77777777" w:rsidR="001F05C7" w:rsidRDefault="001F05C7" w:rsidP="001F05C7"/>
    <w:p w14:paraId="339192EB" w14:textId="77F86B9F" w:rsidR="001F05C7" w:rsidRDefault="001F05C7" w:rsidP="000D7766">
      <w:pPr>
        <w:pStyle w:val="Heading2"/>
        <w:rPr>
          <w:lang w:val="en-US"/>
        </w:rPr>
      </w:pPr>
      <w:bookmarkStart w:id="26" w:name="_Toc141081545"/>
      <w:r>
        <w:rPr>
          <w:lang w:val="en-US"/>
        </w:rPr>
        <w:t>Alliances</w:t>
      </w:r>
      <w:bookmarkEnd w:id="26"/>
    </w:p>
    <w:p w14:paraId="00973F95" w14:textId="1EA04941" w:rsidR="001F05C7" w:rsidRDefault="001F05C7" w:rsidP="001F05C7">
      <w:pPr>
        <w:rPr>
          <w:lang w:val="en-US"/>
        </w:rPr>
      </w:pPr>
      <w:r w:rsidRPr="0015656F">
        <w:rPr>
          <w:lang w:val="en-US"/>
        </w:rPr>
        <w:t>National Aboriginal and Torres Strait Islander Women’s Alliance Deputy Chair</w:t>
      </w:r>
    </w:p>
    <w:p w14:paraId="06271317" w14:textId="31035407" w:rsidR="001F05C7" w:rsidRDefault="001F05C7" w:rsidP="001F05C7">
      <w:pPr>
        <w:rPr>
          <w:lang w:val="en-US"/>
        </w:rPr>
      </w:pPr>
      <w:r w:rsidRPr="0015656F">
        <w:rPr>
          <w:lang w:val="en-US"/>
        </w:rPr>
        <w:t>National Aboriginal and Torres Strait Islander Women’s Alliance CEO</w:t>
      </w:r>
      <w:r>
        <w:rPr>
          <w:lang w:val="en-US"/>
        </w:rPr>
        <w:t xml:space="preserve"> and Board member</w:t>
      </w:r>
    </w:p>
    <w:p w14:paraId="67BB64AF" w14:textId="695F102D" w:rsidR="001F05C7" w:rsidRDefault="001F05C7" w:rsidP="001F05C7">
      <w:pPr>
        <w:rPr>
          <w:lang w:val="en-US"/>
        </w:rPr>
      </w:pPr>
      <w:r w:rsidRPr="0015656F">
        <w:rPr>
          <w:lang w:val="en-US"/>
        </w:rPr>
        <w:t>Harmony Alliance</w:t>
      </w:r>
    </w:p>
    <w:p w14:paraId="7EFC7692" w14:textId="5AB3FC32" w:rsidR="001F05C7" w:rsidRDefault="001F05C7" w:rsidP="001F05C7">
      <w:pPr>
        <w:rPr>
          <w:lang w:val="en-US"/>
        </w:rPr>
      </w:pPr>
      <w:r w:rsidRPr="0015656F">
        <w:rPr>
          <w:lang w:val="en-US"/>
        </w:rPr>
        <w:t>National Rural Women’s Coalition CEO</w:t>
      </w:r>
    </w:p>
    <w:p w14:paraId="45DEF191" w14:textId="543D7635" w:rsidR="001F05C7" w:rsidRDefault="001F05C7" w:rsidP="001F05C7">
      <w:pPr>
        <w:rPr>
          <w:lang w:val="en-US"/>
        </w:rPr>
      </w:pPr>
      <w:r w:rsidRPr="0015656F">
        <w:rPr>
          <w:lang w:val="en-US"/>
        </w:rPr>
        <w:t>National Rural Women’s Coalition President</w:t>
      </w:r>
    </w:p>
    <w:p w14:paraId="4DD4315C" w14:textId="444D318A" w:rsidR="001F05C7" w:rsidRDefault="001F05C7" w:rsidP="001F05C7">
      <w:pPr>
        <w:rPr>
          <w:lang w:val="en-US"/>
        </w:rPr>
      </w:pPr>
      <w:r w:rsidRPr="0015656F">
        <w:rPr>
          <w:lang w:val="en-US"/>
        </w:rPr>
        <w:t xml:space="preserve">Equality Rights Alliance Convenor </w:t>
      </w:r>
      <w:r>
        <w:rPr>
          <w:lang w:val="en-US"/>
        </w:rPr>
        <w:t>and YWCA Australia CEO</w:t>
      </w:r>
    </w:p>
    <w:p w14:paraId="60725AF7" w14:textId="5B1DA8EC" w:rsidR="001F05C7" w:rsidRDefault="001F05C7" w:rsidP="001F05C7">
      <w:pPr>
        <w:rPr>
          <w:lang w:val="en-US"/>
        </w:rPr>
      </w:pPr>
      <w:r w:rsidRPr="0015656F">
        <w:rPr>
          <w:lang w:val="en-US"/>
        </w:rPr>
        <w:t>Women With Disabilities Australia CEO</w:t>
      </w:r>
    </w:p>
    <w:p w14:paraId="1BE646EB" w14:textId="455ECCB7" w:rsidR="001F05C7" w:rsidRDefault="001F05C7" w:rsidP="001F05C7">
      <w:pPr>
        <w:rPr>
          <w:lang w:val="en-US"/>
        </w:rPr>
      </w:pPr>
      <w:r w:rsidRPr="0015656F">
        <w:rPr>
          <w:lang w:val="en-US"/>
        </w:rPr>
        <w:t>National Women’s Safety Alliance Director</w:t>
      </w:r>
    </w:p>
    <w:p w14:paraId="60E053EE" w14:textId="7079A74A" w:rsidR="001F05C7" w:rsidRDefault="001F05C7" w:rsidP="000D7766">
      <w:pPr>
        <w:pStyle w:val="Heading2"/>
        <w:rPr>
          <w:lang w:val="en-US"/>
        </w:rPr>
      </w:pPr>
      <w:bookmarkStart w:id="27" w:name="_Toc141081546"/>
      <w:r>
        <w:rPr>
          <w:lang w:val="en-US"/>
        </w:rPr>
        <w:t>Government</w:t>
      </w:r>
      <w:bookmarkEnd w:id="27"/>
    </w:p>
    <w:p w14:paraId="0613A385" w14:textId="405E229F" w:rsidR="001F05C7" w:rsidRDefault="001F05C7" w:rsidP="001F05C7">
      <w:pPr>
        <w:rPr>
          <w:lang w:val="en-US"/>
        </w:rPr>
      </w:pPr>
      <w:r w:rsidRPr="0015656F">
        <w:rPr>
          <w:lang w:val="en-US"/>
        </w:rPr>
        <w:t xml:space="preserve">OfW </w:t>
      </w:r>
      <w:r>
        <w:rPr>
          <w:lang w:val="en-US"/>
        </w:rPr>
        <w:t xml:space="preserve">First </w:t>
      </w:r>
      <w:r w:rsidRPr="0015656F">
        <w:rPr>
          <w:lang w:val="en-US"/>
        </w:rPr>
        <w:t>Assistant Secretary</w:t>
      </w:r>
    </w:p>
    <w:p w14:paraId="7662FAC9" w14:textId="500D6172" w:rsidR="001F05C7" w:rsidRDefault="001F05C7" w:rsidP="001F05C7">
      <w:pPr>
        <w:rPr>
          <w:lang w:val="en-US"/>
        </w:rPr>
      </w:pPr>
      <w:r w:rsidRPr="0015656F">
        <w:rPr>
          <w:lang w:val="en-US"/>
        </w:rPr>
        <w:t>OfW Assistant Secretary</w:t>
      </w:r>
    </w:p>
    <w:p w14:paraId="2C6022F7" w14:textId="693629A8" w:rsidR="001F05C7" w:rsidRDefault="001F05C7" w:rsidP="001F05C7">
      <w:pPr>
        <w:rPr>
          <w:lang w:val="en-US"/>
        </w:rPr>
      </w:pPr>
      <w:r w:rsidRPr="0015656F">
        <w:rPr>
          <w:lang w:val="en-US"/>
        </w:rPr>
        <w:t xml:space="preserve">OfW Relationship Managers </w:t>
      </w:r>
      <w:r>
        <w:rPr>
          <w:lang w:val="en-US"/>
        </w:rPr>
        <w:t>(7 participants</w:t>
      </w:r>
      <w:r w:rsidRPr="0015656F">
        <w:rPr>
          <w:lang w:val="en-US"/>
        </w:rPr>
        <w:t>)</w:t>
      </w:r>
    </w:p>
    <w:p w14:paraId="5DE8F862" w14:textId="73F62C22" w:rsidR="001F05C7" w:rsidRDefault="001F05C7" w:rsidP="001F05C7">
      <w:pPr>
        <w:rPr>
          <w:lang w:val="en-US"/>
        </w:rPr>
      </w:pPr>
      <w:r w:rsidRPr="0015656F">
        <w:rPr>
          <w:lang w:val="en-US"/>
        </w:rPr>
        <w:t>Policy maker roundtable (7 participants from multiple Departments)</w:t>
      </w:r>
    </w:p>
    <w:p w14:paraId="460813E1" w14:textId="2F2A6315" w:rsidR="001F05C7" w:rsidRDefault="001F05C7" w:rsidP="000D7766">
      <w:pPr>
        <w:pStyle w:val="Heading2"/>
        <w:rPr>
          <w:lang w:val="en-US"/>
        </w:rPr>
      </w:pPr>
      <w:bookmarkStart w:id="28" w:name="_Toc141081547"/>
      <w:r>
        <w:rPr>
          <w:lang w:val="en-US"/>
        </w:rPr>
        <w:t>Auspicing organisations</w:t>
      </w:r>
      <w:bookmarkEnd w:id="28"/>
    </w:p>
    <w:p w14:paraId="0827EEFB" w14:textId="105E4B47" w:rsidR="001F05C7" w:rsidRDefault="001F05C7" w:rsidP="001F05C7">
      <w:pPr>
        <w:rPr>
          <w:lang w:val="en-US"/>
        </w:rPr>
      </w:pPr>
      <w:r w:rsidRPr="0015656F">
        <w:rPr>
          <w:lang w:val="en-US"/>
        </w:rPr>
        <w:t>Social Policy Group CEO</w:t>
      </w:r>
    </w:p>
    <w:p w14:paraId="0C7A9DC4" w14:textId="3AA53F94" w:rsidR="001F05C7" w:rsidRDefault="001F05C7" w:rsidP="001F05C7">
      <w:pPr>
        <w:rPr>
          <w:lang w:val="en-US"/>
        </w:rPr>
      </w:pPr>
      <w:r w:rsidRPr="0015656F">
        <w:rPr>
          <w:lang w:val="en-US"/>
        </w:rPr>
        <w:t>YWCA Canberra CEO</w:t>
      </w:r>
    </w:p>
    <w:p w14:paraId="7084E3DC" w14:textId="406F3B06" w:rsidR="001F05C7" w:rsidRPr="00A80474" w:rsidRDefault="001F05C7" w:rsidP="001F05C7">
      <w:r w:rsidRPr="0015656F">
        <w:rPr>
          <w:lang w:val="en-US"/>
        </w:rPr>
        <w:t>YWCA Australia CEO</w:t>
      </w:r>
    </w:p>
    <w:p w14:paraId="7489D740" w14:textId="77777777" w:rsidR="00A80474" w:rsidRPr="0015656F" w:rsidRDefault="00A80474" w:rsidP="001F05C7"/>
    <w:p w14:paraId="6713ACFB" w14:textId="77777777" w:rsidR="00A80474" w:rsidRPr="0015656F" w:rsidRDefault="00A80474" w:rsidP="001F05C7"/>
    <w:p w14:paraId="78E00766" w14:textId="77777777" w:rsidR="00FF1215" w:rsidRDefault="00FF1215" w:rsidP="001F05C7"/>
    <w:sectPr w:rsidR="00FF1215" w:rsidSect="00BD171D">
      <w:pgSz w:w="11906" w:h="16838"/>
      <w:pgMar w:top="1701" w:right="1134" w:bottom="1843" w:left="1134" w:header="993"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7B2C6" w14:textId="77777777" w:rsidR="00FD4FAA" w:rsidRDefault="00FD4FAA" w:rsidP="00F957C6">
      <w:pPr>
        <w:spacing w:after="0" w:line="240" w:lineRule="auto"/>
      </w:pPr>
      <w:r>
        <w:separator/>
      </w:r>
    </w:p>
  </w:endnote>
  <w:endnote w:type="continuationSeparator" w:id="0">
    <w:p w14:paraId="18A05F0C" w14:textId="77777777" w:rsidR="00FD4FAA" w:rsidRDefault="00FD4FAA" w:rsidP="00F957C6">
      <w:pPr>
        <w:spacing w:after="0" w:line="240" w:lineRule="auto"/>
      </w:pPr>
      <w:r>
        <w:continuationSeparator/>
      </w:r>
    </w:p>
  </w:endnote>
  <w:endnote w:type="continuationNotice" w:id="1">
    <w:p w14:paraId="32EB6254" w14:textId="77777777" w:rsidR="00FD4FAA" w:rsidRDefault="00FD4F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Segoe UI Semilight">
    <w:panose1 w:val="020B04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6DF29" w14:textId="5D3245B2" w:rsidR="00A74A83" w:rsidRPr="00303C55" w:rsidRDefault="00A74A83" w:rsidP="00303C55">
    <w:pPr>
      <w:pStyle w:val="Footer"/>
    </w:pPr>
    <w:r>
      <w:t>Evaluation of the National Women’s Alliances Model</w:t>
    </w:r>
    <w:r>
      <w:ptab w:relativeTo="margin" w:alignment="center" w:leader="none"/>
    </w:r>
    <w:r>
      <w:rPr>
        <w:noProof/>
        <w:lang w:eastAsia="en-AU"/>
      </w:rPr>
      <mc:AlternateContent>
        <mc:Choice Requires="wps">
          <w:drawing>
            <wp:anchor distT="0" distB="0" distL="114300" distR="114300" simplePos="0" relativeHeight="251658244" behindDoc="1" locked="0" layoutInCell="1" allowOverlap="1" wp14:anchorId="64484247" wp14:editId="432384E5">
              <wp:simplePos x="0" y="0"/>
              <wp:positionH relativeFrom="column">
                <wp:posOffset>6220460</wp:posOffset>
              </wp:positionH>
              <wp:positionV relativeFrom="page">
                <wp:posOffset>691515</wp:posOffset>
              </wp:positionV>
              <wp:extent cx="609600" cy="0"/>
              <wp:effectExtent l="0" t="0" r="19050" b="19050"/>
              <wp:wrapNone/>
              <wp:docPr id="106" name="Straight Connector 106"/>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7BEF9C" id="Straight Connector 106" o:spid="_x0000_s1026" style="position:absolute;z-index:-251658236;visibility:visible;mso-wrap-style:square;mso-wrap-distance-left:9pt;mso-wrap-distance-top:0;mso-wrap-distance-right:9pt;mso-wrap-distance-bottom:0;mso-position-horizontal:absolute;mso-position-horizontal-relative:text;mso-position-vertical:absolute;mso-position-vertical-relative:page" from="489.8pt,54.45pt" to="537.8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" strokecolor="black [3200]" strokeweight=".5pt">
              <v:stroke joinstyle="miter"/>
              <w10:wrap anchory="page"/>
            </v:line>
          </w:pict>
        </mc:Fallback>
      </mc:AlternateContent>
    </w:r>
    <w:sdt>
      <w:sdtPr>
        <w:rPr>
          <w:rStyle w:val="CLASSIFICATIONChar"/>
        </w:rPr>
        <w:alias w:val="Classification"/>
        <w:tag w:val="Classification"/>
        <w:id w:val="-810248438"/>
        <w:placeholder>
          <w:docPart w:val="9DEB9AC93688D64DBFD2DAFF48E31943"/>
        </w:placeholder>
        <w15:color w:val="FF0000"/>
        <w:dropDownList>
          <w:listItem w:displayText="Classification" w:value="1"/>
          <w:listItem w:displayText="Official" w:value="2"/>
          <w:listItem w:displayText="Official: Sensitive" w:value="3"/>
          <w:listItem w:displayText="Protected" w:value="4"/>
          <w:listItem w:displayText="Secret" w:value="5"/>
          <w:listItem w:displayText="Top Secret and Codeword" w:value="6"/>
        </w:dropDownList>
      </w:sdtPr>
      <w:sdtEndPr>
        <w:rPr>
          <w:rStyle w:val="DefaultParagraphFont"/>
          <w:rFonts w:asciiTheme="minorHAnsi" w:hAnsiTheme="minorHAnsi"/>
          <w:caps w:val="0"/>
          <w:color w:val="auto"/>
          <w:sz w:val="22"/>
        </w:rPr>
      </w:sdtEndPr>
      <w:sdtContent>
        <w:r>
          <w:rPr>
            <w:rStyle w:val="CLASSIFICATIONChar"/>
          </w:rPr>
          <w:t>Official</w:t>
        </w:r>
      </w:sdtContent>
    </w:sdt>
    <w:r>
      <w:rPr>
        <w:noProof/>
        <w:lang w:eastAsia="en-AU"/>
      </w:rPr>
      <mc:AlternateContent>
        <mc:Choice Requires="wps">
          <w:drawing>
            <wp:anchor distT="0" distB="0" distL="114300" distR="114300" simplePos="0" relativeHeight="251658243" behindDoc="0" locked="0" layoutInCell="1" allowOverlap="1" wp14:anchorId="44AE1CA2" wp14:editId="668D4BB7">
              <wp:simplePos x="0" y="0"/>
              <wp:positionH relativeFrom="column">
                <wp:posOffset>6223000</wp:posOffset>
              </wp:positionH>
              <wp:positionV relativeFrom="page">
                <wp:posOffset>690245</wp:posOffset>
              </wp:positionV>
              <wp:extent cx="609600" cy="0"/>
              <wp:effectExtent l="0" t="0" r="19050" b="19050"/>
              <wp:wrapNone/>
              <wp:docPr id="107" name="Straight Connector 107"/>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9BA264" id="Straight Connector 107"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page" from="490pt,54.35pt" to="538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" strokecolor="black [3200]" strokeweight=".5pt">
              <v:stroke joinstyle="miter"/>
              <w10:wrap anchory="page"/>
            </v:line>
          </w:pict>
        </mc:Fallback>
      </mc:AlternateContent>
    </w:r>
    <w:r>
      <w:t xml:space="preserve"> </w:t>
    </w:r>
    <w:r>
      <w:ptab w:relativeTo="margin" w:alignment="right" w:leader="none"/>
    </w: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F11AD" w14:textId="61927E6A" w:rsidR="00A74A83" w:rsidRPr="00852F35" w:rsidRDefault="00A74A83" w:rsidP="00D10635">
    <w:pPr>
      <w:pStyle w:val="Header"/>
      <w:rPr>
        <w:rFonts w:ascii="Segoe UI" w:hAnsi="Segoe UI" w:cs="Segoe UI"/>
        <w:color w:val="6E6E6E"/>
        <w:sz w:val="18"/>
      </w:rPr>
    </w:pPr>
    <w:r w:rsidRPr="00852F35">
      <w:rPr>
        <w:color w:val="6E6E6E"/>
        <w:sz w:val="18"/>
        <w:szCs w:val="18"/>
      </w:rPr>
      <w:t xml:space="preserve">PM&amp;C | </w:t>
    </w:r>
    <w:r>
      <w:rPr>
        <w:color w:val="6E6E6E"/>
        <w:sz w:val="18"/>
        <w:szCs w:val="18"/>
      </w:rPr>
      <w:t>GIWL</w:t>
    </w:r>
    <w:r w:rsidRPr="00852F35">
      <w:rPr>
        <w:color w:val="6E6E6E"/>
        <w:sz w:val="18"/>
        <w:szCs w:val="18"/>
      </w:rPr>
      <w:t xml:space="preserve"> | </w:t>
    </w:r>
    <w:r>
      <w:rPr>
        <w:color w:val="6E6E6E"/>
        <w:sz w:val="18"/>
        <w:szCs w:val="18"/>
      </w:rPr>
      <w:t>Evaluation of the National Women’s Alliances Model</w:t>
    </w:r>
    <w:r w:rsidRPr="00852F35">
      <w:rPr>
        <w:color w:val="6E6E6E"/>
      </w:rPr>
      <w:ptab w:relativeTo="margin" w:alignment="right" w:leader="none"/>
    </w:r>
    <w:r w:rsidRPr="00852F35">
      <w:rPr>
        <w:rFonts w:ascii="Segoe UI" w:hAnsi="Segoe UI" w:cs="Segoe UI"/>
        <w:color w:val="6E6E6E"/>
        <w:sz w:val="18"/>
      </w:rPr>
      <w:fldChar w:fldCharType="begin"/>
    </w:r>
    <w:r w:rsidRPr="00852F35">
      <w:rPr>
        <w:rFonts w:ascii="Segoe UI" w:hAnsi="Segoe UI" w:cs="Segoe UI"/>
        <w:color w:val="6E6E6E"/>
        <w:sz w:val="18"/>
      </w:rPr>
      <w:instrText xml:space="preserve"> PAGE   \* MERGEFORMAT </w:instrText>
    </w:r>
    <w:r w:rsidRPr="00852F35">
      <w:rPr>
        <w:rFonts w:ascii="Segoe UI" w:hAnsi="Segoe UI" w:cs="Segoe UI"/>
        <w:color w:val="6E6E6E"/>
        <w:sz w:val="18"/>
      </w:rPr>
      <w:fldChar w:fldCharType="separate"/>
    </w:r>
    <w:r w:rsidR="007716DD">
      <w:rPr>
        <w:rFonts w:ascii="Segoe UI" w:hAnsi="Segoe UI" w:cs="Segoe UI"/>
        <w:noProof/>
        <w:color w:val="6E6E6E"/>
        <w:sz w:val="18"/>
      </w:rPr>
      <w:t>ii</w:t>
    </w:r>
    <w:r w:rsidRPr="00852F35">
      <w:rPr>
        <w:rFonts w:ascii="Segoe UI" w:hAnsi="Segoe UI" w:cs="Segoe UI"/>
        <w:noProof/>
        <w:color w:val="6E6E6E"/>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6C3901" w14:textId="77777777" w:rsidR="00FD4FAA" w:rsidRDefault="00FD4FAA" w:rsidP="00F957C6">
      <w:pPr>
        <w:spacing w:after="0" w:line="240" w:lineRule="auto"/>
      </w:pPr>
      <w:r>
        <w:separator/>
      </w:r>
    </w:p>
  </w:footnote>
  <w:footnote w:type="continuationSeparator" w:id="0">
    <w:p w14:paraId="6FEB97CC" w14:textId="77777777" w:rsidR="00FD4FAA" w:rsidRDefault="00FD4FAA" w:rsidP="00F957C6">
      <w:pPr>
        <w:spacing w:after="0" w:line="240" w:lineRule="auto"/>
      </w:pPr>
      <w:r>
        <w:continuationSeparator/>
      </w:r>
    </w:p>
  </w:footnote>
  <w:footnote w:type="continuationNotice" w:id="1">
    <w:p w14:paraId="69FBFD26" w14:textId="77777777" w:rsidR="00FD4FAA" w:rsidRDefault="00FD4F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D5456" w14:textId="296A3A6C" w:rsidR="00A74A83" w:rsidRDefault="00A74A83" w:rsidP="00303C55">
    <w:pPr>
      <w:pStyle w:val="Header"/>
      <w:ind w:left="1134"/>
      <w:rPr>
        <w:noProof/>
        <w:lang w:eastAsia="en-AU"/>
      </w:rPr>
    </w:pPr>
    <w:r>
      <w:rPr>
        <w:noProof/>
        <w:lang w:eastAsia="en-AU"/>
      </w:rPr>
      <w:drawing>
        <wp:anchor distT="0" distB="0" distL="114300" distR="114300" simplePos="0" relativeHeight="251658253" behindDoc="1" locked="0" layoutInCell="1" allowOverlap="1" wp14:anchorId="317211E0" wp14:editId="4A4E318A">
          <wp:simplePos x="0" y="0"/>
          <wp:positionH relativeFrom="column">
            <wp:posOffset>4581054</wp:posOffset>
          </wp:positionH>
          <wp:positionV relativeFrom="paragraph">
            <wp:posOffset>-131451</wp:posOffset>
          </wp:positionV>
          <wp:extent cx="1591310" cy="1066800"/>
          <wp:effectExtent l="0" t="0" r="0" b="0"/>
          <wp:wrapNone/>
          <wp:docPr id="25" name="Picture 25" title="Co-author name: The Global Institute for Women's Lead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852407" name="Picture 1926852407" descr="A picture containing black, darknes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310" cy="1066800"/>
                  </a:xfrm>
                  <a:prstGeom prst="rect">
                    <a:avLst/>
                  </a:prstGeom>
                  <a:noFill/>
                </pic:spPr>
              </pic:pic>
            </a:graphicData>
          </a:graphic>
        </wp:anchor>
      </w:drawing>
    </w:r>
    <w:r w:rsidRPr="00285CAF">
      <w:rPr>
        <w:noProof/>
        <w:lang w:eastAsia="en-AU"/>
      </w:rPr>
      <mc:AlternateContent>
        <mc:Choice Requires="wps">
          <w:drawing>
            <wp:anchor distT="0" distB="0" distL="114300" distR="114300" simplePos="0" relativeHeight="251658241" behindDoc="1" locked="0" layoutInCell="1" allowOverlap="1" wp14:anchorId="7F60494E" wp14:editId="2BE93E4A">
              <wp:simplePos x="0" y="0"/>
              <wp:positionH relativeFrom="column">
                <wp:posOffset>6220460</wp:posOffset>
              </wp:positionH>
              <wp:positionV relativeFrom="page">
                <wp:posOffset>692150</wp:posOffset>
              </wp:positionV>
              <wp:extent cx="6096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DB4E5D" id="Straight Connector 3" o:spid="_x0000_s1026" style="position:absolute;z-index:-251658239;visibility:visible;mso-wrap-style:square;mso-wrap-distance-left:9pt;mso-wrap-distance-top:0;mso-wrap-distance-right:9pt;mso-wrap-distance-bottom:0;mso-position-horizontal:absolute;mso-position-horizontal-relative:text;mso-position-vertical:absolute;mso-position-vertical-relative:page" from="489.8pt,54.5pt" to="537.8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" strokecolor="black [3200]" strokeweight=".5pt">
              <v:stroke joinstyle="miter"/>
              <w10:wrap anchory="page"/>
            </v:line>
          </w:pict>
        </mc:Fallback>
      </mc:AlternateContent>
    </w:r>
  </w:p>
  <w:p w14:paraId="7C996472" w14:textId="77777777" w:rsidR="00A74A83" w:rsidRDefault="00A74A83" w:rsidP="00303C55">
    <w:pPr>
      <w:pStyle w:val="Header"/>
      <w:ind w:left="1134"/>
    </w:pPr>
    <w:r>
      <w:rPr>
        <w:noProof/>
        <w:lang w:eastAsia="en-AU"/>
      </w:rPr>
      <w:drawing>
        <wp:anchor distT="0" distB="0" distL="114300" distR="114300" simplePos="0" relativeHeight="251658240" behindDoc="1" locked="0" layoutInCell="1" allowOverlap="1" wp14:anchorId="2E0759CD" wp14:editId="08534277">
          <wp:simplePos x="0" y="0"/>
          <wp:positionH relativeFrom="column">
            <wp:posOffset>-313690</wp:posOffset>
          </wp:positionH>
          <wp:positionV relativeFrom="page">
            <wp:posOffset>184150</wp:posOffset>
          </wp:positionV>
          <wp:extent cx="3600000" cy="806400"/>
          <wp:effectExtent l="0" t="0" r="0" b="0"/>
          <wp:wrapNone/>
          <wp:docPr id="26" name="Picture 26" descr="Australian Government Coat of Arms. Australian Government, Department of the Prime Minister and Cabinet" title="Co-author name: Department of the Prime Minist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MC_Logo_Primary_RGB_Black_Logo.png"/>
                  <pic:cNvPicPr/>
                </pic:nvPicPr>
                <pic:blipFill rotWithShape="1">
                  <a:blip r:embed="rId2">
                    <a:extLst>
                      <a:ext uri="{28A0092B-C50C-407E-A947-70E740481C1C}">
                        <a14:useLocalDpi xmlns:a14="http://schemas.microsoft.com/office/drawing/2010/main" val="0"/>
                      </a:ext>
                    </a:extLst>
                  </a:blip>
                  <a:srcRect b="20176"/>
                  <a:stretch/>
                </pic:blipFill>
                <pic:spPr bwMode="auto">
                  <a:xfrm>
                    <a:off x="0" y="0"/>
                    <a:ext cx="3600000" cy="806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3AF5743" w14:textId="77777777" w:rsidR="00A74A83" w:rsidRDefault="00A74A83" w:rsidP="00303C55">
    <w:pPr>
      <w:pStyle w:val="Header"/>
      <w:ind w:left="1134"/>
    </w:pPr>
  </w:p>
  <w:p w14:paraId="18B363E8" w14:textId="77777777" w:rsidR="00A74A83" w:rsidRDefault="00A74A83" w:rsidP="00303C55">
    <w:pPr>
      <w:pStyle w:val="Header"/>
      <w:ind w:left="1134"/>
    </w:pPr>
  </w:p>
  <w:p w14:paraId="350C8875" w14:textId="77777777" w:rsidR="00A74A83" w:rsidRDefault="00A74A83" w:rsidP="00303C55">
    <w:pPr>
      <w:pStyle w:val="Header"/>
      <w:ind w:left="1134"/>
    </w:pPr>
  </w:p>
  <w:p w14:paraId="3CDBCDCA" w14:textId="77777777" w:rsidR="00A74A83" w:rsidRDefault="00A74A83" w:rsidP="00303C55">
    <w:pPr>
      <w:pStyle w:val="Header"/>
      <w:ind w:left="1134"/>
    </w:pPr>
  </w:p>
  <w:p w14:paraId="57729DB1" w14:textId="77777777" w:rsidR="00A74A83" w:rsidRDefault="00A74A83" w:rsidP="00303C55">
    <w:pPr>
      <w:pStyle w:val="Header"/>
      <w:ind w:left="1134"/>
    </w:pPr>
  </w:p>
  <w:p w14:paraId="63186AF0" w14:textId="77777777" w:rsidR="00A74A83" w:rsidRDefault="00A74A83" w:rsidP="00303C55">
    <w:pPr>
      <w:pStyle w:val="Header"/>
      <w:ind w:left="1134"/>
    </w:pPr>
  </w:p>
  <w:p w14:paraId="3ACB58A6" w14:textId="77777777" w:rsidR="00A74A83" w:rsidRDefault="00A74A83" w:rsidP="00303C55">
    <w:pPr>
      <w:pStyle w:val="Header"/>
      <w:ind w:left="1134"/>
    </w:pPr>
  </w:p>
  <w:p w14:paraId="26149B84" w14:textId="77777777" w:rsidR="00A74A83" w:rsidRDefault="00A74A83" w:rsidP="00303C55">
    <w:pPr>
      <w:pStyle w:val="Header"/>
      <w:ind w:left="113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B7058" w14:textId="593B544F" w:rsidR="00A74A83" w:rsidRDefault="00A74A83" w:rsidP="00303C55">
    <w:pPr>
      <w:pStyle w:val="Header"/>
      <w:jc w:val="center"/>
    </w:pPr>
    <w:r>
      <w:rPr>
        <w:noProof/>
        <w:lang w:eastAsia="en-AU"/>
      </w:rPr>
      <mc:AlternateContent>
        <mc:Choice Requires="wps">
          <w:drawing>
            <wp:anchor distT="0" distB="0" distL="114300" distR="114300" simplePos="0" relativeHeight="251658242" behindDoc="1" locked="0" layoutInCell="1" allowOverlap="1" wp14:anchorId="1E7D2706" wp14:editId="424ECE2C">
              <wp:simplePos x="0" y="0"/>
              <wp:positionH relativeFrom="column">
                <wp:posOffset>6220460</wp:posOffset>
              </wp:positionH>
              <wp:positionV relativeFrom="page">
                <wp:posOffset>691515</wp:posOffset>
              </wp:positionV>
              <wp:extent cx="609600" cy="0"/>
              <wp:effectExtent l="0" t="0" r="19050" b="19050"/>
              <wp:wrapNone/>
              <wp:docPr id="102" name="Straight Connector 102"/>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C9EF92" id="Straight Connector 102" o:spid="_x0000_s1026" style="position:absolute;z-index:-251658238;visibility:visible;mso-wrap-style:square;mso-wrap-distance-left:9pt;mso-wrap-distance-top:0;mso-wrap-distance-right:9pt;mso-wrap-distance-bottom:0;mso-position-horizontal:absolute;mso-position-horizontal-relative:text;mso-position-vertical:absolute;mso-position-vertical-relative:page" from="489.8pt,54.45pt" to="537.8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" strokecolor="black [3200]" strokeweight=".5pt">
              <v:stroke joinstyle="miter"/>
              <w10:wrap anchory="page"/>
            </v:line>
          </w:pict>
        </mc:Fallback>
      </mc:AlternateContent>
    </w:r>
    <w:sdt>
      <w:sdtPr>
        <w:rPr>
          <w:rStyle w:val="CLASSIFICATIONChar"/>
        </w:rPr>
        <w:alias w:val="Classification"/>
        <w:tag w:val="Classification"/>
        <w:id w:val="848293828"/>
        <w:placeholder>
          <w:docPart w:val="26980AEC25CD8745BB14EF6E1FB8C9E5"/>
        </w:placeholder>
        <w15:color w:val="FF0000"/>
        <w:dropDownList>
          <w:listItem w:displayText="Classification" w:value="1"/>
          <w:listItem w:displayText="Official" w:value="2"/>
          <w:listItem w:displayText="Official: Sensitive" w:value="3"/>
          <w:listItem w:displayText="Protected" w:value="4"/>
          <w:listItem w:displayText="Secret" w:value="5"/>
          <w:listItem w:displayText="Top Secret and Codeword" w:value="6"/>
        </w:dropDownList>
      </w:sdtPr>
      <w:sdtEndPr>
        <w:rPr>
          <w:rStyle w:val="DefaultParagraphFont"/>
          <w:rFonts w:asciiTheme="minorHAnsi" w:hAnsiTheme="minorHAnsi"/>
          <w:caps w:val="0"/>
          <w:color w:val="auto"/>
          <w:sz w:val="22"/>
        </w:rPr>
      </w:sdtEndPr>
      <w:sdtContent>
        <w:r>
          <w:rPr>
            <w:rStyle w:val="CLASSIFICATIONChar"/>
          </w:rPr>
          <w:t>Official</w:t>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2D210" w14:textId="78F2532D" w:rsidR="00A74A83" w:rsidRDefault="00A74A8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CDDE7" w14:textId="6DF2D193" w:rsidR="00A74A83" w:rsidRPr="00D10635" w:rsidRDefault="00A74A83" w:rsidP="00D10635">
    <w:pPr>
      <w:jc w:val="center"/>
    </w:pPr>
    <w:r>
      <w:rPr>
        <w:noProof/>
        <w:lang w:eastAsia="en-AU"/>
      </w:rPr>
      <mc:AlternateContent>
        <mc:Choice Requires="wps">
          <w:drawing>
            <wp:anchor distT="0" distB="0" distL="114300" distR="114300" simplePos="0" relativeHeight="251658246" behindDoc="1" locked="0" layoutInCell="1" allowOverlap="1" wp14:anchorId="11DCF06D" wp14:editId="64003267">
              <wp:simplePos x="0" y="0"/>
              <wp:positionH relativeFrom="column">
                <wp:posOffset>6221730</wp:posOffset>
              </wp:positionH>
              <wp:positionV relativeFrom="page">
                <wp:posOffset>691515</wp:posOffset>
              </wp:positionV>
              <wp:extent cx="608400" cy="0"/>
              <wp:effectExtent l="0" t="0" r="20320" b="19050"/>
              <wp:wrapNone/>
              <wp:docPr id="4" name="Straight Connector 4"/>
              <wp:cNvGraphicFramePr/>
              <a:graphic xmlns:a="http://schemas.openxmlformats.org/drawingml/2006/main">
                <a:graphicData uri="http://schemas.microsoft.com/office/word/2010/wordprocessingShape">
                  <wps:wsp>
                    <wps:cNvCnPr/>
                    <wps:spPr>
                      <a:xfrm>
                        <a:off x="0" y="0"/>
                        <a:ext cx="60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CD8370C" id="Straight Connector 4" o:spid="_x0000_s1026" style="position:absolute;z-index:-25165823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489.9pt,54.45pt" to="537.8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" strokecolor="black [3200]" strokeweight=".5pt">
              <v:stroke joinstyle="miter"/>
              <w10:wrap anchory="page"/>
            </v:lin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065FC" w14:textId="6B500C3C" w:rsidR="00A74A83" w:rsidRDefault="00A74A83" w:rsidP="00303C55">
    <w:pPr>
      <w:pStyle w:val="Header"/>
      <w:jc w:val="center"/>
    </w:pPr>
    <w:r>
      <w:rPr>
        <w:noProof/>
        <w:lang w:eastAsia="en-AU"/>
      </w:rPr>
      <mc:AlternateContent>
        <mc:Choice Requires="wps">
          <w:drawing>
            <wp:anchor distT="0" distB="0" distL="114300" distR="114300" simplePos="0" relativeHeight="251658245" behindDoc="1" locked="0" layoutInCell="1" allowOverlap="1" wp14:anchorId="21D69386" wp14:editId="3FE64EED">
              <wp:simplePos x="0" y="0"/>
              <wp:positionH relativeFrom="column">
                <wp:posOffset>6220460</wp:posOffset>
              </wp:positionH>
              <wp:positionV relativeFrom="page">
                <wp:posOffset>691515</wp:posOffset>
              </wp:positionV>
              <wp:extent cx="609600" cy="0"/>
              <wp:effectExtent l="0" t="0" r="19050" b="19050"/>
              <wp:wrapNone/>
              <wp:docPr id="108" name="Straight Connector 108"/>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E965C0" id="Straight Connector 108" o:spid="_x0000_s1026" style="position:absolute;z-index:-251658235;visibility:visible;mso-wrap-style:square;mso-wrap-distance-left:9pt;mso-wrap-distance-top:0;mso-wrap-distance-right:9pt;mso-wrap-distance-bottom:0;mso-position-horizontal:absolute;mso-position-horizontal-relative:text;mso-position-vertical:absolute;mso-position-vertical-relative:page" from="489.8pt,54.45pt" to="537.8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" strokecolor="black [3200]" strokeweight=".5pt">
              <v:stroke joinstyle="miter"/>
              <w10:wrap anchory="page"/>
            </v:line>
          </w:pict>
        </mc:Fallback>
      </mc:AlternateContent>
    </w:r>
    <w:sdt>
      <w:sdtPr>
        <w:rPr>
          <w:rStyle w:val="CLASSIFICATIONChar"/>
        </w:rPr>
        <w:alias w:val="Classification"/>
        <w:tag w:val="Classification"/>
        <w:id w:val="205463371"/>
        <w:placeholder>
          <w:docPart w:val="F3FACAD672991848A8AC8558E0CEEFAF"/>
        </w:placeholder>
        <w15:color w:val="FF0000"/>
        <w:dropDownList>
          <w:listItem w:displayText="Classification" w:value="1"/>
          <w:listItem w:displayText="Official" w:value="2"/>
          <w:listItem w:displayText="Official: Sensitive" w:value="3"/>
          <w:listItem w:displayText="Protected" w:value="4"/>
          <w:listItem w:displayText="Secret" w:value="5"/>
          <w:listItem w:displayText="Top Secret and Codeword" w:value="6"/>
        </w:dropDownList>
      </w:sdtPr>
      <w:sdtEndPr>
        <w:rPr>
          <w:rStyle w:val="DefaultParagraphFont"/>
          <w:rFonts w:asciiTheme="minorHAnsi" w:hAnsiTheme="minorHAnsi"/>
          <w:caps w:val="0"/>
          <w:color w:val="auto"/>
          <w:sz w:val="22"/>
        </w:rPr>
      </w:sdtEndPr>
      <w:sdtContent>
        <w:r>
          <w:rPr>
            <w:rStyle w:val="CLASSIFICATIONChar"/>
          </w:rPr>
          <w:t>Official</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75033"/>
    <w:multiLevelType w:val="hybridMultilevel"/>
    <w:tmpl w:val="C6DC8A2C"/>
    <w:lvl w:ilvl="0" w:tplc="458A1C2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014CCD"/>
    <w:multiLevelType w:val="hybridMultilevel"/>
    <w:tmpl w:val="D0E0AE74"/>
    <w:lvl w:ilvl="0" w:tplc="42CAA44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AF6F03"/>
    <w:multiLevelType w:val="hybridMultilevel"/>
    <w:tmpl w:val="4CF49542"/>
    <w:lvl w:ilvl="0" w:tplc="6C06999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4" w15:restartNumberingAfterBreak="0">
    <w:nsid w:val="19F33BBA"/>
    <w:multiLevelType w:val="hybridMultilevel"/>
    <w:tmpl w:val="0812E2DE"/>
    <w:lvl w:ilvl="0" w:tplc="E1AE5D66">
      <w:start w:val="1"/>
      <w:numFmt w:val="decimal"/>
      <w:pStyle w:val="Figure"/>
      <w:suff w:val="space"/>
      <w:lvlText w:val="Figure %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F507AC4"/>
    <w:multiLevelType w:val="hybridMultilevel"/>
    <w:tmpl w:val="6FFA548C"/>
    <w:lvl w:ilvl="0" w:tplc="E706679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27854A54"/>
    <w:multiLevelType w:val="hybridMultilevel"/>
    <w:tmpl w:val="253E2E62"/>
    <w:lvl w:ilvl="0" w:tplc="B2AA9F56">
      <w:start w:val="1"/>
      <w:numFmt w:val="bullet"/>
      <w:pStyle w:val="BulletedList-Level1"/>
      <w:lvlText w:val=""/>
      <w:lvlJc w:val="left"/>
      <w:pPr>
        <w:ind w:left="425"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7" w15:restartNumberingAfterBreak="0">
    <w:nsid w:val="496C7FF6"/>
    <w:multiLevelType w:val="hybridMultilevel"/>
    <w:tmpl w:val="4D4A750C"/>
    <w:lvl w:ilvl="0" w:tplc="D6643B58">
      <w:start w:val="1"/>
      <w:numFmt w:val="decimal"/>
      <w:pStyle w:val="BOXNumberedList"/>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8" w15:restartNumberingAfterBreak="0">
    <w:nsid w:val="6EE51B32"/>
    <w:multiLevelType w:val="hybridMultilevel"/>
    <w:tmpl w:val="F2CE71E2"/>
    <w:lvl w:ilvl="0" w:tplc="5E348A7E">
      <w:start w:val="1"/>
      <w:numFmt w:val="decimal"/>
      <w:pStyle w:val="TB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81170D5"/>
    <w:multiLevelType w:val="hybridMultilevel"/>
    <w:tmpl w:val="BB72A462"/>
    <w:lvl w:ilvl="0" w:tplc="9C7CCF60">
      <w:start w:val="1"/>
      <w:numFmt w:val="decimal"/>
      <w:pStyle w:val="NumberedList-Level1"/>
      <w:lvlText w:val="%1."/>
      <w:lvlJc w:val="left"/>
      <w:pPr>
        <w:ind w:left="567" w:hanging="283"/>
      </w:pPr>
      <w:rPr>
        <w:rFonts w:hint="default"/>
      </w:rPr>
    </w:lvl>
    <w:lvl w:ilvl="1" w:tplc="1FAA0FEC">
      <w:start w:val="1"/>
      <w:numFmt w:val="lowerLetter"/>
      <w:pStyle w:val="NumberedList-level2"/>
      <w:lvlText w:val="%2."/>
      <w:lvlJc w:val="left"/>
      <w:pPr>
        <w:ind w:left="851" w:hanging="284"/>
      </w:pPr>
      <w:rPr>
        <w:rFonts w:hint="default"/>
      </w:rPr>
    </w:lvl>
    <w:lvl w:ilvl="2" w:tplc="65FAA32A">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 w:numId="3">
    <w:abstractNumId w:val="8"/>
  </w:num>
  <w:num w:numId="4">
    <w:abstractNumId w:val="6"/>
  </w:num>
  <w:num w:numId="5">
    <w:abstractNumId w:val="9"/>
  </w:num>
  <w:num w:numId="6">
    <w:abstractNumId w:val="4"/>
  </w:num>
  <w:num w:numId="7">
    <w:abstractNumId w:val="7"/>
  </w:num>
  <w:num w:numId="8">
    <w:abstractNumId w:val="3"/>
  </w:num>
  <w:num w:numId="9">
    <w:abstractNumId w:val="5"/>
  </w:num>
  <w:num w:numId="10">
    <w:abstractNumId w:val="2"/>
  </w:num>
  <w:num w:numId="11">
    <w:abstractNumId w:val="9"/>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removePersonalInformation/>
  <w:removeDateAndTime/>
  <w:activeWritingStyle w:appName="MSWord" w:lang="en-US" w:vendorID="64" w:dllVersion="4096" w:nlCheck="1" w:checkStyle="0"/>
  <w:activeWritingStyle w:appName="MSWord" w:lang="en-AU" w:vendorID="64" w:dllVersion="409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en-US"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215"/>
    <w:rsid w:val="00000ADF"/>
    <w:rsid w:val="000030AD"/>
    <w:rsid w:val="000117FB"/>
    <w:rsid w:val="00014061"/>
    <w:rsid w:val="00016B1C"/>
    <w:rsid w:val="000205D8"/>
    <w:rsid w:val="00022094"/>
    <w:rsid w:val="00027038"/>
    <w:rsid w:val="00030201"/>
    <w:rsid w:val="0003154E"/>
    <w:rsid w:val="00037513"/>
    <w:rsid w:val="000440EA"/>
    <w:rsid w:val="00045B5C"/>
    <w:rsid w:val="00046932"/>
    <w:rsid w:val="0005081E"/>
    <w:rsid w:val="00064530"/>
    <w:rsid w:val="00065A0F"/>
    <w:rsid w:val="0006627F"/>
    <w:rsid w:val="00067CA2"/>
    <w:rsid w:val="00072A14"/>
    <w:rsid w:val="000745EC"/>
    <w:rsid w:val="000808C4"/>
    <w:rsid w:val="00082C62"/>
    <w:rsid w:val="000876A8"/>
    <w:rsid w:val="00087802"/>
    <w:rsid w:val="00091728"/>
    <w:rsid w:val="000918CB"/>
    <w:rsid w:val="000932E6"/>
    <w:rsid w:val="000A6BCD"/>
    <w:rsid w:val="000B09D4"/>
    <w:rsid w:val="000B1EFE"/>
    <w:rsid w:val="000B3417"/>
    <w:rsid w:val="000B595B"/>
    <w:rsid w:val="000B6A28"/>
    <w:rsid w:val="000C092B"/>
    <w:rsid w:val="000C171F"/>
    <w:rsid w:val="000C6798"/>
    <w:rsid w:val="000C7012"/>
    <w:rsid w:val="000C7990"/>
    <w:rsid w:val="000C7D92"/>
    <w:rsid w:val="000D0D24"/>
    <w:rsid w:val="000D3839"/>
    <w:rsid w:val="000D3AC3"/>
    <w:rsid w:val="000D685B"/>
    <w:rsid w:val="000D73ED"/>
    <w:rsid w:val="000D749D"/>
    <w:rsid w:val="000D7766"/>
    <w:rsid w:val="000F060B"/>
    <w:rsid w:val="000F2F36"/>
    <w:rsid w:val="000F49C8"/>
    <w:rsid w:val="000F5B29"/>
    <w:rsid w:val="00103FC6"/>
    <w:rsid w:val="00104957"/>
    <w:rsid w:val="0010636B"/>
    <w:rsid w:val="001155BF"/>
    <w:rsid w:val="00117A77"/>
    <w:rsid w:val="001345DD"/>
    <w:rsid w:val="00135DB8"/>
    <w:rsid w:val="001462B6"/>
    <w:rsid w:val="00147685"/>
    <w:rsid w:val="00151DDF"/>
    <w:rsid w:val="00154CF4"/>
    <w:rsid w:val="00155D15"/>
    <w:rsid w:val="001611BF"/>
    <w:rsid w:val="00163D73"/>
    <w:rsid w:val="0016656A"/>
    <w:rsid w:val="001703ED"/>
    <w:rsid w:val="00171B5E"/>
    <w:rsid w:val="00172CB9"/>
    <w:rsid w:val="00175FA5"/>
    <w:rsid w:val="0018026A"/>
    <w:rsid w:val="00180838"/>
    <w:rsid w:val="00181754"/>
    <w:rsid w:val="0018288D"/>
    <w:rsid w:val="00183BA4"/>
    <w:rsid w:val="00187FCF"/>
    <w:rsid w:val="001917A1"/>
    <w:rsid w:val="00193932"/>
    <w:rsid w:val="00194019"/>
    <w:rsid w:val="001954B4"/>
    <w:rsid w:val="00195C75"/>
    <w:rsid w:val="00197FC4"/>
    <w:rsid w:val="001A13CC"/>
    <w:rsid w:val="001A5F91"/>
    <w:rsid w:val="001A7FC7"/>
    <w:rsid w:val="001B09C0"/>
    <w:rsid w:val="001B2CC7"/>
    <w:rsid w:val="001B2D56"/>
    <w:rsid w:val="001B610A"/>
    <w:rsid w:val="001B6625"/>
    <w:rsid w:val="001C37A8"/>
    <w:rsid w:val="001C38F3"/>
    <w:rsid w:val="001C450B"/>
    <w:rsid w:val="001D056B"/>
    <w:rsid w:val="001D1418"/>
    <w:rsid w:val="001D607E"/>
    <w:rsid w:val="001D6EB3"/>
    <w:rsid w:val="001D7741"/>
    <w:rsid w:val="001E390C"/>
    <w:rsid w:val="001E4519"/>
    <w:rsid w:val="001E4C01"/>
    <w:rsid w:val="001F03A4"/>
    <w:rsid w:val="001F05C7"/>
    <w:rsid w:val="001F50CA"/>
    <w:rsid w:val="001F5243"/>
    <w:rsid w:val="002014AE"/>
    <w:rsid w:val="00201E1A"/>
    <w:rsid w:val="00204DD4"/>
    <w:rsid w:val="00212443"/>
    <w:rsid w:val="00213A3F"/>
    <w:rsid w:val="00220114"/>
    <w:rsid w:val="00220DDA"/>
    <w:rsid w:val="00224AAC"/>
    <w:rsid w:val="00224EBC"/>
    <w:rsid w:val="00226ACD"/>
    <w:rsid w:val="00227DB5"/>
    <w:rsid w:val="002324F1"/>
    <w:rsid w:val="00244A97"/>
    <w:rsid w:val="00245DDF"/>
    <w:rsid w:val="0025336D"/>
    <w:rsid w:val="00261874"/>
    <w:rsid w:val="00263CD3"/>
    <w:rsid w:val="00266CCC"/>
    <w:rsid w:val="0026702E"/>
    <w:rsid w:val="00270614"/>
    <w:rsid w:val="00273EA8"/>
    <w:rsid w:val="00274D07"/>
    <w:rsid w:val="00274D42"/>
    <w:rsid w:val="00277997"/>
    <w:rsid w:val="00285CAF"/>
    <w:rsid w:val="00285D47"/>
    <w:rsid w:val="00287B85"/>
    <w:rsid w:val="002906FC"/>
    <w:rsid w:val="00291CE1"/>
    <w:rsid w:val="00296F32"/>
    <w:rsid w:val="002A0125"/>
    <w:rsid w:val="002B0C5B"/>
    <w:rsid w:val="002B661A"/>
    <w:rsid w:val="002C3F4C"/>
    <w:rsid w:val="002C4F78"/>
    <w:rsid w:val="002C7A05"/>
    <w:rsid w:val="002C7F3A"/>
    <w:rsid w:val="002C7FE1"/>
    <w:rsid w:val="002D328E"/>
    <w:rsid w:val="002D6B3D"/>
    <w:rsid w:val="002E22DA"/>
    <w:rsid w:val="002E2C5C"/>
    <w:rsid w:val="002E5916"/>
    <w:rsid w:val="002E7C37"/>
    <w:rsid w:val="002F598E"/>
    <w:rsid w:val="003008C1"/>
    <w:rsid w:val="00302291"/>
    <w:rsid w:val="00302941"/>
    <w:rsid w:val="00303C55"/>
    <w:rsid w:val="00304DC8"/>
    <w:rsid w:val="00311C2D"/>
    <w:rsid w:val="00312A22"/>
    <w:rsid w:val="0031587D"/>
    <w:rsid w:val="00317D69"/>
    <w:rsid w:val="003207DC"/>
    <w:rsid w:val="00326669"/>
    <w:rsid w:val="00330089"/>
    <w:rsid w:val="00331621"/>
    <w:rsid w:val="00335486"/>
    <w:rsid w:val="00340647"/>
    <w:rsid w:val="00342AE5"/>
    <w:rsid w:val="00352513"/>
    <w:rsid w:val="00353E5E"/>
    <w:rsid w:val="00355110"/>
    <w:rsid w:val="00356C06"/>
    <w:rsid w:val="003573E8"/>
    <w:rsid w:val="003611C8"/>
    <w:rsid w:val="00363C31"/>
    <w:rsid w:val="00371A44"/>
    <w:rsid w:val="00374D2A"/>
    <w:rsid w:val="00375706"/>
    <w:rsid w:val="0037611B"/>
    <w:rsid w:val="00376FE6"/>
    <w:rsid w:val="00383FE4"/>
    <w:rsid w:val="003846F7"/>
    <w:rsid w:val="003850A6"/>
    <w:rsid w:val="00385BD5"/>
    <w:rsid w:val="003864C6"/>
    <w:rsid w:val="00387A37"/>
    <w:rsid w:val="00394BA2"/>
    <w:rsid w:val="00396415"/>
    <w:rsid w:val="003A1410"/>
    <w:rsid w:val="003A338F"/>
    <w:rsid w:val="003A4386"/>
    <w:rsid w:val="003B002F"/>
    <w:rsid w:val="003B25E0"/>
    <w:rsid w:val="003C0792"/>
    <w:rsid w:val="003C181D"/>
    <w:rsid w:val="003D0547"/>
    <w:rsid w:val="003D676D"/>
    <w:rsid w:val="003E324E"/>
    <w:rsid w:val="003F23E9"/>
    <w:rsid w:val="003F4875"/>
    <w:rsid w:val="00400197"/>
    <w:rsid w:val="004033C2"/>
    <w:rsid w:val="00403C2B"/>
    <w:rsid w:val="00406919"/>
    <w:rsid w:val="0041135B"/>
    <w:rsid w:val="00412BBC"/>
    <w:rsid w:val="00416013"/>
    <w:rsid w:val="00416A28"/>
    <w:rsid w:val="004175E5"/>
    <w:rsid w:val="00421F37"/>
    <w:rsid w:val="0042255F"/>
    <w:rsid w:val="00423E69"/>
    <w:rsid w:val="00430950"/>
    <w:rsid w:val="004334A3"/>
    <w:rsid w:val="00443F97"/>
    <w:rsid w:val="00447986"/>
    <w:rsid w:val="0048668E"/>
    <w:rsid w:val="00490B90"/>
    <w:rsid w:val="0049192E"/>
    <w:rsid w:val="00492C63"/>
    <w:rsid w:val="00495594"/>
    <w:rsid w:val="004A21F1"/>
    <w:rsid w:val="004A6AEA"/>
    <w:rsid w:val="004A7719"/>
    <w:rsid w:val="004B140D"/>
    <w:rsid w:val="004B1B12"/>
    <w:rsid w:val="004B2C90"/>
    <w:rsid w:val="004B6720"/>
    <w:rsid w:val="004C062C"/>
    <w:rsid w:val="004C123F"/>
    <w:rsid w:val="004C17DE"/>
    <w:rsid w:val="004C5E27"/>
    <w:rsid w:val="004C6085"/>
    <w:rsid w:val="004C72FD"/>
    <w:rsid w:val="004C7FB0"/>
    <w:rsid w:val="004D241D"/>
    <w:rsid w:val="004F4C4F"/>
    <w:rsid w:val="004F5734"/>
    <w:rsid w:val="005050B7"/>
    <w:rsid w:val="005050F5"/>
    <w:rsid w:val="0050583F"/>
    <w:rsid w:val="0051068B"/>
    <w:rsid w:val="00511789"/>
    <w:rsid w:val="00512682"/>
    <w:rsid w:val="005226B9"/>
    <w:rsid w:val="00536E34"/>
    <w:rsid w:val="00542A4E"/>
    <w:rsid w:val="005438DD"/>
    <w:rsid w:val="00546BD3"/>
    <w:rsid w:val="005518EA"/>
    <w:rsid w:val="00551C08"/>
    <w:rsid w:val="00552CB6"/>
    <w:rsid w:val="005600FB"/>
    <w:rsid w:val="00561FB9"/>
    <w:rsid w:val="0056385A"/>
    <w:rsid w:val="00580409"/>
    <w:rsid w:val="00585364"/>
    <w:rsid w:val="00585C83"/>
    <w:rsid w:val="00591288"/>
    <w:rsid w:val="005917FD"/>
    <w:rsid w:val="00594DA0"/>
    <w:rsid w:val="005A3305"/>
    <w:rsid w:val="005A4AA1"/>
    <w:rsid w:val="005B274D"/>
    <w:rsid w:val="005B3358"/>
    <w:rsid w:val="005C0F15"/>
    <w:rsid w:val="005C2B55"/>
    <w:rsid w:val="005C3C13"/>
    <w:rsid w:val="005C76A4"/>
    <w:rsid w:val="005C7B81"/>
    <w:rsid w:val="005D16EC"/>
    <w:rsid w:val="005D4706"/>
    <w:rsid w:val="005D49A5"/>
    <w:rsid w:val="005D5A9A"/>
    <w:rsid w:val="005D65A5"/>
    <w:rsid w:val="005D7447"/>
    <w:rsid w:val="005E09DB"/>
    <w:rsid w:val="005E0C2D"/>
    <w:rsid w:val="005E4331"/>
    <w:rsid w:val="005F4A21"/>
    <w:rsid w:val="00600CA6"/>
    <w:rsid w:val="00604BA7"/>
    <w:rsid w:val="00605749"/>
    <w:rsid w:val="006147EB"/>
    <w:rsid w:val="00616216"/>
    <w:rsid w:val="006200EB"/>
    <w:rsid w:val="00621EA3"/>
    <w:rsid w:val="00630630"/>
    <w:rsid w:val="00640234"/>
    <w:rsid w:val="0064343A"/>
    <w:rsid w:val="006461B3"/>
    <w:rsid w:val="00650DEE"/>
    <w:rsid w:val="006606A3"/>
    <w:rsid w:val="00662C48"/>
    <w:rsid w:val="00665FAD"/>
    <w:rsid w:val="00666AE7"/>
    <w:rsid w:val="00671480"/>
    <w:rsid w:val="00673354"/>
    <w:rsid w:val="00675631"/>
    <w:rsid w:val="00676FFD"/>
    <w:rsid w:val="0068263F"/>
    <w:rsid w:val="00684CB7"/>
    <w:rsid w:val="00684E8E"/>
    <w:rsid w:val="00685ECA"/>
    <w:rsid w:val="00687DE4"/>
    <w:rsid w:val="00691852"/>
    <w:rsid w:val="00691A8F"/>
    <w:rsid w:val="00696210"/>
    <w:rsid w:val="006A008F"/>
    <w:rsid w:val="006A12B0"/>
    <w:rsid w:val="006A28F2"/>
    <w:rsid w:val="006A45AB"/>
    <w:rsid w:val="006A5AA6"/>
    <w:rsid w:val="006B7C2B"/>
    <w:rsid w:val="006C0A4B"/>
    <w:rsid w:val="006C4698"/>
    <w:rsid w:val="006D23FD"/>
    <w:rsid w:val="006D6D8F"/>
    <w:rsid w:val="006E170D"/>
    <w:rsid w:val="006E2357"/>
    <w:rsid w:val="006E3337"/>
    <w:rsid w:val="006E698B"/>
    <w:rsid w:val="006E71B4"/>
    <w:rsid w:val="006F3BC8"/>
    <w:rsid w:val="00702E0C"/>
    <w:rsid w:val="0071548B"/>
    <w:rsid w:val="007204A9"/>
    <w:rsid w:val="0072087B"/>
    <w:rsid w:val="00726482"/>
    <w:rsid w:val="00734E13"/>
    <w:rsid w:val="00735FF5"/>
    <w:rsid w:val="0073680E"/>
    <w:rsid w:val="00736B86"/>
    <w:rsid w:val="007372A2"/>
    <w:rsid w:val="00741983"/>
    <w:rsid w:val="00742015"/>
    <w:rsid w:val="007442DD"/>
    <w:rsid w:val="00751102"/>
    <w:rsid w:val="00753DC9"/>
    <w:rsid w:val="00756929"/>
    <w:rsid w:val="00757EB7"/>
    <w:rsid w:val="007609A3"/>
    <w:rsid w:val="0076274A"/>
    <w:rsid w:val="00762960"/>
    <w:rsid w:val="007649B8"/>
    <w:rsid w:val="00767054"/>
    <w:rsid w:val="00767A35"/>
    <w:rsid w:val="00767DBB"/>
    <w:rsid w:val="007716DD"/>
    <w:rsid w:val="00772B5D"/>
    <w:rsid w:val="00774646"/>
    <w:rsid w:val="00781695"/>
    <w:rsid w:val="00790042"/>
    <w:rsid w:val="0079470E"/>
    <w:rsid w:val="00794D4E"/>
    <w:rsid w:val="00797B09"/>
    <w:rsid w:val="007A022C"/>
    <w:rsid w:val="007A02A7"/>
    <w:rsid w:val="007A5FF0"/>
    <w:rsid w:val="007A7064"/>
    <w:rsid w:val="007A7361"/>
    <w:rsid w:val="007B3FDE"/>
    <w:rsid w:val="007B5F8E"/>
    <w:rsid w:val="007B7432"/>
    <w:rsid w:val="007C03C9"/>
    <w:rsid w:val="007C0935"/>
    <w:rsid w:val="007F2EB6"/>
    <w:rsid w:val="007F4E93"/>
    <w:rsid w:val="007F733A"/>
    <w:rsid w:val="00803D2B"/>
    <w:rsid w:val="008046D4"/>
    <w:rsid w:val="00806AC1"/>
    <w:rsid w:val="00806EC3"/>
    <w:rsid w:val="00822976"/>
    <w:rsid w:val="00824C6E"/>
    <w:rsid w:val="00830DCF"/>
    <w:rsid w:val="00833792"/>
    <w:rsid w:val="008340C5"/>
    <w:rsid w:val="00841922"/>
    <w:rsid w:val="00852F35"/>
    <w:rsid w:val="008548F6"/>
    <w:rsid w:val="00854B4B"/>
    <w:rsid w:val="00857363"/>
    <w:rsid w:val="008606BB"/>
    <w:rsid w:val="008655FA"/>
    <w:rsid w:val="0086712B"/>
    <w:rsid w:val="00867AB2"/>
    <w:rsid w:val="00871E01"/>
    <w:rsid w:val="0087328B"/>
    <w:rsid w:val="00875E4B"/>
    <w:rsid w:val="00880485"/>
    <w:rsid w:val="00882B1E"/>
    <w:rsid w:val="00883248"/>
    <w:rsid w:val="00883C13"/>
    <w:rsid w:val="0088613D"/>
    <w:rsid w:val="00893841"/>
    <w:rsid w:val="008949D6"/>
    <w:rsid w:val="008A0614"/>
    <w:rsid w:val="008A1C85"/>
    <w:rsid w:val="008A1CC7"/>
    <w:rsid w:val="008A4788"/>
    <w:rsid w:val="008A547C"/>
    <w:rsid w:val="008A5AB3"/>
    <w:rsid w:val="008B44F5"/>
    <w:rsid w:val="008B56E1"/>
    <w:rsid w:val="008B600C"/>
    <w:rsid w:val="008C2A74"/>
    <w:rsid w:val="008C43A0"/>
    <w:rsid w:val="008C47A1"/>
    <w:rsid w:val="008C6341"/>
    <w:rsid w:val="008C6A8E"/>
    <w:rsid w:val="008C7242"/>
    <w:rsid w:val="008C738F"/>
    <w:rsid w:val="008D6B9E"/>
    <w:rsid w:val="008E1024"/>
    <w:rsid w:val="008E1BB6"/>
    <w:rsid w:val="008E2C42"/>
    <w:rsid w:val="008E626C"/>
    <w:rsid w:val="008E7E2D"/>
    <w:rsid w:val="008F1FCD"/>
    <w:rsid w:val="008F5EB8"/>
    <w:rsid w:val="00901647"/>
    <w:rsid w:val="009019D3"/>
    <w:rsid w:val="00911CCA"/>
    <w:rsid w:val="00913ED0"/>
    <w:rsid w:val="00915795"/>
    <w:rsid w:val="009171D1"/>
    <w:rsid w:val="00920C67"/>
    <w:rsid w:val="00920E5A"/>
    <w:rsid w:val="00925734"/>
    <w:rsid w:val="00927650"/>
    <w:rsid w:val="00931844"/>
    <w:rsid w:val="00934087"/>
    <w:rsid w:val="00936A6D"/>
    <w:rsid w:val="00940CA4"/>
    <w:rsid w:val="00940E57"/>
    <w:rsid w:val="00942CB6"/>
    <w:rsid w:val="00942CE9"/>
    <w:rsid w:val="00946E36"/>
    <w:rsid w:val="00954FF2"/>
    <w:rsid w:val="00960179"/>
    <w:rsid w:val="00962EE8"/>
    <w:rsid w:val="009655B1"/>
    <w:rsid w:val="0097014C"/>
    <w:rsid w:val="00970410"/>
    <w:rsid w:val="00971677"/>
    <w:rsid w:val="00976EE9"/>
    <w:rsid w:val="009844BA"/>
    <w:rsid w:val="00985387"/>
    <w:rsid w:val="009874AC"/>
    <w:rsid w:val="009911A1"/>
    <w:rsid w:val="009929AB"/>
    <w:rsid w:val="009A245B"/>
    <w:rsid w:val="009A5F0D"/>
    <w:rsid w:val="009A6D9C"/>
    <w:rsid w:val="009B03D1"/>
    <w:rsid w:val="009B3801"/>
    <w:rsid w:val="009B681D"/>
    <w:rsid w:val="009C60F6"/>
    <w:rsid w:val="009D1B66"/>
    <w:rsid w:val="009D635A"/>
    <w:rsid w:val="009E4E00"/>
    <w:rsid w:val="009F0889"/>
    <w:rsid w:val="009F4E63"/>
    <w:rsid w:val="009F6A0F"/>
    <w:rsid w:val="00A008E6"/>
    <w:rsid w:val="00A0240E"/>
    <w:rsid w:val="00A0591A"/>
    <w:rsid w:val="00A07D73"/>
    <w:rsid w:val="00A07EAA"/>
    <w:rsid w:val="00A128AA"/>
    <w:rsid w:val="00A12C83"/>
    <w:rsid w:val="00A12D35"/>
    <w:rsid w:val="00A156BD"/>
    <w:rsid w:val="00A175C2"/>
    <w:rsid w:val="00A17686"/>
    <w:rsid w:val="00A177C5"/>
    <w:rsid w:val="00A223C8"/>
    <w:rsid w:val="00A229B9"/>
    <w:rsid w:val="00A338C4"/>
    <w:rsid w:val="00A42B2B"/>
    <w:rsid w:val="00A55BD7"/>
    <w:rsid w:val="00A60536"/>
    <w:rsid w:val="00A74A83"/>
    <w:rsid w:val="00A80474"/>
    <w:rsid w:val="00A80BFF"/>
    <w:rsid w:val="00A84F88"/>
    <w:rsid w:val="00A86688"/>
    <w:rsid w:val="00A9049F"/>
    <w:rsid w:val="00A918A7"/>
    <w:rsid w:val="00A9252A"/>
    <w:rsid w:val="00A9339F"/>
    <w:rsid w:val="00A94346"/>
    <w:rsid w:val="00A97FB6"/>
    <w:rsid w:val="00AA3A84"/>
    <w:rsid w:val="00AA705F"/>
    <w:rsid w:val="00AB25B6"/>
    <w:rsid w:val="00AB4792"/>
    <w:rsid w:val="00AB772D"/>
    <w:rsid w:val="00AC2CDC"/>
    <w:rsid w:val="00AC4157"/>
    <w:rsid w:val="00AD0D2C"/>
    <w:rsid w:val="00AD67FE"/>
    <w:rsid w:val="00AD7805"/>
    <w:rsid w:val="00AD7F17"/>
    <w:rsid w:val="00AE16BB"/>
    <w:rsid w:val="00AE23D2"/>
    <w:rsid w:val="00AE4576"/>
    <w:rsid w:val="00AE5CB4"/>
    <w:rsid w:val="00B0131A"/>
    <w:rsid w:val="00B1334B"/>
    <w:rsid w:val="00B179B7"/>
    <w:rsid w:val="00B20562"/>
    <w:rsid w:val="00B271B9"/>
    <w:rsid w:val="00B27D8A"/>
    <w:rsid w:val="00B306FD"/>
    <w:rsid w:val="00B30932"/>
    <w:rsid w:val="00B33FEF"/>
    <w:rsid w:val="00B36530"/>
    <w:rsid w:val="00B36A0D"/>
    <w:rsid w:val="00B41E88"/>
    <w:rsid w:val="00B4327C"/>
    <w:rsid w:val="00B43D9A"/>
    <w:rsid w:val="00B4521C"/>
    <w:rsid w:val="00B50442"/>
    <w:rsid w:val="00B5358B"/>
    <w:rsid w:val="00B56736"/>
    <w:rsid w:val="00B56C7C"/>
    <w:rsid w:val="00B56DAA"/>
    <w:rsid w:val="00B57F2E"/>
    <w:rsid w:val="00B60417"/>
    <w:rsid w:val="00B63CFF"/>
    <w:rsid w:val="00B6522F"/>
    <w:rsid w:val="00B6596F"/>
    <w:rsid w:val="00B664B6"/>
    <w:rsid w:val="00B66C0C"/>
    <w:rsid w:val="00B70AD6"/>
    <w:rsid w:val="00B71013"/>
    <w:rsid w:val="00B74379"/>
    <w:rsid w:val="00B83D9A"/>
    <w:rsid w:val="00B9166F"/>
    <w:rsid w:val="00B95ED1"/>
    <w:rsid w:val="00B95F89"/>
    <w:rsid w:val="00B96BC8"/>
    <w:rsid w:val="00BA1920"/>
    <w:rsid w:val="00BA284A"/>
    <w:rsid w:val="00BA6ADF"/>
    <w:rsid w:val="00BB29E0"/>
    <w:rsid w:val="00BC0733"/>
    <w:rsid w:val="00BC150C"/>
    <w:rsid w:val="00BC4BA4"/>
    <w:rsid w:val="00BD171D"/>
    <w:rsid w:val="00BD4F38"/>
    <w:rsid w:val="00BD52A1"/>
    <w:rsid w:val="00BD57F5"/>
    <w:rsid w:val="00BD6B97"/>
    <w:rsid w:val="00BE48A4"/>
    <w:rsid w:val="00BE48BC"/>
    <w:rsid w:val="00BE5472"/>
    <w:rsid w:val="00BE56F0"/>
    <w:rsid w:val="00BF7FD1"/>
    <w:rsid w:val="00C03F8D"/>
    <w:rsid w:val="00C04EC6"/>
    <w:rsid w:val="00C12D35"/>
    <w:rsid w:val="00C14126"/>
    <w:rsid w:val="00C20DC9"/>
    <w:rsid w:val="00C223F2"/>
    <w:rsid w:val="00C27787"/>
    <w:rsid w:val="00C366E3"/>
    <w:rsid w:val="00C42610"/>
    <w:rsid w:val="00C47103"/>
    <w:rsid w:val="00C47620"/>
    <w:rsid w:val="00C519A2"/>
    <w:rsid w:val="00C548CD"/>
    <w:rsid w:val="00C6465D"/>
    <w:rsid w:val="00C64764"/>
    <w:rsid w:val="00C6577F"/>
    <w:rsid w:val="00C6634D"/>
    <w:rsid w:val="00C66EB1"/>
    <w:rsid w:val="00C67B22"/>
    <w:rsid w:val="00C67BF8"/>
    <w:rsid w:val="00C70947"/>
    <w:rsid w:val="00C70BBF"/>
    <w:rsid w:val="00C7478C"/>
    <w:rsid w:val="00C76920"/>
    <w:rsid w:val="00C83C5F"/>
    <w:rsid w:val="00C84FA8"/>
    <w:rsid w:val="00CA4188"/>
    <w:rsid w:val="00CB08B2"/>
    <w:rsid w:val="00CB098E"/>
    <w:rsid w:val="00CB418B"/>
    <w:rsid w:val="00CB45C1"/>
    <w:rsid w:val="00CB45C6"/>
    <w:rsid w:val="00CB5F52"/>
    <w:rsid w:val="00CB79E1"/>
    <w:rsid w:val="00CC6110"/>
    <w:rsid w:val="00CC7A56"/>
    <w:rsid w:val="00CD25F8"/>
    <w:rsid w:val="00CD66D5"/>
    <w:rsid w:val="00CE5BA0"/>
    <w:rsid w:val="00CF7555"/>
    <w:rsid w:val="00D03799"/>
    <w:rsid w:val="00D04E61"/>
    <w:rsid w:val="00D10635"/>
    <w:rsid w:val="00D117A3"/>
    <w:rsid w:val="00D134A4"/>
    <w:rsid w:val="00D1732D"/>
    <w:rsid w:val="00D30972"/>
    <w:rsid w:val="00D316EE"/>
    <w:rsid w:val="00D421E1"/>
    <w:rsid w:val="00D42C12"/>
    <w:rsid w:val="00D4327A"/>
    <w:rsid w:val="00D476AD"/>
    <w:rsid w:val="00D50B1B"/>
    <w:rsid w:val="00D525B8"/>
    <w:rsid w:val="00D53203"/>
    <w:rsid w:val="00D736BD"/>
    <w:rsid w:val="00D76F3C"/>
    <w:rsid w:val="00D77AD7"/>
    <w:rsid w:val="00D813A3"/>
    <w:rsid w:val="00D91613"/>
    <w:rsid w:val="00DA18A2"/>
    <w:rsid w:val="00DA1FE1"/>
    <w:rsid w:val="00DA65D8"/>
    <w:rsid w:val="00DB219E"/>
    <w:rsid w:val="00DB2599"/>
    <w:rsid w:val="00DC7DA0"/>
    <w:rsid w:val="00DD05DA"/>
    <w:rsid w:val="00DD3CBB"/>
    <w:rsid w:val="00DD3EB6"/>
    <w:rsid w:val="00DF2E41"/>
    <w:rsid w:val="00DF2F8D"/>
    <w:rsid w:val="00DF386D"/>
    <w:rsid w:val="00DF4CBA"/>
    <w:rsid w:val="00DF6656"/>
    <w:rsid w:val="00E05FA4"/>
    <w:rsid w:val="00E07159"/>
    <w:rsid w:val="00E127AE"/>
    <w:rsid w:val="00E21877"/>
    <w:rsid w:val="00E22202"/>
    <w:rsid w:val="00E224F4"/>
    <w:rsid w:val="00E2628D"/>
    <w:rsid w:val="00E267EF"/>
    <w:rsid w:val="00E2753F"/>
    <w:rsid w:val="00E305D5"/>
    <w:rsid w:val="00E30F63"/>
    <w:rsid w:val="00E366B5"/>
    <w:rsid w:val="00E3783D"/>
    <w:rsid w:val="00E44BD0"/>
    <w:rsid w:val="00E456B3"/>
    <w:rsid w:val="00E5751A"/>
    <w:rsid w:val="00E60014"/>
    <w:rsid w:val="00E6211C"/>
    <w:rsid w:val="00E66622"/>
    <w:rsid w:val="00E72D10"/>
    <w:rsid w:val="00E73CC5"/>
    <w:rsid w:val="00E81012"/>
    <w:rsid w:val="00E84F06"/>
    <w:rsid w:val="00E86063"/>
    <w:rsid w:val="00E9126A"/>
    <w:rsid w:val="00E92551"/>
    <w:rsid w:val="00E96148"/>
    <w:rsid w:val="00EA5C7B"/>
    <w:rsid w:val="00EA7471"/>
    <w:rsid w:val="00EB0252"/>
    <w:rsid w:val="00EB050F"/>
    <w:rsid w:val="00EB7F22"/>
    <w:rsid w:val="00EC4FE6"/>
    <w:rsid w:val="00EC58A3"/>
    <w:rsid w:val="00EC6D68"/>
    <w:rsid w:val="00ED0697"/>
    <w:rsid w:val="00ED4F79"/>
    <w:rsid w:val="00EE03A1"/>
    <w:rsid w:val="00EE193F"/>
    <w:rsid w:val="00EE650A"/>
    <w:rsid w:val="00F03073"/>
    <w:rsid w:val="00F03F3A"/>
    <w:rsid w:val="00F04A88"/>
    <w:rsid w:val="00F05D58"/>
    <w:rsid w:val="00F17E13"/>
    <w:rsid w:val="00F22465"/>
    <w:rsid w:val="00F23496"/>
    <w:rsid w:val="00F255D5"/>
    <w:rsid w:val="00F27443"/>
    <w:rsid w:val="00F35D23"/>
    <w:rsid w:val="00F3754F"/>
    <w:rsid w:val="00F37B67"/>
    <w:rsid w:val="00F4366B"/>
    <w:rsid w:val="00F440E5"/>
    <w:rsid w:val="00F44607"/>
    <w:rsid w:val="00F47E31"/>
    <w:rsid w:val="00F516B8"/>
    <w:rsid w:val="00F55A6F"/>
    <w:rsid w:val="00F61611"/>
    <w:rsid w:val="00F619D8"/>
    <w:rsid w:val="00F64878"/>
    <w:rsid w:val="00F66330"/>
    <w:rsid w:val="00F66616"/>
    <w:rsid w:val="00F7231A"/>
    <w:rsid w:val="00F73D8D"/>
    <w:rsid w:val="00F73E0C"/>
    <w:rsid w:val="00F74900"/>
    <w:rsid w:val="00F75EE9"/>
    <w:rsid w:val="00F76ECC"/>
    <w:rsid w:val="00F81BDE"/>
    <w:rsid w:val="00F83406"/>
    <w:rsid w:val="00F83BE1"/>
    <w:rsid w:val="00F87586"/>
    <w:rsid w:val="00F957C6"/>
    <w:rsid w:val="00F95A64"/>
    <w:rsid w:val="00FA5B11"/>
    <w:rsid w:val="00FA7F68"/>
    <w:rsid w:val="00FB04AF"/>
    <w:rsid w:val="00FB0E32"/>
    <w:rsid w:val="00FD20A5"/>
    <w:rsid w:val="00FD2C22"/>
    <w:rsid w:val="00FD46CD"/>
    <w:rsid w:val="00FD4FAA"/>
    <w:rsid w:val="00FE1390"/>
    <w:rsid w:val="00FE1C06"/>
    <w:rsid w:val="00FE1F35"/>
    <w:rsid w:val="00FE2C7F"/>
    <w:rsid w:val="00FE52FF"/>
    <w:rsid w:val="00FE6E7D"/>
    <w:rsid w:val="00FE7E41"/>
    <w:rsid w:val="00FF1215"/>
    <w:rsid w:val="00FF4301"/>
    <w:rsid w:val="00FF506A"/>
    <w:rsid w:val="00FF75BA"/>
    <w:rsid w:val="0302CBEE"/>
    <w:rsid w:val="03D0F19D"/>
    <w:rsid w:val="042BEA3E"/>
    <w:rsid w:val="042DE86A"/>
    <w:rsid w:val="04790379"/>
    <w:rsid w:val="0665950A"/>
    <w:rsid w:val="07D6BE93"/>
    <w:rsid w:val="08BD379A"/>
    <w:rsid w:val="08C1E636"/>
    <w:rsid w:val="098CBDB2"/>
    <w:rsid w:val="0ABC8100"/>
    <w:rsid w:val="0B3F2D3D"/>
    <w:rsid w:val="0B869668"/>
    <w:rsid w:val="0C842A56"/>
    <w:rsid w:val="0EAF1FCA"/>
    <w:rsid w:val="0EB46EEE"/>
    <w:rsid w:val="10874A03"/>
    <w:rsid w:val="10A56617"/>
    <w:rsid w:val="10ACCD86"/>
    <w:rsid w:val="110E7FA4"/>
    <w:rsid w:val="12B251AD"/>
    <w:rsid w:val="13378F8C"/>
    <w:rsid w:val="14F0617F"/>
    <w:rsid w:val="15C8A0BD"/>
    <w:rsid w:val="16045D11"/>
    <w:rsid w:val="165D1400"/>
    <w:rsid w:val="17DDD0F5"/>
    <w:rsid w:val="1B3E9DA8"/>
    <w:rsid w:val="1CC34725"/>
    <w:rsid w:val="1D56DCF4"/>
    <w:rsid w:val="1E0147F1"/>
    <w:rsid w:val="1E7D21D9"/>
    <w:rsid w:val="2092A38A"/>
    <w:rsid w:val="215B839E"/>
    <w:rsid w:val="22A44534"/>
    <w:rsid w:val="23EBC6E7"/>
    <w:rsid w:val="26951538"/>
    <w:rsid w:val="26AB0E97"/>
    <w:rsid w:val="27FC45A9"/>
    <w:rsid w:val="280367D2"/>
    <w:rsid w:val="2B524480"/>
    <w:rsid w:val="2BB7815E"/>
    <w:rsid w:val="2C00EDD8"/>
    <w:rsid w:val="2C477391"/>
    <w:rsid w:val="2CD918BE"/>
    <w:rsid w:val="2EB0AB94"/>
    <w:rsid w:val="2EEC76FC"/>
    <w:rsid w:val="300C2C9E"/>
    <w:rsid w:val="3157A2BA"/>
    <w:rsid w:val="31BE9F88"/>
    <w:rsid w:val="323C74AE"/>
    <w:rsid w:val="32432DC6"/>
    <w:rsid w:val="324C5A7B"/>
    <w:rsid w:val="33A5759D"/>
    <w:rsid w:val="349B6204"/>
    <w:rsid w:val="349C4925"/>
    <w:rsid w:val="34F38BA7"/>
    <w:rsid w:val="35124557"/>
    <w:rsid w:val="36429AF3"/>
    <w:rsid w:val="38491A2C"/>
    <w:rsid w:val="38916C19"/>
    <w:rsid w:val="397CE6F3"/>
    <w:rsid w:val="39B9FEA9"/>
    <w:rsid w:val="3E68A54C"/>
    <w:rsid w:val="3EDD89E1"/>
    <w:rsid w:val="40DC9796"/>
    <w:rsid w:val="42477D1C"/>
    <w:rsid w:val="47571D11"/>
    <w:rsid w:val="47C923E0"/>
    <w:rsid w:val="49C6564F"/>
    <w:rsid w:val="49E501D7"/>
    <w:rsid w:val="49FA4BB2"/>
    <w:rsid w:val="4A3F4C15"/>
    <w:rsid w:val="4AFB08E7"/>
    <w:rsid w:val="4B32DD58"/>
    <w:rsid w:val="4D674931"/>
    <w:rsid w:val="51F93E03"/>
    <w:rsid w:val="523F5468"/>
    <w:rsid w:val="530AD79C"/>
    <w:rsid w:val="5394952B"/>
    <w:rsid w:val="559701EF"/>
    <w:rsid w:val="56C46E05"/>
    <w:rsid w:val="56EB46D1"/>
    <w:rsid w:val="56EDC210"/>
    <w:rsid w:val="5729C22F"/>
    <w:rsid w:val="5A5654EA"/>
    <w:rsid w:val="5C8EDBF3"/>
    <w:rsid w:val="5E492726"/>
    <w:rsid w:val="606924CF"/>
    <w:rsid w:val="61456993"/>
    <w:rsid w:val="63F70122"/>
    <w:rsid w:val="66BBFC7A"/>
    <w:rsid w:val="681A6334"/>
    <w:rsid w:val="685A6AD2"/>
    <w:rsid w:val="68A6A15E"/>
    <w:rsid w:val="6E9D7CA8"/>
    <w:rsid w:val="709E096C"/>
    <w:rsid w:val="70E75E8C"/>
    <w:rsid w:val="71513D54"/>
    <w:rsid w:val="7195D63E"/>
    <w:rsid w:val="71D0391B"/>
    <w:rsid w:val="7493EDCE"/>
    <w:rsid w:val="76B6B698"/>
    <w:rsid w:val="77724D4E"/>
    <w:rsid w:val="77BEE998"/>
    <w:rsid w:val="77D124E7"/>
    <w:rsid w:val="785A5ED0"/>
    <w:rsid w:val="78FAB619"/>
    <w:rsid w:val="791E6F28"/>
    <w:rsid w:val="7A62B209"/>
    <w:rsid w:val="7AA9AFA7"/>
    <w:rsid w:val="7AB28C99"/>
    <w:rsid w:val="7B9D27D8"/>
    <w:rsid w:val="7BC7B1F5"/>
    <w:rsid w:val="7C2C075B"/>
    <w:rsid w:val="7C58E118"/>
    <w:rsid w:val="7CFF0F3A"/>
    <w:rsid w:val="7D795981"/>
    <w:rsid w:val="7F001527"/>
    <w:rsid w:val="7F4094F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B69079D"/>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F35"/>
    <w:pPr>
      <w:spacing w:after="160" w:line="264" w:lineRule="auto"/>
    </w:pPr>
    <w:rPr>
      <w:sz w:val="22"/>
    </w:rPr>
  </w:style>
  <w:style w:type="paragraph" w:styleId="Heading1">
    <w:name w:val="heading 1"/>
    <w:basedOn w:val="Normal"/>
    <w:next w:val="Normal"/>
    <w:link w:val="Heading1Char"/>
    <w:uiPriority w:val="2"/>
    <w:qFormat/>
    <w:rsid w:val="006147EB"/>
    <w:pPr>
      <w:keepNext/>
      <w:keepLines/>
      <w:spacing w:before="360" w:line="240" w:lineRule="auto"/>
      <w:outlineLvl w:val="0"/>
    </w:pPr>
    <w:rPr>
      <w:rFonts w:asciiTheme="majorHAnsi" w:eastAsiaTheme="majorEastAsia" w:hAnsiTheme="majorHAnsi" w:cstheme="majorBidi"/>
      <w:color w:val="1B375C" w:themeColor="accent1"/>
      <w:sz w:val="48"/>
      <w:szCs w:val="40"/>
    </w:rPr>
  </w:style>
  <w:style w:type="paragraph" w:styleId="Heading2">
    <w:name w:val="heading 2"/>
    <w:basedOn w:val="Normal"/>
    <w:next w:val="Normal"/>
    <w:link w:val="Heading2Char"/>
    <w:uiPriority w:val="2"/>
    <w:qFormat/>
    <w:rsid w:val="006147EB"/>
    <w:pPr>
      <w:keepNext/>
      <w:keepLines/>
      <w:spacing w:before="240" w:line="240" w:lineRule="auto"/>
      <w:outlineLvl w:val="1"/>
    </w:pPr>
    <w:rPr>
      <w:rFonts w:asciiTheme="majorHAnsi" w:eastAsiaTheme="majorEastAsia" w:hAnsiTheme="majorHAnsi" w:cstheme="majorBidi"/>
      <w:color w:val="1B375C" w:themeColor="accent1"/>
      <w:sz w:val="36"/>
      <w:szCs w:val="28"/>
    </w:rPr>
  </w:style>
  <w:style w:type="paragraph" w:styleId="Heading3">
    <w:name w:val="heading 3"/>
    <w:basedOn w:val="Heading4"/>
    <w:next w:val="Normal"/>
    <w:link w:val="Heading3Char"/>
    <w:uiPriority w:val="2"/>
    <w:qFormat/>
    <w:rsid w:val="006147EB"/>
    <w:pPr>
      <w:outlineLvl w:val="2"/>
    </w:pPr>
    <w:rPr>
      <w:color w:val="1B375C" w:themeColor="accent1"/>
      <w:sz w:val="24"/>
      <w:szCs w:val="24"/>
    </w:rPr>
  </w:style>
  <w:style w:type="paragraph" w:styleId="Heading4">
    <w:name w:val="heading 4"/>
    <w:basedOn w:val="Normal"/>
    <w:next w:val="Normal"/>
    <w:link w:val="Heading4Char"/>
    <w:uiPriority w:val="2"/>
    <w:qFormat/>
    <w:rsid w:val="006147EB"/>
    <w:pPr>
      <w:keepNext/>
      <w:keepLines/>
      <w:spacing w:before="240"/>
      <w:outlineLvl w:val="3"/>
    </w:pPr>
    <w:rPr>
      <w:rFonts w:eastAsiaTheme="majorEastAsia" w:cstheme="minorHAnsi"/>
      <w:b/>
      <w:color w:val="3266AB"/>
      <w:szCs w:val="22"/>
    </w:rPr>
  </w:style>
  <w:style w:type="paragraph" w:styleId="Heading5">
    <w:name w:val="heading 5"/>
    <w:basedOn w:val="Normal"/>
    <w:next w:val="Normal"/>
    <w:link w:val="Heading5Char"/>
    <w:uiPriority w:val="2"/>
    <w:unhideWhenUsed/>
    <w:rsid w:val="00857363"/>
    <w:pPr>
      <w:keepNext/>
      <w:keepLines/>
      <w:spacing w:before="240"/>
      <w:outlineLvl w:val="4"/>
    </w:pPr>
    <w:rPr>
      <w:rFonts w:eastAsiaTheme="majorEastAsia" w:cstheme="majorBidi"/>
      <w:iCs/>
      <w:color w:val="3266AB"/>
      <w:szCs w:val="22"/>
    </w:rPr>
  </w:style>
  <w:style w:type="paragraph" w:styleId="Heading6">
    <w:name w:val="heading 6"/>
    <w:basedOn w:val="Normal"/>
    <w:next w:val="Normal"/>
    <w:link w:val="Heading6Char"/>
    <w:uiPriority w:val="2"/>
    <w:unhideWhenUsed/>
    <w:rsid w:val="006200EB"/>
    <w:pPr>
      <w:keepNext/>
      <w:keepLines/>
      <w:spacing w:before="240"/>
      <w:outlineLvl w:val="5"/>
    </w:pPr>
    <w:rPr>
      <w:rFonts w:asciiTheme="majorHAnsi" w:eastAsiaTheme="majorEastAsia" w:hAnsiTheme="majorHAnsi" w:cstheme="majorBidi"/>
      <w:color w:val="3266AB"/>
    </w:rPr>
  </w:style>
  <w:style w:type="paragraph" w:styleId="Heading7">
    <w:name w:val="heading 7"/>
    <w:basedOn w:val="Normal"/>
    <w:next w:val="Normal"/>
    <w:link w:val="Heading7Char"/>
    <w:uiPriority w:val="2"/>
    <w:unhideWhenUsed/>
    <w:rsid w:val="006200EB"/>
    <w:pPr>
      <w:keepNext/>
      <w:keepLines/>
      <w:spacing w:before="240"/>
      <w:outlineLvl w:val="6"/>
    </w:pPr>
    <w:rPr>
      <w:rFonts w:asciiTheme="majorHAnsi" w:eastAsiaTheme="majorEastAsia" w:hAnsiTheme="majorHAnsi" w:cstheme="majorBidi"/>
      <w:b/>
      <w:bCs/>
      <w:color w:val="3266AB"/>
    </w:rPr>
  </w:style>
  <w:style w:type="paragraph" w:styleId="Heading8">
    <w:name w:val="heading 8"/>
    <w:basedOn w:val="Normal"/>
    <w:next w:val="Normal"/>
    <w:link w:val="Heading8Char"/>
    <w:uiPriority w:val="2"/>
    <w:unhideWhenUsed/>
    <w:rsid w:val="006200EB"/>
    <w:pPr>
      <w:keepNext/>
      <w:keepLines/>
      <w:spacing w:before="240"/>
      <w:outlineLvl w:val="7"/>
    </w:pPr>
    <w:rPr>
      <w:rFonts w:asciiTheme="majorHAnsi" w:eastAsiaTheme="majorEastAsia" w:hAnsiTheme="majorHAnsi" w:cstheme="majorBidi"/>
      <w:b/>
      <w:bCs/>
      <w:i/>
      <w:iCs/>
      <w:color w:val="3266AB"/>
      <w:sz w:val="20"/>
      <w:szCs w:val="20"/>
    </w:rPr>
  </w:style>
  <w:style w:type="paragraph" w:styleId="Heading9">
    <w:name w:val="heading 9"/>
    <w:basedOn w:val="Normal"/>
    <w:next w:val="Normal"/>
    <w:link w:val="Heading9Char"/>
    <w:uiPriority w:val="2"/>
    <w:unhideWhenUsed/>
    <w:rsid w:val="006200EB"/>
    <w:pPr>
      <w:keepNext/>
      <w:keepLines/>
      <w:spacing w:before="240"/>
      <w:outlineLvl w:val="8"/>
    </w:pPr>
    <w:rPr>
      <w:rFonts w:asciiTheme="majorHAnsi" w:eastAsiaTheme="majorEastAsia" w:hAnsiTheme="majorHAnsi" w:cstheme="majorBidi"/>
      <w:i/>
      <w:iCs/>
      <w:color w:val="3266A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6147EB"/>
    <w:rPr>
      <w:rFonts w:asciiTheme="majorHAnsi" w:eastAsiaTheme="majorEastAsia" w:hAnsiTheme="majorHAnsi" w:cstheme="majorBidi"/>
      <w:color w:val="1B375C" w:themeColor="accent1"/>
      <w:sz w:val="48"/>
      <w:szCs w:val="40"/>
    </w:rPr>
  </w:style>
  <w:style w:type="paragraph" w:styleId="Title">
    <w:name w:val="Title"/>
    <w:basedOn w:val="Normal"/>
    <w:next w:val="Normal"/>
    <w:link w:val="TitleChar"/>
    <w:uiPriority w:val="18"/>
    <w:rsid w:val="005226B9"/>
    <w:pPr>
      <w:spacing w:after="240" w:line="240" w:lineRule="auto"/>
      <w:contextualSpacing/>
    </w:pPr>
    <w:rPr>
      <w:rFonts w:asciiTheme="majorHAnsi" w:eastAsiaTheme="majorEastAsia" w:hAnsiTheme="majorHAnsi" w:cstheme="majorBidi"/>
      <w:noProof/>
      <w:spacing w:val="-15"/>
      <w:sz w:val="56"/>
      <w:szCs w:val="96"/>
    </w:rPr>
  </w:style>
  <w:style w:type="character" w:customStyle="1" w:styleId="TitleChar">
    <w:name w:val="Title Char"/>
    <w:basedOn w:val="DefaultParagraphFont"/>
    <w:link w:val="Title"/>
    <w:uiPriority w:val="18"/>
    <w:rsid w:val="00E2753F"/>
    <w:rPr>
      <w:rFonts w:asciiTheme="majorHAnsi" w:eastAsiaTheme="majorEastAsia" w:hAnsiTheme="majorHAnsi" w:cstheme="majorBidi"/>
      <w:noProof/>
      <w:spacing w:val="-15"/>
      <w:sz w:val="56"/>
      <w:szCs w:val="96"/>
    </w:rPr>
  </w:style>
  <w:style w:type="character" w:customStyle="1" w:styleId="Heading2Char">
    <w:name w:val="Heading 2 Char"/>
    <w:basedOn w:val="DefaultParagraphFont"/>
    <w:link w:val="Heading2"/>
    <w:uiPriority w:val="2"/>
    <w:rsid w:val="006147EB"/>
    <w:rPr>
      <w:rFonts w:asciiTheme="majorHAnsi" w:eastAsiaTheme="majorEastAsia" w:hAnsiTheme="majorHAnsi" w:cstheme="majorBidi"/>
      <w:color w:val="1B375C" w:themeColor="accent1"/>
      <w:sz w:val="36"/>
      <w:szCs w:val="28"/>
    </w:rPr>
  </w:style>
  <w:style w:type="character" w:customStyle="1" w:styleId="Heading3Char">
    <w:name w:val="Heading 3 Char"/>
    <w:basedOn w:val="DefaultParagraphFont"/>
    <w:link w:val="Heading3"/>
    <w:uiPriority w:val="2"/>
    <w:rsid w:val="006147EB"/>
    <w:rPr>
      <w:rFonts w:eastAsiaTheme="majorEastAsia" w:cstheme="minorHAnsi"/>
      <w:b/>
      <w:color w:val="1B375C" w:themeColor="accent1"/>
      <w:sz w:val="24"/>
      <w:szCs w:val="24"/>
    </w:rPr>
  </w:style>
  <w:style w:type="character" w:customStyle="1" w:styleId="Heading4Char">
    <w:name w:val="Heading 4 Char"/>
    <w:basedOn w:val="DefaultParagraphFont"/>
    <w:link w:val="Heading4"/>
    <w:uiPriority w:val="2"/>
    <w:rsid w:val="006147EB"/>
    <w:rPr>
      <w:rFonts w:eastAsiaTheme="majorEastAsia" w:cstheme="minorHAnsi"/>
      <w:b/>
      <w:color w:val="3266AB"/>
      <w:sz w:val="22"/>
      <w:szCs w:val="22"/>
    </w:rPr>
  </w:style>
  <w:style w:type="character" w:customStyle="1" w:styleId="Heading5Char">
    <w:name w:val="Heading 5 Char"/>
    <w:basedOn w:val="DefaultParagraphFont"/>
    <w:link w:val="Heading5"/>
    <w:uiPriority w:val="2"/>
    <w:rsid w:val="00857363"/>
    <w:rPr>
      <w:rFonts w:eastAsiaTheme="majorEastAsia" w:cstheme="majorBidi"/>
      <w:iCs/>
      <w:color w:val="3266AB"/>
      <w:sz w:val="22"/>
      <w:szCs w:val="22"/>
    </w:rPr>
  </w:style>
  <w:style w:type="character" w:customStyle="1" w:styleId="Heading6Char">
    <w:name w:val="Heading 6 Char"/>
    <w:basedOn w:val="DefaultParagraphFont"/>
    <w:link w:val="Heading6"/>
    <w:uiPriority w:val="2"/>
    <w:rsid w:val="006200EB"/>
    <w:rPr>
      <w:rFonts w:asciiTheme="majorHAnsi" w:eastAsiaTheme="majorEastAsia" w:hAnsiTheme="majorHAnsi" w:cstheme="majorBidi"/>
      <w:color w:val="3266AB"/>
      <w:sz w:val="22"/>
    </w:rPr>
  </w:style>
  <w:style w:type="character" w:customStyle="1" w:styleId="Heading7Char">
    <w:name w:val="Heading 7 Char"/>
    <w:basedOn w:val="DefaultParagraphFont"/>
    <w:link w:val="Heading7"/>
    <w:uiPriority w:val="2"/>
    <w:rsid w:val="006200EB"/>
    <w:rPr>
      <w:rFonts w:asciiTheme="majorHAnsi" w:eastAsiaTheme="majorEastAsia" w:hAnsiTheme="majorHAnsi" w:cstheme="majorBidi"/>
      <w:b/>
      <w:bCs/>
      <w:color w:val="3266AB"/>
      <w:sz w:val="22"/>
    </w:rPr>
  </w:style>
  <w:style w:type="character" w:customStyle="1" w:styleId="Heading8Char">
    <w:name w:val="Heading 8 Char"/>
    <w:basedOn w:val="DefaultParagraphFont"/>
    <w:link w:val="Heading8"/>
    <w:uiPriority w:val="2"/>
    <w:rsid w:val="006200EB"/>
    <w:rPr>
      <w:rFonts w:asciiTheme="majorHAnsi" w:eastAsiaTheme="majorEastAsia" w:hAnsiTheme="majorHAnsi" w:cstheme="majorBidi"/>
      <w:b/>
      <w:bCs/>
      <w:i/>
      <w:iCs/>
      <w:color w:val="3266AB"/>
      <w:sz w:val="20"/>
      <w:szCs w:val="20"/>
    </w:rPr>
  </w:style>
  <w:style w:type="character" w:customStyle="1" w:styleId="Heading9Char">
    <w:name w:val="Heading 9 Char"/>
    <w:basedOn w:val="DefaultParagraphFont"/>
    <w:link w:val="Heading9"/>
    <w:uiPriority w:val="2"/>
    <w:rsid w:val="006200EB"/>
    <w:rPr>
      <w:rFonts w:asciiTheme="majorHAnsi" w:eastAsiaTheme="majorEastAsia" w:hAnsiTheme="majorHAnsi" w:cstheme="majorBidi"/>
      <w:i/>
      <w:iCs/>
      <w:color w:val="3266AB"/>
      <w:sz w:val="20"/>
      <w:szCs w:val="20"/>
    </w:rPr>
  </w:style>
  <w:style w:type="paragraph" w:styleId="Subtitle">
    <w:name w:val="Subtitle"/>
    <w:basedOn w:val="Normal"/>
    <w:next w:val="Normal"/>
    <w:link w:val="SubtitleChar"/>
    <w:uiPriority w:val="19"/>
    <w:rsid w:val="00F957C6"/>
    <w:pPr>
      <w:numPr>
        <w:ilvl w:val="1"/>
      </w:numPr>
      <w:spacing w:line="240" w:lineRule="auto"/>
    </w:pPr>
    <w:rPr>
      <w:rFonts w:eastAsiaTheme="majorEastAsia" w:cstheme="minorHAnsi"/>
      <w:noProof/>
      <w:sz w:val="28"/>
      <w:szCs w:val="30"/>
    </w:rPr>
  </w:style>
  <w:style w:type="character" w:customStyle="1" w:styleId="SubtitleChar">
    <w:name w:val="Subtitle Char"/>
    <w:basedOn w:val="DefaultParagraphFont"/>
    <w:link w:val="Subtitle"/>
    <w:uiPriority w:val="19"/>
    <w:rsid w:val="00E2753F"/>
    <w:rPr>
      <w:rFonts w:eastAsiaTheme="majorEastAsia" w:cstheme="minorHAnsi"/>
      <w:noProof/>
      <w:sz w:val="28"/>
      <w:szCs w:val="30"/>
    </w:rPr>
  </w:style>
  <w:style w:type="paragraph" w:styleId="NoSpacing">
    <w:name w:val="No Spacing"/>
    <w:uiPriority w:val="98"/>
    <w:unhideWhenUsed/>
    <w:rsid w:val="00D525B8"/>
    <w:pPr>
      <w:spacing w:after="0" w:line="240" w:lineRule="auto"/>
    </w:pPr>
  </w:style>
  <w:style w:type="paragraph" w:styleId="Caption">
    <w:name w:val="caption"/>
    <w:basedOn w:val="Normal"/>
    <w:next w:val="Normal"/>
    <w:uiPriority w:val="35"/>
    <w:semiHidden/>
    <w:unhideWhenUsed/>
    <w:qFormat/>
    <w:rsid w:val="00D525B8"/>
    <w:pPr>
      <w:spacing w:line="240" w:lineRule="auto"/>
    </w:pPr>
    <w:rPr>
      <w:b/>
      <w:bCs/>
      <w:smallCaps/>
      <w:color w:val="595959" w:themeColor="text1" w:themeTint="A6"/>
    </w:rPr>
  </w:style>
  <w:style w:type="character" w:styleId="Strong">
    <w:name w:val="Strong"/>
    <w:basedOn w:val="DefaultParagraphFont"/>
    <w:uiPriority w:val="22"/>
    <w:unhideWhenUsed/>
    <w:qFormat/>
    <w:rsid w:val="00D525B8"/>
    <w:rPr>
      <w:b/>
      <w:bCs/>
    </w:rPr>
  </w:style>
  <w:style w:type="character" w:styleId="Emphasis">
    <w:name w:val="Emphasis"/>
    <w:basedOn w:val="DefaultParagraphFont"/>
    <w:uiPriority w:val="20"/>
    <w:unhideWhenUsed/>
    <w:qFormat/>
    <w:rsid w:val="005C0F15"/>
    <w:rPr>
      <w:i/>
      <w:iCs/>
      <w:color w:val="auto"/>
    </w:rPr>
  </w:style>
  <w:style w:type="paragraph" w:styleId="Quote">
    <w:name w:val="Quote"/>
    <w:basedOn w:val="Normal"/>
    <w:next w:val="Normal"/>
    <w:link w:val="QuoteChar"/>
    <w:uiPriority w:val="16"/>
    <w:qFormat/>
    <w:rsid w:val="00857363"/>
    <w:pPr>
      <w:spacing w:before="240"/>
      <w:ind w:left="720" w:right="720"/>
    </w:pPr>
    <w:rPr>
      <w:i/>
      <w:iCs/>
      <w:color w:val="3266AB"/>
    </w:rPr>
  </w:style>
  <w:style w:type="character" w:customStyle="1" w:styleId="QuoteChar">
    <w:name w:val="Quote Char"/>
    <w:basedOn w:val="DefaultParagraphFont"/>
    <w:link w:val="Quote"/>
    <w:uiPriority w:val="16"/>
    <w:rsid w:val="00857363"/>
    <w:rPr>
      <w:i/>
      <w:iCs/>
      <w:color w:val="3266AB"/>
      <w:sz w:val="22"/>
    </w:rPr>
  </w:style>
  <w:style w:type="paragraph" w:styleId="IntenseQuote">
    <w:name w:val="Intense Quote"/>
    <w:basedOn w:val="Normal"/>
    <w:next w:val="Normal"/>
    <w:link w:val="IntenseQuoteChar"/>
    <w:uiPriority w:val="17"/>
    <w:qFormat/>
    <w:rsid w:val="00857363"/>
    <w:pPr>
      <w:spacing w:before="120"/>
      <w:ind w:left="720" w:right="720"/>
    </w:pPr>
    <w:rPr>
      <w:rFonts w:asciiTheme="majorHAnsi" w:eastAsiaTheme="majorEastAsia" w:hAnsiTheme="majorHAnsi" w:cstheme="majorBidi"/>
      <w:i/>
      <w:iCs/>
      <w:color w:val="3266AB"/>
      <w:sz w:val="32"/>
      <w:szCs w:val="32"/>
    </w:rPr>
  </w:style>
  <w:style w:type="character" w:customStyle="1" w:styleId="IntenseQuoteChar">
    <w:name w:val="Intense Quote Char"/>
    <w:basedOn w:val="DefaultParagraphFont"/>
    <w:link w:val="IntenseQuote"/>
    <w:uiPriority w:val="17"/>
    <w:rsid w:val="00857363"/>
    <w:rPr>
      <w:rFonts w:asciiTheme="majorHAnsi" w:eastAsiaTheme="majorEastAsia" w:hAnsiTheme="majorHAnsi" w:cstheme="majorBidi"/>
      <w:i/>
      <w:iCs/>
      <w:color w:val="3266AB"/>
      <w:sz w:val="32"/>
      <w:szCs w:val="32"/>
    </w:rPr>
  </w:style>
  <w:style w:type="character" w:styleId="SubtleEmphasis">
    <w:name w:val="Subtle Emphasis"/>
    <w:basedOn w:val="DefaultParagraphFont"/>
    <w:uiPriority w:val="19"/>
    <w:semiHidden/>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D525B8"/>
    <w:rPr>
      <w:smallCaps/>
      <w:color w:val="595959" w:themeColor="text1" w:themeTint="A6"/>
    </w:rPr>
  </w:style>
  <w:style w:type="character" w:styleId="IntenseReference">
    <w:name w:val="Intense Reference"/>
    <w:basedOn w:val="DefaultParagraphFont"/>
    <w:uiPriority w:val="32"/>
    <w:unhideWhenUsed/>
    <w:rsid w:val="006200EB"/>
    <w:rPr>
      <w:b/>
      <w:bCs/>
      <w:smallCaps/>
      <w:color w:val="3266AB"/>
    </w:rPr>
  </w:style>
  <w:style w:type="paragraph" w:styleId="TOCHeading">
    <w:name w:val="TOC Heading"/>
    <w:basedOn w:val="Heading1"/>
    <w:next w:val="Normal"/>
    <w:uiPriority w:val="39"/>
    <w:unhideWhenUsed/>
    <w:rsid w:val="00D525B8"/>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rsid w:val="002C7A05"/>
    <w:pPr>
      <w:jc w:val="center"/>
    </w:pPr>
    <w:rPr>
      <w:rFonts w:ascii="Segoe UI" w:hAnsi="Segoe UI"/>
      <w:caps/>
      <w:color w:val="C00000"/>
      <w:sz w:val="18"/>
    </w:rPr>
  </w:style>
  <w:style w:type="paragraph" w:customStyle="1" w:styleId="BOXHeading2">
    <w:name w:val="BOX Heading 2"/>
    <w:basedOn w:val="Heading2"/>
    <w:next w:val="BOXText"/>
    <w:uiPriority w:val="6"/>
    <w:qFormat/>
    <w:rsid w:val="00857363"/>
    <w:pPr>
      <w:pBdr>
        <w:top w:val="single" w:sz="48" w:space="1" w:color="E0E8F2"/>
        <w:left w:val="single" w:sz="48" w:space="4" w:color="E0E8F2"/>
        <w:bottom w:val="single" w:sz="48" w:space="1" w:color="E0E8F2"/>
        <w:right w:val="single" w:sz="48" w:space="4" w:color="E0E8F2"/>
      </w:pBdr>
      <w:shd w:val="clear" w:color="auto" w:fill="E0E8F2"/>
      <w:ind w:left="227" w:right="227"/>
    </w:pPr>
  </w:style>
  <w:style w:type="character" w:customStyle="1" w:styleId="CLASSIFICATIONChar">
    <w:name w:val="CLASSIFICATION Char"/>
    <w:basedOn w:val="DefaultParagraphFont"/>
    <w:link w:val="CLASSIFICATION"/>
    <w:uiPriority w:val="99"/>
    <w:rsid w:val="00E2753F"/>
    <w:rPr>
      <w:rFonts w:ascii="Segoe UI" w:hAnsi="Segoe UI"/>
      <w:caps/>
      <w:color w:val="C00000"/>
      <w:sz w:val="18"/>
    </w:rPr>
  </w:style>
  <w:style w:type="paragraph" w:customStyle="1" w:styleId="BOXText">
    <w:name w:val="BOX Text"/>
    <w:basedOn w:val="Normal"/>
    <w:uiPriority w:val="4"/>
    <w:qFormat/>
    <w:rsid w:val="006147EB"/>
    <w:pPr>
      <w:pBdr>
        <w:top w:val="single" w:sz="48" w:space="1" w:color="E0E8F2"/>
        <w:left w:val="single" w:sz="48" w:space="4" w:color="E0E8F2"/>
        <w:bottom w:val="single" w:sz="48" w:space="1" w:color="E0E8F2"/>
        <w:right w:val="single" w:sz="48" w:space="4" w:color="E0E8F2"/>
      </w:pBdr>
      <w:shd w:val="clear" w:color="auto" w:fill="E0E8F2"/>
      <w:tabs>
        <w:tab w:val="left" w:pos="3300"/>
      </w:tabs>
      <w:ind w:left="227" w:right="227"/>
    </w:pPr>
  </w:style>
  <w:style w:type="paragraph" w:customStyle="1" w:styleId="BOXBulletedList">
    <w:name w:val="BOX Bulleted List"/>
    <w:basedOn w:val="BOXText"/>
    <w:uiPriority w:val="5"/>
    <w:qFormat/>
    <w:rsid w:val="00BD171D"/>
    <w:pPr>
      <w:numPr>
        <w:numId w:val="1"/>
      </w:numPr>
      <w:ind w:left="511"/>
    </w:pPr>
  </w:style>
  <w:style w:type="table" w:styleId="TableGrid">
    <w:name w:val="Table Grid"/>
    <w:basedOn w:val="TableNormal"/>
    <w:uiPriority w:val="39"/>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D57F5"/>
    <w:pPr>
      <w:spacing w:after="0" w:line="240" w:lineRule="auto"/>
    </w:pPr>
    <w:tblPr>
      <w:tblStyleRowBandSize w:val="1"/>
      <w:tblStyleColBandSize w:val="1"/>
      <w:tblBorders>
        <w:top w:val="single" w:sz="4" w:space="0" w:color="4980C9" w:themeColor="accent1" w:themeTint="99"/>
        <w:left w:val="single" w:sz="4" w:space="0" w:color="4980C9" w:themeColor="accent1" w:themeTint="99"/>
        <w:bottom w:val="single" w:sz="4" w:space="0" w:color="4980C9" w:themeColor="accent1" w:themeTint="99"/>
        <w:right w:val="single" w:sz="4" w:space="0" w:color="4980C9" w:themeColor="accent1" w:themeTint="99"/>
        <w:insideH w:val="single" w:sz="4" w:space="0" w:color="4980C9" w:themeColor="accent1" w:themeTint="99"/>
      </w:tblBorders>
    </w:tblPr>
    <w:tblStylePr w:type="firstRow">
      <w:rPr>
        <w:b/>
        <w:bCs/>
        <w:color w:val="FFFFFF" w:themeColor="background1"/>
      </w:rPr>
      <w:tblPr/>
      <w:tcPr>
        <w:tcBorders>
          <w:top w:val="single" w:sz="4" w:space="0" w:color="1B375C" w:themeColor="accent1"/>
          <w:left w:val="single" w:sz="4" w:space="0" w:color="1B375C" w:themeColor="accent1"/>
          <w:bottom w:val="single" w:sz="4" w:space="0" w:color="1B375C" w:themeColor="accent1"/>
          <w:right w:val="single" w:sz="4" w:space="0" w:color="1B375C" w:themeColor="accent1"/>
          <w:insideH w:val="nil"/>
        </w:tcBorders>
        <w:shd w:val="clear" w:color="auto" w:fill="1B375C" w:themeFill="accent1"/>
      </w:tcPr>
    </w:tblStylePr>
    <w:tblStylePr w:type="lastRow">
      <w:rPr>
        <w:b/>
        <w:bCs/>
      </w:rPr>
      <w:tblPr/>
      <w:tcPr>
        <w:tcBorders>
          <w:top w:val="double" w:sz="4" w:space="0" w:color="4980C9" w:themeColor="accent1" w:themeTint="99"/>
        </w:tcBorders>
      </w:tcPr>
    </w:tblStylePr>
    <w:tblStylePr w:type="firstCol">
      <w:rPr>
        <w:b/>
        <w:bCs/>
      </w:rPr>
    </w:tblStylePr>
    <w:tblStylePr w:type="lastCol">
      <w:rPr>
        <w:b/>
        <w:bCs/>
      </w:rPr>
    </w:tblStylePr>
    <w:tblStylePr w:type="band1Vert">
      <w:tblPr/>
      <w:tcPr>
        <w:shd w:val="clear" w:color="auto" w:fill="C2D4ED" w:themeFill="accent1" w:themeFillTint="33"/>
      </w:tcPr>
    </w:tblStylePr>
    <w:tblStylePr w:type="band1Horz">
      <w:tblPr/>
      <w:tcPr>
        <w:shd w:val="clear" w:color="auto" w:fill="C2D4ED" w:themeFill="accent1" w:themeFillTint="33"/>
      </w:tcPr>
    </w:tblStylePr>
  </w:style>
  <w:style w:type="paragraph" w:customStyle="1" w:styleId="Figure">
    <w:name w:val="Figure"/>
    <w:basedOn w:val="Normal"/>
    <w:uiPriority w:val="2"/>
    <w:qFormat/>
    <w:rsid w:val="006147EB"/>
    <w:pPr>
      <w:numPr>
        <w:numId w:val="6"/>
      </w:numPr>
      <w:spacing w:before="240"/>
    </w:pPr>
    <w:rPr>
      <w:rFonts w:ascii="Segoe UI" w:hAnsi="Segoe UI" w:cs="Segoe UI"/>
      <w:color w:val="3266AB"/>
    </w:rPr>
  </w:style>
  <w:style w:type="paragraph" w:customStyle="1" w:styleId="TBLHeading">
    <w:name w:val="TBL Heading"/>
    <w:basedOn w:val="Normal"/>
    <w:autoRedefine/>
    <w:uiPriority w:val="11"/>
    <w:qFormat/>
    <w:rsid w:val="007C03C9"/>
    <w:pPr>
      <w:spacing w:after="0" w:line="240" w:lineRule="auto"/>
    </w:pPr>
    <w:rPr>
      <w:rFonts w:ascii="Segoe UI" w:hAnsi="Segoe UI" w:cs="Segoe UI"/>
      <w:b/>
      <w:bCs/>
      <w:color w:val="FFFFFF" w:themeColor="background1"/>
      <w:szCs w:val="22"/>
      <w:lang w:val="en-US"/>
    </w:rPr>
  </w:style>
  <w:style w:type="paragraph" w:customStyle="1" w:styleId="TBLText">
    <w:name w:val="TBL Text"/>
    <w:basedOn w:val="Normal"/>
    <w:uiPriority w:val="9"/>
    <w:qFormat/>
    <w:rsid w:val="0051068B"/>
    <w:pPr>
      <w:spacing w:after="0" w:line="240" w:lineRule="auto"/>
    </w:pPr>
    <w:rPr>
      <w:sz w:val="18"/>
      <w:szCs w:val="18"/>
    </w:rPr>
  </w:style>
  <w:style w:type="paragraph" w:customStyle="1" w:styleId="TBLBulletedList">
    <w:name w:val="TBL Bulleted List"/>
    <w:basedOn w:val="TBLText"/>
    <w:uiPriority w:val="10"/>
    <w:qFormat/>
    <w:rsid w:val="001B2D56"/>
    <w:pPr>
      <w:numPr>
        <w:numId w:val="2"/>
      </w:numPr>
      <w:ind w:left="206" w:hanging="206"/>
    </w:pPr>
  </w:style>
  <w:style w:type="paragraph" w:customStyle="1" w:styleId="TBLNumberedList">
    <w:name w:val="TBL Numbered List"/>
    <w:basedOn w:val="TBLText"/>
    <w:uiPriority w:val="10"/>
    <w:qFormat/>
    <w:rsid w:val="00E05FA4"/>
    <w:pPr>
      <w:numPr>
        <w:numId w:val="3"/>
      </w:numPr>
      <w:ind w:left="270" w:hanging="270"/>
    </w:pPr>
  </w:style>
  <w:style w:type="paragraph" w:customStyle="1" w:styleId="BOXHeading3">
    <w:name w:val="BOX Heading 3"/>
    <w:basedOn w:val="BOXHeading2"/>
    <w:next w:val="BOXText"/>
    <w:uiPriority w:val="6"/>
    <w:qFormat/>
    <w:rsid w:val="00857363"/>
    <w:pPr>
      <w:outlineLvl w:val="2"/>
    </w:pPr>
    <w:rPr>
      <w:rFonts w:asciiTheme="minorHAnsi" w:hAnsiTheme="minorHAnsi" w:cstheme="minorHAnsi"/>
      <w:b/>
      <w:sz w:val="24"/>
      <w:szCs w:val="26"/>
    </w:rPr>
  </w:style>
  <w:style w:type="paragraph" w:styleId="ListParagraph">
    <w:name w:val="List Paragraph"/>
    <w:aliases w:val="Bullet 1,Bullet Points,CV text,Colorful List - Accent 11,Dot pt,F5 List Paragraph,Indicator Text,L,List Paragraph Char Char Char,List Paragraph1,List Paragraph11,List Paragraph12,MAIN CONTENT,No Spacing1,Recommendation,bullet point list,列"/>
    <w:basedOn w:val="Normal"/>
    <w:link w:val="ListParagraphChar"/>
    <w:uiPriority w:val="34"/>
    <w:unhideWhenUsed/>
    <w:qFormat/>
    <w:rsid w:val="005917FD"/>
    <w:pPr>
      <w:ind w:left="720"/>
      <w:contextualSpacing/>
    </w:pPr>
  </w:style>
  <w:style w:type="paragraph" w:customStyle="1" w:styleId="BulletedList-Level1">
    <w:name w:val="Bulleted List - Level 1"/>
    <w:basedOn w:val="ListParagraph"/>
    <w:uiPriority w:val="1"/>
    <w:qFormat/>
    <w:rsid w:val="00BD171D"/>
    <w:pPr>
      <w:numPr>
        <w:numId w:val="4"/>
      </w:numPr>
      <w:ind w:left="568" w:hanging="284"/>
    </w:pPr>
  </w:style>
  <w:style w:type="paragraph" w:customStyle="1" w:styleId="BulletedList-Level2">
    <w:name w:val="Bulleted List - Level 2"/>
    <w:basedOn w:val="BulletedList-Level1"/>
    <w:uiPriority w:val="1"/>
    <w:qFormat/>
    <w:rsid w:val="00BD171D"/>
    <w:pPr>
      <w:numPr>
        <w:numId w:val="9"/>
      </w:numPr>
    </w:pPr>
  </w:style>
  <w:style w:type="paragraph" w:customStyle="1" w:styleId="BulletedList-Level3">
    <w:name w:val="Bulleted List - Level 3"/>
    <w:basedOn w:val="ListParagraph"/>
    <w:uiPriority w:val="1"/>
    <w:qFormat/>
    <w:rsid w:val="00BD171D"/>
    <w:pPr>
      <w:numPr>
        <w:numId w:val="10"/>
      </w:numPr>
      <w:ind w:left="1135" w:hanging="284"/>
    </w:pPr>
  </w:style>
  <w:style w:type="paragraph" w:customStyle="1" w:styleId="NumberedList-Level1">
    <w:name w:val="Numbered List - Level 1"/>
    <w:basedOn w:val="ListParagraph"/>
    <w:uiPriority w:val="1"/>
    <w:qFormat/>
    <w:rsid w:val="00BD171D"/>
    <w:pPr>
      <w:numPr>
        <w:numId w:val="5"/>
      </w:numPr>
    </w:pPr>
  </w:style>
  <w:style w:type="paragraph" w:customStyle="1" w:styleId="NumberedList-level2">
    <w:name w:val="Numbered List - level 2"/>
    <w:basedOn w:val="ListParagraph"/>
    <w:uiPriority w:val="1"/>
    <w:qFormat/>
    <w:rsid w:val="00BD171D"/>
    <w:pPr>
      <w:numPr>
        <w:ilvl w:val="1"/>
        <w:numId w:val="5"/>
      </w:numPr>
    </w:pPr>
  </w:style>
  <w:style w:type="paragraph" w:customStyle="1" w:styleId="NumberedList-Level3">
    <w:name w:val="Numbered List - Level 3"/>
    <w:basedOn w:val="ListParagraph"/>
    <w:uiPriority w:val="1"/>
    <w:qFormat/>
    <w:rsid w:val="00BD171D"/>
    <w:pPr>
      <w:numPr>
        <w:ilvl w:val="2"/>
        <w:numId w:val="5"/>
      </w:numPr>
    </w:pPr>
  </w:style>
  <w:style w:type="paragraph" w:customStyle="1" w:styleId="BoxDark-HeadingLevel1">
    <w:name w:val="Box Dark - Heading Level 1"/>
    <w:basedOn w:val="BOXHeading2"/>
    <w:uiPriority w:val="9"/>
    <w:rsid w:val="00311C2D"/>
    <w:p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pPr>
    <w:rPr>
      <w:color w:val="FFFFFF" w:themeColor="background1"/>
    </w:rPr>
  </w:style>
  <w:style w:type="paragraph" w:styleId="TOC1">
    <w:name w:val="toc 1"/>
    <w:basedOn w:val="Normal"/>
    <w:next w:val="Normal"/>
    <w:autoRedefine/>
    <w:uiPriority w:val="39"/>
    <w:unhideWhenUsed/>
    <w:rsid w:val="00117A77"/>
    <w:pPr>
      <w:spacing w:after="100"/>
    </w:pPr>
  </w:style>
  <w:style w:type="paragraph" w:styleId="TOC2">
    <w:name w:val="toc 2"/>
    <w:basedOn w:val="Normal"/>
    <w:next w:val="Normal"/>
    <w:autoRedefine/>
    <w:uiPriority w:val="39"/>
    <w:unhideWhenUsed/>
    <w:rsid w:val="00117A77"/>
    <w:pPr>
      <w:spacing w:after="100"/>
      <w:ind w:left="220"/>
    </w:pPr>
  </w:style>
  <w:style w:type="paragraph" w:styleId="TOC3">
    <w:name w:val="toc 3"/>
    <w:basedOn w:val="Normal"/>
    <w:next w:val="Normal"/>
    <w:autoRedefine/>
    <w:uiPriority w:val="39"/>
    <w:unhideWhenUsed/>
    <w:rsid w:val="00117A77"/>
    <w:pPr>
      <w:spacing w:after="100"/>
      <w:ind w:left="440"/>
    </w:pPr>
  </w:style>
  <w:style w:type="character" w:styleId="Hyperlink">
    <w:name w:val="Hyperlink"/>
    <w:basedOn w:val="DefaultParagraphFont"/>
    <w:uiPriority w:val="99"/>
    <w:unhideWhenUsed/>
    <w:rsid w:val="00117A77"/>
    <w:rPr>
      <w:color w:val="3266AB" w:themeColor="hyperlink"/>
      <w:u w:val="single"/>
    </w:rPr>
  </w:style>
  <w:style w:type="paragraph" w:customStyle="1" w:styleId="BoxDark-HeadingLevel3">
    <w:name w:val="Box Dark - Heading Level 3"/>
    <w:basedOn w:val="BOXHeading3"/>
    <w:uiPriority w:val="9"/>
    <w:rsid w:val="00311C2D"/>
    <w:p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pPr>
    <w:rPr>
      <w:color w:val="FFFFFF" w:themeColor="background1"/>
    </w:rPr>
  </w:style>
  <w:style w:type="paragraph" w:customStyle="1" w:styleId="BoxDark-Text">
    <w:name w:val="Box Dark - Text"/>
    <w:basedOn w:val="BOXText"/>
    <w:uiPriority w:val="7"/>
    <w:rsid w:val="00FE2C7F"/>
    <w:p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pPr>
    <w:rPr>
      <w:rFonts w:ascii="Segoe UI Semilight" w:hAnsi="Segoe UI Semilight"/>
      <w:color w:val="FFFFFF" w:themeColor="background1"/>
    </w:rPr>
  </w:style>
  <w:style w:type="paragraph" w:customStyle="1" w:styleId="BoxDark-BulletedList">
    <w:name w:val="Box Dark - Bulleted List"/>
    <w:basedOn w:val="BOXBulletedList"/>
    <w:uiPriority w:val="8"/>
    <w:rsid w:val="00FE2C7F"/>
    <w:p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pPr>
    <w:rPr>
      <w:rFonts w:ascii="Segoe UI Semilight" w:hAnsi="Segoe UI Semilight"/>
    </w:rPr>
  </w:style>
  <w:style w:type="paragraph" w:customStyle="1" w:styleId="BOXNumberedList">
    <w:name w:val="BOX Numbered List"/>
    <w:basedOn w:val="BOXText"/>
    <w:uiPriority w:val="5"/>
    <w:qFormat/>
    <w:rsid w:val="00BD171D"/>
    <w:pPr>
      <w:numPr>
        <w:numId w:val="7"/>
      </w:numPr>
      <w:ind w:left="584" w:hanging="357"/>
    </w:pPr>
  </w:style>
  <w:style w:type="paragraph" w:customStyle="1" w:styleId="BoxDark-NumberedList">
    <w:name w:val="Box Dark - Numbered List"/>
    <w:basedOn w:val="BOXNumberedList"/>
    <w:uiPriority w:val="8"/>
    <w:rsid w:val="00FE2C7F"/>
    <w:pPr>
      <w:numPr>
        <w:numId w:val="8"/>
      </w:num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ind w:left="584" w:hanging="357"/>
    </w:pPr>
  </w:style>
  <w:style w:type="table" w:customStyle="1" w:styleId="Custom1">
    <w:name w:val="Custom 1"/>
    <w:basedOn w:val="TableNormal"/>
    <w:uiPriority w:val="99"/>
    <w:rsid w:val="001611BF"/>
    <w:pPr>
      <w:spacing w:after="0" w:line="240" w:lineRule="auto"/>
    </w:pPr>
    <w:rPr>
      <w:sz w:val="18"/>
    </w:rPr>
    <w:tblPr>
      <w:tblStyleRowBandSize w:val="1"/>
      <w:tblBorders>
        <w:top w:val="single" w:sz="4" w:space="0" w:color="1B375C" w:themeColor="accent1"/>
        <w:bottom w:val="single" w:sz="12" w:space="0" w:color="1B375C" w:themeColor="accent1"/>
        <w:insideH w:val="single" w:sz="4" w:space="0" w:color="1B375C" w:themeColor="accent1"/>
      </w:tblBorders>
      <w:tblCellMar>
        <w:top w:w="57" w:type="dxa"/>
        <w:bottom w:w="57" w:type="dxa"/>
      </w:tblCellMar>
    </w:tblPr>
    <w:tblStylePr w:type="firstRow">
      <w:rPr>
        <w:rFonts w:asciiTheme="minorHAnsi" w:hAnsiTheme="minorHAnsi"/>
        <w:b/>
        <w:sz w:val="18"/>
      </w:rPr>
      <w:tblPr/>
      <w:tcPr>
        <w:shd w:val="clear" w:color="auto" w:fill="1B375C" w:themeFill="accent1"/>
      </w:tcPr>
    </w:tblStylePr>
    <w:tblStylePr w:type="band1Horz">
      <w:tblPr/>
      <w:tcPr>
        <w:shd w:val="clear" w:color="auto" w:fill="E0E8F2" w:themeFill="background2"/>
      </w:tcPr>
    </w:tblStylePr>
  </w:style>
  <w:style w:type="table" w:customStyle="1" w:styleId="Style1">
    <w:name w:val="Style1"/>
    <w:basedOn w:val="Custom1"/>
    <w:uiPriority w:val="99"/>
    <w:rsid w:val="00BD6B97"/>
    <w:tblPr>
      <w:tblBorders>
        <w:top w:val="none" w:sz="0" w:space="0" w:color="auto"/>
        <w:left w:val="single" w:sz="4" w:space="0" w:color="1B375C" w:themeColor="accent1"/>
        <w:bottom w:val="single" w:sz="4" w:space="0" w:color="1B375C" w:themeColor="accent1"/>
        <w:right w:val="single" w:sz="4" w:space="0" w:color="1B375C" w:themeColor="accent1"/>
        <w:insideH w:val="none" w:sz="0" w:space="0" w:color="auto"/>
        <w:insideV w:val="single" w:sz="4" w:space="0" w:color="1B375C" w:themeColor="accent1"/>
      </w:tblBorders>
    </w:tblPr>
    <w:tblStylePr w:type="firstRow">
      <w:rPr>
        <w:rFonts w:asciiTheme="minorHAnsi" w:hAnsiTheme="minorHAnsi"/>
        <w:b/>
        <w:sz w:val="18"/>
      </w:rPr>
      <w:tblPr/>
      <w:tcPr>
        <w:shd w:val="clear" w:color="auto" w:fill="1B375C" w:themeFill="accent1"/>
      </w:tcPr>
    </w:tblStylePr>
    <w:tblStylePr w:type="firstCol">
      <w:rPr>
        <w:b/>
      </w:rPr>
      <w:tblPr/>
      <w:tcPr>
        <w:shd w:val="clear" w:color="auto" w:fill="1B375C" w:themeFill="accent1"/>
      </w:tcPr>
    </w:tblStylePr>
    <w:tblStylePr w:type="band1Horz">
      <w:tblPr/>
      <w:tcPr>
        <w:shd w:val="clear" w:color="auto" w:fill="E0E8F2" w:themeFill="background2"/>
      </w:tcPr>
    </w:tblStylePr>
  </w:style>
  <w:style w:type="character" w:customStyle="1" w:styleId="normaltextrun">
    <w:name w:val="normaltextrun"/>
    <w:basedOn w:val="DefaultParagraphFont"/>
    <w:rsid w:val="00D76F3C"/>
  </w:style>
  <w:style w:type="character" w:customStyle="1" w:styleId="eop">
    <w:name w:val="eop"/>
    <w:basedOn w:val="DefaultParagraphFont"/>
    <w:rsid w:val="00D76F3C"/>
  </w:style>
  <w:style w:type="character" w:customStyle="1" w:styleId="ListParagraphChar">
    <w:name w:val="List Paragraph Char"/>
    <w:aliases w:val="Bullet 1 Char,Bullet Points Char,CV text Char,Colorful List - Accent 11 Char,Dot pt Char,F5 List Paragraph Char,Indicator Text Char,L Char,List Paragraph Char Char Char Char,List Paragraph1 Char,List Paragraph11 Char,No Spacing1 Char"/>
    <w:basedOn w:val="DefaultParagraphFont"/>
    <w:link w:val="ListParagraph"/>
    <w:uiPriority w:val="34"/>
    <w:qFormat/>
    <w:locked/>
    <w:rsid w:val="00D76F3C"/>
    <w:rPr>
      <w:sz w:val="22"/>
    </w:rPr>
  </w:style>
  <w:style w:type="paragraph" w:customStyle="1" w:styleId="paragraph">
    <w:name w:val="paragraph"/>
    <w:basedOn w:val="Normal"/>
    <w:rsid w:val="00D76F3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D76F3C"/>
    <w:rPr>
      <w:sz w:val="16"/>
      <w:szCs w:val="16"/>
    </w:rPr>
  </w:style>
  <w:style w:type="paragraph" w:styleId="CommentText">
    <w:name w:val="annotation text"/>
    <w:basedOn w:val="Normal"/>
    <w:link w:val="CommentTextChar"/>
    <w:uiPriority w:val="99"/>
    <w:semiHidden/>
    <w:unhideWhenUsed/>
    <w:rsid w:val="00D76F3C"/>
    <w:pPr>
      <w:spacing w:after="0"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D76F3C"/>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D76F3C"/>
    <w:pPr>
      <w:spacing w:after="160"/>
    </w:pPr>
    <w:rPr>
      <w:rFonts w:eastAsiaTheme="minorEastAsia"/>
      <w:b/>
      <w:bCs/>
    </w:rPr>
  </w:style>
  <w:style w:type="character" w:customStyle="1" w:styleId="CommentSubjectChar">
    <w:name w:val="Comment Subject Char"/>
    <w:basedOn w:val="CommentTextChar"/>
    <w:link w:val="CommentSubject"/>
    <w:uiPriority w:val="99"/>
    <w:semiHidden/>
    <w:rsid w:val="00D76F3C"/>
    <w:rPr>
      <w:rFonts w:eastAsiaTheme="minorHAnsi"/>
      <w:b/>
      <w:bCs/>
      <w:sz w:val="20"/>
      <w:szCs w:val="20"/>
    </w:rPr>
  </w:style>
  <w:style w:type="paragraph" w:styleId="Revision">
    <w:name w:val="Revision"/>
    <w:hidden/>
    <w:uiPriority w:val="99"/>
    <w:semiHidden/>
    <w:rsid w:val="00AA3A84"/>
    <w:pPr>
      <w:spacing w:after="0" w:line="240" w:lineRule="auto"/>
    </w:pPr>
    <w:rPr>
      <w:sz w:val="22"/>
    </w:rPr>
  </w:style>
  <w:style w:type="paragraph" w:styleId="NormalWeb">
    <w:name w:val="Normal (Web)"/>
    <w:basedOn w:val="Normal"/>
    <w:uiPriority w:val="99"/>
    <w:unhideWhenUsed/>
    <w:rsid w:val="0041135B"/>
    <w:pPr>
      <w:spacing w:before="100" w:beforeAutospacing="1" w:after="100" w:afterAutospacing="1" w:line="240" w:lineRule="auto"/>
    </w:pPr>
    <w:rPr>
      <w:rFonts w:ascii="Times New Roman" w:eastAsiaTheme="minorHAnsi"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507232">
      <w:bodyDiv w:val="1"/>
      <w:marLeft w:val="0"/>
      <w:marRight w:val="0"/>
      <w:marTop w:val="0"/>
      <w:marBottom w:val="0"/>
      <w:divBdr>
        <w:top w:val="none" w:sz="0" w:space="0" w:color="auto"/>
        <w:left w:val="none" w:sz="0" w:space="0" w:color="auto"/>
        <w:bottom w:val="none" w:sz="0" w:space="0" w:color="auto"/>
        <w:right w:val="none" w:sz="0" w:space="0" w:color="auto"/>
      </w:divBdr>
    </w:div>
    <w:div w:id="1624340235">
      <w:bodyDiv w:val="1"/>
      <w:marLeft w:val="0"/>
      <w:marRight w:val="0"/>
      <w:marTop w:val="0"/>
      <w:marBottom w:val="0"/>
      <w:divBdr>
        <w:top w:val="none" w:sz="0" w:space="0" w:color="auto"/>
        <w:left w:val="none" w:sz="0" w:space="0" w:color="auto"/>
        <w:bottom w:val="none" w:sz="0" w:space="0" w:color="auto"/>
        <w:right w:val="none" w:sz="0" w:space="0" w:color="auto"/>
      </w:divBdr>
    </w:div>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801876267">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cid:image011.png@01D9D5E6.217DFEC0" TargetMode="Externa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library.pmc.gov.au/wp-content/uploads/ccby.png" TargetMode="External"/><Relationship Id="rId20" Type="http://schemas.openxmlformats.org/officeDocument/2006/relationships/hyperlink" Target="http://www.pmc.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https://creativecommons.org/licenses/by/4.0/" TargetMode="External"/><Relationship Id="rId23" Type="http://schemas.openxmlformats.org/officeDocument/2006/relationships/footer" Target="footer2.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pmc.gov.au/cc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6980AEC25CD8745BB14EF6E1FB8C9E5"/>
        <w:category>
          <w:name w:val="General"/>
          <w:gallery w:val="placeholder"/>
        </w:category>
        <w:types>
          <w:type w:val="bbPlcHdr"/>
        </w:types>
        <w:behaviors>
          <w:behavior w:val="content"/>
        </w:behaviors>
        <w:guid w:val="{93E7E723-C37A-2343-AB28-403CBFEBC330}"/>
      </w:docPartPr>
      <w:docPartBody>
        <w:p w:rsidR="004A21F1" w:rsidRDefault="004A21F1">
          <w:pPr>
            <w:pStyle w:val="26980AEC25CD8745BB14EF6E1FB8C9E5"/>
          </w:pPr>
          <w:r w:rsidRPr="00B6525C">
            <w:rPr>
              <w:rStyle w:val="PlaceholderText"/>
            </w:rPr>
            <w:t>Choose an item.</w:t>
          </w:r>
        </w:p>
      </w:docPartBody>
    </w:docPart>
    <w:docPart>
      <w:docPartPr>
        <w:name w:val="9DEB9AC93688D64DBFD2DAFF48E31943"/>
        <w:category>
          <w:name w:val="General"/>
          <w:gallery w:val="placeholder"/>
        </w:category>
        <w:types>
          <w:type w:val="bbPlcHdr"/>
        </w:types>
        <w:behaviors>
          <w:behavior w:val="content"/>
        </w:behaviors>
        <w:guid w:val="{B2C10E8C-9126-BD45-B23C-2A6C2AD9BEA7}"/>
      </w:docPartPr>
      <w:docPartBody>
        <w:p w:rsidR="004A21F1" w:rsidRDefault="004A21F1">
          <w:pPr>
            <w:pStyle w:val="9DEB9AC93688D64DBFD2DAFF48E31943"/>
          </w:pPr>
          <w:r w:rsidRPr="00B6525C">
            <w:rPr>
              <w:rStyle w:val="PlaceholderText"/>
            </w:rPr>
            <w:t>Choose an item.</w:t>
          </w:r>
        </w:p>
      </w:docPartBody>
    </w:docPart>
    <w:docPart>
      <w:docPartPr>
        <w:name w:val="F3FACAD672991848A8AC8558E0CEEFAF"/>
        <w:category>
          <w:name w:val="General"/>
          <w:gallery w:val="placeholder"/>
        </w:category>
        <w:types>
          <w:type w:val="bbPlcHdr"/>
        </w:types>
        <w:behaviors>
          <w:behavior w:val="content"/>
        </w:behaviors>
        <w:guid w:val="{20D324FA-5931-ED4E-830B-C2F0A91A7593}"/>
      </w:docPartPr>
      <w:docPartBody>
        <w:p w:rsidR="004A21F1" w:rsidRDefault="004A21F1">
          <w:pPr>
            <w:pStyle w:val="F3FACAD672991848A8AC8558E0CEEFAF"/>
          </w:pPr>
          <w:r w:rsidRPr="00B6525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Segoe UI Semilight">
    <w:panose1 w:val="020B04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panose1 w:val="00000000000000000000"/>
    <w:charset w:val="80"/>
    <w:family w:val="roman"/>
    <w:notTrueType/>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1F1"/>
    <w:rsid w:val="0015298F"/>
    <w:rsid w:val="00210B1E"/>
    <w:rsid w:val="002F4914"/>
    <w:rsid w:val="00330991"/>
    <w:rsid w:val="0034293F"/>
    <w:rsid w:val="00441475"/>
    <w:rsid w:val="0045534B"/>
    <w:rsid w:val="004A21F1"/>
    <w:rsid w:val="00556AA0"/>
    <w:rsid w:val="005E5F72"/>
    <w:rsid w:val="0068376C"/>
    <w:rsid w:val="00764F39"/>
    <w:rsid w:val="007E0F62"/>
    <w:rsid w:val="00813647"/>
    <w:rsid w:val="00841FD5"/>
    <w:rsid w:val="00A61E9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AU" w:eastAsia="en-GB"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D4F01CE9D38744AB64E07D6668E746D">
    <w:name w:val="8D4F01CE9D38744AB64E07D6668E746D"/>
  </w:style>
  <w:style w:type="paragraph" w:customStyle="1" w:styleId="3FDF79DDCDA59A44AD11AEBB938F7BCA">
    <w:name w:val="3FDF79DDCDA59A44AD11AEBB938F7BCA"/>
  </w:style>
  <w:style w:type="paragraph" w:customStyle="1" w:styleId="59DD03C54294E64EBAB5F9564956F49C">
    <w:name w:val="59DD03C54294E64EBAB5F9564956F49C"/>
  </w:style>
  <w:style w:type="paragraph" w:customStyle="1" w:styleId="26980AEC25CD8745BB14EF6E1FB8C9E5">
    <w:name w:val="26980AEC25CD8745BB14EF6E1FB8C9E5"/>
  </w:style>
  <w:style w:type="paragraph" w:customStyle="1" w:styleId="9DEB9AC93688D64DBFD2DAFF48E31943">
    <w:name w:val="9DEB9AC93688D64DBFD2DAFF48E31943"/>
  </w:style>
  <w:style w:type="paragraph" w:customStyle="1" w:styleId="C7CC8071AD1EDA408EB4781168268B20">
    <w:name w:val="C7CC8071AD1EDA408EB4781168268B20"/>
  </w:style>
  <w:style w:type="paragraph" w:customStyle="1" w:styleId="F06F305D1CBC454BA2A874D9454A630F">
    <w:name w:val="F06F305D1CBC454BA2A874D9454A630F"/>
  </w:style>
  <w:style w:type="paragraph" w:customStyle="1" w:styleId="F3FACAD672991848A8AC8558E0CEEFAF">
    <w:name w:val="F3FACAD672991848A8AC8558E0CEEF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1">
      <a:dk1>
        <a:srgbClr val="000000"/>
      </a:dk1>
      <a:lt1>
        <a:srgbClr val="FFFFFF"/>
      </a:lt1>
      <a:dk2>
        <a:srgbClr val="0F1F35"/>
      </a:dk2>
      <a:lt2>
        <a:srgbClr val="E0E8F2"/>
      </a:lt2>
      <a:accent1>
        <a:srgbClr val="1B375C"/>
      </a:accent1>
      <a:accent2>
        <a:srgbClr val="778E61"/>
      </a:accent2>
      <a:accent3>
        <a:srgbClr val="F26337"/>
      </a:accent3>
      <a:accent4>
        <a:srgbClr val="4BADB0"/>
      </a:accent4>
      <a:accent5>
        <a:srgbClr val="B75B53"/>
      </a:accent5>
      <a:accent6>
        <a:srgbClr val="FCB76C"/>
      </a:accent6>
      <a:hlink>
        <a:srgbClr val="3266AB"/>
      </a:hlink>
      <a:folHlink>
        <a:srgbClr val="3266AB"/>
      </a:folHlink>
    </a:clrScheme>
    <a:fontScheme name="PM&amp;C 2022">
      <a:majorFont>
        <a:latin typeface="Times New Roman"/>
        <a:ea typeface=""/>
        <a:cs typeface=""/>
      </a:majorFont>
      <a:minorFont>
        <a:latin typeface="Segoe UI Semi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nRecordJustification xmlns="685f9fda-bd71-4433-b331-92feb9553089">None</NonRecordJustification>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166541c0-0594-4e6a-9105-c24d4b6de6f7">
      <Terms xmlns="http://schemas.microsoft.com/office/infopath/2007/PartnerControls"/>
    </jd1c641577414dfdab1686c9d5d0dbd0>
    <ShareHubID xmlns="166541c0-0594-4e6a-9105-c24d4b6de6f7">DOC23-264622</ShareHubID>
    <TaxCatchAll xmlns="166541c0-0594-4e6a-9105-c24d4b6de6f7">
      <Value>27</Value>
      <Value>18</Value>
      <Value>57</Value>
      <Value>56</Value>
    </TaxCatchAll>
    <PMCNotes xmlns="166541c0-0594-4e6a-9105-c24d4b6de6f7" xsi:nil="true"/>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Office for Women</TermName>
          <TermId xmlns="http://schemas.microsoft.com/office/infopath/2007/PartnerControls">2ac7638f-d370-4a6f-972a-9d52ccf99a74</TermId>
        </TermInfo>
        <TermInfo xmlns="http://schemas.microsoft.com/office/infopath/2007/PartnerControls">
          <TermName xmlns="http://schemas.microsoft.com/office/infopath/2007/PartnerControls">Official</TermName>
          <TermId xmlns="http://schemas.microsoft.com/office/infopath/2007/PartnerControls">f53c1d54-6e59-4b8b-8af5-a00f9baa8e57</TermId>
        </TermInfo>
        <TermInfo xmlns="http://schemas.microsoft.com/office/infopath/2007/PartnerControls">
          <TermName xmlns="http://schemas.microsoft.com/office/infopath/2007/PartnerControls">Cabinet</TermName>
          <TermId xmlns="http://schemas.microsoft.com/office/infopath/2007/PartnerControls">84cba657-17c1-4642-9e59-a0df180c2be5</TermId>
        </TermInfo>
      </Terms>
    </hc4a8f51d7584793bcee84017ea96cb3>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9531D-84C7-455E-9A48-6E92DCC519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ADC852-ACA5-4357-8DF2-13D3FBA5A403}">
  <ds:schemaRefs>
    <ds:schemaRef ds:uri="http://schemas.microsoft.com/sharepoint/v3/contenttype/forms"/>
  </ds:schemaRefs>
</ds:datastoreItem>
</file>

<file path=customXml/itemProps3.xml><?xml version="1.0" encoding="utf-8"?>
<ds:datastoreItem xmlns:ds="http://schemas.openxmlformats.org/officeDocument/2006/customXml" ds:itemID="{7E68257F-3727-458C-8C84-F6346EA04095}">
  <ds:schemaRefs>
    <ds:schemaRef ds:uri="http://schemas.microsoft.com/office/2006/documentManagement/types"/>
    <ds:schemaRef ds:uri="166541c0-0594-4e6a-9105-c24d4b6de6f7"/>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685f9fda-bd71-4433-b331-92feb9553089"/>
    <ds:schemaRef ds:uri="http://www.w3.org/XML/1998/namespace"/>
    <ds:schemaRef ds:uri="http://purl.org/dc/terms/"/>
  </ds:schemaRefs>
</ds:datastoreItem>
</file>

<file path=customXml/itemProps4.xml><?xml version="1.0" encoding="utf-8"?>
<ds:datastoreItem xmlns:ds="http://schemas.openxmlformats.org/officeDocument/2006/customXml" ds:itemID="{F05F624F-8A6D-4E1D-9D17-AA4371434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7308</Words>
  <Characters>41659</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Evaluation of the National Women’s Alliances Model</vt:lpstr>
    </vt:vector>
  </TitlesOfParts>
  <Manager/>
  <Company/>
  <LinksUpToDate>false</LinksUpToDate>
  <CharactersWithSpaces>48870</CharactersWithSpaces>
  <SharedDoc>false</SharedDoc>
  <HLinks>
    <vt:vector size="90" baseType="variant">
      <vt:variant>
        <vt:i4>1179703</vt:i4>
      </vt:variant>
      <vt:variant>
        <vt:i4>86</vt:i4>
      </vt:variant>
      <vt:variant>
        <vt:i4>0</vt:i4>
      </vt:variant>
      <vt:variant>
        <vt:i4>5</vt:i4>
      </vt:variant>
      <vt:variant>
        <vt:lpwstr/>
      </vt:variant>
      <vt:variant>
        <vt:lpwstr>_Toc134447650</vt:lpwstr>
      </vt:variant>
      <vt:variant>
        <vt:i4>1245239</vt:i4>
      </vt:variant>
      <vt:variant>
        <vt:i4>80</vt:i4>
      </vt:variant>
      <vt:variant>
        <vt:i4>0</vt:i4>
      </vt:variant>
      <vt:variant>
        <vt:i4>5</vt:i4>
      </vt:variant>
      <vt:variant>
        <vt:lpwstr/>
      </vt:variant>
      <vt:variant>
        <vt:lpwstr>_Toc134447649</vt:lpwstr>
      </vt:variant>
      <vt:variant>
        <vt:i4>1245239</vt:i4>
      </vt:variant>
      <vt:variant>
        <vt:i4>74</vt:i4>
      </vt:variant>
      <vt:variant>
        <vt:i4>0</vt:i4>
      </vt:variant>
      <vt:variant>
        <vt:i4>5</vt:i4>
      </vt:variant>
      <vt:variant>
        <vt:lpwstr/>
      </vt:variant>
      <vt:variant>
        <vt:lpwstr>_Toc134447648</vt:lpwstr>
      </vt:variant>
      <vt:variant>
        <vt:i4>1245239</vt:i4>
      </vt:variant>
      <vt:variant>
        <vt:i4>68</vt:i4>
      </vt:variant>
      <vt:variant>
        <vt:i4>0</vt:i4>
      </vt:variant>
      <vt:variant>
        <vt:i4>5</vt:i4>
      </vt:variant>
      <vt:variant>
        <vt:lpwstr/>
      </vt:variant>
      <vt:variant>
        <vt:lpwstr>_Toc134447647</vt:lpwstr>
      </vt:variant>
      <vt:variant>
        <vt:i4>1245239</vt:i4>
      </vt:variant>
      <vt:variant>
        <vt:i4>62</vt:i4>
      </vt:variant>
      <vt:variant>
        <vt:i4>0</vt:i4>
      </vt:variant>
      <vt:variant>
        <vt:i4>5</vt:i4>
      </vt:variant>
      <vt:variant>
        <vt:lpwstr/>
      </vt:variant>
      <vt:variant>
        <vt:lpwstr>_Toc134447646</vt:lpwstr>
      </vt:variant>
      <vt:variant>
        <vt:i4>1245239</vt:i4>
      </vt:variant>
      <vt:variant>
        <vt:i4>56</vt:i4>
      </vt:variant>
      <vt:variant>
        <vt:i4>0</vt:i4>
      </vt:variant>
      <vt:variant>
        <vt:i4>5</vt:i4>
      </vt:variant>
      <vt:variant>
        <vt:lpwstr/>
      </vt:variant>
      <vt:variant>
        <vt:lpwstr>_Toc134447645</vt:lpwstr>
      </vt:variant>
      <vt:variant>
        <vt:i4>1245239</vt:i4>
      </vt:variant>
      <vt:variant>
        <vt:i4>50</vt:i4>
      </vt:variant>
      <vt:variant>
        <vt:i4>0</vt:i4>
      </vt:variant>
      <vt:variant>
        <vt:i4>5</vt:i4>
      </vt:variant>
      <vt:variant>
        <vt:lpwstr/>
      </vt:variant>
      <vt:variant>
        <vt:lpwstr>_Toc134447644</vt:lpwstr>
      </vt:variant>
      <vt:variant>
        <vt:i4>1245239</vt:i4>
      </vt:variant>
      <vt:variant>
        <vt:i4>44</vt:i4>
      </vt:variant>
      <vt:variant>
        <vt:i4>0</vt:i4>
      </vt:variant>
      <vt:variant>
        <vt:i4>5</vt:i4>
      </vt:variant>
      <vt:variant>
        <vt:lpwstr/>
      </vt:variant>
      <vt:variant>
        <vt:lpwstr>_Toc134447643</vt:lpwstr>
      </vt:variant>
      <vt:variant>
        <vt:i4>1245239</vt:i4>
      </vt:variant>
      <vt:variant>
        <vt:i4>38</vt:i4>
      </vt:variant>
      <vt:variant>
        <vt:i4>0</vt:i4>
      </vt:variant>
      <vt:variant>
        <vt:i4>5</vt:i4>
      </vt:variant>
      <vt:variant>
        <vt:lpwstr/>
      </vt:variant>
      <vt:variant>
        <vt:lpwstr>_Toc134447642</vt:lpwstr>
      </vt:variant>
      <vt:variant>
        <vt:i4>1245239</vt:i4>
      </vt:variant>
      <vt:variant>
        <vt:i4>32</vt:i4>
      </vt:variant>
      <vt:variant>
        <vt:i4>0</vt:i4>
      </vt:variant>
      <vt:variant>
        <vt:i4>5</vt:i4>
      </vt:variant>
      <vt:variant>
        <vt:lpwstr/>
      </vt:variant>
      <vt:variant>
        <vt:lpwstr>_Toc134447641</vt:lpwstr>
      </vt:variant>
      <vt:variant>
        <vt:i4>1245239</vt:i4>
      </vt:variant>
      <vt:variant>
        <vt:i4>26</vt:i4>
      </vt:variant>
      <vt:variant>
        <vt:i4>0</vt:i4>
      </vt:variant>
      <vt:variant>
        <vt:i4>5</vt:i4>
      </vt:variant>
      <vt:variant>
        <vt:lpwstr/>
      </vt:variant>
      <vt:variant>
        <vt:lpwstr>_Toc134447640</vt:lpwstr>
      </vt:variant>
      <vt:variant>
        <vt:i4>1310775</vt:i4>
      </vt:variant>
      <vt:variant>
        <vt:i4>20</vt:i4>
      </vt:variant>
      <vt:variant>
        <vt:i4>0</vt:i4>
      </vt:variant>
      <vt:variant>
        <vt:i4>5</vt:i4>
      </vt:variant>
      <vt:variant>
        <vt:lpwstr/>
      </vt:variant>
      <vt:variant>
        <vt:lpwstr>_Toc134447639</vt:lpwstr>
      </vt:variant>
      <vt:variant>
        <vt:i4>1310775</vt:i4>
      </vt:variant>
      <vt:variant>
        <vt:i4>14</vt:i4>
      </vt:variant>
      <vt:variant>
        <vt:i4>0</vt:i4>
      </vt:variant>
      <vt:variant>
        <vt:i4>5</vt:i4>
      </vt:variant>
      <vt:variant>
        <vt:lpwstr/>
      </vt:variant>
      <vt:variant>
        <vt:lpwstr>_Toc134447638</vt:lpwstr>
      </vt:variant>
      <vt:variant>
        <vt:i4>1310775</vt:i4>
      </vt:variant>
      <vt:variant>
        <vt:i4>8</vt:i4>
      </vt:variant>
      <vt:variant>
        <vt:i4>0</vt:i4>
      </vt:variant>
      <vt:variant>
        <vt:i4>5</vt:i4>
      </vt:variant>
      <vt:variant>
        <vt:lpwstr/>
      </vt:variant>
      <vt:variant>
        <vt:lpwstr>_Toc134447637</vt:lpwstr>
      </vt:variant>
      <vt:variant>
        <vt:i4>1310775</vt:i4>
      </vt:variant>
      <vt:variant>
        <vt:i4>2</vt:i4>
      </vt:variant>
      <vt:variant>
        <vt:i4>0</vt:i4>
      </vt:variant>
      <vt:variant>
        <vt:i4>5</vt:i4>
      </vt:variant>
      <vt:variant>
        <vt:lpwstr/>
      </vt:variant>
      <vt:variant>
        <vt:lpwstr>_Toc134447636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the National Women’s Alliances Model</dc:title>
  <dc:subject/>
  <dc:creator/>
  <cp:keywords/>
  <dc:description/>
  <cp:lastModifiedBy/>
  <cp:revision>1</cp:revision>
  <dcterms:created xsi:type="dcterms:W3CDTF">2023-08-24T06:08:00Z</dcterms:created>
  <dcterms:modified xsi:type="dcterms:W3CDTF">2023-08-24T06:08:00Z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ESearchTags">
    <vt:lpwstr>27;#Office for Women|2ac7638f-d370-4a6f-972a-9d52ccf99a74;#56;#Official|f53c1d54-6e59-4b8b-8af5-a00f9baa8e57;#18;#Cabinet|84cba657-17c1-4642-9e59-a0df180c2be5</vt:lpwstr>
  </property>
  <property fmtid="{D5CDD505-2E9C-101B-9397-08002B2CF9AE}" pid="4" name="HPRMSecurityLevel">
    <vt:lpwstr>57;#OFFICIAL|11463c70-78df-4e3b-b0ff-f66cd3cb26ec</vt:lpwstr>
  </property>
  <property fmtid="{D5CDD505-2E9C-101B-9397-08002B2CF9AE}" pid="5" name="HPRMSecurityCaveat">
    <vt:lpwstr/>
  </property>
  <property fmtid="{D5CDD505-2E9C-101B-9397-08002B2CF9AE}" pid="6" name="PMC.ESearch.TagGeneratedTime">
    <vt:lpwstr>2023-08-24T15:53:07</vt:lpwstr>
  </property>
</Properties>
</file>