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5FEA1" w14:textId="23D0BEAF" w:rsidR="00A62EF3" w:rsidRPr="00F01215" w:rsidRDefault="00BC6EA9" w:rsidP="00B7014C">
      <w:pPr>
        <w:pStyle w:val="Title"/>
        <w:ind w:left="-993"/>
        <w:rPr>
          <w:sz w:val="52"/>
          <w:szCs w:val="52"/>
        </w:rPr>
      </w:pPr>
      <w:bookmarkStart w:id="0" w:name="_Toc96326909"/>
      <w:r>
        <w:rPr>
          <w:sz w:val="52"/>
          <w:szCs w:val="52"/>
        </w:rPr>
        <w:t>AP</w:t>
      </w:r>
      <w:r w:rsidR="00F928B4">
        <w:rPr>
          <w:sz w:val="52"/>
          <w:szCs w:val="52"/>
        </w:rPr>
        <w:t>S Employee Census – PM&amp;C Action Plan</w:t>
      </w:r>
    </w:p>
    <w:p w14:paraId="4AD5FEA2" w14:textId="4DD1D7E4" w:rsidR="00A62EF3" w:rsidRPr="00336AE9" w:rsidRDefault="00385F91" w:rsidP="00B7014C">
      <w:pPr>
        <w:pStyle w:val="TBLHeading"/>
        <w:ind w:left="-993"/>
        <w:rPr>
          <w:b/>
          <w:bCs/>
          <w:iCs/>
          <w:color w:val="1B375C" w:themeColor="hyperlink"/>
          <w:sz w:val="22"/>
          <w:szCs w:val="21"/>
          <w:u w:val="single"/>
        </w:rPr>
      </w:pPr>
      <w:r w:rsidRPr="00336AE9">
        <w:rPr>
          <w:rStyle w:val="Emphasis"/>
          <w:b/>
          <w:i w:val="0"/>
        </w:rPr>
        <w:t xml:space="preserve">The success of these actions will contribute to managing workforce </w:t>
      </w:r>
      <w:r w:rsidRPr="00336AE9">
        <w:rPr>
          <w:b/>
          <w:bCs/>
        </w:rPr>
        <w:t xml:space="preserve">risks detailed in the </w:t>
      </w:r>
      <w:hyperlink r:id="rId11" w:history="1">
        <w:r w:rsidRPr="00336AE9">
          <w:rPr>
            <w:rStyle w:val="Hyperlink"/>
            <w:b/>
            <w:bCs/>
            <w:iCs/>
          </w:rPr>
          <w:t xml:space="preserve">Corporate Plan 2023-2024. </w:t>
        </w:r>
      </w:hyperlink>
    </w:p>
    <w:tbl>
      <w:tblPr>
        <w:tblStyle w:val="Custom1"/>
        <w:tblW w:w="5588" w:type="pct"/>
        <w:tblInd w:w="-998" w:type="dxa"/>
        <w:tblLook w:val="0420" w:firstRow="1" w:lastRow="0" w:firstColumn="0" w:lastColumn="0" w:noHBand="0" w:noVBand="1"/>
        <w:tblCaption w:val="Celebrate our strengths and learn from what we do well and our Risks and opportunities for action"/>
        <w:tblDescription w:val="Celebrate our strengths and learn from what we do well. Inclusive environment – The large majority of staff feel that PM&amp;C is committed to and provides a safe, respectful and inclusive culture. &#10;Engaged workforce – Our employees are highly engaged and go above and beyond what is required. They are proud to work at PM&amp;C and are committed to PM&amp;C’s purpose and objectives. Risks and opportunities for action. Change – PM&amp;C’s operating environment is characterised by frequent change. Employees feel there is room for improvement in how change is managed.&#10;Prioritisation – We want to make sure we are working on the top priorities, and use fit for purpose planning and prioritisation mechanisms, to assist with balancing workload pressures. &#10;&#10;"/>
      </w:tblPr>
      <w:tblGrid>
        <w:gridCol w:w="6950"/>
        <w:gridCol w:w="8218"/>
      </w:tblGrid>
      <w:tr w:rsidR="00DF6F6E" w:rsidRPr="006E170D" w14:paraId="796E2522" w14:textId="77777777" w:rsidTr="00412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458A" w14:textId="77777777" w:rsidR="00DF6F6E" w:rsidRPr="001B7B71" w:rsidRDefault="00DF6F6E" w:rsidP="008A789D">
            <w:pPr>
              <w:pStyle w:val="TBLHeading"/>
              <w:spacing w:before="0" w:after="0"/>
            </w:pPr>
            <w:r w:rsidRPr="001B7B71">
              <w:t>Celebrate our strengths and learn from what we do well</w:t>
            </w:r>
          </w:p>
        </w:tc>
        <w:tc>
          <w:tcPr>
            <w:tcW w:w="2709" w:type="pct"/>
            <w:tcBorders>
              <w:left w:val="single" w:sz="4" w:space="0" w:color="auto"/>
              <w:bottom w:val="single" w:sz="4" w:space="0" w:color="auto"/>
            </w:tcBorders>
          </w:tcPr>
          <w:p w14:paraId="36586D84" w14:textId="77777777" w:rsidR="00DF6F6E" w:rsidRPr="006E170D" w:rsidRDefault="00DF6F6E" w:rsidP="008A789D">
            <w:pPr>
              <w:pStyle w:val="TBLHeading"/>
              <w:spacing w:before="0" w:after="0"/>
            </w:pPr>
            <w:r w:rsidRPr="00AD1363">
              <w:t>Risks and opportunities for action</w:t>
            </w:r>
          </w:p>
        </w:tc>
      </w:tr>
      <w:tr w:rsidR="00DF6F6E" w:rsidRPr="003B2D30" w14:paraId="4853B130" w14:textId="77777777" w:rsidTr="00412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0AEF" w14:textId="6CE5AF34" w:rsidR="00DF6F6E" w:rsidRDefault="00DF6F6E" w:rsidP="008A789D">
            <w:pPr>
              <w:pStyle w:val="TBLHeading"/>
              <w:spacing w:before="0"/>
              <w:rPr>
                <w:rStyle w:val="Emphasis"/>
                <w:b/>
                <w:i w:val="0"/>
              </w:rPr>
            </w:pPr>
            <w:r w:rsidRPr="00412408">
              <w:rPr>
                <w:rStyle w:val="Emphasis"/>
                <w:b/>
                <w:i w:val="0"/>
              </w:rPr>
              <w:t>Inclusive environment</w:t>
            </w:r>
            <w:r w:rsidRPr="001B7B71">
              <w:rPr>
                <w:rStyle w:val="Emphasis"/>
              </w:rPr>
              <w:t xml:space="preserve"> </w:t>
            </w:r>
            <w:r>
              <w:rPr>
                <w:rStyle w:val="Emphasis"/>
              </w:rPr>
              <w:t xml:space="preserve">– </w:t>
            </w:r>
            <w:r w:rsidR="00385F91">
              <w:rPr>
                <w:rStyle w:val="Emphasis"/>
                <w:i w:val="0"/>
              </w:rPr>
              <w:t xml:space="preserve">The large majority of staff feel that PM&amp;C is </w:t>
            </w:r>
            <w:r w:rsidRPr="003B4280">
              <w:rPr>
                <w:rStyle w:val="Emphasis"/>
                <w:i w:val="0"/>
              </w:rPr>
              <w:t>committed to and provid</w:t>
            </w:r>
            <w:r w:rsidR="00385F91">
              <w:rPr>
                <w:rStyle w:val="Emphasis"/>
                <w:i w:val="0"/>
              </w:rPr>
              <w:t>es</w:t>
            </w:r>
            <w:r w:rsidRPr="002E4EDA">
              <w:rPr>
                <w:rStyle w:val="Emphasis"/>
                <w:i w:val="0"/>
              </w:rPr>
              <w:t xml:space="preserve"> a </w:t>
            </w:r>
            <w:r w:rsidRPr="00412408">
              <w:rPr>
                <w:rStyle w:val="Emphasis"/>
                <w:b/>
                <w:i w:val="0"/>
              </w:rPr>
              <w:t>safe, respectful</w:t>
            </w:r>
            <w:r w:rsidRPr="002E4EDA">
              <w:rPr>
                <w:rStyle w:val="Emphasis"/>
                <w:i w:val="0"/>
              </w:rPr>
              <w:t xml:space="preserve"> and </w:t>
            </w:r>
            <w:r w:rsidRPr="00412408">
              <w:rPr>
                <w:rStyle w:val="Emphasis"/>
                <w:b/>
                <w:i w:val="0"/>
              </w:rPr>
              <w:t>inclusive</w:t>
            </w:r>
            <w:r w:rsidRPr="002E4EDA">
              <w:rPr>
                <w:rStyle w:val="Emphasis"/>
                <w:i w:val="0"/>
              </w:rPr>
              <w:t xml:space="preserve"> culture. </w:t>
            </w:r>
          </w:p>
          <w:p w14:paraId="13704ED7" w14:textId="2CC36665" w:rsidR="00DF6F6E" w:rsidRPr="001B7B71" w:rsidRDefault="00DF6F6E" w:rsidP="008A789D">
            <w:pPr>
              <w:pStyle w:val="TBLHeading"/>
              <w:spacing w:before="0"/>
              <w:rPr>
                <w:i/>
              </w:rPr>
            </w:pPr>
            <w:r w:rsidRPr="00412408">
              <w:rPr>
                <w:rStyle w:val="Emphasis"/>
                <w:b/>
                <w:i w:val="0"/>
              </w:rPr>
              <w:t>Engaged workforce</w:t>
            </w:r>
            <w:r w:rsidRPr="001B7B71">
              <w:rPr>
                <w:rStyle w:val="Emphasis"/>
                <w:i w:val="0"/>
              </w:rPr>
              <w:t xml:space="preserve"> </w:t>
            </w:r>
            <w:r w:rsidR="00F32EB6">
              <w:rPr>
                <w:rStyle w:val="Emphasis"/>
                <w:i w:val="0"/>
              </w:rPr>
              <w:t xml:space="preserve">– </w:t>
            </w:r>
            <w:r w:rsidRPr="001B7B71">
              <w:rPr>
                <w:rStyle w:val="Emphasis"/>
                <w:i w:val="0"/>
              </w:rPr>
              <w:t xml:space="preserve">Our employees are </w:t>
            </w:r>
            <w:r w:rsidRPr="00412408">
              <w:rPr>
                <w:rStyle w:val="Emphasis"/>
                <w:b/>
                <w:i w:val="0"/>
              </w:rPr>
              <w:t>highly engaged</w:t>
            </w:r>
            <w:r w:rsidRPr="001B7B71">
              <w:rPr>
                <w:rStyle w:val="Emphasis"/>
                <w:i w:val="0"/>
              </w:rPr>
              <w:t xml:space="preserve"> and </w:t>
            </w:r>
            <w:r w:rsidRPr="00412408">
              <w:rPr>
                <w:rStyle w:val="Emphasis"/>
                <w:b/>
                <w:i w:val="0"/>
              </w:rPr>
              <w:t>go above and beyond</w:t>
            </w:r>
            <w:r>
              <w:rPr>
                <w:rStyle w:val="Emphasis"/>
                <w:i w:val="0"/>
              </w:rPr>
              <w:t xml:space="preserve"> what is required</w:t>
            </w:r>
            <w:r w:rsidRPr="001B7B71">
              <w:rPr>
                <w:rStyle w:val="Emphasis"/>
                <w:i w:val="0"/>
              </w:rPr>
              <w:t xml:space="preserve">. </w:t>
            </w:r>
            <w:r>
              <w:rPr>
                <w:rStyle w:val="Emphasis"/>
                <w:i w:val="0"/>
              </w:rPr>
              <w:t>They are proud to work at</w:t>
            </w:r>
            <w:r w:rsidRPr="00C51EC3">
              <w:rPr>
                <w:rStyle w:val="Emphasis"/>
                <w:i w:val="0"/>
              </w:rPr>
              <w:t xml:space="preserve"> PM&amp;C and </w:t>
            </w:r>
            <w:r>
              <w:rPr>
                <w:rStyle w:val="Emphasis"/>
                <w:i w:val="0"/>
              </w:rPr>
              <w:t xml:space="preserve">are </w:t>
            </w:r>
            <w:r w:rsidRPr="00C51EC3">
              <w:rPr>
                <w:rStyle w:val="Emphasis"/>
                <w:i w:val="0"/>
              </w:rPr>
              <w:t>commit</w:t>
            </w:r>
            <w:r>
              <w:rPr>
                <w:rStyle w:val="Emphasis"/>
                <w:i w:val="0"/>
              </w:rPr>
              <w:t>ted</w:t>
            </w:r>
            <w:r w:rsidRPr="00C51EC3">
              <w:rPr>
                <w:rStyle w:val="Emphasis"/>
                <w:i w:val="0"/>
              </w:rPr>
              <w:t xml:space="preserve"> to PM&amp;C’s purpose and objectives</w:t>
            </w:r>
            <w:r>
              <w:rPr>
                <w:rStyle w:val="Emphasis"/>
                <w:i w:val="0"/>
              </w:rPr>
              <w:t>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3F2F" w14:textId="16A6F50A" w:rsidR="00DF6F6E" w:rsidRPr="003B2D30" w:rsidRDefault="00DF6F6E" w:rsidP="008A789D">
            <w:pPr>
              <w:pStyle w:val="TBLHeading"/>
              <w:spacing w:before="0"/>
              <w:rPr>
                <w:rStyle w:val="Emphasis"/>
                <w:b/>
                <w:i w:val="0"/>
              </w:rPr>
            </w:pPr>
            <w:r w:rsidRPr="00412408">
              <w:rPr>
                <w:rStyle w:val="Emphasis"/>
                <w:b/>
                <w:i w:val="0"/>
              </w:rPr>
              <w:t>Change</w:t>
            </w:r>
            <w:r>
              <w:rPr>
                <w:rStyle w:val="Emphasis"/>
                <w:i w:val="0"/>
              </w:rPr>
              <w:t xml:space="preserve"> – PM&amp;C’s operating environment is characterised by frequent change. Employees feel </w:t>
            </w:r>
            <w:r w:rsidRPr="003B2D30">
              <w:rPr>
                <w:rStyle w:val="Emphasis"/>
                <w:i w:val="0"/>
              </w:rPr>
              <w:t xml:space="preserve">there is </w:t>
            </w:r>
            <w:r w:rsidRPr="00412408">
              <w:rPr>
                <w:rStyle w:val="Emphasis"/>
                <w:b/>
                <w:i w:val="0"/>
              </w:rPr>
              <w:t>room for improvement in how change is managed</w:t>
            </w:r>
            <w:r w:rsidRPr="003B2D30">
              <w:rPr>
                <w:rStyle w:val="Emphasis"/>
                <w:i w:val="0"/>
              </w:rPr>
              <w:t>.</w:t>
            </w:r>
          </w:p>
          <w:p w14:paraId="7B06A0CC" w14:textId="489CD0A4" w:rsidR="00DF6F6E" w:rsidRPr="003B2D30" w:rsidRDefault="00DF6F6E" w:rsidP="008A789D">
            <w:pPr>
              <w:pStyle w:val="TBLHeading"/>
              <w:spacing w:before="0"/>
              <w:rPr>
                <w:highlight w:val="yellow"/>
              </w:rPr>
            </w:pPr>
            <w:r w:rsidRPr="00412408">
              <w:rPr>
                <w:b/>
              </w:rPr>
              <w:t>Prioritisation</w:t>
            </w:r>
            <w:r w:rsidRPr="003B2D30">
              <w:t xml:space="preserve"> –</w:t>
            </w:r>
            <w:r>
              <w:t xml:space="preserve"> </w:t>
            </w:r>
            <w:r w:rsidRPr="00385F91">
              <w:t xml:space="preserve">We want to make sure we are working on the top priorities, and </w:t>
            </w:r>
            <w:bookmarkStart w:id="1" w:name="_GoBack"/>
            <w:r w:rsidRPr="00412408">
              <w:rPr>
                <w:b/>
              </w:rPr>
              <w:t>use fit for purpose planning and prioritisation mechanisms</w:t>
            </w:r>
            <w:bookmarkEnd w:id="1"/>
            <w:r w:rsidRPr="00385F91">
              <w:t xml:space="preserve">, to </w:t>
            </w:r>
            <w:r w:rsidR="00E91635">
              <w:t xml:space="preserve">assist with </w:t>
            </w:r>
            <w:r w:rsidRPr="00385F91">
              <w:t>bala</w:t>
            </w:r>
            <w:r w:rsidR="00E91635">
              <w:t>ncing</w:t>
            </w:r>
            <w:r w:rsidRPr="00385F91">
              <w:t xml:space="preserve"> workload pressures.</w:t>
            </w:r>
            <w:r w:rsidRPr="002E4EDA">
              <w:t xml:space="preserve"> </w:t>
            </w:r>
          </w:p>
        </w:tc>
      </w:tr>
    </w:tbl>
    <w:p w14:paraId="44ECA7BA" w14:textId="0D9AC15E" w:rsidR="00DF6F6E" w:rsidRPr="008A789D" w:rsidRDefault="00DF6F6E" w:rsidP="008A789D">
      <w:pPr>
        <w:pStyle w:val="TBLHeading"/>
        <w:spacing w:before="0"/>
        <w:rPr>
          <w:iCs/>
          <w:sz w:val="4"/>
          <w:szCs w:val="4"/>
        </w:rPr>
      </w:pPr>
    </w:p>
    <w:tbl>
      <w:tblPr>
        <w:tblStyle w:val="Custom1"/>
        <w:tblW w:w="5588" w:type="pct"/>
        <w:tblInd w:w="-998" w:type="dxa"/>
        <w:tblLook w:val="0420" w:firstRow="1" w:lastRow="0" w:firstColumn="0" w:lastColumn="0" w:noHBand="0" w:noVBand="1"/>
        <w:tblCaption w:val="Action, Timing, Owner, Evaluation of Action Plan"/>
      </w:tblPr>
      <w:tblGrid>
        <w:gridCol w:w="5297"/>
        <w:gridCol w:w="1790"/>
        <w:gridCol w:w="2642"/>
        <w:gridCol w:w="5439"/>
      </w:tblGrid>
      <w:tr w:rsidR="00DF6F6E" w14:paraId="0A5D0B72" w14:textId="77777777" w:rsidTr="00412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592C" w14:textId="6C0C5ABD" w:rsidR="00513CED" w:rsidRPr="00D23529" w:rsidRDefault="00513CED" w:rsidP="008A789D">
            <w:pPr>
              <w:pStyle w:val="TBLHeading"/>
              <w:spacing w:before="0" w:after="0"/>
            </w:pPr>
            <w:r w:rsidRPr="00D23529">
              <w:t>Action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9120" w14:textId="624B5326" w:rsidR="00513CED" w:rsidRPr="00D23529" w:rsidRDefault="00513CED" w:rsidP="008A789D">
            <w:pPr>
              <w:pStyle w:val="TBLHeading"/>
              <w:spacing w:before="0" w:after="0"/>
            </w:pPr>
            <w:r w:rsidRPr="00D23529">
              <w:t>Timing</w:t>
            </w: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9CF" w14:textId="11CCBC86" w:rsidR="00513CED" w:rsidRPr="00513CED" w:rsidRDefault="00513CED" w:rsidP="008A789D">
            <w:pPr>
              <w:pStyle w:val="TBLHeading"/>
              <w:spacing w:before="0" w:after="0"/>
            </w:pPr>
            <w:r w:rsidRPr="00513CED">
              <w:t>Owner</w:t>
            </w:r>
          </w:p>
        </w:tc>
        <w:tc>
          <w:tcPr>
            <w:tcW w:w="1793" w:type="pct"/>
            <w:tcBorders>
              <w:left w:val="single" w:sz="4" w:space="0" w:color="auto"/>
              <w:bottom w:val="single" w:sz="4" w:space="0" w:color="auto"/>
            </w:tcBorders>
          </w:tcPr>
          <w:p w14:paraId="2F55D1C4" w14:textId="55C263DF" w:rsidR="00513CED" w:rsidRPr="00513CED" w:rsidRDefault="00513CED" w:rsidP="008A789D">
            <w:pPr>
              <w:pStyle w:val="TBLHeading"/>
              <w:spacing w:before="0" w:after="0"/>
            </w:pPr>
            <w:r w:rsidRPr="00513CED">
              <w:t>Evaluation</w:t>
            </w:r>
          </w:p>
        </w:tc>
      </w:tr>
      <w:tr w:rsidR="00DF6F6E" w14:paraId="168C942C" w14:textId="77777777" w:rsidTr="00412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ADD4" w14:textId="258FF7FF" w:rsidR="00F47A67" w:rsidRPr="00E21372" w:rsidRDefault="00F47A67" w:rsidP="008A789D">
            <w:pPr>
              <w:pStyle w:val="TBLHeading"/>
              <w:spacing w:line="216" w:lineRule="auto"/>
              <w:rPr>
                <w:rStyle w:val="Emphasis"/>
                <w:b/>
                <w:i w:val="0"/>
              </w:rPr>
            </w:pPr>
            <w:r w:rsidRPr="00E21372">
              <w:rPr>
                <w:rStyle w:val="Emphasis"/>
                <w:i w:val="0"/>
              </w:rPr>
              <w:t xml:space="preserve">Continue to build on and strengthen </w:t>
            </w:r>
            <w:r w:rsidR="00E877A0" w:rsidRPr="00E21372">
              <w:rPr>
                <w:rStyle w:val="Emphasis"/>
                <w:i w:val="0"/>
              </w:rPr>
              <w:t xml:space="preserve">our </w:t>
            </w:r>
            <w:r w:rsidRPr="00E21372">
              <w:rPr>
                <w:rStyle w:val="Emphasis"/>
                <w:i w:val="0"/>
              </w:rPr>
              <w:t>inclusive</w:t>
            </w:r>
            <w:r w:rsidR="00221EFD">
              <w:rPr>
                <w:rStyle w:val="Emphasis"/>
                <w:i w:val="0"/>
              </w:rPr>
              <w:t>, safe and respectful</w:t>
            </w:r>
            <w:r w:rsidRPr="00E21372">
              <w:rPr>
                <w:rStyle w:val="Emphasis"/>
                <w:i w:val="0"/>
              </w:rPr>
              <w:t xml:space="preserve"> </w:t>
            </w:r>
            <w:r w:rsidR="00221EFD">
              <w:rPr>
                <w:rStyle w:val="Emphasis"/>
                <w:i w:val="0"/>
              </w:rPr>
              <w:t>culture</w:t>
            </w:r>
            <w:r w:rsidRPr="00E21372">
              <w:rPr>
                <w:rStyle w:val="Emphasis"/>
                <w:i w:val="0"/>
              </w:rPr>
              <w:t xml:space="preserve"> through </w:t>
            </w:r>
            <w:r w:rsidR="00E877A0" w:rsidRPr="00E21372">
              <w:rPr>
                <w:rStyle w:val="Emphasis"/>
                <w:i w:val="0"/>
              </w:rPr>
              <w:t>the</w:t>
            </w:r>
            <w:r w:rsidRPr="00E21372">
              <w:rPr>
                <w:rStyle w:val="Emphasis"/>
                <w:i w:val="0"/>
              </w:rPr>
              <w:t xml:space="preserve"> </w:t>
            </w:r>
            <w:hyperlink r:id="rId12" w:history="1">
              <w:r w:rsidR="00EE6217" w:rsidRPr="00E21372">
                <w:rPr>
                  <w:rStyle w:val="Hyperlink"/>
                </w:rPr>
                <w:t>PM&amp;C Inclusion and Diversity Strategy 2023-26</w:t>
              </w:r>
            </w:hyperlink>
            <w:r w:rsidR="00EE6217" w:rsidRPr="00E21372">
              <w:t xml:space="preserve"> </w:t>
            </w:r>
            <w:r w:rsidR="00EE6217" w:rsidRPr="00E21372">
              <w:rPr>
                <w:rStyle w:val="Emphasis"/>
                <w:i w:val="0"/>
              </w:rPr>
              <w:t>and Action Plan</w:t>
            </w:r>
            <w:r w:rsidR="00385F91">
              <w:rPr>
                <w:rStyle w:val="Emphasis"/>
                <w:i w:val="0"/>
              </w:rPr>
              <w:t xml:space="preserve"> and delivery of </w:t>
            </w:r>
            <w:hyperlink r:id="rId13" w:history="1">
              <w:r w:rsidR="00385F91" w:rsidRPr="00385F91">
                <w:rPr>
                  <w:rStyle w:val="Hyperlink"/>
                </w:rPr>
                <w:t>APS Reform initiatives.</w:t>
              </w:r>
            </w:hyperlink>
            <w:r w:rsidR="00385F91">
              <w:rPr>
                <w:rStyle w:val="Emphasis"/>
                <w:i w:val="0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57CA" w14:textId="5D152C29" w:rsidR="00F47A67" w:rsidRDefault="00F47A67" w:rsidP="008A789D">
            <w:pPr>
              <w:pStyle w:val="TBLHeading"/>
              <w:spacing w:line="216" w:lineRule="auto"/>
              <w:rPr>
                <w:rStyle w:val="Emphasis"/>
                <w:b/>
                <w:i w:val="0"/>
              </w:rPr>
            </w:pPr>
            <w:r>
              <w:rPr>
                <w:rStyle w:val="Emphasis"/>
                <w:i w:val="0"/>
              </w:rPr>
              <w:t>Ongoing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9594" w14:textId="6C7A8BB2" w:rsidR="00F47A67" w:rsidRPr="00F47A67" w:rsidRDefault="002355D7" w:rsidP="008A789D">
            <w:pPr>
              <w:pStyle w:val="TBLHeading"/>
              <w:spacing w:line="216" w:lineRule="auto"/>
              <w:rPr>
                <w:rStyle w:val="Emphasis"/>
                <w:b/>
                <w:i w:val="0"/>
                <w:sz w:val="22"/>
                <w:szCs w:val="21"/>
              </w:rPr>
            </w:pPr>
            <w:r>
              <w:rPr>
                <w:rStyle w:val="Emphasis"/>
                <w:i w:val="0"/>
              </w:rPr>
              <w:t>Various</w:t>
            </w:r>
            <w:r w:rsidR="00A804F1">
              <w:rPr>
                <w:rStyle w:val="Emphasis"/>
                <w:i w:val="0"/>
              </w:rPr>
              <w:t xml:space="preserve">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FCC4" w14:textId="23563783" w:rsidR="00805A28" w:rsidRDefault="00A13020" w:rsidP="008A789D">
            <w:pPr>
              <w:pStyle w:val="TBLHeading"/>
              <w:spacing w:line="216" w:lineRule="auto"/>
              <w:rPr>
                <w:rStyle w:val="Emphasis"/>
                <w:b/>
                <w:i w:val="0"/>
              </w:rPr>
            </w:pPr>
            <w:r>
              <w:rPr>
                <w:rStyle w:val="Emphasis"/>
                <w:i w:val="0"/>
              </w:rPr>
              <w:t xml:space="preserve">Progress </w:t>
            </w:r>
            <w:r w:rsidR="002355D7">
              <w:rPr>
                <w:rStyle w:val="Emphasis"/>
                <w:i w:val="0"/>
              </w:rPr>
              <w:t>is</w:t>
            </w:r>
            <w:r>
              <w:rPr>
                <w:rStyle w:val="Emphasis"/>
                <w:i w:val="0"/>
              </w:rPr>
              <w:t xml:space="preserve"> monitored and reported to the Inclusion and Diversity Committee</w:t>
            </w:r>
            <w:r w:rsidR="00805A28">
              <w:rPr>
                <w:rStyle w:val="Emphasis"/>
                <w:i w:val="0"/>
              </w:rPr>
              <w:t>.</w:t>
            </w:r>
          </w:p>
          <w:p w14:paraId="35764D9F" w14:textId="5BD75A1B" w:rsidR="00F47A67" w:rsidRDefault="007C3F1D" w:rsidP="008A789D">
            <w:pPr>
              <w:pStyle w:val="TBLHeading"/>
              <w:spacing w:line="216" w:lineRule="auto"/>
              <w:rPr>
                <w:rStyle w:val="Emphasis"/>
                <w:b/>
                <w:i w:val="0"/>
              </w:rPr>
            </w:pPr>
            <w:r>
              <w:rPr>
                <w:rStyle w:val="Emphasis"/>
                <w:i w:val="0"/>
              </w:rPr>
              <w:t>Monitor diversity and inclusion indicators in the Census.</w:t>
            </w:r>
          </w:p>
        </w:tc>
      </w:tr>
      <w:tr w:rsidR="00DF6F6E" w14:paraId="23EEC6F8" w14:textId="77777777" w:rsidTr="00412408">
        <w:trPr>
          <w:trHeight w:val="20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6F7A" w14:textId="6CF05D7E" w:rsidR="001B7B71" w:rsidRPr="00E21372" w:rsidRDefault="00FE050C" w:rsidP="008A789D">
            <w:pPr>
              <w:pStyle w:val="TBLHeading"/>
              <w:spacing w:line="216" w:lineRule="auto"/>
              <w:rPr>
                <w:rStyle w:val="Emphasis"/>
                <w:b/>
                <w:i w:val="0"/>
                <w:sz w:val="22"/>
                <w:szCs w:val="21"/>
              </w:rPr>
            </w:pPr>
            <w:r>
              <w:rPr>
                <w:rStyle w:val="Emphasis"/>
                <w:i w:val="0"/>
              </w:rPr>
              <w:t>D</w:t>
            </w:r>
            <w:r w:rsidR="00E21372" w:rsidRPr="00E21372">
              <w:rPr>
                <w:rStyle w:val="Emphasis"/>
                <w:i w:val="0"/>
              </w:rPr>
              <w:t xml:space="preserve">evelop a suite of internal change management and consultation tools to </w:t>
            </w:r>
            <w:r w:rsidR="002355D7">
              <w:rPr>
                <w:rStyle w:val="Emphasis"/>
                <w:i w:val="0"/>
              </w:rPr>
              <w:t>buil</w:t>
            </w:r>
            <w:r w:rsidR="00385F91">
              <w:rPr>
                <w:rStyle w:val="Emphasis"/>
                <w:i w:val="0"/>
              </w:rPr>
              <w:t>d change management capability.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8485" w14:textId="31128CD9" w:rsidR="001B7B71" w:rsidRPr="000019AC" w:rsidRDefault="00336AE9" w:rsidP="008A789D">
            <w:pPr>
              <w:pStyle w:val="TBLHeading"/>
              <w:spacing w:line="216" w:lineRule="auto"/>
              <w:rPr>
                <w:rStyle w:val="Emphasis"/>
                <w:b/>
                <w:i w:val="0"/>
                <w:highlight w:val="yellow"/>
              </w:rPr>
            </w:pPr>
            <w:r w:rsidRPr="00A556F0">
              <w:rPr>
                <w:rStyle w:val="Emphasis"/>
                <w:i w:val="0"/>
              </w:rPr>
              <w:t>Quarter 1 2024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BD0E" w14:textId="03C39109" w:rsidR="001B7B71" w:rsidRPr="00F47A67" w:rsidRDefault="00E21372" w:rsidP="008A789D">
            <w:pPr>
              <w:pStyle w:val="TBLHeading"/>
              <w:spacing w:line="216" w:lineRule="auto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People Branch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9AA7" w14:textId="7FEE66CD" w:rsidR="00C51EC3" w:rsidRDefault="00385F91" w:rsidP="008A789D">
            <w:pPr>
              <w:pStyle w:val="TBLHeading"/>
              <w:spacing w:line="216" w:lineRule="auto"/>
              <w:rPr>
                <w:rStyle w:val="Emphasis"/>
                <w:b/>
                <w:i w:val="0"/>
              </w:rPr>
            </w:pPr>
            <w:r>
              <w:rPr>
                <w:rStyle w:val="Emphasis"/>
                <w:i w:val="0"/>
              </w:rPr>
              <w:t>M</w:t>
            </w:r>
            <w:r w:rsidR="00EC7EA1">
              <w:rPr>
                <w:rStyle w:val="Emphasis"/>
                <w:i w:val="0"/>
              </w:rPr>
              <w:t xml:space="preserve">onitor </w:t>
            </w:r>
            <w:r w:rsidR="000E4BF0">
              <w:rPr>
                <w:rStyle w:val="Emphasis"/>
                <w:i w:val="0"/>
              </w:rPr>
              <w:t>change indic</w:t>
            </w:r>
            <w:r w:rsidR="00EC7EA1">
              <w:rPr>
                <w:rStyle w:val="Emphasis"/>
                <w:i w:val="0"/>
              </w:rPr>
              <w:t>a</w:t>
            </w:r>
            <w:r w:rsidR="000E4BF0">
              <w:rPr>
                <w:rStyle w:val="Emphasis"/>
                <w:i w:val="0"/>
              </w:rPr>
              <w:t>tors</w:t>
            </w:r>
            <w:r w:rsidR="00EC7EA1">
              <w:rPr>
                <w:rStyle w:val="Emphasis"/>
                <w:i w:val="0"/>
              </w:rPr>
              <w:t xml:space="preserve"> in</w:t>
            </w:r>
            <w:r w:rsidR="000E4BF0">
              <w:rPr>
                <w:rStyle w:val="Emphasis"/>
                <w:i w:val="0"/>
              </w:rPr>
              <w:t xml:space="preserve"> the</w:t>
            </w:r>
            <w:r w:rsidR="002355D7">
              <w:rPr>
                <w:rStyle w:val="Emphasis"/>
                <w:i w:val="0"/>
              </w:rPr>
              <w:t xml:space="preserve"> </w:t>
            </w:r>
            <w:r w:rsidR="000E4BF0">
              <w:rPr>
                <w:rStyle w:val="Emphasis"/>
                <w:i w:val="0"/>
              </w:rPr>
              <w:t>Census</w:t>
            </w:r>
            <w:r w:rsidR="00EC7EA1">
              <w:rPr>
                <w:rStyle w:val="Emphasis"/>
                <w:i w:val="0"/>
              </w:rPr>
              <w:t xml:space="preserve">, particularly for </w:t>
            </w:r>
            <w:r w:rsidR="007C3F1D">
              <w:rPr>
                <w:rStyle w:val="Emphasis"/>
                <w:i w:val="0"/>
              </w:rPr>
              <w:t>areas affected by change in 2024.</w:t>
            </w:r>
          </w:p>
        </w:tc>
      </w:tr>
      <w:tr w:rsidR="00DF6F6E" w14:paraId="48BFD449" w14:textId="77777777" w:rsidTr="00412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7BAD" w14:textId="23F5941B" w:rsidR="00F42B4E" w:rsidRDefault="00F42B4E" w:rsidP="008A789D">
            <w:pPr>
              <w:pStyle w:val="TBLHeading"/>
              <w:rPr>
                <w:rStyle w:val="Emphasis"/>
                <w:b/>
                <w:i w:val="0"/>
              </w:rPr>
            </w:pPr>
            <w:r>
              <w:rPr>
                <w:rStyle w:val="Emphasis"/>
                <w:i w:val="0"/>
              </w:rPr>
              <w:t xml:space="preserve">Provide </w:t>
            </w:r>
            <w:r w:rsidR="00385F91">
              <w:rPr>
                <w:rStyle w:val="Emphasis"/>
                <w:i w:val="0"/>
              </w:rPr>
              <w:t>Executive Board, Inclusion and Diversity</w:t>
            </w:r>
            <w:r w:rsidR="008D244B">
              <w:rPr>
                <w:rStyle w:val="Emphasis"/>
                <w:i w:val="0"/>
              </w:rPr>
              <w:t xml:space="preserve"> </w:t>
            </w:r>
            <w:r w:rsidR="00385F91">
              <w:rPr>
                <w:rStyle w:val="Emphasis"/>
                <w:i w:val="0"/>
              </w:rPr>
              <w:t xml:space="preserve">Committee, and </w:t>
            </w:r>
            <w:r>
              <w:rPr>
                <w:rStyle w:val="Emphasis"/>
                <w:i w:val="0"/>
              </w:rPr>
              <w:t xml:space="preserve">divisional level briefings on Census </w:t>
            </w:r>
            <w:r w:rsidR="00DF6F6E">
              <w:rPr>
                <w:rStyle w:val="Emphasis"/>
                <w:i w:val="0"/>
              </w:rPr>
              <w:t>r</w:t>
            </w:r>
            <w:r>
              <w:rPr>
                <w:rStyle w:val="Emphasis"/>
                <w:i w:val="0"/>
              </w:rPr>
              <w:t>esults</w:t>
            </w:r>
            <w:r w:rsidR="00385F91">
              <w:rPr>
                <w:rStyle w:val="Emphasis"/>
                <w:i w:val="0"/>
              </w:rPr>
              <w:t xml:space="preserve"> for greater insight and informed </w:t>
            </w:r>
            <w:r w:rsidR="007C3F1D">
              <w:rPr>
                <w:rStyle w:val="Emphasis"/>
                <w:i w:val="0"/>
              </w:rPr>
              <w:t xml:space="preserve">local action </w:t>
            </w:r>
            <w:r w:rsidR="00385F91">
              <w:rPr>
                <w:rStyle w:val="Emphasis"/>
                <w:i w:val="0"/>
              </w:rPr>
              <w:t>planning</w:t>
            </w:r>
            <w:r>
              <w:rPr>
                <w:rStyle w:val="Emphasis"/>
                <w:i w:val="0"/>
              </w:rPr>
              <w:t>.</w:t>
            </w:r>
          </w:p>
          <w:p w14:paraId="32799792" w14:textId="6F7BCA6E" w:rsidR="00385F91" w:rsidRDefault="007C3F1D" w:rsidP="008A789D">
            <w:pPr>
              <w:pStyle w:val="TBLHeading"/>
              <w:numPr>
                <w:ilvl w:val="0"/>
                <w:numId w:val="42"/>
              </w:numPr>
              <w:spacing w:line="216" w:lineRule="auto"/>
              <w:rPr>
                <w:rStyle w:val="Emphasis"/>
                <w:b/>
                <w:i w:val="0"/>
              </w:rPr>
            </w:pPr>
            <w:r>
              <w:rPr>
                <w:rStyle w:val="Emphasis"/>
                <w:i w:val="0"/>
              </w:rPr>
              <w:t xml:space="preserve">Division Heads to address </w:t>
            </w:r>
            <w:r w:rsidR="00385F91">
              <w:rPr>
                <w:rStyle w:val="Emphasis"/>
                <w:i w:val="0"/>
              </w:rPr>
              <w:t>divisional Census results</w:t>
            </w:r>
            <w:r>
              <w:rPr>
                <w:rStyle w:val="Emphasis"/>
                <w:i w:val="0"/>
              </w:rPr>
              <w:t xml:space="preserve"> and local action planning</w:t>
            </w:r>
            <w:r w:rsidR="00385F91">
              <w:rPr>
                <w:rStyle w:val="Emphasis"/>
                <w:i w:val="0"/>
              </w:rPr>
              <w:t xml:space="preserve"> </w:t>
            </w:r>
            <w:r>
              <w:rPr>
                <w:rStyle w:val="Emphasis"/>
                <w:i w:val="0"/>
              </w:rPr>
              <w:t>in</w:t>
            </w:r>
            <w:r w:rsidR="00385F91">
              <w:rPr>
                <w:rStyle w:val="Emphasis"/>
                <w:i w:val="0"/>
              </w:rPr>
              <w:t xml:space="preserve"> Divisional Review process.</w:t>
            </w:r>
          </w:p>
          <w:p w14:paraId="635A5708" w14:textId="6F45F734" w:rsidR="00F42B4E" w:rsidRPr="00E21372" w:rsidRDefault="00385F91" w:rsidP="008A789D">
            <w:pPr>
              <w:pStyle w:val="TBLHeading"/>
              <w:numPr>
                <w:ilvl w:val="0"/>
                <w:numId w:val="42"/>
              </w:numPr>
              <w:spacing w:line="216" w:lineRule="auto"/>
              <w:rPr>
                <w:rStyle w:val="Emphasis"/>
                <w:b/>
                <w:i w:val="0"/>
                <w:sz w:val="22"/>
                <w:szCs w:val="21"/>
              </w:rPr>
            </w:pPr>
            <w:r>
              <w:rPr>
                <w:rStyle w:val="Emphasis"/>
                <w:i w:val="0"/>
              </w:rPr>
              <w:t>Explore how to incorporate</w:t>
            </w:r>
            <w:r w:rsidRPr="00E21372">
              <w:rPr>
                <w:rStyle w:val="Emphasis"/>
                <w:i w:val="0"/>
              </w:rPr>
              <w:t xml:space="preserve"> Census </w:t>
            </w:r>
            <w:r>
              <w:rPr>
                <w:rStyle w:val="Emphasis"/>
                <w:i w:val="0"/>
              </w:rPr>
              <w:t xml:space="preserve">local </w:t>
            </w:r>
            <w:r w:rsidRPr="00E21372">
              <w:rPr>
                <w:rStyle w:val="Emphasis"/>
                <w:i w:val="0"/>
              </w:rPr>
              <w:t>action planning into</w:t>
            </w:r>
            <w:r>
              <w:rPr>
                <w:rStyle w:val="Emphasis"/>
                <w:i w:val="0"/>
              </w:rPr>
              <w:t xml:space="preserve"> future</w:t>
            </w:r>
            <w:r w:rsidRPr="00E21372">
              <w:rPr>
                <w:rStyle w:val="Emphasis"/>
                <w:i w:val="0"/>
              </w:rPr>
              <w:t xml:space="preserve"> </w:t>
            </w:r>
            <w:r>
              <w:rPr>
                <w:rStyle w:val="Emphasis"/>
                <w:i w:val="0"/>
              </w:rPr>
              <w:t>business planning</w:t>
            </w:r>
            <w:r w:rsidRPr="00E21372">
              <w:rPr>
                <w:rStyle w:val="Emphasis"/>
                <w:i w:val="0"/>
              </w:rPr>
              <w:t xml:space="preserve"> practices</w:t>
            </w:r>
            <w:r w:rsidR="006E61A3">
              <w:rPr>
                <w:rStyle w:val="Emphasis"/>
                <w:i w:val="0"/>
              </w:rPr>
              <w:t>*</w:t>
            </w:r>
            <w:r w:rsidRPr="00E21372">
              <w:rPr>
                <w:rStyle w:val="Emphasis"/>
                <w:i w:val="0"/>
              </w:rPr>
              <w:t xml:space="preserve">.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EE3A" w14:textId="121CDB63" w:rsidR="00336AE9" w:rsidRPr="00A556F0" w:rsidRDefault="00F42B4E" w:rsidP="006E61A3">
            <w:pPr>
              <w:pStyle w:val="TBLHeading"/>
              <w:spacing w:after="1200" w:line="216" w:lineRule="auto"/>
              <w:rPr>
                <w:rStyle w:val="Emphasis"/>
                <w:b/>
                <w:i w:val="0"/>
              </w:rPr>
            </w:pPr>
            <w:r w:rsidRPr="00A556F0">
              <w:rPr>
                <w:rStyle w:val="Emphasis"/>
                <w:i w:val="0"/>
              </w:rPr>
              <w:t>Annually</w:t>
            </w:r>
          </w:p>
          <w:p w14:paraId="1BC9B157" w14:textId="2113568A" w:rsidR="00385F91" w:rsidRPr="00A556F0" w:rsidRDefault="006E61A3" w:rsidP="006E61A3">
            <w:pPr>
              <w:pStyle w:val="TBLHeading"/>
              <w:spacing w:before="360" w:line="216" w:lineRule="auto"/>
              <w:rPr>
                <w:rStyle w:val="Emphasis"/>
                <w:b/>
                <w:i w:val="0"/>
              </w:rPr>
            </w:pPr>
            <w:r>
              <w:rPr>
                <w:rStyle w:val="Emphasis"/>
                <w:i w:val="0"/>
              </w:rPr>
              <w:t>*</w:t>
            </w:r>
            <w:r w:rsidR="00385F91" w:rsidRPr="00A556F0">
              <w:rPr>
                <w:rStyle w:val="Emphasis"/>
                <w:i w:val="0"/>
              </w:rPr>
              <w:t>Readiness for 2024-25 business planning cycle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8232" w14:textId="77777777" w:rsidR="00385F91" w:rsidRDefault="00DD0BD4" w:rsidP="008A789D">
            <w:pPr>
              <w:pStyle w:val="TBLHeading"/>
              <w:spacing w:line="216" w:lineRule="auto"/>
              <w:rPr>
                <w:rStyle w:val="Emphasis"/>
                <w:b/>
                <w:i w:val="0"/>
              </w:rPr>
            </w:pPr>
            <w:r>
              <w:rPr>
                <w:rStyle w:val="Emphasis"/>
                <w:i w:val="0"/>
              </w:rPr>
              <w:t xml:space="preserve">People Branch and </w:t>
            </w:r>
            <w:r w:rsidR="00F42B4E" w:rsidRPr="00F47A67">
              <w:rPr>
                <w:rStyle w:val="Emphasis"/>
                <w:i w:val="0"/>
              </w:rPr>
              <w:t>SES</w:t>
            </w:r>
          </w:p>
          <w:p w14:paraId="23A50B82" w14:textId="34A8CA17" w:rsidR="00F42B4E" w:rsidRDefault="00385F91" w:rsidP="008A789D">
            <w:pPr>
              <w:pStyle w:val="TBLHeading"/>
              <w:spacing w:line="216" w:lineRule="auto"/>
              <w:rPr>
                <w:rStyle w:val="Emphasis"/>
                <w:b/>
                <w:i w:val="0"/>
                <w:sz w:val="22"/>
                <w:szCs w:val="21"/>
              </w:rPr>
            </w:pPr>
            <w:r w:rsidRPr="003B4280">
              <w:rPr>
                <w:rStyle w:val="Emphasis"/>
                <w:i w:val="0"/>
              </w:rPr>
              <w:t>Governance, Performance and Audit Branch an</w:t>
            </w:r>
            <w:r>
              <w:rPr>
                <w:rStyle w:val="Emphasis"/>
                <w:i w:val="0"/>
              </w:rPr>
              <w:t>d People Branch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5CDF" w14:textId="5B15D814" w:rsidR="00984CDE" w:rsidRPr="00984CDE" w:rsidRDefault="00984CDE" w:rsidP="008A789D">
            <w:pPr>
              <w:pStyle w:val="TBLHeading"/>
              <w:spacing w:line="216" w:lineRule="auto"/>
              <w:rPr>
                <w:rStyle w:val="Emphasis"/>
                <w:b/>
                <w:i w:val="0"/>
              </w:rPr>
            </w:pPr>
            <w:r w:rsidRPr="00984CDE">
              <w:rPr>
                <w:rStyle w:val="Emphasis"/>
                <w:i w:val="0"/>
              </w:rPr>
              <w:t xml:space="preserve">Monitor Census index score, including engagement levels, </w:t>
            </w:r>
            <w:r>
              <w:rPr>
                <w:rStyle w:val="Emphasis"/>
                <w:i w:val="0"/>
              </w:rPr>
              <w:t>and maintain or improve in 2024</w:t>
            </w:r>
            <w:r w:rsidRPr="00984CDE">
              <w:rPr>
                <w:rStyle w:val="Emphasis"/>
                <w:i w:val="0"/>
              </w:rPr>
              <w:t>.</w:t>
            </w:r>
          </w:p>
          <w:p w14:paraId="0DB736D9" w14:textId="124EC438" w:rsidR="00F42B4E" w:rsidRDefault="007C3F1D" w:rsidP="00641693">
            <w:pPr>
              <w:pStyle w:val="TBLHeading"/>
              <w:spacing w:line="216" w:lineRule="auto"/>
              <w:rPr>
                <w:rStyle w:val="Emphasis"/>
                <w:b/>
                <w:i w:val="0"/>
              </w:rPr>
            </w:pPr>
            <w:r>
              <w:rPr>
                <w:rStyle w:val="Emphasis"/>
                <w:i w:val="0"/>
              </w:rPr>
              <w:t xml:space="preserve">Greater consistency </w:t>
            </w:r>
            <w:r w:rsidR="00641693">
              <w:rPr>
                <w:rStyle w:val="Emphasis"/>
                <w:i w:val="0"/>
              </w:rPr>
              <w:t>between</w:t>
            </w:r>
            <w:r>
              <w:rPr>
                <w:rStyle w:val="Emphasis"/>
                <w:i w:val="0"/>
              </w:rPr>
              <w:t xml:space="preserve"> </w:t>
            </w:r>
            <w:r w:rsidR="00E91635">
              <w:rPr>
                <w:rStyle w:val="Emphasis"/>
                <w:i w:val="0"/>
              </w:rPr>
              <w:t xml:space="preserve">business </w:t>
            </w:r>
            <w:r w:rsidR="00641693">
              <w:rPr>
                <w:rStyle w:val="Emphasis"/>
                <w:i w:val="0"/>
              </w:rPr>
              <w:t xml:space="preserve">planning </w:t>
            </w:r>
            <w:r w:rsidR="00E91635">
              <w:rPr>
                <w:rStyle w:val="Emphasis"/>
                <w:i w:val="0"/>
              </w:rPr>
              <w:t xml:space="preserve">and </w:t>
            </w:r>
            <w:r>
              <w:rPr>
                <w:rStyle w:val="Emphasis"/>
                <w:i w:val="0"/>
              </w:rPr>
              <w:t>local action planning.</w:t>
            </w:r>
          </w:p>
        </w:tc>
      </w:tr>
      <w:bookmarkEnd w:id="0"/>
    </w:tbl>
    <w:p w14:paraId="3B643123" w14:textId="1A4681BF" w:rsidR="00513CED" w:rsidRDefault="00513CED" w:rsidP="00B7014C">
      <w:pPr>
        <w:rPr>
          <w:rFonts w:eastAsiaTheme="majorEastAsia" w:cstheme="minorHAnsi"/>
          <w:b/>
          <w:color w:val="3266AB"/>
          <w:szCs w:val="22"/>
        </w:rPr>
      </w:pPr>
    </w:p>
    <w:sectPr w:rsidR="00513CED" w:rsidSect="008A78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843" w:right="1418" w:bottom="426" w:left="1843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FE97C" w14:textId="77777777" w:rsidR="00681691" w:rsidRDefault="00681691" w:rsidP="00F957C6">
      <w:pPr>
        <w:spacing w:after="0" w:line="240" w:lineRule="auto"/>
      </w:pPr>
      <w:r>
        <w:separator/>
      </w:r>
    </w:p>
  </w:endnote>
  <w:endnote w:type="continuationSeparator" w:id="0">
    <w:p w14:paraId="371F92B8" w14:textId="77777777" w:rsidR="00681691" w:rsidRDefault="00681691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5E7B1" w14:textId="77777777" w:rsidR="00250856" w:rsidRDefault="00250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5FF59" w14:textId="77777777" w:rsidR="00D10635" w:rsidRPr="00F86700" w:rsidRDefault="00412408" w:rsidP="00F86700">
    <w:pPr>
      <w:pStyle w:val="CLASSIFICATION"/>
    </w:pPr>
    <w:sdt>
      <w:sdtPr>
        <w:rPr>
          <w:rStyle w:val="CLASSIFICATIONChar"/>
          <w:caps/>
        </w:rPr>
        <w:alias w:val="Classification"/>
        <w:tag w:val="Classification"/>
        <w:id w:val="-1108812684"/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>
        <w:rPr>
          <w:rStyle w:val="DefaultParagraphFont"/>
        </w:rPr>
      </w:sdtEndPr>
      <w:sdtContent>
        <w:r w:rsidR="00F86700" w:rsidRPr="00F86700">
          <w:rPr>
            <w:rStyle w:val="CLASSIFICATIONChar"/>
            <w:caps/>
          </w:rPr>
          <w:t>Classification</w:t>
        </w:r>
      </w:sdtContent>
    </w:sdt>
  </w:p>
  <w:p w14:paraId="4AD5FF5A" w14:textId="20BF1C61" w:rsidR="00037513" w:rsidRPr="00852F35" w:rsidRDefault="00037513" w:rsidP="00D10635">
    <w:pPr>
      <w:pStyle w:val="Header"/>
      <w:rPr>
        <w:rFonts w:ascii="Segoe UI" w:hAnsi="Segoe UI" w:cs="Segoe UI"/>
        <w:color w:val="6E6E6E"/>
        <w:sz w:val="18"/>
      </w:rPr>
    </w:pPr>
    <w:r w:rsidRPr="00852F35">
      <w:rPr>
        <w:color w:val="6E6E6E"/>
        <w:sz w:val="18"/>
        <w:szCs w:val="18"/>
      </w:rPr>
      <w:t>PM&amp;C |</w:t>
    </w:r>
    <w:r w:rsidR="00376FE6" w:rsidRPr="00852F35">
      <w:rPr>
        <w:color w:val="6E6E6E"/>
        <w:sz w:val="18"/>
        <w:szCs w:val="18"/>
      </w:rPr>
      <w:t xml:space="preserve"> </w:t>
    </w:r>
    <w:r w:rsidR="00F01215">
      <w:rPr>
        <w:color w:val="6E6E6E"/>
        <w:sz w:val="18"/>
        <w:szCs w:val="18"/>
      </w:rPr>
      <w:t>[People Branch]</w:t>
    </w:r>
    <w:r w:rsidR="00376FE6" w:rsidRPr="00852F35">
      <w:rPr>
        <w:color w:val="6E6E6E"/>
        <w:sz w:val="18"/>
        <w:szCs w:val="18"/>
      </w:rPr>
      <w:t xml:space="preserve"> </w:t>
    </w:r>
    <w:r w:rsidRPr="00852F35">
      <w:rPr>
        <w:color w:val="6E6E6E"/>
        <w:sz w:val="18"/>
        <w:szCs w:val="18"/>
      </w:rPr>
      <w:t xml:space="preserve">| </w:t>
    </w:r>
    <w:r w:rsidR="00F928B4">
      <w:rPr>
        <w:color w:val="6E6E6E"/>
        <w:sz w:val="18"/>
        <w:szCs w:val="18"/>
      </w:rPr>
      <w:t>APS Employee Census – PM&amp;C Action Plan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250856">
      <w:rPr>
        <w:rFonts w:ascii="Segoe UI" w:hAnsi="Segoe UI" w:cs="Segoe UI"/>
        <w:noProof/>
        <w:color w:val="6E6E6E"/>
        <w:sz w:val="18"/>
      </w:rPr>
      <w:t>2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5FF5D" w14:textId="28CD4453" w:rsidR="00464D89" w:rsidRPr="00BB1526" w:rsidRDefault="00BB1526" w:rsidP="00B7014C">
    <w:pPr>
      <w:pStyle w:val="Header"/>
      <w:ind w:left="-993" w:right="-31"/>
      <w:rPr>
        <w:rFonts w:ascii="Segoe UI" w:hAnsi="Segoe UI" w:cs="Segoe UI"/>
        <w:color w:val="6E6E6E"/>
        <w:sz w:val="18"/>
      </w:rPr>
    </w:pPr>
    <w:r w:rsidRPr="00852F35">
      <w:rPr>
        <w:color w:val="6E6E6E"/>
        <w:sz w:val="18"/>
        <w:szCs w:val="18"/>
      </w:rPr>
      <w:t xml:space="preserve">PM&amp;C | </w:t>
    </w:r>
    <w:r w:rsidR="00F928B4">
      <w:rPr>
        <w:color w:val="6E6E6E"/>
        <w:sz w:val="18"/>
        <w:szCs w:val="18"/>
      </w:rPr>
      <w:t>APS Employee Census – PM&amp;C Action Plan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412408">
      <w:rPr>
        <w:rFonts w:ascii="Segoe UI" w:hAnsi="Segoe UI" w:cs="Segoe UI"/>
        <w:noProof/>
        <w:color w:val="6E6E6E"/>
        <w:sz w:val="18"/>
      </w:rPr>
      <w:t>1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08AA9" w14:textId="77777777" w:rsidR="00681691" w:rsidRDefault="00681691" w:rsidP="00F957C6">
      <w:pPr>
        <w:spacing w:after="0" w:line="240" w:lineRule="auto"/>
      </w:pPr>
      <w:r>
        <w:separator/>
      </w:r>
    </w:p>
  </w:footnote>
  <w:footnote w:type="continuationSeparator" w:id="0">
    <w:p w14:paraId="67B6EE59" w14:textId="77777777" w:rsidR="00681691" w:rsidRDefault="00681691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98FB2" w14:textId="77777777" w:rsidR="00250856" w:rsidRDefault="00250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5FF58" w14:textId="6D169C9E" w:rsidR="00037513" w:rsidRPr="00D10635" w:rsidRDefault="00412408" w:rsidP="00464D89">
    <w:pPr>
      <w:pStyle w:val="Header"/>
      <w:jc w:val="center"/>
    </w:pPr>
    <w:sdt>
      <w:sdtPr>
        <w:rPr>
          <w:rStyle w:val="CLASSIFICATIONChar"/>
        </w:rPr>
        <w:alias w:val="Classification"/>
        <w:tag w:val="Classification"/>
        <w:id w:val="-948156739"/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>
        <w:rPr>
          <w:rStyle w:val="DefaultParagraphFont"/>
          <w:rFonts w:asciiTheme="minorHAnsi" w:hAnsiTheme="minorHAnsi"/>
          <w:caps w:val="0"/>
          <w:color w:val="auto"/>
          <w:sz w:val="22"/>
        </w:rPr>
      </w:sdtEndPr>
      <w:sdtContent>
        <w:r w:rsidR="00385F91">
          <w:rPr>
            <w:rStyle w:val="CLASSIFICATIONChar"/>
          </w:rPr>
          <w:t>Official</w:t>
        </w:r>
      </w:sdtContent>
    </w:sdt>
    <w:r w:rsidR="00D04E6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AD5FF5E" wp14:editId="4AD5FF5F">
              <wp:simplePos x="0" y="0"/>
              <wp:positionH relativeFrom="column">
                <wp:posOffset>8895261</wp:posOffset>
              </wp:positionH>
              <wp:positionV relativeFrom="page">
                <wp:posOffset>691515</wp:posOffset>
              </wp:positionV>
              <wp:extent cx="608400" cy="0"/>
              <wp:effectExtent l="0" t="0" r="203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2E3837" id="Straight Connector 4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700.4pt,54.45pt" to="748.3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" strokecolor="black [3200]" strokeweight=".5pt">
              <v:stroke joinstyle="miter"/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5FF5B" w14:textId="3E47F202" w:rsidR="00037513" w:rsidRDefault="00BD09AB" w:rsidP="00BD09AB">
    <w:pPr>
      <w:pStyle w:val="Header"/>
      <w:tabs>
        <w:tab w:val="left" w:pos="6096"/>
      </w:tabs>
      <w:jc w:val="center"/>
    </w:pPr>
    <w:r w:rsidRPr="002160A7">
      <w:rPr>
        <w:noProof/>
        <w:lang w:eastAsia="en-AU"/>
      </w:rPr>
      <w:drawing>
        <wp:anchor distT="0" distB="0" distL="114300" distR="114300" simplePos="0" relativeHeight="251679744" behindDoc="1" locked="0" layoutInCell="1" allowOverlap="1" wp14:anchorId="4AD5FF60" wp14:editId="77C33DF8">
          <wp:simplePos x="0" y="0"/>
          <wp:positionH relativeFrom="column">
            <wp:posOffset>-962932</wp:posOffset>
          </wp:positionH>
          <wp:positionV relativeFrom="page">
            <wp:posOffset>115570</wp:posOffset>
          </wp:positionV>
          <wp:extent cx="3600000" cy="806400"/>
          <wp:effectExtent l="0" t="0" r="0" b="0"/>
          <wp:wrapNone/>
          <wp:docPr id="32" name="Picture 32" descr="Australian Government Department of the Prime Minist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C_Logo_Primary_RGB_Black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6"/>
                  <a:stretch/>
                </pic:blipFill>
                <pic:spPr bwMode="auto">
                  <a:xfrm>
                    <a:off x="0" y="0"/>
                    <a:ext cx="3600000" cy="8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/>
        <w:caps/>
        <w:noProof/>
        <w:color w:val="C00000"/>
        <w:sz w:val="18"/>
        <w:lang w:eastAsia="en-AU"/>
      </w:rPr>
      <w:drawing>
        <wp:anchor distT="0" distB="0" distL="114300" distR="114300" simplePos="0" relativeHeight="251681792" behindDoc="1" locked="0" layoutInCell="1" allowOverlap="1" wp14:anchorId="4AD5FF62" wp14:editId="4008A98C">
          <wp:simplePos x="0" y="0"/>
          <wp:positionH relativeFrom="column">
            <wp:posOffset>7416165</wp:posOffset>
          </wp:positionH>
          <wp:positionV relativeFrom="paragraph">
            <wp:posOffset>-517525</wp:posOffset>
          </wp:positionV>
          <wp:extent cx="1473200" cy="1789430"/>
          <wp:effectExtent l="0" t="0" r="0" b="1270"/>
          <wp:wrapNone/>
          <wp:docPr id="33" name="Picture 3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PM&amp;C Template Acrony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178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FBC4037"/>
    <w:multiLevelType w:val="hybridMultilevel"/>
    <w:tmpl w:val="9C74B6E8"/>
    <w:lvl w:ilvl="0" w:tplc="D0480600">
      <w:numFmt w:val="bullet"/>
      <w:lvlText w:val="-"/>
      <w:lvlJc w:val="left"/>
      <w:pPr>
        <w:ind w:left="720" w:hanging="360"/>
      </w:pPr>
      <w:rPr>
        <w:rFonts w:ascii="Segoe UI Semilight" w:eastAsiaTheme="minorEastAsia" w:hAnsi="Segoe UI Semilight" w:cs="Segoe UI Semi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C45D6"/>
    <w:multiLevelType w:val="hybridMultilevel"/>
    <w:tmpl w:val="6100C206"/>
    <w:lvl w:ilvl="0" w:tplc="C2B06746">
      <w:numFmt w:val="bullet"/>
      <w:lvlText w:val="-"/>
      <w:lvlJc w:val="left"/>
      <w:pPr>
        <w:ind w:left="360" w:hanging="360"/>
      </w:pPr>
      <w:rPr>
        <w:rFonts w:ascii="Segoe UI Semilight" w:eastAsiaTheme="minorEastAsia" w:hAnsi="Segoe UI Semilight" w:cs="Segoe UI Semilight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26743A8"/>
    <w:multiLevelType w:val="hybridMultilevel"/>
    <w:tmpl w:val="9C74AE04"/>
    <w:lvl w:ilvl="0" w:tplc="E0D26456">
      <w:numFmt w:val="bullet"/>
      <w:lvlText w:val="-"/>
      <w:lvlJc w:val="left"/>
      <w:pPr>
        <w:ind w:left="720" w:hanging="360"/>
      </w:pPr>
      <w:rPr>
        <w:rFonts w:ascii="Segoe UI Semilight" w:eastAsiaTheme="minorEastAsia" w:hAnsi="Segoe UI Semilight" w:cs="Segoe UI Semi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D4655"/>
    <w:multiLevelType w:val="hybridMultilevel"/>
    <w:tmpl w:val="46B62094"/>
    <w:lvl w:ilvl="0" w:tplc="D4844FA8">
      <w:numFmt w:val="bullet"/>
      <w:lvlText w:val="-"/>
      <w:lvlJc w:val="left"/>
      <w:pPr>
        <w:ind w:left="720" w:hanging="360"/>
      </w:pPr>
      <w:rPr>
        <w:rFonts w:ascii="Segoe UI Semilight" w:eastAsiaTheme="minorEastAsia" w:hAnsi="Segoe UI Semilight" w:cs="Segoe UI Semi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E132B"/>
    <w:multiLevelType w:val="hybridMultilevel"/>
    <w:tmpl w:val="79A8C086"/>
    <w:lvl w:ilvl="0" w:tplc="60586558">
      <w:numFmt w:val="bullet"/>
      <w:lvlText w:val="-"/>
      <w:lvlJc w:val="left"/>
      <w:pPr>
        <w:ind w:left="720" w:hanging="360"/>
      </w:pPr>
      <w:rPr>
        <w:rFonts w:ascii="Segoe UI Semilight" w:eastAsiaTheme="minorEastAsia" w:hAnsi="Segoe UI Semilight" w:cs="Segoe UI Semilight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4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20"/>
  </w:num>
  <w:num w:numId="20">
    <w:abstractNumId w:val="20"/>
    <w:lvlOverride w:ilvl="0">
      <w:startOverride w:val="1"/>
    </w:lvlOverride>
  </w:num>
  <w:num w:numId="21">
    <w:abstractNumId w:val="25"/>
  </w:num>
  <w:num w:numId="22">
    <w:abstractNumId w:val="22"/>
  </w:num>
  <w:num w:numId="23">
    <w:abstractNumId w:val="11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4"/>
  </w:num>
  <w:num w:numId="28">
    <w:abstractNumId w:val="19"/>
  </w:num>
  <w:num w:numId="29">
    <w:abstractNumId w:val="13"/>
  </w:num>
  <w:num w:numId="30">
    <w:abstractNumId w:val="15"/>
  </w:num>
  <w:num w:numId="31">
    <w:abstractNumId w:val="12"/>
  </w:num>
  <w:num w:numId="32">
    <w:abstractNumId w:val="25"/>
    <w:lvlOverride w:ilvl="0">
      <w:startOverride w:val="1"/>
    </w:lvlOverride>
  </w:num>
  <w:num w:numId="33">
    <w:abstractNumId w:val="25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24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6"/>
  </w:num>
  <w:num w:numId="39">
    <w:abstractNumId w:val="21"/>
  </w:num>
  <w:num w:numId="40">
    <w:abstractNumId w:val="17"/>
  </w:num>
  <w:num w:numId="41">
    <w:abstractNumId w:val="2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activeWritingStyle w:appName="MSWord" w:lang="en-AU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6F"/>
    <w:rsid w:val="000019AC"/>
    <w:rsid w:val="00013EB1"/>
    <w:rsid w:val="00027038"/>
    <w:rsid w:val="0003154E"/>
    <w:rsid w:val="00037513"/>
    <w:rsid w:val="0006627F"/>
    <w:rsid w:val="00073140"/>
    <w:rsid w:val="0008755A"/>
    <w:rsid w:val="000B3417"/>
    <w:rsid w:val="000B6A28"/>
    <w:rsid w:val="000D749D"/>
    <w:rsid w:val="000E4BF0"/>
    <w:rsid w:val="00115264"/>
    <w:rsid w:val="00117A77"/>
    <w:rsid w:val="0014491E"/>
    <w:rsid w:val="001611BF"/>
    <w:rsid w:val="0017436A"/>
    <w:rsid w:val="00184BA4"/>
    <w:rsid w:val="001954B4"/>
    <w:rsid w:val="00195F4D"/>
    <w:rsid w:val="001B2D56"/>
    <w:rsid w:val="001B7B71"/>
    <w:rsid w:val="001F0CB5"/>
    <w:rsid w:val="00212443"/>
    <w:rsid w:val="00220DDA"/>
    <w:rsid w:val="00221EFD"/>
    <w:rsid w:val="00227DB5"/>
    <w:rsid w:val="002355D7"/>
    <w:rsid w:val="00250856"/>
    <w:rsid w:val="00266CCC"/>
    <w:rsid w:val="00274D42"/>
    <w:rsid w:val="002824F8"/>
    <w:rsid w:val="00285CAF"/>
    <w:rsid w:val="002B661A"/>
    <w:rsid w:val="002C7A05"/>
    <w:rsid w:val="002D6B3D"/>
    <w:rsid w:val="002E4EDA"/>
    <w:rsid w:val="002E5916"/>
    <w:rsid w:val="002F6B52"/>
    <w:rsid w:val="002F7F98"/>
    <w:rsid w:val="00303C55"/>
    <w:rsid w:val="00311C2D"/>
    <w:rsid w:val="00317030"/>
    <w:rsid w:val="0033157A"/>
    <w:rsid w:val="00336AE9"/>
    <w:rsid w:val="00353E5E"/>
    <w:rsid w:val="00361020"/>
    <w:rsid w:val="00374028"/>
    <w:rsid w:val="00374D2A"/>
    <w:rsid w:val="00376FE6"/>
    <w:rsid w:val="00385BD5"/>
    <w:rsid w:val="00385F91"/>
    <w:rsid w:val="003A1E8B"/>
    <w:rsid w:val="003A4FE7"/>
    <w:rsid w:val="003A640F"/>
    <w:rsid w:val="003B273A"/>
    <w:rsid w:val="003B2D30"/>
    <w:rsid w:val="003B4280"/>
    <w:rsid w:val="003C181D"/>
    <w:rsid w:val="003C6D86"/>
    <w:rsid w:val="003D253C"/>
    <w:rsid w:val="003D52B0"/>
    <w:rsid w:val="003D676D"/>
    <w:rsid w:val="003E1AB2"/>
    <w:rsid w:val="003E3A3C"/>
    <w:rsid w:val="003F16AC"/>
    <w:rsid w:val="003F23E9"/>
    <w:rsid w:val="0040233B"/>
    <w:rsid w:val="00412408"/>
    <w:rsid w:val="00413D0E"/>
    <w:rsid w:val="00443F97"/>
    <w:rsid w:val="004474A5"/>
    <w:rsid w:val="00464D89"/>
    <w:rsid w:val="00476AC8"/>
    <w:rsid w:val="00490B90"/>
    <w:rsid w:val="004A4055"/>
    <w:rsid w:val="004A53EC"/>
    <w:rsid w:val="004B2C90"/>
    <w:rsid w:val="004C17DE"/>
    <w:rsid w:val="004F4C4F"/>
    <w:rsid w:val="00503252"/>
    <w:rsid w:val="00513CED"/>
    <w:rsid w:val="00521ADA"/>
    <w:rsid w:val="005226B9"/>
    <w:rsid w:val="005453FC"/>
    <w:rsid w:val="00561FB9"/>
    <w:rsid w:val="00580F02"/>
    <w:rsid w:val="0058338D"/>
    <w:rsid w:val="00584D8E"/>
    <w:rsid w:val="00591288"/>
    <w:rsid w:val="005917FD"/>
    <w:rsid w:val="005A4AA1"/>
    <w:rsid w:val="005B3358"/>
    <w:rsid w:val="005C0F15"/>
    <w:rsid w:val="005C3C13"/>
    <w:rsid w:val="005D4706"/>
    <w:rsid w:val="005D4DF3"/>
    <w:rsid w:val="005E051E"/>
    <w:rsid w:val="006147EB"/>
    <w:rsid w:val="006200EB"/>
    <w:rsid w:val="00621EA3"/>
    <w:rsid w:val="00640234"/>
    <w:rsid w:val="00641693"/>
    <w:rsid w:val="00642EFC"/>
    <w:rsid w:val="0064343A"/>
    <w:rsid w:val="00665FB6"/>
    <w:rsid w:val="006736B1"/>
    <w:rsid w:val="00681691"/>
    <w:rsid w:val="006A008F"/>
    <w:rsid w:val="006A5AA6"/>
    <w:rsid w:val="006E170D"/>
    <w:rsid w:val="006E61A3"/>
    <w:rsid w:val="006E698B"/>
    <w:rsid w:val="0070727E"/>
    <w:rsid w:val="0071548B"/>
    <w:rsid w:val="007203E4"/>
    <w:rsid w:val="007204A9"/>
    <w:rsid w:val="00722E34"/>
    <w:rsid w:val="00736314"/>
    <w:rsid w:val="00756929"/>
    <w:rsid w:val="00766284"/>
    <w:rsid w:val="00767DBB"/>
    <w:rsid w:val="00774646"/>
    <w:rsid w:val="00781695"/>
    <w:rsid w:val="007A02A7"/>
    <w:rsid w:val="007A5473"/>
    <w:rsid w:val="007C0935"/>
    <w:rsid w:val="007C3F1D"/>
    <w:rsid w:val="007D35F4"/>
    <w:rsid w:val="007F4E93"/>
    <w:rsid w:val="008046D4"/>
    <w:rsid w:val="00805A28"/>
    <w:rsid w:val="00811859"/>
    <w:rsid w:val="008159DD"/>
    <w:rsid w:val="00833792"/>
    <w:rsid w:val="00852F35"/>
    <w:rsid w:val="00857363"/>
    <w:rsid w:val="00880485"/>
    <w:rsid w:val="00883248"/>
    <w:rsid w:val="008A0614"/>
    <w:rsid w:val="008A6AD9"/>
    <w:rsid w:val="008A789D"/>
    <w:rsid w:val="008B16DB"/>
    <w:rsid w:val="008B44F5"/>
    <w:rsid w:val="008C47A1"/>
    <w:rsid w:val="008C738F"/>
    <w:rsid w:val="008D244B"/>
    <w:rsid w:val="008D6B9E"/>
    <w:rsid w:val="008E1024"/>
    <w:rsid w:val="0090357B"/>
    <w:rsid w:val="00913ED0"/>
    <w:rsid w:val="00927650"/>
    <w:rsid w:val="00937B75"/>
    <w:rsid w:val="00942CB6"/>
    <w:rsid w:val="00942CE9"/>
    <w:rsid w:val="009522F3"/>
    <w:rsid w:val="00954FF2"/>
    <w:rsid w:val="009615D2"/>
    <w:rsid w:val="00962EE8"/>
    <w:rsid w:val="009672D3"/>
    <w:rsid w:val="00976EE9"/>
    <w:rsid w:val="00984376"/>
    <w:rsid w:val="00984CDE"/>
    <w:rsid w:val="009927D1"/>
    <w:rsid w:val="0099472F"/>
    <w:rsid w:val="009978B7"/>
    <w:rsid w:val="009A138B"/>
    <w:rsid w:val="009A6D9C"/>
    <w:rsid w:val="009C60F6"/>
    <w:rsid w:val="009F0889"/>
    <w:rsid w:val="009F2EFC"/>
    <w:rsid w:val="009F4321"/>
    <w:rsid w:val="009F6A0F"/>
    <w:rsid w:val="009F6D0E"/>
    <w:rsid w:val="00A008E6"/>
    <w:rsid w:val="00A12C83"/>
    <w:rsid w:val="00A13020"/>
    <w:rsid w:val="00A421E2"/>
    <w:rsid w:val="00A556F0"/>
    <w:rsid w:val="00A60876"/>
    <w:rsid w:val="00A62EF3"/>
    <w:rsid w:val="00A72061"/>
    <w:rsid w:val="00A734EC"/>
    <w:rsid w:val="00A7589A"/>
    <w:rsid w:val="00A804F1"/>
    <w:rsid w:val="00A918A7"/>
    <w:rsid w:val="00A94C85"/>
    <w:rsid w:val="00AA705F"/>
    <w:rsid w:val="00AB4E4C"/>
    <w:rsid w:val="00AC2CDC"/>
    <w:rsid w:val="00AD7805"/>
    <w:rsid w:val="00B00ABD"/>
    <w:rsid w:val="00B028C4"/>
    <w:rsid w:val="00B1171B"/>
    <w:rsid w:val="00B13578"/>
    <w:rsid w:val="00B56736"/>
    <w:rsid w:val="00B6596F"/>
    <w:rsid w:val="00B7014C"/>
    <w:rsid w:val="00BA796F"/>
    <w:rsid w:val="00BB1526"/>
    <w:rsid w:val="00BC1C56"/>
    <w:rsid w:val="00BC6EA9"/>
    <w:rsid w:val="00BD09AB"/>
    <w:rsid w:val="00BD171D"/>
    <w:rsid w:val="00BD57F5"/>
    <w:rsid w:val="00BE48A4"/>
    <w:rsid w:val="00BE56F0"/>
    <w:rsid w:val="00BE7F77"/>
    <w:rsid w:val="00C03A5A"/>
    <w:rsid w:val="00C12D35"/>
    <w:rsid w:val="00C16554"/>
    <w:rsid w:val="00C47620"/>
    <w:rsid w:val="00C51EC3"/>
    <w:rsid w:val="00C7054D"/>
    <w:rsid w:val="00C70947"/>
    <w:rsid w:val="00CC05CA"/>
    <w:rsid w:val="00CC6110"/>
    <w:rsid w:val="00D03799"/>
    <w:rsid w:val="00D04E61"/>
    <w:rsid w:val="00D05367"/>
    <w:rsid w:val="00D10635"/>
    <w:rsid w:val="00D23529"/>
    <w:rsid w:val="00D500C1"/>
    <w:rsid w:val="00D525B8"/>
    <w:rsid w:val="00D55C86"/>
    <w:rsid w:val="00D66A7D"/>
    <w:rsid w:val="00D8271A"/>
    <w:rsid w:val="00DA18A2"/>
    <w:rsid w:val="00DD0BD4"/>
    <w:rsid w:val="00DF2F8D"/>
    <w:rsid w:val="00DF67B0"/>
    <w:rsid w:val="00DF6F6E"/>
    <w:rsid w:val="00E05FA4"/>
    <w:rsid w:val="00E206A2"/>
    <w:rsid w:val="00E21372"/>
    <w:rsid w:val="00E224F4"/>
    <w:rsid w:val="00E23E07"/>
    <w:rsid w:val="00E2753F"/>
    <w:rsid w:val="00E84F06"/>
    <w:rsid w:val="00E877A0"/>
    <w:rsid w:val="00E91635"/>
    <w:rsid w:val="00E92551"/>
    <w:rsid w:val="00E968FA"/>
    <w:rsid w:val="00EA5735"/>
    <w:rsid w:val="00EB76A2"/>
    <w:rsid w:val="00EC7EA1"/>
    <w:rsid w:val="00ED0697"/>
    <w:rsid w:val="00ED7D85"/>
    <w:rsid w:val="00EE6217"/>
    <w:rsid w:val="00EE652B"/>
    <w:rsid w:val="00F01215"/>
    <w:rsid w:val="00F03073"/>
    <w:rsid w:val="00F0485B"/>
    <w:rsid w:val="00F236DA"/>
    <w:rsid w:val="00F32EB6"/>
    <w:rsid w:val="00F42B4E"/>
    <w:rsid w:val="00F47A67"/>
    <w:rsid w:val="00F52F2E"/>
    <w:rsid w:val="00F66078"/>
    <w:rsid w:val="00F86700"/>
    <w:rsid w:val="00F87586"/>
    <w:rsid w:val="00F928B4"/>
    <w:rsid w:val="00F957C6"/>
    <w:rsid w:val="00FD20A5"/>
    <w:rsid w:val="00FD2C22"/>
    <w:rsid w:val="00FE050C"/>
    <w:rsid w:val="00FE2C7F"/>
    <w:rsid w:val="00FE4A05"/>
    <w:rsid w:val="00FF3EAE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AD5FEA0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6147EB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092B5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6147EB"/>
    <w:pPr>
      <w:keepNext/>
      <w:keepLines/>
      <w:spacing w:before="240"/>
      <w:outlineLvl w:val="3"/>
    </w:pPr>
    <w:rPr>
      <w:rFonts w:eastAsiaTheme="majorEastAsia" w:cstheme="minorHAnsi"/>
      <w:b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147EB"/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092B5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6147EB"/>
    <w:rPr>
      <w:rFonts w:eastAsiaTheme="majorEastAsia" w:cstheme="minorHAnsi"/>
      <w:b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F86700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F86700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147EB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1D75E7" w:themeColor="accent1" w:themeTint="99"/>
        <w:left w:val="single" w:sz="4" w:space="0" w:color="1D75E7" w:themeColor="accent1" w:themeTint="99"/>
        <w:bottom w:val="single" w:sz="4" w:space="0" w:color="1D75E7" w:themeColor="accent1" w:themeTint="99"/>
        <w:right w:val="single" w:sz="4" w:space="0" w:color="1D75E7" w:themeColor="accent1" w:themeTint="99"/>
        <w:insideH w:val="single" w:sz="4" w:space="0" w:color="1D75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2B57" w:themeColor="accent1"/>
          <w:left w:val="single" w:sz="4" w:space="0" w:color="092B57" w:themeColor="accent1"/>
          <w:bottom w:val="single" w:sz="4" w:space="0" w:color="092B57" w:themeColor="accent1"/>
          <w:right w:val="single" w:sz="4" w:space="0" w:color="092B57" w:themeColor="accent1"/>
          <w:insideH w:val="nil"/>
        </w:tcBorders>
        <w:shd w:val="clear" w:color="auto" w:fill="092B57" w:themeFill="accent1"/>
      </w:tcPr>
    </w:tblStylePr>
    <w:tblStylePr w:type="lastRow">
      <w:rPr>
        <w:b/>
        <w:bCs/>
      </w:rPr>
      <w:tblPr/>
      <w:tcPr>
        <w:tcBorders>
          <w:top w:val="double" w:sz="4" w:space="0" w:color="1D75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1F7" w:themeFill="accent1" w:themeFillTint="33"/>
      </w:tcPr>
    </w:tblStylePr>
    <w:tblStylePr w:type="band1Horz">
      <w:tblPr/>
      <w:tcPr>
        <w:shd w:val="clear" w:color="auto" w:fill="B3D1F7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6147EB"/>
    <w:pPr>
      <w:numPr>
        <w:numId w:val="27"/>
      </w:numPr>
      <w:spacing w:before="240"/>
    </w:pPr>
    <w:rPr>
      <w:rFonts w:ascii="Segoe UI" w:hAnsi="Segoe UI" w:cs="Segoe UI"/>
      <w:color w:val="3266AB"/>
    </w:rPr>
  </w:style>
  <w:style w:type="paragraph" w:customStyle="1" w:styleId="TBLHeading">
    <w:name w:val="TBL Heading"/>
    <w:basedOn w:val="Normal"/>
    <w:autoRedefine/>
    <w:uiPriority w:val="11"/>
    <w:qFormat/>
    <w:rsid w:val="00385F91"/>
    <w:pPr>
      <w:spacing w:before="120" w:after="120" w:line="240" w:lineRule="auto"/>
    </w:pPr>
    <w:rPr>
      <w:sz w:val="20"/>
      <w:szCs w:val="20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1B375C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BD09AB"/>
    <w:tblPr>
      <w:tblBorders>
        <w:top w:val="none" w:sz="0" w:space="0" w:color="auto"/>
        <w:left w:val="single" w:sz="4" w:space="0" w:color="092B57" w:themeColor="accent1"/>
        <w:bottom w:val="single" w:sz="4" w:space="0" w:color="092B57" w:themeColor="accent1"/>
        <w:right w:val="single" w:sz="4" w:space="0" w:color="092B57" w:themeColor="accent1"/>
        <w:insideH w:val="none" w:sz="0" w:space="0" w:color="auto"/>
        <w:insideV w:val="single" w:sz="4" w:space="0" w:color="092B57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firstCol">
      <w:rPr>
        <w:b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customStyle="1" w:styleId="TableBody">
    <w:name w:val="Table Body"/>
    <w:basedOn w:val="Normal"/>
    <w:uiPriority w:val="11"/>
    <w:qFormat/>
    <w:rsid w:val="008B16DB"/>
    <w:pPr>
      <w:spacing w:before="40" w:after="40"/>
    </w:pPr>
    <w:rPr>
      <w:rFonts w:eastAsiaTheme="minorHAnsi"/>
      <w:color w:val="262626" w:themeColor="text1" w:themeTint="D9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E6217"/>
    <w:rPr>
      <w:color w:val="1B375C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E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E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E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652B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sreform.gov.au/about-aps-reform/our-focus-area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mc.gov.au/sites/default/files/resource/download/inclusion-diversity-strategy-2023-2026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mc.gov.au/resources/corporate-plan-2023-2024/part-2-environment/risk-manag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M&amp;C 2022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092B57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1B375C"/>
      </a:hlink>
      <a:folHlink>
        <a:srgbClr val="1B375C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DOC23-362174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1083D-D964-4F68-AA24-C9C968EA65C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99B3FA-2A29-4903-B69B-00260A702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AE00E-A9F7-4581-8AC3-F147AF8D1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D25B3-8BA3-42AF-9097-A2E9A6A3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2121</Characters>
  <Application>Microsoft Office Word</Application>
  <DocSecurity>0</DocSecurity>
  <Lines>60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2023-11-22T04:41:00Z</dcterms:created>
  <dcterms:modified xsi:type="dcterms:W3CDTF">2023-11-22T04:49:00Z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</Properties>
</file>