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30672" w14:textId="77777777" w:rsidR="00F7646B" w:rsidRPr="00B93A44" w:rsidRDefault="00F7646B" w:rsidP="00F7646B">
      <w:pPr>
        <w:keepNext/>
        <w:keepLines/>
        <w:spacing w:after="120"/>
        <w:jc w:val="center"/>
        <w:outlineLvl w:val="1"/>
        <w:rPr>
          <w:rFonts w:ascii="Arial" w:eastAsiaTheme="majorEastAsia" w:hAnsi="Arial" w:cs="Arial"/>
          <w:noProof/>
          <w:color w:val="002060"/>
          <w:spacing w:val="-15"/>
          <w:kern w:val="28"/>
          <w:sz w:val="56"/>
          <w:szCs w:val="96"/>
          <w:lang w:eastAsia="en-US"/>
        </w:rPr>
      </w:pPr>
      <w:r w:rsidRPr="00B93A44">
        <w:rPr>
          <w:rFonts w:ascii="Arial" w:eastAsiaTheme="majorEastAsia" w:hAnsi="Arial" w:cs="Arial"/>
          <w:noProof/>
          <w:color w:val="002060"/>
          <w:spacing w:val="-15"/>
          <w:kern w:val="28"/>
          <w:sz w:val="56"/>
          <w:szCs w:val="96"/>
          <w:lang w:eastAsia="en-US"/>
        </w:rPr>
        <w:t>Women’s Economic Equality Taskforce</w:t>
      </w:r>
    </w:p>
    <w:p w14:paraId="28271E53" w14:textId="3F605D8F" w:rsidR="00222C5D" w:rsidRDefault="0080749C" w:rsidP="008F1D71">
      <w:pPr>
        <w:keepNext/>
        <w:keepLines/>
        <w:spacing w:after="120"/>
        <w:jc w:val="center"/>
        <w:outlineLvl w:val="1"/>
        <w:rPr>
          <w:rFonts w:ascii="Arial" w:eastAsiaTheme="majorEastAsia" w:hAnsi="Arial" w:cs="Arial"/>
          <w:noProof/>
          <w:color w:val="002060"/>
          <w:spacing w:val="-15"/>
          <w:kern w:val="28"/>
          <w:sz w:val="56"/>
          <w:szCs w:val="96"/>
          <w:lang w:eastAsia="en-US"/>
        </w:rPr>
      </w:pPr>
      <w:r w:rsidRPr="00B93A44">
        <w:rPr>
          <w:rFonts w:ascii="Arial" w:eastAsiaTheme="majorEastAsia" w:hAnsi="Arial" w:cs="Arial"/>
          <w:noProof/>
          <w:color w:val="002060"/>
          <w:spacing w:val="-15"/>
          <w:kern w:val="28"/>
          <w:sz w:val="56"/>
          <w:szCs w:val="96"/>
          <w:lang w:eastAsia="en-US"/>
        </w:rPr>
        <w:t>Terms of Reference</w:t>
      </w:r>
    </w:p>
    <w:p w14:paraId="3572E062" w14:textId="77777777" w:rsidR="00950221" w:rsidRDefault="00950221" w:rsidP="00950221">
      <w:pPr>
        <w:keepNext/>
        <w:keepLines/>
        <w:spacing w:after="120"/>
        <w:outlineLvl w:val="1"/>
        <w:rPr>
          <w:rFonts w:ascii="Arial" w:hAnsi="Arial" w:cs="Arial"/>
          <w:b/>
          <w:color w:val="002060"/>
          <w:szCs w:val="21"/>
        </w:rPr>
      </w:pPr>
    </w:p>
    <w:p w14:paraId="32948C51" w14:textId="23094398" w:rsidR="00950221" w:rsidRPr="00950221" w:rsidRDefault="00950221" w:rsidP="00950221">
      <w:pPr>
        <w:keepNext/>
        <w:keepLines/>
        <w:spacing w:after="120"/>
        <w:outlineLvl w:val="1"/>
        <w:rPr>
          <w:rFonts w:ascii="Arial" w:hAnsi="Arial" w:cs="Arial"/>
          <w:b/>
          <w:color w:val="002060"/>
          <w:szCs w:val="21"/>
        </w:rPr>
      </w:pPr>
      <w:r w:rsidRPr="00950221">
        <w:rPr>
          <w:rFonts w:ascii="Arial" w:hAnsi="Arial" w:cs="Arial"/>
          <w:b/>
          <w:color w:val="002060"/>
          <w:szCs w:val="21"/>
        </w:rPr>
        <w:t>Overview</w:t>
      </w:r>
    </w:p>
    <w:p w14:paraId="3A5CCC2E" w14:textId="77777777" w:rsidR="00950221" w:rsidRPr="00950221" w:rsidRDefault="00950221" w:rsidP="00950221">
      <w:pPr>
        <w:spacing w:before="60" w:after="120"/>
        <w:rPr>
          <w:rFonts w:ascii="Arial" w:hAnsi="Arial" w:cs="Arial"/>
          <w:sz w:val="22"/>
          <w:szCs w:val="21"/>
        </w:rPr>
      </w:pPr>
      <w:r w:rsidRPr="00950221">
        <w:rPr>
          <w:rFonts w:ascii="Arial" w:hAnsi="Arial" w:cs="Arial"/>
          <w:sz w:val="22"/>
          <w:szCs w:val="21"/>
        </w:rPr>
        <w:t xml:space="preserve">The Women’s Economic Equality Taskforce (the Taskforce) is an independent group of eminent women established to provide advice to the Australian Government to support the advancement of women’s economic equality and achieve gender equality, as committed to in the Women’s Budget Statement October 2022-23. </w:t>
      </w:r>
    </w:p>
    <w:p w14:paraId="1511D7EE" w14:textId="77777777" w:rsidR="00950221" w:rsidRPr="00950221" w:rsidRDefault="00950221" w:rsidP="00950221">
      <w:pPr>
        <w:spacing w:before="60" w:after="120"/>
        <w:rPr>
          <w:rFonts w:ascii="Arial" w:hAnsi="Arial" w:cs="Arial"/>
          <w:sz w:val="22"/>
          <w:szCs w:val="21"/>
        </w:rPr>
      </w:pPr>
      <w:r w:rsidRPr="00950221">
        <w:rPr>
          <w:rFonts w:ascii="Arial" w:hAnsi="Arial" w:cs="Arial"/>
          <w:sz w:val="22"/>
          <w:szCs w:val="21"/>
        </w:rPr>
        <w:t>The priority contributions of the Taskforce centre on:</w:t>
      </w:r>
    </w:p>
    <w:p w14:paraId="6895896B" w14:textId="77777777" w:rsidR="00950221" w:rsidRPr="00950221" w:rsidRDefault="00950221" w:rsidP="00950221">
      <w:pPr>
        <w:pStyle w:val="ListParagraph"/>
        <w:numPr>
          <w:ilvl w:val="0"/>
          <w:numId w:val="3"/>
        </w:numPr>
        <w:spacing w:before="60" w:after="120"/>
        <w:rPr>
          <w:rFonts w:ascii="Arial" w:hAnsi="Arial" w:cs="Arial"/>
          <w:sz w:val="22"/>
          <w:szCs w:val="21"/>
        </w:rPr>
      </w:pPr>
      <w:r w:rsidRPr="00950221">
        <w:rPr>
          <w:rFonts w:ascii="Arial" w:hAnsi="Arial" w:cs="Arial"/>
          <w:sz w:val="22"/>
          <w:szCs w:val="21"/>
        </w:rPr>
        <w:t>Driving women’s economic equality as an economic imperative</w:t>
      </w:r>
    </w:p>
    <w:p w14:paraId="4BC5C468" w14:textId="2B608CA0" w:rsidR="00950221" w:rsidRPr="00950221" w:rsidRDefault="00950221" w:rsidP="00950221">
      <w:pPr>
        <w:pStyle w:val="ListParagraph"/>
        <w:numPr>
          <w:ilvl w:val="0"/>
          <w:numId w:val="3"/>
        </w:numPr>
        <w:spacing w:before="60" w:after="120"/>
        <w:rPr>
          <w:rFonts w:ascii="Arial" w:hAnsi="Arial" w:cs="Arial"/>
          <w:sz w:val="22"/>
          <w:szCs w:val="21"/>
        </w:rPr>
      </w:pPr>
      <w:r w:rsidRPr="00950221">
        <w:rPr>
          <w:rFonts w:ascii="Arial" w:hAnsi="Arial" w:cs="Arial"/>
          <w:sz w:val="22"/>
          <w:szCs w:val="21"/>
        </w:rPr>
        <w:t xml:space="preserve">Informing the National </w:t>
      </w:r>
      <w:r w:rsidR="00EB0FF0" w:rsidRPr="00950221">
        <w:rPr>
          <w:rFonts w:ascii="Arial" w:hAnsi="Arial" w:cs="Arial"/>
          <w:sz w:val="22"/>
          <w:szCs w:val="21"/>
        </w:rPr>
        <w:t>Strategy</w:t>
      </w:r>
      <w:r w:rsidR="00EB0FF0">
        <w:rPr>
          <w:rFonts w:ascii="Arial" w:hAnsi="Arial" w:cs="Arial"/>
          <w:sz w:val="22"/>
          <w:szCs w:val="21"/>
        </w:rPr>
        <w:t xml:space="preserve"> to Achieve</w:t>
      </w:r>
      <w:r w:rsidR="00EB0FF0" w:rsidRPr="00950221">
        <w:rPr>
          <w:rFonts w:ascii="Arial" w:hAnsi="Arial" w:cs="Arial"/>
          <w:sz w:val="22"/>
          <w:szCs w:val="21"/>
        </w:rPr>
        <w:t xml:space="preserve"> </w:t>
      </w:r>
      <w:r w:rsidRPr="00950221">
        <w:rPr>
          <w:rFonts w:ascii="Arial" w:hAnsi="Arial" w:cs="Arial"/>
          <w:sz w:val="22"/>
          <w:szCs w:val="21"/>
        </w:rPr>
        <w:t xml:space="preserve">Gender Equality </w:t>
      </w:r>
    </w:p>
    <w:p w14:paraId="7D0CB141" w14:textId="77777777" w:rsidR="00950221" w:rsidRPr="00950221" w:rsidRDefault="00950221" w:rsidP="00950221">
      <w:pPr>
        <w:pStyle w:val="ListParagraph"/>
        <w:numPr>
          <w:ilvl w:val="0"/>
          <w:numId w:val="3"/>
        </w:numPr>
        <w:spacing w:before="60" w:after="120"/>
        <w:rPr>
          <w:rFonts w:ascii="Arial" w:hAnsi="Arial" w:cs="Arial"/>
          <w:sz w:val="22"/>
          <w:szCs w:val="21"/>
        </w:rPr>
      </w:pPr>
      <w:r w:rsidRPr="00950221">
        <w:rPr>
          <w:rFonts w:ascii="Arial" w:hAnsi="Arial" w:cs="Arial"/>
          <w:sz w:val="22"/>
          <w:szCs w:val="21"/>
        </w:rPr>
        <w:t>Providing strategic advice on key issues arising from the Jobs and Skills Summit, including via the White Paper</w:t>
      </w:r>
    </w:p>
    <w:p w14:paraId="6AF904E5" w14:textId="77777777" w:rsidR="00950221" w:rsidRPr="00950221" w:rsidRDefault="00950221" w:rsidP="00950221">
      <w:pPr>
        <w:pStyle w:val="ListParagraph"/>
        <w:numPr>
          <w:ilvl w:val="0"/>
          <w:numId w:val="3"/>
        </w:numPr>
        <w:spacing w:before="60" w:after="120"/>
        <w:rPr>
          <w:rFonts w:ascii="Arial" w:hAnsi="Arial" w:cs="Arial"/>
          <w:sz w:val="22"/>
          <w:szCs w:val="21"/>
        </w:rPr>
      </w:pPr>
      <w:r w:rsidRPr="00950221">
        <w:rPr>
          <w:rFonts w:ascii="Arial" w:hAnsi="Arial" w:cs="Arial"/>
          <w:sz w:val="22"/>
          <w:szCs w:val="21"/>
        </w:rPr>
        <w:t xml:space="preserve">Providing strategic advice on the further implementation of gender responsive policy and budgeting processes. </w:t>
      </w:r>
      <w:bookmarkStart w:id="0" w:name="_GoBack"/>
      <w:bookmarkEnd w:id="0"/>
    </w:p>
    <w:p w14:paraId="6E3DAFD0" w14:textId="77777777" w:rsidR="00950221" w:rsidRPr="00950221" w:rsidRDefault="00950221" w:rsidP="00950221">
      <w:pPr>
        <w:spacing w:before="60" w:after="120"/>
        <w:rPr>
          <w:rFonts w:ascii="Arial" w:hAnsi="Arial" w:cs="Arial"/>
          <w:sz w:val="22"/>
          <w:szCs w:val="21"/>
        </w:rPr>
      </w:pPr>
      <w:r w:rsidRPr="00950221">
        <w:rPr>
          <w:rFonts w:ascii="Arial" w:hAnsi="Arial" w:cs="Arial"/>
          <w:sz w:val="22"/>
          <w:szCs w:val="21"/>
        </w:rPr>
        <w:t>The Taskforce will report directly to the Minister for Women.</w:t>
      </w:r>
    </w:p>
    <w:p w14:paraId="6D855AF4" w14:textId="53E7220A" w:rsidR="00950221" w:rsidRPr="00950221" w:rsidRDefault="00950221" w:rsidP="00950221">
      <w:pPr>
        <w:keepNext/>
        <w:keepLines/>
        <w:spacing w:after="120"/>
        <w:outlineLvl w:val="1"/>
        <w:rPr>
          <w:rFonts w:ascii="Arial" w:hAnsi="Arial" w:cs="Arial"/>
          <w:sz w:val="22"/>
          <w:szCs w:val="21"/>
        </w:rPr>
      </w:pPr>
      <w:r w:rsidRPr="00950221">
        <w:rPr>
          <w:rFonts w:ascii="Arial" w:hAnsi="Arial" w:cs="Arial"/>
          <w:sz w:val="22"/>
          <w:szCs w:val="21"/>
        </w:rPr>
        <w:t>These Terms of Reference may be updated from time to time, in consultation with the Minister for Women.</w:t>
      </w:r>
    </w:p>
    <w:p w14:paraId="0C51DD55" w14:textId="77777777" w:rsidR="00950221" w:rsidRDefault="00950221" w:rsidP="00950221">
      <w:pPr>
        <w:keepNext/>
        <w:keepLines/>
        <w:spacing w:after="120"/>
        <w:outlineLvl w:val="1"/>
        <w:rPr>
          <w:rFonts w:ascii="Arial" w:hAnsi="Arial" w:cs="Arial"/>
          <w:b/>
          <w:color w:val="002060"/>
          <w:szCs w:val="21"/>
        </w:rPr>
      </w:pPr>
    </w:p>
    <w:p w14:paraId="31AFA576" w14:textId="46CEF320" w:rsidR="00950221" w:rsidRPr="00950221" w:rsidRDefault="00950221" w:rsidP="00950221">
      <w:pPr>
        <w:keepNext/>
        <w:keepLines/>
        <w:spacing w:after="120"/>
        <w:outlineLvl w:val="1"/>
        <w:rPr>
          <w:rFonts w:ascii="Arial" w:hAnsi="Arial" w:cs="Arial"/>
          <w:b/>
          <w:sz w:val="22"/>
          <w:szCs w:val="21"/>
        </w:rPr>
      </w:pPr>
      <w:r w:rsidRPr="00950221">
        <w:rPr>
          <w:rFonts w:ascii="Arial" w:hAnsi="Arial" w:cs="Arial"/>
          <w:b/>
          <w:color w:val="002060"/>
          <w:szCs w:val="21"/>
        </w:rPr>
        <w:t>Membership</w:t>
      </w:r>
    </w:p>
    <w:p w14:paraId="16588A25" w14:textId="77777777" w:rsidR="00950221" w:rsidRPr="00950221" w:rsidRDefault="00950221" w:rsidP="00950221">
      <w:pPr>
        <w:spacing w:before="60" w:after="120"/>
        <w:rPr>
          <w:rFonts w:ascii="Arial" w:hAnsi="Arial" w:cs="Arial"/>
          <w:sz w:val="22"/>
          <w:szCs w:val="21"/>
        </w:rPr>
      </w:pPr>
      <w:r w:rsidRPr="00950221">
        <w:rPr>
          <w:rFonts w:ascii="Arial" w:hAnsi="Arial" w:cs="Arial"/>
          <w:sz w:val="22"/>
          <w:szCs w:val="21"/>
        </w:rPr>
        <w:t xml:space="preserve">The Taskforce membership will comprise: </w:t>
      </w:r>
    </w:p>
    <w:p w14:paraId="5DB87E10" w14:textId="77777777" w:rsidR="00950221" w:rsidRPr="00950221" w:rsidRDefault="00950221" w:rsidP="00950221">
      <w:pPr>
        <w:numPr>
          <w:ilvl w:val="0"/>
          <w:numId w:val="2"/>
        </w:numPr>
        <w:spacing w:before="60" w:after="60"/>
        <w:ind w:left="714" w:hanging="357"/>
        <w:rPr>
          <w:rFonts w:ascii="Arial" w:hAnsi="Arial" w:cs="Arial"/>
          <w:sz w:val="22"/>
          <w:szCs w:val="21"/>
        </w:rPr>
      </w:pPr>
      <w:r w:rsidRPr="00950221">
        <w:rPr>
          <w:rFonts w:ascii="Arial" w:hAnsi="Arial" w:cs="Arial"/>
          <w:sz w:val="22"/>
          <w:szCs w:val="21"/>
        </w:rPr>
        <w:t>Sam Mostyn AO (Chair)</w:t>
      </w:r>
    </w:p>
    <w:p w14:paraId="09C916BD" w14:textId="77777777" w:rsidR="00950221" w:rsidRPr="00950221" w:rsidRDefault="00950221" w:rsidP="00950221">
      <w:pPr>
        <w:numPr>
          <w:ilvl w:val="0"/>
          <w:numId w:val="2"/>
        </w:numPr>
        <w:spacing w:before="60" w:after="60"/>
        <w:ind w:left="714" w:hanging="357"/>
        <w:rPr>
          <w:rFonts w:ascii="Arial" w:hAnsi="Arial" w:cs="Arial"/>
          <w:sz w:val="22"/>
          <w:szCs w:val="21"/>
        </w:rPr>
      </w:pPr>
      <w:r w:rsidRPr="00950221">
        <w:rPr>
          <w:rFonts w:ascii="Arial" w:hAnsi="Arial" w:cs="Arial"/>
          <w:sz w:val="22"/>
          <w:szCs w:val="21"/>
        </w:rPr>
        <w:t>Chiou See Anderson</w:t>
      </w:r>
    </w:p>
    <w:p w14:paraId="027A0BDC" w14:textId="77777777" w:rsidR="00950221" w:rsidRPr="00950221" w:rsidRDefault="00950221" w:rsidP="00950221">
      <w:pPr>
        <w:numPr>
          <w:ilvl w:val="0"/>
          <w:numId w:val="2"/>
        </w:numPr>
        <w:spacing w:before="60" w:after="60"/>
        <w:ind w:left="714" w:hanging="357"/>
        <w:rPr>
          <w:rFonts w:ascii="Arial" w:hAnsi="Arial" w:cs="Arial"/>
          <w:sz w:val="22"/>
          <w:szCs w:val="21"/>
        </w:rPr>
      </w:pPr>
      <w:r w:rsidRPr="00950221">
        <w:rPr>
          <w:rFonts w:ascii="Arial" w:hAnsi="Arial" w:cs="Arial"/>
          <w:sz w:val="22"/>
          <w:szCs w:val="21"/>
        </w:rPr>
        <w:t>Shelley Cable</w:t>
      </w:r>
    </w:p>
    <w:p w14:paraId="1F259712" w14:textId="77777777" w:rsidR="00950221" w:rsidRPr="00950221" w:rsidRDefault="00950221" w:rsidP="00950221">
      <w:pPr>
        <w:numPr>
          <w:ilvl w:val="0"/>
          <w:numId w:val="2"/>
        </w:numPr>
        <w:spacing w:before="60" w:after="60"/>
        <w:ind w:left="714" w:hanging="357"/>
        <w:rPr>
          <w:rFonts w:ascii="Arial" w:hAnsi="Arial" w:cs="Arial"/>
          <w:sz w:val="22"/>
          <w:szCs w:val="21"/>
        </w:rPr>
      </w:pPr>
      <w:r w:rsidRPr="00950221">
        <w:rPr>
          <w:rFonts w:ascii="Arial" w:hAnsi="Arial" w:cs="Arial"/>
          <w:sz w:val="22"/>
          <w:szCs w:val="21"/>
        </w:rPr>
        <w:t>Shirleen Campbell</w:t>
      </w:r>
    </w:p>
    <w:p w14:paraId="00213E19" w14:textId="77777777" w:rsidR="00950221" w:rsidRPr="00950221" w:rsidRDefault="00950221" w:rsidP="00950221">
      <w:pPr>
        <w:numPr>
          <w:ilvl w:val="0"/>
          <w:numId w:val="2"/>
        </w:numPr>
        <w:spacing w:before="60" w:after="60"/>
        <w:ind w:left="714" w:hanging="357"/>
        <w:rPr>
          <w:rFonts w:ascii="Arial" w:hAnsi="Arial" w:cs="Arial"/>
          <w:sz w:val="22"/>
          <w:szCs w:val="21"/>
        </w:rPr>
      </w:pPr>
      <w:r w:rsidRPr="00950221">
        <w:rPr>
          <w:rFonts w:ascii="Arial" w:hAnsi="Arial" w:cs="Arial"/>
          <w:sz w:val="22"/>
          <w:szCs w:val="21"/>
        </w:rPr>
        <w:t>Sam Connor</w:t>
      </w:r>
    </w:p>
    <w:p w14:paraId="1658042D" w14:textId="77777777" w:rsidR="00950221" w:rsidRPr="00950221" w:rsidRDefault="00950221" w:rsidP="00950221">
      <w:pPr>
        <w:numPr>
          <w:ilvl w:val="0"/>
          <w:numId w:val="2"/>
        </w:numPr>
        <w:spacing w:before="60" w:after="60"/>
        <w:ind w:left="714" w:hanging="357"/>
        <w:rPr>
          <w:rFonts w:ascii="Arial" w:hAnsi="Arial" w:cs="Arial"/>
          <w:sz w:val="22"/>
          <w:szCs w:val="21"/>
        </w:rPr>
      </w:pPr>
      <w:r w:rsidRPr="00950221">
        <w:rPr>
          <w:rFonts w:ascii="Arial" w:hAnsi="Arial" w:cs="Arial"/>
          <w:sz w:val="22"/>
          <w:szCs w:val="21"/>
        </w:rPr>
        <w:t>Rae Cooper AO</w:t>
      </w:r>
    </w:p>
    <w:p w14:paraId="49A4E394" w14:textId="77777777" w:rsidR="00950221" w:rsidRPr="00950221" w:rsidRDefault="00950221" w:rsidP="00950221">
      <w:pPr>
        <w:numPr>
          <w:ilvl w:val="0"/>
          <w:numId w:val="2"/>
        </w:numPr>
        <w:spacing w:before="60" w:after="60"/>
        <w:ind w:left="714" w:hanging="357"/>
        <w:rPr>
          <w:rFonts w:ascii="Arial" w:hAnsi="Arial" w:cs="Arial"/>
          <w:sz w:val="22"/>
          <w:szCs w:val="21"/>
        </w:rPr>
      </w:pPr>
      <w:r w:rsidRPr="00950221">
        <w:rPr>
          <w:rFonts w:ascii="Arial" w:hAnsi="Arial" w:cs="Arial"/>
          <w:sz w:val="22"/>
          <w:szCs w:val="21"/>
        </w:rPr>
        <w:t>Terese Edwards</w:t>
      </w:r>
    </w:p>
    <w:p w14:paraId="55BB7392" w14:textId="77777777" w:rsidR="00950221" w:rsidRPr="00950221" w:rsidRDefault="00950221" w:rsidP="00950221">
      <w:pPr>
        <w:numPr>
          <w:ilvl w:val="0"/>
          <w:numId w:val="2"/>
        </w:numPr>
        <w:spacing w:before="60" w:after="60"/>
        <w:ind w:left="714" w:hanging="357"/>
        <w:rPr>
          <w:rFonts w:ascii="Arial" w:hAnsi="Arial" w:cs="Arial"/>
          <w:sz w:val="22"/>
          <w:szCs w:val="21"/>
        </w:rPr>
      </w:pPr>
      <w:r w:rsidRPr="00950221">
        <w:rPr>
          <w:rFonts w:ascii="Arial" w:hAnsi="Arial" w:cs="Arial"/>
          <w:sz w:val="22"/>
          <w:szCs w:val="21"/>
        </w:rPr>
        <w:t>Sizol Fuyana</w:t>
      </w:r>
    </w:p>
    <w:p w14:paraId="134D8D0C" w14:textId="77777777" w:rsidR="00950221" w:rsidRPr="00950221" w:rsidRDefault="00950221" w:rsidP="00950221">
      <w:pPr>
        <w:numPr>
          <w:ilvl w:val="0"/>
          <w:numId w:val="2"/>
        </w:numPr>
        <w:spacing w:before="60" w:after="60"/>
        <w:ind w:left="714" w:hanging="357"/>
        <w:rPr>
          <w:rFonts w:ascii="Arial" w:hAnsi="Arial" w:cs="Arial"/>
          <w:sz w:val="22"/>
          <w:szCs w:val="21"/>
        </w:rPr>
      </w:pPr>
      <w:r w:rsidRPr="00950221">
        <w:rPr>
          <w:rFonts w:ascii="Arial" w:hAnsi="Arial" w:cs="Arial"/>
          <w:sz w:val="22"/>
          <w:szCs w:val="21"/>
        </w:rPr>
        <w:t>Jennifer Macklin</w:t>
      </w:r>
    </w:p>
    <w:p w14:paraId="2128B325" w14:textId="77777777" w:rsidR="00950221" w:rsidRPr="00950221" w:rsidRDefault="00950221" w:rsidP="00950221">
      <w:pPr>
        <w:numPr>
          <w:ilvl w:val="0"/>
          <w:numId w:val="2"/>
        </w:numPr>
        <w:spacing w:before="60" w:after="60"/>
        <w:ind w:left="714" w:hanging="357"/>
        <w:rPr>
          <w:rFonts w:ascii="Arial" w:hAnsi="Arial" w:cs="Arial"/>
          <w:sz w:val="22"/>
          <w:szCs w:val="21"/>
        </w:rPr>
      </w:pPr>
      <w:r w:rsidRPr="00950221">
        <w:rPr>
          <w:rFonts w:ascii="Arial" w:hAnsi="Arial" w:cs="Arial"/>
          <w:sz w:val="22"/>
          <w:szCs w:val="21"/>
        </w:rPr>
        <w:t>Michele O’Neil</w:t>
      </w:r>
    </w:p>
    <w:p w14:paraId="316D453E" w14:textId="77777777" w:rsidR="00950221" w:rsidRPr="00950221" w:rsidRDefault="00950221" w:rsidP="00950221">
      <w:pPr>
        <w:numPr>
          <w:ilvl w:val="0"/>
          <w:numId w:val="2"/>
        </w:numPr>
        <w:spacing w:before="60" w:after="60"/>
        <w:ind w:left="714" w:hanging="357"/>
        <w:rPr>
          <w:rFonts w:ascii="Arial" w:hAnsi="Arial" w:cs="Arial"/>
          <w:sz w:val="22"/>
          <w:szCs w:val="21"/>
        </w:rPr>
      </w:pPr>
      <w:r w:rsidRPr="00950221">
        <w:rPr>
          <w:rFonts w:ascii="Arial" w:hAnsi="Arial" w:cs="Arial"/>
          <w:sz w:val="22"/>
          <w:szCs w:val="21"/>
        </w:rPr>
        <w:t>Adrienne Picone</w:t>
      </w:r>
    </w:p>
    <w:p w14:paraId="48063B35" w14:textId="77777777" w:rsidR="00950221" w:rsidRPr="00950221" w:rsidRDefault="00950221" w:rsidP="00950221">
      <w:pPr>
        <w:numPr>
          <w:ilvl w:val="0"/>
          <w:numId w:val="2"/>
        </w:numPr>
        <w:spacing w:before="60" w:after="60"/>
        <w:ind w:left="714" w:hanging="357"/>
        <w:rPr>
          <w:rFonts w:ascii="Arial" w:hAnsi="Arial" w:cs="Arial"/>
          <w:sz w:val="22"/>
          <w:szCs w:val="21"/>
        </w:rPr>
      </w:pPr>
      <w:r w:rsidRPr="00950221">
        <w:rPr>
          <w:rFonts w:ascii="Arial" w:hAnsi="Arial" w:cs="Arial"/>
          <w:sz w:val="22"/>
          <w:szCs w:val="21"/>
        </w:rPr>
        <w:t>Jennifer Westacott AO</w:t>
      </w:r>
    </w:p>
    <w:p w14:paraId="321A385F" w14:textId="77777777" w:rsidR="00950221" w:rsidRPr="00950221" w:rsidRDefault="00950221" w:rsidP="00950221">
      <w:pPr>
        <w:numPr>
          <w:ilvl w:val="0"/>
          <w:numId w:val="2"/>
        </w:numPr>
        <w:spacing w:before="60" w:after="60"/>
        <w:ind w:left="714" w:hanging="357"/>
        <w:rPr>
          <w:rFonts w:ascii="Arial" w:hAnsi="Arial" w:cs="Arial"/>
          <w:sz w:val="22"/>
          <w:szCs w:val="21"/>
        </w:rPr>
      </w:pPr>
      <w:r w:rsidRPr="00950221">
        <w:rPr>
          <w:rFonts w:ascii="Arial" w:hAnsi="Arial" w:cs="Arial"/>
          <w:sz w:val="22"/>
          <w:szCs w:val="21"/>
        </w:rPr>
        <w:t>Danielle Wood</w:t>
      </w:r>
    </w:p>
    <w:p w14:paraId="32F15F5E" w14:textId="77777777" w:rsidR="00950221" w:rsidRPr="00950221" w:rsidRDefault="00950221" w:rsidP="00950221">
      <w:pPr>
        <w:spacing w:before="60" w:after="120"/>
        <w:rPr>
          <w:rFonts w:ascii="Arial" w:hAnsi="Arial" w:cs="Arial"/>
          <w:sz w:val="22"/>
          <w:szCs w:val="21"/>
        </w:rPr>
      </w:pPr>
      <w:r w:rsidRPr="00950221">
        <w:rPr>
          <w:rFonts w:ascii="Arial" w:hAnsi="Arial" w:cs="Arial"/>
          <w:sz w:val="22"/>
          <w:szCs w:val="21"/>
        </w:rPr>
        <w:t xml:space="preserve">The Chair may invite relevant experts, stakeholders and/or government officials to participate in specific meetings or discussions, as appropriate. </w:t>
      </w:r>
    </w:p>
    <w:p w14:paraId="0C919992" w14:textId="70E45E3B" w:rsidR="00950221" w:rsidRPr="00950221" w:rsidRDefault="00950221" w:rsidP="00950221">
      <w:pPr>
        <w:keepNext/>
        <w:keepLines/>
        <w:spacing w:after="120"/>
        <w:outlineLvl w:val="1"/>
        <w:rPr>
          <w:rFonts w:ascii="Arial" w:hAnsi="Arial" w:cs="Arial"/>
          <w:b/>
          <w:sz w:val="22"/>
          <w:szCs w:val="21"/>
        </w:rPr>
      </w:pPr>
      <w:r w:rsidRPr="00950221">
        <w:rPr>
          <w:rFonts w:ascii="Arial" w:hAnsi="Arial" w:cs="Arial"/>
          <w:sz w:val="22"/>
          <w:szCs w:val="21"/>
        </w:rPr>
        <w:t>Members will be appointed for an initial period of six months.</w:t>
      </w:r>
    </w:p>
    <w:p w14:paraId="0BAB5519" w14:textId="77777777" w:rsidR="00950221" w:rsidRPr="00950221" w:rsidRDefault="00950221">
      <w:pPr>
        <w:spacing w:after="160" w:line="259" w:lineRule="auto"/>
        <w:rPr>
          <w:rFonts w:ascii="Arial" w:hAnsi="Arial" w:cs="Arial"/>
          <w:b/>
          <w:sz w:val="22"/>
          <w:szCs w:val="21"/>
        </w:rPr>
      </w:pPr>
      <w:r w:rsidRPr="00950221">
        <w:rPr>
          <w:rFonts w:ascii="Arial" w:hAnsi="Arial" w:cs="Arial"/>
          <w:b/>
          <w:sz w:val="22"/>
          <w:szCs w:val="21"/>
        </w:rPr>
        <w:br w:type="page"/>
      </w:r>
    </w:p>
    <w:p w14:paraId="0B453BC6" w14:textId="1E1E4E37" w:rsidR="00950221" w:rsidRPr="00950221" w:rsidRDefault="00950221" w:rsidP="00950221">
      <w:pPr>
        <w:spacing w:before="60" w:after="120"/>
        <w:rPr>
          <w:rFonts w:ascii="Arial" w:hAnsi="Arial" w:cs="Arial"/>
          <w:b/>
          <w:color w:val="002060"/>
          <w:szCs w:val="21"/>
        </w:rPr>
      </w:pPr>
      <w:r w:rsidRPr="00950221">
        <w:rPr>
          <w:rFonts w:ascii="Arial" w:hAnsi="Arial" w:cs="Arial"/>
          <w:b/>
          <w:color w:val="002060"/>
          <w:szCs w:val="21"/>
        </w:rPr>
        <w:lastRenderedPageBreak/>
        <w:t>Activities and deliverables</w:t>
      </w:r>
    </w:p>
    <w:p w14:paraId="49857B1E" w14:textId="7CC777A0" w:rsidR="00950221" w:rsidRPr="00950221" w:rsidRDefault="00950221" w:rsidP="00950221">
      <w:pPr>
        <w:spacing w:before="60" w:after="120"/>
        <w:rPr>
          <w:rFonts w:ascii="Arial" w:hAnsi="Arial" w:cs="Arial"/>
          <w:sz w:val="22"/>
          <w:szCs w:val="21"/>
        </w:rPr>
      </w:pPr>
      <w:r w:rsidRPr="00950221">
        <w:rPr>
          <w:rFonts w:ascii="Arial" w:hAnsi="Arial" w:cs="Arial"/>
          <w:sz w:val="22"/>
          <w:szCs w:val="21"/>
        </w:rPr>
        <w:t>In relation to its priority contributions, the focus of the Taskforce should include:</w:t>
      </w:r>
    </w:p>
    <w:p w14:paraId="20D10D5C" w14:textId="77777777" w:rsidR="00950221" w:rsidRPr="00950221" w:rsidRDefault="00950221" w:rsidP="00950221">
      <w:pPr>
        <w:pStyle w:val="ListParagraph"/>
        <w:numPr>
          <w:ilvl w:val="0"/>
          <w:numId w:val="1"/>
        </w:numPr>
        <w:spacing w:before="60" w:after="120"/>
        <w:rPr>
          <w:rFonts w:ascii="Arial" w:hAnsi="Arial" w:cs="Arial"/>
          <w:sz w:val="22"/>
          <w:szCs w:val="21"/>
        </w:rPr>
      </w:pPr>
      <w:r w:rsidRPr="00950221">
        <w:rPr>
          <w:rFonts w:ascii="Arial" w:hAnsi="Arial" w:cs="Arial"/>
          <w:sz w:val="22"/>
          <w:szCs w:val="21"/>
        </w:rPr>
        <w:t xml:space="preserve">Advice to Government on priority measures to drive improvements to women’s economic equality, especially in relation to issues raised through the Jobs and Skills Summit, and for women currently experiencing disadvantage and women from traditionally marginalised backgrounds </w:t>
      </w:r>
    </w:p>
    <w:p w14:paraId="0EFA45A3" w14:textId="77777777" w:rsidR="00950221" w:rsidRPr="00950221" w:rsidRDefault="00950221" w:rsidP="00950221">
      <w:pPr>
        <w:pStyle w:val="ListParagraph"/>
        <w:numPr>
          <w:ilvl w:val="0"/>
          <w:numId w:val="1"/>
        </w:numPr>
        <w:spacing w:before="60" w:after="120"/>
        <w:rPr>
          <w:rFonts w:ascii="Arial" w:hAnsi="Arial" w:cs="Arial"/>
          <w:sz w:val="22"/>
          <w:szCs w:val="21"/>
        </w:rPr>
      </w:pPr>
      <w:r w:rsidRPr="00950221">
        <w:rPr>
          <w:rFonts w:ascii="Arial" w:hAnsi="Arial" w:cs="Arial"/>
          <w:sz w:val="22"/>
          <w:szCs w:val="21"/>
        </w:rPr>
        <w:t>The gender pay gap and related issues of women’s workforce participation, advancement, gender segregation and patterns of paid and unpaid care</w:t>
      </w:r>
    </w:p>
    <w:p w14:paraId="324E2F12" w14:textId="77777777" w:rsidR="00950221" w:rsidRPr="00950221" w:rsidRDefault="00950221" w:rsidP="00950221">
      <w:pPr>
        <w:pStyle w:val="ListParagraph"/>
        <w:numPr>
          <w:ilvl w:val="0"/>
          <w:numId w:val="1"/>
        </w:numPr>
        <w:spacing w:before="60" w:after="120"/>
        <w:rPr>
          <w:rFonts w:ascii="Arial" w:hAnsi="Arial" w:cs="Arial"/>
          <w:sz w:val="22"/>
          <w:szCs w:val="21"/>
        </w:rPr>
      </w:pPr>
      <w:r w:rsidRPr="00950221">
        <w:rPr>
          <w:rFonts w:ascii="Arial" w:hAnsi="Arial" w:cs="Arial"/>
          <w:sz w:val="22"/>
          <w:szCs w:val="21"/>
        </w:rPr>
        <w:t>Providing advice on the skills and industries of the future, to create more gender equal economic outcomes</w:t>
      </w:r>
    </w:p>
    <w:p w14:paraId="7C70897F" w14:textId="77777777" w:rsidR="00950221" w:rsidRPr="00950221" w:rsidRDefault="00950221" w:rsidP="00950221">
      <w:pPr>
        <w:pStyle w:val="ListParagraph"/>
        <w:numPr>
          <w:ilvl w:val="0"/>
          <w:numId w:val="1"/>
        </w:numPr>
        <w:spacing w:before="60" w:after="120"/>
        <w:rPr>
          <w:rFonts w:ascii="Arial" w:hAnsi="Arial" w:cs="Arial"/>
          <w:sz w:val="22"/>
          <w:szCs w:val="21"/>
        </w:rPr>
      </w:pPr>
      <w:r w:rsidRPr="00950221">
        <w:rPr>
          <w:rFonts w:ascii="Arial" w:hAnsi="Arial" w:cs="Arial"/>
          <w:sz w:val="22"/>
          <w:szCs w:val="21"/>
        </w:rPr>
        <w:t xml:space="preserve">Safe and respectful workplaces, including for women experiencing violence. </w:t>
      </w:r>
    </w:p>
    <w:p w14:paraId="0457C3AD" w14:textId="77777777" w:rsidR="00950221" w:rsidRPr="00950221" w:rsidRDefault="00950221" w:rsidP="00950221">
      <w:pPr>
        <w:spacing w:before="60" w:after="120"/>
        <w:rPr>
          <w:rFonts w:ascii="Arial" w:hAnsi="Arial" w:cs="Arial"/>
          <w:sz w:val="22"/>
          <w:szCs w:val="21"/>
        </w:rPr>
      </w:pPr>
      <w:r w:rsidRPr="00950221">
        <w:rPr>
          <w:rFonts w:ascii="Arial" w:hAnsi="Arial" w:cs="Arial"/>
          <w:sz w:val="22"/>
          <w:szCs w:val="21"/>
        </w:rPr>
        <w:t>The Taskforce may also:</w:t>
      </w:r>
    </w:p>
    <w:p w14:paraId="35FA851C" w14:textId="77777777" w:rsidR="00950221" w:rsidRPr="00950221" w:rsidRDefault="00950221" w:rsidP="00950221">
      <w:pPr>
        <w:numPr>
          <w:ilvl w:val="0"/>
          <w:numId w:val="1"/>
        </w:numPr>
        <w:spacing w:before="60" w:after="120"/>
        <w:rPr>
          <w:rFonts w:ascii="Arial" w:hAnsi="Arial" w:cs="Arial"/>
          <w:sz w:val="22"/>
          <w:szCs w:val="21"/>
        </w:rPr>
      </w:pPr>
      <w:r w:rsidRPr="00950221">
        <w:rPr>
          <w:rFonts w:ascii="Arial" w:hAnsi="Arial" w:cs="Arial"/>
          <w:sz w:val="22"/>
          <w:szCs w:val="21"/>
        </w:rPr>
        <w:t>undertake targeted consultation or research, especially with women ‘on the ground’, and seek briefings with key stakeholders and experts as required on the range of issues that impact women’s economic equality</w:t>
      </w:r>
    </w:p>
    <w:p w14:paraId="66D16507" w14:textId="77777777" w:rsidR="00950221" w:rsidRPr="00950221" w:rsidRDefault="00950221" w:rsidP="00950221">
      <w:pPr>
        <w:numPr>
          <w:ilvl w:val="0"/>
          <w:numId w:val="1"/>
        </w:numPr>
        <w:spacing w:before="60" w:after="120"/>
        <w:rPr>
          <w:rFonts w:ascii="Arial" w:hAnsi="Arial" w:cs="Arial"/>
          <w:sz w:val="22"/>
          <w:szCs w:val="21"/>
        </w:rPr>
      </w:pPr>
      <w:r w:rsidRPr="00950221">
        <w:rPr>
          <w:rFonts w:ascii="Arial" w:hAnsi="Arial" w:cs="Arial"/>
          <w:sz w:val="22"/>
          <w:szCs w:val="21"/>
        </w:rPr>
        <w:t>undertake other activities as required, including providing feedback on upcoming legislation.</w:t>
      </w:r>
    </w:p>
    <w:p w14:paraId="0A1D9FED" w14:textId="77777777" w:rsidR="00950221" w:rsidRPr="00950221" w:rsidRDefault="00950221" w:rsidP="00950221">
      <w:pPr>
        <w:spacing w:before="60" w:after="120"/>
        <w:rPr>
          <w:rFonts w:ascii="Arial" w:hAnsi="Arial" w:cs="Arial"/>
          <w:sz w:val="22"/>
          <w:szCs w:val="21"/>
        </w:rPr>
      </w:pPr>
      <w:r w:rsidRPr="00950221">
        <w:rPr>
          <w:rFonts w:ascii="Arial" w:hAnsi="Arial" w:cs="Arial"/>
          <w:sz w:val="22"/>
          <w:szCs w:val="21"/>
        </w:rPr>
        <w:t>The Taskforce will give a particular focus to women with intersecting needs, women experiencing disadvantage and women from traditionally marginalised and diverse backgrounds.</w:t>
      </w:r>
    </w:p>
    <w:p w14:paraId="2D8D0D88" w14:textId="77777777" w:rsidR="00950221" w:rsidRPr="00950221" w:rsidRDefault="00950221" w:rsidP="00950221">
      <w:pPr>
        <w:spacing w:before="60" w:after="120"/>
        <w:rPr>
          <w:rFonts w:ascii="Arial" w:hAnsi="Arial" w:cs="Arial"/>
          <w:sz w:val="22"/>
          <w:szCs w:val="21"/>
        </w:rPr>
      </w:pPr>
      <w:r w:rsidRPr="00950221">
        <w:rPr>
          <w:rFonts w:ascii="Arial" w:hAnsi="Arial" w:cs="Arial"/>
          <w:sz w:val="22"/>
          <w:szCs w:val="21"/>
        </w:rPr>
        <w:t>The Taskforce will nominate the form of its inputs (written, verbal, etc.), which will be agreed by the Minister for Women.</w:t>
      </w:r>
    </w:p>
    <w:p w14:paraId="1C78786B" w14:textId="1E0B90FF" w:rsidR="00950221" w:rsidRPr="00950221" w:rsidRDefault="00950221" w:rsidP="00950221">
      <w:pPr>
        <w:keepNext/>
        <w:keepLines/>
        <w:spacing w:after="120"/>
        <w:outlineLvl w:val="1"/>
        <w:rPr>
          <w:rFonts w:ascii="Arial" w:hAnsi="Arial" w:cs="Arial"/>
          <w:sz w:val="22"/>
          <w:szCs w:val="21"/>
        </w:rPr>
      </w:pPr>
      <w:r w:rsidRPr="00950221">
        <w:rPr>
          <w:rFonts w:ascii="Arial" w:hAnsi="Arial" w:cs="Arial"/>
          <w:sz w:val="22"/>
          <w:szCs w:val="21"/>
        </w:rPr>
        <w:t>The Taskforce may develop a work program to guide and prioritise its activities and support engagement with the Minister and key processes. The work program will be adjusted as necessary via agreement of the Taskforce.</w:t>
      </w:r>
    </w:p>
    <w:p w14:paraId="3CC64F3E" w14:textId="1EDAD7BD" w:rsidR="00950221" w:rsidRPr="00950221" w:rsidRDefault="00950221" w:rsidP="00950221">
      <w:pPr>
        <w:keepNext/>
        <w:keepLines/>
        <w:spacing w:after="120"/>
        <w:outlineLvl w:val="1"/>
        <w:rPr>
          <w:rFonts w:ascii="Arial" w:hAnsi="Arial" w:cs="Arial"/>
          <w:sz w:val="22"/>
          <w:szCs w:val="21"/>
        </w:rPr>
      </w:pPr>
    </w:p>
    <w:p w14:paraId="68EDC093" w14:textId="77777777" w:rsidR="00950221" w:rsidRPr="00950221" w:rsidRDefault="00950221" w:rsidP="00950221">
      <w:pPr>
        <w:spacing w:before="60" w:after="120"/>
        <w:rPr>
          <w:rFonts w:ascii="Arial" w:hAnsi="Arial" w:cs="Arial"/>
          <w:b/>
          <w:sz w:val="22"/>
          <w:szCs w:val="21"/>
        </w:rPr>
      </w:pPr>
      <w:r w:rsidRPr="00950221">
        <w:rPr>
          <w:rFonts w:ascii="Arial" w:hAnsi="Arial" w:cs="Arial"/>
          <w:b/>
          <w:color w:val="002060"/>
          <w:szCs w:val="21"/>
        </w:rPr>
        <w:t>Operations</w:t>
      </w:r>
    </w:p>
    <w:p w14:paraId="6D666FE9" w14:textId="0401C656" w:rsidR="00950221" w:rsidRPr="00950221" w:rsidRDefault="00950221" w:rsidP="00950221">
      <w:pPr>
        <w:spacing w:before="60" w:after="120"/>
        <w:rPr>
          <w:rFonts w:ascii="Arial" w:hAnsi="Arial" w:cs="Arial"/>
          <w:sz w:val="22"/>
          <w:szCs w:val="21"/>
        </w:rPr>
      </w:pPr>
      <w:r w:rsidRPr="00950221">
        <w:rPr>
          <w:rFonts w:ascii="Arial" w:hAnsi="Arial" w:cs="Arial"/>
          <w:sz w:val="22"/>
          <w:szCs w:val="21"/>
        </w:rPr>
        <w:t>The Taskforce will meet as required, as determined by the Chair, in consultation with Taskforce members. Meetings may be convened face-to-face or virtually.</w:t>
      </w:r>
    </w:p>
    <w:p w14:paraId="0DE031A3" w14:textId="77777777" w:rsidR="00950221" w:rsidRPr="00950221" w:rsidRDefault="00950221" w:rsidP="00950221">
      <w:pPr>
        <w:spacing w:before="60" w:after="120"/>
        <w:rPr>
          <w:rFonts w:ascii="Arial" w:hAnsi="Arial" w:cs="Arial"/>
          <w:sz w:val="22"/>
          <w:szCs w:val="21"/>
        </w:rPr>
      </w:pPr>
      <w:r w:rsidRPr="00950221">
        <w:rPr>
          <w:rFonts w:ascii="Arial" w:hAnsi="Arial" w:cs="Arial"/>
          <w:sz w:val="22"/>
          <w:szCs w:val="21"/>
        </w:rPr>
        <w:t xml:space="preserve">The Taskforce will report directly to the Minister for Women. </w:t>
      </w:r>
    </w:p>
    <w:p w14:paraId="6CDCF495" w14:textId="77777777" w:rsidR="00950221" w:rsidRPr="00950221" w:rsidRDefault="00950221" w:rsidP="00950221">
      <w:pPr>
        <w:spacing w:before="60" w:after="120"/>
        <w:rPr>
          <w:rFonts w:ascii="Arial" w:hAnsi="Arial" w:cs="Arial"/>
          <w:sz w:val="22"/>
          <w:szCs w:val="21"/>
        </w:rPr>
      </w:pPr>
      <w:r w:rsidRPr="00950221">
        <w:rPr>
          <w:rFonts w:ascii="Arial" w:hAnsi="Arial" w:cs="Arial"/>
          <w:sz w:val="22"/>
          <w:szCs w:val="21"/>
        </w:rPr>
        <w:t>The Taskforce will elect whether and when it meets in private or with observers and technical experts in attendance.</w:t>
      </w:r>
    </w:p>
    <w:p w14:paraId="739FE512" w14:textId="77777777" w:rsidR="00950221" w:rsidRPr="00950221" w:rsidRDefault="00950221" w:rsidP="00950221">
      <w:pPr>
        <w:spacing w:before="60" w:after="120"/>
        <w:rPr>
          <w:rFonts w:ascii="Arial" w:hAnsi="Arial" w:cs="Arial"/>
          <w:sz w:val="22"/>
          <w:szCs w:val="21"/>
        </w:rPr>
      </w:pPr>
      <w:r w:rsidRPr="00950221">
        <w:rPr>
          <w:rFonts w:ascii="Arial" w:hAnsi="Arial" w:cs="Arial"/>
          <w:sz w:val="22"/>
          <w:szCs w:val="21"/>
        </w:rPr>
        <w:t xml:space="preserve">The Taskforce will be supported by a Secretariat within the Office for Women, which will be responsible for: </w:t>
      </w:r>
    </w:p>
    <w:p w14:paraId="5823E7F0" w14:textId="77777777" w:rsidR="00950221" w:rsidRPr="00950221" w:rsidRDefault="00950221" w:rsidP="00950221">
      <w:pPr>
        <w:numPr>
          <w:ilvl w:val="0"/>
          <w:numId w:val="1"/>
        </w:numPr>
        <w:spacing w:before="60" w:after="120"/>
        <w:rPr>
          <w:rFonts w:ascii="Arial" w:hAnsi="Arial" w:cs="Arial"/>
          <w:sz w:val="22"/>
          <w:szCs w:val="21"/>
        </w:rPr>
      </w:pPr>
      <w:r w:rsidRPr="00950221">
        <w:rPr>
          <w:rFonts w:ascii="Arial" w:hAnsi="Arial" w:cs="Arial"/>
          <w:sz w:val="22"/>
          <w:szCs w:val="21"/>
        </w:rPr>
        <w:t>coordinating meeting arrangements at the direction of the Chair, including scheduling meetings and invitations, preparing and distributing meeting agendas and minutes</w:t>
      </w:r>
    </w:p>
    <w:p w14:paraId="7485BA86" w14:textId="77777777" w:rsidR="00950221" w:rsidRPr="00950221" w:rsidRDefault="00950221" w:rsidP="00950221">
      <w:pPr>
        <w:numPr>
          <w:ilvl w:val="0"/>
          <w:numId w:val="1"/>
        </w:numPr>
        <w:spacing w:before="60" w:after="120"/>
        <w:rPr>
          <w:rFonts w:ascii="Arial" w:hAnsi="Arial" w:cs="Arial"/>
          <w:sz w:val="22"/>
          <w:szCs w:val="21"/>
        </w:rPr>
      </w:pPr>
      <w:r w:rsidRPr="00950221">
        <w:rPr>
          <w:rFonts w:ascii="Arial" w:hAnsi="Arial" w:cs="Arial"/>
          <w:sz w:val="22"/>
          <w:szCs w:val="21"/>
        </w:rPr>
        <w:t>facilitating Taskforce members to travel to and participate in meetings</w:t>
      </w:r>
    </w:p>
    <w:p w14:paraId="4951ACCD" w14:textId="77777777" w:rsidR="00950221" w:rsidRPr="00950221" w:rsidRDefault="00950221" w:rsidP="00950221">
      <w:pPr>
        <w:numPr>
          <w:ilvl w:val="0"/>
          <w:numId w:val="1"/>
        </w:numPr>
        <w:spacing w:before="60" w:after="120"/>
        <w:rPr>
          <w:rFonts w:ascii="Arial" w:hAnsi="Arial" w:cs="Arial"/>
          <w:sz w:val="22"/>
          <w:szCs w:val="21"/>
        </w:rPr>
      </w:pPr>
      <w:r w:rsidRPr="00950221">
        <w:rPr>
          <w:rFonts w:ascii="Arial" w:hAnsi="Arial" w:cs="Arial"/>
          <w:sz w:val="22"/>
          <w:szCs w:val="21"/>
        </w:rPr>
        <w:t>facilitating access to subject-matter expert advice from across the public service, as needed</w:t>
      </w:r>
    </w:p>
    <w:p w14:paraId="5D5F13B4" w14:textId="77777777" w:rsidR="00950221" w:rsidRPr="00950221" w:rsidRDefault="00950221" w:rsidP="00950221">
      <w:pPr>
        <w:numPr>
          <w:ilvl w:val="0"/>
          <w:numId w:val="1"/>
        </w:numPr>
        <w:spacing w:before="60" w:after="120"/>
        <w:rPr>
          <w:rFonts w:ascii="Arial" w:hAnsi="Arial" w:cs="Arial"/>
          <w:sz w:val="22"/>
          <w:szCs w:val="21"/>
        </w:rPr>
      </w:pPr>
      <w:r w:rsidRPr="00950221">
        <w:rPr>
          <w:rFonts w:ascii="Arial" w:hAnsi="Arial" w:cs="Arial"/>
          <w:sz w:val="22"/>
          <w:szCs w:val="21"/>
        </w:rPr>
        <w:t>supporting the disseminating the Taskforce’s advice and findings as directed by the Chair in consultation with the Minister for Women.</w:t>
      </w:r>
    </w:p>
    <w:p w14:paraId="5B664141" w14:textId="77777777" w:rsidR="00950221" w:rsidRPr="00950221" w:rsidRDefault="00950221" w:rsidP="00950221">
      <w:pPr>
        <w:keepNext/>
        <w:keepLines/>
        <w:spacing w:after="120"/>
        <w:outlineLvl w:val="1"/>
        <w:rPr>
          <w:rFonts w:ascii="Arial" w:hAnsi="Arial" w:cs="Arial"/>
          <w:b/>
          <w:sz w:val="22"/>
          <w:szCs w:val="21"/>
        </w:rPr>
      </w:pPr>
      <w:r w:rsidRPr="00950221">
        <w:rPr>
          <w:rFonts w:ascii="Arial" w:hAnsi="Arial" w:cs="Arial"/>
          <w:sz w:val="22"/>
          <w:szCs w:val="21"/>
        </w:rPr>
        <w:t>Senior officials from the Office for Women, the Treasury and the Department of Finance, and Ministerial advisers will be invited to attend meetings as observers, noting the Taskforce may elect to meet without observers.</w:t>
      </w:r>
      <w:r w:rsidRPr="00950221">
        <w:rPr>
          <w:rFonts w:ascii="Arial" w:hAnsi="Arial" w:cs="Arial"/>
          <w:b/>
          <w:sz w:val="22"/>
          <w:szCs w:val="21"/>
        </w:rPr>
        <w:t xml:space="preserve"> </w:t>
      </w:r>
    </w:p>
    <w:p w14:paraId="7F6A1089" w14:textId="77777777" w:rsidR="00950221" w:rsidRDefault="00950221">
      <w:pPr>
        <w:spacing w:after="160" w:line="259" w:lineRule="auto"/>
        <w:rPr>
          <w:rFonts w:ascii="Arial" w:hAnsi="Arial" w:cs="Arial"/>
          <w:b/>
          <w:color w:val="002060"/>
          <w:szCs w:val="21"/>
        </w:rPr>
      </w:pPr>
      <w:r>
        <w:rPr>
          <w:rFonts w:ascii="Arial" w:hAnsi="Arial" w:cs="Arial"/>
          <w:b/>
          <w:color w:val="002060"/>
          <w:szCs w:val="21"/>
        </w:rPr>
        <w:br w:type="page"/>
      </w:r>
    </w:p>
    <w:p w14:paraId="2A42EEE8" w14:textId="3E0C7826" w:rsidR="00950221" w:rsidRPr="00950221" w:rsidRDefault="00950221" w:rsidP="00950221">
      <w:pPr>
        <w:spacing w:before="60" w:after="120"/>
        <w:rPr>
          <w:rFonts w:ascii="Arial" w:hAnsi="Arial" w:cs="Arial"/>
          <w:b/>
          <w:sz w:val="22"/>
          <w:szCs w:val="21"/>
        </w:rPr>
      </w:pPr>
      <w:r w:rsidRPr="00950221">
        <w:rPr>
          <w:rFonts w:ascii="Arial" w:hAnsi="Arial" w:cs="Arial"/>
          <w:b/>
          <w:color w:val="002060"/>
          <w:szCs w:val="21"/>
        </w:rPr>
        <w:lastRenderedPageBreak/>
        <w:t>Remuneration</w:t>
      </w:r>
    </w:p>
    <w:p w14:paraId="75B287C5" w14:textId="64D403C9" w:rsidR="00950221" w:rsidRPr="00950221" w:rsidRDefault="00950221" w:rsidP="00950221">
      <w:pPr>
        <w:spacing w:before="60" w:after="120"/>
        <w:rPr>
          <w:rFonts w:ascii="Arial" w:hAnsi="Arial" w:cs="Arial"/>
          <w:sz w:val="22"/>
          <w:szCs w:val="21"/>
        </w:rPr>
      </w:pPr>
      <w:r w:rsidRPr="00950221">
        <w:rPr>
          <w:rFonts w:ascii="Arial" w:hAnsi="Arial" w:cs="Arial"/>
          <w:sz w:val="22"/>
          <w:szCs w:val="21"/>
        </w:rPr>
        <w:t>Members will be paid a daily rate of $1,500 (GST exclusive), or an hourly rate using the following formula: under 2 hours, 40 per cent of the daily fee paid, 2-3 hours 60 per cent fee paid, more than 3 hours = 100 per cent daily fee.</w:t>
      </w:r>
    </w:p>
    <w:p w14:paraId="5D0F8A8C" w14:textId="77777777" w:rsidR="00950221" w:rsidRPr="00950221" w:rsidRDefault="00950221" w:rsidP="00950221">
      <w:pPr>
        <w:spacing w:before="60" w:after="120"/>
        <w:rPr>
          <w:rFonts w:ascii="Arial" w:hAnsi="Arial" w:cs="Arial"/>
          <w:b/>
          <w:sz w:val="22"/>
          <w:szCs w:val="21"/>
        </w:rPr>
      </w:pPr>
      <w:r w:rsidRPr="00950221">
        <w:rPr>
          <w:rFonts w:ascii="Arial" w:hAnsi="Arial" w:cs="Arial"/>
          <w:sz w:val="22"/>
          <w:szCs w:val="21"/>
        </w:rPr>
        <w:t xml:space="preserve">Members will be paid for official travel time and any time spent preparing for meetings out-of-session using the formula above. Travel will be arranged and paid for by the Department of the Prime Minister and Cabinet. </w:t>
      </w:r>
    </w:p>
    <w:p w14:paraId="4C933BCF" w14:textId="384311F9" w:rsidR="00950221" w:rsidRPr="00950221" w:rsidRDefault="00950221" w:rsidP="00950221">
      <w:pPr>
        <w:keepNext/>
        <w:keepLines/>
        <w:spacing w:after="120"/>
        <w:outlineLvl w:val="1"/>
        <w:rPr>
          <w:rFonts w:ascii="Arial" w:eastAsiaTheme="majorEastAsia" w:hAnsi="Arial" w:cs="Arial"/>
          <w:noProof/>
          <w:color w:val="002060"/>
          <w:spacing w:val="-15"/>
          <w:kern w:val="28"/>
          <w:sz w:val="72"/>
          <w:szCs w:val="96"/>
          <w:lang w:eastAsia="en-US"/>
        </w:rPr>
      </w:pPr>
      <w:r w:rsidRPr="00950221">
        <w:rPr>
          <w:rFonts w:ascii="Arial" w:hAnsi="Arial" w:cs="Arial"/>
          <w:sz w:val="22"/>
          <w:szCs w:val="21"/>
        </w:rPr>
        <w:t xml:space="preserve">Remuneration is based on the </w:t>
      </w:r>
      <w:r w:rsidRPr="00950221">
        <w:rPr>
          <w:rFonts w:ascii="Arial" w:hAnsi="Arial" w:cs="Arial"/>
          <w:i/>
          <w:sz w:val="22"/>
          <w:szCs w:val="21"/>
        </w:rPr>
        <w:t>Remuneration Tribunal (Remuneration and Allowances for Holders of Part-time Public Office) Determination 2021</w:t>
      </w:r>
      <w:r w:rsidRPr="00950221">
        <w:rPr>
          <w:rFonts w:ascii="Arial" w:hAnsi="Arial" w:cs="Arial"/>
          <w:sz w:val="22"/>
          <w:szCs w:val="21"/>
        </w:rPr>
        <w:t>.</w:t>
      </w:r>
    </w:p>
    <w:p w14:paraId="39F48365" w14:textId="77777777" w:rsidR="00950221" w:rsidRDefault="00950221" w:rsidP="00B93A44">
      <w:pPr>
        <w:rPr>
          <w:rFonts w:ascii="Arial" w:hAnsi="Arial" w:cs="Arial"/>
          <w:b/>
          <w:color w:val="002060"/>
          <w:szCs w:val="21"/>
        </w:rPr>
      </w:pPr>
    </w:p>
    <w:p w14:paraId="1A2CA3E8" w14:textId="3BA4BD07" w:rsidR="00950221" w:rsidRPr="00950221" w:rsidRDefault="00950221" w:rsidP="00B93A44">
      <w:pPr>
        <w:rPr>
          <w:rFonts w:ascii="Arial" w:hAnsi="Arial" w:cs="Arial"/>
          <w:sz w:val="22"/>
          <w:szCs w:val="21"/>
        </w:rPr>
      </w:pPr>
      <w:r w:rsidRPr="00950221">
        <w:rPr>
          <w:rFonts w:ascii="Arial" w:hAnsi="Arial" w:cs="Arial"/>
          <w:b/>
          <w:color w:val="002060"/>
          <w:szCs w:val="21"/>
        </w:rPr>
        <w:t>Duration</w:t>
      </w:r>
      <w:r w:rsidRPr="00950221">
        <w:rPr>
          <w:rFonts w:ascii="Arial" w:hAnsi="Arial" w:cs="Arial"/>
          <w:color w:val="002060"/>
          <w:szCs w:val="21"/>
        </w:rPr>
        <w:t xml:space="preserve"> </w:t>
      </w:r>
    </w:p>
    <w:p w14:paraId="43F0B24F" w14:textId="345E2134" w:rsidR="0080749C" w:rsidRPr="00950221" w:rsidRDefault="00950221" w:rsidP="00B93A44">
      <w:pPr>
        <w:rPr>
          <w:rFonts w:ascii="Arial" w:hAnsi="Arial" w:cs="Arial"/>
          <w:sz w:val="28"/>
        </w:rPr>
      </w:pPr>
      <w:r w:rsidRPr="00950221">
        <w:rPr>
          <w:rFonts w:ascii="Arial" w:hAnsi="Arial" w:cs="Arial"/>
          <w:sz w:val="22"/>
          <w:szCs w:val="21"/>
        </w:rPr>
        <w:t>The Taskforce has been appointed for an initial period of six months.</w:t>
      </w:r>
    </w:p>
    <w:sectPr w:rsidR="0080749C" w:rsidRPr="00950221" w:rsidSect="00C266DE">
      <w:head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5E62C" w14:textId="77777777" w:rsidR="00F61BAB" w:rsidRDefault="00F61BAB" w:rsidP="00222C5D">
      <w:pPr>
        <w:spacing w:after="0"/>
      </w:pPr>
      <w:r>
        <w:separator/>
      </w:r>
    </w:p>
  </w:endnote>
  <w:endnote w:type="continuationSeparator" w:id="0">
    <w:p w14:paraId="5E3A1599" w14:textId="77777777" w:rsidR="00F61BAB" w:rsidRDefault="00F61BAB" w:rsidP="00222C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CB75C" w14:textId="77777777" w:rsidR="00F61BAB" w:rsidRDefault="00F61BAB" w:rsidP="00222C5D">
      <w:pPr>
        <w:spacing w:after="0"/>
      </w:pPr>
      <w:r>
        <w:separator/>
      </w:r>
    </w:p>
  </w:footnote>
  <w:footnote w:type="continuationSeparator" w:id="0">
    <w:p w14:paraId="7C54AF54" w14:textId="77777777" w:rsidR="00F61BAB" w:rsidRDefault="00F61BAB" w:rsidP="00222C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12CDE" w14:textId="4D7D970D" w:rsidR="00222C5D" w:rsidRPr="002F1027" w:rsidRDefault="00222C5D" w:rsidP="00B93A44">
    <w:pPr>
      <w:pStyle w:val="Header"/>
    </w:pPr>
    <w:r>
      <w:rPr>
        <w:noProof/>
      </w:rPr>
      <w:drawing>
        <wp:inline distT="0" distB="0" distL="0" distR="0" wp14:anchorId="56231AF0" wp14:editId="1BCD3E4F">
          <wp:extent cx="2514600" cy="620268"/>
          <wp:effectExtent l="0" t="0" r="0" b="8890"/>
          <wp:docPr id="3" name="Picture 3" descr="Australian Government strip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strip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7365" cy="630817"/>
                  </a:xfrm>
                  <a:prstGeom prst="rect">
                    <a:avLst/>
                  </a:prstGeom>
                  <a:noFill/>
                  <a:ln>
                    <a:noFill/>
                  </a:ln>
                </pic:spPr>
              </pic:pic>
            </a:graphicData>
          </a:graphic>
        </wp:inline>
      </w:drawing>
    </w:r>
  </w:p>
  <w:p w14:paraId="0377FF0B" w14:textId="1E84E4D8" w:rsidR="00222C5D" w:rsidRPr="007A404F" w:rsidRDefault="007A404F" w:rsidP="00222C5D">
    <w:pPr>
      <w:pStyle w:val="Header"/>
      <w:rPr>
        <w:rFonts w:asciiTheme="minorHAnsi" w:hAnsiTheme="minorHAnsi" w:cstheme="minorHAnsi"/>
        <w:b/>
      </w:rPr>
    </w:pPr>
    <w:r w:rsidRPr="007A404F">
      <w:rPr>
        <w:rFonts w:asciiTheme="minorHAnsi" w:hAnsiTheme="minorHAnsi" w:cstheme="minorHAnsi"/>
        <w:b/>
      </w:rPr>
      <w:tab/>
    </w:r>
    <w:r w:rsidRPr="007A404F">
      <w:rPr>
        <w:rFonts w:asciiTheme="minorHAnsi" w:hAnsiTheme="minorHAnsi" w:cstheme="minorHAnsi"/>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942E8"/>
    <w:multiLevelType w:val="hybridMultilevel"/>
    <w:tmpl w:val="FB8A9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C969DA"/>
    <w:multiLevelType w:val="hybridMultilevel"/>
    <w:tmpl w:val="2724E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9C94815"/>
    <w:multiLevelType w:val="hybridMultilevel"/>
    <w:tmpl w:val="02306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0812F1"/>
    <w:multiLevelType w:val="hybridMultilevel"/>
    <w:tmpl w:val="B2387C6C"/>
    <w:lvl w:ilvl="0" w:tplc="C644BE94">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9C"/>
    <w:rsid w:val="00051254"/>
    <w:rsid w:val="000D0847"/>
    <w:rsid w:val="001B2272"/>
    <w:rsid w:val="001C0EC5"/>
    <w:rsid w:val="001D3BE9"/>
    <w:rsid w:val="0020480B"/>
    <w:rsid w:val="002059C1"/>
    <w:rsid w:val="00216A29"/>
    <w:rsid w:val="00222C5D"/>
    <w:rsid w:val="002245E4"/>
    <w:rsid w:val="00340436"/>
    <w:rsid w:val="003B5720"/>
    <w:rsid w:val="003E7AB3"/>
    <w:rsid w:val="004009BD"/>
    <w:rsid w:val="00407C70"/>
    <w:rsid w:val="005044BD"/>
    <w:rsid w:val="00507D18"/>
    <w:rsid w:val="00555198"/>
    <w:rsid w:val="00590C9B"/>
    <w:rsid w:val="006D6CA6"/>
    <w:rsid w:val="006E0815"/>
    <w:rsid w:val="007061DA"/>
    <w:rsid w:val="00713743"/>
    <w:rsid w:val="00781C7F"/>
    <w:rsid w:val="007A404F"/>
    <w:rsid w:val="007A5ADF"/>
    <w:rsid w:val="007B3ADA"/>
    <w:rsid w:val="00801D56"/>
    <w:rsid w:val="0080705A"/>
    <w:rsid w:val="0080749C"/>
    <w:rsid w:val="00843B95"/>
    <w:rsid w:val="008442C2"/>
    <w:rsid w:val="00853B2B"/>
    <w:rsid w:val="00883B7E"/>
    <w:rsid w:val="008A093D"/>
    <w:rsid w:val="008A659B"/>
    <w:rsid w:val="008B71F8"/>
    <w:rsid w:val="008C0449"/>
    <w:rsid w:val="008D1B91"/>
    <w:rsid w:val="008F1D71"/>
    <w:rsid w:val="00930EB8"/>
    <w:rsid w:val="00950221"/>
    <w:rsid w:val="009D6092"/>
    <w:rsid w:val="009E0AF0"/>
    <w:rsid w:val="00A73727"/>
    <w:rsid w:val="00AC6F14"/>
    <w:rsid w:val="00AE3A2B"/>
    <w:rsid w:val="00B223E1"/>
    <w:rsid w:val="00B37BA1"/>
    <w:rsid w:val="00B634B8"/>
    <w:rsid w:val="00B650E4"/>
    <w:rsid w:val="00B93A44"/>
    <w:rsid w:val="00C92E0B"/>
    <w:rsid w:val="00CA0612"/>
    <w:rsid w:val="00CD3918"/>
    <w:rsid w:val="00CE1DB0"/>
    <w:rsid w:val="00DA38B3"/>
    <w:rsid w:val="00DD2BE3"/>
    <w:rsid w:val="00DE2FB0"/>
    <w:rsid w:val="00E62DBE"/>
    <w:rsid w:val="00EB0FF0"/>
    <w:rsid w:val="00ED33C6"/>
    <w:rsid w:val="00ED4079"/>
    <w:rsid w:val="00EF2DDF"/>
    <w:rsid w:val="00F61BAB"/>
    <w:rsid w:val="00F7646B"/>
    <w:rsid w:val="00FA65FD"/>
    <w:rsid w:val="00FE1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62DDE"/>
  <w15:chartTrackingRefBased/>
  <w15:docId w15:val="{E2133DA8-910E-4280-A6E9-0095EB0F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49C"/>
    <w:pPr>
      <w:spacing w:after="20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49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2DDF"/>
    <w:rPr>
      <w:sz w:val="16"/>
      <w:szCs w:val="16"/>
    </w:rPr>
  </w:style>
  <w:style w:type="paragraph" w:styleId="CommentText">
    <w:name w:val="annotation text"/>
    <w:basedOn w:val="Normal"/>
    <w:link w:val="CommentTextChar"/>
    <w:uiPriority w:val="99"/>
    <w:semiHidden/>
    <w:unhideWhenUsed/>
    <w:rsid w:val="00EF2DDF"/>
    <w:rPr>
      <w:sz w:val="20"/>
    </w:rPr>
  </w:style>
  <w:style w:type="character" w:customStyle="1" w:styleId="CommentTextChar">
    <w:name w:val="Comment Text Char"/>
    <w:basedOn w:val="DefaultParagraphFont"/>
    <w:link w:val="CommentText"/>
    <w:uiPriority w:val="99"/>
    <w:semiHidden/>
    <w:rsid w:val="00EF2DD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F2DDF"/>
    <w:rPr>
      <w:b/>
      <w:bCs/>
    </w:rPr>
  </w:style>
  <w:style w:type="character" w:customStyle="1" w:styleId="CommentSubjectChar">
    <w:name w:val="Comment Subject Char"/>
    <w:basedOn w:val="CommentTextChar"/>
    <w:link w:val="CommentSubject"/>
    <w:uiPriority w:val="99"/>
    <w:semiHidden/>
    <w:rsid w:val="00EF2DDF"/>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F2D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DDF"/>
    <w:rPr>
      <w:rFonts w:ascii="Segoe UI" w:eastAsia="Times New Roman" w:hAnsi="Segoe UI" w:cs="Segoe UI"/>
      <w:sz w:val="18"/>
      <w:szCs w:val="18"/>
      <w:lang w:eastAsia="en-AU"/>
    </w:rPr>
  </w:style>
  <w:style w:type="paragraph" w:styleId="ListParagraph">
    <w:name w:val="List Paragraph"/>
    <w:basedOn w:val="Normal"/>
    <w:uiPriority w:val="34"/>
    <w:qFormat/>
    <w:rsid w:val="00590C9B"/>
    <w:pPr>
      <w:ind w:left="720"/>
      <w:contextualSpacing/>
    </w:pPr>
  </w:style>
  <w:style w:type="paragraph" w:styleId="Header">
    <w:name w:val="header"/>
    <w:basedOn w:val="Normal"/>
    <w:link w:val="HeaderChar"/>
    <w:uiPriority w:val="99"/>
    <w:unhideWhenUsed/>
    <w:qFormat/>
    <w:rsid w:val="00222C5D"/>
    <w:pPr>
      <w:tabs>
        <w:tab w:val="center" w:pos="4513"/>
        <w:tab w:val="right" w:pos="9026"/>
      </w:tabs>
      <w:spacing w:after="0"/>
    </w:pPr>
  </w:style>
  <w:style w:type="character" w:customStyle="1" w:styleId="HeaderChar">
    <w:name w:val="Header Char"/>
    <w:basedOn w:val="DefaultParagraphFont"/>
    <w:link w:val="Header"/>
    <w:uiPriority w:val="99"/>
    <w:rsid w:val="00222C5D"/>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222C5D"/>
    <w:pPr>
      <w:tabs>
        <w:tab w:val="center" w:pos="4513"/>
        <w:tab w:val="right" w:pos="9026"/>
      </w:tabs>
      <w:spacing w:after="0"/>
    </w:pPr>
  </w:style>
  <w:style w:type="character" w:customStyle="1" w:styleId="FooterChar">
    <w:name w:val="Footer Char"/>
    <w:basedOn w:val="DefaultParagraphFont"/>
    <w:link w:val="Footer"/>
    <w:uiPriority w:val="99"/>
    <w:rsid w:val="00222C5D"/>
    <w:rPr>
      <w:rFonts w:ascii="Times New Roman" w:eastAsia="Times New Roman" w:hAnsi="Times New Roman" w:cs="Times New Roman"/>
      <w:sz w:val="24"/>
      <w:szCs w:val="20"/>
      <w:lang w:eastAsia="en-AU"/>
    </w:rPr>
  </w:style>
  <w:style w:type="paragraph" w:styleId="Revision">
    <w:name w:val="Revision"/>
    <w:hidden/>
    <w:uiPriority w:val="99"/>
    <w:semiHidden/>
    <w:rsid w:val="003E7AB3"/>
    <w:pPr>
      <w:spacing w:after="0" w:line="240" w:lineRule="auto"/>
    </w:pPr>
    <w:rPr>
      <w:rFonts w:ascii="Times New Roman" w:eastAsia="Times New Roman" w:hAnsi="Times New Roman" w:cs="Times New Roman"/>
      <w:sz w:val="24"/>
      <w:szCs w:val="20"/>
      <w:lang w:eastAsia="en-AU"/>
    </w:rPr>
  </w:style>
  <w:style w:type="character" w:styleId="PlaceholderText">
    <w:name w:val="Placeholder Text"/>
    <w:basedOn w:val="DefaultParagraphFont"/>
    <w:uiPriority w:val="99"/>
    <w:semiHidden/>
    <w:rsid w:val="00B93A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BA4C12DF371E8F4BB93A2BEA4DE4AEC1" ma:contentTypeVersion="7" ma:contentTypeDescription="ShareHub Document" ma:contentTypeScope="" ma:versionID="0fadfeb0e644ff012fc6c2d6ff120b19">
  <xsd:schema xmlns:xsd="http://www.w3.org/2001/XMLSchema" xmlns:xs="http://www.w3.org/2001/XMLSchema" xmlns:p="http://schemas.microsoft.com/office/2006/metadata/properties" xmlns:ns1="c5f2e3b8-678d-49cc-a09f-cfbaac9fe4ac" xmlns:ns3="685f9fda-bd71-4433-b331-92feb9553089" targetNamespace="http://schemas.microsoft.com/office/2006/metadata/properties" ma:root="true" ma:fieldsID="2431fab8f78af36a2fb430a4f555a2a6" ns1:_="" ns3:_="">
    <xsd:import namespace="c5f2e3b8-678d-49cc-a09f-cfbaac9fe4ac"/>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2e3b8-678d-49cc-a09f-cfbaac9fe4ac"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readOnly="false" ma:default="48;#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dec800d-e8ae-4e5b-bda9-de80f29b0884}" ma:internalName="TaxCatchAll" ma:showField="CatchAllData" ma:web="c5f2e3b8-678d-49cc-a09f-cfbaac9fe4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dec800d-e8ae-4e5b-bda9-de80f29b0884}" ma:internalName="TaxCatchAllLabel" ma:readOnly="true" ma:showField="CatchAllDataLabel" ma:web="c5f2e3b8-678d-49cc-a09f-cfbaac9fe4ac">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f2e3b8-678d-49cc-a09f-cfbaac9fe4ac">
      <Value>48</Value>
    </TaxCatchAll>
    <jd1c641577414dfdab1686c9d5d0dbd0 xmlns="c5f2e3b8-678d-49cc-a09f-cfbaac9fe4ac">
      <Terms xmlns="http://schemas.microsoft.com/office/infopath/2007/PartnerControls"/>
    </jd1c641577414dfdab1686c9d5d0dbd0>
    <PMCNotes xmlns="c5f2e3b8-678d-49cc-a09f-cfbaac9fe4ac" xsi:nil="true"/>
    <ShareHubID xmlns="c5f2e3b8-678d-49cc-a09f-cfbaac9fe4ac">DOC23-4119</ShareHubID>
    <mc5611b894cf49d8aeeb8ebf39dc09bc xmlns="c5f2e3b8-678d-49cc-a09f-cfbaac9fe4a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NonRecordJustification xmlns="685f9fda-bd71-4433-b331-92feb9553089">None</NonRecordJustification>
  </documentManagement>
</p:properties>
</file>

<file path=customXml/itemProps1.xml><?xml version="1.0" encoding="utf-8"?>
<ds:datastoreItem xmlns:ds="http://schemas.openxmlformats.org/officeDocument/2006/customXml" ds:itemID="{D7ABA735-34D8-409D-ACD6-CC6A46299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2e3b8-678d-49cc-a09f-cfbaac9fe4ac"/>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655E4-9332-46D0-86F2-29727277F641}">
  <ds:schemaRefs>
    <ds:schemaRef ds:uri="http://schemas.microsoft.com/sharepoint/v3/contenttype/forms"/>
  </ds:schemaRefs>
</ds:datastoreItem>
</file>

<file path=customXml/itemProps3.xml><?xml version="1.0" encoding="utf-8"?>
<ds:datastoreItem xmlns:ds="http://schemas.openxmlformats.org/officeDocument/2006/customXml" ds:itemID="{E887A4B8-3477-4D8E-9263-2EDF80F5D151}">
  <ds:schemaRefs>
    <ds:schemaRef ds:uri="http://schemas.microsoft.com/office/2006/metadata/properties"/>
    <ds:schemaRef ds:uri="http://schemas.microsoft.com/office/infopath/2007/PartnerControls"/>
    <ds:schemaRef ds:uri="c5f2e3b8-678d-49cc-a09f-cfbaac9fe4ac"/>
    <ds:schemaRef ds:uri="685f9fda-bd71-4433-b331-92feb955308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Navjeet</dc:creator>
  <cp:keywords/>
  <dc:description/>
  <cp:lastModifiedBy>Kaur, Navjeet</cp:lastModifiedBy>
  <cp:revision>6</cp:revision>
  <cp:lastPrinted>2022-09-15T01:31:00Z</cp:lastPrinted>
  <dcterms:created xsi:type="dcterms:W3CDTF">2023-01-24T03:48:00Z</dcterms:created>
  <dcterms:modified xsi:type="dcterms:W3CDTF">2023-01-31T05:20:00Z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0x0101002825A64A6E1845A99A9D8EE8A5686ECB00BA4C12DF371E8F4BB93A2BEA4DE4AEC1</vt:lpwstr>
  </property>
  <property fmtid="{D5CDD505-2E9C-101B-9397-08002B2CF9AE}" pid="3" name="HPRMSecurityLevel">
    <vt:lpwstr>48;#OFFICIAL|11463c70-78df-4e3b-b0ff-f66cd3cb26ec</vt:lpwstr>
  </property>
  <property fmtid="{D5CDD505-2E9C-101B-9397-08002B2CF9AE}" pid="4" name="HPRMSecurityCaveat">
    <vt:lpwstr/>
  </property>
</Properties>
</file>