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B912E2" w14:textId="77777777" w:rsidR="00130ADC" w:rsidRDefault="00130ADC" w:rsidP="009D293A">
      <w:bookmarkStart w:id="0" w:name="_Toc329769812"/>
      <w:bookmarkStart w:id="1" w:name="_Toc329769939"/>
      <w:bookmarkStart w:id="2" w:name="_Toc330371011"/>
      <w:bookmarkStart w:id="3" w:name="_Toc330371850"/>
      <w:bookmarkStart w:id="4" w:name="_Toc331423696"/>
      <w:bookmarkStart w:id="5" w:name="_Toc331665802"/>
      <w:bookmarkStart w:id="6" w:name="_Toc334085936"/>
      <w:bookmarkStart w:id="7" w:name="_Toc334106934"/>
      <w:bookmarkStart w:id="8" w:name="_Toc334776865"/>
      <w:bookmarkStart w:id="9" w:name="_Toc334790438"/>
      <w:bookmarkStart w:id="10" w:name="_Toc336505282"/>
      <w:bookmarkStart w:id="11" w:name="_Toc336938929"/>
      <w:bookmarkStart w:id="12" w:name="_Toc337210529"/>
      <w:bookmarkStart w:id="13" w:name="_Toc338412891"/>
      <w:bookmarkStart w:id="14" w:name="_Toc338419100"/>
      <w:bookmarkStart w:id="15" w:name="_Toc338419164"/>
      <w:bookmarkStart w:id="16" w:name="_Toc339440854"/>
      <w:bookmarkStart w:id="17" w:name="_Toc339440925"/>
      <w:bookmarkStart w:id="18" w:name="_Toc340562848"/>
      <w:bookmarkStart w:id="19" w:name="_Toc340741195"/>
      <w:bookmarkStart w:id="20" w:name="_Toc340742525"/>
      <w:bookmarkStart w:id="21" w:name="_Toc340816904"/>
      <w:bookmarkStart w:id="22" w:name="_Toc341255148"/>
      <w:bookmarkStart w:id="23" w:name="_Toc341347250"/>
      <w:bookmarkStart w:id="24" w:name="_Toc341429725"/>
      <w:bookmarkStart w:id="25" w:name="_Toc341946134"/>
      <w:bookmarkStart w:id="26" w:name="_Toc342032033"/>
      <w:bookmarkStart w:id="27" w:name="_Toc343066832"/>
      <w:bookmarkStart w:id="28" w:name="_Toc343261518"/>
      <w:bookmarkStart w:id="29" w:name="_Toc343607087"/>
      <w:bookmarkStart w:id="30" w:name="_Toc347485396"/>
      <w:bookmarkStart w:id="31" w:name="_Toc348950634"/>
      <w:bookmarkStart w:id="32" w:name="_Toc348952778"/>
      <w:bookmarkStart w:id="33" w:name="_Toc349652165"/>
      <w:bookmarkStart w:id="34" w:name="_Toc349652265"/>
      <w:bookmarkStart w:id="35" w:name="_Toc349741803"/>
      <w:bookmarkStart w:id="36" w:name="_Toc351033510"/>
      <w:bookmarkStart w:id="37" w:name="_Toc351040429"/>
      <w:bookmarkStart w:id="38" w:name="_Toc351109336"/>
      <w:bookmarkStart w:id="39" w:name="_Toc351115091"/>
      <w:bookmarkStart w:id="40" w:name="_Toc353287152"/>
      <w:bookmarkStart w:id="41" w:name="_Toc353287308"/>
      <w:bookmarkStart w:id="42" w:name="_Toc353371044"/>
      <w:bookmarkStart w:id="43" w:name="_Toc353374429"/>
      <w:bookmarkStart w:id="44" w:name="_Toc353444646"/>
      <w:bookmarkStart w:id="45" w:name="_Toc353525859"/>
      <w:bookmarkStart w:id="46" w:name="_Toc355010386"/>
      <w:bookmarkStart w:id="47" w:name="_Toc356307524"/>
      <w:bookmarkStart w:id="48" w:name="_Toc356313198"/>
      <w:bookmarkStart w:id="49" w:name="_Toc357158733"/>
      <w:bookmarkStart w:id="50" w:name="_Toc357761796"/>
      <w:bookmarkStart w:id="51" w:name="_Toc359254344"/>
      <w:bookmarkStart w:id="52" w:name="_Toc361125038"/>
      <w:bookmarkStart w:id="53" w:name="_Toc361125109"/>
      <w:bookmarkStart w:id="54" w:name="_Toc361143007"/>
      <w:bookmarkStart w:id="55" w:name="_Toc362205722"/>
      <w:bookmarkStart w:id="56" w:name="_Toc362250091"/>
      <w:bookmarkStart w:id="57" w:name="_Toc362341053"/>
      <w:bookmarkStart w:id="58" w:name="_Toc362341072"/>
      <w:bookmarkStart w:id="59" w:name="_Toc362341103"/>
      <w:bookmarkStart w:id="60" w:name="_Toc362343440"/>
      <w:bookmarkStart w:id="61" w:name="_Toc363475029"/>
      <w:bookmarkStart w:id="62" w:name="_Toc363725628"/>
      <w:bookmarkStart w:id="63" w:name="_Toc363725774"/>
      <w:bookmarkStart w:id="64" w:name="_Toc363726435"/>
      <w:bookmarkStart w:id="65" w:name="_Toc364761057"/>
      <w:bookmarkStart w:id="66" w:name="_Toc365273842"/>
      <w:bookmarkStart w:id="67" w:name="_Toc367282597"/>
      <w:bookmarkStart w:id="68" w:name="_Toc367283591"/>
      <w:bookmarkStart w:id="69" w:name="_Toc367781072"/>
      <w:bookmarkStart w:id="70" w:name="_Toc367782736"/>
      <w:bookmarkStart w:id="71" w:name="_Toc369073509"/>
      <w:bookmarkStart w:id="72" w:name="_Toc372708779"/>
      <w:bookmarkStart w:id="73" w:name="_Toc372708814"/>
      <w:bookmarkStart w:id="74" w:name="_Toc372796395"/>
      <w:bookmarkStart w:id="75" w:name="_Toc372807316"/>
      <w:bookmarkStart w:id="76" w:name="_Toc373306749"/>
      <w:bookmarkStart w:id="77" w:name="_Toc373306970"/>
      <w:bookmarkStart w:id="78" w:name="_Toc373307616"/>
      <w:bookmarkStart w:id="79" w:name="_Toc373309337"/>
      <w:bookmarkStart w:id="80" w:name="_Toc373309728"/>
      <w:bookmarkStart w:id="81" w:name="_Toc376962641"/>
      <w:bookmarkStart w:id="82" w:name="_Toc379536792"/>
      <w:bookmarkStart w:id="83" w:name="_Toc379795062"/>
      <w:bookmarkStart w:id="84" w:name="_Toc379801135"/>
      <w:bookmarkStart w:id="85" w:name="_Toc379802373"/>
      <w:bookmarkStart w:id="86" w:name="_Toc383790358"/>
      <w:bookmarkStart w:id="87" w:name="_Toc384306615"/>
      <w:bookmarkStart w:id="88" w:name="_Toc384366785"/>
      <w:bookmarkStart w:id="89" w:name="_Toc387412046"/>
      <w:bookmarkStart w:id="90" w:name="_Toc391977607"/>
      <w:bookmarkStart w:id="91" w:name="_Toc391985271"/>
      <w:bookmarkStart w:id="92" w:name="_Toc391985775"/>
      <w:bookmarkStart w:id="93" w:name="_Toc391985813"/>
      <w:bookmarkStart w:id="94" w:name="_Toc392582652"/>
      <w:bookmarkStart w:id="95" w:name="_Toc392583991"/>
      <w:bookmarkStart w:id="96" w:name="_Toc392751702"/>
      <w:bookmarkStart w:id="97" w:name="_Toc392852654"/>
      <w:bookmarkStart w:id="98" w:name="_GoBack"/>
      <w:bookmarkEnd w:id="98"/>
    </w:p>
    <w:p w14:paraId="2BB912E3" w14:textId="77777777" w:rsidR="00832653" w:rsidRDefault="00832653" w:rsidP="009D293A">
      <w:pPr>
        <w:pStyle w:val="Heading1"/>
        <w:spacing w:before="240"/>
      </w:pPr>
      <w:bookmarkStart w:id="99" w:name="_Toc404606694"/>
      <w:bookmarkStart w:id="100" w:name="_Toc404603872"/>
      <w:bookmarkStart w:id="101" w:name="_Toc404599906"/>
      <w:bookmarkStart w:id="102" w:name="_Toc400627956"/>
      <w:bookmarkStart w:id="103" w:name="_Toc400109595"/>
      <w:bookmarkStart w:id="104" w:name="_Toc396480290"/>
      <w:bookmarkStart w:id="105" w:name="_Toc393462571"/>
      <w:bookmarkStart w:id="106" w:name="_Toc392589568"/>
      <w:bookmarkStart w:id="107" w:name="_Toc381283516"/>
      <w:bookmarkStart w:id="108" w:name="_Toc379966997"/>
      <w:bookmarkStart w:id="109" w:name="_Toc378240276"/>
      <w:bookmarkStart w:id="110" w:name="_Toc378058881"/>
      <w:bookmarkStart w:id="111" w:name="_Toc378058556"/>
      <w:bookmarkStart w:id="112" w:name="_Toc377474322"/>
      <w:bookmarkStart w:id="113" w:name="_Toc375560982"/>
      <w:bookmarkStart w:id="114" w:name="_Toc374526662"/>
      <w:bookmarkStart w:id="115" w:name="_Toc371337758"/>
      <w:bookmarkStart w:id="116" w:name="_Toc369272608"/>
      <w:bookmarkStart w:id="117" w:name="_Toc369272249"/>
      <w:bookmarkStart w:id="118" w:name="_Toc365277233"/>
      <w:bookmarkStart w:id="119" w:name="_Toc365277219"/>
      <w:bookmarkStart w:id="120" w:name="_Toc363719672"/>
      <w:bookmarkStart w:id="121" w:name="_Toc362420389"/>
      <w:bookmarkStart w:id="122" w:name="_Toc362335500"/>
      <w:bookmarkStart w:id="123" w:name="_Toc361929759"/>
      <w:bookmarkStart w:id="124" w:name="_Toc360453939"/>
      <w:bookmarkStart w:id="125" w:name="_Toc358983751"/>
      <w:bookmarkStart w:id="126" w:name="_Toc356569225"/>
      <w:bookmarkStart w:id="127" w:name="_Toc356295551"/>
      <w:bookmarkStart w:id="128" w:name="_Toc355615551"/>
      <w:bookmarkStart w:id="129" w:name="_Toc355604423"/>
      <w:bookmarkStart w:id="130" w:name="_Toc355604256"/>
      <w:bookmarkStart w:id="131" w:name="_Toc354048480"/>
      <w:bookmarkStart w:id="132" w:name="_Toc353966814"/>
      <w:bookmarkStart w:id="133" w:name="_Toc353887999"/>
      <w:bookmarkStart w:id="134" w:name="_Toc353803193"/>
      <w:bookmarkStart w:id="135" w:name="_Toc351553025"/>
      <w:bookmarkStart w:id="136" w:name="_Toc351544109"/>
      <w:bookmarkStart w:id="137" w:name="_Toc351123399"/>
      <w:bookmarkStart w:id="138" w:name="_Toc350953570"/>
      <w:bookmarkStart w:id="139" w:name="_Toc350858881"/>
      <w:bookmarkStart w:id="140" w:name="_Toc350858758"/>
      <w:bookmarkStart w:id="141" w:name="_Toc350858719"/>
      <w:bookmarkStart w:id="142" w:name="_Toc348688776"/>
      <w:bookmarkStart w:id="143" w:name="_Toc346698305"/>
      <w:bookmarkStart w:id="144" w:name="_Toc343850093"/>
      <w:bookmarkStart w:id="145" w:name="_Toc343848433"/>
      <w:bookmarkStart w:id="146" w:name="_Toc343754419"/>
      <w:bookmarkStart w:id="147" w:name="_Toc343250997"/>
      <w:bookmarkStart w:id="148" w:name="_Toc343249091"/>
      <w:bookmarkStart w:id="149" w:name="_Toc341357877"/>
      <w:bookmarkStart w:id="150" w:name="_Toc340583451"/>
      <w:bookmarkStart w:id="151" w:name="_Toc340582359"/>
      <w:bookmarkStart w:id="152" w:name="_Toc340567899"/>
      <w:bookmarkStart w:id="153" w:name="_Toc336956400"/>
      <w:bookmarkStart w:id="154" w:name="_Toc336942382"/>
      <w:bookmarkStart w:id="155" w:name="_Toc334021809"/>
      <w:bookmarkStart w:id="156" w:name="_Toc330308101"/>
      <w:bookmarkStart w:id="157" w:name="_Toc432587370"/>
      <w:bookmarkStart w:id="158" w:name="_Toc438539586"/>
      <w:bookmarkStart w:id="159" w:name="_Toc438539621"/>
      <w:bookmarkStart w:id="160" w:name="_Toc440639804"/>
      <w:bookmarkStart w:id="161" w:name="_Toc445973432"/>
      <w:bookmarkStart w:id="162" w:name="_Toc445974130"/>
      <w:bookmarkStart w:id="163" w:name="_Toc445974391"/>
      <w:bookmarkStart w:id="164" w:name="_Toc446318424"/>
      <w:bookmarkStart w:id="165" w:name="_Toc447532682"/>
      <w:bookmarkStart w:id="166" w:name="_Toc451168630"/>
      <w:bookmarkStart w:id="167" w:name="_Toc451264224"/>
      <w:bookmarkStart w:id="168" w:name="_Toc451264791"/>
      <w:bookmarkStart w:id="169" w:name="_Toc473715459"/>
      <w:bookmarkStart w:id="170" w:name="_Toc473900452"/>
      <w:bookmarkStart w:id="171" w:name="_Toc473900487"/>
      <w:bookmarkStart w:id="172" w:name="_Toc5288506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t>COAG Regulation Impact Statement statu</w:t>
      </w:r>
      <w:bookmarkStart w:id="173" w:name="_Toc404606695"/>
      <w:bookmarkStart w:id="174" w:name="_Toc404603873"/>
      <w:bookmarkStart w:id="175" w:name="_Toc404599907"/>
      <w:bookmarkStart w:id="176" w:name="_Toc400627957"/>
      <w:bookmarkStart w:id="177" w:name="_Toc400109596"/>
      <w:bookmarkStart w:id="178" w:name="_Toc396480291"/>
      <w:bookmarkStart w:id="179" w:name="_Toc393462572"/>
      <w:bookmarkStart w:id="180" w:name="_Toc392589569"/>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F61642">
        <w:t>s: 201</w:t>
      </w:r>
      <w:r w:rsidR="00C44B43">
        <w:t>7</w:t>
      </w:r>
      <w:r>
        <w:t>-1</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3"/>
      <w:bookmarkEnd w:id="174"/>
      <w:bookmarkEnd w:id="175"/>
      <w:bookmarkEnd w:id="176"/>
      <w:bookmarkEnd w:id="177"/>
      <w:bookmarkEnd w:id="178"/>
      <w:bookmarkEnd w:id="179"/>
      <w:bookmarkEnd w:id="180"/>
      <w:r w:rsidR="00C44B43">
        <w:t>8</w:t>
      </w:r>
      <w:bookmarkEnd w:id="172"/>
    </w:p>
    <w:p w14:paraId="2BB912E4" w14:textId="77777777" w:rsidR="00CE560A" w:rsidRDefault="00832653" w:rsidP="00832653">
      <w:pPr>
        <w:pStyle w:val="BodyText1"/>
      </w:pPr>
      <w:r>
        <w:t>The Office of Best Practice Regulation (OBPR) publish</w:t>
      </w:r>
      <w:r w:rsidR="002F723B">
        <w:t>es</w:t>
      </w:r>
      <w:r>
        <w:t xml:space="preserve"> Regulation Impact Statements (RIS) and the OBPR’s assessment of RISs on its website as soon as practicable </w:t>
      </w:r>
      <w:r w:rsidR="002F723B">
        <w:t xml:space="preserve">after a </w:t>
      </w:r>
      <w:r>
        <w:t>regulatory announcement</w:t>
      </w:r>
      <w:r w:rsidR="002F723B">
        <w:t xml:space="preserve"> is made</w:t>
      </w:r>
      <w:r>
        <w:t>, in consultation with the relevant Council, Forum or national standard-setting body (NSSB).  Consequently, the RIS status in aggregate and by Council, Forum or NSSB is also reported ‘live’ in the following tables.</w:t>
      </w:r>
      <w:r w:rsidR="00CE560A">
        <w:t xml:space="preserve"> </w:t>
      </w:r>
    </w:p>
    <w:p w14:paraId="2BB912E5" w14:textId="22D83B08" w:rsidR="00832653" w:rsidRPr="00AA416C" w:rsidRDefault="00CE560A" w:rsidP="00832653">
      <w:pPr>
        <w:pStyle w:val="BodyText1"/>
      </w:pPr>
      <w:r>
        <w:t>In the financial year 2017-18,</w:t>
      </w:r>
      <w:r w:rsidR="00971300">
        <w:t xml:space="preserve"> all</w:t>
      </w:r>
      <w:r>
        <w:t xml:space="preserve"> </w:t>
      </w:r>
      <w:r w:rsidR="00F6111E">
        <w:t>7</w:t>
      </w:r>
      <w:r>
        <w:t xml:space="preserve"> COAG RISs spanning the consultation and decision making phase were </w:t>
      </w:r>
      <w:r w:rsidR="00971300">
        <w:t>finali</w:t>
      </w:r>
      <w:r w:rsidR="00C0282A">
        <w:t>sed and assessed as compliant; a</w:t>
      </w:r>
      <w:r>
        <w:t xml:space="preserve">nother </w:t>
      </w:r>
      <w:r w:rsidR="00BD6B72" w:rsidRPr="00BD6B72">
        <w:t>14</w:t>
      </w:r>
      <w:r>
        <w:t xml:space="preserve"> COAG consultation RISs were published</w:t>
      </w:r>
      <w:r w:rsidR="00971300">
        <w:t xml:space="preserve"> for consultation</w:t>
      </w:r>
      <w:r>
        <w:t>.</w:t>
      </w:r>
    </w:p>
    <w:p w14:paraId="2BB912E6" w14:textId="77777777" w:rsidR="00832653" w:rsidRDefault="00832653" w:rsidP="009D293A">
      <w:bookmarkStart w:id="181" w:name="_Toc387412049"/>
      <w:bookmarkStart w:id="182" w:name="_Toc391977610"/>
      <w:bookmarkStart w:id="183" w:name="_Toc391985274"/>
      <w:bookmarkStart w:id="184" w:name="_Toc391985778"/>
      <w:bookmarkStart w:id="185" w:name="_Toc391985816"/>
      <w:bookmarkStart w:id="186" w:name="_Toc392582655"/>
      <w:bookmarkStart w:id="187" w:name="_Toc392583994"/>
      <w:bookmarkStart w:id="188" w:name="_Toc392751705"/>
      <w:bookmarkStart w:id="189" w:name="_Toc392852657"/>
      <w:bookmarkStart w:id="190" w:name="_Toc396743525"/>
      <w:bookmarkStart w:id="191" w:name="_Toc400100728"/>
      <w:bookmarkStart w:id="192" w:name="_Toc400101007"/>
      <w:bookmarkStart w:id="193" w:name="_Toc400104319"/>
    </w:p>
    <w:p w14:paraId="2BB912E7" w14:textId="77777777" w:rsidR="00832653" w:rsidRDefault="00832653" w:rsidP="00832653">
      <w:pPr>
        <w:pStyle w:val="Heading2"/>
      </w:pPr>
      <w:bookmarkStart w:id="194" w:name="_Toc404606696"/>
      <w:bookmarkStart w:id="195" w:name="_Toc404603874"/>
      <w:bookmarkStart w:id="196" w:name="_Toc404599908"/>
      <w:bookmarkStart w:id="197" w:name="_Toc400627958"/>
      <w:bookmarkStart w:id="198" w:name="_Toc400109597"/>
      <w:bookmarkStart w:id="199" w:name="_Toc396480292"/>
      <w:bookmarkStart w:id="200" w:name="_Toc393462573"/>
      <w:bookmarkStart w:id="201" w:name="_Toc392589570"/>
      <w:bookmarkStart w:id="202" w:name="_Toc381283518"/>
      <w:bookmarkStart w:id="203" w:name="_Toc379966999"/>
      <w:bookmarkStart w:id="204" w:name="_Toc378240278"/>
      <w:bookmarkStart w:id="205" w:name="_Toc378058883"/>
      <w:bookmarkStart w:id="206" w:name="_Toc378058558"/>
      <w:bookmarkStart w:id="207" w:name="_Toc377474324"/>
      <w:bookmarkStart w:id="208" w:name="_Toc375560984"/>
      <w:bookmarkStart w:id="209" w:name="_Toc374526664"/>
      <w:bookmarkStart w:id="210" w:name="_Toc371337760"/>
      <w:bookmarkStart w:id="211" w:name="_Toc369272610"/>
      <w:bookmarkStart w:id="212" w:name="_Toc369272251"/>
      <w:bookmarkStart w:id="213" w:name="_Toc365277235"/>
      <w:bookmarkStart w:id="214" w:name="_Toc365277221"/>
      <w:bookmarkStart w:id="215" w:name="_Toc363719674"/>
      <w:bookmarkStart w:id="216" w:name="_Toc362420391"/>
      <w:bookmarkStart w:id="217" w:name="_Toc362335502"/>
      <w:bookmarkStart w:id="218" w:name="_Toc361929761"/>
      <w:bookmarkStart w:id="219" w:name="_Toc360453941"/>
      <w:bookmarkStart w:id="220" w:name="_Toc358983753"/>
      <w:bookmarkStart w:id="221" w:name="_Toc356569227"/>
      <w:bookmarkStart w:id="222" w:name="_Toc356295553"/>
      <w:bookmarkStart w:id="223" w:name="_Toc355615553"/>
      <w:bookmarkStart w:id="224" w:name="_Toc355604425"/>
      <w:bookmarkStart w:id="225" w:name="_Toc355604258"/>
      <w:bookmarkStart w:id="226" w:name="_Toc354048482"/>
      <w:bookmarkStart w:id="227" w:name="_Toc351553027"/>
      <w:bookmarkStart w:id="228" w:name="_Toc432587371"/>
      <w:bookmarkStart w:id="229" w:name="_Toc438539587"/>
      <w:bookmarkStart w:id="230" w:name="_Toc438539622"/>
      <w:bookmarkStart w:id="231" w:name="_Toc440639805"/>
      <w:bookmarkStart w:id="232" w:name="_Toc445973433"/>
      <w:bookmarkStart w:id="233" w:name="_Toc445974131"/>
      <w:bookmarkStart w:id="234" w:name="_Toc445974392"/>
      <w:bookmarkStart w:id="235" w:name="_Toc446318425"/>
      <w:bookmarkStart w:id="236" w:name="_Toc447532683"/>
      <w:bookmarkStart w:id="237" w:name="_Toc451168631"/>
      <w:bookmarkStart w:id="238" w:name="_Toc451264225"/>
      <w:bookmarkStart w:id="239" w:name="_Toc451264792"/>
      <w:bookmarkStart w:id="240" w:name="_Toc459800318"/>
      <w:bookmarkStart w:id="241" w:name="_Toc473715460"/>
      <w:bookmarkStart w:id="242" w:name="_Toc473900453"/>
      <w:bookmarkStart w:id="243" w:name="_Toc473900488"/>
      <w:bookmarkStart w:id="244" w:name="_Toc528850696"/>
      <w:r>
        <w:t>Compliance with the COAG R</w:t>
      </w:r>
      <w:r w:rsidR="00C30E67">
        <w:t>IS requirements 201</w:t>
      </w:r>
      <w:r w:rsidR="00C44B43">
        <w:t>4</w:t>
      </w:r>
      <w:r w:rsidR="00C30E67">
        <w:t>-1</w:t>
      </w:r>
      <w:r w:rsidR="00C44B43">
        <w:t>5</w:t>
      </w:r>
      <w:r w:rsidR="00C30E67">
        <w:t xml:space="preserve"> to 201</w:t>
      </w:r>
      <w:r w:rsidR="00C44B43">
        <w:t>7</w:t>
      </w:r>
      <w:r>
        <w:t>-1</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00C44B43">
        <w:t>8</w:t>
      </w:r>
      <w:bookmarkEnd w:id="244"/>
    </w:p>
    <w:tbl>
      <w:tblPr>
        <w:tblW w:w="0" w:type="auto"/>
        <w:tblInd w:w="720"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Caption w:val="Compliance with the COAG RIS requirements 2014-15 to 2017-18"/>
        <w:tblDescription w:val="A table summarising the RIS compliance of COAG proposals within the 2014-15 to 2017-18 financial years, listing the number of RISs compliant at the consultation and decision-making stages."/>
      </w:tblPr>
      <w:tblGrid>
        <w:gridCol w:w="2392"/>
        <w:gridCol w:w="866"/>
        <w:gridCol w:w="511"/>
        <w:gridCol w:w="883"/>
        <w:gridCol w:w="526"/>
        <w:gridCol w:w="921"/>
        <w:gridCol w:w="479"/>
        <w:gridCol w:w="974"/>
        <w:gridCol w:w="476"/>
      </w:tblGrid>
      <w:tr w:rsidR="00C44B43" w14:paraId="2BB912F5" w14:textId="77777777" w:rsidTr="00342DCD">
        <w:trPr>
          <w:tblHeader/>
        </w:trPr>
        <w:tc>
          <w:tcPr>
            <w:tcW w:w="2392" w:type="dxa"/>
            <w:tcBorders>
              <w:top w:val="single" w:sz="2" w:space="0" w:color="A7B4BE"/>
              <w:left w:val="nil"/>
              <w:bottom w:val="single" w:sz="2" w:space="0" w:color="A7B4BE"/>
              <w:right w:val="single" w:sz="2" w:space="0" w:color="A7B4BE"/>
            </w:tcBorders>
            <w:shd w:val="clear" w:color="auto" w:fill="FFCC99"/>
            <w:vAlign w:val="center"/>
            <w:hideMark/>
          </w:tcPr>
          <w:p w14:paraId="2BB912E8" w14:textId="77777777" w:rsidR="00C44B43" w:rsidRPr="00A16728" w:rsidRDefault="00C44B43" w:rsidP="00C44B43">
            <w:pPr>
              <w:pStyle w:val="Tablecolumnheading"/>
            </w:pPr>
            <w:r w:rsidRPr="00A16728">
              <w:t>Stage</w:t>
            </w:r>
          </w:p>
        </w:tc>
        <w:tc>
          <w:tcPr>
            <w:tcW w:w="866" w:type="dxa"/>
            <w:tcBorders>
              <w:top w:val="single" w:sz="2" w:space="0" w:color="A7B4BE"/>
              <w:left w:val="single" w:sz="2" w:space="0" w:color="A7B4BE"/>
              <w:bottom w:val="single" w:sz="2" w:space="0" w:color="A7B4BE"/>
              <w:right w:val="nil"/>
            </w:tcBorders>
            <w:shd w:val="clear" w:color="auto" w:fill="FFCC99"/>
            <w:vAlign w:val="center"/>
            <w:hideMark/>
          </w:tcPr>
          <w:p w14:paraId="2BB912E9" w14:textId="77777777" w:rsidR="00C44B43" w:rsidRPr="00A16728" w:rsidRDefault="00C44B43" w:rsidP="00C44B43">
            <w:pPr>
              <w:pStyle w:val="Tablecolumnheading"/>
            </w:pPr>
            <w:r w:rsidRPr="00A16728">
              <w:t>201</w:t>
            </w:r>
            <w:r>
              <w:t>4</w:t>
            </w:r>
            <w:r w:rsidRPr="00A16728">
              <w:t>-1</w:t>
            </w:r>
            <w:r>
              <w:t>5</w:t>
            </w:r>
          </w:p>
          <w:p w14:paraId="2BB912EA" w14:textId="77777777" w:rsidR="00C44B43" w:rsidRPr="00A16728" w:rsidRDefault="00C44B43" w:rsidP="00C44B43">
            <w:pPr>
              <w:pStyle w:val="Tablecolumnheading"/>
            </w:pPr>
            <w:r w:rsidRPr="00A16728">
              <w:t xml:space="preserve">ratio </w:t>
            </w:r>
          </w:p>
        </w:tc>
        <w:tc>
          <w:tcPr>
            <w:tcW w:w="511" w:type="dxa"/>
            <w:tcBorders>
              <w:top w:val="single" w:sz="2" w:space="0" w:color="A7B4BE"/>
              <w:left w:val="nil"/>
              <w:bottom w:val="single" w:sz="2" w:space="0" w:color="A7B4BE"/>
              <w:right w:val="single" w:sz="2" w:space="0" w:color="A7B4BE"/>
            </w:tcBorders>
            <w:shd w:val="clear" w:color="auto" w:fill="FFCC99"/>
            <w:vAlign w:val="bottom"/>
            <w:hideMark/>
          </w:tcPr>
          <w:p w14:paraId="2BB912EB" w14:textId="77777777" w:rsidR="00C44B43" w:rsidRPr="00A16728" w:rsidRDefault="00C44B43" w:rsidP="00C44B43">
            <w:pPr>
              <w:pStyle w:val="Tablecolumnheading"/>
            </w:pPr>
            <w:r w:rsidRPr="00A16728">
              <w:t>%</w:t>
            </w:r>
          </w:p>
        </w:tc>
        <w:tc>
          <w:tcPr>
            <w:tcW w:w="883" w:type="dxa"/>
            <w:tcBorders>
              <w:top w:val="single" w:sz="2" w:space="0" w:color="A7B4BE"/>
              <w:left w:val="single" w:sz="2" w:space="0" w:color="A7B4BE"/>
              <w:bottom w:val="single" w:sz="2" w:space="0" w:color="A7B4BE"/>
              <w:right w:val="nil"/>
            </w:tcBorders>
            <w:shd w:val="clear" w:color="auto" w:fill="FFCC99"/>
            <w:hideMark/>
          </w:tcPr>
          <w:p w14:paraId="2BB912EC" w14:textId="77777777" w:rsidR="00C44B43" w:rsidRPr="00A16728" w:rsidRDefault="00C44B43" w:rsidP="00C44B43">
            <w:pPr>
              <w:pStyle w:val="Tablecolumnheading"/>
            </w:pPr>
            <w:r w:rsidRPr="00A16728">
              <w:t>201</w:t>
            </w:r>
            <w:r>
              <w:t>5</w:t>
            </w:r>
            <w:r w:rsidRPr="00A16728">
              <w:t>-1</w:t>
            </w:r>
            <w:r>
              <w:t xml:space="preserve">6 </w:t>
            </w:r>
            <w:r w:rsidRPr="00A16728">
              <w:t xml:space="preserve">ratio </w:t>
            </w:r>
          </w:p>
        </w:tc>
        <w:tc>
          <w:tcPr>
            <w:tcW w:w="497" w:type="dxa"/>
            <w:tcBorders>
              <w:top w:val="single" w:sz="2" w:space="0" w:color="A7B4BE"/>
              <w:left w:val="nil"/>
              <w:bottom w:val="single" w:sz="2" w:space="0" w:color="A7B4BE"/>
              <w:right w:val="single" w:sz="2" w:space="0" w:color="A7B4BE"/>
            </w:tcBorders>
            <w:shd w:val="clear" w:color="auto" w:fill="FFCC99"/>
          </w:tcPr>
          <w:p w14:paraId="2BB912ED" w14:textId="77777777" w:rsidR="00C44B43" w:rsidRPr="00A16728" w:rsidRDefault="00C44B43" w:rsidP="00C44B43">
            <w:pPr>
              <w:pStyle w:val="Tablecolumnheading"/>
              <w:ind w:left="0"/>
            </w:pPr>
          </w:p>
          <w:p w14:paraId="2BB912EE" w14:textId="77777777" w:rsidR="00C44B43" w:rsidRPr="00A16728" w:rsidRDefault="00C44B43" w:rsidP="00C44B43">
            <w:pPr>
              <w:pStyle w:val="Tablecolumnheading"/>
            </w:pPr>
            <w:r w:rsidRPr="00A16728">
              <w:t xml:space="preserve"> %</w:t>
            </w:r>
          </w:p>
        </w:tc>
        <w:tc>
          <w:tcPr>
            <w:tcW w:w="921" w:type="dxa"/>
            <w:tcBorders>
              <w:top w:val="single" w:sz="2" w:space="0" w:color="A7B4BE"/>
              <w:left w:val="single" w:sz="2" w:space="0" w:color="A7B4BE"/>
              <w:bottom w:val="single" w:sz="2" w:space="0" w:color="A7B4BE"/>
              <w:right w:val="nil"/>
            </w:tcBorders>
            <w:shd w:val="clear" w:color="auto" w:fill="FFCC99"/>
          </w:tcPr>
          <w:p w14:paraId="2BB912EF" w14:textId="77777777" w:rsidR="00C44B43" w:rsidRPr="00DF2CC5" w:rsidRDefault="00C44B43" w:rsidP="00C44B43">
            <w:pPr>
              <w:pStyle w:val="Tablecolumnheading"/>
            </w:pPr>
            <w:r w:rsidRPr="00DF2CC5">
              <w:t>201</w:t>
            </w:r>
            <w:r>
              <w:t>6</w:t>
            </w:r>
            <w:r w:rsidRPr="00DF2CC5">
              <w:t>-1</w:t>
            </w:r>
            <w:r>
              <w:t xml:space="preserve">7  </w:t>
            </w:r>
            <w:r w:rsidRPr="00DF2CC5">
              <w:t xml:space="preserve">ratio </w:t>
            </w:r>
          </w:p>
        </w:tc>
        <w:tc>
          <w:tcPr>
            <w:tcW w:w="458" w:type="dxa"/>
            <w:tcBorders>
              <w:top w:val="single" w:sz="2" w:space="0" w:color="A7B4BE"/>
              <w:left w:val="nil"/>
              <w:bottom w:val="single" w:sz="2" w:space="0" w:color="A7B4BE"/>
              <w:right w:val="single" w:sz="2" w:space="0" w:color="A7B4BE"/>
            </w:tcBorders>
            <w:shd w:val="clear" w:color="auto" w:fill="FFCC99"/>
          </w:tcPr>
          <w:p w14:paraId="2BB912F0" w14:textId="77777777" w:rsidR="00C44B43" w:rsidRPr="00DF2CC5" w:rsidRDefault="00C44B43" w:rsidP="00C44B43">
            <w:pPr>
              <w:pStyle w:val="Tablecolumnheading"/>
              <w:ind w:left="0"/>
            </w:pPr>
          </w:p>
          <w:p w14:paraId="2BB912F1" w14:textId="77777777" w:rsidR="00C44B43" w:rsidRPr="00DF2CC5" w:rsidRDefault="00C44B43" w:rsidP="00C44B43">
            <w:pPr>
              <w:pStyle w:val="Tablecolumnheading"/>
            </w:pPr>
            <w:r w:rsidRPr="00DF2CC5">
              <w:t xml:space="preserve"> %</w:t>
            </w:r>
          </w:p>
        </w:tc>
        <w:tc>
          <w:tcPr>
            <w:tcW w:w="974" w:type="dxa"/>
            <w:tcBorders>
              <w:top w:val="nil"/>
              <w:left w:val="nil"/>
              <w:bottom w:val="nil"/>
              <w:right w:val="nil"/>
            </w:tcBorders>
            <w:shd w:val="clear" w:color="auto" w:fill="FFCC99"/>
          </w:tcPr>
          <w:p w14:paraId="2BB912F2" w14:textId="2B90462A" w:rsidR="00C44B43" w:rsidRPr="00DF2CC5" w:rsidRDefault="00C44B43" w:rsidP="00542F25">
            <w:pPr>
              <w:pStyle w:val="Tablecolumnheading"/>
            </w:pPr>
            <w:r w:rsidRPr="00DF2CC5">
              <w:t>201</w:t>
            </w:r>
            <w:r>
              <w:t>7</w:t>
            </w:r>
            <w:r w:rsidRPr="00DF2CC5">
              <w:t>-1</w:t>
            </w:r>
            <w:r>
              <w:t>8</w:t>
            </w:r>
            <w:r w:rsidRPr="00DF2CC5">
              <w:t xml:space="preserve"> ratio</w:t>
            </w:r>
            <w:r w:rsidR="00342DCD">
              <w:t xml:space="preserve"> </w:t>
            </w:r>
          </w:p>
        </w:tc>
        <w:tc>
          <w:tcPr>
            <w:tcW w:w="476" w:type="dxa"/>
            <w:tcBorders>
              <w:top w:val="nil"/>
              <w:left w:val="nil"/>
              <w:bottom w:val="nil"/>
              <w:right w:val="nil"/>
            </w:tcBorders>
            <w:shd w:val="clear" w:color="auto" w:fill="FFCC99"/>
          </w:tcPr>
          <w:p w14:paraId="2BB912F3" w14:textId="77777777" w:rsidR="00342DCD" w:rsidRDefault="00342DCD" w:rsidP="00C44B43">
            <w:pPr>
              <w:pStyle w:val="Tablecolumnheading"/>
            </w:pPr>
          </w:p>
          <w:p w14:paraId="2BB912F4" w14:textId="77777777" w:rsidR="00C44B43" w:rsidRPr="00DF2CC5" w:rsidRDefault="00342DCD" w:rsidP="00C44B43">
            <w:pPr>
              <w:pStyle w:val="Tablecolumnheading"/>
            </w:pPr>
            <w:r>
              <w:t>%</w:t>
            </w:r>
          </w:p>
        </w:tc>
      </w:tr>
      <w:tr w:rsidR="00C44B43" w:rsidRPr="000D7DBA" w14:paraId="2BB912FF" w14:textId="77777777" w:rsidTr="00342DCD">
        <w:tc>
          <w:tcPr>
            <w:tcW w:w="2392" w:type="dxa"/>
            <w:tcBorders>
              <w:top w:val="single" w:sz="2" w:space="0" w:color="A7B4BE"/>
              <w:left w:val="nil"/>
              <w:bottom w:val="single" w:sz="2" w:space="0" w:color="A7B4BE"/>
              <w:right w:val="single" w:sz="2" w:space="0" w:color="A7B4BE"/>
            </w:tcBorders>
            <w:hideMark/>
          </w:tcPr>
          <w:p w14:paraId="2BB912F6" w14:textId="57E8BF4A" w:rsidR="00C44B43" w:rsidRPr="00B20104" w:rsidRDefault="00C44B43" w:rsidP="00C44B43">
            <w:pPr>
              <w:pStyle w:val="Tablebodytext"/>
              <w:rPr>
                <w:b/>
              </w:rPr>
            </w:pPr>
            <w:r w:rsidRPr="00B20104">
              <w:rPr>
                <w:b/>
              </w:rPr>
              <w:t>Consultation stage</w:t>
            </w:r>
            <w:r w:rsidR="00460AFB">
              <w:rPr>
                <w:b/>
                <w:vertAlign w:val="superscript"/>
              </w:rPr>
              <w:t>a</w:t>
            </w:r>
          </w:p>
        </w:tc>
        <w:tc>
          <w:tcPr>
            <w:tcW w:w="866" w:type="dxa"/>
            <w:tcBorders>
              <w:top w:val="single" w:sz="2" w:space="0" w:color="A7B4BE"/>
              <w:left w:val="single" w:sz="2" w:space="0" w:color="A7B4BE"/>
              <w:bottom w:val="single" w:sz="2" w:space="0" w:color="A7B4BE"/>
              <w:right w:val="nil"/>
            </w:tcBorders>
          </w:tcPr>
          <w:p w14:paraId="2BB912F7" w14:textId="77777777" w:rsidR="00C44B43" w:rsidRPr="00B20104" w:rsidRDefault="00C44B43" w:rsidP="00C44B43">
            <w:pPr>
              <w:pStyle w:val="Tablebodytext"/>
            </w:pPr>
            <w:r w:rsidRPr="00B20104">
              <w:t>8/8</w:t>
            </w:r>
          </w:p>
        </w:tc>
        <w:tc>
          <w:tcPr>
            <w:tcW w:w="511" w:type="dxa"/>
            <w:tcBorders>
              <w:top w:val="single" w:sz="2" w:space="0" w:color="A7B4BE"/>
              <w:left w:val="nil"/>
              <w:bottom w:val="single" w:sz="2" w:space="0" w:color="A7B4BE"/>
              <w:right w:val="single" w:sz="2" w:space="0" w:color="A7B4BE"/>
            </w:tcBorders>
          </w:tcPr>
          <w:p w14:paraId="2BB912F8" w14:textId="77777777" w:rsidR="00C44B43" w:rsidRPr="00B20104" w:rsidRDefault="00C44B43" w:rsidP="00C44B43">
            <w:pPr>
              <w:pStyle w:val="Tablebodytext"/>
            </w:pPr>
            <w:r w:rsidRPr="00B20104">
              <w:t>100</w:t>
            </w:r>
          </w:p>
        </w:tc>
        <w:tc>
          <w:tcPr>
            <w:tcW w:w="883" w:type="dxa"/>
            <w:tcBorders>
              <w:top w:val="single" w:sz="2" w:space="0" w:color="A7B4BE"/>
              <w:left w:val="single" w:sz="2" w:space="0" w:color="A7B4BE"/>
              <w:bottom w:val="single" w:sz="2" w:space="0" w:color="A7B4BE"/>
              <w:right w:val="nil"/>
            </w:tcBorders>
          </w:tcPr>
          <w:p w14:paraId="2BB912F9" w14:textId="77777777" w:rsidR="00C44B43" w:rsidRPr="00012928" w:rsidRDefault="00C44B43" w:rsidP="00E24DA5">
            <w:pPr>
              <w:pStyle w:val="Tablebodytext"/>
            </w:pPr>
            <w:r w:rsidRPr="00012928">
              <w:t>1</w:t>
            </w:r>
            <w:r w:rsidR="00E24DA5">
              <w:t>3</w:t>
            </w:r>
            <w:r w:rsidR="00012928" w:rsidRPr="00012928">
              <w:t>/14</w:t>
            </w:r>
          </w:p>
        </w:tc>
        <w:tc>
          <w:tcPr>
            <w:tcW w:w="497" w:type="dxa"/>
            <w:tcBorders>
              <w:top w:val="single" w:sz="2" w:space="0" w:color="A7B4BE"/>
              <w:left w:val="nil"/>
              <w:bottom w:val="single" w:sz="2" w:space="0" w:color="A7B4BE"/>
              <w:right w:val="single" w:sz="2" w:space="0" w:color="A7B4BE"/>
            </w:tcBorders>
            <w:shd w:val="clear" w:color="auto" w:fill="auto"/>
          </w:tcPr>
          <w:p w14:paraId="2BB912FA" w14:textId="77777777" w:rsidR="00C44B43" w:rsidRPr="00012928" w:rsidRDefault="00E24DA5" w:rsidP="008F3949">
            <w:pPr>
              <w:pStyle w:val="Tablebodytext"/>
            </w:pPr>
            <w:r>
              <w:t>93</w:t>
            </w:r>
          </w:p>
        </w:tc>
        <w:tc>
          <w:tcPr>
            <w:tcW w:w="921" w:type="dxa"/>
            <w:tcBorders>
              <w:top w:val="single" w:sz="2" w:space="0" w:color="A7B4BE"/>
              <w:left w:val="single" w:sz="2" w:space="0" w:color="A7B4BE"/>
              <w:bottom w:val="single" w:sz="2" w:space="0" w:color="A7B4BE"/>
              <w:right w:val="nil"/>
            </w:tcBorders>
            <w:shd w:val="clear" w:color="auto" w:fill="auto"/>
          </w:tcPr>
          <w:p w14:paraId="2BB912FB" w14:textId="77777777" w:rsidR="00C44B43" w:rsidRPr="00012928" w:rsidRDefault="00012928" w:rsidP="00C44B43">
            <w:pPr>
              <w:pStyle w:val="Tablebodytext"/>
            </w:pPr>
            <w:r w:rsidRPr="00012928">
              <w:t>10/11</w:t>
            </w:r>
          </w:p>
        </w:tc>
        <w:tc>
          <w:tcPr>
            <w:tcW w:w="458" w:type="dxa"/>
            <w:tcBorders>
              <w:top w:val="single" w:sz="2" w:space="0" w:color="A7B4BE"/>
              <w:left w:val="nil"/>
              <w:bottom w:val="single" w:sz="2" w:space="0" w:color="A7B4BE"/>
              <w:right w:val="single" w:sz="2" w:space="0" w:color="A7B4BE"/>
            </w:tcBorders>
            <w:shd w:val="clear" w:color="auto" w:fill="auto"/>
          </w:tcPr>
          <w:p w14:paraId="2BB912FC" w14:textId="77777777" w:rsidR="00C44B43" w:rsidRPr="00012928" w:rsidRDefault="00C44B43" w:rsidP="00C44B43">
            <w:pPr>
              <w:pStyle w:val="Tablebodytext"/>
            </w:pPr>
            <w:r w:rsidRPr="00012928">
              <w:t>100</w:t>
            </w:r>
          </w:p>
        </w:tc>
        <w:tc>
          <w:tcPr>
            <w:tcW w:w="974" w:type="dxa"/>
            <w:tcBorders>
              <w:top w:val="nil"/>
              <w:left w:val="nil"/>
              <w:bottom w:val="single" w:sz="2" w:space="0" w:color="A7B4BE"/>
              <w:right w:val="nil"/>
            </w:tcBorders>
            <w:shd w:val="clear" w:color="auto" w:fill="auto"/>
          </w:tcPr>
          <w:p w14:paraId="2BB912FD" w14:textId="04039400" w:rsidR="00C44B43" w:rsidRPr="00F6111E" w:rsidRDefault="00F6111E" w:rsidP="00C44B43">
            <w:pPr>
              <w:pStyle w:val="Tablebodytext"/>
            </w:pPr>
            <w:r w:rsidRPr="00F6111E">
              <w:t>7/7</w:t>
            </w:r>
          </w:p>
        </w:tc>
        <w:tc>
          <w:tcPr>
            <w:tcW w:w="476" w:type="dxa"/>
            <w:tcBorders>
              <w:top w:val="nil"/>
              <w:left w:val="nil"/>
              <w:bottom w:val="single" w:sz="2" w:space="0" w:color="A7B4BE"/>
              <w:right w:val="nil"/>
            </w:tcBorders>
          </w:tcPr>
          <w:p w14:paraId="2BB912FE" w14:textId="77777777" w:rsidR="00C44B43" w:rsidRPr="0067086D" w:rsidRDefault="00342DCD" w:rsidP="00C44B43">
            <w:pPr>
              <w:pStyle w:val="Tablebodytext"/>
            </w:pPr>
            <w:r>
              <w:t>100</w:t>
            </w:r>
          </w:p>
        </w:tc>
      </w:tr>
      <w:tr w:rsidR="00C44B43" w:rsidRPr="00B20104" w14:paraId="2BB91309" w14:textId="77777777" w:rsidTr="00C44B43">
        <w:tc>
          <w:tcPr>
            <w:tcW w:w="2392" w:type="dxa"/>
            <w:tcBorders>
              <w:top w:val="single" w:sz="2" w:space="0" w:color="A7B4BE"/>
              <w:left w:val="nil"/>
              <w:bottom w:val="single" w:sz="2" w:space="0" w:color="A7B4BE"/>
              <w:right w:val="single" w:sz="2" w:space="0" w:color="A7B4BE"/>
            </w:tcBorders>
            <w:hideMark/>
          </w:tcPr>
          <w:p w14:paraId="2BB91300" w14:textId="77777777" w:rsidR="00C44B43" w:rsidRPr="00B20104" w:rsidRDefault="00C44B43" w:rsidP="00C44B43">
            <w:pPr>
              <w:pStyle w:val="Tablebodytext"/>
              <w:rPr>
                <w:b/>
              </w:rPr>
            </w:pPr>
            <w:r w:rsidRPr="00B20104">
              <w:rPr>
                <w:b/>
              </w:rPr>
              <w:t>Decision-making stage</w:t>
            </w:r>
          </w:p>
        </w:tc>
        <w:tc>
          <w:tcPr>
            <w:tcW w:w="866" w:type="dxa"/>
            <w:tcBorders>
              <w:top w:val="single" w:sz="2" w:space="0" w:color="A7B4BE"/>
              <w:left w:val="single" w:sz="2" w:space="0" w:color="A7B4BE"/>
              <w:bottom w:val="single" w:sz="2" w:space="0" w:color="A7B4BE"/>
              <w:right w:val="nil"/>
            </w:tcBorders>
          </w:tcPr>
          <w:p w14:paraId="2BB91301" w14:textId="77777777" w:rsidR="00C44B43" w:rsidRPr="00B20104" w:rsidRDefault="00C44B43" w:rsidP="00C44B43">
            <w:pPr>
              <w:pStyle w:val="Tablebodytext"/>
            </w:pPr>
            <w:r w:rsidRPr="00B20104">
              <w:t>8/8</w:t>
            </w:r>
          </w:p>
        </w:tc>
        <w:tc>
          <w:tcPr>
            <w:tcW w:w="511" w:type="dxa"/>
            <w:tcBorders>
              <w:top w:val="single" w:sz="2" w:space="0" w:color="A7B4BE"/>
              <w:left w:val="nil"/>
              <w:bottom w:val="single" w:sz="2" w:space="0" w:color="A7B4BE"/>
              <w:right w:val="single" w:sz="2" w:space="0" w:color="A7B4BE"/>
            </w:tcBorders>
          </w:tcPr>
          <w:p w14:paraId="2BB91302" w14:textId="77777777" w:rsidR="00C44B43" w:rsidRPr="00B20104" w:rsidRDefault="00C44B43" w:rsidP="00C44B43">
            <w:pPr>
              <w:pStyle w:val="Tablebodytext"/>
            </w:pPr>
            <w:r w:rsidRPr="00B20104">
              <w:t>100</w:t>
            </w:r>
          </w:p>
        </w:tc>
        <w:tc>
          <w:tcPr>
            <w:tcW w:w="883" w:type="dxa"/>
            <w:tcBorders>
              <w:top w:val="single" w:sz="2" w:space="0" w:color="A7B4BE"/>
              <w:left w:val="single" w:sz="2" w:space="0" w:color="A7B4BE"/>
              <w:bottom w:val="single" w:sz="2" w:space="0" w:color="A7B4BE"/>
              <w:right w:val="nil"/>
            </w:tcBorders>
          </w:tcPr>
          <w:p w14:paraId="2BB91303" w14:textId="77777777" w:rsidR="00C44B43" w:rsidRPr="00012928" w:rsidRDefault="00012928" w:rsidP="00012928">
            <w:pPr>
              <w:pStyle w:val="Tablebodytext"/>
            </w:pPr>
            <w:r w:rsidRPr="00012928">
              <w:t>11</w:t>
            </w:r>
            <w:r w:rsidR="00C44B43" w:rsidRPr="00012928">
              <w:t>/</w:t>
            </w:r>
            <w:r w:rsidRPr="00012928">
              <w:t>14</w:t>
            </w:r>
          </w:p>
        </w:tc>
        <w:tc>
          <w:tcPr>
            <w:tcW w:w="497" w:type="dxa"/>
            <w:tcBorders>
              <w:top w:val="single" w:sz="2" w:space="0" w:color="A7B4BE"/>
              <w:left w:val="nil"/>
              <w:bottom w:val="single" w:sz="2" w:space="0" w:color="A7B4BE"/>
              <w:right w:val="single" w:sz="2" w:space="0" w:color="A7B4BE"/>
            </w:tcBorders>
            <w:shd w:val="clear" w:color="auto" w:fill="auto"/>
          </w:tcPr>
          <w:p w14:paraId="2BB91304" w14:textId="77777777" w:rsidR="00C44B43" w:rsidRPr="00012928" w:rsidRDefault="00C44B43" w:rsidP="00575BB9">
            <w:pPr>
              <w:pStyle w:val="Tablebodytext"/>
            </w:pPr>
            <w:r w:rsidRPr="00012928">
              <w:t>7</w:t>
            </w:r>
            <w:r w:rsidR="00575BB9">
              <w:t>8.5</w:t>
            </w:r>
          </w:p>
        </w:tc>
        <w:tc>
          <w:tcPr>
            <w:tcW w:w="921" w:type="dxa"/>
            <w:tcBorders>
              <w:top w:val="single" w:sz="2" w:space="0" w:color="A7B4BE"/>
              <w:left w:val="single" w:sz="2" w:space="0" w:color="A7B4BE"/>
              <w:bottom w:val="single" w:sz="2" w:space="0" w:color="A7B4BE"/>
              <w:right w:val="nil"/>
            </w:tcBorders>
            <w:shd w:val="clear" w:color="auto" w:fill="auto"/>
          </w:tcPr>
          <w:p w14:paraId="2BB91305" w14:textId="77777777" w:rsidR="00C44B43" w:rsidRPr="00012928" w:rsidRDefault="00012928" w:rsidP="00C44B43">
            <w:pPr>
              <w:pStyle w:val="Tablebodytext"/>
            </w:pPr>
            <w:r w:rsidRPr="00012928">
              <w:t>10/11</w:t>
            </w:r>
          </w:p>
        </w:tc>
        <w:tc>
          <w:tcPr>
            <w:tcW w:w="458" w:type="dxa"/>
            <w:tcBorders>
              <w:top w:val="single" w:sz="2" w:space="0" w:color="A7B4BE"/>
              <w:left w:val="nil"/>
              <w:bottom w:val="single" w:sz="2" w:space="0" w:color="A7B4BE"/>
              <w:right w:val="single" w:sz="2" w:space="0" w:color="A7B4BE"/>
            </w:tcBorders>
            <w:shd w:val="clear" w:color="auto" w:fill="auto"/>
          </w:tcPr>
          <w:p w14:paraId="2BB91306" w14:textId="77777777" w:rsidR="00C44B43" w:rsidRPr="00012928" w:rsidRDefault="00C44B43" w:rsidP="00C44B43">
            <w:pPr>
              <w:pStyle w:val="Tablebodytext"/>
            </w:pPr>
            <w:r w:rsidRPr="00012928">
              <w:t>100</w:t>
            </w:r>
          </w:p>
        </w:tc>
        <w:tc>
          <w:tcPr>
            <w:tcW w:w="974" w:type="dxa"/>
            <w:tcBorders>
              <w:top w:val="single" w:sz="2" w:space="0" w:color="A7B4BE"/>
              <w:left w:val="nil"/>
              <w:bottom w:val="single" w:sz="2" w:space="0" w:color="A7B4BE"/>
              <w:right w:val="nil"/>
            </w:tcBorders>
            <w:shd w:val="clear" w:color="auto" w:fill="auto"/>
          </w:tcPr>
          <w:p w14:paraId="2BB91307" w14:textId="780095DF" w:rsidR="00C44B43" w:rsidRPr="00F6111E" w:rsidRDefault="00F6111E" w:rsidP="00C44B43">
            <w:pPr>
              <w:pStyle w:val="Tablebodytext"/>
            </w:pPr>
            <w:r w:rsidRPr="00F6111E">
              <w:t>7/7</w:t>
            </w:r>
          </w:p>
        </w:tc>
        <w:tc>
          <w:tcPr>
            <w:tcW w:w="476" w:type="dxa"/>
            <w:tcBorders>
              <w:top w:val="single" w:sz="2" w:space="0" w:color="A7B4BE"/>
              <w:left w:val="nil"/>
              <w:bottom w:val="single" w:sz="2" w:space="0" w:color="A7B4BE"/>
              <w:right w:val="nil"/>
            </w:tcBorders>
          </w:tcPr>
          <w:p w14:paraId="2BB91308" w14:textId="77777777" w:rsidR="00C44B43" w:rsidRPr="0067086D" w:rsidRDefault="00342DCD" w:rsidP="00C44B43">
            <w:pPr>
              <w:pStyle w:val="Tablebodytext"/>
            </w:pPr>
            <w:r>
              <w:t>100</w:t>
            </w:r>
          </w:p>
        </w:tc>
      </w:tr>
    </w:tbl>
    <w:p w14:paraId="2BB9130B" w14:textId="24143F5D" w:rsidR="0077323B" w:rsidRDefault="00460AFB" w:rsidP="00832653">
      <w:pPr>
        <w:pStyle w:val="Sourcenotetext"/>
        <w:spacing w:after="240"/>
      </w:pPr>
      <w:r>
        <w:t>a</w:t>
      </w:r>
      <w:r w:rsidR="00832653" w:rsidRPr="00B20104">
        <w:t xml:space="preserve"> </w:t>
      </w:r>
      <w:r w:rsidR="00061BF4" w:rsidRPr="00061BF4">
        <w:t>The consultation stage figures relate to those decisions at the consultation stage for which a corresponding decision RIS at the decision-making stage has been announced.</w:t>
      </w:r>
    </w:p>
    <w:bookmarkEnd w:id="181"/>
    <w:bookmarkEnd w:id="182"/>
    <w:bookmarkEnd w:id="183"/>
    <w:bookmarkEnd w:id="184"/>
    <w:bookmarkEnd w:id="185"/>
    <w:bookmarkEnd w:id="186"/>
    <w:bookmarkEnd w:id="187"/>
    <w:bookmarkEnd w:id="188"/>
    <w:bookmarkEnd w:id="189"/>
    <w:bookmarkEnd w:id="190"/>
    <w:bookmarkEnd w:id="191"/>
    <w:bookmarkEnd w:id="192"/>
    <w:bookmarkEnd w:id="193"/>
    <w:p w14:paraId="2BB9130C" w14:textId="77777777" w:rsidR="0077323B" w:rsidRPr="00354504" w:rsidRDefault="00153DC0" w:rsidP="00354504">
      <w:pPr>
        <w:pStyle w:val="Heading2"/>
      </w:pPr>
      <w:r>
        <w:t xml:space="preserve"> </w:t>
      </w:r>
      <w:bookmarkStart w:id="245" w:name="_Toc528850697"/>
      <w:r w:rsidR="0077323B" w:rsidRPr="00354504">
        <w:t xml:space="preserve">COAG </w:t>
      </w:r>
      <w:r w:rsidR="000646E5" w:rsidRPr="00354504">
        <w:t>Consultation RISs prepared 201</w:t>
      </w:r>
      <w:r w:rsidR="00C44B43" w:rsidRPr="00354504">
        <w:t xml:space="preserve">4-15 </w:t>
      </w:r>
      <w:r w:rsidR="0077323B" w:rsidRPr="00354504">
        <w:t>to 201</w:t>
      </w:r>
      <w:r w:rsidR="00C44B43" w:rsidRPr="00354504">
        <w:t>7</w:t>
      </w:r>
      <w:r w:rsidR="0077323B" w:rsidRPr="00354504">
        <w:t>-1</w:t>
      </w:r>
      <w:r w:rsidR="00C44B43" w:rsidRPr="00354504">
        <w:t>8</w:t>
      </w:r>
      <w:bookmarkEnd w:id="245"/>
      <w:r w:rsidR="0077323B" w:rsidRPr="00354504">
        <w:t xml:space="preserve"> </w:t>
      </w:r>
    </w:p>
    <w:tbl>
      <w:tblPr>
        <w:tblW w:w="0" w:type="auto"/>
        <w:tblInd w:w="720"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Caption w:val="COAG Consultation RISs prepared 2014-15 to 2017-18"/>
        <w:tblDescription w:val="A table summarising the number of COAG Consultation RISs prepared within the 2014-15 to 2017-18 financial years."/>
      </w:tblPr>
      <w:tblGrid>
        <w:gridCol w:w="2399"/>
        <w:gridCol w:w="1417"/>
        <w:gridCol w:w="1418"/>
        <w:gridCol w:w="1276"/>
        <w:gridCol w:w="1559"/>
      </w:tblGrid>
      <w:tr w:rsidR="000646E5" w:rsidRPr="0064756D" w14:paraId="2BB91312" w14:textId="77777777" w:rsidTr="000646E5">
        <w:trPr>
          <w:tblHeader/>
        </w:trPr>
        <w:tc>
          <w:tcPr>
            <w:tcW w:w="2399" w:type="dxa"/>
            <w:tcBorders>
              <w:top w:val="single" w:sz="4" w:space="0" w:color="A7B4BE"/>
              <w:left w:val="nil"/>
              <w:bottom w:val="single" w:sz="2" w:space="0" w:color="A7B4BE"/>
              <w:right w:val="single" w:sz="2" w:space="0" w:color="A7B4BE"/>
            </w:tcBorders>
            <w:shd w:val="clear" w:color="auto" w:fill="FFCC99"/>
            <w:vAlign w:val="center"/>
          </w:tcPr>
          <w:p w14:paraId="2BB9130D" w14:textId="77777777" w:rsidR="000646E5" w:rsidRPr="00E86491" w:rsidRDefault="000646E5" w:rsidP="00754FDB">
            <w:pPr>
              <w:pStyle w:val="Tablecolumnheading"/>
            </w:pPr>
          </w:p>
        </w:tc>
        <w:tc>
          <w:tcPr>
            <w:tcW w:w="1417" w:type="dxa"/>
            <w:tcBorders>
              <w:top w:val="single" w:sz="4" w:space="0" w:color="A7B4BE"/>
              <w:left w:val="single" w:sz="2" w:space="0" w:color="A7B4BE"/>
              <w:bottom w:val="single" w:sz="4" w:space="0" w:color="A7B4BE"/>
              <w:right w:val="single" w:sz="2" w:space="0" w:color="A7B4BE"/>
            </w:tcBorders>
            <w:shd w:val="clear" w:color="auto" w:fill="FFCC99"/>
          </w:tcPr>
          <w:p w14:paraId="2BB9130E" w14:textId="77777777" w:rsidR="000646E5" w:rsidRPr="00E86491" w:rsidRDefault="000646E5" w:rsidP="00685607">
            <w:pPr>
              <w:pStyle w:val="Tablecolumnheading"/>
              <w:ind w:left="0"/>
              <w:jc w:val="center"/>
            </w:pPr>
            <w:r w:rsidRPr="00E86491">
              <w:t>201</w:t>
            </w:r>
            <w:r w:rsidR="00685607">
              <w:t>4</w:t>
            </w:r>
            <w:r w:rsidRPr="00E86491">
              <w:t>-1</w:t>
            </w:r>
            <w:r w:rsidR="00685607">
              <w:t>5</w:t>
            </w:r>
          </w:p>
        </w:tc>
        <w:tc>
          <w:tcPr>
            <w:tcW w:w="1418" w:type="dxa"/>
            <w:tcBorders>
              <w:top w:val="single" w:sz="4" w:space="0" w:color="A7B4BE"/>
              <w:left w:val="single" w:sz="2" w:space="0" w:color="A7B4BE"/>
              <w:bottom w:val="single" w:sz="4" w:space="0" w:color="A7B4BE"/>
              <w:right w:val="single" w:sz="2" w:space="0" w:color="A7B4BE"/>
            </w:tcBorders>
            <w:shd w:val="clear" w:color="auto" w:fill="FFCC99"/>
          </w:tcPr>
          <w:p w14:paraId="2BB9130F" w14:textId="77777777" w:rsidR="000646E5" w:rsidRPr="00E86491" w:rsidRDefault="000646E5" w:rsidP="00685607">
            <w:pPr>
              <w:pStyle w:val="Tablecolumnheading"/>
              <w:ind w:left="0"/>
              <w:jc w:val="center"/>
            </w:pPr>
            <w:r w:rsidRPr="00E86491">
              <w:t>201</w:t>
            </w:r>
            <w:r w:rsidR="00685607">
              <w:t>5</w:t>
            </w:r>
            <w:r w:rsidRPr="00E86491">
              <w:t>-1</w:t>
            </w:r>
            <w:r w:rsidR="00685607">
              <w:t>6</w:t>
            </w:r>
          </w:p>
        </w:tc>
        <w:tc>
          <w:tcPr>
            <w:tcW w:w="1276" w:type="dxa"/>
            <w:tcBorders>
              <w:top w:val="single" w:sz="4" w:space="0" w:color="A7B4BE"/>
              <w:left w:val="nil"/>
              <w:bottom w:val="single" w:sz="4" w:space="0" w:color="A7B4BE"/>
              <w:right w:val="single" w:sz="4" w:space="0" w:color="A7B4BE"/>
            </w:tcBorders>
            <w:shd w:val="clear" w:color="auto" w:fill="FFCC99"/>
          </w:tcPr>
          <w:p w14:paraId="2BB91310" w14:textId="77777777" w:rsidR="000646E5" w:rsidRPr="00E86491" w:rsidRDefault="000646E5" w:rsidP="00685607">
            <w:pPr>
              <w:pStyle w:val="Tablecolumnheading"/>
              <w:ind w:left="0"/>
              <w:jc w:val="center"/>
            </w:pPr>
            <w:r>
              <w:t>201</w:t>
            </w:r>
            <w:r w:rsidR="00685607">
              <w:t>6</w:t>
            </w:r>
            <w:r>
              <w:t>-1</w:t>
            </w:r>
            <w:r w:rsidR="00685607">
              <w:t>7</w:t>
            </w:r>
          </w:p>
        </w:tc>
        <w:tc>
          <w:tcPr>
            <w:tcW w:w="1559" w:type="dxa"/>
            <w:tcBorders>
              <w:top w:val="single" w:sz="4" w:space="0" w:color="A7B4BE"/>
              <w:left w:val="single" w:sz="4" w:space="0" w:color="A7B4BE"/>
              <w:bottom w:val="single" w:sz="4" w:space="0" w:color="A7B4BE"/>
              <w:right w:val="nil"/>
            </w:tcBorders>
            <w:shd w:val="clear" w:color="auto" w:fill="FFCC99"/>
          </w:tcPr>
          <w:p w14:paraId="2BB91311" w14:textId="49C634A2" w:rsidR="000646E5" w:rsidRPr="00E86491" w:rsidRDefault="000646E5" w:rsidP="00685607">
            <w:pPr>
              <w:pStyle w:val="Tablecolumnheading"/>
              <w:ind w:left="0"/>
              <w:jc w:val="center"/>
            </w:pPr>
            <w:r w:rsidRPr="00E86491">
              <w:t>201</w:t>
            </w:r>
            <w:r w:rsidR="00685607">
              <w:t>7</w:t>
            </w:r>
            <w:r w:rsidRPr="00E86491">
              <w:t>-1</w:t>
            </w:r>
            <w:r w:rsidR="00685607">
              <w:t>8</w:t>
            </w:r>
          </w:p>
        </w:tc>
      </w:tr>
      <w:tr w:rsidR="000646E5" w:rsidRPr="0064756D" w14:paraId="2BB91318" w14:textId="77777777" w:rsidTr="000646E5">
        <w:tc>
          <w:tcPr>
            <w:tcW w:w="2399" w:type="dxa"/>
            <w:tcBorders>
              <w:top w:val="single" w:sz="4" w:space="0" w:color="A7B4BE"/>
              <w:left w:val="nil"/>
              <w:bottom w:val="single" w:sz="2" w:space="0" w:color="A7B4BE"/>
              <w:right w:val="single" w:sz="2" w:space="0" w:color="A7B4BE"/>
            </w:tcBorders>
            <w:hideMark/>
          </w:tcPr>
          <w:p w14:paraId="2BB91313" w14:textId="279BC04F" w:rsidR="000646E5" w:rsidRPr="00E86491" w:rsidRDefault="000646E5" w:rsidP="00754FDB">
            <w:pPr>
              <w:pStyle w:val="Tablebodytext"/>
              <w:rPr>
                <w:b/>
              </w:rPr>
            </w:pPr>
            <w:r>
              <w:rPr>
                <w:b/>
              </w:rPr>
              <w:t>Consultation RISs prepared</w:t>
            </w:r>
            <w:r w:rsidR="00460AFB">
              <w:rPr>
                <w:b/>
                <w:vertAlign w:val="superscript"/>
              </w:rPr>
              <w:t>a</w:t>
            </w:r>
          </w:p>
        </w:tc>
        <w:tc>
          <w:tcPr>
            <w:tcW w:w="1417" w:type="dxa"/>
            <w:tcBorders>
              <w:top w:val="single" w:sz="4" w:space="0" w:color="A7B4BE"/>
              <w:left w:val="single" w:sz="2" w:space="0" w:color="A7B4BE"/>
              <w:bottom w:val="single" w:sz="2" w:space="0" w:color="A7B4BE"/>
              <w:right w:val="single" w:sz="2" w:space="0" w:color="A7B4BE"/>
            </w:tcBorders>
            <w:hideMark/>
          </w:tcPr>
          <w:p w14:paraId="2BB91314" w14:textId="77777777" w:rsidR="000646E5" w:rsidRPr="00E86491" w:rsidRDefault="00685607" w:rsidP="00754FDB">
            <w:pPr>
              <w:pStyle w:val="Tablebodytext"/>
              <w:spacing w:before="120"/>
              <w:jc w:val="center"/>
            </w:pPr>
            <w:r>
              <w:t>10</w:t>
            </w:r>
          </w:p>
        </w:tc>
        <w:tc>
          <w:tcPr>
            <w:tcW w:w="1418" w:type="dxa"/>
            <w:tcBorders>
              <w:top w:val="single" w:sz="4" w:space="0" w:color="A7B4BE"/>
              <w:left w:val="single" w:sz="2" w:space="0" w:color="A7B4BE"/>
              <w:bottom w:val="single" w:sz="2" w:space="0" w:color="A7B4BE"/>
              <w:right w:val="single" w:sz="2" w:space="0" w:color="A7B4BE"/>
            </w:tcBorders>
            <w:hideMark/>
          </w:tcPr>
          <w:p w14:paraId="2BB91315" w14:textId="77777777" w:rsidR="000646E5" w:rsidRPr="00E86491" w:rsidRDefault="00685607" w:rsidP="00754FDB">
            <w:pPr>
              <w:pStyle w:val="Tablebodytext"/>
              <w:spacing w:before="120"/>
              <w:jc w:val="center"/>
            </w:pPr>
            <w:r>
              <w:t>9</w:t>
            </w:r>
          </w:p>
        </w:tc>
        <w:tc>
          <w:tcPr>
            <w:tcW w:w="1276" w:type="dxa"/>
            <w:tcBorders>
              <w:top w:val="single" w:sz="4" w:space="0" w:color="A7B4BE"/>
              <w:left w:val="nil"/>
              <w:bottom w:val="single" w:sz="2" w:space="0" w:color="A7B4BE"/>
              <w:right w:val="single" w:sz="4" w:space="0" w:color="A7B4BE"/>
            </w:tcBorders>
            <w:hideMark/>
          </w:tcPr>
          <w:p w14:paraId="2BB91316" w14:textId="77777777" w:rsidR="000646E5" w:rsidRPr="00E86491" w:rsidRDefault="00012928" w:rsidP="00754FDB">
            <w:pPr>
              <w:pStyle w:val="Tablebodytext"/>
              <w:spacing w:before="120"/>
              <w:jc w:val="center"/>
            </w:pPr>
            <w:r w:rsidRPr="00012928">
              <w:t>8</w:t>
            </w:r>
          </w:p>
        </w:tc>
        <w:tc>
          <w:tcPr>
            <w:tcW w:w="1559" w:type="dxa"/>
            <w:tcBorders>
              <w:top w:val="single" w:sz="4" w:space="0" w:color="A7B4BE"/>
              <w:left w:val="single" w:sz="4" w:space="0" w:color="A7B4BE"/>
              <w:bottom w:val="single" w:sz="4" w:space="0" w:color="A7B4BE"/>
              <w:right w:val="single" w:sz="4" w:space="0" w:color="A7B4BE"/>
            </w:tcBorders>
          </w:tcPr>
          <w:p w14:paraId="2BB91317" w14:textId="6C599C25" w:rsidR="000646E5" w:rsidRPr="004C20DB" w:rsidRDefault="00460AFB" w:rsidP="00754FDB">
            <w:pPr>
              <w:pStyle w:val="Tablebodytext"/>
              <w:spacing w:before="120"/>
              <w:jc w:val="center"/>
            </w:pPr>
            <w:r w:rsidRPr="007E5EDF">
              <w:t>14</w:t>
            </w:r>
          </w:p>
        </w:tc>
      </w:tr>
    </w:tbl>
    <w:p w14:paraId="2BB91319" w14:textId="6DCB45BF" w:rsidR="0077323B" w:rsidRPr="000646E5" w:rsidRDefault="0077323B" w:rsidP="000646E5">
      <w:pPr>
        <w:spacing w:before="120" w:after="0"/>
        <w:rPr>
          <w:rFonts w:cs="Arial"/>
          <w:i/>
          <w:sz w:val="12"/>
          <w:szCs w:val="12"/>
        </w:rPr>
      </w:pPr>
    </w:p>
    <w:p w14:paraId="2BB9131A" w14:textId="35EDD6DA" w:rsidR="0077323B" w:rsidRPr="000646E5" w:rsidRDefault="00460AFB" w:rsidP="000646E5">
      <w:pPr>
        <w:spacing w:after="0"/>
        <w:rPr>
          <w:rFonts w:cs="Arial"/>
          <w:i/>
          <w:sz w:val="12"/>
          <w:szCs w:val="12"/>
        </w:rPr>
      </w:pPr>
      <w:r>
        <w:rPr>
          <w:rFonts w:cs="Arial"/>
          <w:i/>
          <w:sz w:val="12"/>
          <w:szCs w:val="12"/>
        </w:rPr>
        <w:t>a</w:t>
      </w:r>
      <w:r w:rsidR="0077323B" w:rsidRPr="000646E5">
        <w:rPr>
          <w:rFonts w:cs="Arial"/>
          <w:i/>
          <w:sz w:val="12"/>
          <w:szCs w:val="12"/>
        </w:rPr>
        <w:t xml:space="preserve"> These numbers represent all Consultation RISs that were prepared and published in the relevant financial year. </w:t>
      </w:r>
    </w:p>
    <w:p w14:paraId="2BB9131B" w14:textId="77777777" w:rsidR="00937EAD" w:rsidRDefault="00220271" w:rsidP="00B56367">
      <w:pPr>
        <w:pStyle w:val="Heading2"/>
        <w:ind w:left="0" w:firstLine="0"/>
      </w:pPr>
      <w:r>
        <w:br w:type="page"/>
      </w:r>
      <w:bookmarkStart w:id="246" w:name="_Toc384306618"/>
      <w:bookmarkStart w:id="247" w:name="_Toc379802376"/>
      <w:bookmarkStart w:id="248" w:name="_Toc379801138"/>
      <w:bookmarkStart w:id="249" w:name="_Toc383790361"/>
      <w:bookmarkStart w:id="250" w:name="_Toc384366788"/>
      <w:bookmarkStart w:id="251" w:name="_Toc387412050"/>
      <w:bookmarkStart w:id="252" w:name="_Toc391977611"/>
      <w:bookmarkStart w:id="253" w:name="_Toc391985275"/>
      <w:bookmarkStart w:id="254" w:name="_Toc391985779"/>
      <w:bookmarkStart w:id="255" w:name="_Toc391985817"/>
      <w:bookmarkStart w:id="256" w:name="_Toc392582656"/>
      <w:bookmarkStart w:id="257" w:name="_Toc392583995"/>
      <w:bookmarkStart w:id="258" w:name="_Toc392751706"/>
      <w:bookmarkStart w:id="259" w:name="_Toc392852658"/>
      <w:bookmarkStart w:id="260" w:name="_Toc396743526"/>
      <w:bookmarkStart w:id="261" w:name="_Toc400100729"/>
      <w:bookmarkStart w:id="262" w:name="_Toc400101008"/>
      <w:bookmarkStart w:id="263" w:name="_Toc400104320"/>
      <w:bookmarkStart w:id="264" w:name="_Toc428440026"/>
      <w:bookmarkStart w:id="265" w:name="_Toc428440453"/>
      <w:bookmarkStart w:id="266" w:name="_Toc432175593"/>
    </w:p>
    <w:p w14:paraId="12D6A755" w14:textId="77777777" w:rsidR="000C6D16" w:rsidRDefault="00220271" w:rsidP="002C717F">
      <w:pPr>
        <w:pStyle w:val="Heading2"/>
        <w:ind w:left="0" w:firstLine="0"/>
        <w:rPr>
          <w:noProof/>
        </w:rPr>
      </w:pPr>
      <w:bookmarkStart w:id="267" w:name="_Toc432587373"/>
      <w:bookmarkStart w:id="268" w:name="_Toc438539624"/>
      <w:bookmarkStart w:id="269" w:name="_Toc440639807"/>
      <w:bookmarkStart w:id="270" w:name="_Toc445973435"/>
      <w:bookmarkStart w:id="271" w:name="_Toc445974133"/>
      <w:bookmarkStart w:id="272" w:name="_Toc445974394"/>
      <w:bookmarkStart w:id="273" w:name="_Toc446318427"/>
      <w:bookmarkStart w:id="274" w:name="_Toc447532685"/>
      <w:bookmarkStart w:id="275" w:name="_Toc451168633"/>
      <w:bookmarkStart w:id="276" w:name="_Toc451264227"/>
      <w:bookmarkStart w:id="277" w:name="_Toc451264794"/>
      <w:bookmarkStart w:id="278" w:name="_Toc459800319"/>
      <w:bookmarkStart w:id="279" w:name="_Toc473715461"/>
      <w:bookmarkStart w:id="280" w:name="_Toc473900454"/>
      <w:bookmarkStart w:id="281" w:name="_Toc473900489"/>
      <w:bookmarkStart w:id="282" w:name="_Toc528850698"/>
      <w:r w:rsidRPr="00010B24">
        <w:lastRenderedPageBreak/>
        <w:t>Contents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fldChar w:fldCharType="begin"/>
      </w:r>
      <w:r>
        <w:instrText xml:space="preserve"> TOC \o "1-3" \h \z \u </w:instrText>
      </w:r>
      <w:r>
        <w:fldChar w:fldCharType="separate"/>
      </w:r>
    </w:p>
    <w:p w14:paraId="4FDE253F" w14:textId="64CBE9A1" w:rsidR="000C6D16" w:rsidRDefault="005B4912">
      <w:pPr>
        <w:pStyle w:val="TOC1"/>
        <w:tabs>
          <w:tab w:val="right" w:leader="dot" w:pos="9054"/>
        </w:tabs>
        <w:rPr>
          <w:rFonts w:asciiTheme="minorHAnsi" w:eastAsiaTheme="minorEastAsia" w:hAnsiTheme="minorHAnsi" w:cstheme="minorBidi"/>
          <w:noProof/>
          <w:szCs w:val="22"/>
          <w:lang w:eastAsia="en-AU"/>
        </w:rPr>
      </w:pPr>
      <w:hyperlink w:anchor="_Toc528850695" w:history="1">
        <w:r w:rsidR="000C6D16" w:rsidRPr="001B109C">
          <w:rPr>
            <w:rStyle w:val="Hyperlink"/>
            <w:noProof/>
          </w:rPr>
          <w:t>COAG Regulation Impact Statement status: 2017-18</w:t>
        </w:r>
        <w:r w:rsidR="000C6D16">
          <w:rPr>
            <w:noProof/>
            <w:webHidden/>
          </w:rPr>
          <w:tab/>
        </w:r>
        <w:r w:rsidR="000C6D16">
          <w:rPr>
            <w:noProof/>
            <w:webHidden/>
          </w:rPr>
          <w:fldChar w:fldCharType="begin"/>
        </w:r>
        <w:r w:rsidR="000C6D16">
          <w:rPr>
            <w:noProof/>
            <w:webHidden/>
          </w:rPr>
          <w:instrText xml:space="preserve"> PAGEREF _Toc528850695 \h </w:instrText>
        </w:r>
        <w:r w:rsidR="000C6D16">
          <w:rPr>
            <w:noProof/>
            <w:webHidden/>
          </w:rPr>
        </w:r>
        <w:r w:rsidR="000C6D16">
          <w:rPr>
            <w:noProof/>
            <w:webHidden/>
          </w:rPr>
          <w:fldChar w:fldCharType="separate"/>
        </w:r>
        <w:r w:rsidR="006D1036">
          <w:rPr>
            <w:noProof/>
            <w:webHidden/>
          </w:rPr>
          <w:t>1</w:t>
        </w:r>
        <w:r w:rsidR="000C6D16">
          <w:rPr>
            <w:noProof/>
            <w:webHidden/>
          </w:rPr>
          <w:fldChar w:fldCharType="end"/>
        </w:r>
      </w:hyperlink>
    </w:p>
    <w:p w14:paraId="1847B2AA" w14:textId="36F40A39" w:rsidR="000C6D16" w:rsidRDefault="005B4912">
      <w:pPr>
        <w:pStyle w:val="TOC2"/>
        <w:tabs>
          <w:tab w:val="right" w:leader="dot" w:pos="9054"/>
        </w:tabs>
        <w:rPr>
          <w:rFonts w:asciiTheme="minorHAnsi" w:eastAsiaTheme="minorEastAsia" w:hAnsiTheme="minorHAnsi" w:cstheme="minorBidi"/>
          <w:noProof/>
          <w:szCs w:val="22"/>
          <w:lang w:eastAsia="en-AU"/>
        </w:rPr>
      </w:pPr>
      <w:hyperlink w:anchor="_Toc528850696" w:history="1">
        <w:r w:rsidR="000C6D16" w:rsidRPr="001B109C">
          <w:rPr>
            <w:rStyle w:val="Hyperlink"/>
            <w:noProof/>
          </w:rPr>
          <w:t>Compliance with the COAG RIS requirements 2014-15 to 2017-18</w:t>
        </w:r>
        <w:r w:rsidR="000C6D16">
          <w:rPr>
            <w:noProof/>
            <w:webHidden/>
          </w:rPr>
          <w:tab/>
        </w:r>
        <w:r w:rsidR="000C6D16">
          <w:rPr>
            <w:noProof/>
            <w:webHidden/>
          </w:rPr>
          <w:fldChar w:fldCharType="begin"/>
        </w:r>
        <w:r w:rsidR="000C6D16">
          <w:rPr>
            <w:noProof/>
            <w:webHidden/>
          </w:rPr>
          <w:instrText xml:space="preserve"> PAGEREF _Toc528850696 \h </w:instrText>
        </w:r>
        <w:r w:rsidR="000C6D16">
          <w:rPr>
            <w:noProof/>
            <w:webHidden/>
          </w:rPr>
        </w:r>
        <w:r w:rsidR="000C6D16">
          <w:rPr>
            <w:noProof/>
            <w:webHidden/>
          </w:rPr>
          <w:fldChar w:fldCharType="separate"/>
        </w:r>
        <w:r w:rsidR="006D1036">
          <w:rPr>
            <w:noProof/>
            <w:webHidden/>
          </w:rPr>
          <w:t>1</w:t>
        </w:r>
        <w:r w:rsidR="000C6D16">
          <w:rPr>
            <w:noProof/>
            <w:webHidden/>
          </w:rPr>
          <w:fldChar w:fldCharType="end"/>
        </w:r>
      </w:hyperlink>
    </w:p>
    <w:p w14:paraId="119DCFE5" w14:textId="619B4120" w:rsidR="000C6D16" w:rsidRDefault="005B4912">
      <w:pPr>
        <w:pStyle w:val="TOC2"/>
        <w:tabs>
          <w:tab w:val="right" w:leader="dot" w:pos="9054"/>
        </w:tabs>
        <w:rPr>
          <w:rFonts w:asciiTheme="minorHAnsi" w:eastAsiaTheme="minorEastAsia" w:hAnsiTheme="minorHAnsi" w:cstheme="minorBidi"/>
          <w:noProof/>
          <w:szCs w:val="22"/>
          <w:lang w:eastAsia="en-AU"/>
        </w:rPr>
      </w:pPr>
      <w:hyperlink w:anchor="_Toc528850697" w:history="1">
        <w:r w:rsidR="000C6D16" w:rsidRPr="001B109C">
          <w:rPr>
            <w:rStyle w:val="Hyperlink"/>
            <w:noProof/>
          </w:rPr>
          <w:t>COAG Consultation RISs prepared 2014-15 to 2017-18</w:t>
        </w:r>
        <w:r w:rsidR="000C6D16">
          <w:rPr>
            <w:noProof/>
            <w:webHidden/>
          </w:rPr>
          <w:tab/>
        </w:r>
        <w:r w:rsidR="000C6D16">
          <w:rPr>
            <w:noProof/>
            <w:webHidden/>
          </w:rPr>
          <w:fldChar w:fldCharType="begin"/>
        </w:r>
        <w:r w:rsidR="000C6D16">
          <w:rPr>
            <w:noProof/>
            <w:webHidden/>
          </w:rPr>
          <w:instrText xml:space="preserve"> PAGEREF _Toc528850697 \h </w:instrText>
        </w:r>
        <w:r w:rsidR="000C6D16">
          <w:rPr>
            <w:noProof/>
            <w:webHidden/>
          </w:rPr>
        </w:r>
        <w:r w:rsidR="000C6D16">
          <w:rPr>
            <w:noProof/>
            <w:webHidden/>
          </w:rPr>
          <w:fldChar w:fldCharType="separate"/>
        </w:r>
        <w:r w:rsidR="006D1036">
          <w:rPr>
            <w:noProof/>
            <w:webHidden/>
          </w:rPr>
          <w:t>1</w:t>
        </w:r>
        <w:r w:rsidR="000C6D16">
          <w:rPr>
            <w:noProof/>
            <w:webHidden/>
          </w:rPr>
          <w:fldChar w:fldCharType="end"/>
        </w:r>
      </w:hyperlink>
    </w:p>
    <w:p w14:paraId="6E3D3724" w14:textId="51896E26" w:rsidR="000C6D16" w:rsidRDefault="005B4912">
      <w:pPr>
        <w:pStyle w:val="TOC2"/>
        <w:tabs>
          <w:tab w:val="right" w:leader="dot" w:pos="9054"/>
        </w:tabs>
        <w:rPr>
          <w:rFonts w:asciiTheme="minorHAnsi" w:eastAsiaTheme="minorEastAsia" w:hAnsiTheme="minorHAnsi" w:cstheme="minorBidi"/>
          <w:noProof/>
          <w:szCs w:val="22"/>
          <w:lang w:eastAsia="en-AU"/>
        </w:rPr>
      </w:pPr>
      <w:hyperlink w:anchor="_Toc528850698" w:history="1">
        <w:r w:rsidR="000C6D16" w:rsidRPr="001B109C">
          <w:rPr>
            <w:rStyle w:val="Hyperlink"/>
            <w:noProof/>
          </w:rPr>
          <w:t>Contents</w:t>
        </w:r>
        <w:r w:rsidR="000C6D16">
          <w:rPr>
            <w:noProof/>
            <w:webHidden/>
          </w:rPr>
          <w:tab/>
        </w:r>
        <w:r w:rsidR="000C6D16">
          <w:rPr>
            <w:noProof/>
            <w:webHidden/>
          </w:rPr>
          <w:fldChar w:fldCharType="begin"/>
        </w:r>
        <w:r w:rsidR="000C6D16">
          <w:rPr>
            <w:noProof/>
            <w:webHidden/>
          </w:rPr>
          <w:instrText xml:space="preserve"> PAGEREF _Toc528850698 \h </w:instrText>
        </w:r>
        <w:r w:rsidR="000C6D16">
          <w:rPr>
            <w:noProof/>
            <w:webHidden/>
          </w:rPr>
        </w:r>
        <w:r w:rsidR="000C6D16">
          <w:rPr>
            <w:noProof/>
            <w:webHidden/>
          </w:rPr>
          <w:fldChar w:fldCharType="separate"/>
        </w:r>
        <w:r w:rsidR="006D1036">
          <w:rPr>
            <w:noProof/>
            <w:webHidden/>
          </w:rPr>
          <w:t>2</w:t>
        </w:r>
        <w:r w:rsidR="000C6D16">
          <w:rPr>
            <w:noProof/>
            <w:webHidden/>
          </w:rPr>
          <w:fldChar w:fldCharType="end"/>
        </w:r>
      </w:hyperlink>
    </w:p>
    <w:p w14:paraId="3D794DB3" w14:textId="40FFED53" w:rsidR="000C6D16" w:rsidRDefault="005B4912">
      <w:pPr>
        <w:pStyle w:val="TOC2"/>
        <w:tabs>
          <w:tab w:val="right" w:leader="dot" w:pos="9054"/>
        </w:tabs>
        <w:rPr>
          <w:rFonts w:asciiTheme="minorHAnsi" w:eastAsiaTheme="minorEastAsia" w:hAnsiTheme="minorHAnsi" w:cstheme="minorBidi"/>
          <w:noProof/>
          <w:szCs w:val="22"/>
          <w:lang w:eastAsia="en-AU"/>
        </w:rPr>
      </w:pPr>
      <w:hyperlink w:anchor="_Toc528850699" w:history="1">
        <w:r w:rsidR="000C6D16" w:rsidRPr="001B109C">
          <w:rPr>
            <w:rStyle w:val="Hyperlink"/>
            <w:noProof/>
          </w:rPr>
          <w:t>Detailed information</w:t>
        </w:r>
        <w:r w:rsidR="000C6D16">
          <w:rPr>
            <w:noProof/>
            <w:webHidden/>
          </w:rPr>
          <w:tab/>
        </w:r>
        <w:r w:rsidR="000C6D16">
          <w:rPr>
            <w:noProof/>
            <w:webHidden/>
          </w:rPr>
          <w:fldChar w:fldCharType="begin"/>
        </w:r>
        <w:r w:rsidR="000C6D16">
          <w:rPr>
            <w:noProof/>
            <w:webHidden/>
          </w:rPr>
          <w:instrText xml:space="preserve"> PAGEREF _Toc528850699 \h </w:instrText>
        </w:r>
        <w:r w:rsidR="000C6D16">
          <w:rPr>
            <w:noProof/>
            <w:webHidden/>
          </w:rPr>
        </w:r>
        <w:r w:rsidR="000C6D16">
          <w:rPr>
            <w:noProof/>
            <w:webHidden/>
          </w:rPr>
          <w:fldChar w:fldCharType="separate"/>
        </w:r>
        <w:r w:rsidR="006D1036">
          <w:rPr>
            <w:noProof/>
            <w:webHidden/>
          </w:rPr>
          <w:t>3</w:t>
        </w:r>
        <w:r w:rsidR="000C6D16">
          <w:rPr>
            <w:noProof/>
            <w:webHidden/>
          </w:rPr>
          <w:fldChar w:fldCharType="end"/>
        </w:r>
      </w:hyperlink>
    </w:p>
    <w:p w14:paraId="71A69BF9" w14:textId="03FCC69C" w:rsidR="000C6D16" w:rsidRDefault="005B4912">
      <w:pPr>
        <w:pStyle w:val="TOC3"/>
        <w:tabs>
          <w:tab w:val="right" w:leader="dot" w:pos="9054"/>
        </w:tabs>
        <w:rPr>
          <w:rFonts w:asciiTheme="minorHAnsi" w:eastAsiaTheme="minorEastAsia" w:hAnsiTheme="minorHAnsi" w:cstheme="minorBidi"/>
          <w:noProof/>
          <w:szCs w:val="22"/>
          <w:lang w:eastAsia="en-AU"/>
        </w:rPr>
      </w:pPr>
      <w:hyperlink w:anchor="_Toc528850700" w:history="1">
        <w:r w:rsidR="000C6D16" w:rsidRPr="001B109C">
          <w:rPr>
            <w:rStyle w:val="Hyperlink"/>
            <w:noProof/>
          </w:rPr>
          <w:t>Australian Competition and Consumer Commission</w:t>
        </w:r>
        <w:r w:rsidR="000C6D16">
          <w:rPr>
            <w:noProof/>
            <w:webHidden/>
          </w:rPr>
          <w:tab/>
        </w:r>
        <w:r w:rsidR="000C6D16">
          <w:rPr>
            <w:noProof/>
            <w:webHidden/>
          </w:rPr>
          <w:fldChar w:fldCharType="begin"/>
        </w:r>
        <w:r w:rsidR="000C6D16">
          <w:rPr>
            <w:noProof/>
            <w:webHidden/>
          </w:rPr>
          <w:instrText xml:space="preserve"> PAGEREF _Toc528850700 \h </w:instrText>
        </w:r>
        <w:r w:rsidR="000C6D16">
          <w:rPr>
            <w:noProof/>
            <w:webHidden/>
          </w:rPr>
        </w:r>
        <w:r w:rsidR="000C6D16">
          <w:rPr>
            <w:noProof/>
            <w:webHidden/>
          </w:rPr>
          <w:fldChar w:fldCharType="separate"/>
        </w:r>
        <w:r w:rsidR="006D1036">
          <w:rPr>
            <w:noProof/>
            <w:webHidden/>
          </w:rPr>
          <w:t>3</w:t>
        </w:r>
        <w:r w:rsidR="000C6D16">
          <w:rPr>
            <w:noProof/>
            <w:webHidden/>
          </w:rPr>
          <w:fldChar w:fldCharType="end"/>
        </w:r>
      </w:hyperlink>
    </w:p>
    <w:p w14:paraId="1FBA9865" w14:textId="4D4F4C04" w:rsidR="000C6D16" w:rsidRDefault="005B4912">
      <w:pPr>
        <w:pStyle w:val="TOC3"/>
        <w:tabs>
          <w:tab w:val="right" w:leader="dot" w:pos="9054"/>
        </w:tabs>
        <w:rPr>
          <w:rFonts w:asciiTheme="minorHAnsi" w:eastAsiaTheme="minorEastAsia" w:hAnsiTheme="minorHAnsi" w:cstheme="minorBidi"/>
          <w:noProof/>
          <w:szCs w:val="22"/>
          <w:lang w:eastAsia="en-AU"/>
        </w:rPr>
      </w:pPr>
      <w:hyperlink w:anchor="_Toc528850701" w:history="1">
        <w:r w:rsidR="000C6D16" w:rsidRPr="001B109C">
          <w:rPr>
            <w:rStyle w:val="Hyperlink"/>
            <w:noProof/>
          </w:rPr>
          <w:t>Australian Maritime Safety Authority</w:t>
        </w:r>
        <w:r w:rsidR="000C6D16">
          <w:rPr>
            <w:noProof/>
            <w:webHidden/>
          </w:rPr>
          <w:tab/>
        </w:r>
        <w:r w:rsidR="000C6D16">
          <w:rPr>
            <w:noProof/>
            <w:webHidden/>
          </w:rPr>
          <w:fldChar w:fldCharType="begin"/>
        </w:r>
        <w:r w:rsidR="000C6D16">
          <w:rPr>
            <w:noProof/>
            <w:webHidden/>
          </w:rPr>
          <w:instrText xml:space="preserve"> PAGEREF _Toc528850701 \h </w:instrText>
        </w:r>
        <w:r w:rsidR="000C6D16">
          <w:rPr>
            <w:noProof/>
            <w:webHidden/>
          </w:rPr>
        </w:r>
        <w:r w:rsidR="000C6D16">
          <w:rPr>
            <w:noProof/>
            <w:webHidden/>
          </w:rPr>
          <w:fldChar w:fldCharType="separate"/>
        </w:r>
        <w:r w:rsidR="006D1036">
          <w:rPr>
            <w:noProof/>
            <w:webHidden/>
          </w:rPr>
          <w:t>3</w:t>
        </w:r>
        <w:r w:rsidR="000C6D16">
          <w:rPr>
            <w:noProof/>
            <w:webHidden/>
          </w:rPr>
          <w:fldChar w:fldCharType="end"/>
        </w:r>
      </w:hyperlink>
    </w:p>
    <w:p w14:paraId="547514C3" w14:textId="633741B7" w:rsidR="000C6D16" w:rsidRDefault="005B4912">
      <w:pPr>
        <w:pStyle w:val="TOC3"/>
        <w:tabs>
          <w:tab w:val="right" w:leader="dot" w:pos="9054"/>
        </w:tabs>
        <w:rPr>
          <w:rFonts w:asciiTheme="minorHAnsi" w:eastAsiaTheme="minorEastAsia" w:hAnsiTheme="minorHAnsi" w:cstheme="minorBidi"/>
          <w:noProof/>
          <w:szCs w:val="22"/>
          <w:lang w:eastAsia="en-AU"/>
        </w:rPr>
      </w:pPr>
      <w:hyperlink w:anchor="_Toc528850702" w:history="1">
        <w:r w:rsidR="000C6D16" w:rsidRPr="001B109C">
          <w:rPr>
            <w:rStyle w:val="Hyperlink"/>
            <w:noProof/>
          </w:rPr>
          <w:t>Council of Australian Governments</w:t>
        </w:r>
        <w:r w:rsidR="000C6D16">
          <w:rPr>
            <w:noProof/>
            <w:webHidden/>
          </w:rPr>
          <w:tab/>
        </w:r>
        <w:r w:rsidR="000C6D16">
          <w:rPr>
            <w:noProof/>
            <w:webHidden/>
          </w:rPr>
          <w:fldChar w:fldCharType="begin"/>
        </w:r>
        <w:r w:rsidR="000C6D16">
          <w:rPr>
            <w:noProof/>
            <w:webHidden/>
          </w:rPr>
          <w:instrText xml:space="preserve"> PAGEREF _Toc528850702 \h </w:instrText>
        </w:r>
        <w:r w:rsidR="000C6D16">
          <w:rPr>
            <w:noProof/>
            <w:webHidden/>
          </w:rPr>
        </w:r>
        <w:r w:rsidR="000C6D16">
          <w:rPr>
            <w:noProof/>
            <w:webHidden/>
          </w:rPr>
          <w:fldChar w:fldCharType="separate"/>
        </w:r>
        <w:r w:rsidR="006D1036">
          <w:rPr>
            <w:noProof/>
            <w:webHidden/>
          </w:rPr>
          <w:t>3</w:t>
        </w:r>
        <w:r w:rsidR="000C6D16">
          <w:rPr>
            <w:noProof/>
            <w:webHidden/>
          </w:rPr>
          <w:fldChar w:fldCharType="end"/>
        </w:r>
      </w:hyperlink>
    </w:p>
    <w:p w14:paraId="2AAA4DEA" w14:textId="24E2026D" w:rsidR="000C6D16" w:rsidRDefault="005B4912">
      <w:pPr>
        <w:pStyle w:val="TOC3"/>
        <w:tabs>
          <w:tab w:val="right" w:leader="dot" w:pos="9054"/>
        </w:tabs>
        <w:rPr>
          <w:rFonts w:asciiTheme="minorHAnsi" w:eastAsiaTheme="minorEastAsia" w:hAnsiTheme="minorHAnsi" w:cstheme="minorBidi"/>
          <w:noProof/>
          <w:szCs w:val="22"/>
          <w:lang w:eastAsia="en-AU"/>
        </w:rPr>
      </w:pPr>
      <w:hyperlink w:anchor="_Toc528850703" w:history="1">
        <w:r w:rsidR="000C6D16" w:rsidRPr="001B109C">
          <w:rPr>
            <w:rStyle w:val="Hyperlink"/>
            <w:noProof/>
          </w:rPr>
          <w:t>COAG Energy Council</w:t>
        </w:r>
        <w:r w:rsidR="000C6D16">
          <w:rPr>
            <w:noProof/>
            <w:webHidden/>
          </w:rPr>
          <w:tab/>
        </w:r>
        <w:r w:rsidR="000C6D16">
          <w:rPr>
            <w:noProof/>
            <w:webHidden/>
          </w:rPr>
          <w:fldChar w:fldCharType="begin"/>
        </w:r>
        <w:r w:rsidR="000C6D16">
          <w:rPr>
            <w:noProof/>
            <w:webHidden/>
          </w:rPr>
          <w:instrText xml:space="preserve"> PAGEREF _Toc528850703 \h </w:instrText>
        </w:r>
        <w:r w:rsidR="000C6D16">
          <w:rPr>
            <w:noProof/>
            <w:webHidden/>
          </w:rPr>
        </w:r>
        <w:r w:rsidR="000C6D16">
          <w:rPr>
            <w:noProof/>
            <w:webHidden/>
          </w:rPr>
          <w:fldChar w:fldCharType="separate"/>
        </w:r>
        <w:r w:rsidR="006D1036">
          <w:rPr>
            <w:noProof/>
            <w:webHidden/>
          </w:rPr>
          <w:t>3</w:t>
        </w:r>
        <w:r w:rsidR="000C6D16">
          <w:rPr>
            <w:noProof/>
            <w:webHidden/>
          </w:rPr>
          <w:fldChar w:fldCharType="end"/>
        </w:r>
      </w:hyperlink>
    </w:p>
    <w:p w14:paraId="627BD203" w14:textId="16B69559" w:rsidR="000C6D16" w:rsidRDefault="005B4912">
      <w:pPr>
        <w:pStyle w:val="TOC3"/>
        <w:tabs>
          <w:tab w:val="right" w:leader="dot" w:pos="9054"/>
        </w:tabs>
        <w:rPr>
          <w:rFonts w:asciiTheme="minorHAnsi" w:eastAsiaTheme="minorEastAsia" w:hAnsiTheme="minorHAnsi" w:cstheme="minorBidi"/>
          <w:noProof/>
          <w:szCs w:val="22"/>
          <w:lang w:eastAsia="en-AU"/>
        </w:rPr>
      </w:pPr>
      <w:hyperlink w:anchor="_Toc528850704" w:history="1">
        <w:r w:rsidR="000C6D16" w:rsidRPr="001B109C">
          <w:rPr>
            <w:rStyle w:val="Hyperlink"/>
            <w:noProof/>
          </w:rPr>
          <w:t>Department of Health</w:t>
        </w:r>
        <w:r w:rsidR="000C6D16">
          <w:rPr>
            <w:noProof/>
            <w:webHidden/>
          </w:rPr>
          <w:tab/>
        </w:r>
        <w:r w:rsidR="000C6D16">
          <w:rPr>
            <w:noProof/>
            <w:webHidden/>
          </w:rPr>
          <w:fldChar w:fldCharType="begin"/>
        </w:r>
        <w:r w:rsidR="000C6D16">
          <w:rPr>
            <w:noProof/>
            <w:webHidden/>
          </w:rPr>
          <w:instrText xml:space="preserve"> PAGEREF _Toc528850704 \h </w:instrText>
        </w:r>
        <w:r w:rsidR="000C6D16">
          <w:rPr>
            <w:noProof/>
            <w:webHidden/>
          </w:rPr>
        </w:r>
        <w:r w:rsidR="000C6D16">
          <w:rPr>
            <w:noProof/>
            <w:webHidden/>
          </w:rPr>
          <w:fldChar w:fldCharType="separate"/>
        </w:r>
        <w:r w:rsidR="006D1036">
          <w:rPr>
            <w:noProof/>
            <w:webHidden/>
          </w:rPr>
          <w:t>4</w:t>
        </w:r>
        <w:r w:rsidR="000C6D16">
          <w:rPr>
            <w:noProof/>
            <w:webHidden/>
          </w:rPr>
          <w:fldChar w:fldCharType="end"/>
        </w:r>
      </w:hyperlink>
    </w:p>
    <w:p w14:paraId="4334AC49" w14:textId="1EC30852" w:rsidR="000C6D16" w:rsidRDefault="005B4912">
      <w:pPr>
        <w:pStyle w:val="TOC2"/>
        <w:tabs>
          <w:tab w:val="right" w:leader="dot" w:pos="9054"/>
        </w:tabs>
        <w:rPr>
          <w:rFonts w:asciiTheme="minorHAnsi" w:eastAsiaTheme="minorEastAsia" w:hAnsiTheme="minorHAnsi" w:cstheme="minorBidi"/>
          <w:noProof/>
          <w:szCs w:val="22"/>
          <w:lang w:eastAsia="en-AU"/>
        </w:rPr>
      </w:pPr>
      <w:hyperlink w:anchor="_Toc528850705" w:history="1">
        <w:r w:rsidR="000C6D16" w:rsidRPr="001B109C">
          <w:rPr>
            <w:rStyle w:val="Hyperlink"/>
            <w:noProof/>
          </w:rPr>
          <w:t>Appendix A - RISs prepared for consultation in 2017-18</w:t>
        </w:r>
        <w:r w:rsidR="000C6D16">
          <w:rPr>
            <w:noProof/>
            <w:webHidden/>
          </w:rPr>
          <w:tab/>
        </w:r>
        <w:r w:rsidR="000C6D16">
          <w:rPr>
            <w:noProof/>
            <w:webHidden/>
          </w:rPr>
          <w:fldChar w:fldCharType="begin"/>
        </w:r>
        <w:r w:rsidR="000C6D16">
          <w:rPr>
            <w:noProof/>
            <w:webHidden/>
          </w:rPr>
          <w:instrText xml:space="preserve"> PAGEREF _Toc528850705 \h </w:instrText>
        </w:r>
        <w:r w:rsidR="000C6D16">
          <w:rPr>
            <w:noProof/>
            <w:webHidden/>
          </w:rPr>
        </w:r>
        <w:r w:rsidR="000C6D16">
          <w:rPr>
            <w:noProof/>
            <w:webHidden/>
          </w:rPr>
          <w:fldChar w:fldCharType="separate"/>
        </w:r>
        <w:r w:rsidR="006D1036">
          <w:rPr>
            <w:noProof/>
            <w:webHidden/>
          </w:rPr>
          <w:t>5</w:t>
        </w:r>
        <w:r w:rsidR="000C6D16">
          <w:rPr>
            <w:noProof/>
            <w:webHidden/>
          </w:rPr>
          <w:fldChar w:fldCharType="end"/>
        </w:r>
      </w:hyperlink>
    </w:p>
    <w:p w14:paraId="2BB91328" w14:textId="77777777" w:rsidR="002674FC" w:rsidRDefault="00220271" w:rsidP="00542F25">
      <w:pPr>
        <w:ind w:firstLine="220"/>
        <w:rPr>
          <w:b/>
          <w:i/>
          <w:sz w:val="26"/>
          <w:szCs w:val="26"/>
        </w:rPr>
      </w:pPr>
      <w:r>
        <w:rPr>
          <w:b/>
          <w:bCs/>
          <w:noProof/>
        </w:rPr>
        <w:fldChar w:fldCharType="end"/>
      </w:r>
      <w:bookmarkStart w:id="283" w:name="_Toc432175906"/>
      <w:bookmarkStart w:id="284" w:name="_Toc432587374"/>
    </w:p>
    <w:p w14:paraId="2BB91329" w14:textId="77777777" w:rsidR="00BC0477" w:rsidRPr="00AE4984" w:rsidRDefault="007B3914" w:rsidP="00BC0477">
      <w:pPr>
        <w:pStyle w:val="Heading2"/>
        <w:ind w:left="0" w:firstLine="0"/>
        <w:rPr>
          <w:bCs/>
          <w:color w:val="F79646"/>
        </w:rPr>
      </w:pPr>
      <w:r>
        <w:rPr>
          <w:rFonts w:cs="Arial"/>
          <w:spacing w:val="0"/>
        </w:rPr>
        <w:br w:type="page"/>
      </w:r>
      <w:bookmarkStart w:id="285" w:name="_Toc459800538"/>
      <w:bookmarkStart w:id="286" w:name="_Toc528850699"/>
      <w:bookmarkEnd w:id="283"/>
      <w:bookmarkEnd w:id="284"/>
      <w:r w:rsidR="00BC0477" w:rsidRPr="00AE4984">
        <w:lastRenderedPageBreak/>
        <w:t>Detailed information</w:t>
      </w:r>
      <w:bookmarkEnd w:id="285"/>
      <w:bookmarkEnd w:id="286"/>
    </w:p>
    <w:p w14:paraId="2BB9132A" w14:textId="77777777" w:rsidR="00BC0477" w:rsidRDefault="009214EA" w:rsidP="00BC0477">
      <w:pPr>
        <w:pStyle w:val="Heading3"/>
      </w:pPr>
      <w:bookmarkStart w:id="287" w:name="_Toc528850700"/>
      <w:r>
        <w:t>Australian Competition and Consumer Commission</w:t>
      </w:r>
      <w:bookmarkEnd w:id="287"/>
    </w:p>
    <w:tbl>
      <w:tblPr>
        <w:tblW w:w="9979" w:type="dxa"/>
        <w:tblInd w:w="-142" w:type="dxa"/>
        <w:tblLayout w:type="fixed"/>
        <w:tblCellMar>
          <w:left w:w="0" w:type="dxa"/>
          <w:right w:w="0" w:type="dxa"/>
        </w:tblCellMar>
        <w:tblLook w:val="0000" w:firstRow="0" w:lastRow="0" w:firstColumn="0" w:lastColumn="0" w:noHBand="0" w:noVBand="0"/>
        <w:tblCaption w:val="Decorative alcohol fuelled devices"/>
        <w:tblDescription w:val="Decorative alcohol fuelled devices: Compliant at consultation, Compliant at decision, Final RIS published. Decision Date: 10 July 2017."/>
      </w:tblPr>
      <w:tblGrid>
        <w:gridCol w:w="5420"/>
        <w:gridCol w:w="1245"/>
        <w:gridCol w:w="1105"/>
        <w:gridCol w:w="1104"/>
        <w:gridCol w:w="1105"/>
      </w:tblGrid>
      <w:tr w:rsidR="00BC0477" w14:paraId="2BB91330" w14:textId="77777777" w:rsidTr="007951B4">
        <w:trPr>
          <w:tblHeader/>
        </w:trPr>
        <w:tc>
          <w:tcPr>
            <w:tcW w:w="5420" w:type="dxa"/>
            <w:shd w:val="clear" w:color="auto" w:fill="F4973F"/>
            <w:vAlign w:val="center"/>
          </w:tcPr>
          <w:p w14:paraId="2BB9132B" w14:textId="77777777" w:rsidR="00BC0477" w:rsidRDefault="00BC0477" w:rsidP="007951B4">
            <w:pPr>
              <w:pStyle w:val="TableParagraph"/>
              <w:kinsoku w:val="0"/>
              <w:overflowPunct w:val="0"/>
              <w:spacing w:beforeLines="60" w:before="144" w:after="60"/>
              <w:ind w:left="85"/>
            </w:pPr>
            <w:r>
              <w:rPr>
                <w:rFonts w:ascii="Arial" w:hAnsi="Arial" w:cs="Arial"/>
                <w:color w:val="FFFFFF"/>
                <w:w w:val="105"/>
                <w:sz w:val="18"/>
                <w:szCs w:val="18"/>
              </w:rPr>
              <w:t>Proposal</w:t>
            </w:r>
          </w:p>
        </w:tc>
        <w:tc>
          <w:tcPr>
            <w:tcW w:w="1245" w:type="dxa"/>
            <w:shd w:val="clear" w:color="auto" w:fill="F4973F"/>
            <w:vAlign w:val="center"/>
          </w:tcPr>
          <w:p w14:paraId="2BB9132C" w14:textId="77777777" w:rsidR="00BC0477" w:rsidRDefault="00BC0477" w:rsidP="007951B4">
            <w:pPr>
              <w:pStyle w:val="TableParagraph"/>
              <w:kinsoku w:val="0"/>
              <w:overflowPunct w:val="0"/>
              <w:spacing w:beforeLines="60" w:before="144" w:after="60"/>
              <w:jc w:val="center"/>
            </w:pPr>
            <w:r>
              <w:rPr>
                <w:rFonts w:ascii="Arial" w:hAnsi="Arial" w:cs="Arial"/>
                <w:color w:val="FFFFFF"/>
                <w:w w:val="105"/>
                <w:sz w:val="18"/>
                <w:szCs w:val="18"/>
              </w:rPr>
              <w:t>Decision date</w:t>
            </w:r>
          </w:p>
        </w:tc>
        <w:tc>
          <w:tcPr>
            <w:tcW w:w="1105" w:type="dxa"/>
            <w:shd w:val="clear" w:color="auto" w:fill="F4973F"/>
            <w:vAlign w:val="center"/>
          </w:tcPr>
          <w:p w14:paraId="2BB9132D" w14:textId="77777777" w:rsidR="00BC0477" w:rsidRDefault="00BC0477" w:rsidP="007951B4">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Compliant at consultation</w:t>
            </w:r>
          </w:p>
        </w:tc>
        <w:tc>
          <w:tcPr>
            <w:tcW w:w="1104" w:type="dxa"/>
            <w:shd w:val="clear" w:color="auto" w:fill="F4973F"/>
            <w:vAlign w:val="center"/>
          </w:tcPr>
          <w:p w14:paraId="2BB9132E" w14:textId="77777777" w:rsidR="00BC0477" w:rsidRDefault="00BC0477" w:rsidP="007951B4">
            <w:pPr>
              <w:pStyle w:val="TableParagraph"/>
              <w:kinsoku w:val="0"/>
              <w:overflowPunct w:val="0"/>
              <w:spacing w:beforeLines="60" w:before="144" w:after="60"/>
              <w:jc w:val="center"/>
            </w:pPr>
            <w:r>
              <w:rPr>
                <w:rFonts w:ascii="Arial" w:hAnsi="Arial" w:cs="Arial"/>
                <w:color w:val="FFFFFF"/>
                <w:w w:val="105"/>
                <w:sz w:val="18"/>
                <w:szCs w:val="18"/>
              </w:rPr>
              <w:t>Compliant at decision</w:t>
            </w:r>
          </w:p>
        </w:tc>
        <w:tc>
          <w:tcPr>
            <w:tcW w:w="1105" w:type="dxa"/>
            <w:shd w:val="clear" w:color="auto" w:fill="F4973F"/>
            <w:vAlign w:val="center"/>
          </w:tcPr>
          <w:p w14:paraId="2BB9132F" w14:textId="77777777" w:rsidR="00BC0477" w:rsidRDefault="00BC0477" w:rsidP="007951B4">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Final RIS published</w:t>
            </w:r>
          </w:p>
        </w:tc>
      </w:tr>
      <w:tr w:rsidR="00BC0477" w:rsidRPr="00BC0477" w14:paraId="2BB91336" w14:textId="77777777" w:rsidTr="007951B4">
        <w:trPr>
          <w:trHeight w:hRule="exact" w:val="525"/>
        </w:trPr>
        <w:tc>
          <w:tcPr>
            <w:tcW w:w="5420" w:type="dxa"/>
            <w:shd w:val="clear" w:color="auto" w:fill="auto"/>
            <w:vAlign w:val="center"/>
          </w:tcPr>
          <w:p w14:paraId="2BB91331" w14:textId="77777777" w:rsidR="00BC0477" w:rsidRPr="00BC0477" w:rsidRDefault="009214EA" w:rsidP="007951B4">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Decorative alcohol fuelled devices</w:t>
            </w:r>
          </w:p>
        </w:tc>
        <w:tc>
          <w:tcPr>
            <w:tcW w:w="1245" w:type="dxa"/>
            <w:shd w:val="clear" w:color="auto" w:fill="auto"/>
            <w:vAlign w:val="center"/>
          </w:tcPr>
          <w:p w14:paraId="2BB91332" w14:textId="77777777" w:rsidR="00BC0477" w:rsidRPr="00BC0477" w:rsidRDefault="009214EA" w:rsidP="009214EA">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10 Jul</w:t>
            </w:r>
            <w:r w:rsidR="00BC0477" w:rsidRPr="00BC0477">
              <w:rPr>
                <w:rFonts w:ascii="Arial" w:hAnsi="Arial" w:cs="Arial"/>
                <w:spacing w:val="-3"/>
                <w:sz w:val="18"/>
                <w:szCs w:val="18"/>
              </w:rPr>
              <w:t xml:space="preserve"> 201</w:t>
            </w:r>
            <w:r>
              <w:rPr>
                <w:rFonts w:ascii="Arial" w:hAnsi="Arial" w:cs="Arial"/>
                <w:spacing w:val="-3"/>
                <w:sz w:val="18"/>
                <w:szCs w:val="18"/>
              </w:rPr>
              <w:t>7</w:t>
            </w:r>
          </w:p>
        </w:tc>
        <w:tc>
          <w:tcPr>
            <w:tcW w:w="1105" w:type="dxa"/>
            <w:shd w:val="clear" w:color="auto" w:fill="auto"/>
            <w:vAlign w:val="center"/>
          </w:tcPr>
          <w:p w14:paraId="2BB91333" w14:textId="77777777" w:rsidR="00BC0477" w:rsidRPr="00BC0477" w:rsidRDefault="00BC0477" w:rsidP="007951B4">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4" w:type="dxa"/>
            <w:shd w:val="clear" w:color="auto" w:fill="auto"/>
            <w:vAlign w:val="center"/>
          </w:tcPr>
          <w:p w14:paraId="2BB91334" w14:textId="77777777" w:rsidR="00BC0477" w:rsidRPr="00BC0477" w:rsidRDefault="00BC0477" w:rsidP="007951B4">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5" w:type="dxa"/>
            <w:vAlign w:val="center"/>
          </w:tcPr>
          <w:p w14:paraId="2BB91335" w14:textId="77777777" w:rsidR="00BC0477" w:rsidRPr="00BC0477" w:rsidRDefault="00BC0477" w:rsidP="007951B4">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r>
    </w:tbl>
    <w:p w14:paraId="2BB91337" w14:textId="77777777" w:rsidR="00BC0477" w:rsidRPr="00BC0477" w:rsidRDefault="00BC0477" w:rsidP="00BC0477">
      <w:pPr>
        <w:pStyle w:val="note"/>
        <w:spacing w:after="0"/>
        <w:rPr>
          <w:rFonts w:cs="Arial"/>
          <w:color w:val="auto"/>
        </w:rPr>
      </w:pPr>
    </w:p>
    <w:p w14:paraId="2BB91338" w14:textId="77777777" w:rsidR="00BC0477" w:rsidRPr="00BC0477" w:rsidRDefault="00DA0EDB" w:rsidP="00BC0477">
      <w:pPr>
        <w:pStyle w:val="BodyText1"/>
        <w:rPr>
          <w:spacing w:val="-6"/>
          <w:sz w:val="20"/>
          <w:szCs w:val="26"/>
        </w:rPr>
      </w:pPr>
      <w:r>
        <w:rPr>
          <w:spacing w:val="-6"/>
          <w:sz w:val="20"/>
          <w:szCs w:val="26"/>
        </w:rPr>
        <w:t>N</w:t>
      </w:r>
      <w:r w:rsidR="00BC0477" w:rsidRPr="00BC0477">
        <w:rPr>
          <w:spacing w:val="-6"/>
          <w:sz w:val="20"/>
          <w:szCs w:val="26"/>
        </w:rPr>
        <w:t xml:space="preserve">ew </w:t>
      </w:r>
      <w:r w:rsidR="009214EA">
        <w:rPr>
          <w:spacing w:val="-6"/>
          <w:sz w:val="20"/>
          <w:szCs w:val="26"/>
        </w:rPr>
        <w:t xml:space="preserve">safety standard for </w:t>
      </w:r>
      <w:r w:rsidR="009214EA" w:rsidRPr="009214EA">
        <w:rPr>
          <w:spacing w:val="-6"/>
          <w:sz w:val="20"/>
          <w:szCs w:val="26"/>
        </w:rPr>
        <w:t xml:space="preserve">freestanding and fixed </w:t>
      </w:r>
      <w:r w:rsidR="009214EA">
        <w:rPr>
          <w:spacing w:val="-6"/>
          <w:sz w:val="20"/>
          <w:szCs w:val="26"/>
        </w:rPr>
        <w:t xml:space="preserve">alchol fuelled </w:t>
      </w:r>
      <w:r w:rsidR="009214EA" w:rsidRPr="009214EA">
        <w:rPr>
          <w:spacing w:val="-6"/>
          <w:sz w:val="20"/>
          <w:szCs w:val="26"/>
        </w:rPr>
        <w:t>devices to meet stability tests, require a fuel container with a flame arrester (or an automatic fuel pump system) to be applied, and include display warnings on the device about refuelling hazards.</w:t>
      </w:r>
      <w:r w:rsidR="009214EA">
        <w:rPr>
          <w:spacing w:val="-6"/>
          <w:sz w:val="20"/>
          <w:szCs w:val="26"/>
        </w:rPr>
        <w:t>The standard will further prevent the supply of table top ethanol burner devices as per 15 July 2017.</w:t>
      </w:r>
    </w:p>
    <w:p w14:paraId="2BB91339" w14:textId="77777777" w:rsidR="00922AA3" w:rsidRDefault="004B242A" w:rsidP="00922AA3">
      <w:pPr>
        <w:pStyle w:val="Heading3"/>
      </w:pPr>
      <w:bookmarkStart w:id="288" w:name="_Toc528850701"/>
      <w:r>
        <w:t>Australian Maritime Safety Authority</w:t>
      </w:r>
      <w:bookmarkEnd w:id="288"/>
      <w:r w:rsidR="00922AA3">
        <w:tab/>
      </w:r>
      <w:r w:rsidR="00922AA3">
        <w:tab/>
      </w:r>
    </w:p>
    <w:tbl>
      <w:tblPr>
        <w:tblW w:w="9979" w:type="dxa"/>
        <w:tblInd w:w="-142" w:type="dxa"/>
        <w:tblLayout w:type="fixed"/>
        <w:tblCellMar>
          <w:left w:w="0" w:type="dxa"/>
          <w:right w:w="0" w:type="dxa"/>
        </w:tblCellMar>
        <w:tblLook w:val="0000" w:firstRow="0" w:lastRow="0" w:firstColumn="0" w:lastColumn="0" w:noHBand="0" w:noVBand="0"/>
        <w:tblCaption w:val="Domestic Commercial Vessel Survey Regime"/>
        <w:tblDescription w:val="Domestic Commercial Vessel Survey Regime: Compliant at consultation, Compliant at decision, Final RIS published. Decision Date: 31 January 2018."/>
      </w:tblPr>
      <w:tblGrid>
        <w:gridCol w:w="5420"/>
        <w:gridCol w:w="1245"/>
        <w:gridCol w:w="1105"/>
        <w:gridCol w:w="1104"/>
        <w:gridCol w:w="1105"/>
      </w:tblGrid>
      <w:tr w:rsidR="00922AA3" w14:paraId="2BB9133F" w14:textId="77777777" w:rsidTr="00FA71FF">
        <w:trPr>
          <w:tblHeader/>
        </w:trPr>
        <w:tc>
          <w:tcPr>
            <w:tcW w:w="5420" w:type="dxa"/>
            <w:shd w:val="clear" w:color="auto" w:fill="F4973F"/>
            <w:vAlign w:val="center"/>
          </w:tcPr>
          <w:p w14:paraId="2BB9133A" w14:textId="77777777" w:rsidR="00922AA3" w:rsidRDefault="00922AA3" w:rsidP="00FA71FF">
            <w:pPr>
              <w:pStyle w:val="TableParagraph"/>
              <w:kinsoku w:val="0"/>
              <w:overflowPunct w:val="0"/>
              <w:spacing w:beforeLines="60" w:before="144" w:after="60"/>
              <w:ind w:left="85"/>
            </w:pPr>
            <w:r>
              <w:rPr>
                <w:rFonts w:ascii="Arial" w:hAnsi="Arial" w:cs="Arial"/>
                <w:color w:val="FFFFFF"/>
                <w:w w:val="105"/>
                <w:sz w:val="18"/>
                <w:szCs w:val="18"/>
              </w:rPr>
              <w:t>Proposal</w:t>
            </w:r>
          </w:p>
        </w:tc>
        <w:tc>
          <w:tcPr>
            <w:tcW w:w="1245" w:type="dxa"/>
            <w:shd w:val="clear" w:color="auto" w:fill="F4973F"/>
            <w:vAlign w:val="center"/>
          </w:tcPr>
          <w:p w14:paraId="2BB9133B" w14:textId="77777777" w:rsidR="00922AA3" w:rsidRDefault="00922AA3" w:rsidP="00FA71FF">
            <w:pPr>
              <w:pStyle w:val="TableParagraph"/>
              <w:kinsoku w:val="0"/>
              <w:overflowPunct w:val="0"/>
              <w:spacing w:beforeLines="60" w:before="144" w:after="60"/>
              <w:jc w:val="center"/>
            </w:pPr>
            <w:r>
              <w:rPr>
                <w:rFonts w:ascii="Arial" w:hAnsi="Arial" w:cs="Arial"/>
                <w:color w:val="FFFFFF"/>
                <w:w w:val="105"/>
                <w:sz w:val="18"/>
                <w:szCs w:val="18"/>
              </w:rPr>
              <w:t>Decision date</w:t>
            </w:r>
          </w:p>
        </w:tc>
        <w:tc>
          <w:tcPr>
            <w:tcW w:w="1105" w:type="dxa"/>
            <w:shd w:val="clear" w:color="auto" w:fill="F4973F"/>
            <w:vAlign w:val="center"/>
          </w:tcPr>
          <w:p w14:paraId="2BB9133C" w14:textId="77777777" w:rsidR="00922AA3" w:rsidRDefault="00922AA3" w:rsidP="00FA71FF">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Compliant at consultation</w:t>
            </w:r>
          </w:p>
        </w:tc>
        <w:tc>
          <w:tcPr>
            <w:tcW w:w="1104" w:type="dxa"/>
            <w:shd w:val="clear" w:color="auto" w:fill="F4973F"/>
            <w:vAlign w:val="center"/>
          </w:tcPr>
          <w:p w14:paraId="2BB9133D" w14:textId="77777777" w:rsidR="00922AA3" w:rsidRDefault="00922AA3" w:rsidP="00FA71FF">
            <w:pPr>
              <w:pStyle w:val="TableParagraph"/>
              <w:kinsoku w:val="0"/>
              <w:overflowPunct w:val="0"/>
              <w:spacing w:beforeLines="60" w:before="144" w:after="60"/>
              <w:jc w:val="center"/>
            </w:pPr>
            <w:r>
              <w:rPr>
                <w:rFonts w:ascii="Arial" w:hAnsi="Arial" w:cs="Arial"/>
                <w:color w:val="FFFFFF"/>
                <w:w w:val="105"/>
                <w:sz w:val="18"/>
                <w:szCs w:val="18"/>
              </w:rPr>
              <w:t>Compliant at decision</w:t>
            </w:r>
          </w:p>
        </w:tc>
        <w:tc>
          <w:tcPr>
            <w:tcW w:w="1105" w:type="dxa"/>
            <w:shd w:val="clear" w:color="auto" w:fill="F4973F"/>
            <w:vAlign w:val="center"/>
          </w:tcPr>
          <w:p w14:paraId="2BB9133E" w14:textId="77777777" w:rsidR="00922AA3" w:rsidRDefault="00922AA3" w:rsidP="00FA71FF">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Final RIS published</w:t>
            </w:r>
          </w:p>
        </w:tc>
      </w:tr>
      <w:tr w:rsidR="00922AA3" w:rsidRPr="00BC0477" w14:paraId="2BB91345" w14:textId="77777777" w:rsidTr="00FA71FF">
        <w:trPr>
          <w:trHeight w:hRule="exact" w:val="525"/>
        </w:trPr>
        <w:tc>
          <w:tcPr>
            <w:tcW w:w="5420" w:type="dxa"/>
            <w:shd w:val="clear" w:color="auto" w:fill="auto"/>
            <w:vAlign w:val="center"/>
          </w:tcPr>
          <w:p w14:paraId="2BB91340" w14:textId="77777777" w:rsidR="00922AA3" w:rsidRPr="00BC0477" w:rsidRDefault="004B242A" w:rsidP="00FA71FF">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Domestic Commercial Vessel Survey Regime</w:t>
            </w:r>
          </w:p>
        </w:tc>
        <w:tc>
          <w:tcPr>
            <w:tcW w:w="1245" w:type="dxa"/>
            <w:shd w:val="clear" w:color="auto" w:fill="auto"/>
            <w:vAlign w:val="center"/>
          </w:tcPr>
          <w:p w14:paraId="2BB91341" w14:textId="77777777" w:rsidR="00922AA3" w:rsidRPr="00922AA3" w:rsidRDefault="004B242A" w:rsidP="004B242A">
            <w:pPr>
              <w:pStyle w:val="TableParagraph"/>
              <w:kinsoku w:val="0"/>
              <w:overflowPunct w:val="0"/>
              <w:spacing w:before="54"/>
              <w:jc w:val="center"/>
              <w:rPr>
                <w:rFonts w:ascii="Arial" w:hAnsi="Arial" w:cs="Arial"/>
                <w:spacing w:val="-3"/>
                <w:sz w:val="18"/>
                <w:szCs w:val="18"/>
                <w:vertAlign w:val="superscript"/>
              </w:rPr>
            </w:pPr>
            <w:r>
              <w:rPr>
                <w:rFonts w:ascii="Arial" w:hAnsi="Arial" w:cs="Arial"/>
                <w:spacing w:val="-3"/>
                <w:sz w:val="18"/>
                <w:szCs w:val="18"/>
              </w:rPr>
              <w:t>31 Jan 2018</w:t>
            </w:r>
          </w:p>
        </w:tc>
        <w:tc>
          <w:tcPr>
            <w:tcW w:w="1105" w:type="dxa"/>
            <w:shd w:val="clear" w:color="auto" w:fill="auto"/>
            <w:vAlign w:val="center"/>
          </w:tcPr>
          <w:p w14:paraId="2BB91342" w14:textId="77777777" w:rsidR="00922AA3" w:rsidRPr="00BC0477" w:rsidRDefault="00922AA3" w:rsidP="00FA71FF">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4" w:type="dxa"/>
            <w:shd w:val="clear" w:color="auto" w:fill="auto"/>
            <w:vAlign w:val="center"/>
          </w:tcPr>
          <w:p w14:paraId="2BB91343" w14:textId="77777777" w:rsidR="00922AA3" w:rsidRPr="00BC0477" w:rsidRDefault="00922AA3" w:rsidP="00FA71FF">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5" w:type="dxa"/>
            <w:vAlign w:val="center"/>
          </w:tcPr>
          <w:p w14:paraId="2BB91344" w14:textId="77777777" w:rsidR="00922AA3" w:rsidRPr="00BC0477" w:rsidRDefault="00922AA3" w:rsidP="00FA71FF">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r>
    </w:tbl>
    <w:p w14:paraId="2BB91346" w14:textId="77777777" w:rsidR="00922AA3" w:rsidRPr="00BC0477" w:rsidRDefault="00922AA3" w:rsidP="00922AA3">
      <w:pPr>
        <w:pStyle w:val="note"/>
        <w:spacing w:after="0"/>
        <w:rPr>
          <w:rFonts w:cs="Arial"/>
          <w:color w:val="auto"/>
        </w:rPr>
      </w:pPr>
    </w:p>
    <w:p w14:paraId="2BB91347" w14:textId="77777777" w:rsidR="00922AA3" w:rsidRPr="00DA0EDB" w:rsidRDefault="004B242A" w:rsidP="00922AA3">
      <w:pPr>
        <w:pStyle w:val="BodyText1"/>
        <w:rPr>
          <w:spacing w:val="-6"/>
          <w:sz w:val="20"/>
          <w:szCs w:val="26"/>
        </w:rPr>
      </w:pPr>
      <w:r>
        <w:rPr>
          <w:spacing w:val="-6"/>
          <w:sz w:val="20"/>
          <w:szCs w:val="26"/>
        </w:rPr>
        <w:t>Changes to the vessel survey requirements to better align the survey frequency with the risk on individual vessel basis, provide for greater flexibility to reduce the number of out-of-water surveys required and allow surveys to be more easily allgined with other vessel maintenance activities.</w:t>
      </w:r>
      <w:r w:rsidR="00DA0EDB" w:rsidRPr="00DA0EDB">
        <w:rPr>
          <w:spacing w:val="-6"/>
          <w:sz w:val="20"/>
          <w:szCs w:val="26"/>
        </w:rPr>
        <w:t xml:space="preserve"> </w:t>
      </w:r>
    </w:p>
    <w:p w14:paraId="2BB91348" w14:textId="77777777" w:rsidR="00922AA3" w:rsidRDefault="00E90476" w:rsidP="00922AA3">
      <w:pPr>
        <w:pStyle w:val="Heading3"/>
      </w:pPr>
      <w:bookmarkStart w:id="289" w:name="_Toc528850702"/>
      <w:r>
        <w:t>Council of Australian Governments</w:t>
      </w:r>
      <w:bookmarkEnd w:id="289"/>
    </w:p>
    <w:tbl>
      <w:tblPr>
        <w:tblW w:w="9979" w:type="dxa"/>
        <w:tblInd w:w="-142" w:type="dxa"/>
        <w:tblLayout w:type="fixed"/>
        <w:tblCellMar>
          <w:left w:w="0" w:type="dxa"/>
          <w:right w:w="0" w:type="dxa"/>
        </w:tblCellMar>
        <w:tblLook w:val="0000" w:firstRow="0" w:lastRow="0" w:firstColumn="0" w:lastColumn="0" w:noHBand="0" w:noVBand="0"/>
        <w:tblCaption w:val="New South Wales Container Deposit Scheme"/>
        <w:tblDescription w:val="New South Wales Container Deposit Scheme: Compliant at consultation, Compliant at decision, Final RIS published. Decision Date: 2 November 2017."/>
      </w:tblPr>
      <w:tblGrid>
        <w:gridCol w:w="5420"/>
        <w:gridCol w:w="1245"/>
        <w:gridCol w:w="1105"/>
        <w:gridCol w:w="1104"/>
        <w:gridCol w:w="1105"/>
      </w:tblGrid>
      <w:tr w:rsidR="00922AA3" w14:paraId="2BB9134E" w14:textId="77777777" w:rsidTr="00FA71FF">
        <w:trPr>
          <w:tblHeader/>
        </w:trPr>
        <w:tc>
          <w:tcPr>
            <w:tcW w:w="5420" w:type="dxa"/>
            <w:shd w:val="clear" w:color="auto" w:fill="F4973F"/>
            <w:vAlign w:val="center"/>
          </w:tcPr>
          <w:p w14:paraId="2BB91349" w14:textId="77777777" w:rsidR="00922AA3" w:rsidRDefault="00922AA3" w:rsidP="00FA71FF">
            <w:pPr>
              <w:pStyle w:val="TableParagraph"/>
              <w:kinsoku w:val="0"/>
              <w:overflowPunct w:val="0"/>
              <w:spacing w:beforeLines="60" w:before="144" w:after="60"/>
              <w:ind w:left="85"/>
            </w:pPr>
            <w:r>
              <w:rPr>
                <w:rFonts w:ascii="Arial" w:hAnsi="Arial" w:cs="Arial"/>
                <w:color w:val="FFFFFF"/>
                <w:w w:val="105"/>
                <w:sz w:val="18"/>
                <w:szCs w:val="18"/>
              </w:rPr>
              <w:t>Proposal</w:t>
            </w:r>
          </w:p>
        </w:tc>
        <w:tc>
          <w:tcPr>
            <w:tcW w:w="1245" w:type="dxa"/>
            <w:shd w:val="clear" w:color="auto" w:fill="F4973F"/>
            <w:vAlign w:val="center"/>
          </w:tcPr>
          <w:p w14:paraId="2BB9134A" w14:textId="77777777" w:rsidR="00922AA3" w:rsidRDefault="00922AA3" w:rsidP="00FA71FF">
            <w:pPr>
              <w:pStyle w:val="TableParagraph"/>
              <w:kinsoku w:val="0"/>
              <w:overflowPunct w:val="0"/>
              <w:spacing w:beforeLines="60" w:before="144" w:after="60"/>
              <w:jc w:val="center"/>
            </w:pPr>
            <w:r>
              <w:rPr>
                <w:rFonts w:ascii="Arial" w:hAnsi="Arial" w:cs="Arial"/>
                <w:color w:val="FFFFFF"/>
                <w:w w:val="105"/>
                <w:sz w:val="18"/>
                <w:szCs w:val="18"/>
              </w:rPr>
              <w:t>Decision date</w:t>
            </w:r>
          </w:p>
        </w:tc>
        <w:tc>
          <w:tcPr>
            <w:tcW w:w="1105" w:type="dxa"/>
            <w:shd w:val="clear" w:color="auto" w:fill="F4973F"/>
            <w:vAlign w:val="center"/>
          </w:tcPr>
          <w:p w14:paraId="2BB9134B" w14:textId="77777777" w:rsidR="00922AA3" w:rsidRDefault="00922AA3" w:rsidP="00FA71FF">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Compliant at consultation</w:t>
            </w:r>
          </w:p>
        </w:tc>
        <w:tc>
          <w:tcPr>
            <w:tcW w:w="1104" w:type="dxa"/>
            <w:shd w:val="clear" w:color="auto" w:fill="F4973F"/>
            <w:vAlign w:val="center"/>
          </w:tcPr>
          <w:p w14:paraId="2BB9134C" w14:textId="77777777" w:rsidR="00922AA3" w:rsidRDefault="00922AA3" w:rsidP="00FA71FF">
            <w:pPr>
              <w:pStyle w:val="TableParagraph"/>
              <w:kinsoku w:val="0"/>
              <w:overflowPunct w:val="0"/>
              <w:spacing w:beforeLines="60" w:before="144" w:after="60"/>
              <w:jc w:val="center"/>
            </w:pPr>
            <w:r>
              <w:rPr>
                <w:rFonts w:ascii="Arial" w:hAnsi="Arial" w:cs="Arial"/>
                <w:color w:val="FFFFFF"/>
                <w:w w:val="105"/>
                <w:sz w:val="18"/>
                <w:szCs w:val="18"/>
              </w:rPr>
              <w:t>Compliant at decision</w:t>
            </w:r>
          </w:p>
        </w:tc>
        <w:tc>
          <w:tcPr>
            <w:tcW w:w="1105" w:type="dxa"/>
            <w:shd w:val="clear" w:color="auto" w:fill="F4973F"/>
            <w:vAlign w:val="center"/>
          </w:tcPr>
          <w:p w14:paraId="2BB9134D" w14:textId="77777777" w:rsidR="00922AA3" w:rsidRDefault="00922AA3" w:rsidP="00FA71FF">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Final RIS published</w:t>
            </w:r>
          </w:p>
        </w:tc>
      </w:tr>
      <w:tr w:rsidR="00922AA3" w:rsidRPr="00BC0477" w14:paraId="2BB91354" w14:textId="77777777" w:rsidTr="00FA71FF">
        <w:trPr>
          <w:trHeight w:hRule="exact" w:val="525"/>
        </w:trPr>
        <w:tc>
          <w:tcPr>
            <w:tcW w:w="5420" w:type="dxa"/>
            <w:shd w:val="clear" w:color="auto" w:fill="auto"/>
            <w:vAlign w:val="center"/>
          </w:tcPr>
          <w:p w14:paraId="2BB9134F" w14:textId="77777777" w:rsidR="00922AA3" w:rsidRPr="00BC0477" w:rsidRDefault="00E90476" w:rsidP="00FA71FF">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New South Wales Container Deposit Scheme</w:t>
            </w:r>
          </w:p>
        </w:tc>
        <w:tc>
          <w:tcPr>
            <w:tcW w:w="1245" w:type="dxa"/>
            <w:shd w:val="clear" w:color="auto" w:fill="auto"/>
            <w:vAlign w:val="center"/>
          </w:tcPr>
          <w:p w14:paraId="2BB91350" w14:textId="77777777" w:rsidR="00922AA3" w:rsidRPr="00922AA3" w:rsidRDefault="00E90476" w:rsidP="00FA71FF">
            <w:pPr>
              <w:pStyle w:val="TableParagraph"/>
              <w:kinsoku w:val="0"/>
              <w:overflowPunct w:val="0"/>
              <w:spacing w:before="54"/>
              <w:jc w:val="center"/>
              <w:rPr>
                <w:rFonts w:ascii="Arial" w:hAnsi="Arial" w:cs="Arial"/>
                <w:spacing w:val="-3"/>
                <w:sz w:val="18"/>
                <w:szCs w:val="18"/>
                <w:vertAlign w:val="superscript"/>
              </w:rPr>
            </w:pPr>
            <w:r w:rsidRPr="00E90476">
              <w:rPr>
                <w:rFonts w:ascii="Arial" w:hAnsi="Arial" w:cs="Arial"/>
                <w:spacing w:val="-3"/>
                <w:sz w:val="18"/>
                <w:szCs w:val="18"/>
              </w:rPr>
              <w:t>2 Nov 2017</w:t>
            </w:r>
          </w:p>
        </w:tc>
        <w:tc>
          <w:tcPr>
            <w:tcW w:w="1105" w:type="dxa"/>
            <w:shd w:val="clear" w:color="auto" w:fill="auto"/>
            <w:vAlign w:val="center"/>
          </w:tcPr>
          <w:p w14:paraId="2BB91351" w14:textId="77777777" w:rsidR="00922AA3" w:rsidRPr="00BC0477" w:rsidRDefault="00922AA3" w:rsidP="00FA71FF">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4" w:type="dxa"/>
            <w:shd w:val="clear" w:color="auto" w:fill="auto"/>
            <w:vAlign w:val="center"/>
          </w:tcPr>
          <w:p w14:paraId="2BB91352" w14:textId="77777777" w:rsidR="00922AA3" w:rsidRPr="00BC0477" w:rsidRDefault="00922AA3" w:rsidP="00FA71FF">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5" w:type="dxa"/>
            <w:vAlign w:val="center"/>
          </w:tcPr>
          <w:p w14:paraId="2BB91353" w14:textId="77777777" w:rsidR="00922AA3" w:rsidRPr="00BC0477" w:rsidRDefault="00922AA3" w:rsidP="00FA71FF">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r>
    </w:tbl>
    <w:p w14:paraId="2BB91355" w14:textId="77777777" w:rsidR="00922AA3" w:rsidRPr="00BC0477" w:rsidRDefault="00922AA3" w:rsidP="00922AA3">
      <w:pPr>
        <w:pStyle w:val="note"/>
        <w:spacing w:after="0"/>
        <w:rPr>
          <w:rFonts w:cs="Arial"/>
          <w:color w:val="auto"/>
        </w:rPr>
      </w:pPr>
    </w:p>
    <w:p w14:paraId="2BB91356" w14:textId="77777777" w:rsidR="002C3FDC" w:rsidRDefault="005939DD" w:rsidP="005537F7">
      <w:pPr>
        <w:pStyle w:val="BodyText1"/>
        <w:rPr>
          <w:spacing w:val="-6"/>
          <w:sz w:val="20"/>
          <w:szCs w:val="26"/>
        </w:rPr>
      </w:pPr>
      <w:r w:rsidRPr="005939DD">
        <w:rPr>
          <w:spacing w:val="-6"/>
          <w:sz w:val="20"/>
          <w:szCs w:val="26"/>
        </w:rPr>
        <w:t xml:space="preserve">The NSW </w:t>
      </w:r>
      <w:r>
        <w:rPr>
          <w:spacing w:val="-6"/>
          <w:sz w:val="20"/>
          <w:szCs w:val="26"/>
        </w:rPr>
        <w:t xml:space="preserve">Government sought to implement a Container Deposit Scheme to reduce the amount of litter from beverage containers. </w:t>
      </w:r>
      <w:r w:rsidR="00994925">
        <w:rPr>
          <w:spacing w:val="-6"/>
          <w:sz w:val="20"/>
          <w:szCs w:val="26"/>
        </w:rPr>
        <w:t>As the NSW Container Deposit Scheme laws may be inconsistent wit hthe Commonwealth mutual recognition law, which allow goods that are lawfully sold in another jurisdiction or in New Zealand to be sold in NSW without any further requirements, the NSW Government sought permanent exemption from mutual recognition arrangements.</w:t>
      </w:r>
    </w:p>
    <w:p w14:paraId="62B1866A" w14:textId="33CAFC81" w:rsidR="00E51B84" w:rsidRPr="00E51B84" w:rsidRDefault="006C4611" w:rsidP="00E51B84">
      <w:pPr>
        <w:pStyle w:val="Heading3"/>
      </w:pPr>
      <w:bookmarkStart w:id="290" w:name="_Toc528850703"/>
      <w:r>
        <w:t>COAG Energy Council</w:t>
      </w:r>
      <w:bookmarkEnd w:id="290"/>
    </w:p>
    <w:tbl>
      <w:tblPr>
        <w:tblW w:w="9979" w:type="dxa"/>
        <w:tblInd w:w="-142" w:type="dxa"/>
        <w:tblLayout w:type="fixed"/>
        <w:tblCellMar>
          <w:left w:w="0" w:type="dxa"/>
          <w:right w:w="0" w:type="dxa"/>
        </w:tblCellMar>
        <w:tblLook w:val="0000" w:firstRow="0" w:lastRow="0" w:firstColumn="0" w:lastColumn="0" w:noHBand="0" w:noVBand="0"/>
        <w:tblCaption w:val="Refrigerated Display and Storage Cabinets"/>
        <w:tblDescription w:val="Refrigerated Display and Storage Cabinets: Compliant at consultation, Compliant at decision, Final RIS published. Decision Date: 24 November 2017."/>
      </w:tblPr>
      <w:tblGrid>
        <w:gridCol w:w="5420"/>
        <w:gridCol w:w="1245"/>
        <w:gridCol w:w="1105"/>
        <w:gridCol w:w="1104"/>
        <w:gridCol w:w="1105"/>
      </w:tblGrid>
      <w:tr w:rsidR="006C4611" w14:paraId="2BB9135D" w14:textId="77777777" w:rsidTr="008404A5">
        <w:trPr>
          <w:tblHeader/>
        </w:trPr>
        <w:tc>
          <w:tcPr>
            <w:tcW w:w="5420" w:type="dxa"/>
            <w:shd w:val="clear" w:color="auto" w:fill="F4973F"/>
            <w:vAlign w:val="center"/>
          </w:tcPr>
          <w:p w14:paraId="2BB91358" w14:textId="77777777" w:rsidR="006C4611" w:rsidRDefault="006C4611" w:rsidP="008404A5">
            <w:pPr>
              <w:pStyle w:val="TableParagraph"/>
              <w:kinsoku w:val="0"/>
              <w:overflowPunct w:val="0"/>
              <w:spacing w:beforeLines="60" w:before="144" w:after="60"/>
              <w:ind w:left="85"/>
            </w:pPr>
            <w:r>
              <w:rPr>
                <w:rFonts w:ascii="Arial" w:hAnsi="Arial" w:cs="Arial"/>
                <w:color w:val="FFFFFF"/>
                <w:w w:val="105"/>
                <w:sz w:val="18"/>
                <w:szCs w:val="18"/>
              </w:rPr>
              <w:t>Proposal</w:t>
            </w:r>
          </w:p>
        </w:tc>
        <w:tc>
          <w:tcPr>
            <w:tcW w:w="1245" w:type="dxa"/>
            <w:shd w:val="clear" w:color="auto" w:fill="F4973F"/>
            <w:vAlign w:val="center"/>
          </w:tcPr>
          <w:p w14:paraId="2BB91359" w14:textId="77777777" w:rsidR="006C4611" w:rsidRDefault="006C4611" w:rsidP="008404A5">
            <w:pPr>
              <w:pStyle w:val="TableParagraph"/>
              <w:kinsoku w:val="0"/>
              <w:overflowPunct w:val="0"/>
              <w:spacing w:beforeLines="60" w:before="144" w:after="60"/>
              <w:jc w:val="center"/>
            </w:pPr>
            <w:r>
              <w:rPr>
                <w:rFonts w:ascii="Arial" w:hAnsi="Arial" w:cs="Arial"/>
                <w:color w:val="FFFFFF"/>
                <w:w w:val="105"/>
                <w:sz w:val="18"/>
                <w:szCs w:val="18"/>
              </w:rPr>
              <w:t>Decision date</w:t>
            </w:r>
          </w:p>
        </w:tc>
        <w:tc>
          <w:tcPr>
            <w:tcW w:w="1105" w:type="dxa"/>
            <w:shd w:val="clear" w:color="auto" w:fill="F4973F"/>
            <w:vAlign w:val="center"/>
          </w:tcPr>
          <w:p w14:paraId="2BB9135A" w14:textId="77777777" w:rsidR="006C4611" w:rsidRDefault="006C4611" w:rsidP="008404A5">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Compliant at consultation</w:t>
            </w:r>
          </w:p>
        </w:tc>
        <w:tc>
          <w:tcPr>
            <w:tcW w:w="1104" w:type="dxa"/>
            <w:shd w:val="clear" w:color="auto" w:fill="F4973F"/>
            <w:vAlign w:val="center"/>
          </w:tcPr>
          <w:p w14:paraId="2BB9135B" w14:textId="77777777" w:rsidR="006C4611" w:rsidRDefault="006C4611" w:rsidP="008404A5">
            <w:pPr>
              <w:pStyle w:val="TableParagraph"/>
              <w:kinsoku w:val="0"/>
              <w:overflowPunct w:val="0"/>
              <w:spacing w:beforeLines="60" w:before="144" w:after="60"/>
              <w:jc w:val="center"/>
            </w:pPr>
            <w:r>
              <w:rPr>
                <w:rFonts w:ascii="Arial" w:hAnsi="Arial" w:cs="Arial"/>
                <w:color w:val="FFFFFF"/>
                <w:w w:val="105"/>
                <w:sz w:val="18"/>
                <w:szCs w:val="18"/>
              </w:rPr>
              <w:t>Compliant at decision</w:t>
            </w:r>
          </w:p>
        </w:tc>
        <w:tc>
          <w:tcPr>
            <w:tcW w:w="1105" w:type="dxa"/>
            <w:shd w:val="clear" w:color="auto" w:fill="F4973F"/>
            <w:vAlign w:val="center"/>
          </w:tcPr>
          <w:p w14:paraId="2BB9135C" w14:textId="77777777" w:rsidR="006C4611" w:rsidRDefault="006C4611" w:rsidP="008404A5">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Final RIS published</w:t>
            </w:r>
          </w:p>
        </w:tc>
      </w:tr>
      <w:tr w:rsidR="006C4611" w:rsidRPr="00BC0477" w14:paraId="2BB91363" w14:textId="77777777" w:rsidTr="008404A5">
        <w:trPr>
          <w:trHeight w:hRule="exact" w:val="525"/>
        </w:trPr>
        <w:tc>
          <w:tcPr>
            <w:tcW w:w="5420" w:type="dxa"/>
            <w:shd w:val="clear" w:color="auto" w:fill="auto"/>
            <w:vAlign w:val="center"/>
          </w:tcPr>
          <w:p w14:paraId="2BB9135E" w14:textId="77777777" w:rsidR="006C4611" w:rsidRPr="00BC0477" w:rsidRDefault="006C4611" w:rsidP="006C4611">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Refrigerated Display and Storage Cabinets</w:t>
            </w:r>
          </w:p>
        </w:tc>
        <w:tc>
          <w:tcPr>
            <w:tcW w:w="1245" w:type="dxa"/>
            <w:shd w:val="clear" w:color="auto" w:fill="auto"/>
            <w:vAlign w:val="center"/>
          </w:tcPr>
          <w:p w14:paraId="2BB9135F" w14:textId="77777777" w:rsidR="006C4611" w:rsidRPr="00922AA3" w:rsidRDefault="006C4611" w:rsidP="000640B3">
            <w:pPr>
              <w:pStyle w:val="TableParagraph"/>
              <w:kinsoku w:val="0"/>
              <w:overflowPunct w:val="0"/>
              <w:spacing w:before="54"/>
              <w:jc w:val="center"/>
              <w:rPr>
                <w:rFonts w:ascii="Arial" w:hAnsi="Arial" w:cs="Arial"/>
                <w:spacing w:val="-3"/>
                <w:sz w:val="18"/>
                <w:szCs w:val="18"/>
                <w:vertAlign w:val="superscript"/>
              </w:rPr>
            </w:pPr>
            <w:r w:rsidRPr="00E90476">
              <w:rPr>
                <w:rFonts w:ascii="Arial" w:hAnsi="Arial" w:cs="Arial"/>
                <w:spacing w:val="-3"/>
                <w:sz w:val="18"/>
                <w:szCs w:val="18"/>
              </w:rPr>
              <w:t>2</w:t>
            </w:r>
            <w:r>
              <w:rPr>
                <w:rFonts w:ascii="Arial" w:hAnsi="Arial" w:cs="Arial"/>
                <w:spacing w:val="-3"/>
                <w:sz w:val="18"/>
                <w:szCs w:val="18"/>
              </w:rPr>
              <w:t xml:space="preserve">4 </w:t>
            </w:r>
            <w:r w:rsidRPr="00E90476">
              <w:rPr>
                <w:rFonts w:ascii="Arial" w:hAnsi="Arial" w:cs="Arial"/>
                <w:spacing w:val="-3"/>
                <w:sz w:val="18"/>
                <w:szCs w:val="18"/>
              </w:rPr>
              <w:t>Nov 2017</w:t>
            </w:r>
          </w:p>
        </w:tc>
        <w:tc>
          <w:tcPr>
            <w:tcW w:w="1105" w:type="dxa"/>
            <w:shd w:val="clear" w:color="auto" w:fill="auto"/>
            <w:vAlign w:val="center"/>
          </w:tcPr>
          <w:p w14:paraId="2BB91360" w14:textId="77777777" w:rsidR="006C4611" w:rsidRPr="00BC0477" w:rsidRDefault="006C4611" w:rsidP="008404A5">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4" w:type="dxa"/>
            <w:shd w:val="clear" w:color="auto" w:fill="auto"/>
            <w:vAlign w:val="center"/>
          </w:tcPr>
          <w:p w14:paraId="2BB91361" w14:textId="77777777" w:rsidR="006C4611" w:rsidRPr="00BC0477" w:rsidRDefault="006C4611" w:rsidP="008404A5">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5" w:type="dxa"/>
            <w:vAlign w:val="center"/>
          </w:tcPr>
          <w:p w14:paraId="2BB91362" w14:textId="77777777" w:rsidR="006C4611" w:rsidRPr="00BC0477" w:rsidRDefault="006C4611" w:rsidP="008404A5">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r>
    </w:tbl>
    <w:p w14:paraId="2BB91364" w14:textId="77777777" w:rsidR="006C4611" w:rsidRPr="00BC0477" w:rsidRDefault="006C4611" w:rsidP="006C4611">
      <w:pPr>
        <w:pStyle w:val="note"/>
        <w:spacing w:after="0"/>
        <w:rPr>
          <w:rFonts w:cs="Arial"/>
          <w:color w:val="auto"/>
        </w:rPr>
      </w:pPr>
    </w:p>
    <w:p w14:paraId="2BB91365" w14:textId="134D0423" w:rsidR="00A2320E" w:rsidRDefault="00CA0154" w:rsidP="00542F25">
      <w:pPr>
        <w:pStyle w:val="BodyText1"/>
      </w:pPr>
      <w:r w:rsidRPr="00CA0154">
        <w:rPr>
          <w:spacing w:val="-6"/>
          <w:sz w:val="20"/>
          <w:szCs w:val="26"/>
        </w:rPr>
        <w:t>The changes will increase Minimum Energy Performance Standard (MEPS) for commercial refrigerated display cabinets and refrigerated storage cabinets to harmonise with MEPS levels adopted by Europe in 2017. In addition, the changes will result in adopting international test standards and provide consumers with accessible and comparable information on refrigerated commercial cabinet energy efficiency.</w:t>
      </w:r>
      <w:r w:rsidR="00542F25">
        <w:t xml:space="preserve"> </w:t>
      </w:r>
    </w:p>
    <w:p w14:paraId="0CA46944" w14:textId="2AE685FC" w:rsidR="00E51B84" w:rsidRDefault="00E51B84" w:rsidP="00542F25">
      <w:pPr>
        <w:pStyle w:val="BodyText1"/>
      </w:pPr>
    </w:p>
    <w:p w14:paraId="68AEE997" w14:textId="15AF17D9" w:rsidR="00E51B84" w:rsidRDefault="00E51B84" w:rsidP="00542F25">
      <w:pPr>
        <w:pStyle w:val="BodyText1"/>
      </w:pPr>
    </w:p>
    <w:p w14:paraId="79329999" w14:textId="3EE31E6E" w:rsidR="00E51B84" w:rsidRDefault="00E51B84" w:rsidP="00542F25">
      <w:pPr>
        <w:pStyle w:val="BodyText1"/>
      </w:pPr>
    </w:p>
    <w:tbl>
      <w:tblPr>
        <w:tblW w:w="9979" w:type="dxa"/>
        <w:tblInd w:w="-142" w:type="dxa"/>
        <w:tblLayout w:type="fixed"/>
        <w:tblCellMar>
          <w:left w:w="0" w:type="dxa"/>
          <w:right w:w="0" w:type="dxa"/>
        </w:tblCellMar>
        <w:tblLook w:val="0000" w:firstRow="0" w:lastRow="0" w:firstColumn="0" w:lastColumn="0" w:noHBand="0" w:noVBand="0"/>
        <w:tblCaption w:val="Refrigerated Display and Storage Cabinets"/>
        <w:tblDescription w:val="Refrigerated Display and Storage Cabinets: Compliant at consultation, Compliant at decision, Final RIS published. Decision Date: 24 November 2017."/>
      </w:tblPr>
      <w:tblGrid>
        <w:gridCol w:w="5420"/>
        <w:gridCol w:w="1245"/>
        <w:gridCol w:w="1105"/>
        <w:gridCol w:w="1104"/>
        <w:gridCol w:w="1105"/>
      </w:tblGrid>
      <w:tr w:rsidR="00E51B84" w14:paraId="18D59691" w14:textId="77777777" w:rsidTr="00AA50EB">
        <w:trPr>
          <w:tblHeader/>
        </w:trPr>
        <w:tc>
          <w:tcPr>
            <w:tcW w:w="5420" w:type="dxa"/>
            <w:shd w:val="clear" w:color="auto" w:fill="F4973F"/>
            <w:vAlign w:val="center"/>
          </w:tcPr>
          <w:p w14:paraId="1ECA5E60" w14:textId="77777777" w:rsidR="00E51B84" w:rsidRDefault="00E51B84" w:rsidP="00AA50EB">
            <w:pPr>
              <w:pStyle w:val="TableParagraph"/>
              <w:kinsoku w:val="0"/>
              <w:overflowPunct w:val="0"/>
              <w:spacing w:beforeLines="60" w:before="144" w:after="60"/>
              <w:ind w:left="85"/>
            </w:pPr>
            <w:r>
              <w:rPr>
                <w:rFonts w:ascii="Arial" w:hAnsi="Arial" w:cs="Arial"/>
                <w:color w:val="FFFFFF"/>
                <w:w w:val="105"/>
                <w:sz w:val="18"/>
                <w:szCs w:val="18"/>
              </w:rPr>
              <w:lastRenderedPageBreak/>
              <w:t>Proposal</w:t>
            </w:r>
          </w:p>
        </w:tc>
        <w:tc>
          <w:tcPr>
            <w:tcW w:w="1245" w:type="dxa"/>
            <w:shd w:val="clear" w:color="auto" w:fill="F4973F"/>
            <w:vAlign w:val="center"/>
          </w:tcPr>
          <w:p w14:paraId="54935394" w14:textId="77777777" w:rsidR="00E51B84" w:rsidRDefault="00E51B84" w:rsidP="00AA50EB">
            <w:pPr>
              <w:pStyle w:val="TableParagraph"/>
              <w:kinsoku w:val="0"/>
              <w:overflowPunct w:val="0"/>
              <w:spacing w:beforeLines="60" w:before="144" w:after="60"/>
              <w:jc w:val="center"/>
            </w:pPr>
            <w:r>
              <w:rPr>
                <w:rFonts w:ascii="Arial" w:hAnsi="Arial" w:cs="Arial"/>
                <w:color w:val="FFFFFF"/>
                <w:w w:val="105"/>
                <w:sz w:val="18"/>
                <w:szCs w:val="18"/>
              </w:rPr>
              <w:t>Decision date</w:t>
            </w:r>
          </w:p>
        </w:tc>
        <w:tc>
          <w:tcPr>
            <w:tcW w:w="1105" w:type="dxa"/>
            <w:shd w:val="clear" w:color="auto" w:fill="F4973F"/>
            <w:vAlign w:val="center"/>
          </w:tcPr>
          <w:p w14:paraId="32FA3247" w14:textId="77777777" w:rsidR="00E51B84" w:rsidRDefault="00E51B84" w:rsidP="00AA50EB">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Compliant at consultation</w:t>
            </w:r>
          </w:p>
        </w:tc>
        <w:tc>
          <w:tcPr>
            <w:tcW w:w="1104" w:type="dxa"/>
            <w:shd w:val="clear" w:color="auto" w:fill="F4973F"/>
            <w:vAlign w:val="center"/>
          </w:tcPr>
          <w:p w14:paraId="43679BA5" w14:textId="77777777" w:rsidR="00E51B84" w:rsidRDefault="00E51B84" w:rsidP="00AA50EB">
            <w:pPr>
              <w:pStyle w:val="TableParagraph"/>
              <w:kinsoku w:val="0"/>
              <w:overflowPunct w:val="0"/>
              <w:spacing w:beforeLines="60" w:before="144" w:after="60"/>
              <w:jc w:val="center"/>
            </w:pPr>
            <w:r>
              <w:rPr>
                <w:rFonts w:ascii="Arial" w:hAnsi="Arial" w:cs="Arial"/>
                <w:color w:val="FFFFFF"/>
                <w:w w:val="105"/>
                <w:sz w:val="18"/>
                <w:szCs w:val="18"/>
              </w:rPr>
              <w:t>Compliant at decision</w:t>
            </w:r>
          </w:p>
        </w:tc>
        <w:tc>
          <w:tcPr>
            <w:tcW w:w="1105" w:type="dxa"/>
            <w:shd w:val="clear" w:color="auto" w:fill="F4973F"/>
            <w:vAlign w:val="center"/>
          </w:tcPr>
          <w:p w14:paraId="78CAD836" w14:textId="77777777" w:rsidR="00E51B84" w:rsidRDefault="00E51B84" w:rsidP="00AA50EB">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Final RIS published</w:t>
            </w:r>
          </w:p>
        </w:tc>
      </w:tr>
      <w:tr w:rsidR="00E51B84" w:rsidRPr="00BC0477" w14:paraId="3B548490" w14:textId="77777777" w:rsidTr="00AA50EB">
        <w:trPr>
          <w:trHeight w:hRule="exact" w:val="525"/>
        </w:trPr>
        <w:tc>
          <w:tcPr>
            <w:tcW w:w="5420" w:type="dxa"/>
            <w:shd w:val="clear" w:color="auto" w:fill="auto"/>
            <w:vAlign w:val="center"/>
          </w:tcPr>
          <w:p w14:paraId="54FDF165" w14:textId="77777777" w:rsidR="00E51B84" w:rsidRPr="00BC0477" w:rsidRDefault="00E51B84" w:rsidP="00AA50EB">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Household refrigerators and freezers</w:t>
            </w:r>
          </w:p>
        </w:tc>
        <w:tc>
          <w:tcPr>
            <w:tcW w:w="1245" w:type="dxa"/>
            <w:shd w:val="clear" w:color="auto" w:fill="auto"/>
            <w:vAlign w:val="center"/>
          </w:tcPr>
          <w:p w14:paraId="2D229CCA" w14:textId="77777777" w:rsidR="00E51B84" w:rsidRPr="00922AA3" w:rsidRDefault="00E51B84" w:rsidP="00AA50EB">
            <w:pPr>
              <w:pStyle w:val="TableParagraph"/>
              <w:kinsoku w:val="0"/>
              <w:overflowPunct w:val="0"/>
              <w:spacing w:before="54"/>
              <w:jc w:val="center"/>
              <w:rPr>
                <w:rFonts w:ascii="Arial" w:hAnsi="Arial" w:cs="Arial"/>
                <w:spacing w:val="-3"/>
                <w:sz w:val="18"/>
                <w:szCs w:val="18"/>
                <w:vertAlign w:val="superscript"/>
              </w:rPr>
            </w:pPr>
            <w:r w:rsidRPr="00E90476">
              <w:rPr>
                <w:rFonts w:ascii="Arial" w:hAnsi="Arial" w:cs="Arial"/>
                <w:spacing w:val="-3"/>
                <w:sz w:val="18"/>
                <w:szCs w:val="18"/>
              </w:rPr>
              <w:t>2</w:t>
            </w:r>
            <w:r>
              <w:rPr>
                <w:rFonts w:ascii="Arial" w:hAnsi="Arial" w:cs="Arial"/>
                <w:spacing w:val="-3"/>
                <w:sz w:val="18"/>
                <w:szCs w:val="18"/>
              </w:rPr>
              <w:t xml:space="preserve">4 </w:t>
            </w:r>
            <w:r w:rsidRPr="00E90476">
              <w:rPr>
                <w:rFonts w:ascii="Arial" w:hAnsi="Arial" w:cs="Arial"/>
                <w:spacing w:val="-3"/>
                <w:sz w:val="18"/>
                <w:szCs w:val="18"/>
              </w:rPr>
              <w:t>Nov 2017</w:t>
            </w:r>
          </w:p>
        </w:tc>
        <w:tc>
          <w:tcPr>
            <w:tcW w:w="1105" w:type="dxa"/>
            <w:shd w:val="clear" w:color="auto" w:fill="auto"/>
            <w:vAlign w:val="center"/>
          </w:tcPr>
          <w:p w14:paraId="23E5B6D8" w14:textId="77777777" w:rsidR="00E51B84" w:rsidRPr="00BC0477" w:rsidRDefault="00E51B84" w:rsidP="00AA50EB">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4" w:type="dxa"/>
            <w:shd w:val="clear" w:color="auto" w:fill="auto"/>
            <w:vAlign w:val="center"/>
          </w:tcPr>
          <w:p w14:paraId="3EA43E8E" w14:textId="77777777" w:rsidR="00E51B84" w:rsidRPr="00BC0477" w:rsidRDefault="00E51B84" w:rsidP="00AA50EB">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5" w:type="dxa"/>
            <w:vAlign w:val="center"/>
          </w:tcPr>
          <w:p w14:paraId="3E00AF5E" w14:textId="77777777" w:rsidR="00E51B84" w:rsidRPr="00BC0477" w:rsidRDefault="00E51B84" w:rsidP="00AA50EB">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r>
    </w:tbl>
    <w:p w14:paraId="346E52DE" w14:textId="77777777" w:rsidR="00E51B84" w:rsidRPr="00BC0477" w:rsidRDefault="00E51B84" w:rsidP="00E51B84">
      <w:pPr>
        <w:pStyle w:val="note"/>
        <w:spacing w:after="0"/>
        <w:rPr>
          <w:rFonts w:cs="Arial"/>
          <w:color w:val="auto"/>
        </w:rPr>
      </w:pPr>
    </w:p>
    <w:p w14:paraId="076DDE3A" w14:textId="77777777" w:rsidR="00E51B84" w:rsidRDefault="00E51B84" w:rsidP="00E51B84">
      <w:pPr>
        <w:pStyle w:val="BodyText1"/>
        <w:rPr>
          <w:spacing w:val="-6"/>
          <w:sz w:val="20"/>
          <w:szCs w:val="26"/>
        </w:rPr>
      </w:pPr>
      <w:r w:rsidRPr="00CA0154">
        <w:rPr>
          <w:spacing w:val="-6"/>
          <w:sz w:val="20"/>
          <w:szCs w:val="26"/>
        </w:rPr>
        <w:t>The changes will increase Minimum Energy Performanc</w:t>
      </w:r>
      <w:r>
        <w:rPr>
          <w:spacing w:val="-6"/>
          <w:sz w:val="20"/>
          <w:szCs w:val="26"/>
        </w:rPr>
        <w:t>e Standard (MEPS) for household refrigators and freezers to harmonize with MEPS levels adopted by the United States in 2014.</w:t>
      </w:r>
      <w:r w:rsidRPr="00CA0154">
        <w:rPr>
          <w:spacing w:val="-6"/>
          <w:sz w:val="20"/>
          <w:szCs w:val="26"/>
        </w:rPr>
        <w:t xml:space="preserve"> </w:t>
      </w:r>
      <w:r w:rsidRPr="008E40F2">
        <w:rPr>
          <w:spacing w:val="-6"/>
          <w:sz w:val="20"/>
          <w:szCs w:val="26"/>
        </w:rPr>
        <w:t>In addition, the changes will result in adopting international test standards, rather than the current regional specific Australian and New Zealand test standards, and provide consumers with more representative and comparable information on the in-home energy efficiency of refrigerators and freezers.</w:t>
      </w:r>
    </w:p>
    <w:tbl>
      <w:tblPr>
        <w:tblW w:w="9979" w:type="dxa"/>
        <w:tblInd w:w="-142" w:type="dxa"/>
        <w:tblLayout w:type="fixed"/>
        <w:tblCellMar>
          <w:left w:w="0" w:type="dxa"/>
          <w:right w:w="0" w:type="dxa"/>
        </w:tblCellMar>
        <w:tblLook w:val="0000" w:firstRow="0" w:lastRow="0" w:firstColumn="0" w:lastColumn="0" w:noHBand="0" w:noVBand="0"/>
        <w:tblCaption w:val="Refrigerated Display and Storage Cabinets"/>
        <w:tblDescription w:val="Refrigerated Display and Storage Cabinets: Compliant at consultation, Compliant at decision, Final RIS published. Decision Date: 24 November 2017."/>
      </w:tblPr>
      <w:tblGrid>
        <w:gridCol w:w="5420"/>
        <w:gridCol w:w="1245"/>
        <w:gridCol w:w="1105"/>
        <w:gridCol w:w="1104"/>
        <w:gridCol w:w="1105"/>
      </w:tblGrid>
      <w:tr w:rsidR="001D61B7" w14:paraId="42689514" w14:textId="77777777" w:rsidTr="00AA50EB">
        <w:trPr>
          <w:tblHeader/>
        </w:trPr>
        <w:tc>
          <w:tcPr>
            <w:tcW w:w="5420" w:type="dxa"/>
            <w:shd w:val="clear" w:color="auto" w:fill="F4973F"/>
            <w:vAlign w:val="center"/>
          </w:tcPr>
          <w:p w14:paraId="52F0DDDE" w14:textId="77777777" w:rsidR="001D61B7" w:rsidRDefault="001D61B7" w:rsidP="00AA50EB">
            <w:pPr>
              <w:pStyle w:val="TableParagraph"/>
              <w:kinsoku w:val="0"/>
              <w:overflowPunct w:val="0"/>
              <w:spacing w:beforeLines="60" w:before="144" w:after="60"/>
              <w:ind w:left="85"/>
            </w:pPr>
            <w:r>
              <w:rPr>
                <w:rFonts w:ascii="Arial" w:hAnsi="Arial" w:cs="Arial"/>
                <w:color w:val="FFFFFF"/>
                <w:w w:val="105"/>
                <w:sz w:val="18"/>
                <w:szCs w:val="18"/>
              </w:rPr>
              <w:t>Proposal</w:t>
            </w:r>
          </w:p>
        </w:tc>
        <w:tc>
          <w:tcPr>
            <w:tcW w:w="1245" w:type="dxa"/>
            <w:shd w:val="clear" w:color="auto" w:fill="F4973F"/>
            <w:vAlign w:val="center"/>
          </w:tcPr>
          <w:p w14:paraId="7D7C69CF" w14:textId="77777777" w:rsidR="001D61B7" w:rsidRDefault="001D61B7" w:rsidP="00AA50EB">
            <w:pPr>
              <w:pStyle w:val="TableParagraph"/>
              <w:kinsoku w:val="0"/>
              <w:overflowPunct w:val="0"/>
              <w:spacing w:beforeLines="60" w:before="144" w:after="60"/>
              <w:jc w:val="center"/>
            </w:pPr>
            <w:r>
              <w:rPr>
                <w:rFonts w:ascii="Arial" w:hAnsi="Arial" w:cs="Arial"/>
                <w:color w:val="FFFFFF"/>
                <w:w w:val="105"/>
                <w:sz w:val="18"/>
                <w:szCs w:val="18"/>
              </w:rPr>
              <w:t>Decision date</w:t>
            </w:r>
          </w:p>
        </w:tc>
        <w:tc>
          <w:tcPr>
            <w:tcW w:w="1105" w:type="dxa"/>
            <w:shd w:val="clear" w:color="auto" w:fill="F4973F"/>
            <w:vAlign w:val="center"/>
          </w:tcPr>
          <w:p w14:paraId="28F41413" w14:textId="77777777" w:rsidR="001D61B7" w:rsidRDefault="001D61B7" w:rsidP="00AA50EB">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Compliant at consultation</w:t>
            </w:r>
          </w:p>
        </w:tc>
        <w:tc>
          <w:tcPr>
            <w:tcW w:w="1104" w:type="dxa"/>
            <w:shd w:val="clear" w:color="auto" w:fill="F4973F"/>
            <w:vAlign w:val="center"/>
          </w:tcPr>
          <w:p w14:paraId="36B2E9B4" w14:textId="77777777" w:rsidR="001D61B7" w:rsidRDefault="001D61B7" w:rsidP="00AA50EB">
            <w:pPr>
              <w:pStyle w:val="TableParagraph"/>
              <w:kinsoku w:val="0"/>
              <w:overflowPunct w:val="0"/>
              <w:spacing w:beforeLines="60" w:before="144" w:after="60"/>
              <w:jc w:val="center"/>
            </w:pPr>
            <w:r>
              <w:rPr>
                <w:rFonts w:ascii="Arial" w:hAnsi="Arial" w:cs="Arial"/>
                <w:color w:val="FFFFFF"/>
                <w:w w:val="105"/>
                <w:sz w:val="18"/>
                <w:szCs w:val="18"/>
              </w:rPr>
              <w:t>Compliant at decision</w:t>
            </w:r>
          </w:p>
        </w:tc>
        <w:tc>
          <w:tcPr>
            <w:tcW w:w="1105" w:type="dxa"/>
            <w:shd w:val="clear" w:color="auto" w:fill="F4973F"/>
            <w:vAlign w:val="center"/>
          </w:tcPr>
          <w:p w14:paraId="08BC7F34" w14:textId="77777777" w:rsidR="001D61B7" w:rsidRDefault="001D61B7" w:rsidP="00AA50EB">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Final RIS published</w:t>
            </w:r>
          </w:p>
        </w:tc>
      </w:tr>
      <w:tr w:rsidR="001D61B7" w:rsidRPr="00BC0477" w14:paraId="0FB21119" w14:textId="77777777" w:rsidTr="00AA50EB">
        <w:trPr>
          <w:trHeight w:hRule="exact" w:val="525"/>
        </w:trPr>
        <w:tc>
          <w:tcPr>
            <w:tcW w:w="5420" w:type="dxa"/>
            <w:shd w:val="clear" w:color="auto" w:fill="auto"/>
            <w:vAlign w:val="center"/>
          </w:tcPr>
          <w:p w14:paraId="412BFA08" w14:textId="77777777" w:rsidR="001D61B7" w:rsidRPr="00BC0477" w:rsidRDefault="001D61B7" w:rsidP="00AA50EB">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Improve lighting energy efficiency regulation</w:t>
            </w:r>
          </w:p>
        </w:tc>
        <w:tc>
          <w:tcPr>
            <w:tcW w:w="1245" w:type="dxa"/>
            <w:shd w:val="clear" w:color="auto" w:fill="auto"/>
            <w:vAlign w:val="center"/>
          </w:tcPr>
          <w:p w14:paraId="4F23CF9C" w14:textId="77777777" w:rsidR="001D61B7" w:rsidRPr="00922AA3" w:rsidRDefault="001D61B7" w:rsidP="00AA50EB">
            <w:pPr>
              <w:pStyle w:val="TableParagraph"/>
              <w:kinsoku w:val="0"/>
              <w:overflowPunct w:val="0"/>
              <w:spacing w:before="54"/>
              <w:jc w:val="center"/>
              <w:rPr>
                <w:rFonts w:ascii="Arial" w:hAnsi="Arial" w:cs="Arial"/>
                <w:spacing w:val="-3"/>
                <w:sz w:val="18"/>
                <w:szCs w:val="18"/>
                <w:vertAlign w:val="superscript"/>
              </w:rPr>
            </w:pPr>
            <w:r>
              <w:rPr>
                <w:rFonts w:ascii="Arial" w:hAnsi="Arial" w:cs="Arial"/>
                <w:spacing w:val="-3"/>
                <w:sz w:val="18"/>
                <w:szCs w:val="18"/>
              </w:rPr>
              <w:t>20 Apr 2018</w:t>
            </w:r>
          </w:p>
        </w:tc>
        <w:tc>
          <w:tcPr>
            <w:tcW w:w="1105" w:type="dxa"/>
            <w:shd w:val="clear" w:color="auto" w:fill="auto"/>
            <w:vAlign w:val="center"/>
          </w:tcPr>
          <w:p w14:paraId="2BE0712F" w14:textId="77777777" w:rsidR="001D61B7" w:rsidRPr="00BC0477" w:rsidRDefault="001D61B7" w:rsidP="00AA50EB">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4" w:type="dxa"/>
            <w:shd w:val="clear" w:color="auto" w:fill="auto"/>
            <w:vAlign w:val="center"/>
          </w:tcPr>
          <w:p w14:paraId="5C62E5EC" w14:textId="77777777" w:rsidR="001D61B7" w:rsidRPr="00BC0477" w:rsidRDefault="001D61B7" w:rsidP="00AA50EB">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5" w:type="dxa"/>
            <w:vAlign w:val="center"/>
          </w:tcPr>
          <w:p w14:paraId="591B845F" w14:textId="77777777" w:rsidR="001D61B7" w:rsidRPr="00BC0477" w:rsidRDefault="001D61B7" w:rsidP="00AA50EB">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r>
    </w:tbl>
    <w:p w14:paraId="3D46A4BA" w14:textId="77777777" w:rsidR="001D61B7" w:rsidRPr="00BC0477" w:rsidRDefault="001D61B7" w:rsidP="001D61B7">
      <w:pPr>
        <w:pStyle w:val="note"/>
        <w:spacing w:after="0"/>
        <w:rPr>
          <w:rFonts w:cs="Arial"/>
          <w:color w:val="auto"/>
        </w:rPr>
      </w:pPr>
    </w:p>
    <w:p w14:paraId="5A2A59B2" w14:textId="77777777" w:rsidR="001D61B7" w:rsidRDefault="001D61B7" w:rsidP="001D61B7">
      <w:pPr>
        <w:pStyle w:val="BodyText1"/>
        <w:rPr>
          <w:spacing w:val="-6"/>
          <w:sz w:val="20"/>
          <w:szCs w:val="26"/>
        </w:rPr>
      </w:pPr>
      <w:r>
        <w:rPr>
          <w:spacing w:val="-6"/>
          <w:sz w:val="20"/>
          <w:szCs w:val="26"/>
        </w:rPr>
        <w:t>The</w:t>
      </w:r>
      <w:r w:rsidRPr="00743836">
        <w:rPr>
          <w:spacing w:val="-6"/>
          <w:sz w:val="20"/>
          <w:szCs w:val="26"/>
        </w:rPr>
        <w:t xml:space="preserve"> COAG Energy Council agreed to further improve lighting energy efficiency regulation by phasing out inefficient halogen light bulbs in Australia and introducing minimum standards for LED light bulbs in Australia and New Zealand in line with European Union (EU) standards.</w:t>
      </w:r>
      <w:r>
        <w:rPr>
          <w:spacing w:val="-6"/>
          <w:sz w:val="20"/>
          <w:szCs w:val="26"/>
        </w:rPr>
        <w:t xml:space="preserve"> </w:t>
      </w:r>
      <w:r w:rsidRPr="00743836">
        <w:rPr>
          <w:spacing w:val="-6"/>
          <w:sz w:val="20"/>
          <w:szCs w:val="26"/>
        </w:rPr>
        <w:t>The phase out will remove remaining incandescent light bulbs and a range of halogen light bulbs from the Australian market, where an equivale</w:t>
      </w:r>
      <w:r>
        <w:rPr>
          <w:spacing w:val="-6"/>
          <w:sz w:val="20"/>
          <w:szCs w:val="26"/>
        </w:rPr>
        <w:t xml:space="preserve">nt LED light bulb is available. </w:t>
      </w:r>
      <w:r w:rsidRPr="00743836">
        <w:rPr>
          <w:spacing w:val="-6"/>
          <w:sz w:val="20"/>
          <w:szCs w:val="26"/>
        </w:rPr>
        <w:t xml:space="preserve">Timing of the new regulation will align with revised EU minimum standards that will apply to LED light bulbs (planned for September 2020).  </w:t>
      </w:r>
    </w:p>
    <w:p w14:paraId="2BB91367" w14:textId="77777777" w:rsidR="00A2320E" w:rsidRDefault="00A2320E" w:rsidP="00A2320E">
      <w:pPr>
        <w:pStyle w:val="Heading3"/>
      </w:pPr>
      <w:bookmarkStart w:id="291" w:name="_Toc528850704"/>
      <w:r>
        <w:t>Department of Health</w:t>
      </w:r>
      <w:bookmarkEnd w:id="291"/>
    </w:p>
    <w:tbl>
      <w:tblPr>
        <w:tblW w:w="9979" w:type="dxa"/>
        <w:tblInd w:w="-142" w:type="dxa"/>
        <w:tblLayout w:type="fixed"/>
        <w:tblCellMar>
          <w:left w:w="0" w:type="dxa"/>
          <w:right w:w="0" w:type="dxa"/>
        </w:tblCellMar>
        <w:tblLook w:val="0000" w:firstRow="0" w:lastRow="0" w:firstColumn="0" w:lastColumn="0" w:noHBand="0" w:noVBand="0"/>
        <w:tblCaption w:val="Review of the National Safety and Quality Health Standards"/>
        <w:tblDescription w:val="Review of the National Safety and Quality Health Standards: Compliant at consultation, Compliant at decision, Final RIS published. Decision Date: 30 January 2018."/>
      </w:tblPr>
      <w:tblGrid>
        <w:gridCol w:w="5420"/>
        <w:gridCol w:w="1245"/>
        <w:gridCol w:w="1105"/>
        <w:gridCol w:w="1104"/>
        <w:gridCol w:w="1105"/>
      </w:tblGrid>
      <w:tr w:rsidR="00A2320E" w14:paraId="2BB9136D" w14:textId="77777777" w:rsidTr="008404A5">
        <w:trPr>
          <w:tblHeader/>
        </w:trPr>
        <w:tc>
          <w:tcPr>
            <w:tcW w:w="5420" w:type="dxa"/>
            <w:shd w:val="clear" w:color="auto" w:fill="F4973F"/>
            <w:vAlign w:val="center"/>
          </w:tcPr>
          <w:p w14:paraId="2BB91368" w14:textId="77777777" w:rsidR="00A2320E" w:rsidRDefault="00A2320E" w:rsidP="008404A5">
            <w:pPr>
              <w:pStyle w:val="TableParagraph"/>
              <w:kinsoku w:val="0"/>
              <w:overflowPunct w:val="0"/>
              <w:spacing w:beforeLines="60" w:before="144" w:after="60"/>
              <w:ind w:left="85"/>
            </w:pPr>
            <w:r>
              <w:rPr>
                <w:rFonts w:ascii="Arial" w:hAnsi="Arial" w:cs="Arial"/>
                <w:color w:val="FFFFFF"/>
                <w:w w:val="105"/>
                <w:sz w:val="18"/>
                <w:szCs w:val="18"/>
              </w:rPr>
              <w:t>Proposal</w:t>
            </w:r>
          </w:p>
        </w:tc>
        <w:tc>
          <w:tcPr>
            <w:tcW w:w="1245" w:type="dxa"/>
            <w:shd w:val="clear" w:color="auto" w:fill="F4973F"/>
            <w:vAlign w:val="center"/>
          </w:tcPr>
          <w:p w14:paraId="2BB91369" w14:textId="77777777" w:rsidR="00A2320E" w:rsidRDefault="00A2320E" w:rsidP="008404A5">
            <w:pPr>
              <w:pStyle w:val="TableParagraph"/>
              <w:kinsoku w:val="0"/>
              <w:overflowPunct w:val="0"/>
              <w:spacing w:beforeLines="60" w:before="144" w:after="60"/>
              <w:jc w:val="center"/>
            </w:pPr>
            <w:r>
              <w:rPr>
                <w:rFonts w:ascii="Arial" w:hAnsi="Arial" w:cs="Arial"/>
                <w:color w:val="FFFFFF"/>
                <w:w w:val="105"/>
                <w:sz w:val="18"/>
                <w:szCs w:val="18"/>
              </w:rPr>
              <w:t>Decision date</w:t>
            </w:r>
          </w:p>
        </w:tc>
        <w:tc>
          <w:tcPr>
            <w:tcW w:w="1105" w:type="dxa"/>
            <w:shd w:val="clear" w:color="auto" w:fill="F4973F"/>
            <w:vAlign w:val="center"/>
          </w:tcPr>
          <w:p w14:paraId="2BB9136A" w14:textId="77777777" w:rsidR="00A2320E" w:rsidRDefault="00A2320E" w:rsidP="008404A5">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Compliant at consultation</w:t>
            </w:r>
          </w:p>
        </w:tc>
        <w:tc>
          <w:tcPr>
            <w:tcW w:w="1104" w:type="dxa"/>
            <w:shd w:val="clear" w:color="auto" w:fill="F4973F"/>
            <w:vAlign w:val="center"/>
          </w:tcPr>
          <w:p w14:paraId="2BB9136B" w14:textId="77777777" w:rsidR="00A2320E" w:rsidRDefault="00A2320E" w:rsidP="008404A5">
            <w:pPr>
              <w:pStyle w:val="TableParagraph"/>
              <w:kinsoku w:val="0"/>
              <w:overflowPunct w:val="0"/>
              <w:spacing w:beforeLines="60" w:before="144" w:after="60"/>
              <w:jc w:val="center"/>
            </w:pPr>
            <w:r>
              <w:rPr>
                <w:rFonts w:ascii="Arial" w:hAnsi="Arial" w:cs="Arial"/>
                <w:color w:val="FFFFFF"/>
                <w:w w:val="105"/>
                <w:sz w:val="18"/>
                <w:szCs w:val="18"/>
              </w:rPr>
              <w:t>Compliant at decision</w:t>
            </w:r>
          </w:p>
        </w:tc>
        <w:tc>
          <w:tcPr>
            <w:tcW w:w="1105" w:type="dxa"/>
            <w:shd w:val="clear" w:color="auto" w:fill="F4973F"/>
            <w:vAlign w:val="center"/>
          </w:tcPr>
          <w:p w14:paraId="2BB9136C" w14:textId="77777777" w:rsidR="00A2320E" w:rsidRDefault="00A2320E" w:rsidP="008404A5">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Final RIS published</w:t>
            </w:r>
          </w:p>
        </w:tc>
      </w:tr>
      <w:tr w:rsidR="00A2320E" w:rsidRPr="00BC0477" w14:paraId="2BB91373" w14:textId="77777777" w:rsidTr="008404A5">
        <w:trPr>
          <w:trHeight w:hRule="exact" w:val="525"/>
        </w:trPr>
        <w:tc>
          <w:tcPr>
            <w:tcW w:w="5420" w:type="dxa"/>
            <w:shd w:val="clear" w:color="auto" w:fill="auto"/>
            <w:vAlign w:val="center"/>
          </w:tcPr>
          <w:p w14:paraId="2BB9136E" w14:textId="77777777" w:rsidR="00A2320E" w:rsidRPr="00BC0477" w:rsidRDefault="00A2320E" w:rsidP="008404A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Review of the National Safety and Quality Health Standards</w:t>
            </w:r>
          </w:p>
        </w:tc>
        <w:tc>
          <w:tcPr>
            <w:tcW w:w="1245" w:type="dxa"/>
            <w:shd w:val="clear" w:color="auto" w:fill="auto"/>
            <w:vAlign w:val="center"/>
          </w:tcPr>
          <w:p w14:paraId="2BB9136F" w14:textId="77777777" w:rsidR="00A2320E" w:rsidRPr="00922AA3" w:rsidRDefault="00A2320E" w:rsidP="00A2320E">
            <w:pPr>
              <w:pStyle w:val="TableParagraph"/>
              <w:kinsoku w:val="0"/>
              <w:overflowPunct w:val="0"/>
              <w:spacing w:before="54"/>
              <w:jc w:val="center"/>
              <w:rPr>
                <w:rFonts w:ascii="Arial" w:hAnsi="Arial" w:cs="Arial"/>
                <w:spacing w:val="-3"/>
                <w:sz w:val="18"/>
                <w:szCs w:val="18"/>
                <w:vertAlign w:val="superscript"/>
              </w:rPr>
            </w:pPr>
            <w:r>
              <w:rPr>
                <w:rFonts w:ascii="Arial" w:hAnsi="Arial" w:cs="Arial"/>
                <w:spacing w:val="-3"/>
                <w:sz w:val="18"/>
                <w:szCs w:val="18"/>
              </w:rPr>
              <w:t>30 Jan 2018</w:t>
            </w:r>
          </w:p>
        </w:tc>
        <w:tc>
          <w:tcPr>
            <w:tcW w:w="1105" w:type="dxa"/>
            <w:shd w:val="clear" w:color="auto" w:fill="auto"/>
            <w:vAlign w:val="center"/>
          </w:tcPr>
          <w:p w14:paraId="2BB91370" w14:textId="77777777" w:rsidR="00A2320E" w:rsidRPr="00BC0477" w:rsidRDefault="00A2320E" w:rsidP="008404A5">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4" w:type="dxa"/>
            <w:shd w:val="clear" w:color="auto" w:fill="auto"/>
            <w:vAlign w:val="center"/>
          </w:tcPr>
          <w:p w14:paraId="2BB91371" w14:textId="77777777" w:rsidR="00A2320E" w:rsidRPr="00BC0477" w:rsidRDefault="00A2320E" w:rsidP="008404A5">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5" w:type="dxa"/>
            <w:vAlign w:val="center"/>
          </w:tcPr>
          <w:p w14:paraId="2BB91372" w14:textId="77777777" w:rsidR="00A2320E" w:rsidRPr="00BC0477" w:rsidRDefault="00A2320E" w:rsidP="008404A5">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r>
    </w:tbl>
    <w:p w14:paraId="2BB91374" w14:textId="77777777" w:rsidR="00A2320E" w:rsidRPr="00BC0477" w:rsidRDefault="00A2320E" w:rsidP="00A2320E">
      <w:pPr>
        <w:pStyle w:val="note"/>
        <w:spacing w:after="0"/>
        <w:rPr>
          <w:rFonts w:cs="Arial"/>
          <w:color w:val="auto"/>
        </w:rPr>
      </w:pPr>
    </w:p>
    <w:p w14:paraId="2BB91375" w14:textId="77777777" w:rsidR="00A2320E" w:rsidRDefault="00A2320E" w:rsidP="00A2320E">
      <w:pPr>
        <w:pStyle w:val="BodyText1"/>
        <w:rPr>
          <w:spacing w:val="-6"/>
          <w:sz w:val="20"/>
          <w:szCs w:val="26"/>
        </w:rPr>
      </w:pPr>
      <w:r w:rsidRPr="00CA0154">
        <w:rPr>
          <w:spacing w:val="-6"/>
          <w:sz w:val="20"/>
          <w:szCs w:val="26"/>
        </w:rPr>
        <w:t>The</w:t>
      </w:r>
      <w:r>
        <w:rPr>
          <w:spacing w:val="-6"/>
          <w:sz w:val="20"/>
          <w:szCs w:val="26"/>
        </w:rPr>
        <w:t xml:space="preserve"> National  Safety and Quality Health Service Standards are designed to protect the public from harm and to improve the quality of health care for consumers. The second edition of these standards addresses gaps identified in the first edition, including mental health and cognitive impairment, health literacy, end-of-life care and Aboriginal and Torres Strait Islander health. This version also streamlines the standards while making them clearer and easier to implement.</w:t>
      </w:r>
    </w:p>
    <w:p w14:paraId="2BB91376" w14:textId="77777777" w:rsidR="00A2320E" w:rsidRDefault="00A2320E" w:rsidP="00A2320E">
      <w:pPr>
        <w:pStyle w:val="BodyText1"/>
      </w:pPr>
    </w:p>
    <w:p w14:paraId="2BB91377" w14:textId="77777777" w:rsidR="00DB15D8" w:rsidRDefault="00A2320E" w:rsidP="00342DCD">
      <w:pPr>
        <w:pStyle w:val="Heading2"/>
        <w:ind w:left="0" w:firstLine="0"/>
      </w:pPr>
      <w:r>
        <w:br w:type="page"/>
      </w:r>
      <w:bookmarkStart w:id="292" w:name="_Toc528850705"/>
      <w:r w:rsidR="00D8696B">
        <w:lastRenderedPageBreak/>
        <w:t xml:space="preserve">Appendix A - </w:t>
      </w:r>
      <w:r w:rsidR="00C35D43">
        <w:t xml:space="preserve">RISs </w:t>
      </w:r>
      <w:r w:rsidR="00D8696B">
        <w:t>prepared</w:t>
      </w:r>
      <w:r w:rsidR="00DB15D8" w:rsidRPr="00CB1EE6">
        <w:t xml:space="preserve"> for consultation</w:t>
      </w:r>
      <w:r w:rsidR="00CB1EE6">
        <w:t xml:space="preserve"> in 201</w:t>
      </w:r>
      <w:r w:rsidR="00354504">
        <w:t>7</w:t>
      </w:r>
      <w:r w:rsidR="00CB1EE6">
        <w:t>-1</w:t>
      </w:r>
      <w:r w:rsidR="00354504">
        <w:t>8</w:t>
      </w:r>
      <w:bookmarkEnd w:id="292"/>
    </w:p>
    <w:p w14:paraId="2BB91378" w14:textId="77777777" w:rsidR="00DB15D8" w:rsidRPr="00DB15D8" w:rsidRDefault="00DB15D8" w:rsidP="00B40FF9">
      <w:pPr>
        <w:pStyle w:val="BodyText1"/>
      </w:pPr>
      <w:bookmarkStart w:id="293" w:name="_Toc419707558"/>
      <w:bookmarkStart w:id="294" w:name="_Toc424049626"/>
      <w:bookmarkStart w:id="295" w:name="_Toc428440028"/>
      <w:bookmarkStart w:id="296" w:name="_Toc428440455"/>
      <w:bookmarkStart w:id="297" w:name="_Toc432175595"/>
      <w:bookmarkStart w:id="298" w:name="_Toc432587379"/>
      <w:bookmarkStart w:id="299" w:name="_Toc438539631"/>
      <w:bookmarkStart w:id="300" w:name="_Toc440639816"/>
      <w:bookmarkStart w:id="301" w:name="_Toc445973445"/>
      <w:bookmarkStart w:id="302" w:name="_Toc445974143"/>
      <w:bookmarkStart w:id="303" w:name="_Toc445974404"/>
      <w:bookmarkStart w:id="304" w:name="_Toc446318438"/>
      <w:bookmarkStart w:id="305" w:name="_Toc447532697"/>
      <w:bookmarkStart w:id="306" w:name="_Toc451168646"/>
      <w:bookmarkStart w:id="307" w:name="_Toc451264240"/>
      <w:bookmarkStart w:id="308" w:name="_Toc451264807"/>
      <w:bookmarkStart w:id="309" w:name="_Toc459800321"/>
      <w:bookmarkStart w:id="310" w:name="_Toc473715465"/>
      <w:r w:rsidRPr="00DB15D8">
        <w:t>The followi</w:t>
      </w:r>
      <w:r>
        <w:t xml:space="preserve">ng COAG consultation RISs </w:t>
      </w:r>
      <w:r w:rsidR="00323F95">
        <w:t xml:space="preserve">have been published </w:t>
      </w:r>
      <w:bookmarkEnd w:id="293"/>
      <w:bookmarkEnd w:id="294"/>
      <w:bookmarkEnd w:id="295"/>
      <w:bookmarkEnd w:id="296"/>
      <w:bookmarkEnd w:id="297"/>
      <w:bookmarkEnd w:id="298"/>
      <w:r w:rsidR="003311B7">
        <w:t>for consultation during the current financial year.</w:t>
      </w:r>
      <w:bookmarkEnd w:id="299"/>
      <w:bookmarkEnd w:id="300"/>
      <w:bookmarkEnd w:id="301"/>
      <w:bookmarkEnd w:id="302"/>
      <w:bookmarkEnd w:id="303"/>
      <w:bookmarkEnd w:id="304"/>
      <w:bookmarkEnd w:id="305"/>
      <w:bookmarkEnd w:id="306"/>
      <w:bookmarkEnd w:id="307"/>
      <w:bookmarkEnd w:id="308"/>
      <w:bookmarkEnd w:id="309"/>
      <w:bookmarkEnd w:id="310"/>
    </w:p>
    <w:tbl>
      <w:tblPr>
        <w:tblW w:w="9696" w:type="dxa"/>
        <w:tblInd w:w="-142" w:type="dxa"/>
        <w:tblLayout w:type="fixed"/>
        <w:tblCellMar>
          <w:left w:w="0" w:type="dxa"/>
          <w:right w:w="0" w:type="dxa"/>
        </w:tblCellMar>
        <w:tblLook w:val="0000" w:firstRow="0" w:lastRow="0" w:firstColumn="0" w:lastColumn="0" w:noHBand="0" w:noVBand="0"/>
        <w:tblCaption w:val="RISs prepared for consultation in 2017-18"/>
        <w:tblDescription w:val="COAG consultation RISs that have been published for consultation during the current financial year."/>
      </w:tblPr>
      <w:tblGrid>
        <w:gridCol w:w="6096"/>
        <w:gridCol w:w="2268"/>
        <w:gridCol w:w="1332"/>
      </w:tblGrid>
      <w:tr w:rsidR="00323F95" w14:paraId="2BB9137C" w14:textId="77777777" w:rsidTr="00A757AF">
        <w:trPr>
          <w:tblHeader/>
        </w:trPr>
        <w:tc>
          <w:tcPr>
            <w:tcW w:w="6096" w:type="dxa"/>
            <w:shd w:val="clear" w:color="auto" w:fill="F4973F"/>
            <w:vAlign w:val="center"/>
          </w:tcPr>
          <w:p w14:paraId="2BB91379" w14:textId="77777777" w:rsidR="00323F95" w:rsidRDefault="00323F95" w:rsidP="00512DDE">
            <w:pPr>
              <w:pStyle w:val="TableParagraph"/>
              <w:kinsoku w:val="0"/>
              <w:overflowPunct w:val="0"/>
              <w:spacing w:beforeLines="60" w:before="144" w:after="60"/>
              <w:ind w:left="79"/>
              <w:rPr>
                <w:rFonts w:ascii="Arial" w:hAnsi="Arial" w:cs="Arial"/>
                <w:color w:val="FFFFFF"/>
                <w:w w:val="105"/>
                <w:sz w:val="18"/>
                <w:szCs w:val="18"/>
              </w:rPr>
            </w:pPr>
            <w:r w:rsidRPr="00C25C33">
              <w:rPr>
                <w:rFonts w:ascii="Arial" w:hAnsi="Arial" w:cs="Arial"/>
                <w:color w:val="FFFFFF"/>
                <w:w w:val="105"/>
                <w:sz w:val="18"/>
                <w:szCs w:val="18"/>
              </w:rPr>
              <w:t>Proposal</w:t>
            </w:r>
          </w:p>
        </w:tc>
        <w:tc>
          <w:tcPr>
            <w:tcW w:w="2268" w:type="dxa"/>
            <w:shd w:val="clear" w:color="auto" w:fill="F4973F"/>
            <w:vAlign w:val="center"/>
          </w:tcPr>
          <w:p w14:paraId="2BB9137A" w14:textId="77777777" w:rsidR="00323F95" w:rsidRDefault="00323F95" w:rsidP="00512DDE">
            <w:pPr>
              <w:pStyle w:val="TableParagraph"/>
              <w:kinsoku w:val="0"/>
              <w:overflowPunct w:val="0"/>
              <w:spacing w:beforeLines="60" w:before="144" w:after="60"/>
              <w:jc w:val="center"/>
            </w:pPr>
            <w:r>
              <w:rPr>
                <w:rFonts w:ascii="Arial" w:hAnsi="Arial" w:cs="Arial"/>
                <w:color w:val="FFFFFF"/>
                <w:w w:val="105"/>
                <w:sz w:val="18"/>
                <w:szCs w:val="18"/>
              </w:rPr>
              <w:t>Decision-making body</w:t>
            </w:r>
          </w:p>
        </w:tc>
        <w:tc>
          <w:tcPr>
            <w:tcW w:w="1332" w:type="dxa"/>
            <w:shd w:val="clear" w:color="auto" w:fill="F4973F"/>
            <w:vAlign w:val="center"/>
          </w:tcPr>
          <w:p w14:paraId="2BB9137B" w14:textId="77777777" w:rsidR="00323F95" w:rsidRDefault="00323F95" w:rsidP="00512DDE">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Closing date</w:t>
            </w:r>
          </w:p>
        </w:tc>
      </w:tr>
      <w:tr w:rsidR="00062230" w14:paraId="2BB91380" w14:textId="77777777" w:rsidTr="00A757AF">
        <w:trPr>
          <w:trHeight w:hRule="exact" w:val="689"/>
        </w:trPr>
        <w:tc>
          <w:tcPr>
            <w:tcW w:w="6096" w:type="dxa"/>
            <w:shd w:val="clear" w:color="auto" w:fill="auto"/>
            <w:vAlign w:val="center"/>
          </w:tcPr>
          <w:p w14:paraId="2BB9137D" w14:textId="77777777" w:rsidR="00062230" w:rsidRDefault="00062230" w:rsidP="00C11447">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Ticket Reselling</w:t>
            </w:r>
          </w:p>
        </w:tc>
        <w:tc>
          <w:tcPr>
            <w:tcW w:w="2268" w:type="dxa"/>
            <w:shd w:val="clear" w:color="auto" w:fill="auto"/>
            <w:vAlign w:val="center"/>
          </w:tcPr>
          <w:p w14:paraId="2BB9137E" w14:textId="77777777" w:rsidR="00062230" w:rsidRDefault="001167F0" w:rsidP="00C1144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Legislative and Governance Forum on Consumer Affairs</w:t>
            </w:r>
          </w:p>
        </w:tc>
        <w:tc>
          <w:tcPr>
            <w:tcW w:w="1332" w:type="dxa"/>
            <w:vAlign w:val="center"/>
          </w:tcPr>
          <w:p w14:paraId="2BB9137F" w14:textId="77777777" w:rsidR="00062230" w:rsidRDefault="001167F0" w:rsidP="00C11447">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15 Dec 2017</w:t>
            </w:r>
          </w:p>
        </w:tc>
      </w:tr>
      <w:tr w:rsidR="003D2153" w14:paraId="2BB91384" w14:textId="77777777" w:rsidTr="00A757AF">
        <w:trPr>
          <w:trHeight w:hRule="exact" w:val="689"/>
        </w:trPr>
        <w:tc>
          <w:tcPr>
            <w:tcW w:w="6096" w:type="dxa"/>
            <w:shd w:val="clear" w:color="auto" w:fill="auto"/>
            <w:vAlign w:val="center"/>
          </w:tcPr>
          <w:p w14:paraId="2BB91381" w14:textId="77777777" w:rsidR="003D2153" w:rsidRDefault="00062230" w:rsidP="00C11447">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Paper Billing</w:t>
            </w:r>
          </w:p>
        </w:tc>
        <w:tc>
          <w:tcPr>
            <w:tcW w:w="2268" w:type="dxa"/>
            <w:shd w:val="clear" w:color="auto" w:fill="auto"/>
            <w:vAlign w:val="center"/>
          </w:tcPr>
          <w:p w14:paraId="2BB91382" w14:textId="7E5BC031" w:rsidR="003D2153" w:rsidRDefault="00C0282A" w:rsidP="00C11447">
            <w:pPr>
              <w:pStyle w:val="TableParagraph"/>
              <w:kinsoku w:val="0"/>
              <w:overflowPunct w:val="0"/>
              <w:spacing w:before="54"/>
              <w:jc w:val="center"/>
              <w:rPr>
                <w:rFonts w:ascii="Arial" w:hAnsi="Arial" w:cs="Arial"/>
                <w:spacing w:val="-3"/>
                <w:sz w:val="18"/>
                <w:szCs w:val="18"/>
              </w:rPr>
            </w:pPr>
            <w:r w:rsidRPr="00C0282A">
              <w:rPr>
                <w:rFonts w:ascii="Arial" w:hAnsi="Arial" w:cs="Arial"/>
                <w:spacing w:val="-3"/>
                <w:sz w:val="18"/>
                <w:szCs w:val="18"/>
              </w:rPr>
              <w:t xml:space="preserve">Legislative and Governance Forum on Consumer Affairs </w:t>
            </w:r>
            <w:r w:rsidR="00E14FEE">
              <w:rPr>
                <w:rFonts w:ascii="Arial" w:hAnsi="Arial" w:cs="Arial"/>
                <w:spacing w:val="-3"/>
                <w:sz w:val="18"/>
                <w:szCs w:val="18"/>
              </w:rPr>
              <w:t>Consumer Affairs Australia and New Zealand</w:t>
            </w:r>
          </w:p>
        </w:tc>
        <w:tc>
          <w:tcPr>
            <w:tcW w:w="1332" w:type="dxa"/>
            <w:vAlign w:val="center"/>
          </w:tcPr>
          <w:p w14:paraId="2BB91383" w14:textId="77777777" w:rsidR="003D2153" w:rsidRDefault="00E14FEE" w:rsidP="00C11447">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22 Dec 2017</w:t>
            </w:r>
          </w:p>
        </w:tc>
      </w:tr>
      <w:tr w:rsidR="00A757AF" w14:paraId="2BB91388" w14:textId="77777777" w:rsidTr="00A757AF">
        <w:trPr>
          <w:trHeight w:hRule="exact" w:val="689"/>
        </w:trPr>
        <w:tc>
          <w:tcPr>
            <w:tcW w:w="6096" w:type="dxa"/>
            <w:shd w:val="clear" w:color="auto" w:fill="auto"/>
            <w:vAlign w:val="center"/>
          </w:tcPr>
          <w:p w14:paraId="2BB91385" w14:textId="77777777" w:rsidR="00A757AF" w:rsidRDefault="00A757AF" w:rsidP="00E14FEE">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Australian Capital Territory Container Deposit Scheme</w:t>
            </w:r>
          </w:p>
        </w:tc>
        <w:tc>
          <w:tcPr>
            <w:tcW w:w="2268" w:type="dxa"/>
            <w:shd w:val="clear" w:color="auto" w:fill="auto"/>
            <w:vAlign w:val="center"/>
          </w:tcPr>
          <w:p w14:paraId="2BB91386" w14:textId="77777777" w:rsidR="00A757AF" w:rsidRDefault="00A757AF" w:rsidP="00E14FE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Transport Canberra and City Services Directorate</w:t>
            </w:r>
          </w:p>
        </w:tc>
        <w:tc>
          <w:tcPr>
            <w:tcW w:w="1332" w:type="dxa"/>
            <w:vAlign w:val="center"/>
          </w:tcPr>
          <w:p w14:paraId="2BB91387" w14:textId="77777777" w:rsidR="00A757AF" w:rsidRDefault="00A757AF" w:rsidP="00E14FEE">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9 Feb 2018</w:t>
            </w:r>
          </w:p>
        </w:tc>
      </w:tr>
      <w:tr w:rsidR="00E14FEE" w14:paraId="2BB9138C" w14:textId="77777777" w:rsidTr="00A757AF">
        <w:trPr>
          <w:trHeight w:hRule="exact" w:val="689"/>
        </w:trPr>
        <w:tc>
          <w:tcPr>
            <w:tcW w:w="6096" w:type="dxa"/>
            <w:shd w:val="clear" w:color="auto" w:fill="auto"/>
            <w:vAlign w:val="center"/>
          </w:tcPr>
          <w:p w14:paraId="2BB91389" w14:textId="77777777" w:rsidR="00E14FEE" w:rsidRDefault="00E14FEE" w:rsidP="00E14FEE">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National Phase Out of Perfluorooctane sulfonic acid (PFOS)</w:t>
            </w:r>
          </w:p>
        </w:tc>
        <w:tc>
          <w:tcPr>
            <w:tcW w:w="2268" w:type="dxa"/>
            <w:shd w:val="clear" w:color="auto" w:fill="auto"/>
            <w:vAlign w:val="center"/>
          </w:tcPr>
          <w:p w14:paraId="2BB9138A" w14:textId="77777777" w:rsidR="00E14FEE" w:rsidRDefault="00E14FEE" w:rsidP="00E14FE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Department of the Environment and Energy</w:t>
            </w:r>
          </w:p>
        </w:tc>
        <w:tc>
          <w:tcPr>
            <w:tcW w:w="1332" w:type="dxa"/>
            <w:vAlign w:val="center"/>
          </w:tcPr>
          <w:p w14:paraId="2BB9138B" w14:textId="77777777" w:rsidR="00E14FEE" w:rsidRDefault="00E14FEE" w:rsidP="00E14FEE">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26 Feb 2018</w:t>
            </w:r>
          </w:p>
        </w:tc>
      </w:tr>
      <w:tr w:rsidR="00E14FEE" w14:paraId="2BB91390" w14:textId="77777777" w:rsidTr="00A757AF">
        <w:trPr>
          <w:trHeight w:hRule="exact" w:val="689"/>
        </w:trPr>
        <w:tc>
          <w:tcPr>
            <w:tcW w:w="6096" w:type="dxa"/>
            <w:shd w:val="clear" w:color="auto" w:fill="auto"/>
            <w:vAlign w:val="center"/>
          </w:tcPr>
          <w:p w14:paraId="2BB9138D" w14:textId="77777777" w:rsidR="00E14FEE" w:rsidRDefault="00E14FEE" w:rsidP="00E14FEE">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Accessible adult change facilities in public building</w:t>
            </w:r>
          </w:p>
        </w:tc>
        <w:tc>
          <w:tcPr>
            <w:tcW w:w="2268" w:type="dxa"/>
            <w:shd w:val="clear" w:color="auto" w:fill="auto"/>
            <w:vAlign w:val="center"/>
          </w:tcPr>
          <w:p w14:paraId="2BB9138E" w14:textId="77777777" w:rsidR="00E14FEE" w:rsidRDefault="00342DCD" w:rsidP="00E14FE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The Australian Building Codes Board</w:t>
            </w:r>
          </w:p>
        </w:tc>
        <w:tc>
          <w:tcPr>
            <w:tcW w:w="1332" w:type="dxa"/>
            <w:vAlign w:val="center"/>
          </w:tcPr>
          <w:p w14:paraId="2BB9138F" w14:textId="77777777" w:rsidR="00E14FEE" w:rsidRDefault="00342DCD" w:rsidP="00E14FEE">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13 Apr 2018</w:t>
            </w:r>
          </w:p>
        </w:tc>
      </w:tr>
      <w:tr w:rsidR="00342DCD" w14:paraId="2BB91394" w14:textId="77777777" w:rsidTr="00A757AF">
        <w:trPr>
          <w:trHeight w:hRule="exact" w:val="689"/>
        </w:trPr>
        <w:tc>
          <w:tcPr>
            <w:tcW w:w="6096" w:type="dxa"/>
            <w:shd w:val="clear" w:color="auto" w:fill="auto"/>
            <w:vAlign w:val="center"/>
          </w:tcPr>
          <w:p w14:paraId="2BB91391" w14:textId="77777777" w:rsidR="00342DCD" w:rsidRDefault="00342DCD" w:rsidP="00342DCD">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Fire safety in new Class 2 and Class 3 residential buildings</w:t>
            </w:r>
          </w:p>
        </w:tc>
        <w:tc>
          <w:tcPr>
            <w:tcW w:w="2268" w:type="dxa"/>
            <w:shd w:val="clear" w:color="auto" w:fill="auto"/>
            <w:vAlign w:val="center"/>
          </w:tcPr>
          <w:p w14:paraId="2BB91392" w14:textId="77777777" w:rsidR="00342DCD" w:rsidRDefault="00342DCD" w:rsidP="00342DCD">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The Australian Building Codes Board</w:t>
            </w:r>
          </w:p>
        </w:tc>
        <w:tc>
          <w:tcPr>
            <w:tcW w:w="1332" w:type="dxa"/>
            <w:vAlign w:val="center"/>
          </w:tcPr>
          <w:p w14:paraId="2BB91393" w14:textId="77777777" w:rsidR="00342DCD" w:rsidRDefault="00342DCD" w:rsidP="00342DCD">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13 Apr 2018</w:t>
            </w:r>
          </w:p>
        </w:tc>
      </w:tr>
      <w:tr w:rsidR="00342DCD" w14:paraId="2BB91398" w14:textId="77777777" w:rsidTr="00A757AF">
        <w:trPr>
          <w:trHeight w:hRule="exact" w:val="689"/>
        </w:trPr>
        <w:tc>
          <w:tcPr>
            <w:tcW w:w="6096" w:type="dxa"/>
            <w:shd w:val="clear" w:color="auto" w:fill="auto"/>
            <w:vAlign w:val="center"/>
          </w:tcPr>
          <w:p w14:paraId="2BB91395" w14:textId="77777777" w:rsidR="00342DCD" w:rsidRDefault="00342DCD" w:rsidP="00342DCD">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Energy efficiency for residential buildings: Nationwide House Energy Rating Scheme (NatHERS) heating and cooling load limits</w:t>
            </w:r>
          </w:p>
        </w:tc>
        <w:tc>
          <w:tcPr>
            <w:tcW w:w="2268" w:type="dxa"/>
            <w:shd w:val="clear" w:color="auto" w:fill="auto"/>
            <w:vAlign w:val="center"/>
          </w:tcPr>
          <w:p w14:paraId="2BB91396" w14:textId="77777777" w:rsidR="00342DCD" w:rsidRDefault="00342DCD" w:rsidP="00342DCD">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The Australian Building Codes Board</w:t>
            </w:r>
          </w:p>
        </w:tc>
        <w:tc>
          <w:tcPr>
            <w:tcW w:w="1332" w:type="dxa"/>
            <w:vAlign w:val="center"/>
          </w:tcPr>
          <w:p w14:paraId="2BB91397" w14:textId="77777777" w:rsidR="00342DCD" w:rsidRDefault="00342DCD" w:rsidP="00342DCD">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20 Apr 2018</w:t>
            </w:r>
          </w:p>
        </w:tc>
      </w:tr>
      <w:tr w:rsidR="00342DCD" w14:paraId="2BB9139C" w14:textId="77777777" w:rsidTr="00A757AF">
        <w:trPr>
          <w:trHeight w:hRule="exact" w:val="689"/>
        </w:trPr>
        <w:tc>
          <w:tcPr>
            <w:tcW w:w="6096" w:type="dxa"/>
            <w:shd w:val="clear" w:color="auto" w:fill="auto"/>
            <w:vAlign w:val="center"/>
          </w:tcPr>
          <w:p w14:paraId="2BB91399" w14:textId="77777777" w:rsidR="00342DCD" w:rsidRDefault="00342DCD" w:rsidP="00342DCD">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Energy efficiency of commercial buildings</w:t>
            </w:r>
          </w:p>
        </w:tc>
        <w:tc>
          <w:tcPr>
            <w:tcW w:w="2268" w:type="dxa"/>
            <w:shd w:val="clear" w:color="auto" w:fill="auto"/>
            <w:vAlign w:val="center"/>
          </w:tcPr>
          <w:p w14:paraId="2BB9139A" w14:textId="77777777" w:rsidR="00342DCD" w:rsidRDefault="00C55116" w:rsidP="00342DCD">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The Australian Building Codes Board</w:t>
            </w:r>
          </w:p>
        </w:tc>
        <w:tc>
          <w:tcPr>
            <w:tcW w:w="1332" w:type="dxa"/>
            <w:vAlign w:val="center"/>
          </w:tcPr>
          <w:p w14:paraId="2BB9139B" w14:textId="77777777" w:rsidR="00342DCD" w:rsidRDefault="00C55116" w:rsidP="00342DCD">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20 Apr 2018</w:t>
            </w:r>
          </w:p>
        </w:tc>
      </w:tr>
      <w:tr w:rsidR="00342DCD" w14:paraId="2BB913A0" w14:textId="77777777" w:rsidTr="00A757AF">
        <w:trPr>
          <w:trHeight w:hRule="exact" w:val="689"/>
        </w:trPr>
        <w:tc>
          <w:tcPr>
            <w:tcW w:w="6096" w:type="dxa"/>
            <w:shd w:val="clear" w:color="auto" w:fill="auto"/>
            <w:vAlign w:val="center"/>
          </w:tcPr>
          <w:p w14:paraId="2BB9139D" w14:textId="77777777" w:rsidR="00342DCD" w:rsidRDefault="00342DCD" w:rsidP="00342DCD">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 xml:space="preserve">Consumer guarantee framework amendments </w:t>
            </w:r>
          </w:p>
        </w:tc>
        <w:tc>
          <w:tcPr>
            <w:tcW w:w="2268" w:type="dxa"/>
            <w:shd w:val="clear" w:color="auto" w:fill="auto"/>
            <w:vAlign w:val="center"/>
          </w:tcPr>
          <w:p w14:paraId="2BB9139E" w14:textId="77777777" w:rsidR="00342DCD" w:rsidRDefault="00C55116" w:rsidP="00342DCD">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Legislative and Governance Forum on Consumer Affairs</w:t>
            </w:r>
          </w:p>
        </w:tc>
        <w:tc>
          <w:tcPr>
            <w:tcW w:w="1332" w:type="dxa"/>
            <w:vAlign w:val="center"/>
          </w:tcPr>
          <w:p w14:paraId="2BB9139F" w14:textId="77777777" w:rsidR="00342DCD" w:rsidRDefault="00C55116" w:rsidP="00342DCD">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23 Apr 2018</w:t>
            </w:r>
          </w:p>
        </w:tc>
      </w:tr>
      <w:tr w:rsidR="00C90624" w14:paraId="2BB913A4" w14:textId="77777777" w:rsidTr="00A757AF">
        <w:trPr>
          <w:trHeight w:hRule="exact" w:val="689"/>
        </w:trPr>
        <w:tc>
          <w:tcPr>
            <w:tcW w:w="6096" w:type="dxa"/>
            <w:shd w:val="clear" w:color="auto" w:fill="auto"/>
            <w:vAlign w:val="center"/>
          </w:tcPr>
          <w:p w14:paraId="2BB913A1" w14:textId="77777777" w:rsidR="00C90624" w:rsidRDefault="00C90624" w:rsidP="00342DCD">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Quad Bike Safety</w:t>
            </w:r>
          </w:p>
        </w:tc>
        <w:tc>
          <w:tcPr>
            <w:tcW w:w="2268" w:type="dxa"/>
            <w:shd w:val="clear" w:color="auto" w:fill="auto"/>
            <w:vAlign w:val="center"/>
          </w:tcPr>
          <w:p w14:paraId="2BB913A2" w14:textId="77777777" w:rsidR="00C90624" w:rsidRDefault="00C90624" w:rsidP="00342DCD">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Australian Competition and Consumer Commision</w:t>
            </w:r>
          </w:p>
        </w:tc>
        <w:tc>
          <w:tcPr>
            <w:tcW w:w="1332" w:type="dxa"/>
            <w:vAlign w:val="center"/>
          </w:tcPr>
          <w:p w14:paraId="2BB913A3" w14:textId="77777777" w:rsidR="00C90624" w:rsidRDefault="00C90624" w:rsidP="00342DCD">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4 May 2018</w:t>
            </w:r>
          </w:p>
        </w:tc>
      </w:tr>
      <w:tr w:rsidR="004E5825" w14:paraId="2BB913A8" w14:textId="77777777" w:rsidTr="00A757AF">
        <w:trPr>
          <w:trHeight w:hRule="exact" w:val="689"/>
        </w:trPr>
        <w:tc>
          <w:tcPr>
            <w:tcW w:w="6096" w:type="dxa"/>
            <w:shd w:val="clear" w:color="auto" w:fill="auto"/>
            <w:vAlign w:val="center"/>
          </w:tcPr>
          <w:p w14:paraId="2BB913A5" w14:textId="6803ED4C" w:rsidR="004E5825" w:rsidRDefault="004E5825" w:rsidP="004E5825">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Gift Card Expiry Dates</w:t>
            </w:r>
          </w:p>
        </w:tc>
        <w:tc>
          <w:tcPr>
            <w:tcW w:w="2268" w:type="dxa"/>
            <w:shd w:val="clear" w:color="auto" w:fill="auto"/>
            <w:vAlign w:val="center"/>
          </w:tcPr>
          <w:p w14:paraId="2BB913A6" w14:textId="79B37850" w:rsidR="004E5825" w:rsidRDefault="004E5825" w:rsidP="004E582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Legislative and Governance Forum on Consumer Affairs</w:t>
            </w:r>
          </w:p>
        </w:tc>
        <w:tc>
          <w:tcPr>
            <w:tcW w:w="1332" w:type="dxa"/>
            <w:vAlign w:val="center"/>
          </w:tcPr>
          <w:p w14:paraId="2BB913A7" w14:textId="751B90FE" w:rsidR="004E5825" w:rsidRDefault="004E5825" w:rsidP="004E582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30 May 2018</w:t>
            </w:r>
          </w:p>
        </w:tc>
      </w:tr>
      <w:tr w:rsidR="004E5825" w14:paraId="0655AA96" w14:textId="77777777" w:rsidTr="00AA50EB">
        <w:trPr>
          <w:trHeight w:hRule="exact" w:val="689"/>
        </w:trPr>
        <w:tc>
          <w:tcPr>
            <w:tcW w:w="6096" w:type="dxa"/>
            <w:shd w:val="clear" w:color="auto" w:fill="auto"/>
            <w:vAlign w:val="center"/>
          </w:tcPr>
          <w:p w14:paraId="7A769D79" w14:textId="7AF371A5" w:rsidR="004E5825" w:rsidRDefault="004E5825" w:rsidP="004E5825">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Pregnancy warning labels on packaged alcoholic beverages</w:t>
            </w:r>
          </w:p>
        </w:tc>
        <w:tc>
          <w:tcPr>
            <w:tcW w:w="2268" w:type="dxa"/>
            <w:shd w:val="clear" w:color="auto" w:fill="auto"/>
            <w:vAlign w:val="center"/>
          </w:tcPr>
          <w:p w14:paraId="33842E3C" w14:textId="3E01480B" w:rsidR="004E5825" w:rsidRDefault="004E5825" w:rsidP="004E582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Australian and New Zealand Ministerial Forum on Food Regulation</w:t>
            </w:r>
          </w:p>
        </w:tc>
        <w:tc>
          <w:tcPr>
            <w:tcW w:w="1332" w:type="dxa"/>
            <w:vAlign w:val="center"/>
          </w:tcPr>
          <w:p w14:paraId="70EE7043" w14:textId="17143D7E" w:rsidR="004E5825" w:rsidRDefault="004E5825" w:rsidP="004E582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14 June 2018</w:t>
            </w:r>
          </w:p>
        </w:tc>
      </w:tr>
      <w:tr w:rsidR="004E5825" w14:paraId="260620DD" w14:textId="77777777" w:rsidTr="00AA50EB">
        <w:trPr>
          <w:trHeight w:hRule="exact" w:val="689"/>
        </w:trPr>
        <w:tc>
          <w:tcPr>
            <w:tcW w:w="6096" w:type="dxa"/>
            <w:shd w:val="clear" w:color="auto" w:fill="auto"/>
            <w:vAlign w:val="center"/>
          </w:tcPr>
          <w:p w14:paraId="5E2ADF5E" w14:textId="542776C8" w:rsidR="004E5825" w:rsidRDefault="004E5825" w:rsidP="004E5825">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Safety assurance for automated driving systems</w:t>
            </w:r>
          </w:p>
        </w:tc>
        <w:tc>
          <w:tcPr>
            <w:tcW w:w="2268" w:type="dxa"/>
            <w:shd w:val="clear" w:color="auto" w:fill="auto"/>
            <w:vAlign w:val="center"/>
          </w:tcPr>
          <w:p w14:paraId="2DC7EEA5" w14:textId="0904AEDA" w:rsidR="004E5825" w:rsidRDefault="004E5825" w:rsidP="004E582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National Transport Commission</w:t>
            </w:r>
          </w:p>
        </w:tc>
        <w:tc>
          <w:tcPr>
            <w:tcW w:w="1332" w:type="dxa"/>
            <w:vAlign w:val="center"/>
          </w:tcPr>
          <w:p w14:paraId="6A1AED15" w14:textId="13B48CA8" w:rsidR="004E5825" w:rsidRDefault="004E5825" w:rsidP="004E582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9 July 2018</w:t>
            </w:r>
          </w:p>
        </w:tc>
      </w:tr>
      <w:tr w:rsidR="004E5825" w14:paraId="34142CBF" w14:textId="77777777" w:rsidTr="00AA50EB">
        <w:trPr>
          <w:trHeight w:hRule="exact" w:val="689"/>
        </w:trPr>
        <w:tc>
          <w:tcPr>
            <w:tcW w:w="6096" w:type="dxa"/>
            <w:shd w:val="clear" w:color="auto" w:fill="auto"/>
            <w:vAlign w:val="center"/>
          </w:tcPr>
          <w:p w14:paraId="24D8DEA4" w14:textId="0505583B" w:rsidR="004E5825" w:rsidRDefault="004E5825" w:rsidP="004E5825">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National Energy Guarantee</w:t>
            </w:r>
          </w:p>
        </w:tc>
        <w:tc>
          <w:tcPr>
            <w:tcW w:w="2268" w:type="dxa"/>
            <w:shd w:val="clear" w:color="auto" w:fill="auto"/>
            <w:vAlign w:val="center"/>
          </w:tcPr>
          <w:p w14:paraId="2EE1F140" w14:textId="391695CB" w:rsidR="004E5825" w:rsidRDefault="004E5825" w:rsidP="004E582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COAG Energy Council</w:t>
            </w:r>
          </w:p>
        </w:tc>
        <w:tc>
          <w:tcPr>
            <w:tcW w:w="1332" w:type="dxa"/>
            <w:vAlign w:val="center"/>
          </w:tcPr>
          <w:p w14:paraId="2CF0FC84" w14:textId="327D55BA" w:rsidR="004E5825" w:rsidRDefault="004E5825" w:rsidP="004E582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20 July 2018</w:t>
            </w:r>
          </w:p>
        </w:tc>
      </w:tr>
    </w:tbl>
    <w:p w14:paraId="6939F9E0" w14:textId="77777777" w:rsidR="004E5825" w:rsidRDefault="004E5825" w:rsidP="003A2C90">
      <w:pPr>
        <w:rPr>
          <w:b/>
        </w:rPr>
      </w:pPr>
      <w:bookmarkStart w:id="311" w:name="_Toc432175913"/>
    </w:p>
    <w:p w14:paraId="1C8BA0FA" w14:textId="77777777" w:rsidR="004E5825" w:rsidRDefault="004E5825" w:rsidP="003A2C90">
      <w:pPr>
        <w:rPr>
          <w:b/>
        </w:rPr>
      </w:pPr>
    </w:p>
    <w:p w14:paraId="4E587F4E" w14:textId="77777777" w:rsidR="004E5825" w:rsidRDefault="004E5825" w:rsidP="003A2C90">
      <w:pPr>
        <w:rPr>
          <w:b/>
        </w:rPr>
      </w:pPr>
    </w:p>
    <w:p w14:paraId="6E770FA7" w14:textId="77777777" w:rsidR="004E5825" w:rsidRDefault="004E5825" w:rsidP="003A2C90">
      <w:pPr>
        <w:rPr>
          <w:b/>
        </w:rPr>
      </w:pPr>
    </w:p>
    <w:p w14:paraId="2BB913A9" w14:textId="72FCFCB1" w:rsidR="003A2C90" w:rsidRPr="00DF2CC5" w:rsidRDefault="00325635" w:rsidP="003A2C90">
      <w:pPr>
        <w:rPr>
          <w:i/>
        </w:rPr>
      </w:pPr>
      <w:r>
        <w:rPr>
          <w:b/>
        </w:rPr>
        <w:lastRenderedPageBreak/>
        <w:t>T</w:t>
      </w:r>
      <w:r w:rsidR="001A5C44">
        <w:rPr>
          <w:b/>
        </w:rPr>
        <w:t xml:space="preserve">icket Reselling </w:t>
      </w:r>
      <w:r w:rsidR="003A2C90">
        <w:rPr>
          <w:b/>
        </w:rPr>
        <w:t xml:space="preserve"> </w:t>
      </w:r>
      <w:r w:rsidR="003A2C90">
        <w:rPr>
          <w:i/>
        </w:rPr>
        <w:t>(</w:t>
      </w:r>
      <w:r w:rsidR="001A5C44">
        <w:rPr>
          <w:i/>
        </w:rPr>
        <w:t>Legislative and Governance Forom on Consumer Affairs</w:t>
      </w:r>
      <w:r w:rsidR="003A2C90">
        <w:rPr>
          <w:i/>
        </w:rPr>
        <w:t>l</w:t>
      </w:r>
      <w:r w:rsidR="003A2C90" w:rsidRPr="00DF2CC5">
        <w:rPr>
          <w:i/>
        </w:rPr>
        <w:t>)</w:t>
      </w:r>
    </w:p>
    <w:p w14:paraId="2BB913AA" w14:textId="313BC107" w:rsidR="001A5C44" w:rsidRDefault="003A2C90" w:rsidP="003A2C90">
      <w:pPr>
        <w:rPr>
          <w:rFonts w:cs="Arial"/>
          <w:szCs w:val="22"/>
          <w:lang w:eastAsia="en-AU"/>
        </w:rPr>
      </w:pPr>
      <w:r>
        <w:rPr>
          <w:rFonts w:cs="Arial"/>
          <w:szCs w:val="22"/>
          <w:lang w:eastAsia="en-AU"/>
        </w:rPr>
        <w:t xml:space="preserve">The </w:t>
      </w:r>
      <w:r w:rsidR="001A5C44">
        <w:rPr>
          <w:rFonts w:cs="Arial"/>
          <w:szCs w:val="22"/>
          <w:lang w:eastAsia="en-AU"/>
        </w:rPr>
        <w:t>Legislative and Governance Forum on Co</w:t>
      </w:r>
      <w:r w:rsidR="000C6D16">
        <w:rPr>
          <w:rFonts w:cs="Arial"/>
          <w:szCs w:val="22"/>
          <w:lang w:eastAsia="en-AU"/>
        </w:rPr>
        <w:t>nsumer Affairs released a COAG C</w:t>
      </w:r>
      <w:r w:rsidR="001A5C44">
        <w:rPr>
          <w:rFonts w:cs="Arial"/>
          <w:szCs w:val="22"/>
          <w:lang w:eastAsia="en-AU"/>
        </w:rPr>
        <w:t>onsultation RIS exploring possible options to reduce consumer detriment arising from ticket reselling for live performance and sporting events in Australia.</w:t>
      </w:r>
    </w:p>
    <w:p w14:paraId="2BB913AB" w14:textId="1459097D" w:rsidR="003A2C90" w:rsidRDefault="003A2C90" w:rsidP="00460AFB">
      <w:pPr>
        <w:spacing w:after="240"/>
        <w:rPr>
          <w:rFonts w:cs="Arial"/>
          <w:szCs w:val="22"/>
          <w:lang w:eastAsia="en-AU"/>
        </w:rPr>
      </w:pPr>
      <w:r>
        <w:rPr>
          <w:rFonts w:cs="Arial"/>
          <w:szCs w:val="22"/>
          <w:lang w:eastAsia="en-AU"/>
        </w:rPr>
        <w:t>Published: 1</w:t>
      </w:r>
      <w:r w:rsidR="001A5C44">
        <w:rPr>
          <w:rFonts w:cs="Arial"/>
          <w:szCs w:val="22"/>
          <w:lang w:eastAsia="en-AU"/>
        </w:rPr>
        <w:t>6</w:t>
      </w:r>
      <w:r>
        <w:rPr>
          <w:rFonts w:cs="Arial"/>
          <w:szCs w:val="22"/>
          <w:lang w:eastAsia="en-AU"/>
        </w:rPr>
        <w:t xml:space="preserve"> </w:t>
      </w:r>
      <w:r w:rsidR="001A5C44">
        <w:rPr>
          <w:rFonts w:cs="Arial"/>
          <w:szCs w:val="22"/>
          <w:lang w:eastAsia="en-AU"/>
        </w:rPr>
        <w:t xml:space="preserve">November </w:t>
      </w:r>
      <w:r>
        <w:rPr>
          <w:rFonts w:cs="Arial"/>
          <w:szCs w:val="22"/>
          <w:lang w:eastAsia="en-AU"/>
        </w:rPr>
        <w:t>201</w:t>
      </w:r>
      <w:r w:rsidR="009818C3">
        <w:rPr>
          <w:rFonts w:cs="Arial"/>
          <w:szCs w:val="22"/>
          <w:lang w:eastAsia="en-AU"/>
        </w:rPr>
        <w:t>7</w:t>
      </w:r>
    </w:p>
    <w:p w14:paraId="2BB913AC" w14:textId="44B3F9EB" w:rsidR="003D2153" w:rsidRPr="00DF2CC5" w:rsidRDefault="001A5C44" w:rsidP="003D2153">
      <w:pPr>
        <w:rPr>
          <w:i/>
        </w:rPr>
      </w:pPr>
      <w:r>
        <w:rPr>
          <w:b/>
        </w:rPr>
        <w:t xml:space="preserve">Paper Billing </w:t>
      </w:r>
      <w:r w:rsidR="003D2153">
        <w:rPr>
          <w:i/>
        </w:rPr>
        <w:t>(</w:t>
      </w:r>
      <w:r w:rsidR="00C0282A" w:rsidRPr="00C0282A">
        <w:rPr>
          <w:i/>
        </w:rPr>
        <w:t>Legislative and Governance Forum on Consumer Affair</w:t>
      </w:r>
      <w:r w:rsidR="00C0282A">
        <w:rPr>
          <w:i/>
        </w:rPr>
        <w:t xml:space="preserve">s) </w:t>
      </w:r>
    </w:p>
    <w:p w14:paraId="2BB913AD" w14:textId="2E69F9FE" w:rsidR="003D2153" w:rsidRPr="00CB7154" w:rsidRDefault="003D2153" w:rsidP="003D2153">
      <w:pPr>
        <w:rPr>
          <w:rFonts w:cs="Arial"/>
          <w:szCs w:val="22"/>
          <w:lang w:eastAsia="en-AU"/>
        </w:rPr>
      </w:pPr>
      <w:r>
        <w:rPr>
          <w:rFonts w:cs="Arial"/>
          <w:szCs w:val="22"/>
          <w:lang w:eastAsia="en-AU"/>
        </w:rPr>
        <w:t xml:space="preserve">The </w:t>
      </w:r>
      <w:r w:rsidR="001A5C44">
        <w:rPr>
          <w:rFonts w:cs="Arial"/>
          <w:szCs w:val="22"/>
          <w:lang w:eastAsia="en-AU"/>
        </w:rPr>
        <w:t xml:space="preserve">Department of </w:t>
      </w:r>
      <w:r w:rsidR="00C0282A">
        <w:rPr>
          <w:rFonts w:cs="Arial"/>
          <w:szCs w:val="22"/>
          <w:lang w:eastAsia="en-AU"/>
        </w:rPr>
        <w:t>the Treasury released on behalf</w:t>
      </w:r>
      <w:r w:rsidR="001A5C44">
        <w:rPr>
          <w:rFonts w:cs="Arial"/>
          <w:szCs w:val="22"/>
          <w:lang w:eastAsia="en-AU"/>
        </w:rPr>
        <w:t xml:space="preserve"> of the </w:t>
      </w:r>
      <w:r w:rsidR="00C0282A" w:rsidRPr="00C0282A">
        <w:rPr>
          <w:rFonts w:cs="Arial"/>
          <w:szCs w:val="22"/>
          <w:lang w:eastAsia="en-AU"/>
        </w:rPr>
        <w:t xml:space="preserve">Legislative and Governance Forum on Consumer Affairs </w:t>
      </w:r>
      <w:r w:rsidR="00C0282A">
        <w:rPr>
          <w:rFonts w:cs="Arial"/>
          <w:szCs w:val="22"/>
          <w:lang w:eastAsia="en-AU"/>
        </w:rPr>
        <w:t>a COAG C</w:t>
      </w:r>
      <w:r w:rsidR="001A5C44">
        <w:rPr>
          <w:rFonts w:cs="Arial"/>
          <w:szCs w:val="22"/>
          <w:lang w:eastAsia="en-AU"/>
        </w:rPr>
        <w:t>onsultation RIS exploring possible options to improve outcomes  and protections for consumers who pay paper billing fees.</w:t>
      </w:r>
      <w:r>
        <w:rPr>
          <w:rFonts w:cs="Arial"/>
          <w:szCs w:val="22"/>
          <w:lang w:eastAsia="en-AU"/>
        </w:rPr>
        <w:t xml:space="preserve"> </w:t>
      </w:r>
    </w:p>
    <w:p w14:paraId="2BB913AE" w14:textId="5DDE605E" w:rsidR="003D2153" w:rsidRDefault="003D2153" w:rsidP="00460AFB">
      <w:pPr>
        <w:spacing w:after="240"/>
        <w:rPr>
          <w:rFonts w:cs="Arial"/>
          <w:szCs w:val="22"/>
          <w:lang w:eastAsia="en-AU"/>
        </w:rPr>
      </w:pPr>
      <w:r>
        <w:rPr>
          <w:rFonts w:cs="Arial"/>
          <w:szCs w:val="22"/>
          <w:lang w:eastAsia="en-AU"/>
        </w:rPr>
        <w:t xml:space="preserve">Published: </w:t>
      </w:r>
      <w:r w:rsidR="001A5C44">
        <w:rPr>
          <w:rFonts w:cs="Arial"/>
          <w:szCs w:val="22"/>
          <w:lang w:eastAsia="en-AU"/>
        </w:rPr>
        <w:t>2</w:t>
      </w:r>
      <w:r>
        <w:rPr>
          <w:rFonts w:cs="Arial"/>
          <w:szCs w:val="22"/>
          <w:lang w:eastAsia="en-AU"/>
        </w:rPr>
        <w:t xml:space="preserve">1 </w:t>
      </w:r>
      <w:r w:rsidR="001A5C44">
        <w:rPr>
          <w:rFonts w:cs="Arial"/>
          <w:szCs w:val="22"/>
          <w:lang w:eastAsia="en-AU"/>
        </w:rPr>
        <w:t>Nov</w:t>
      </w:r>
      <w:r w:rsidR="006D1036">
        <w:rPr>
          <w:rFonts w:cs="Arial"/>
          <w:szCs w:val="22"/>
          <w:lang w:eastAsia="en-AU"/>
        </w:rPr>
        <w:t>e</w:t>
      </w:r>
      <w:r w:rsidR="001A5C44">
        <w:rPr>
          <w:rFonts w:cs="Arial"/>
          <w:szCs w:val="22"/>
          <w:lang w:eastAsia="en-AU"/>
        </w:rPr>
        <w:t>mber</w:t>
      </w:r>
      <w:r>
        <w:rPr>
          <w:rFonts w:cs="Arial"/>
          <w:szCs w:val="22"/>
          <w:lang w:eastAsia="en-AU"/>
        </w:rPr>
        <w:t xml:space="preserve"> 201</w:t>
      </w:r>
      <w:r w:rsidR="009818C3">
        <w:rPr>
          <w:rFonts w:cs="Arial"/>
          <w:szCs w:val="22"/>
          <w:lang w:eastAsia="en-AU"/>
        </w:rPr>
        <w:t>7</w:t>
      </w:r>
    </w:p>
    <w:p w14:paraId="2BB913B0" w14:textId="77777777" w:rsidR="00755EB9" w:rsidRPr="00DF2CC5" w:rsidRDefault="00912D0C" w:rsidP="00755EB9">
      <w:pPr>
        <w:rPr>
          <w:i/>
        </w:rPr>
      </w:pPr>
      <w:r w:rsidRPr="00912D0C">
        <w:rPr>
          <w:b/>
        </w:rPr>
        <w:t xml:space="preserve">Australian Capital Territory Container Deposit Scheme </w:t>
      </w:r>
      <w:r w:rsidR="00755EB9">
        <w:rPr>
          <w:i/>
        </w:rPr>
        <w:t>(</w:t>
      </w:r>
      <w:r w:rsidRPr="00912D0C">
        <w:rPr>
          <w:i/>
        </w:rPr>
        <w:t>Transport Canberra and City Services Directorate</w:t>
      </w:r>
      <w:r w:rsidR="00755EB9" w:rsidRPr="00DF2CC5">
        <w:rPr>
          <w:i/>
        </w:rPr>
        <w:t>)</w:t>
      </w:r>
    </w:p>
    <w:p w14:paraId="2BB913B1" w14:textId="71A10F7A" w:rsidR="00912D0C" w:rsidRDefault="00912D0C" w:rsidP="00755EB9">
      <w:pPr>
        <w:rPr>
          <w:rFonts w:cs="Arial"/>
          <w:szCs w:val="22"/>
          <w:lang w:eastAsia="en-AU"/>
        </w:rPr>
      </w:pPr>
      <w:r w:rsidRPr="00912D0C">
        <w:rPr>
          <w:rFonts w:cs="Arial"/>
          <w:szCs w:val="22"/>
          <w:lang w:eastAsia="en-AU"/>
        </w:rPr>
        <w:t xml:space="preserve">The Transport Canberra and City Services Directorate (TCCS) of the Australian Capital Territory (ACT) Government has released </w:t>
      </w:r>
      <w:r w:rsidR="00C0282A">
        <w:rPr>
          <w:rFonts w:cs="Arial"/>
          <w:szCs w:val="22"/>
          <w:lang w:eastAsia="en-AU"/>
        </w:rPr>
        <w:t>COAG C</w:t>
      </w:r>
      <w:r w:rsidR="00060B89">
        <w:rPr>
          <w:rFonts w:cs="Arial"/>
          <w:szCs w:val="22"/>
          <w:lang w:eastAsia="en-AU"/>
        </w:rPr>
        <w:t xml:space="preserve">onsultation RIS </w:t>
      </w:r>
      <w:r w:rsidRPr="00912D0C">
        <w:rPr>
          <w:rFonts w:cs="Arial"/>
          <w:szCs w:val="22"/>
          <w:lang w:eastAsia="en-AU"/>
        </w:rPr>
        <w:t xml:space="preserve">examining permanent exemption from mutual recognition arrangements for the ACT Container Deposit Scheme (CDS). </w:t>
      </w:r>
    </w:p>
    <w:p w14:paraId="2BB913B2" w14:textId="37CDC22E" w:rsidR="00755EB9" w:rsidRPr="00721FC8" w:rsidRDefault="00755EB9" w:rsidP="00460AFB">
      <w:pPr>
        <w:spacing w:after="240"/>
        <w:rPr>
          <w:rFonts w:cs="Arial"/>
          <w:szCs w:val="22"/>
          <w:lang w:eastAsia="en-AU"/>
        </w:rPr>
      </w:pPr>
      <w:r>
        <w:rPr>
          <w:rFonts w:cs="Arial"/>
          <w:szCs w:val="22"/>
          <w:lang w:eastAsia="en-AU"/>
        </w:rPr>
        <w:t xml:space="preserve">Published: </w:t>
      </w:r>
      <w:r w:rsidR="003F01BE">
        <w:rPr>
          <w:rFonts w:cs="Arial"/>
          <w:szCs w:val="22"/>
          <w:lang w:eastAsia="en-AU"/>
        </w:rPr>
        <w:t>15 December 2017</w:t>
      </w:r>
    </w:p>
    <w:p w14:paraId="2BB913B3" w14:textId="77777777" w:rsidR="00665043" w:rsidRPr="00DF2CC5" w:rsidRDefault="00912D0C" w:rsidP="00665043">
      <w:pPr>
        <w:rPr>
          <w:i/>
        </w:rPr>
      </w:pPr>
      <w:r w:rsidRPr="00912D0C">
        <w:rPr>
          <w:b/>
        </w:rPr>
        <w:t>National Phase Out of Perfluorooctane sulfonic acid (PFOS)</w:t>
      </w:r>
      <w:r w:rsidR="00665043">
        <w:rPr>
          <w:b/>
        </w:rPr>
        <w:t xml:space="preserve"> </w:t>
      </w:r>
      <w:r w:rsidR="00060B89">
        <w:rPr>
          <w:i/>
        </w:rPr>
        <w:t>(</w:t>
      </w:r>
      <w:r w:rsidR="00060B89" w:rsidRPr="00060B89">
        <w:rPr>
          <w:i/>
        </w:rPr>
        <w:t>Department of the Environment and Energy</w:t>
      </w:r>
      <w:r w:rsidR="00665043" w:rsidRPr="00DF2CC5">
        <w:rPr>
          <w:i/>
        </w:rPr>
        <w:t>)</w:t>
      </w:r>
    </w:p>
    <w:p w14:paraId="2BB913B4" w14:textId="3AB61150" w:rsidR="00665043" w:rsidRPr="00CB7154" w:rsidRDefault="00060B89" w:rsidP="00665043">
      <w:pPr>
        <w:rPr>
          <w:rFonts w:cs="Arial"/>
          <w:szCs w:val="22"/>
          <w:lang w:eastAsia="en-AU"/>
        </w:rPr>
      </w:pPr>
      <w:r>
        <w:rPr>
          <w:rFonts w:cs="Arial"/>
          <w:szCs w:val="22"/>
          <w:lang w:eastAsia="en-AU"/>
        </w:rPr>
        <w:t xml:space="preserve">The Department of the Environment and Energy released a </w:t>
      </w:r>
      <w:r w:rsidR="00C0282A">
        <w:rPr>
          <w:rFonts w:cs="Arial"/>
          <w:szCs w:val="22"/>
          <w:lang w:eastAsia="en-AU"/>
        </w:rPr>
        <w:t>COAG Consultation</w:t>
      </w:r>
      <w:r>
        <w:rPr>
          <w:rFonts w:cs="Arial"/>
          <w:szCs w:val="22"/>
          <w:lang w:eastAsia="en-AU"/>
        </w:rPr>
        <w:t xml:space="preserve"> RIS proposing a national approach to manage PFOS chemicals to minimise future emissions in accordance with the standards established by the Stockholm Convention.</w:t>
      </w:r>
    </w:p>
    <w:p w14:paraId="2BB913B5" w14:textId="77777777" w:rsidR="00665043" w:rsidRPr="00721FC8" w:rsidRDefault="00665043" w:rsidP="00460AFB">
      <w:pPr>
        <w:spacing w:after="240"/>
        <w:rPr>
          <w:rFonts w:cs="Arial"/>
          <w:szCs w:val="22"/>
          <w:lang w:eastAsia="en-AU"/>
        </w:rPr>
      </w:pPr>
      <w:r>
        <w:rPr>
          <w:rFonts w:cs="Arial"/>
          <w:szCs w:val="22"/>
          <w:lang w:eastAsia="en-AU"/>
        </w:rPr>
        <w:t xml:space="preserve">Published: </w:t>
      </w:r>
      <w:r w:rsidR="00060B89">
        <w:rPr>
          <w:rFonts w:cs="Arial"/>
          <w:szCs w:val="22"/>
          <w:lang w:eastAsia="en-AU"/>
        </w:rPr>
        <w:t>24</w:t>
      </w:r>
      <w:r>
        <w:rPr>
          <w:rFonts w:cs="Arial"/>
          <w:szCs w:val="22"/>
          <w:lang w:eastAsia="en-AU"/>
        </w:rPr>
        <w:t xml:space="preserve"> </w:t>
      </w:r>
      <w:r w:rsidR="00060B89">
        <w:rPr>
          <w:rFonts w:cs="Arial"/>
          <w:szCs w:val="22"/>
          <w:lang w:eastAsia="en-AU"/>
        </w:rPr>
        <w:t>October</w:t>
      </w:r>
      <w:r>
        <w:rPr>
          <w:rFonts w:cs="Arial"/>
          <w:szCs w:val="22"/>
          <w:lang w:eastAsia="en-AU"/>
        </w:rPr>
        <w:t xml:space="preserve"> </w:t>
      </w:r>
      <w:r w:rsidR="00060B89">
        <w:rPr>
          <w:rFonts w:cs="Arial"/>
          <w:szCs w:val="22"/>
          <w:lang w:eastAsia="en-AU"/>
        </w:rPr>
        <w:t>2</w:t>
      </w:r>
      <w:r>
        <w:rPr>
          <w:rFonts w:cs="Arial"/>
          <w:szCs w:val="22"/>
          <w:lang w:eastAsia="en-AU"/>
        </w:rPr>
        <w:t>01</w:t>
      </w:r>
      <w:r w:rsidR="00060B89">
        <w:rPr>
          <w:rFonts w:cs="Arial"/>
          <w:szCs w:val="22"/>
          <w:lang w:eastAsia="en-AU"/>
        </w:rPr>
        <w:t>7</w:t>
      </w:r>
    </w:p>
    <w:p w14:paraId="2BB913B6" w14:textId="77777777" w:rsidR="00A315FD" w:rsidRPr="00DF2CC5" w:rsidRDefault="004C7E63" w:rsidP="00A315FD">
      <w:pPr>
        <w:rPr>
          <w:i/>
        </w:rPr>
      </w:pPr>
      <w:r w:rsidRPr="004C7E63">
        <w:rPr>
          <w:b/>
        </w:rPr>
        <w:t xml:space="preserve">Accessible adult change facilities in public building </w:t>
      </w:r>
      <w:r w:rsidR="00A315FD">
        <w:rPr>
          <w:i/>
        </w:rPr>
        <w:t>(</w:t>
      </w:r>
      <w:r w:rsidR="00F91E27" w:rsidRPr="00F91E27">
        <w:rPr>
          <w:i/>
        </w:rPr>
        <w:t>The Australian Building Codes Board</w:t>
      </w:r>
      <w:r w:rsidR="00A315FD" w:rsidRPr="00DF2CC5">
        <w:rPr>
          <w:i/>
        </w:rPr>
        <w:t>)</w:t>
      </w:r>
    </w:p>
    <w:p w14:paraId="2BB913B7" w14:textId="661EF53E" w:rsidR="00A315FD" w:rsidRPr="00CB7154" w:rsidRDefault="00A315FD" w:rsidP="00A315FD">
      <w:pPr>
        <w:rPr>
          <w:rFonts w:cs="Arial"/>
          <w:szCs w:val="22"/>
          <w:lang w:eastAsia="en-AU"/>
        </w:rPr>
      </w:pPr>
      <w:r>
        <w:rPr>
          <w:rFonts w:cs="Arial"/>
          <w:szCs w:val="22"/>
          <w:lang w:eastAsia="en-AU"/>
        </w:rPr>
        <w:t xml:space="preserve">The Australian </w:t>
      </w:r>
      <w:r w:rsidR="00F91E27">
        <w:rPr>
          <w:rFonts w:cs="Arial"/>
          <w:szCs w:val="22"/>
          <w:lang w:eastAsia="en-AU"/>
        </w:rPr>
        <w:t xml:space="preserve">Building Codes Board released </w:t>
      </w:r>
      <w:r>
        <w:rPr>
          <w:rFonts w:cs="Arial"/>
          <w:szCs w:val="22"/>
          <w:lang w:eastAsia="en-AU"/>
        </w:rPr>
        <w:t xml:space="preserve">a COAG Consultation RIS </w:t>
      </w:r>
      <w:r w:rsidR="00F91E27">
        <w:rPr>
          <w:rFonts w:cs="Arial"/>
          <w:szCs w:val="22"/>
          <w:lang w:eastAsia="en-AU"/>
        </w:rPr>
        <w:t xml:space="preserve">investigating the need for accessible adult change facilities </w:t>
      </w:r>
      <w:r w:rsidR="008B05F1">
        <w:rPr>
          <w:rFonts w:cs="Arial"/>
          <w:szCs w:val="22"/>
          <w:lang w:eastAsia="en-AU"/>
        </w:rPr>
        <w:t xml:space="preserve">in public buildings </w:t>
      </w:r>
      <w:r w:rsidR="00F91E27">
        <w:rPr>
          <w:rFonts w:cs="Arial"/>
          <w:szCs w:val="22"/>
          <w:lang w:eastAsia="en-AU"/>
        </w:rPr>
        <w:t>for people with disabilities</w:t>
      </w:r>
      <w:r w:rsidR="008B05F1">
        <w:rPr>
          <w:rFonts w:cs="Arial"/>
          <w:szCs w:val="22"/>
          <w:lang w:eastAsia="en-AU"/>
        </w:rPr>
        <w:t>.</w:t>
      </w:r>
      <w:r w:rsidR="00F91E27">
        <w:rPr>
          <w:rFonts w:cs="Arial"/>
          <w:szCs w:val="22"/>
          <w:lang w:eastAsia="en-AU"/>
        </w:rPr>
        <w:t xml:space="preserve"> </w:t>
      </w:r>
    </w:p>
    <w:p w14:paraId="2BB913B8" w14:textId="5AC06AE3" w:rsidR="00A315FD" w:rsidRPr="00721FC8" w:rsidRDefault="00A315FD" w:rsidP="00460AFB">
      <w:pPr>
        <w:spacing w:after="240"/>
        <w:rPr>
          <w:rFonts w:cs="Arial"/>
          <w:szCs w:val="22"/>
          <w:lang w:eastAsia="en-AU"/>
        </w:rPr>
      </w:pPr>
      <w:r>
        <w:rPr>
          <w:rFonts w:cs="Arial"/>
          <w:szCs w:val="22"/>
          <w:lang w:eastAsia="en-AU"/>
        </w:rPr>
        <w:t>Published: 2</w:t>
      </w:r>
      <w:r w:rsidR="00193FEE">
        <w:rPr>
          <w:rFonts w:cs="Arial"/>
          <w:szCs w:val="22"/>
          <w:lang w:eastAsia="en-AU"/>
        </w:rPr>
        <w:t xml:space="preserve"> March 2018</w:t>
      </w:r>
    </w:p>
    <w:bookmarkEnd w:id="311"/>
    <w:p w14:paraId="2BB913B9" w14:textId="77777777" w:rsidR="00912D0C" w:rsidRPr="00DF2CC5" w:rsidRDefault="00A33EBB" w:rsidP="00912D0C">
      <w:pPr>
        <w:rPr>
          <w:i/>
        </w:rPr>
      </w:pPr>
      <w:r w:rsidRPr="00A33EBB">
        <w:rPr>
          <w:b/>
        </w:rPr>
        <w:t xml:space="preserve">Fire safety in new Class 2 and Class 3 residential buildings </w:t>
      </w:r>
      <w:r w:rsidR="00EC2AC1" w:rsidRPr="00EC2AC1">
        <w:rPr>
          <w:i/>
        </w:rPr>
        <w:t>(The Australian Building Codes Board)</w:t>
      </w:r>
    </w:p>
    <w:p w14:paraId="2BB913BA" w14:textId="77777777" w:rsidR="00A33EBB" w:rsidRDefault="00A33EBB" w:rsidP="00912D0C">
      <w:pPr>
        <w:rPr>
          <w:rFonts w:cs="Arial"/>
          <w:szCs w:val="22"/>
          <w:lang w:eastAsia="en-AU"/>
        </w:rPr>
      </w:pPr>
      <w:r w:rsidRPr="00A33EBB">
        <w:rPr>
          <w:rFonts w:cs="Arial"/>
          <w:szCs w:val="22"/>
          <w:lang w:eastAsia="en-AU"/>
        </w:rPr>
        <w:t xml:space="preserve">The Australian Building Codes Board released a COAG Consultation RIS </w:t>
      </w:r>
      <w:r>
        <w:rPr>
          <w:rFonts w:cs="Arial"/>
          <w:szCs w:val="22"/>
          <w:lang w:eastAsia="en-AU"/>
        </w:rPr>
        <w:t xml:space="preserve">investigating whether the National Construction Code (NCC) Deemed-to-Satisfy (DtS) Provisions need to be revised to require fire sprinkler systems in new multi-story Class 2 and 3 residential buildings above 3 storeys in height. </w:t>
      </w:r>
      <w:r w:rsidR="00912D0C">
        <w:rPr>
          <w:rFonts w:cs="Arial"/>
          <w:szCs w:val="22"/>
          <w:lang w:eastAsia="en-AU"/>
        </w:rPr>
        <w:t xml:space="preserve"> </w:t>
      </w:r>
    </w:p>
    <w:p w14:paraId="2BB913BB" w14:textId="77777777" w:rsidR="00912D0C" w:rsidRPr="00721FC8" w:rsidRDefault="00912D0C" w:rsidP="00460AFB">
      <w:pPr>
        <w:spacing w:after="240"/>
        <w:rPr>
          <w:rFonts w:cs="Arial"/>
          <w:szCs w:val="22"/>
          <w:lang w:eastAsia="en-AU"/>
        </w:rPr>
      </w:pPr>
      <w:r>
        <w:rPr>
          <w:rFonts w:cs="Arial"/>
          <w:szCs w:val="22"/>
          <w:lang w:eastAsia="en-AU"/>
        </w:rPr>
        <w:t xml:space="preserve">Published: </w:t>
      </w:r>
      <w:r w:rsidR="00A33EBB">
        <w:rPr>
          <w:rFonts w:cs="Arial"/>
          <w:szCs w:val="22"/>
          <w:lang w:eastAsia="en-AU"/>
        </w:rPr>
        <w:t>2 March 2018</w:t>
      </w:r>
    </w:p>
    <w:p w14:paraId="2BB913BC" w14:textId="77777777" w:rsidR="00912D0C" w:rsidRPr="00DF2CC5" w:rsidRDefault="00EC2AC1" w:rsidP="00912D0C">
      <w:pPr>
        <w:rPr>
          <w:i/>
        </w:rPr>
      </w:pPr>
      <w:r w:rsidRPr="00EC2AC1">
        <w:rPr>
          <w:b/>
        </w:rPr>
        <w:lastRenderedPageBreak/>
        <w:t xml:space="preserve">Energy efficiency for residential buildings: Nationwide House Energy Rating Scheme (NatHERS) heating and cooling load limits </w:t>
      </w:r>
      <w:r w:rsidRPr="00EC2AC1">
        <w:rPr>
          <w:i/>
        </w:rPr>
        <w:t xml:space="preserve">(The Australian Building Codes Board) </w:t>
      </w:r>
    </w:p>
    <w:p w14:paraId="2BB913BD" w14:textId="77777777" w:rsidR="00EC2AC1" w:rsidRDefault="00EC2AC1" w:rsidP="00912D0C">
      <w:pPr>
        <w:rPr>
          <w:rFonts w:cs="Arial"/>
          <w:szCs w:val="22"/>
          <w:lang w:eastAsia="en-AU"/>
        </w:rPr>
      </w:pPr>
      <w:r w:rsidRPr="00A33EBB">
        <w:rPr>
          <w:rFonts w:cs="Arial"/>
          <w:szCs w:val="22"/>
          <w:lang w:eastAsia="en-AU"/>
        </w:rPr>
        <w:t>The Australian Building Codes Board released a COAG Consultation RIS</w:t>
      </w:r>
      <w:r>
        <w:rPr>
          <w:rFonts w:cs="Arial"/>
          <w:szCs w:val="22"/>
          <w:lang w:eastAsia="en-AU"/>
        </w:rPr>
        <w:t xml:space="preserve"> investigating options to facilitate efficient energy use in both summer and winter for some new residential buildings. </w:t>
      </w:r>
    </w:p>
    <w:p w14:paraId="2EF7E6C5" w14:textId="77777777" w:rsidR="0029437A" w:rsidRDefault="00912D0C" w:rsidP="0029437A">
      <w:pPr>
        <w:rPr>
          <w:b/>
        </w:rPr>
      </w:pPr>
      <w:r>
        <w:rPr>
          <w:rFonts w:cs="Arial"/>
          <w:szCs w:val="22"/>
          <w:lang w:eastAsia="en-AU"/>
        </w:rPr>
        <w:t xml:space="preserve">Published: </w:t>
      </w:r>
      <w:r w:rsidR="00EC2AC1">
        <w:rPr>
          <w:rFonts w:cs="Arial"/>
          <w:szCs w:val="22"/>
          <w:lang w:eastAsia="en-AU"/>
        </w:rPr>
        <w:t>2 March</w:t>
      </w:r>
      <w:r>
        <w:rPr>
          <w:rFonts w:cs="Arial"/>
          <w:szCs w:val="22"/>
          <w:lang w:eastAsia="en-AU"/>
        </w:rPr>
        <w:t xml:space="preserve"> 201</w:t>
      </w:r>
      <w:r w:rsidR="00EC2AC1">
        <w:rPr>
          <w:rFonts w:cs="Arial"/>
          <w:szCs w:val="22"/>
          <w:lang w:eastAsia="en-AU"/>
        </w:rPr>
        <w:t>8</w:t>
      </w:r>
      <w:r w:rsidR="0029437A" w:rsidRPr="0029437A">
        <w:rPr>
          <w:b/>
        </w:rPr>
        <w:t xml:space="preserve"> </w:t>
      </w:r>
    </w:p>
    <w:p w14:paraId="1ECEDDD8" w14:textId="52D420B7" w:rsidR="0029437A" w:rsidRPr="00DF2CC5" w:rsidRDefault="0029437A" w:rsidP="0029437A">
      <w:pPr>
        <w:rPr>
          <w:i/>
        </w:rPr>
      </w:pPr>
      <w:r w:rsidRPr="00EC2AC1">
        <w:rPr>
          <w:b/>
        </w:rPr>
        <w:t xml:space="preserve">Energy efficiency of commercial buildings </w:t>
      </w:r>
      <w:r w:rsidRPr="00EC2AC1">
        <w:rPr>
          <w:i/>
        </w:rPr>
        <w:t xml:space="preserve">(The Australian Building Codes Board) </w:t>
      </w:r>
    </w:p>
    <w:p w14:paraId="01216F67" w14:textId="77777777" w:rsidR="0029437A" w:rsidRDefault="0029437A" w:rsidP="0029437A">
      <w:pPr>
        <w:rPr>
          <w:rFonts w:cs="Arial"/>
          <w:szCs w:val="22"/>
          <w:lang w:eastAsia="en-AU"/>
        </w:rPr>
      </w:pPr>
      <w:r w:rsidRPr="00C62A44">
        <w:rPr>
          <w:rFonts w:cs="Arial"/>
          <w:szCs w:val="22"/>
          <w:lang w:eastAsia="en-AU"/>
        </w:rPr>
        <w:t>The Australian Building Codes Board released a COAG Consult</w:t>
      </w:r>
      <w:r>
        <w:rPr>
          <w:rFonts w:cs="Arial"/>
          <w:szCs w:val="22"/>
          <w:lang w:eastAsia="en-AU"/>
        </w:rPr>
        <w:t>ation RIS examining the impact of proposed changes to the energy efficiency requirements of the National Construction Code for commercial buildings (Class 3. 5-9 buildings and common areas of Class 2 buildings).</w:t>
      </w:r>
    </w:p>
    <w:p w14:paraId="1C82D514" w14:textId="77777777" w:rsidR="0029437A" w:rsidRDefault="0029437A" w:rsidP="0029437A">
      <w:pPr>
        <w:rPr>
          <w:b/>
        </w:rPr>
      </w:pPr>
      <w:r>
        <w:rPr>
          <w:rFonts w:cs="Arial"/>
          <w:szCs w:val="22"/>
          <w:lang w:eastAsia="en-AU"/>
        </w:rPr>
        <w:t>Published: 9 March 2018</w:t>
      </w:r>
      <w:r w:rsidRPr="0029437A">
        <w:rPr>
          <w:b/>
        </w:rPr>
        <w:t xml:space="preserve"> </w:t>
      </w:r>
    </w:p>
    <w:p w14:paraId="59529494" w14:textId="0088090C" w:rsidR="0029437A" w:rsidRPr="00DF2CC5" w:rsidRDefault="0029437A" w:rsidP="0029437A">
      <w:pPr>
        <w:rPr>
          <w:i/>
        </w:rPr>
      </w:pPr>
      <w:r w:rsidRPr="00C62A44">
        <w:rPr>
          <w:b/>
        </w:rPr>
        <w:t>Consumer guarantee framework amendments</w:t>
      </w:r>
      <w:r>
        <w:rPr>
          <w:b/>
        </w:rPr>
        <w:t xml:space="preserve"> </w:t>
      </w:r>
      <w:r w:rsidRPr="00EC2AC1">
        <w:rPr>
          <w:i/>
        </w:rPr>
        <w:t>(</w:t>
      </w:r>
      <w:r w:rsidRPr="00C62A44">
        <w:rPr>
          <w:i/>
        </w:rPr>
        <w:t>Legislative and Governance Forum on Consumer Affairs</w:t>
      </w:r>
      <w:r w:rsidRPr="00EC2AC1">
        <w:rPr>
          <w:i/>
        </w:rPr>
        <w:t xml:space="preserve">) </w:t>
      </w:r>
    </w:p>
    <w:p w14:paraId="501AD93E" w14:textId="77777777" w:rsidR="0029437A" w:rsidRDefault="0029437A" w:rsidP="0029437A">
      <w:pPr>
        <w:rPr>
          <w:rFonts w:cs="Arial"/>
          <w:szCs w:val="22"/>
          <w:lang w:eastAsia="en-AU"/>
        </w:rPr>
      </w:pPr>
      <w:r w:rsidRPr="00C62A44">
        <w:rPr>
          <w:rFonts w:cs="Arial"/>
          <w:szCs w:val="22"/>
          <w:lang w:eastAsia="en-AU"/>
        </w:rPr>
        <w:t xml:space="preserve">The </w:t>
      </w:r>
      <w:r w:rsidRPr="004D03B4">
        <w:rPr>
          <w:rFonts w:cs="Arial"/>
          <w:szCs w:val="22"/>
          <w:lang w:eastAsia="en-AU"/>
        </w:rPr>
        <w:t>Legislative and Governance Forum on Consumer Affairs</w:t>
      </w:r>
      <w:r w:rsidRPr="00C62A44">
        <w:rPr>
          <w:rFonts w:cs="Arial"/>
          <w:szCs w:val="22"/>
          <w:lang w:eastAsia="en-AU"/>
        </w:rPr>
        <w:t xml:space="preserve"> released a COAG Consult</w:t>
      </w:r>
      <w:r>
        <w:rPr>
          <w:rFonts w:cs="Arial"/>
          <w:szCs w:val="22"/>
          <w:lang w:eastAsia="en-AU"/>
        </w:rPr>
        <w:t xml:space="preserve">ation RIS examining possible options to amend the consumer guarantees within the Australian Consumer Law. </w:t>
      </w:r>
    </w:p>
    <w:p w14:paraId="310CF372" w14:textId="77777777" w:rsidR="0029437A" w:rsidRDefault="0029437A" w:rsidP="0029437A">
      <w:pPr>
        <w:spacing w:after="240"/>
        <w:rPr>
          <w:rFonts w:cs="Arial"/>
          <w:szCs w:val="22"/>
          <w:lang w:eastAsia="en-AU"/>
        </w:rPr>
      </w:pPr>
      <w:r>
        <w:rPr>
          <w:rFonts w:cs="Arial"/>
          <w:szCs w:val="22"/>
          <w:lang w:eastAsia="en-AU"/>
        </w:rPr>
        <w:t>Published: 9 March 2018</w:t>
      </w:r>
    </w:p>
    <w:p w14:paraId="145DDBD2" w14:textId="77777777" w:rsidR="0029437A" w:rsidRPr="00DF2CC5" w:rsidRDefault="0029437A" w:rsidP="0029437A">
      <w:pPr>
        <w:rPr>
          <w:i/>
        </w:rPr>
      </w:pPr>
      <w:r w:rsidRPr="001A4D2F">
        <w:rPr>
          <w:b/>
        </w:rPr>
        <w:t>Quad Bike Safety</w:t>
      </w:r>
      <w:r>
        <w:rPr>
          <w:b/>
        </w:rPr>
        <w:t xml:space="preserve"> </w:t>
      </w:r>
      <w:r w:rsidRPr="00EC2AC1">
        <w:rPr>
          <w:i/>
        </w:rPr>
        <w:t>(</w:t>
      </w:r>
      <w:r w:rsidRPr="001A4D2F">
        <w:rPr>
          <w:i/>
        </w:rPr>
        <w:t>Australian Competition and Consumer Commision</w:t>
      </w:r>
      <w:r w:rsidRPr="00EC2AC1">
        <w:rPr>
          <w:i/>
        </w:rPr>
        <w:t xml:space="preserve">) </w:t>
      </w:r>
    </w:p>
    <w:p w14:paraId="6FC6C51A" w14:textId="77777777" w:rsidR="0029437A" w:rsidRDefault="0029437A" w:rsidP="0029437A">
      <w:pPr>
        <w:rPr>
          <w:rFonts w:cs="Arial"/>
          <w:szCs w:val="22"/>
          <w:lang w:eastAsia="en-AU"/>
        </w:rPr>
      </w:pPr>
      <w:r w:rsidRPr="00C62A44">
        <w:rPr>
          <w:rFonts w:cs="Arial"/>
          <w:szCs w:val="22"/>
          <w:lang w:eastAsia="en-AU"/>
        </w:rPr>
        <w:t xml:space="preserve">The </w:t>
      </w:r>
      <w:r w:rsidRPr="00820E8E">
        <w:rPr>
          <w:rFonts w:cs="Arial"/>
          <w:szCs w:val="22"/>
          <w:lang w:eastAsia="en-AU"/>
        </w:rPr>
        <w:t xml:space="preserve">Australian Competition and Consumer Commision </w:t>
      </w:r>
      <w:r w:rsidRPr="00C62A44">
        <w:rPr>
          <w:rFonts w:cs="Arial"/>
          <w:szCs w:val="22"/>
          <w:lang w:eastAsia="en-AU"/>
        </w:rPr>
        <w:t>released a COAG Consult</w:t>
      </w:r>
      <w:r>
        <w:rPr>
          <w:rFonts w:cs="Arial"/>
          <w:szCs w:val="22"/>
          <w:lang w:eastAsia="en-AU"/>
        </w:rPr>
        <w:t>ation RIS examining measures to improve quad bike safety.</w:t>
      </w:r>
    </w:p>
    <w:p w14:paraId="37847107" w14:textId="77777777" w:rsidR="0029437A" w:rsidRPr="00460AFB" w:rsidRDefault="0029437A" w:rsidP="0029437A">
      <w:pPr>
        <w:spacing w:after="240"/>
        <w:rPr>
          <w:rFonts w:cs="Arial"/>
          <w:szCs w:val="22"/>
          <w:lang w:eastAsia="en-AU"/>
        </w:rPr>
      </w:pPr>
      <w:r>
        <w:rPr>
          <w:rFonts w:cs="Arial"/>
          <w:szCs w:val="22"/>
          <w:lang w:eastAsia="en-AU"/>
        </w:rPr>
        <w:t xml:space="preserve"> Published: 22 March 2018</w:t>
      </w:r>
    </w:p>
    <w:p w14:paraId="76B6509E" w14:textId="77777777" w:rsidR="004E5825" w:rsidRPr="00DF2CC5" w:rsidRDefault="004E5825" w:rsidP="004E5825">
      <w:pPr>
        <w:rPr>
          <w:i/>
        </w:rPr>
      </w:pPr>
      <w:r>
        <w:rPr>
          <w:b/>
        </w:rPr>
        <w:t xml:space="preserve">Gift Card expiry dates </w:t>
      </w:r>
      <w:r w:rsidRPr="00EC2AC1">
        <w:rPr>
          <w:i/>
        </w:rPr>
        <w:t>(</w:t>
      </w:r>
      <w:r>
        <w:rPr>
          <w:i/>
        </w:rPr>
        <w:t>Legislative and Governance Forum on Consumer Affairs</w:t>
      </w:r>
      <w:r w:rsidRPr="00EC2AC1">
        <w:rPr>
          <w:i/>
        </w:rPr>
        <w:t xml:space="preserve">) </w:t>
      </w:r>
    </w:p>
    <w:p w14:paraId="4B3FA9F8" w14:textId="77777777" w:rsidR="004E5825" w:rsidRDefault="004E5825" w:rsidP="004E5825">
      <w:pPr>
        <w:rPr>
          <w:rFonts w:cs="Arial"/>
          <w:szCs w:val="22"/>
          <w:lang w:eastAsia="en-AU"/>
        </w:rPr>
      </w:pPr>
      <w:r w:rsidRPr="00C62A44">
        <w:rPr>
          <w:rFonts w:cs="Arial"/>
          <w:szCs w:val="22"/>
          <w:lang w:eastAsia="en-AU"/>
        </w:rPr>
        <w:t xml:space="preserve">The </w:t>
      </w:r>
      <w:r w:rsidRPr="00820E8E">
        <w:rPr>
          <w:rFonts w:cs="Arial"/>
          <w:szCs w:val="22"/>
          <w:lang w:eastAsia="en-AU"/>
        </w:rPr>
        <w:t xml:space="preserve">Australian </w:t>
      </w:r>
      <w:r>
        <w:rPr>
          <w:rFonts w:cs="Arial"/>
          <w:szCs w:val="22"/>
          <w:lang w:eastAsia="en-AU"/>
        </w:rPr>
        <w:t xml:space="preserve">Government Deparment of the Treasury released a COAG Consultation RIS that explored options to regulate the expiry period of retail gift cards and vouchers. </w:t>
      </w:r>
    </w:p>
    <w:p w14:paraId="64687093" w14:textId="77777777" w:rsidR="004E5825" w:rsidRPr="00960A02" w:rsidRDefault="004E5825" w:rsidP="00460AFB">
      <w:pPr>
        <w:spacing w:after="240"/>
        <w:rPr>
          <w:rFonts w:cs="Arial"/>
          <w:szCs w:val="22"/>
          <w:lang w:eastAsia="en-AU"/>
        </w:rPr>
      </w:pPr>
      <w:r>
        <w:rPr>
          <w:rFonts w:cs="Arial"/>
          <w:szCs w:val="22"/>
          <w:lang w:eastAsia="en-AU"/>
        </w:rPr>
        <w:t xml:space="preserve"> Published: 2 May 2018</w:t>
      </w:r>
    </w:p>
    <w:p w14:paraId="15B39D4F" w14:textId="77777777" w:rsidR="004E5825" w:rsidRPr="00DF2CC5" w:rsidRDefault="004E5825" w:rsidP="004E5825">
      <w:pPr>
        <w:rPr>
          <w:i/>
        </w:rPr>
      </w:pPr>
      <w:r>
        <w:rPr>
          <w:b/>
        </w:rPr>
        <w:t xml:space="preserve">Pregnancy warning labels on packaged alcoholic beverages </w:t>
      </w:r>
      <w:r w:rsidRPr="00EC2AC1">
        <w:rPr>
          <w:i/>
        </w:rPr>
        <w:t>(</w:t>
      </w:r>
      <w:r>
        <w:rPr>
          <w:i/>
        </w:rPr>
        <w:t>Australia and New Zealand Ministerial Forum on Food Regulation</w:t>
      </w:r>
      <w:r w:rsidRPr="00EC2AC1">
        <w:rPr>
          <w:i/>
        </w:rPr>
        <w:t xml:space="preserve">) </w:t>
      </w:r>
    </w:p>
    <w:p w14:paraId="26A69460" w14:textId="67110D98" w:rsidR="004E5825" w:rsidRDefault="004E5825" w:rsidP="004E5825">
      <w:pPr>
        <w:rPr>
          <w:rFonts w:cs="Arial"/>
          <w:szCs w:val="22"/>
          <w:lang w:eastAsia="en-AU"/>
        </w:rPr>
      </w:pPr>
      <w:r w:rsidRPr="00C62A44">
        <w:rPr>
          <w:rFonts w:cs="Arial"/>
          <w:szCs w:val="22"/>
          <w:lang w:eastAsia="en-AU"/>
        </w:rPr>
        <w:t xml:space="preserve">The </w:t>
      </w:r>
      <w:r w:rsidRPr="00FE0850">
        <w:rPr>
          <w:rFonts w:cs="Arial"/>
          <w:szCs w:val="22"/>
          <w:lang w:eastAsia="en-AU"/>
        </w:rPr>
        <w:t xml:space="preserve">Australia and New Zealand Ministerial Forum on Food </w:t>
      </w:r>
      <w:r>
        <w:rPr>
          <w:rFonts w:cs="Arial"/>
          <w:szCs w:val="22"/>
          <w:lang w:eastAsia="en-AU"/>
        </w:rPr>
        <w:t>Regulati</w:t>
      </w:r>
      <w:r w:rsidR="00C0282A">
        <w:rPr>
          <w:rFonts w:cs="Arial"/>
          <w:szCs w:val="22"/>
          <w:lang w:eastAsia="en-AU"/>
        </w:rPr>
        <w:t>on (the Forum) released a COAG C</w:t>
      </w:r>
      <w:r>
        <w:rPr>
          <w:rFonts w:cs="Arial"/>
          <w:szCs w:val="22"/>
          <w:lang w:eastAsia="en-AU"/>
        </w:rPr>
        <w:t>onsultation RIS</w:t>
      </w:r>
      <w:r w:rsidRPr="00FE0850">
        <w:rPr>
          <w:rFonts w:cs="Arial"/>
          <w:szCs w:val="22"/>
          <w:lang w:eastAsia="en-AU"/>
        </w:rPr>
        <w:t xml:space="preserve"> on proposed regulatory and non-regulatory options for pregnancy warning labels on packaged alcoholic beverages. </w:t>
      </w:r>
      <w:r>
        <w:rPr>
          <w:rFonts w:cs="Arial"/>
          <w:szCs w:val="22"/>
          <w:lang w:eastAsia="en-AU"/>
        </w:rPr>
        <w:t>The</w:t>
      </w:r>
      <w:r w:rsidRPr="00FE0850">
        <w:rPr>
          <w:rFonts w:cs="Arial"/>
          <w:szCs w:val="22"/>
          <w:lang w:eastAsia="en-AU"/>
        </w:rPr>
        <w:t xml:space="preserve"> objective of the options being considered is to provide a clear and easy to understand trigger to remind pregnant women, at both the point of sale and the potential point of consumption, to not drink alcohol.  </w:t>
      </w:r>
    </w:p>
    <w:p w14:paraId="5F96F4F3" w14:textId="77777777" w:rsidR="004E5825" w:rsidRDefault="004E5825" w:rsidP="00460AFB">
      <w:pPr>
        <w:spacing w:after="240"/>
        <w:rPr>
          <w:rFonts w:cs="Arial"/>
          <w:szCs w:val="22"/>
          <w:lang w:eastAsia="en-AU"/>
        </w:rPr>
      </w:pPr>
      <w:r>
        <w:rPr>
          <w:rFonts w:cs="Arial"/>
          <w:szCs w:val="22"/>
          <w:lang w:eastAsia="en-AU"/>
        </w:rPr>
        <w:t xml:space="preserve"> Published: 3 May 2018</w:t>
      </w:r>
    </w:p>
    <w:p w14:paraId="002CB3DC" w14:textId="77777777" w:rsidR="0029437A" w:rsidRDefault="0029437A" w:rsidP="004E5825">
      <w:pPr>
        <w:rPr>
          <w:b/>
        </w:rPr>
      </w:pPr>
    </w:p>
    <w:p w14:paraId="51B70757" w14:textId="3C96CC69" w:rsidR="004E5825" w:rsidRPr="00DF2CC5" w:rsidRDefault="004E5825" w:rsidP="004E5825">
      <w:pPr>
        <w:rPr>
          <w:i/>
        </w:rPr>
      </w:pPr>
      <w:r>
        <w:rPr>
          <w:b/>
        </w:rPr>
        <w:lastRenderedPageBreak/>
        <w:t xml:space="preserve">Safety assurance for automated driving systems </w:t>
      </w:r>
      <w:r w:rsidRPr="00EC2AC1">
        <w:rPr>
          <w:i/>
        </w:rPr>
        <w:t>(</w:t>
      </w:r>
      <w:r>
        <w:rPr>
          <w:i/>
        </w:rPr>
        <w:t>National Transport Commission</w:t>
      </w:r>
      <w:r w:rsidRPr="00EC2AC1">
        <w:rPr>
          <w:i/>
        </w:rPr>
        <w:t xml:space="preserve">) </w:t>
      </w:r>
    </w:p>
    <w:p w14:paraId="75A1702A" w14:textId="77777777" w:rsidR="004E5825" w:rsidRDefault="004E5825" w:rsidP="004E5825">
      <w:pPr>
        <w:rPr>
          <w:rFonts w:cs="Arial"/>
          <w:szCs w:val="22"/>
          <w:lang w:eastAsia="en-AU"/>
        </w:rPr>
      </w:pPr>
      <w:r w:rsidRPr="00C62A44">
        <w:rPr>
          <w:rFonts w:cs="Arial"/>
          <w:szCs w:val="22"/>
          <w:lang w:eastAsia="en-AU"/>
        </w:rPr>
        <w:t xml:space="preserve">The </w:t>
      </w:r>
      <w:r>
        <w:rPr>
          <w:rFonts w:cs="Arial"/>
          <w:szCs w:val="22"/>
          <w:lang w:eastAsia="en-AU"/>
        </w:rPr>
        <w:t xml:space="preserve">National Transport Commission released a COAG Consultation RIS on the risk that may arise when automated vehicles become available.The consultation RIS identifies and assesses the relative costs and benefits of options to address risks posed to the uptake of automated driving system; the consulation RIS considers the safety risks of automated driving, the risk that a lack of consumer confidence will result in a reduction or delay in the uptake of automated driving systems and the risks to suppliers of these systems through inconsistent and/or uncertain regulatory barriers to the Australian market. </w:t>
      </w:r>
    </w:p>
    <w:p w14:paraId="4D58FA1C" w14:textId="77777777" w:rsidR="004E5825" w:rsidRPr="00460AFB" w:rsidRDefault="004E5825" w:rsidP="00460AFB">
      <w:pPr>
        <w:spacing w:after="240"/>
        <w:rPr>
          <w:rFonts w:cs="Arial"/>
          <w:szCs w:val="22"/>
          <w:lang w:eastAsia="en-AU"/>
        </w:rPr>
      </w:pPr>
      <w:r>
        <w:rPr>
          <w:rFonts w:cs="Arial"/>
          <w:szCs w:val="22"/>
          <w:lang w:eastAsia="en-AU"/>
        </w:rPr>
        <w:t>Published: 15 May 2018</w:t>
      </w:r>
    </w:p>
    <w:p w14:paraId="697FF1F1" w14:textId="77777777" w:rsidR="004E5825" w:rsidRPr="00DF2CC5" w:rsidRDefault="004E5825" w:rsidP="004E5825">
      <w:pPr>
        <w:rPr>
          <w:i/>
        </w:rPr>
      </w:pPr>
      <w:r>
        <w:rPr>
          <w:b/>
        </w:rPr>
        <w:t xml:space="preserve">National Energy Guarantee </w:t>
      </w:r>
      <w:r w:rsidRPr="00EC2AC1">
        <w:rPr>
          <w:i/>
        </w:rPr>
        <w:t>(</w:t>
      </w:r>
      <w:r>
        <w:rPr>
          <w:i/>
        </w:rPr>
        <w:t>COAG Energy Council</w:t>
      </w:r>
      <w:r w:rsidRPr="00EC2AC1">
        <w:rPr>
          <w:i/>
        </w:rPr>
        <w:t xml:space="preserve">) </w:t>
      </w:r>
    </w:p>
    <w:p w14:paraId="6C71885C" w14:textId="0D136D6B" w:rsidR="004E5825" w:rsidRPr="00136FCA" w:rsidRDefault="004E5825" w:rsidP="004E5825">
      <w:pPr>
        <w:rPr>
          <w:rFonts w:cs="Arial"/>
          <w:szCs w:val="22"/>
          <w:lang w:eastAsia="en-AU"/>
        </w:rPr>
      </w:pPr>
      <w:r>
        <w:rPr>
          <w:rFonts w:cs="Arial"/>
          <w:szCs w:val="22"/>
          <w:lang w:eastAsia="en-AU"/>
        </w:rPr>
        <w:t>T</w:t>
      </w:r>
      <w:r w:rsidRPr="00136FCA">
        <w:rPr>
          <w:rFonts w:cs="Arial"/>
          <w:szCs w:val="22"/>
          <w:lang w:eastAsia="en-AU"/>
        </w:rPr>
        <w:t xml:space="preserve">he COAG Energy Council released a </w:t>
      </w:r>
      <w:r w:rsidR="00C0282A">
        <w:rPr>
          <w:rFonts w:cs="Arial"/>
          <w:szCs w:val="22"/>
          <w:lang w:eastAsia="en-AU"/>
        </w:rPr>
        <w:t>COAG C</w:t>
      </w:r>
      <w:r>
        <w:rPr>
          <w:rFonts w:cs="Arial"/>
          <w:szCs w:val="22"/>
          <w:lang w:eastAsia="en-AU"/>
        </w:rPr>
        <w:t xml:space="preserve">onsultation RIS </w:t>
      </w:r>
      <w:r w:rsidRPr="00136FCA">
        <w:rPr>
          <w:rFonts w:cs="Arial"/>
          <w:szCs w:val="22"/>
          <w:lang w:eastAsia="en-AU"/>
        </w:rPr>
        <w:t>to explore possible options for addressing climate and energy policy issues in the National Electricity Market.</w:t>
      </w:r>
      <w:r w:rsidR="00193FEE">
        <w:rPr>
          <w:rFonts w:cs="Arial"/>
          <w:szCs w:val="22"/>
          <w:lang w:eastAsia="en-AU"/>
        </w:rPr>
        <w:t xml:space="preserve"> </w:t>
      </w:r>
      <w:r>
        <w:rPr>
          <w:rFonts w:cs="Arial"/>
          <w:szCs w:val="22"/>
          <w:lang w:eastAsia="en-AU"/>
        </w:rPr>
        <w:t xml:space="preserve">These options include </w:t>
      </w:r>
      <w:r w:rsidRPr="00136FCA">
        <w:rPr>
          <w:rFonts w:cs="Arial"/>
          <w:szCs w:val="22"/>
          <w:lang w:eastAsia="en-AU"/>
        </w:rPr>
        <w:t xml:space="preserve">the status quo, a </w:t>
      </w:r>
      <w:r w:rsidR="00193FEE">
        <w:rPr>
          <w:rFonts w:cs="Arial"/>
          <w:szCs w:val="22"/>
          <w:lang w:eastAsia="en-AU"/>
        </w:rPr>
        <w:t>National Energy Guarantee and a</w:t>
      </w:r>
      <w:r w:rsidRPr="00136FCA">
        <w:rPr>
          <w:rFonts w:cs="Arial"/>
          <w:szCs w:val="22"/>
          <w:lang w:eastAsia="en-AU"/>
        </w:rPr>
        <w:t xml:space="preserve"> Physically Backed Contracts option. The </w:t>
      </w:r>
      <w:r w:rsidR="00C0282A">
        <w:rPr>
          <w:rFonts w:cs="Arial"/>
          <w:szCs w:val="22"/>
          <w:lang w:eastAsia="en-AU"/>
        </w:rPr>
        <w:t>C</w:t>
      </w:r>
      <w:r>
        <w:rPr>
          <w:rFonts w:cs="Arial"/>
          <w:szCs w:val="22"/>
          <w:lang w:eastAsia="en-AU"/>
        </w:rPr>
        <w:t xml:space="preserve">onsultation RIS discusses </w:t>
      </w:r>
      <w:r w:rsidRPr="00136FCA">
        <w:rPr>
          <w:rFonts w:cs="Arial"/>
          <w:szCs w:val="22"/>
          <w:lang w:eastAsia="en-AU"/>
        </w:rPr>
        <w:t>issues around maintaining energy reliability, lowering emissions in line with international policy commitments and improving affordability.</w:t>
      </w:r>
    </w:p>
    <w:p w14:paraId="5A891B25" w14:textId="77777777" w:rsidR="004E5825" w:rsidRPr="00460AFB" w:rsidRDefault="004E5825" w:rsidP="00460AFB">
      <w:pPr>
        <w:spacing w:after="240"/>
        <w:rPr>
          <w:rFonts w:cs="Arial"/>
          <w:szCs w:val="22"/>
          <w:lang w:eastAsia="en-AU"/>
        </w:rPr>
      </w:pPr>
      <w:r>
        <w:rPr>
          <w:rFonts w:cs="Arial"/>
          <w:szCs w:val="22"/>
          <w:lang w:eastAsia="en-AU"/>
        </w:rPr>
        <w:t>Published: 29 June 2018</w:t>
      </w:r>
    </w:p>
    <w:p w14:paraId="6719DEE1" w14:textId="4918EC53" w:rsidR="004E5825" w:rsidRDefault="004E5825" w:rsidP="00EC2AC1">
      <w:pPr>
        <w:rPr>
          <w:b/>
        </w:rPr>
      </w:pPr>
    </w:p>
    <w:p w14:paraId="5C2F1187" w14:textId="77777777" w:rsidR="00460AFB" w:rsidRDefault="00460AFB" w:rsidP="00EC2AC1">
      <w:pPr>
        <w:rPr>
          <w:b/>
        </w:rPr>
      </w:pPr>
    </w:p>
    <w:p w14:paraId="2BB913C9" w14:textId="77777777" w:rsidR="001F61AE" w:rsidRDefault="001F61AE" w:rsidP="001F61AE">
      <w:pPr>
        <w:pStyle w:val="note"/>
        <w:rPr>
          <w:rFonts w:cs="Arial"/>
          <w:color w:val="auto"/>
        </w:rPr>
      </w:pPr>
    </w:p>
    <w:sectPr w:rsidR="001F61AE" w:rsidSect="004210FB">
      <w:headerReference w:type="even" r:id="rId9"/>
      <w:headerReference w:type="default" r:id="rId10"/>
      <w:footerReference w:type="even" r:id="rId11"/>
      <w:footerReference w:type="default" r:id="rId12"/>
      <w:headerReference w:type="first" r:id="rId13"/>
      <w:footerReference w:type="first" r:id="rId14"/>
      <w:type w:val="continuous"/>
      <w:pgSz w:w="11900" w:h="16840" w:code="9"/>
      <w:pgMar w:top="1956" w:right="1418" w:bottom="1701" w:left="1418" w:header="510" w:footer="0" w:gutter="0"/>
      <w:cols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764EF" w14:textId="77777777" w:rsidR="005B4912" w:rsidRDefault="005B4912" w:rsidP="003B52FC">
      <w:r>
        <w:separator/>
      </w:r>
    </w:p>
  </w:endnote>
  <w:endnote w:type="continuationSeparator" w:id="0">
    <w:p w14:paraId="3A5B0031" w14:textId="77777777" w:rsidR="005B4912" w:rsidRDefault="005B4912" w:rsidP="003B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Gotham Rounded Book">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TheSansSemiBold-Plain">
    <w:altName w:val="Arial"/>
    <w:panose1 w:val="00000000000000000000"/>
    <w:charset w:val="00"/>
    <w:family w:val="swiss"/>
    <w:notTrueType/>
    <w:pitch w:val="variable"/>
    <w:sig w:usb0="00000001" w:usb1="00000000" w:usb2="00000000" w:usb3="00000000" w:csb0="00000009" w:csb1="00000000"/>
  </w:font>
  <w:font w:name="Interstate-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913D1" w14:textId="77777777" w:rsidR="00FF2E5F" w:rsidRDefault="00FF2E5F">
    <w:pPr>
      <w:pStyle w:val="Footer"/>
    </w:pPr>
  </w:p>
  <w:p w14:paraId="2BB913D2" w14:textId="77777777" w:rsidR="00FF2E5F" w:rsidRDefault="00FF2E5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913D3" w14:textId="5BF9EC8A" w:rsidR="00FF2E5F" w:rsidRDefault="00FF2E5F" w:rsidP="00C86A41">
    <w:pPr>
      <w:pStyle w:val="BodyText1"/>
      <w:jc w:val="right"/>
    </w:pPr>
    <w:r>
      <w:rPr>
        <w:rFonts w:cs="Arial"/>
        <w:color w:val="808080"/>
        <w:sz w:val="16"/>
        <w:szCs w:val="16"/>
      </w:rPr>
      <w:tab/>
    </w:r>
    <w:r w:rsidRPr="00C86A41">
      <w:rPr>
        <w:rFonts w:cs="Arial"/>
        <w:color w:val="808080"/>
        <w:sz w:val="16"/>
        <w:szCs w:val="16"/>
      </w:rPr>
      <w:t xml:space="preserve">Page </w:t>
    </w:r>
    <w:r w:rsidRPr="00C86A41">
      <w:rPr>
        <w:rFonts w:cs="Arial"/>
        <w:color w:val="808080"/>
        <w:sz w:val="16"/>
        <w:szCs w:val="16"/>
      </w:rPr>
      <w:fldChar w:fldCharType="begin"/>
    </w:r>
    <w:r w:rsidRPr="00C86A41">
      <w:rPr>
        <w:rFonts w:cs="Arial"/>
        <w:color w:val="808080"/>
        <w:sz w:val="16"/>
        <w:szCs w:val="16"/>
      </w:rPr>
      <w:instrText xml:space="preserve"> PAGE </w:instrText>
    </w:r>
    <w:r w:rsidRPr="00C86A41">
      <w:rPr>
        <w:rFonts w:cs="Arial"/>
        <w:color w:val="808080"/>
        <w:sz w:val="16"/>
        <w:szCs w:val="16"/>
      </w:rPr>
      <w:fldChar w:fldCharType="separate"/>
    </w:r>
    <w:r w:rsidR="00402461">
      <w:rPr>
        <w:rFonts w:cs="Arial"/>
        <w:noProof/>
        <w:color w:val="808080"/>
        <w:sz w:val="16"/>
        <w:szCs w:val="16"/>
      </w:rPr>
      <w:t>2</w:t>
    </w:r>
    <w:r w:rsidRPr="00C86A41">
      <w:rPr>
        <w:rFonts w:cs="Arial"/>
        <w:color w:val="808080"/>
        <w:sz w:val="16"/>
        <w:szCs w:val="16"/>
      </w:rPr>
      <w:fldChar w:fldCharType="end"/>
    </w:r>
    <w:r w:rsidRPr="00C86A41">
      <w:rPr>
        <w:rFonts w:cs="Arial"/>
        <w:color w:val="808080"/>
        <w:sz w:val="16"/>
        <w:szCs w:val="16"/>
      </w:rPr>
      <w:t xml:space="preserve"> of </w:t>
    </w:r>
    <w:r w:rsidRPr="00C86A41">
      <w:rPr>
        <w:rFonts w:cs="Arial"/>
        <w:color w:val="808080"/>
        <w:sz w:val="16"/>
        <w:szCs w:val="16"/>
      </w:rPr>
      <w:fldChar w:fldCharType="begin"/>
    </w:r>
    <w:r w:rsidRPr="00C86A41">
      <w:rPr>
        <w:rFonts w:cs="Arial"/>
        <w:color w:val="808080"/>
        <w:sz w:val="16"/>
        <w:szCs w:val="16"/>
      </w:rPr>
      <w:instrText xml:space="preserve"> NUMPAGES  </w:instrText>
    </w:r>
    <w:r w:rsidRPr="00C86A41">
      <w:rPr>
        <w:rFonts w:cs="Arial"/>
        <w:color w:val="808080"/>
        <w:sz w:val="16"/>
        <w:szCs w:val="16"/>
      </w:rPr>
      <w:fldChar w:fldCharType="separate"/>
    </w:r>
    <w:r w:rsidR="00402461">
      <w:rPr>
        <w:rFonts w:cs="Arial"/>
        <w:noProof/>
        <w:color w:val="808080"/>
        <w:sz w:val="16"/>
        <w:szCs w:val="16"/>
      </w:rPr>
      <w:t>8</w:t>
    </w:r>
    <w:r w:rsidRPr="00C86A41">
      <w:rPr>
        <w:rFonts w:cs="Arial"/>
        <w:color w:val="808080"/>
        <w:sz w:val="16"/>
        <w:szCs w:val="16"/>
      </w:rPr>
      <w:fldChar w:fldCharType="end"/>
    </w:r>
  </w:p>
  <w:p w14:paraId="2BB913D4" w14:textId="77777777" w:rsidR="00FF2E5F" w:rsidRDefault="00FF2E5F">
    <w:pPr>
      <w:pStyle w:val="Footer"/>
    </w:pPr>
  </w:p>
  <w:p w14:paraId="2BB913D5" w14:textId="77777777" w:rsidR="00FF2E5F" w:rsidRDefault="00FF2E5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913D8" w14:textId="724B4500" w:rsidR="00FF2E5F" w:rsidRDefault="00FF2E5F" w:rsidP="00A373F3">
    <w:pPr>
      <w:pStyle w:val="BodyText1"/>
      <w:jc w:val="right"/>
    </w:pPr>
    <w:r>
      <w:rPr>
        <w:rFonts w:cs="Arial"/>
        <w:color w:val="808080"/>
        <w:sz w:val="16"/>
        <w:szCs w:val="16"/>
      </w:rPr>
      <w:tab/>
    </w:r>
    <w:r w:rsidRPr="00C86A41">
      <w:rPr>
        <w:rFonts w:cs="Arial"/>
        <w:color w:val="808080"/>
        <w:sz w:val="16"/>
        <w:szCs w:val="16"/>
      </w:rPr>
      <w:t xml:space="preserve">Page </w:t>
    </w:r>
    <w:r w:rsidRPr="00C86A41">
      <w:rPr>
        <w:rFonts w:cs="Arial"/>
        <w:color w:val="808080"/>
        <w:sz w:val="16"/>
        <w:szCs w:val="16"/>
      </w:rPr>
      <w:fldChar w:fldCharType="begin"/>
    </w:r>
    <w:r w:rsidRPr="00C86A41">
      <w:rPr>
        <w:rFonts w:cs="Arial"/>
        <w:color w:val="808080"/>
        <w:sz w:val="16"/>
        <w:szCs w:val="16"/>
      </w:rPr>
      <w:instrText xml:space="preserve"> PAGE </w:instrText>
    </w:r>
    <w:r w:rsidRPr="00C86A41">
      <w:rPr>
        <w:rFonts w:cs="Arial"/>
        <w:color w:val="808080"/>
        <w:sz w:val="16"/>
        <w:szCs w:val="16"/>
      </w:rPr>
      <w:fldChar w:fldCharType="separate"/>
    </w:r>
    <w:r w:rsidR="00402461">
      <w:rPr>
        <w:rFonts w:cs="Arial"/>
        <w:noProof/>
        <w:color w:val="808080"/>
        <w:sz w:val="16"/>
        <w:szCs w:val="16"/>
      </w:rPr>
      <w:t>1</w:t>
    </w:r>
    <w:r w:rsidRPr="00C86A41">
      <w:rPr>
        <w:rFonts w:cs="Arial"/>
        <w:color w:val="808080"/>
        <w:sz w:val="16"/>
        <w:szCs w:val="16"/>
      </w:rPr>
      <w:fldChar w:fldCharType="end"/>
    </w:r>
    <w:r w:rsidRPr="00C86A41">
      <w:rPr>
        <w:rFonts w:cs="Arial"/>
        <w:color w:val="808080"/>
        <w:sz w:val="16"/>
        <w:szCs w:val="16"/>
      </w:rPr>
      <w:t xml:space="preserve"> of </w:t>
    </w:r>
    <w:r w:rsidRPr="00C86A41">
      <w:rPr>
        <w:rFonts w:cs="Arial"/>
        <w:color w:val="808080"/>
        <w:sz w:val="16"/>
        <w:szCs w:val="16"/>
      </w:rPr>
      <w:fldChar w:fldCharType="begin"/>
    </w:r>
    <w:r w:rsidRPr="00C86A41">
      <w:rPr>
        <w:rFonts w:cs="Arial"/>
        <w:color w:val="808080"/>
        <w:sz w:val="16"/>
        <w:szCs w:val="16"/>
      </w:rPr>
      <w:instrText xml:space="preserve"> NUMPAGES  </w:instrText>
    </w:r>
    <w:r w:rsidRPr="00C86A41">
      <w:rPr>
        <w:rFonts w:cs="Arial"/>
        <w:color w:val="808080"/>
        <w:sz w:val="16"/>
        <w:szCs w:val="16"/>
      </w:rPr>
      <w:fldChar w:fldCharType="separate"/>
    </w:r>
    <w:r w:rsidR="00402461">
      <w:rPr>
        <w:rFonts w:cs="Arial"/>
        <w:noProof/>
        <w:color w:val="808080"/>
        <w:sz w:val="16"/>
        <w:szCs w:val="16"/>
      </w:rPr>
      <w:t>8</w:t>
    </w:r>
    <w:r w:rsidRPr="00C86A41">
      <w:rPr>
        <w:rFonts w:cs="Arial"/>
        <w:color w:val="808080"/>
        <w:sz w:val="16"/>
        <w:szCs w:val="16"/>
      </w:rPr>
      <w:fldChar w:fldCharType="end"/>
    </w:r>
  </w:p>
  <w:p w14:paraId="2BB913D9" w14:textId="77777777" w:rsidR="00FF2E5F" w:rsidRDefault="00FF2E5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38D50" w14:textId="77777777" w:rsidR="005B4912" w:rsidRDefault="005B4912" w:rsidP="003B52FC"/>
  </w:footnote>
  <w:footnote w:type="continuationSeparator" w:id="0">
    <w:p w14:paraId="28AF1368" w14:textId="77777777" w:rsidR="005B4912" w:rsidRDefault="005B4912" w:rsidP="003B52F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913CE" w14:textId="77777777" w:rsidR="006B1695" w:rsidRDefault="006B16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913CF" w14:textId="77777777" w:rsidR="00FF2E5F" w:rsidRPr="008A1645" w:rsidRDefault="00542F25" w:rsidP="008A1645">
    <w:pPr>
      <w:pStyle w:val="Header"/>
    </w:pPr>
    <w:r>
      <w:rPr>
        <w:noProof/>
        <w:lang w:eastAsia="en-AU"/>
      </w:rPr>
      <w:drawing>
        <wp:inline distT="0" distB="0" distL="0" distR="0" wp14:anchorId="2BB913DA" wp14:editId="2BB913DB">
          <wp:extent cx="6905625" cy="438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5625" cy="438150"/>
                  </a:xfrm>
                  <a:prstGeom prst="rect">
                    <a:avLst/>
                  </a:prstGeom>
                  <a:noFill/>
                  <a:ln>
                    <a:noFill/>
                  </a:ln>
                </pic:spPr>
              </pic:pic>
            </a:graphicData>
          </a:graphic>
        </wp:inline>
      </w:drawing>
    </w:r>
  </w:p>
  <w:p w14:paraId="2BB913D0" w14:textId="77777777" w:rsidR="00FF2E5F" w:rsidRDefault="00FF2E5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913D6" w14:textId="77777777" w:rsidR="00FF2E5F" w:rsidRDefault="00542F25" w:rsidP="00D95828">
    <w:pPr>
      <w:pStyle w:val="Header"/>
      <w:tabs>
        <w:tab w:val="clear" w:pos="4680"/>
        <w:tab w:val="clear" w:pos="9360"/>
        <w:tab w:val="left" w:pos="8102"/>
        <w:tab w:val="right" w:pos="9064"/>
      </w:tabs>
    </w:pPr>
    <w:r>
      <w:rPr>
        <w:noProof/>
        <w:lang w:eastAsia="en-AU"/>
      </w:rPr>
      <w:drawing>
        <wp:anchor distT="0" distB="0" distL="114300" distR="114300" simplePos="0" relativeHeight="251657728" behindDoc="1" locked="0" layoutInCell="1" allowOverlap="1" wp14:anchorId="2BB913DC" wp14:editId="2BB913DD">
          <wp:simplePos x="0" y="0"/>
          <wp:positionH relativeFrom="column">
            <wp:posOffset>-908050</wp:posOffset>
          </wp:positionH>
          <wp:positionV relativeFrom="paragraph">
            <wp:posOffset>-442595</wp:posOffset>
          </wp:positionV>
          <wp:extent cx="7560310" cy="1645285"/>
          <wp:effectExtent l="0" t="0" r="0" b="0"/>
          <wp:wrapNone/>
          <wp:docPr id="2" name="Picture 13" descr="g_server:WORK IN PROGRESS:14010 PM&amp;C Best Practice Regulation Report 2012-13:Word templates:cover.pd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g_server:WORK IN PROGRESS:14010 PM&amp;C Best Practice Regulation Report 2012-13:Word templates:cover.pdf"/>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560310" cy="16452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B913D7" w14:textId="77777777" w:rsidR="00FF2E5F" w:rsidRDefault="00FF2E5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8EC9C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8"/>
    <w:multiLevelType w:val="singleLevel"/>
    <w:tmpl w:val="A186FB8E"/>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E3722D7E"/>
    <w:lvl w:ilvl="0">
      <w:start w:val="1"/>
      <w:numFmt w:val="bullet"/>
      <w:lvlText w:val=""/>
      <w:lvlJc w:val="left"/>
      <w:pPr>
        <w:ind w:left="360" w:hanging="360"/>
      </w:pPr>
      <w:rPr>
        <w:rFonts w:ascii="Symbol" w:hAnsi="Symbol" w:hint="default"/>
        <w:color w:val="14708E"/>
      </w:rPr>
    </w:lvl>
  </w:abstractNum>
  <w:abstractNum w:abstractNumId="3" w15:restartNumberingAfterBreak="0">
    <w:nsid w:val="00D04AC9"/>
    <w:multiLevelType w:val="hybridMultilevel"/>
    <w:tmpl w:val="90DCCB1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13048DF"/>
    <w:multiLevelType w:val="hybridMultilevel"/>
    <w:tmpl w:val="BD26DBF0"/>
    <w:lvl w:ilvl="0" w:tplc="8A9AC692">
      <w:numFmt w:val="bullet"/>
      <w:lvlText w:val="-"/>
      <w:lvlJc w:val="left"/>
      <w:pPr>
        <w:ind w:left="720" w:hanging="360"/>
      </w:pPr>
      <w:rPr>
        <w:rFonts w:ascii="Calibri" w:eastAsia="Cambria" w:hAnsi="Calibri"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7242F55"/>
    <w:multiLevelType w:val="hybridMultilevel"/>
    <w:tmpl w:val="286635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08056096"/>
    <w:multiLevelType w:val="hybridMultilevel"/>
    <w:tmpl w:val="77E28ED6"/>
    <w:lvl w:ilvl="0" w:tplc="30023904">
      <w:start w:val="1"/>
      <w:numFmt w:val="decimal"/>
      <w:lvlText w:val="%1."/>
      <w:lvlJc w:val="left"/>
      <w:pPr>
        <w:ind w:left="720" w:hanging="360"/>
      </w:pPr>
      <w:rPr>
        <w:rFonts w:hint="default"/>
        <w:b/>
        <w:i w:val="0"/>
      </w:rPr>
    </w:lvl>
    <w:lvl w:ilvl="1" w:tplc="49E0823C">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52470"/>
    <w:multiLevelType w:val="hybridMultilevel"/>
    <w:tmpl w:val="0882CC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0A8A0836"/>
    <w:multiLevelType w:val="hybridMultilevel"/>
    <w:tmpl w:val="7FF45B4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0D6C2D64"/>
    <w:multiLevelType w:val="hybridMultilevel"/>
    <w:tmpl w:val="5B983AE0"/>
    <w:lvl w:ilvl="0" w:tplc="DAC0ADA0">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9410C09"/>
    <w:multiLevelType w:val="hybridMultilevel"/>
    <w:tmpl w:val="28CED3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1B606A51"/>
    <w:multiLevelType w:val="hybridMultilevel"/>
    <w:tmpl w:val="AC1C6272"/>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1DC83FB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DA2EF1"/>
    <w:multiLevelType w:val="singleLevel"/>
    <w:tmpl w:val="DEA86906"/>
    <w:lvl w:ilvl="0">
      <w:start w:val="1"/>
      <w:numFmt w:val="bullet"/>
      <w:pStyle w:val="Tablebullets1stindent"/>
      <w:lvlText w:val=""/>
      <w:lvlJc w:val="left"/>
      <w:pPr>
        <w:ind w:left="644" w:hanging="360"/>
      </w:pPr>
      <w:rPr>
        <w:rFonts w:ascii="Symbol" w:hAnsi="Symbol" w:hint="default"/>
        <w:color w:val="F79646"/>
      </w:rPr>
    </w:lvl>
  </w:abstractNum>
  <w:abstractNum w:abstractNumId="14" w15:restartNumberingAfterBreak="0">
    <w:nsid w:val="22FF5B81"/>
    <w:multiLevelType w:val="hybridMultilevel"/>
    <w:tmpl w:val="FE70AC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340781B"/>
    <w:multiLevelType w:val="hybridMultilevel"/>
    <w:tmpl w:val="726AC41C"/>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294214C9"/>
    <w:multiLevelType w:val="multilevel"/>
    <w:tmpl w:val="47504E52"/>
    <w:styleLink w:val="Bullets"/>
    <w:lvl w:ilvl="0">
      <w:start w:val="1"/>
      <w:numFmt w:val="bullet"/>
      <w:lvlText w:val=""/>
      <w:lvlJc w:val="left"/>
      <w:pPr>
        <w:ind w:left="360" w:hanging="360"/>
      </w:pPr>
      <w:rPr>
        <w:rFonts w:ascii="Symbol" w:hAnsi="Symbol" w:hint="default"/>
        <w:color w:val="E36C0A"/>
      </w:rPr>
    </w:lvl>
    <w:lvl w:ilvl="1">
      <w:start w:val="1"/>
      <w:numFmt w:val="bullet"/>
      <w:lvlText w:val=""/>
      <w:lvlJc w:val="left"/>
      <w:pPr>
        <w:tabs>
          <w:tab w:val="num" w:pos="567"/>
        </w:tabs>
        <w:ind w:left="567" w:hanging="283"/>
      </w:pPr>
      <w:rPr>
        <w:rFonts w:ascii="Symbol" w:hAnsi="Symbol" w:hint="default"/>
        <w:color w:val="0D6F8B"/>
      </w:rPr>
    </w:lvl>
    <w:lvl w:ilvl="2">
      <w:start w:val="1"/>
      <w:numFmt w:val="bullet"/>
      <w:lvlText w:val="•"/>
      <w:lvlJc w:val="left"/>
      <w:pPr>
        <w:tabs>
          <w:tab w:val="num" w:pos="284"/>
        </w:tabs>
        <w:ind w:left="284" w:hanging="284"/>
      </w:pPr>
      <w:rPr>
        <w:rFonts w:ascii="Cambria" w:hAnsi="Cambria" w:hint="default"/>
        <w:color w:val="45C7ED"/>
      </w:rPr>
    </w:lvl>
    <w:lvl w:ilvl="3">
      <w:start w:val="1"/>
      <w:numFmt w:val="bullet"/>
      <w:lvlText w:val="•"/>
      <w:lvlJc w:val="left"/>
      <w:pPr>
        <w:tabs>
          <w:tab w:val="num" w:pos="567"/>
        </w:tabs>
        <w:ind w:left="567" w:hanging="283"/>
      </w:pPr>
      <w:rPr>
        <w:rFonts w:ascii="Cambria" w:hAnsi="Cambria" w:hint="default"/>
        <w:color w:val="45C7ED"/>
      </w:rPr>
    </w:lvl>
    <w:lvl w:ilvl="4">
      <w:start w:val="1"/>
      <w:numFmt w:val="none"/>
      <w:lvlText w:val=""/>
      <w:lvlJc w:val="left"/>
      <w:pPr>
        <w:ind w:left="0" w:firstLine="0"/>
      </w:pPr>
      <w:rPr>
        <w:rFonts w:hint="default"/>
      </w:rPr>
    </w:lvl>
    <w:lvl w:ilvl="5">
      <w:start w:val="1"/>
      <w:numFmt w:val="bullet"/>
      <w:lvlText w:val="•"/>
      <w:lvlJc w:val="left"/>
      <w:pPr>
        <w:tabs>
          <w:tab w:val="num" w:pos="266"/>
        </w:tabs>
        <w:ind w:left="266" w:hanging="170"/>
      </w:pPr>
      <w:rPr>
        <w:rFonts w:ascii="Cambria" w:hAnsi="Cambria" w:hint="default"/>
        <w:color w:val="45C7ED"/>
      </w:rPr>
    </w:lvl>
    <w:lvl w:ilvl="6">
      <w:start w:val="1"/>
      <w:numFmt w:val="bullet"/>
      <w:lvlText w:val="•"/>
      <w:lvlJc w:val="left"/>
      <w:pPr>
        <w:tabs>
          <w:tab w:val="num" w:pos="437"/>
        </w:tabs>
        <w:ind w:left="437" w:hanging="171"/>
      </w:pPr>
      <w:rPr>
        <w:rFonts w:ascii="Cambria" w:hAnsi="Cambria" w:hint="default"/>
        <w:color w:val="45C7ED"/>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7" w15:restartNumberingAfterBreak="0">
    <w:nsid w:val="31275190"/>
    <w:multiLevelType w:val="hybridMultilevel"/>
    <w:tmpl w:val="AE06C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7AA32B9"/>
    <w:multiLevelType w:val="hybridMultilevel"/>
    <w:tmpl w:val="4C4099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39610248"/>
    <w:multiLevelType w:val="hybridMultilevel"/>
    <w:tmpl w:val="D2E0898C"/>
    <w:lvl w:ilvl="0" w:tplc="0E9A8272">
      <w:start w:val="1"/>
      <w:numFmt w:val="bullet"/>
      <w:pStyle w:val="ListBullet"/>
      <w:lvlText w:val=""/>
      <w:lvlJc w:val="left"/>
      <w:pPr>
        <w:ind w:left="360" w:hanging="360"/>
      </w:pPr>
      <w:rPr>
        <w:rFonts w:ascii="Symbol" w:hAnsi="Symbol" w:hint="default"/>
        <w:color w:val="F7964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F4DEC"/>
    <w:multiLevelType w:val="hybridMultilevel"/>
    <w:tmpl w:val="3794B07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75E1D6E"/>
    <w:multiLevelType w:val="multilevel"/>
    <w:tmpl w:val="D52A2368"/>
    <w:lvl w:ilvl="0">
      <w:start w:val="1"/>
      <w:numFmt w:val="bullet"/>
      <w:lvlText w:val="•"/>
      <w:lvlJc w:val="left"/>
      <w:pPr>
        <w:ind w:left="360" w:hanging="360"/>
      </w:pPr>
      <w:rPr>
        <w:rFonts w:ascii="Cambria" w:hAnsi="Cambria" w:hint="default"/>
        <w:color w:val="45C7ED"/>
        <w:sz w:val="16"/>
      </w:rPr>
    </w:lvl>
    <w:lvl w:ilvl="1">
      <w:start w:val="1"/>
      <w:numFmt w:val="bullet"/>
      <w:lvlText w:val="–"/>
      <w:lvlJc w:val="left"/>
      <w:pPr>
        <w:tabs>
          <w:tab w:val="num" w:pos="567"/>
        </w:tabs>
        <w:ind w:left="567" w:hanging="283"/>
      </w:pPr>
      <w:rPr>
        <w:rFonts w:ascii="Arial" w:hAnsi="Arial" w:hint="default"/>
        <w:color w:val="auto"/>
        <w:sz w:val="17"/>
      </w:rPr>
    </w:lvl>
    <w:lvl w:ilvl="2">
      <w:start w:val="1"/>
      <w:numFmt w:val="bullet"/>
      <w:lvlText w:val="•"/>
      <w:lvlJc w:val="left"/>
      <w:pPr>
        <w:tabs>
          <w:tab w:val="num" w:pos="851"/>
        </w:tabs>
        <w:ind w:left="851" w:hanging="284"/>
      </w:pPr>
      <w:rPr>
        <w:rFonts w:ascii="Gotham Rounded Book" w:hAnsi="Gotham Rounded Book" w:hint="default"/>
        <w:sz w:val="16"/>
      </w:rPr>
    </w:lvl>
    <w:lvl w:ilvl="3">
      <w:start w:val="1"/>
      <w:numFmt w:val="bullet"/>
      <w:lvlText w:val="–"/>
      <w:lvlJc w:val="left"/>
      <w:pPr>
        <w:tabs>
          <w:tab w:val="num" w:pos="1134"/>
        </w:tabs>
        <w:ind w:left="1134" w:hanging="283"/>
      </w:pPr>
      <w:rPr>
        <w:rFonts w:ascii="Arial" w:hAnsi="Arial" w:hint="default"/>
        <w:color w:val="auto"/>
        <w:sz w:val="17"/>
      </w:rPr>
    </w:lvl>
    <w:lvl w:ilvl="4">
      <w:start w:val="1"/>
      <w:numFmt w:val="bullet"/>
      <w:lvlText w:val="•"/>
      <w:lvlJc w:val="left"/>
      <w:pPr>
        <w:tabs>
          <w:tab w:val="num" w:pos="227"/>
        </w:tabs>
        <w:ind w:left="227" w:hanging="227"/>
      </w:pPr>
      <w:rPr>
        <w:rFonts w:ascii="Gotham Rounded Book" w:hAnsi="Gotham Rounded Book" w:hint="default"/>
        <w:sz w:val="16"/>
      </w:rPr>
    </w:lvl>
    <w:lvl w:ilvl="5">
      <w:start w:val="1"/>
      <w:numFmt w:val="bullet"/>
      <w:lvlText w:val="–"/>
      <w:lvlJc w:val="left"/>
      <w:pPr>
        <w:tabs>
          <w:tab w:val="num" w:pos="454"/>
        </w:tabs>
        <w:ind w:left="454" w:hanging="227"/>
      </w:pPr>
      <w:rPr>
        <w:rFonts w:ascii="Arial" w:hAnsi="Arial" w:hint="default"/>
        <w:color w:val="auto"/>
        <w:sz w:val="17"/>
      </w:rPr>
    </w:lvl>
    <w:lvl w:ilvl="6">
      <w:start w:val="1"/>
      <w:numFmt w:val="bullet"/>
      <w:lvlText w:val="•"/>
      <w:lvlJc w:val="left"/>
      <w:pPr>
        <w:tabs>
          <w:tab w:val="num" w:pos="680"/>
        </w:tabs>
        <w:ind w:left="680" w:hanging="226"/>
      </w:pPr>
      <w:rPr>
        <w:rFonts w:ascii="Gotham Rounded Book" w:hAnsi="Gotham Rounded Book" w:hint="default"/>
        <w:sz w:val="16"/>
      </w:rPr>
    </w:lvl>
    <w:lvl w:ilvl="7">
      <w:start w:val="1"/>
      <w:numFmt w:val="bullet"/>
      <w:lvlText w:val="–"/>
      <w:lvlJc w:val="left"/>
      <w:pPr>
        <w:tabs>
          <w:tab w:val="num" w:pos="907"/>
        </w:tabs>
        <w:ind w:left="907" w:hanging="227"/>
      </w:pPr>
      <w:rPr>
        <w:rFonts w:ascii="Arial" w:hAnsi="Arial" w:hint="default"/>
        <w:color w:val="auto"/>
        <w:sz w:val="17"/>
      </w:rPr>
    </w:lvl>
    <w:lvl w:ilvl="8">
      <w:start w:val="1"/>
      <w:numFmt w:val="none"/>
      <w:lvlText w:val=""/>
      <w:lvlJc w:val="left"/>
      <w:pPr>
        <w:tabs>
          <w:tab w:val="num" w:pos="0"/>
        </w:tabs>
        <w:ind w:left="0" w:firstLine="0"/>
      </w:pPr>
      <w:rPr>
        <w:rFonts w:hint="default"/>
      </w:rPr>
    </w:lvl>
  </w:abstractNum>
  <w:abstractNum w:abstractNumId="22" w15:restartNumberingAfterBreak="0">
    <w:nsid w:val="4F1523F7"/>
    <w:multiLevelType w:val="multilevel"/>
    <w:tmpl w:val="6BC6F2D0"/>
    <w:styleLink w:val="Number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Restart w:val="1"/>
      <w:pStyle w:val="Numberedpara1stindent"/>
      <w:lvlText w:val="%1.%4"/>
      <w:lvlJc w:val="left"/>
      <w:pPr>
        <w:tabs>
          <w:tab w:val="num" w:pos="567"/>
        </w:tabs>
        <w:ind w:left="567" w:hanging="567"/>
      </w:pPr>
      <w:rPr>
        <w:rFonts w:hint="default"/>
        <w:b/>
        <w:i w:val="0"/>
      </w:rPr>
    </w:lvl>
    <w:lvl w:ilvl="4">
      <w:start w:val="1"/>
      <w:numFmt w:val="lowerLetter"/>
      <w:pStyle w:val="Numberedpara2ndindent"/>
      <w:lvlText w:val="%5."/>
      <w:lvlJc w:val="left"/>
      <w:pPr>
        <w:tabs>
          <w:tab w:val="num" w:pos="851"/>
        </w:tabs>
        <w:ind w:left="851" w:hanging="284"/>
      </w:pPr>
      <w:rPr>
        <w:rFonts w:hint="default"/>
      </w:rPr>
    </w:lvl>
    <w:lvl w:ilvl="5">
      <w:start w:val="1"/>
      <w:numFmt w:val="lowerRoman"/>
      <w:pStyle w:val="Numberedpara3rdindent"/>
      <w:lvlText w:val="%6."/>
      <w:lvlJc w:val="left"/>
      <w:pPr>
        <w:tabs>
          <w:tab w:val="num" w:pos="1134"/>
        </w:tabs>
        <w:ind w:left="1134" w:hanging="283"/>
      </w:pPr>
      <w:rPr>
        <w:rFonts w:hint="default"/>
      </w:rPr>
    </w:lvl>
    <w:lvl w:ilvl="6">
      <w:start w:val="1"/>
      <w:numFmt w:val="decimal"/>
      <w:lvlRestart w:val="0"/>
      <w:pStyle w:val="Figuretitle"/>
      <w:suff w:val="space"/>
      <w:lvlText w:val="Figure %7:"/>
      <w:lvlJc w:val="left"/>
      <w:pPr>
        <w:ind w:left="0" w:firstLine="0"/>
      </w:pPr>
      <w:rPr>
        <w:rFonts w:hint="default"/>
      </w:rPr>
    </w:lvl>
    <w:lvl w:ilvl="7">
      <w:start w:val="1"/>
      <w:numFmt w:val="decimal"/>
      <w:lvlRestart w:val="0"/>
      <w:pStyle w:val="Notetitle"/>
      <w:suff w:val="space"/>
      <w:lvlText w:val="Note %8:"/>
      <w:lvlJc w:val="left"/>
      <w:pPr>
        <w:ind w:left="0" w:firstLine="0"/>
      </w:pPr>
      <w:rPr>
        <w:rFonts w:hint="default"/>
      </w:rPr>
    </w:lvl>
    <w:lvl w:ilvl="8">
      <w:start w:val="1"/>
      <w:numFmt w:val="decimal"/>
      <w:lvlRestart w:val="1"/>
      <w:pStyle w:val="Tabletitle"/>
      <w:suff w:val="space"/>
      <w:lvlText w:val="Table %1.%9:"/>
      <w:lvlJc w:val="left"/>
      <w:pPr>
        <w:ind w:left="0" w:firstLine="0"/>
      </w:pPr>
      <w:rPr>
        <w:rFonts w:hint="default"/>
      </w:rPr>
    </w:lvl>
  </w:abstractNum>
  <w:abstractNum w:abstractNumId="23" w15:restartNumberingAfterBreak="0">
    <w:nsid w:val="56647883"/>
    <w:multiLevelType w:val="hybridMultilevel"/>
    <w:tmpl w:val="E89E7C26"/>
    <w:lvl w:ilvl="0" w:tplc="925C5CF0">
      <w:start w:val="1"/>
      <w:numFmt w:val="bullet"/>
      <w:lvlText w:val=""/>
      <w:lvlJc w:val="left"/>
      <w:pPr>
        <w:tabs>
          <w:tab w:val="num" w:pos="720"/>
        </w:tabs>
        <w:ind w:left="720" w:hanging="360"/>
      </w:pPr>
      <w:rPr>
        <w:rFonts w:ascii="Symbol" w:hAnsi="Symbol" w:hint="default"/>
        <w:color w:val="auto"/>
      </w:rPr>
    </w:lvl>
    <w:lvl w:ilvl="1" w:tplc="1AEAF566">
      <w:start w:val="1"/>
      <w:numFmt w:val="bullet"/>
      <w:lvlText w:val="o"/>
      <w:lvlJc w:val="left"/>
      <w:pPr>
        <w:tabs>
          <w:tab w:val="num" w:pos="1440"/>
        </w:tabs>
        <w:ind w:left="1440" w:hanging="360"/>
      </w:pPr>
      <w:rPr>
        <w:rFonts w:ascii="Courier New" w:hAnsi="Courier New" w:cs="Courier New" w:hint="default"/>
        <w:color w:val="auto"/>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2FBCC594">
      <w:start w:val="1"/>
      <w:numFmt w:val="bullet"/>
      <w:lvlText w:val="-"/>
      <w:lvlJc w:val="left"/>
      <w:pPr>
        <w:ind w:left="3600" w:hanging="360"/>
      </w:pPr>
      <w:rPr>
        <w:rFonts w:ascii="Calibri" w:eastAsia="Calibri" w:hAnsi="Calibri" w:cs="Calibri"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E45D09"/>
    <w:multiLevelType w:val="hybridMultilevel"/>
    <w:tmpl w:val="14685D3C"/>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6BC66B1B"/>
    <w:multiLevelType w:val="hybridMultilevel"/>
    <w:tmpl w:val="791E0EC8"/>
    <w:lvl w:ilvl="0" w:tplc="86CA608C">
      <w:start w:val="1"/>
      <w:numFmt w:val="bullet"/>
      <w:lvlText w:val=""/>
      <w:lvlJc w:val="left"/>
      <w:pPr>
        <w:ind w:left="360" w:hanging="360"/>
      </w:pPr>
      <w:rPr>
        <w:rFonts w:ascii="Symbol" w:hAnsi="Symbol" w:hint="default"/>
      </w:rPr>
    </w:lvl>
    <w:lvl w:ilvl="1" w:tplc="60702C44" w:tentative="1">
      <w:start w:val="1"/>
      <w:numFmt w:val="bullet"/>
      <w:lvlText w:val="o"/>
      <w:lvlJc w:val="left"/>
      <w:pPr>
        <w:ind w:left="1080" w:hanging="360"/>
      </w:pPr>
      <w:rPr>
        <w:rFonts w:ascii="Courier New" w:hAnsi="Courier New" w:cs="Courier New" w:hint="default"/>
      </w:rPr>
    </w:lvl>
    <w:lvl w:ilvl="2" w:tplc="AB44D55E" w:tentative="1">
      <w:start w:val="1"/>
      <w:numFmt w:val="bullet"/>
      <w:lvlText w:val=""/>
      <w:lvlJc w:val="left"/>
      <w:pPr>
        <w:ind w:left="1800" w:hanging="360"/>
      </w:pPr>
      <w:rPr>
        <w:rFonts w:ascii="Wingdings" w:hAnsi="Wingdings" w:hint="default"/>
      </w:rPr>
    </w:lvl>
    <w:lvl w:ilvl="3" w:tplc="27568406" w:tentative="1">
      <w:start w:val="1"/>
      <w:numFmt w:val="bullet"/>
      <w:lvlText w:val=""/>
      <w:lvlJc w:val="left"/>
      <w:pPr>
        <w:ind w:left="2520" w:hanging="360"/>
      </w:pPr>
      <w:rPr>
        <w:rFonts w:ascii="Symbol" w:hAnsi="Symbol" w:hint="default"/>
      </w:rPr>
    </w:lvl>
    <w:lvl w:ilvl="4" w:tplc="6A887900" w:tentative="1">
      <w:start w:val="1"/>
      <w:numFmt w:val="bullet"/>
      <w:lvlText w:val="o"/>
      <w:lvlJc w:val="left"/>
      <w:pPr>
        <w:ind w:left="3240" w:hanging="360"/>
      </w:pPr>
      <w:rPr>
        <w:rFonts w:ascii="Courier New" w:hAnsi="Courier New" w:cs="Courier New" w:hint="default"/>
      </w:rPr>
    </w:lvl>
    <w:lvl w:ilvl="5" w:tplc="5C56B852" w:tentative="1">
      <w:start w:val="1"/>
      <w:numFmt w:val="bullet"/>
      <w:lvlText w:val=""/>
      <w:lvlJc w:val="left"/>
      <w:pPr>
        <w:ind w:left="3960" w:hanging="360"/>
      </w:pPr>
      <w:rPr>
        <w:rFonts w:ascii="Wingdings" w:hAnsi="Wingdings" w:hint="default"/>
      </w:rPr>
    </w:lvl>
    <w:lvl w:ilvl="6" w:tplc="9A8675E4" w:tentative="1">
      <w:start w:val="1"/>
      <w:numFmt w:val="bullet"/>
      <w:lvlText w:val=""/>
      <w:lvlJc w:val="left"/>
      <w:pPr>
        <w:ind w:left="4680" w:hanging="360"/>
      </w:pPr>
      <w:rPr>
        <w:rFonts w:ascii="Symbol" w:hAnsi="Symbol" w:hint="default"/>
      </w:rPr>
    </w:lvl>
    <w:lvl w:ilvl="7" w:tplc="16CABE5E" w:tentative="1">
      <w:start w:val="1"/>
      <w:numFmt w:val="bullet"/>
      <w:lvlText w:val="o"/>
      <w:lvlJc w:val="left"/>
      <w:pPr>
        <w:ind w:left="5400" w:hanging="360"/>
      </w:pPr>
      <w:rPr>
        <w:rFonts w:ascii="Courier New" w:hAnsi="Courier New" w:cs="Courier New" w:hint="default"/>
      </w:rPr>
    </w:lvl>
    <w:lvl w:ilvl="8" w:tplc="A6F0BD08" w:tentative="1">
      <w:start w:val="1"/>
      <w:numFmt w:val="bullet"/>
      <w:lvlText w:val=""/>
      <w:lvlJc w:val="left"/>
      <w:pPr>
        <w:ind w:left="6120" w:hanging="360"/>
      </w:pPr>
      <w:rPr>
        <w:rFonts w:ascii="Wingdings" w:hAnsi="Wingdings" w:hint="default"/>
      </w:rPr>
    </w:lvl>
  </w:abstractNum>
  <w:abstractNum w:abstractNumId="26" w15:restartNumberingAfterBreak="0">
    <w:nsid w:val="70107864"/>
    <w:multiLevelType w:val="hybridMultilevel"/>
    <w:tmpl w:val="4A5AC3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2D11BEF"/>
    <w:multiLevelType w:val="hybridMultilevel"/>
    <w:tmpl w:val="A94C45EC"/>
    <w:lvl w:ilvl="0" w:tplc="0C090001">
      <w:start w:val="1"/>
      <w:numFmt w:val="decimal"/>
      <w:pStyle w:val="Chapternumber"/>
      <w:lvlText w:val="%1"/>
      <w:lvlJc w:val="left"/>
      <w:pPr>
        <w:ind w:left="360" w:hanging="360"/>
      </w:pPr>
      <w:rPr>
        <w:rFonts w:hint="default"/>
      </w:rPr>
    </w:lvl>
    <w:lvl w:ilvl="1" w:tplc="0C090003" w:tentative="1">
      <w:start w:val="1"/>
      <w:numFmt w:val="lowerLetter"/>
      <w:lvlText w:val="%2."/>
      <w:lvlJc w:val="left"/>
      <w:pPr>
        <w:ind w:left="1440" w:hanging="360"/>
      </w:pPr>
    </w:lvl>
    <w:lvl w:ilvl="2" w:tplc="0C090005" w:tentative="1">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abstractNum w:abstractNumId="28" w15:restartNumberingAfterBreak="0">
    <w:nsid w:val="74D55861"/>
    <w:multiLevelType w:val="hybridMultilevel"/>
    <w:tmpl w:val="103AECFE"/>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7A561065"/>
    <w:multiLevelType w:val="hybridMultilevel"/>
    <w:tmpl w:val="52A279E6"/>
    <w:lvl w:ilvl="0" w:tplc="0C09000F">
      <w:start w:val="1"/>
      <w:numFmt w:val="decimal"/>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22"/>
    <w:lvlOverride w:ilvl="0">
      <w:lvl w:ilvl="0">
        <w:numFmt w:val="decimal"/>
        <w:lvlText w:val=""/>
        <w:lvlJc w:val="left"/>
      </w:lvl>
    </w:lvlOverride>
    <w:lvlOverride w:ilvl="1">
      <w:lvl w:ilvl="1">
        <w:start w:val="1"/>
        <w:numFmt w:val="decimal"/>
        <w:lvlText w:val="%1.%2"/>
        <w:lvlJc w:val="left"/>
        <w:pPr>
          <w:tabs>
            <w:tab w:val="num" w:pos="1134"/>
          </w:tabs>
          <w:ind w:left="1134" w:hanging="1134"/>
        </w:pPr>
        <w:rPr>
          <w:rFonts w:cs="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num>
  <w:num w:numId="2">
    <w:abstractNumId w:val="21"/>
  </w:num>
  <w:num w:numId="3">
    <w:abstractNumId w:val="6"/>
  </w:num>
  <w:num w:numId="4">
    <w:abstractNumId w:val="22"/>
  </w:num>
  <w:num w:numId="5">
    <w:abstractNumId w:val="27"/>
  </w:num>
  <w:num w:numId="6">
    <w:abstractNumId w:val="16"/>
  </w:num>
  <w:num w:numId="7">
    <w:abstractNumId w:val="4"/>
  </w:num>
  <w:num w:numId="8">
    <w:abstractNumId w:val="26"/>
  </w:num>
  <w:num w:numId="9">
    <w:abstractNumId w:val="7"/>
  </w:num>
  <w:num w:numId="10">
    <w:abstractNumId w:val="18"/>
  </w:num>
  <w:num w:numId="11">
    <w:abstractNumId w:val="25"/>
  </w:num>
  <w:num w:numId="12">
    <w:abstractNumId w:val="3"/>
  </w:num>
  <w:num w:numId="13">
    <w:abstractNumId w:val="17"/>
  </w:num>
  <w:num w:numId="14">
    <w:abstractNumId w:val="10"/>
  </w:num>
  <w:num w:numId="15">
    <w:abstractNumId w:val="5"/>
  </w:num>
  <w:num w:numId="16">
    <w:abstractNumId w:val="9"/>
  </w:num>
  <w:num w:numId="17">
    <w:abstractNumId w:val="2"/>
  </w:num>
  <w:num w:numId="18">
    <w:abstractNumId w:val="1"/>
  </w:num>
  <w:num w:numId="19">
    <w:abstractNumId w:val="1"/>
    <w:lvlOverride w:ilvl="0">
      <w:startOverride w:val="1"/>
    </w:lvlOverride>
  </w:num>
  <w:num w:numId="20">
    <w:abstractNumId w:val="19"/>
  </w:num>
  <w:num w:numId="21">
    <w:abstractNumId w:val="13"/>
  </w:num>
  <w:num w:numId="22">
    <w:abstractNumId w:val="0"/>
  </w:num>
  <w:num w:numId="23">
    <w:abstractNumId w:val="12"/>
  </w:num>
  <w:num w:numId="24">
    <w:abstractNumId w:val="29"/>
    <w:lvlOverride w:ilvl="0">
      <w:startOverride w:val="1"/>
    </w:lvlOverride>
    <w:lvlOverride w:ilvl="1"/>
    <w:lvlOverride w:ilvl="2"/>
    <w:lvlOverride w:ilvl="3"/>
    <w:lvlOverride w:ilvl="4"/>
    <w:lvlOverride w:ilvl="5"/>
    <w:lvlOverride w:ilvl="6"/>
    <w:lvlOverride w:ilvl="7"/>
    <w:lvlOverride w:ilvl="8"/>
  </w:num>
  <w:num w:numId="25">
    <w:abstractNumId w:val="20"/>
  </w:num>
  <w:num w:numId="26">
    <w:abstractNumId w:val="28"/>
  </w:num>
  <w:num w:numId="27">
    <w:abstractNumId w:val="24"/>
  </w:num>
  <w:num w:numId="28">
    <w:abstractNumId w:val="11"/>
  </w:num>
  <w:num w:numId="29">
    <w:abstractNumId w:val="15"/>
  </w:num>
  <w:num w:numId="30">
    <w:abstractNumId w:val="8"/>
  </w:num>
  <w:num w:numId="31">
    <w:abstractNumId w:val="23"/>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defaultTabStop w:val="720"/>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69D"/>
    <w:rsid w:val="0000078B"/>
    <w:rsid w:val="000026D4"/>
    <w:rsid w:val="000041DC"/>
    <w:rsid w:val="000043FB"/>
    <w:rsid w:val="00010776"/>
    <w:rsid w:val="00010A13"/>
    <w:rsid w:val="00010B24"/>
    <w:rsid w:val="00012928"/>
    <w:rsid w:val="00013C05"/>
    <w:rsid w:val="00015A86"/>
    <w:rsid w:val="00016298"/>
    <w:rsid w:val="000169F8"/>
    <w:rsid w:val="00016C3A"/>
    <w:rsid w:val="000252EF"/>
    <w:rsid w:val="00025493"/>
    <w:rsid w:val="000272BD"/>
    <w:rsid w:val="00031F0C"/>
    <w:rsid w:val="00033027"/>
    <w:rsid w:val="00034E23"/>
    <w:rsid w:val="00037010"/>
    <w:rsid w:val="000403F1"/>
    <w:rsid w:val="000418F6"/>
    <w:rsid w:val="000436AF"/>
    <w:rsid w:val="0004563F"/>
    <w:rsid w:val="00045B03"/>
    <w:rsid w:val="00045CD2"/>
    <w:rsid w:val="00051189"/>
    <w:rsid w:val="00051B61"/>
    <w:rsid w:val="0005314C"/>
    <w:rsid w:val="00054556"/>
    <w:rsid w:val="00060262"/>
    <w:rsid w:val="000606A0"/>
    <w:rsid w:val="00060B89"/>
    <w:rsid w:val="00061356"/>
    <w:rsid w:val="00061BF4"/>
    <w:rsid w:val="00061FA9"/>
    <w:rsid w:val="00062230"/>
    <w:rsid w:val="000640B3"/>
    <w:rsid w:val="000646E5"/>
    <w:rsid w:val="0006541D"/>
    <w:rsid w:val="00066FF8"/>
    <w:rsid w:val="0007280F"/>
    <w:rsid w:val="000749C5"/>
    <w:rsid w:val="00076BA6"/>
    <w:rsid w:val="000775EB"/>
    <w:rsid w:val="00081B37"/>
    <w:rsid w:val="000841B0"/>
    <w:rsid w:val="0008446F"/>
    <w:rsid w:val="000859C5"/>
    <w:rsid w:val="00086A4C"/>
    <w:rsid w:val="0009015D"/>
    <w:rsid w:val="0009057F"/>
    <w:rsid w:val="00090B8D"/>
    <w:rsid w:val="000915A2"/>
    <w:rsid w:val="00092724"/>
    <w:rsid w:val="00095546"/>
    <w:rsid w:val="00096C17"/>
    <w:rsid w:val="00096C81"/>
    <w:rsid w:val="000972C5"/>
    <w:rsid w:val="0009792A"/>
    <w:rsid w:val="000A0882"/>
    <w:rsid w:val="000B50AA"/>
    <w:rsid w:val="000B59D5"/>
    <w:rsid w:val="000C31DC"/>
    <w:rsid w:val="000C6452"/>
    <w:rsid w:val="000C6D16"/>
    <w:rsid w:val="000D280B"/>
    <w:rsid w:val="000D61F3"/>
    <w:rsid w:val="000D7181"/>
    <w:rsid w:val="000D7DBA"/>
    <w:rsid w:val="000E034A"/>
    <w:rsid w:val="000E0F1F"/>
    <w:rsid w:val="000E13A5"/>
    <w:rsid w:val="000E21F5"/>
    <w:rsid w:val="000E2F53"/>
    <w:rsid w:val="000E43D3"/>
    <w:rsid w:val="000E6DB5"/>
    <w:rsid w:val="000E7A72"/>
    <w:rsid w:val="000F2C5A"/>
    <w:rsid w:val="000F3017"/>
    <w:rsid w:val="000F7EB1"/>
    <w:rsid w:val="001003E0"/>
    <w:rsid w:val="00104826"/>
    <w:rsid w:val="00105C72"/>
    <w:rsid w:val="00105F30"/>
    <w:rsid w:val="001105DF"/>
    <w:rsid w:val="00113501"/>
    <w:rsid w:val="00116350"/>
    <w:rsid w:val="001167F0"/>
    <w:rsid w:val="00120110"/>
    <w:rsid w:val="00120790"/>
    <w:rsid w:val="00120890"/>
    <w:rsid w:val="0012163E"/>
    <w:rsid w:val="00122594"/>
    <w:rsid w:val="00126C27"/>
    <w:rsid w:val="0013041D"/>
    <w:rsid w:val="00130ADC"/>
    <w:rsid w:val="00131257"/>
    <w:rsid w:val="00133DE8"/>
    <w:rsid w:val="001341D4"/>
    <w:rsid w:val="001345DB"/>
    <w:rsid w:val="00140218"/>
    <w:rsid w:val="001419BF"/>
    <w:rsid w:val="00146BB7"/>
    <w:rsid w:val="00152C6F"/>
    <w:rsid w:val="00153DC0"/>
    <w:rsid w:val="00155464"/>
    <w:rsid w:val="001629D4"/>
    <w:rsid w:val="0016375A"/>
    <w:rsid w:val="00165AB5"/>
    <w:rsid w:val="0017225F"/>
    <w:rsid w:val="00180664"/>
    <w:rsid w:val="00180C7C"/>
    <w:rsid w:val="00180CA5"/>
    <w:rsid w:val="00182443"/>
    <w:rsid w:val="001829A0"/>
    <w:rsid w:val="001832F6"/>
    <w:rsid w:val="001836AF"/>
    <w:rsid w:val="001934B1"/>
    <w:rsid w:val="001939C8"/>
    <w:rsid w:val="00193FEE"/>
    <w:rsid w:val="00196790"/>
    <w:rsid w:val="00197074"/>
    <w:rsid w:val="00197120"/>
    <w:rsid w:val="001A0954"/>
    <w:rsid w:val="001A1088"/>
    <w:rsid w:val="001A1F1E"/>
    <w:rsid w:val="001A2271"/>
    <w:rsid w:val="001A4D2F"/>
    <w:rsid w:val="001A5C44"/>
    <w:rsid w:val="001B0475"/>
    <w:rsid w:val="001B7F64"/>
    <w:rsid w:val="001C0FC4"/>
    <w:rsid w:val="001C4768"/>
    <w:rsid w:val="001C4EBA"/>
    <w:rsid w:val="001C6412"/>
    <w:rsid w:val="001D329D"/>
    <w:rsid w:val="001D61B7"/>
    <w:rsid w:val="001E00FD"/>
    <w:rsid w:val="001E17AD"/>
    <w:rsid w:val="001E20A9"/>
    <w:rsid w:val="001E3D9A"/>
    <w:rsid w:val="001E516E"/>
    <w:rsid w:val="001E64F0"/>
    <w:rsid w:val="001E6EFB"/>
    <w:rsid w:val="001E77CD"/>
    <w:rsid w:val="001F13DC"/>
    <w:rsid w:val="001F1A00"/>
    <w:rsid w:val="001F23B0"/>
    <w:rsid w:val="001F392F"/>
    <w:rsid w:val="001F4914"/>
    <w:rsid w:val="001F4B5A"/>
    <w:rsid w:val="001F5A01"/>
    <w:rsid w:val="001F5BF8"/>
    <w:rsid w:val="001F61AE"/>
    <w:rsid w:val="00201922"/>
    <w:rsid w:val="00202058"/>
    <w:rsid w:val="00202AE0"/>
    <w:rsid w:val="002036A2"/>
    <w:rsid w:val="00207ADC"/>
    <w:rsid w:val="00207CA3"/>
    <w:rsid w:val="00213350"/>
    <w:rsid w:val="0021476E"/>
    <w:rsid w:val="00216C27"/>
    <w:rsid w:val="00220271"/>
    <w:rsid w:val="00224D47"/>
    <w:rsid w:val="00225559"/>
    <w:rsid w:val="00231669"/>
    <w:rsid w:val="00233957"/>
    <w:rsid w:val="00233EF2"/>
    <w:rsid w:val="00234BC8"/>
    <w:rsid w:val="00235A3A"/>
    <w:rsid w:val="00235FC7"/>
    <w:rsid w:val="002369C8"/>
    <w:rsid w:val="00237A7C"/>
    <w:rsid w:val="002406DF"/>
    <w:rsid w:val="00240BCD"/>
    <w:rsid w:val="00240CA9"/>
    <w:rsid w:val="002417FE"/>
    <w:rsid w:val="00246EE1"/>
    <w:rsid w:val="0024780E"/>
    <w:rsid w:val="00252FF5"/>
    <w:rsid w:val="00253BA3"/>
    <w:rsid w:val="00254E63"/>
    <w:rsid w:val="00257CEE"/>
    <w:rsid w:val="00261442"/>
    <w:rsid w:val="00266115"/>
    <w:rsid w:val="002674FC"/>
    <w:rsid w:val="0027084F"/>
    <w:rsid w:val="00273A38"/>
    <w:rsid w:val="00274B74"/>
    <w:rsid w:val="00276859"/>
    <w:rsid w:val="0027761E"/>
    <w:rsid w:val="00277808"/>
    <w:rsid w:val="002846EE"/>
    <w:rsid w:val="00284D5E"/>
    <w:rsid w:val="002907DB"/>
    <w:rsid w:val="0029437A"/>
    <w:rsid w:val="00294D97"/>
    <w:rsid w:val="00296DF2"/>
    <w:rsid w:val="002A5A8C"/>
    <w:rsid w:val="002B1258"/>
    <w:rsid w:val="002B25F3"/>
    <w:rsid w:val="002B4A6F"/>
    <w:rsid w:val="002B7919"/>
    <w:rsid w:val="002C2852"/>
    <w:rsid w:val="002C3FDC"/>
    <w:rsid w:val="002C717F"/>
    <w:rsid w:val="002C7624"/>
    <w:rsid w:val="002D0080"/>
    <w:rsid w:val="002D3885"/>
    <w:rsid w:val="002D3DAE"/>
    <w:rsid w:val="002D4A6C"/>
    <w:rsid w:val="002D536F"/>
    <w:rsid w:val="002D5FBA"/>
    <w:rsid w:val="002D6440"/>
    <w:rsid w:val="002D6A79"/>
    <w:rsid w:val="002D6ABC"/>
    <w:rsid w:val="002E020E"/>
    <w:rsid w:val="002E0C44"/>
    <w:rsid w:val="002E18E0"/>
    <w:rsid w:val="002E5FA8"/>
    <w:rsid w:val="002E6351"/>
    <w:rsid w:val="002E6BF8"/>
    <w:rsid w:val="002F723B"/>
    <w:rsid w:val="00304E9B"/>
    <w:rsid w:val="00305D87"/>
    <w:rsid w:val="003110A7"/>
    <w:rsid w:val="003114F0"/>
    <w:rsid w:val="0031239E"/>
    <w:rsid w:val="00316D11"/>
    <w:rsid w:val="003205EC"/>
    <w:rsid w:val="00323103"/>
    <w:rsid w:val="00323F57"/>
    <w:rsid w:val="00323F95"/>
    <w:rsid w:val="00325635"/>
    <w:rsid w:val="0032750F"/>
    <w:rsid w:val="00327EFB"/>
    <w:rsid w:val="00330D57"/>
    <w:rsid w:val="00330DA3"/>
    <w:rsid w:val="003311B7"/>
    <w:rsid w:val="003321B1"/>
    <w:rsid w:val="0034101C"/>
    <w:rsid w:val="003414F8"/>
    <w:rsid w:val="00342DCD"/>
    <w:rsid w:val="00344C5B"/>
    <w:rsid w:val="00345ADC"/>
    <w:rsid w:val="003526A9"/>
    <w:rsid w:val="0035281C"/>
    <w:rsid w:val="00354504"/>
    <w:rsid w:val="0035512F"/>
    <w:rsid w:val="00357988"/>
    <w:rsid w:val="003605CA"/>
    <w:rsid w:val="003613EC"/>
    <w:rsid w:val="0036299D"/>
    <w:rsid w:val="003630E6"/>
    <w:rsid w:val="003643B3"/>
    <w:rsid w:val="00365614"/>
    <w:rsid w:val="00370955"/>
    <w:rsid w:val="00374D1C"/>
    <w:rsid w:val="00375B3E"/>
    <w:rsid w:val="00376B7A"/>
    <w:rsid w:val="003800CE"/>
    <w:rsid w:val="003810B5"/>
    <w:rsid w:val="003854A0"/>
    <w:rsid w:val="00386C17"/>
    <w:rsid w:val="00397016"/>
    <w:rsid w:val="003A2C90"/>
    <w:rsid w:val="003B1624"/>
    <w:rsid w:val="003B52FC"/>
    <w:rsid w:val="003B757A"/>
    <w:rsid w:val="003B7C41"/>
    <w:rsid w:val="003C129B"/>
    <w:rsid w:val="003C223C"/>
    <w:rsid w:val="003C327A"/>
    <w:rsid w:val="003D11C0"/>
    <w:rsid w:val="003D2153"/>
    <w:rsid w:val="003D40D2"/>
    <w:rsid w:val="003E190D"/>
    <w:rsid w:val="003E4241"/>
    <w:rsid w:val="003E48EB"/>
    <w:rsid w:val="003E551D"/>
    <w:rsid w:val="003E5DAB"/>
    <w:rsid w:val="003F01BE"/>
    <w:rsid w:val="003F1373"/>
    <w:rsid w:val="003F4868"/>
    <w:rsid w:val="003F54D5"/>
    <w:rsid w:val="003F6264"/>
    <w:rsid w:val="003F7B06"/>
    <w:rsid w:val="00400EE4"/>
    <w:rsid w:val="004015C2"/>
    <w:rsid w:val="00402461"/>
    <w:rsid w:val="0040260B"/>
    <w:rsid w:val="00403EA9"/>
    <w:rsid w:val="00406326"/>
    <w:rsid w:val="00410120"/>
    <w:rsid w:val="004111F8"/>
    <w:rsid w:val="004139EE"/>
    <w:rsid w:val="004159B7"/>
    <w:rsid w:val="00416BE5"/>
    <w:rsid w:val="004210FB"/>
    <w:rsid w:val="00426032"/>
    <w:rsid w:val="0043041B"/>
    <w:rsid w:val="0043723B"/>
    <w:rsid w:val="00437291"/>
    <w:rsid w:val="00442044"/>
    <w:rsid w:val="0044302F"/>
    <w:rsid w:val="00447D68"/>
    <w:rsid w:val="0045585F"/>
    <w:rsid w:val="00455E56"/>
    <w:rsid w:val="00456BF3"/>
    <w:rsid w:val="00460AFB"/>
    <w:rsid w:val="00461C06"/>
    <w:rsid w:val="00463FF8"/>
    <w:rsid w:val="00470688"/>
    <w:rsid w:val="004719A3"/>
    <w:rsid w:val="00474E81"/>
    <w:rsid w:val="004758DC"/>
    <w:rsid w:val="00476FA2"/>
    <w:rsid w:val="00477EDF"/>
    <w:rsid w:val="00482C62"/>
    <w:rsid w:val="0048329A"/>
    <w:rsid w:val="00491485"/>
    <w:rsid w:val="00491FE6"/>
    <w:rsid w:val="00495364"/>
    <w:rsid w:val="0049722F"/>
    <w:rsid w:val="00497236"/>
    <w:rsid w:val="004A013F"/>
    <w:rsid w:val="004A0A15"/>
    <w:rsid w:val="004A14A1"/>
    <w:rsid w:val="004A1719"/>
    <w:rsid w:val="004A5BE6"/>
    <w:rsid w:val="004A67C3"/>
    <w:rsid w:val="004A7986"/>
    <w:rsid w:val="004B05DC"/>
    <w:rsid w:val="004B1948"/>
    <w:rsid w:val="004B23CE"/>
    <w:rsid w:val="004B242A"/>
    <w:rsid w:val="004B315B"/>
    <w:rsid w:val="004C0613"/>
    <w:rsid w:val="004C069D"/>
    <w:rsid w:val="004C3CBF"/>
    <w:rsid w:val="004C3DBE"/>
    <w:rsid w:val="004C6614"/>
    <w:rsid w:val="004C7E63"/>
    <w:rsid w:val="004D03B4"/>
    <w:rsid w:val="004D6730"/>
    <w:rsid w:val="004D71E4"/>
    <w:rsid w:val="004E0CD3"/>
    <w:rsid w:val="004E3B3C"/>
    <w:rsid w:val="004E3FFE"/>
    <w:rsid w:val="004E5727"/>
    <w:rsid w:val="004E5825"/>
    <w:rsid w:val="004F5076"/>
    <w:rsid w:val="004F600A"/>
    <w:rsid w:val="004F7C8F"/>
    <w:rsid w:val="00500F93"/>
    <w:rsid w:val="00503017"/>
    <w:rsid w:val="005048D7"/>
    <w:rsid w:val="00506984"/>
    <w:rsid w:val="00512DDE"/>
    <w:rsid w:val="00514270"/>
    <w:rsid w:val="0051695E"/>
    <w:rsid w:val="005215ED"/>
    <w:rsid w:val="00522005"/>
    <w:rsid w:val="0052236E"/>
    <w:rsid w:val="00525305"/>
    <w:rsid w:val="005259DA"/>
    <w:rsid w:val="00530827"/>
    <w:rsid w:val="005311DB"/>
    <w:rsid w:val="00534ADF"/>
    <w:rsid w:val="0054233A"/>
    <w:rsid w:val="005428F4"/>
    <w:rsid w:val="00542F25"/>
    <w:rsid w:val="00547072"/>
    <w:rsid w:val="005537F7"/>
    <w:rsid w:val="0055427A"/>
    <w:rsid w:val="0055567A"/>
    <w:rsid w:val="0055594E"/>
    <w:rsid w:val="00557FB5"/>
    <w:rsid w:val="00560F00"/>
    <w:rsid w:val="00564988"/>
    <w:rsid w:val="0056568D"/>
    <w:rsid w:val="00567DC8"/>
    <w:rsid w:val="00575BB9"/>
    <w:rsid w:val="005765A5"/>
    <w:rsid w:val="005853B8"/>
    <w:rsid w:val="00586DF3"/>
    <w:rsid w:val="005872C2"/>
    <w:rsid w:val="005879AC"/>
    <w:rsid w:val="00590336"/>
    <w:rsid w:val="00590E37"/>
    <w:rsid w:val="0059121A"/>
    <w:rsid w:val="005939DD"/>
    <w:rsid w:val="00593F8F"/>
    <w:rsid w:val="00594E23"/>
    <w:rsid w:val="00595649"/>
    <w:rsid w:val="00596053"/>
    <w:rsid w:val="005A0B0B"/>
    <w:rsid w:val="005A2269"/>
    <w:rsid w:val="005A3507"/>
    <w:rsid w:val="005A382A"/>
    <w:rsid w:val="005A436D"/>
    <w:rsid w:val="005A6507"/>
    <w:rsid w:val="005B1403"/>
    <w:rsid w:val="005B2D21"/>
    <w:rsid w:val="005B4912"/>
    <w:rsid w:val="005B4C95"/>
    <w:rsid w:val="005B56D9"/>
    <w:rsid w:val="005B69AF"/>
    <w:rsid w:val="005B6C38"/>
    <w:rsid w:val="005C3DBB"/>
    <w:rsid w:val="005C5F75"/>
    <w:rsid w:val="005C661F"/>
    <w:rsid w:val="005D0496"/>
    <w:rsid w:val="005D12B7"/>
    <w:rsid w:val="005D1DA9"/>
    <w:rsid w:val="005D2AAF"/>
    <w:rsid w:val="005D2CB4"/>
    <w:rsid w:val="005D5B5F"/>
    <w:rsid w:val="005E0C11"/>
    <w:rsid w:val="005E3E81"/>
    <w:rsid w:val="005F00A1"/>
    <w:rsid w:val="005F0D98"/>
    <w:rsid w:val="005F4220"/>
    <w:rsid w:val="006015D2"/>
    <w:rsid w:val="00602AAE"/>
    <w:rsid w:val="00607F7F"/>
    <w:rsid w:val="0061026F"/>
    <w:rsid w:val="00610A55"/>
    <w:rsid w:val="00610C52"/>
    <w:rsid w:val="006117E5"/>
    <w:rsid w:val="00612226"/>
    <w:rsid w:val="00625BC0"/>
    <w:rsid w:val="00627AA6"/>
    <w:rsid w:val="00631829"/>
    <w:rsid w:val="00633565"/>
    <w:rsid w:val="00634BF8"/>
    <w:rsid w:val="00636CF8"/>
    <w:rsid w:val="006407B1"/>
    <w:rsid w:val="0064113A"/>
    <w:rsid w:val="0064310D"/>
    <w:rsid w:val="00644C4A"/>
    <w:rsid w:val="006456F6"/>
    <w:rsid w:val="00651E39"/>
    <w:rsid w:val="00651F5B"/>
    <w:rsid w:val="006525E5"/>
    <w:rsid w:val="00660901"/>
    <w:rsid w:val="00660D25"/>
    <w:rsid w:val="00662539"/>
    <w:rsid w:val="00663BBE"/>
    <w:rsid w:val="00664159"/>
    <w:rsid w:val="00665043"/>
    <w:rsid w:val="00666740"/>
    <w:rsid w:val="006669E1"/>
    <w:rsid w:val="00666EBD"/>
    <w:rsid w:val="00667F96"/>
    <w:rsid w:val="0067086D"/>
    <w:rsid w:val="006730CC"/>
    <w:rsid w:val="006754E5"/>
    <w:rsid w:val="00675A7C"/>
    <w:rsid w:val="00676B64"/>
    <w:rsid w:val="006778B3"/>
    <w:rsid w:val="006838CA"/>
    <w:rsid w:val="00683A75"/>
    <w:rsid w:val="00685607"/>
    <w:rsid w:val="0068611B"/>
    <w:rsid w:val="00686906"/>
    <w:rsid w:val="00691804"/>
    <w:rsid w:val="0069262A"/>
    <w:rsid w:val="00695E2D"/>
    <w:rsid w:val="0069664C"/>
    <w:rsid w:val="00697214"/>
    <w:rsid w:val="006A155A"/>
    <w:rsid w:val="006A4CEC"/>
    <w:rsid w:val="006A63F0"/>
    <w:rsid w:val="006B1695"/>
    <w:rsid w:val="006B21FC"/>
    <w:rsid w:val="006B357E"/>
    <w:rsid w:val="006C0AC1"/>
    <w:rsid w:val="006C3656"/>
    <w:rsid w:val="006C4428"/>
    <w:rsid w:val="006C4611"/>
    <w:rsid w:val="006C51DC"/>
    <w:rsid w:val="006C7702"/>
    <w:rsid w:val="006C78EC"/>
    <w:rsid w:val="006D1036"/>
    <w:rsid w:val="006D475A"/>
    <w:rsid w:val="006D488C"/>
    <w:rsid w:val="006D4F8D"/>
    <w:rsid w:val="006D71A1"/>
    <w:rsid w:val="006E5710"/>
    <w:rsid w:val="006E5E79"/>
    <w:rsid w:val="006E6C23"/>
    <w:rsid w:val="006E76AF"/>
    <w:rsid w:val="006F73A7"/>
    <w:rsid w:val="00700BDE"/>
    <w:rsid w:val="00704BAE"/>
    <w:rsid w:val="00707C33"/>
    <w:rsid w:val="00710887"/>
    <w:rsid w:val="00715A60"/>
    <w:rsid w:val="0071646F"/>
    <w:rsid w:val="00723AD9"/>
    <w:rsid w:val="00726034"/>
    <w:rsid w:val="00730ADC"/>
    <w:rsid w:val="007319E6"/>
    <w:rsid w:val="00732A67"/>
    <w:rsid w:val="0073722C"/>
    <w:rsid w:val="00737379"/>
    <w:rsid w:val="007379F6"/>
    <w:rsid w:val="00740E86"/>
    <w:rsid w:val="007441EB"/>
    <w:rsid w:val="007444B5"/>
    <w:rsid w:val="00747569"/>
    <w:rsid w:val="00754AA5"/>
    <w:rsid w:val="00754FDB"/>
    <w:rsid w:val="00755EB9"/>
    <w:rsid w:val="0076359F"/>
    <w:rsid w:val="00765EE9"/>
    <w:rsid w:val="00766493"/>
    <w:rsid w:val="00771307"/>
    <w:rsid w:val="00771702"/>
    <w:rsid w:val="0077323B"/>
    <w:rsid w:val="00773270"/>
    <w:rsid w:val="007732FF"/>
    <w:rsid w:val="00774947"/>
    <w:rsid w:val="00774A1E"/>
    <w:rsid w:val="007762E9"/>
    <w:rsid w:val="00777443"/>
    <w:rsid w:val="00782507"/>
    <w:rsid w:val="00782541"/>
    <w:rsid w:val="007856FD"/>
    <w:rsid w:val="0078713A"/>
    <w:rsid w:val="00790177"/>
    <w:rsid w:val="007903EE"/>
    <w:rsid w:val="00791A03"/>
    <w:rsid w:val="007940BD"/>
    <w:rsid w:val="00794B22"/>
    <w:rsid w:val="007951B4"/>
    <w:rsid w:val="007976F4"/>
    <w:rsid w:val="007978A4"/>
    <w:rsid w:val="007A0ACF"/>
    <w:rsid w:val="007A5B84"/>
    <w:rsid w:val="007A6E3F"/>
    <w:rsid w:val="007B21FA"/>
    <w:rsid w:val="007B3914"/>
    <w:rsid w:val="007B5BC0"/>
    <w:rsid w:val="007B70F0"/>
    <w:rsid w:val="007C2E37"/>
    <w:rsid w:val="007C5163"/>
    <w:rsid w:val="007C5D1B"/>
    <w:rsid w:val="007D27CE"/>
    <w:rsid w:val="007E47F7"/>
    <w:rsid w:val="007E498E"/>
    <w:rsid w:val="007E5EDF"/>
    <w:rsid w:val="007E5F7C"/>
    <w:rsid w:val="007E7D8B"/>
    <w:rsid w:val="007F08B9"/>
    <w:rsid w:val="007F1B3E"/>
    <w:rsid w:val="007F2F40"/>
    <w:rsid w:val="007F772D"/>
    <w:rsid w:val="00802326"/>
    <w:rsid w:val="00804031"/>
    <w:rsid w:val="008055B0"/>
    <w:rsid w:val="00807A9A"/>
    <w:rsid w:val="008157E3"/>
    <w:rsid w:val="00820E8E"/>
    <w:rsid w:val="008222F1"/>
    <w:rsid w:val="0082240B"/>
    <w:rsid w:val="008227B5"/>
    <w:rsid w:val="0082408D"/>
    <w:rsid w:val="0083007F"/>
    <w:rsid w:val="0083079C"/>
    <w:rsid w:val="00831131"/>
    <w:rsid w:val="008313E2"/>
    <w:rsid w:val="00832653"/>
    <w:rsid w:val="0083366A"/>
    <w:rsid w:val="00835A93"/>
    <w:rsid w:val="008404A5"/>
    <w:rsid w:val="00840C76"/>
    <w:rsid w:val="00842929"/>
    <w:rsid w:val="00843EF8"/>
    <w:rsid w:val="00847DA7"/>
    <w:rsid w:val="00847F40"/>
    <w:rsid w:val="0085179F"/>
    <w:rsid w:val="00851B40"/>
    <w:rsid w:val="008529A3"/>
    <w:rsid w:val="00852BCA"/>
    <w:rsid w:val="008536BF"/>
    <w:rsid w:val="008541FA"/>
    <w:rsid w:val="00861C26"/>
    <w:rsid w:val="00864F59"/>
    <w:rsid w:val="008722A2"/>
    <w:rsid w:val="008764D6"/>
    <w:rsid w:val="00876C83"/>
    <w:rsid w:val="0087768A"/>
    <w:rsid w:val="00877D62"/>
    <w:rsid w:val="008803AA"/>
    <w:rsid w:val="00882B0C"/>
    <w:rsid w:val="00882B2F"/>
    <w:rsid w:val="00886AA9"/>
    <w:rsid w:val="0088765D"/>
    <w:rsid w:val="008904F6"/>
    <w:rsid w:val="00894A00"/>
    <w:rsid w:val="00894C65"/>
    <w:rsid w:val="008A13AE"/>
    <w:rsid w:val="008A1645"/>
    <w:rsid w:val="008A4363"/>
    <w:rsid w:val="008A68FD"/>
    <w:rsid w:val="008B05F1"/>
    <w:rsid w:val="008B2F2F"/>
    <w:rsid w:val="008B4A40"/>
    <w:rsid w:val="008B4CB7"/>
    <w:rsid w:val="008B6A92"/>
    <w:rsid w:val="008B6C63"/>
    <w:rsid w:val="008C0B32"/>
    <w:rsid w:val="008C0BBB"/>
    <w:rsid w:val="008C1AD6"/>
    <w:rsid w:val="008C27BB"/>
    <w:rsid w:val="008C34BB"/>
    <w:rsid w:val="008C4568"/>
    <w:rsid w:val="008C685D"/>
    <w:rsid w:val="008C7C72"/>
    <w:rsid w:val="008D0950"/>
    <w:rsid w:val="008D0AE0"/>
    <w:rsid w:val="008D1C9A"/>
    <w:rsid w:val="008D2D0E"/>
    <w:rsid w:val="008E2C63"/>
    <w:rsid w:val="008E2E87"/>
    <w:rsid w:val="008E52E0"/>
    <w:rsid w:val="008F07DF"/>
    <w:rsid w:val="008F1C8A"/>
    <w:rsid w:val="008F1EE5"/>
    <w:rsid w:val="008F3949"/>
    <w:rsid w:val="008F6E9B"/>
    <w:rsid w:val="00901524"/>
    <w:rsid w:val="00902394"/>
    <w:rsid w:val="0090622C"/>
    <w:rsid w:val="00906296"/>
    <w:rsid w:val="00906F9A"/>
    <w:rsid w:val="00907C3D"/>
    <w:rsid w:val="00912B43"/>
    <w:rsid w:val="00912D0C"/>
    <w:rsid w:val="00913F09"/>
    <w:rsid w:val="00914DBD"/>
    <w:rsid w:val="0092079F"/>
    <w:rsid w:val="00920929"/>
    <w:rsid w:val="009214EA"/>
    <w:rsid w:val="00922654"/>
    <w:rsid w:val="00922AA3"/>
    <w:rsid w:val="00926613"/>
    <w:rsid w:val="00927FF3"/>
    <w:rsid w:val="00932CA4"/>
    <w:rsid w:val="00932CC6"/>
    <w:rsid w:val="0093558A"/>
    <w:rsid w:val="00937EAD"/>
    <w:rsid w:val="00940B87"/>
    <w:rsid w:val="00940CD3"/>
    <w:rsid w:val="00941A58"/>
    <w:rsid w:val="00952392"/>
    <w:rsid w:val="0095262B"/>
    <w:rsid w:val="00953531"/>
    <w:rsid w:val="00954309"/>
    <w:rsid w:val="00954EF7"/>
    <w:rsid w:val="009603E0"/>
    <w:rsid w:val="00960DD9"/>
    <w:rsid w:val="00961382"/>
    <w:rsid w:val="00962549"/>
    <w:rsid w:val="00963A77"/>
    <w:rsid w:val="0097078B"/>
    <w:rsid w:val="00971300"/>
    <w:rsid w:val="0098052A"/>
    <w:rsid w:val="009818C3"/>
    <w:rsid w:val="00983CD1"/>
    <w:rsid w:val="0098778C"/>
    <w:rsid w:val="0099073D"/>
    <w:rsid w:val="009913D5"/>
    <w:rsid w:val="00991B37"/>
    <w:rsid w:val="0099223F"/>
    <w:rsid w:val="00994925"/>
    <w:rsid w:val="00994C3B"/>
    <w:rsid w:val="00995253"/>
    <w:rsid w:val="009A4A5D"/>
    <w:rsid w:val="009A5791"/>
    <w:rsid w:val="009A70D7"/>
    <w:rsid w:val="009B300F"/>
    <w:rsid w:val="009B3518"/>
    <w:rsid w:val="009B5647"/>
    <w:rsid w:val="009B72AB"/>
    <w:rsid w:val="009C2DA8"/>
    <w:rsid w:val="009C3B41"/>
    <w:rsid w:val="009C41A4"/>
    <w:rsid w:val="009C5A83"/>
    <w:rsid w:val="009C7AB7"/>
    <w:rsid w:val="009C7CCA"/>
    <w:rsid w:val="009D19E6"/>
    <w:rsid w:val="009D1AF8"/>
    <w:rsid w:val="009D293A"/>
    <w:rsid w:val="009E1B78"/>
    <w:rsid w:val="009E1F00"/>
    <w:rsid w:val="009E250E"/>
    <w:rsid w:val="009E5C20"/>
    <w:rsid w:val="009F138C"/>
    <w:rsid w:val="009F1C2B"/>
    <w:rsid w:val="009F1E01"/>
    <w:rsid w:val="009F7FCC"/>
    <w:rsid w:val="00A00446"/>
    <w:rsid w:val="00A010B2"/>
    <w:rsid w:val="00A02945"/>
    <w:rsid w:val="00A02998"/>
    <w:rsid w:val="00A0384C"/>
    <w:rsid w:val="00A057F1"/>
    <w:rsid w:val="00A05CF6"/>
    <w:rsid w:val="00A06413"/>
    <w:rsid w:val="00A06FBD"/>
    <w:rsid w:val="00A10916"/>
    <w:rsid w:val="00A12EAE"/>
    <w:rsid w:val="00A15712"/>
    <w:rsid w:val="00A15975"/>
    <w:rsid w:val="00A16728"/>
    <w:rsid w:val="00A167C9"/>
    <w:rsid w:val="00A225CD"/>
    <w:rsid w:val="00A2320E"/>
    <w:rsid w:val="00A2401E"/>
    <w:rsid w:val="00A315FD"/>
    <w:rsid w:val="00A33D5D"/>
    <w:rsid w:val="00A33EBB"/>
    <w:rsid w:val="00A36135"/>
    <w:rsid w:val="00A373F3"/>
    <w:rsid w:val="00A404A1"/>
    <w:rsid w:val="00A44A06"/>
    <w:rsid w:val="00A46055"/>
    <w:rsid w:val="00A56F92"/>
    <w:rsid w:val="00A57716"/>
    <w:rsid w:val="00A60407"/>
    <w:rsid w:val="00A614F0"/>
    <w:rsid w:val="00A676BC"/>
    <w:rsid w:val="00A67D5B"/>
    <w:rsid w:val="00A70104"/>
    <w:rsid w:val="00A70387"/>
    <w:rsid w:val="00A757AF"/>
    <w:rsid w:val="00A772E4"/>
    <w:rsid w:val="00A83A24"/>
    <w:rsid w:val="00A86644"/>
    <w:rsid w:val="00A8741C"/>
    <w:rsid w:val="00A91B7E"/>
    <w:rsid w:val="00AA416C"/>
    <w:rsid w:val="00AA7546"/>
    <w:rsid w:val="00AA7F70"/>
    <w:rsid w:val="00AB008D"/>
    <w:rsid w:val="00AB143D"/>
    <w:rsid w:val="00AB462B"/>
    <w:rsid w:val="00AC212D"/>
    <w:rsid w:val="00AC2262"/>
    <w:rsid w:val="00AC3070"/>
    <w:rsid w:val="00AD0B0A"/>
    <w:rsid w:val="00AD2A77"/>
    <w:rsid w:val="00AD3469"/>
    <w:rsid w:val="00AD68CD"/>
    <w:rsid w:val="00AD78F6"/>
    <w:rsid w:val="00AE2762"/>
    <w:rsid w:val="00AE2B03"/>
    <w:rsid w:val="00AE4984"/>
    <w:rsid w:val="00AE6B19"/>
    <w:rsid w:val="00AF3703"/>
    <w:rsid w:val="00AF6F6A"/>
    <w:rsid w:val="00B029BF"/>
    <w:rsid w:val="00B02AAE"/>
    <w:rsid w:val="00B034F6"/>
    <w:rsid w:val="00B04BAC"/>
    <w:rsid w:val="00B04F2E"/>
    <w:rsid w:val="00B04FBF"/>
    <w:rsid w:val="00B05677"/>
    <w:rsid w:val="00B05F21"/>
    <w:rsid w:val="00B11362"/>
    <w:rsid w:val="00B1278D"/>
    <w:rsid w:val="00B12A7C"/>
    <w:rsid w:val="00B12E83"/>
    <w:rsid w:val="00B13032"/>
    <w:rsid w:val="00B13810"/>
    <w:rsid w:val="00B13E80"/>
    <w:rsid w:val="00B14DF9"/>
    <w:rsid w:val="00B1679F"/>
    <w:rsid w:val="00B20104"/>
    <w:rsid w:val="00B2162F"/>
    <w:rsid w:val="00B22016"/>
    <w:rsid w:val="00B22550"/>
    <w:rsid w:val="00B22DD2"/>
    <w:rsid w:val="00B24087"/>
    <w:rsid w:val="00B33496"/>
    <w:rsid w:val="00B337F8"/>
    <w:rsid w:val="00B350E4"/>
    <w:rsid w:val="00B355F7"/>
    <w:rsid w:val="00B35B37"/>
    <w:rsid w:val="00B37FEB"/>
    <w:rsid w:val="00B40FF9"/>
    <w:rsid w:val="00B42E5D"/>
    <w:rsid w:val="00B451BB"/>
    <w:rsid w:val="00B47B38"/>
    <w:rsid w:val="00B50E6C"/>
    <w:rsid w:val="00B5193C"/>
    <w:rsid w:val="00B52E93"/>
    <w:rsid w:val="00B56367"/>
    <w:rsid w:val="00B56E6B"/>
    <w:rsid w:val="00B61935"/>
    <w:rsid w:val="00B6310B"/>
    <w:rsid w:val="00B6321F"/>
    <w:rsid w:val="00B66783"/>
    <w:rsid w:val="00B70875"/>
    <w:rsid w:val="00B754BA"/>
    <w:rsid w:val="00B7624B"/>
    <w:rsid w:val="00B76938"/>
    <w:rsid w:val="00B80EFF"/>
    <w:rsid w:val="00B83964"/>
    <w:rsid w:val="00B92307"/>
    <w:rsid w:val="00B93FD0"/>
    <w:rsid w:val="00B97C98"/>
    <w:rsid w:val="00BA08F5"/>
    <w:rsid w:val="00BA21C9"/>
    <w:rsid w:val="00BA2562"/>
    <w:rsid w:val="00BA4955"/>
    <w:rsid w:val="00BA4A2A"/>
    <w:rsid w:val="00BA4F64"/>
    <w:rsid w:val="00BB2D37"/>
    <w:rsid w:val="00BC0477"/>
    <w:rsid w:val="00BC2C81"/>
    <w:rsid w:val="00BC61EE"/>
    <w:rsid w:val="00BC6AC9"/>
    <w:rsid w:val="00BD0864"/>
    <w:rsid w:val="00BD1A56"/>
    <w:rsid w:val="00BD517E"/>
    <w:rsid w:val="00BD5751"/>
    <w:rsid w:val="00BD6B72"/>
    <w:rsid w:val="00BE32DC"/>
    <w:rsid w:val="00BF167D"/>
    <w:rsid w:val="00BF2B01"/>
    <w:rsid w:val="00BF6A79"/>
    <w:rsid w:val="00C00077"/>
    <w:rsid w:val="00C02075"/>
    <w:rsid w:val="00C0282A"/>
    <w:rsid w:val="00C11447"/>
    <w:rsid w:val="00C1271B"/>
    <w:rsid w:val="00C14ECB"/>
    <w:rsid w:val="00C16BFB"/>
    <w:rsid w:val="00C16E5D"/>
    <w:rsid w:val="00C206AF"/>
    <w:rsid w:val="00C210D2"/>
    <w:rsid w:val="00C24B38"/>
    <w:rsid w:val="00C24D9A"/>
    <w:rsid w:val="00C30E67"/>
    <w:rsid w:val="00C32097"/>
    <w:rsid w:val="00C34EF7"/>
    <w:rsid w:val="00C34F57"/>
    <w:rsid w:val="00C35D43"/>
    <w:rsid w:val="00C40D38"/>
    <w:rsid w:val="00C41D9F"/>
    <w:rsid w:val="00C441EE"/>
    <w:rsid w:val="00C44B43"/>
    <w:rsid w:val="00C45CF7"/>
    <w:rsid w:val="00C463B6"/>
    <w:rsid w:val="00C55116"/>
    <w:rsid w:val="00C55D88"/>
    <w:rsid w:val="00C5697F"/>
    <w:rsid w:val="00C62A44"/>
    <w:rsid w:val="00C63BF4"/>
    <w:rsid w:val="00C66832"/>
    <w:rsid w:val="00C744D8"/>
    <w:rsid w:val="00C747EA"/>
    <w:rsid w:val="00C7792A"/>
    <w:rsid w:val="00C813AA"/>
    <w:rsid w:val="00C82389"/>
    <w:rsid w:val="00C86A41"/>
    <w:rsid w:val="00C90030"/>
    <w:rsid w:val="00C902F8"/>
    <w:rsid w:val="00C90624"/>
    <w:rsid w:val="00C9108D"/>
    <w:rsid w:val="00C94DB3"/>
    <w:rsid w:val="00C97C9B"/>
    <w:rsid w:val="00CA0154"/>
    <w:rsid w:val="00CA2837"/>
    <w:rsid w:val="00CA6611"/>
    <w:rsid w:val="00CB03A7"/>
    <w:rsid w:val="00CB1E69"/>
    <w:rsid w:val="00CB1EE6"/>
    <w:rsid w:val="00CB51B5"/>
    <w:rsid w:val="00CB5A0C"/>
    <w:rsid w:val="00CB601E"/>
    <w:rsid w:val="00CB7154"/>
    <w:rsid w:val="00CB7F0E"/>
    <w:rsid w:val="00CC0D3D"/>
    <w:rsid w:val="00CC29D1"/>
    <w:rsid w:val="00CC43FC"/>
    <w:rsid w:val="00CC5C94"/>
    <w:rsid w:val="00CC5F24"/>
    <w:rsid w:val="00CC627C"/>
    <w:rsid w:val="00CD04D9"/>
    <w:rsid w:val="00CD2064"/>
    <w:rsid w:val="00CD2C21"/>
    <w:rsid w:val="00CE0390"/>
    <w:rsid w:val="00CE38E8"/>
    <w:rsid w:val="00CE458E"/>
    <w:rsid w:val="00CE560A"/>
    <w:rsid w:val="00CE5D60"/>
    <w:rsid w:val="00CE5DBD"/>
    <w:rsid w:val="00CE5EB6"/>
    <w:rsid w:val="00CF0B09"/>
    <w:rsid w:val="00CF2938"/>
    <w:rsid w:val="00CF3E5C"/>
    <w:rsid w:val="00CF41CB"/>
    <w:rsid w:val="00CF70E3"/>
    <w:rsid w:val="00D01CF3"/>
    <w:rsid w:val="00D01EA2"/>
    <w:rsid w:val="00D0298F"/>
    <w:rsid w:val="00D02F7E"/>
    <w:rsid w:val="00D044F4"/>
    <w:rsid w:val="00D05DE7"/>
    <w:rsid w:val="00D10B0F"/>
    <w:rsid w:val="00D11024"/>
    <w:rsid w:val="00D14356"/>
    <w:rsid w:val="00D144B5"/>
    <w:rsid w:val="00D14A72"/>
    <w:rsid w:val="00D16107"/>
    <w:rsid w:val="00D16882"/>
    <w:rsid w:val="00D228B5"/>
    <w:rsid w:val="00D231EA"/>
    <w:rsid w:val="00D24E70"/>
    <w:rsid w:val="00D26AF2"/>
    <w:rsid w:val="00D3006D"/>
    <w:rsid w:val="00D3205E"/>
    <w:rsid w:val="00D32990"/>
    <w:rsid w:val="00D3351B"/>
    <w:rsid w:val="00D33A28"/>
    <w:rsid w:val="00D36862"/>
    <w:rsid w:val="00D41929"/>
    <w:rsid w:val="00D41FB7"/>
    <w:rsid w:val="00D424F7"/>
    <w:rsid w:val="00D440A2"/>
    <w:rsid w:val="00D45320"/>
    <w:rsid w:val="00D46678"/>
    <w:rsid w:val="00D5047A"/>
    <w:rsid w:val="00D53A91"/>
    <w:rsid w:val="00D6227B"/>
    <w:rsid w:val="00D63FF9"/>
    <w:rsid w:val="00D65A13"/>
    <w:rsid w:val="00D7134A"/>
    <w:rsid w:val="00D71945"/>
    <w:rsid w:val="00D74A55"/>
    <w:rsid w:val="00D75F84"/>
    <w:rsid w:val="00D80384"/>
    <w:rsid w:val="00D804C2"/>
    <w:rsid w:val="00D81033"/>
    <w:rsid w:val="00D82026"/>
    <w:rsid w:val="00D8696B"/>
    <w:rsid w:val="00D86C90"/>
    <w:rsid w:val="00D95828"/>
    <w:rsid w:val="00DA0EDB"/>
    <w:rsid w:val="00DA4B6F"/>
    <w:rsid w:val="00DA5F10"/>
    <w:rsid w:val="00DA6EC0"/>
    <w:rsid w:val="00DA760C"/>
    <w:rsid w:val="00DB15D8"/>
    <w:rsid w:val="00DB42F1"/>
    <w:rsid w:val="00DB4A43"/>
    <w:rsid w:val="00DC009C"/>
    <w:rsid w:val="00DC36DA"/>
    <w:rsid w:val="00DC3D96"/>
    <w:rsid w:val="00DC44D4"/>
    <w:rsid w:val="00DD2019"/>
    <w:rsid w:val="00DD354B"/>
    <w:rsid w:val="00DD43EB"/>
    <w:rsid w:val="00DD5331"/>
    <w:rsid w:val="00DE06CA"/>
    <w:rsid w:val="00DE13D9"/>
    <w:rsid w:val="00DE388B"/>
    <w:rsid w:val="00DE4442"/>
    <w:rsid w:val="00DE4ED9"/>
    <w:rsid w:val="00DF2CC5"/>
    <w:rsid w:val="00DF357F"/>
    <w:rsid w:val="00DF5CE4"/>
    <w:rsid w:val="00DF6B9C"/>
    <w:rsid w:val="00E03530"/>
    <w:rsid w:val="00E05D55"/>
    <w:rsid w:val="00E11300"/>
    <w:rsid w:val="00E13506"/>
    <w:rsid w:val="00E14F58"/>
    <w:rsid w:val="00E14FEE"/>
    <w:rsid w:val="00E16372"/>
    <w:rsid w:val="00E16A26"/>
    <w:rsid w:val="00E24DA5"/>
    <w:rsid w:val="00E25F60"/>
    <w:rsid w:val="00E27A1C"/>
    <w:rsid w:val="00E36936"/>
    <w:rsid w:val="00E4177B"/>
    <w:rsid w:val="00E436DC"/>
    <w:rsid w:val="00E51B84"/>
    <w:rsid w:val="00E52107"/>
    <w:rsid w:val="00E53B9B"/>
    <w:rsid w:val="00E5788B"/>
    <w:rsid w:val="00E578D3"/>
    <w:rsid w:val="00E65B67"/>
    <w:rsid w:val="00E667C0"/>
    <w:rsid w:val="00E668FE"/>
    <w:rsid w:val="00E67214"/>
    <w:rsid w:val="00E73162"/>
    <w:rsid w:val="00E75244"/>
    <w:rsid w:val="00E76759"/>
    <w:rsid w:val="00E76BD0"/>
    <w:rsid w:val="00E84075"/>
    <w:rsid w:val="00E8518F"/>
    <w:rsid w:val="00E90476"/>
    <w:rsid w:val="00E90486"/>
    <w:rsid w:val="00E92502"/>
    <w:rsid w:val="00E9314C"/>
    <w:rsid w:val="00E935A2"/>
    <w:rsid w:val="00E93C12"/>
    <w:rsid w:val="00E94E9C"/>
    <w:rsid w:val="00E952B1"/>
    <w:rsid w:val="00E96835"/>
    <w:rsid w:val="00E975AA"/>
    <w:rsid w:val="00E979AC"/>
    <w:rsid w:val="00EA0915"/>
    <w:rsid w:val="00EA09F8"/>
    <w:rsid w:val="00EA258A"/>
    <w:rsid w:val="00EA2C47"/>
    <w:rsid w:val="00EA3AD0"/>
    <w:rsid w:val="00EA3B0F"/>
    <w:rsid w:val="00EB073E"/>
    <w:rsid w:val="00EB27ED"/>
    <w:rsid w:val="00EB2A47"/>
    <w:rsid w:val="00EC2AC1"/>
    <w:rsid w:val="00EC494F"/>
    <w:rsid w:val="00ED15AE"/>
    <w:rsid w:val="00ED37C8"/>
    <w:rsid w:val="00ED527F"/>
    <w:rsid w:val="00EE00DE"/>
    <w:rsid w:val="00EE1EBB"/>
    <w:rsid w:val="00EE2673"/>
    <w:rsid w:val="00EE4E10"/>
    <w:rsid w:val="00EE582D"/>
    <w:rsid w:val="00EE7634"/>
    <w:rsid w:val="00EF28CF"/>
    <w:rsid w:val="00EF299E"/>
    <w:rsid w:val="00EF2F6B"/>
    <w:rsid w:val="00EF7246"/>
    <w:rsid w:val="00EF7C54"/>
    <w:rsid w:val="00F01900"/>
    <w:rsid w:val="00F01C11"/>
    <w:rsid w:val="00F025D5"/>
    <w:rsid w:val="00F03D2A"/>
    <w:rsid w:val="00F03D6C"/>
    <w:rsid w:val="00F041B1"/>
    <w:rsid w:val="00F06530"/>
    <w:rsid w:val="00F06E83"/>
    <w:rsid w:val="00F1261A"/>
    <w:rsid w:val="00F1357B"/>
    <w:rsid w:val="00F1392D"/>
    <w:rsid w:val="00F15579"/>
    <w:rsid w:val="00F227B8"/>
    <w:rsid w:val="00F22C7F"/>
    <w:rsid w:val="00F2301B"/>
    <w:rsid w:val="00F23C1E"/>
    <w:rsid w:val="00F267D6"/>
    <w:rsid w:val="00F32B53"/>
    <w:rsid w:val="00F334B4"/>
    <w:rsid w:val="00F33515"/>
    <w:rsid w:val="00F34D33"/>
    <w:rsid w:val="00F35B56"/>
    <w:rsid w:val="00F370CD"/>
    <w:rsid w:val="00F3727C"/>
    <w:rsid w:val="00F44133"/>
    <w:rsid w:val="00F44C21"/>
    <w:rsid w:val="00F44E22"/>
    <w:rsid w:val="00F450E1"/>
    <w:rsid w:val="00F45B16"/>
    <w:rsid w:val="00F46C04"/>
    <w:rsid w:val="00F50393"/>
    <w:rsid w:val="00F5403F"/>
    <w:rsid w:val="00F54ECF"/>
    <w:rsid w:val="00F60568"/>
    <w:rsid w:val="00F6111E"/>
    <w:rsid w:val="00F61633"/>
    <w:rsid w:val="00F61642"/>
    <w:rsid w:val="00F63B36"/>
    <w:rsid w:val="00F775E6"/>
    <w:rsid w:val="00F9024A"/>
    <w:rsid w:val="00F91E27"/>
    <w:rsid w:val="00F93EFA"/>
    <w:rsid w:val="00F9526C"/>
    <w:rsid w:val="00FA0424"/>
    <w:rsid w:val="00FA0DF0"/>
    <w:rsid w:val="00FA28CF"/>
    <w:rsid w:val="00FA4FD2"/>
    <w:rsid w:val="00FA71FF"/>
    <w:rsid w:val="00FA7967"/>
    <w:rsid w:val="00FB1CF6"/>
    <w:rsid w:val="00FB22DA"/>
    <w:rsid w:val="00FB475D"/>
    <w:rsid w:val="00FB4E22"/>
    <w:rsid w:val="00FB69A0"/>
    <w:rsid w:val="00FB7969"/>
    <w:rsid w:val="00FC36B3"/>
    <w:rsid w:val="00FC4582"/>
    <w:rsid w:val="00FC5064"/>
    <w:rsid w:val="00FC59ED"/>
    <w:rsid w:val="00FC5F9E"/>
    <w:rsid w:val="00FC6C6E"/>
    <w:rsid w:val="00FD0852"/>
    <w:rsid w:val="00FD5F3B"/>
    <w:rsid w:val="00FD7BDF"/>
    <w:rsid w:val="00FE3A00"/>
    <w:rsid w:val="00FE3C59"/>
    <w:rsid w:val="00FE4360"/>
    <w:rsid w:val="00FF285A"/>
    <w:rsid w:val="00FF2E5F"/>
    <w:rsid w:val="00FF34C4"/>
    <w:rsid w:val="00FF5905"/>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2BB912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qFormat="1"/>
    <w:lsdException w:name="annotation text" w:semiHidden="1"/>
    <w:lsdException w:name="header" w:semiHidden="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uiPriority="0" w:qFormat="1"/>
    <w:lsdException w:name="List Number" w:semiHidden="1" w:uiPriority="0"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2"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2"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9E6"/>
    <w:pPr>
      <w:spacing w:after="200" w:line="260" w:lineRule="exact"/>
    </w:pPr>
    <w:rPr>
      <w:rFonts w:ascii="Arial" w:hAnsi="Arial"/>
      <w:sz w:val="22"/>
      <w:szCs w:val="24"/>
      <w:lang w:eastAsia="en-US"/>
    </w:rPr>
  </w:style>
  <w:style w:type="paragraph" w:styleId="Heading1">
    <w:name w:val="heading 1"/>
    <w:basedOn w:val="Heading3"/>
    <w:next w:val="BodyText1"/>
    <w:qFormat/>
    <w:rsid w:val="00010B24"/>
    <w:pPr>
      <w:outlineLvl w:val="0"/>
    </w:pPr>
  </w:style>
  <w:style w:type="paragraph" w:styleId="Heading2">
    <w:name w:val="heading 2"/>
    <w:next w:val="BodyText1"/>
    <w:link w:val="Heading2Char"/>
    <w:qFormat/>
    <w:rsid w:val="008F1C8A"/>
    <w:pPr>
      <w:spacing w:after="120" w:line="260" w:lineRule="exact"/>
      <w:ind w:left="284" w:hanging="284"/>
      <w:outlineLvl w:val="1"/>
    </w:pPr>
    <w:rPr>
      <w:rFonts w:ascii="Arial" w:hAnsi="Arial"/>
      <w:b/>
      <w:spacing w:val="-6"/>
      <w:sz w:val="26"/>
      <w:szCs w:val="26"/>
      <w:lang w:eastAsia="en-US"/>
    </w:rPr>
  </w:style>
  <w:style w:type="paragraph" w:styleId="Heading3">
    <w:name w:val="heading 3"/>
    <w:next w:val="BodyText1"/>
    <w:link w:val="Heading3Char"/>
    <w:qFormat/>
    <w:rsid w:val="00F93EFA"/>
    <w:pPr>
      <w:spacing w:before="200" w:line="260" w:lineRule="exact"/>
      <w:outlineLvl w:val="2"/>
    </w:pPr>
    <w:rPr>
      <w:rFonts w:ascii="Arial" w:hAnsi="Arial"/>
      <w:b/>
      <w:bCs/>
      <w:color w:val="F79646"/>
      <w:spacing w:val="-6"/>
      <w:sz w:val="22"/>
      <w:szCs w:val="22"/>
      <w:lang w:eastAsia="en-US"/>
    </w:rPr>
  </w:style>
  <w:style w:type="paragraph" w:styleId="Heading4">
    <w:name w:val="heading 4"/>
    <w:basedOn w:val="Normal"/>
    <w:next w:val="Heading3"/>
    <w:link w:val="Heading4Char"/>
    <w:uiPriority w:val="9"/>
    <w:qFormat/>
    <w:rsid w:val="00AE6B19"/>
    <w:pPr>
      <w:keepNext/>
      <w:keepLines/>
      <w:spacing w:before="200"/>
      <w:outlineLvl w:val="3"/>
    </w:pPr>
    <w:rPr>
      <w:b/>
      <w:bCs/>
      <w:i/>
      <w:iCs/>
      <w:color w:val="C9690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terbox">
    <w:name w:val="After box"/>
    <w:next w:val="BodyText1"/>
    <w:rsid w:val="00AE6B19"/>
    <w:pPr>
      <w:spacing w:after="57" w:line="113" w:lineRule="exact"/>
    </w:pPr>
    <w:rPr>
      <w:rFonts w:ascii="Cambria" w:hAnsi="Cambria"/>
      <w:sz w:val="2"/>
      <w:szCs w:val="24"/>
      <w:lang w:eastAsia="en-US"/>
    </w:rPr>
  </w:style>
  <w:style w:type="paragraph" w:customStyle="1" w:styleId="Bodytextbeforebullets">
    <w:name w:val="Body text (before bullets)"/>
    <w:basedOn w:val="BodyText1"/>
    <w:rsid w:val="00AE6B19"/>
    <w:pPr>
      <w:spacing w:after="57"/>
    </w:pPr>
  </w:style>
  <w:style w:type="paragraph" w:customStyle="1" w:styleId="BodyText1">
    <w:name w:val="Body Text1"/>
    <w:basedOn w:val="Normal"/>
    <w:qFormat/>
    <w:rsid w:val="00F93EFA"/>
  </w:style>
  <w:style w:type="paragraph" w:customStyle="1" w:styleId="Bullets1stindent">
    <w:name w:val="Bullets (1st indent)"/>
    <w:basedOn w:val="BodyText1"/>
    <w:qFormat/>
    <w:rsid w:val="003800CE"/>
    <w:pPr>
      <w:spacing w:after="120"/>
    </w:pPr>
  </w:style>
  <w:style w:type="paragraph" w:customStyle="1" w:styleId="Bullets2ndindent">
    <w:name w:val="Bullets (2nd indent)"/>
    <w:basedOn w:val="BodyText1"/>
    <w:qFormat/>
    <w:rsid w:val="008F1C8A"/>
    <w:pPr>
      <w:spacing w:after="120"/>
      <w:ind w:left="644" w:hanging="360"/>
    </w:pPr>
  </w:style>
  <w:style w:type="numbering" w:customStyle="1" w:styleId="Bullets">
    <w:name w:val="Bullets"/>
    <w:basedOn w:val="NoList"/>
    <w:uiPriority w:val="99"/>
    <w:rsid w:val="00AE6B19"/>
    <w:pPr>
      <w:numPr>
        <w:numId w:val="6"/>
      </w:numPr>
    </w:pPr>
  </w:style>
  <w:style w:type="paragraph" w:customStyle="1" w:styleId="Figuretitle">
    <w:name w:val="Figure title"/>
    <w:basedOn w:val="Heading2"/>
    <w:next w:val="BodyText1"/>
    <w:rsid w:val="00AE6B19"/>
    <w:pPr>
      <w:numPr>
        <w:ilvl w:val="6"/>
        <w:numId w:val="4"/>
      </w:numPr>
    </w:pPr>
    <w:rPr>
      <w:szCs w:val="24"/>
    </w:rPr>
  </w:style>
  <w:style w:type="paragraph" w:customStyle="1" w:styleId="Footertext">
    <w:name w:val="Footer text"/>
    <w:semiHidden/>
    <w:rsid w:val="00AE6B19"/>
    <w:pPr>
      <w:framePr w:hSpace="181" w:wrap="around" w:vAnchor="text" w:hAnchor="page" w:x="11228" w:y="1"/>
      <w:spacing w:line="200" w:lineRule="atLeast"/>
      <w:ind w:right="113"/>
      <w:suppressOverlap/>
    </w:pPr>
    <w:rPr>
      <w:rFonts w:ascii="Arial" w:hAnsi="Arial" w:cs="Arial"/>
      <w:sz w:val="16"/>
      <w:szCs w:val="24"/>
      <w:lang w:eastAsia="en-US"/>
    </w:rPr>
  </w:style>
  <w:style w:type="paragraph" w:customStyle="1" w:styleId="Footnote">
    <w:name w:val="Footnote"/>
    <w:rsid w:val="00AE6B19"/>
    <w:pPr>
      <w:spacing w:before="85" w:after="85" w:line="160" w:lineRule="atLeast"/>
    </w:pPr>
    <w:rPr>
      <w:rFonts w:ascii="Arial" w:hAnsi="Arial" w:cs="Arial"/>
      <w:i/>
      <w:sz w:val="12"/>
      <w:szCs w:val="12"/>
      <w:lang w:eastAsia="en-US"/>
    </w:rPr>
  </w:style>
  <w:style w:type="paragraph" w:customStyle="1" w:styleId="Bulletslast1stindent">
    <w:name w:val="Bullets last (1st indent)"/>
    <w:basedOn w:val="BodyText1"/>
    <w:rsid w:val="00AE6B19"/>
    <w:pPr>
      <w:ind w:left="644" w:hanging="360"/>
    </w:pPr>
  </w:style>
  <w:style w:type="numbering" w:customStyle="1" w:styleId="Numbers">
    <w:name w:val="Numbers"/>
    <w:basedOn w:val="NoList"/>
    <w:rsid w:val="00AE6B19"/>
    <w:pPr>
      <w:numPr>
        <w:numId w:val="4"/>
      </w:numPr>
    </w:pPr>
  </w:style>
  <w:style w:type="paragraph" w:customStyle="1" w:styleId="Bulletslast2ndindent">
    <w:name w:val="Bullets last (2nd indent)"/>
    <w:basedOn w:val="BodyText1"/>
    <w:rsid w:val="00F93EFA"/>
    <w:pPr>
      <w:spacing w:after="57"/>
    </w:pPr>
  </w:style>
  <w:style w:type="paragraph" w:styleId="Subtitle">
    <w:name w:val="Subtitle"/>
    <w:basedOn w:val="Title"/>
    <w:uiPriority w:val="2"/>
    <w:qFormat/>
    <w:rsid w:val="00AE6B19"/>
    <w:pPr>
      <w:spacing w:line="300" w:lineRule="atLeast"/>
    </w:pPr>
    <w:rPr>
      <w:color w:val="FFFFFF"/>
      <w:sz w:val="24"/>
    </w:rPr>
  </w:style>
  <w:style w:type="paragraph" w:customStyle="1" w:styleId="Tablebodytext">
    <w:name w:val="Table body text"/>
    <w:link w:val="TablebodytextChar"/>
    <w:qFormat/>
    <w:rsid w:val="00AE6B19"/>
    <w:pPr>
      <w:spacing w:before="57" w:after="57" w:line="220" w:lineRule="atLeast"/>
      <w:ind w:left="96" w:right="96"/>
    </w:pPr>
    <w:rPr>
      <w:rFonts w:ascii="Arial" w:hAnsi="Arial"/>
      <w:sz w:val="17"/>
      <w:szCs w:val="24"/>
      <w:lang w:eastAsia="en-US"/>
    </w:rPr>
  </w:style>
  <w:style w:type="paragraph" w:customStyle="1" w:styleId="Tablebullets2ndindent">
    <w:name w:val="Table bullets (2nd indent)"/>
    <w:basedOn w:val="Tablebodytext"/>
    <w:qFormat/>
    <w:rsid w:val="00AE6B19"/>
    <w:pPr>
      <w:ind w:left="644" w:hanging="360"/>
    </w:pPr>
  </w:style>
  <w:style w:type="paragraph" w:customStyle="1" w:styleId="Tablebullets1stindent">
    <w:name w:val="Table bullets (1st indent)"/>
    <w:basedOn w:val="Tablebodytext"/>
    <w:qFormat/>
    <w:rsid w:val="00F93EFA"/>
    <w:pPr>
      <w:numPr>
        <w:numId w:val="21"/>
      </w:numPr>
    </w:pPr>
  </w:style>
  <w:style w:type="paragraph" w:customStyle="1" w:styleId="Tablecolumnheading">
    <w:name w:val="Table column heading"/>
    <w:basedOn w:val="Tablebodytext"/>
    <w:uiPriority w:val="99"/>
    <w:qFormat/>
    <w:rsid w:val="00AE6B19"/>
    <w:pPr>
      <w:keepNext/>
    </w:pPr>
    <w:rPr>
      <w:b/>
    </w:rPr>
  </w:style>
  <w:style w:type="paragraph" w:customStyle="1" w:styleId="Title2">
    <w:name w:val="Title 2"/>
    <w:basedOn w:val="Title"/>
    <w:uiPriority w:val="2"/>
    <w:semiHidden/>
    <w:rsid w:val="00AE6B19"/>
  </w:style>
  <w:style w:type="paragraph" w:customStyle="1" w:styleId="Tabletitle">
    <w:name w:val="Table title"/>
    <w:basedOn w:val="Heading2"/>
    <w:next w:val="BodyText1"/>
    <w:rsid w:val="00AE6B19"/>
    <w:pPr>
      <w:numPr>
        <w:ilvl w:val="8"/>
        <w:numId w:val="4"/>
      </w:numPr>
    </w:pPr>
    <w:rPr>
      <w:szCs w:val="24"/>
    </w:rPr>
  </w:style>
  <w:style w:type="paragraph" w:styleId="Title">
    <w:name w:val="Title"/>
    <w:basedOn w:val="Heading1"/>
    <w:uiPriority w:val="2"/>
    <w:qFormat/>
    <w:rsid w:val="00010B24"/>
  </w:style>
  <w:style w:type="paragraph" w:customStyle="1" w:styleId="Boxheading">
    <w:name w:val="Box heading"/>
    <w:next w:val="BodyText1"/>
    <w:uiPriority w:val="1"/>
    <w:rsid w:val="00AE6B19"/>
    <w:pPr>
      <w:spacing w:line="240" w:lineRule="atLeast"/>
    </w:pPr>
    <w:rPr>
      <w:rFonts w:ascii="Arial" w:hAnsi="Arial"/>
      <w:b/>
      <w:color w:val="4B5869"/>
      <w:sz w:val="22"/>
      <w:szCs w:val="24"/>
      <w:lang w:eastAsia="en-US"/>
    </w:rPr>
  </w:style>
  <w:style w:type="paragraph" w:styleId="Footer">
    <w:name w:val="footer"/>
    <w:basedOn w:val="Normal"/>
    <w:link w:val="FooterChar"/>
    <w:uiPriority w:val="99"/>
    <w:rsid w:val="00AE6B19"/>
    <w:pPr>
      <w:tabs>
        <w:tab w:val="center" w:pos="4320"/>
        <w:tab w:val="right" w:pos="8640"/>
      </w:tabs>
    </w:pPr>
  </w:style>
  <w:style w:type="table" w:styleId="TableGrid">
    <w:name w:val="Table Grid"/>
    <w:basedOn w:val="TableNormal"/>
    <w:rsid w:val="00AE6B19"/>
    <w:rPr>
      <w:rFonts w:ascii="Arial" w:hAnsi="Arial"/>
    </w:rPr>
    <w:tblPr>
      <w:tblCellMar>
        <w:left w:w="0" w:type="dxa"/>
        <w:right w:w="0" w:type="dxa"/>
      </w:tblCellMar>
    </w:tblPr>
  </w:style>
  <w:style w:type="paragraph" w:styleId="BalloonText">
    <w:name w:val="Balloon Text"/>
    <w:basedOn w:val="Normal"/>
    <w:link w:val="BalloonTextChar"/>
    <w:uiPriority w:val="99"/>
    <w:semiHidden/>
    <w:rsid w:val="00AE6B19"/>
    <w:rPr>
      <w:rFonts w:ascii="Tahoma" w:hAnsi="Tahoma" w:cs="Tahoma"/>
      <w:sz w:val="16"/>
      <w:szCs w:val="16"/>
    </w:rPr>
  </w:style>
  <w:style w:type="character" w:customStyle="1" w:styleId="BalloonTextChar">
    <w:name w:val="Balloon Text Char"/>
    <w:link w:val="BalloonText"/>
    <w:uiPriority w:val="99"/>
    <w:semiHidden/>
    <w:rsid w:val="00AE6B19"/>
    <w:rPr>
      <w:rFonts w:ascii="Tahoma" w:hAnsi="Tahoma" w:cs="Tahoma"/>
      <w:sz w:val="16"/>
      <w:szCs w:val="16"/>
      <w:lang w:eastAsia="en-US"/>
    </w:rPr>
  </w:style>
  <w:style w:type="paragraph" w:styleId="Header">
    <w:name w:val="header"/>
    <w:basedOn w:val="Normal"/>
    <w:link w:val="HeaderChar"/>
    <w:uiPriority w:val="99"/>
    <w:semiHidden/>
    <w:rsid w:val="00AE6B19"/>
    <w:pPr>
      <w:tabs>
        <w:tab w:val="center" w:pos="4680"/>
        <w:tab w:val="right" w:pos="9360"/>
      </w:tabs>
    </w:pPr>
  </w:style>
  <w:style w:type="character" w:customStyle="1" w:styleId="HeaderChar">
    <w:name w:val="Header Char"/>
    <w:link w:val="Header"/>
    <w:uiPriority w:val="99"/>
    <w:semiHidden/>
    <w:rsid w:val="00AE6B19"/>
    <w:rPr>
      <w:rFonts w:ascii="Cambria" w:hAnsi="Cambria"/>
      <w:szCs w:val="24"/>
      <w:lang w:eastAsia="en-US"/>
    </w:rPr>
  </w:style>
  <w:style w:type="paragraph" w:customStyle="1" w:styleId="Subtitle2">
    <w:name w:val="Subtitle 2"/>
    <w:uiPriority w:val="2"/>
    <w:rsid w:val="00AE6B19"/>
    <w:pPr>
      <w:spacing w:before="200"/>
      <w:contextualSpacing/>
    </w:pPr>
    <w:rPr>
      <w:rFonts w:ascii="Arial" w:hAnsi="Arial"/>
      <w:caps/>
      <w:color w:val="1C2735"/>
      <w:kern w:val="28"/>
      <w:sz w:val="22"/>
      <w:szCs w:val="32"/>
      <w:lang w:eastAsia="en-US"/>
    </w:rPr>
  </w:style>
  <w:style w:type="character" w:customStyle="1" w:styleId="Blue">
    <w:name w:val="Blue"/>
    <w:semiHidden/>
    <w:qFormat/>
    <w:rsid w:val="00AE6B19"/>
    <w:rPr>
      <w:color w:val="45C7ED"/>
    </w:rPr>
  </w:style>
  <w:style w:type="paragraph" w:customStyle="1" w:styleId="Subheading">
    <w:name w:val="Subheading"/>
    <w:next w:val="BodyText1"/>
    <w:qFormat/>
    <w:rsid w:val="0054233A"/>
    <w:pPr>
      <w:spacing w:before="284" w:line="300" w:lineRule="exact"/>
      <w:ind w:left="284" w:hanging="284"/>
    </w:pPr>
    <w:rPr>
      <w:rFonts w:ascii="Arial" w:hAnsi="Arial"/>
      <w:color w:val="FFFFFF"/>
      <w:spacing w:val="-6"/>
      <w:sz w:val="24"/>
      <w:szCs w:val="28"/>
      <w:lang w:val="en-US" w:eastAsia="en-US"/>
    </w:rPr>
  </w:style>
  <w:style w:type="paragraph" w:customStyle="1" w:styleId="Boxtext">
    <w:name w:val="Box text"/>
    <w:basedOn w:val="Tablebodytext"/>
    <w:uiPriority w:val="1"/>
    <w:rsid w:val="00AE6B19"/>
    <w:pPr>
      <w:ind w:left="0" w:right="0"/>
    </w:pPr>
    <w:rPr>
      <w:color w:val="4B5869"/>
    </w:rPr>
  </w:style>
  <w:style w:type="paragraph" w:customStyle="1" w:styleId="ColorfulGrid-Accent11">
    <w:name w:val="Colorful Grid - Accent 11"/>
    <w:aliases w:val="Quote/emphasis"/>
    <w:link w:val="ColorfulGrid-Accent1Char"/>
    <w:rsid w:val="001A0954"/>
    <w:pPr>
      <w:spacing w:before="170" w:after="170" w:line="260" w:lineRule="atLeast"/>
    </w:pPr>
    <w:rPr>
      <w:rFonts w:ascii="Cambria" w:hAnsi="Cambria"/>
      <w:i/>
      <w:iCs/>
      <w:color w:val="000000"/>
      <w:spacing w:val="-2"/>
      <w:sz w:val="22"/>
      <w:szCs w:val="22"/>
      <w:lang w:eastAsia="en-US"/>
    </w:rPr>
  </w:style>
  <w:style w:type="character" w:customStyle="1" w:styleId="ColorfulGrid-Accent1Char">
    <w:name w:val="Colorful Grid - Accent 1 Char"/>
    <w:aliases w:val="Quote/emphasis Char"/>
    <w:link w:val="ColorfulGrid-Accent11"/>
    <w:rsid w:val="001A0954"/>
    <w:rPr>
      <w:rFonts w:ascii="Cambria" w:hAnsi="Cambria"/>
      <w:i/>
      <w:iCs/>
      <w:color w:val="000000"/>
      <w:spacing w:val="-2"/>
      <w:sz w:val="22"/>
      <w:szCs w:val="22"/>
      <w:lang w:val="en-AU" w:eastAsia="en-US" w:bidi="ar-SA"/>
    </w:rPr>
  </w:style>
  <w:style w:type="table" w:customStyle="1" w:styleId="DOFDtexttable">
    <w:name w:val="DOFD_text table"/>
    <w:basedOn w:val="TableNormal"/>
    <w:uiPriority w:val="99"/>
    <w:qFormat/>
    <w:rsid w:val="00AE6B19"/>
    <w:pPr>
      <w:spacing w:before="57"/>
    </w:pPr>
    <w:rPr>
      <w:rFonts w:ascii="Cambria" w:hAnsi="Cambria"/>
    </w:rPr>
    <w:tblPr>
      <w:tblBorders>
        <w:top w:val="single" w:sz="2" w:space="0" w:color="A5ABB6"/>
        <w:left w:val="single" w:sz="2" w:space="0" w:color="A5ABB6"/>
        <w:bottom w:val="single" w:sz="2" w:space="0" w:color="A5ABB6"/>
        <w:right w:val="single" w:sz="2" w:space="0" w:color="A5ABB6"/>
        <w:insideH w:val="single" w:sz="2" w:space="0" w:color="A5ABB6"/>
        <w:insideV w:val="single" w:sz="2" w:space="0" w:color="A5ABB6"/>
      </w:tblBorders>
      <w:tblCellMar>
        <w:top w:w="170" w:type="dxa"/>
        <w:left w:w="227" w:type="dxa"/>
        <w:bottom w:w="113" w:type="dxa"/>
        <w:right w:w="227" w:type="dxa"/>
      </w:tblCellMar>
    </w:tblPr>
    <w:trPr>
      <w:cantSplit/>
    </w:trPr>
    <w:tblStylePr w:type="firstRow">
      <w:rPr>
        <w:rFonts w:ascii="Arial" w:hAnsi="Arial"/>
        <w:b w:val="0"/>
        <w:color w:val="4B5869"/>
        <w:sz w:val="22"/>
      </w:rPr>
      <w:tblPr/>
      <w:trPr>
        <w:tblHeader/>
      </w:trPr>
      <w:tcPr>
        <w:tcBorders>
          <w:top w:val="nil"/>
          <w:left w:val="nil"/>
          <w:bottom w:val="nil"/>
          <w:right w:val="nil"/>
          <w:insideH w:val="nil"/>
          <w:insideV w:val="nil"/>
          <w:tl2br w:val="nil"/>
          <w:tr2bl w:val="nil"/>
        </w:tcBorders>
        <w:shd w:val="clear" w:color="auto" w:fill="DBF4FB"/>
        <w:tcMar>
          <w:top w:w="113" w:type="dxa"/>
          <w:left w:w="0" w:type="nil"/>
          <w:bottom w:w="113" w:type="dxa"/>
          <w:right w:w="0" w:type="nil"/>
        </w:tcMar>
      </w:tcPr>
    </w:tblStylePr>
  </w:style>
  <w:style w:type="character" w:customStyle="1" w:styleId="ArialBlackBlue">
    <w:name w:val="Arial Black Blue"/>
    <w:uiPriority w:val="1"/>
    <w:semiHidden/>
    <w:qFormat/>
    <w:rsid w:val="00AE6B19"/>
    <w:rPr>
      <w:rFonts w:ascii="Arial Black" w:hAnsi="Arial Black"/>
      <w:color w:val="45C7ED"/>
    </w:rPr>
  </w:style>
  <w:style w:type="character" w:styleId="PageNumber">
    <w:name w:val="page number"/>
    <w:uiPriority w:val="99"/>
    <w:semiHidden/>
    <w:qFormat/>
    <w:rsid w:val="00AE6B19"/>
    <w:rPr>
      <w:rFonts w:ascii="Arial" w:hAnsi="Arial"/>
      <w:b/>
      <w:color w:val="1C2735"/>
      <w:spacing w:val="-20"/>
      <w:sz w:val="16"/>
      <w:lang w:val="en-AU"/>
    </w:rPr>
  </w:style>
  <w:style w:type="paragraph" w:customStyle="1" w:styleId="Chapternumber">
    <w:name w:val="Chapter number"/>
    <w:semiHidden/>
    <w:qFormat/>
    <w:rsid w:val="00AE6B19"/>
    <w:pPr>
      <w:numPr>
        <w:numId w:val="5"/>
      </w:numPr>
      <w:spacing w:line="940" w:lineRule="exact"/>
      <w:ind w:left="142" w:firstLine="0"/>
    </w:pPr>
    <w:rPr>
      <w:rFonts w:ascii="Arial" w:hAnsi="Arial" w:cs="Arial"/>
      <w:b/>
      <w:color w:val="DADDE1"/>
      <w:sz w:val="94"/>
      <w:szCs w:val="94"/>
      <w:lang w:eastAsia="en-US"/>
    </w:rPr>
  </w:style>
  <w:style w:type="paragraph" w:styleId="FootnoteText">
    <w:name w:val="footnote text"/>
    <w:link w:val="FootnoteTextChar"/>
    <w:uiPriority w:val="99"/>
    <w:semiHidden/>
    <w:qFormat/>
    <w:rsid w:val="00AE6B19"/>
    <w:pPr>
      <w:tabs>
        <w:tab w:val="left" w:pos="284"/>
      </w:tabs>
      <w:spacing w:after="20" w:line="260" w:lineRule="atLeast"/>
      <w:ind w:left="284" w:hanging="284"/>
    </w:pPr>
    <w:rPr>
      <w:rFonts w:ascii="Arial" w:hAnsi="Arial"/>
      <w:color w:val="4B5869"/>
      <w:sz w:val="15"/>
      <w:lang w:eastAsia="en-US"/>
    </w:rPr>
  </w:style>
  <w:style w:type="character" w:customStyle="1" w:styleId="FootnoteTextChar">
    <w:name w:val="Footnote Text Char"/>
    <w:link w:val="FootnoteText"/>
    <w:uiPriority w:val="99"/>
    <w:semiHidden/>
    <w:rsid w:val="00AE6B19"/>
    <w:rPr>
      <w:rFonts w:ascii="Arial" w:hAnsi="Arial"/>
      <w:color w:val="4B5869"/>
      <w:sz w:val="15"/>
      <w:lang w:val="en-AU" w:eastAsia="en-US" w:bidi="ar-SA"/>
    </w:rPr>
  </w:style>
  <w:style w:type="character" w:styleId="FootnoteReference">
    <w:name w:val="footnote reference"/>
    <w:uiPriority w:val="99"/>
    <w:semiHidden/>
    <w:rsid w:val="00AE6B19"/>
    <w:rPr>
      <w:vertAlign w:val="superscript"/>
    </w:rPr>
  </w:style>
  <w:style w:type="paragraph" w:customStyle="1" w:styleId="Boxtitle">
    <w:name w:val="Box title"/>
    <w:basedOn w:val="Boxheading"/>
    <w:uiPriority w:val="1"/>
    <w:rsid w:val="00AE6B19"/>
    <w:pPr>
      <w:spacing w:before="113" w:after="113"/>
    </w:pPr>
    <w:rPr>
      <w:color w:val="45C7ED"/>
    </w:rPr>
  </w:style>
  <w:style w:type="paragraph" w:customStyle="1" w:styleId="Notetitle">
    <w:name w:val="Note title"/>
    <w:basedOn w:val="Heading2"/>
    <w:rsid w:val="00AE6B19"/>
    <w:pPr>
      <w:numPr>
        <w:ilvl w:val="7"/>
        <w:numId w:val="4"/>
      </w:numPr>
    </w:pPr>
  </w:style>
  <w:style w:type="character" w:customStyle="1" w:styleId="Black">
    <w:name w:val="Black"/>
    <w:uiPriority w:val="1"/>
    <w:semiHidden/>
    <w:qFormat/>
    <w:rsid w:val="00AE6B19"/>
    <w:rPr>
      <w:color w:val="1C2735"/>
      <w:lang w:val="en-AU"/>
    </w:rPr>
  </w:style>
  <w:style w:type="paragraph" w:customStyle="1" w:styleId="Numberedpara1stindent">
    <w:name w:val="Numbered para (1st indent)"/>
    <w:basedOn w:val="BodyText1"/>
    <w:rsid w:val="00AE6B19"/>
    <w:pPr>
      <w:numPr>
        <w:ilvl w:val="3"/>
        <w:numId w:val="4"/>
      </w:numPr>
    </w:pPr>
  </w:style>
  <w:style w:type="paragraph" w:customStyle="1" w:styleId="Numberedpara2ndindent">
    <w:name w:val="Numbered para (2nd indent)"/>
    <w:basedOn w:val="BodyText1"/>
    <w:rsid w:val="00AE6B19"/>
    <w:pPr>
      <w:numPr>
        <w:ilvl w:val="4"/>
        <w:numId w:val="4"/>
      </w:numPr>
    </w:pPr>
  </w:style>
  <w:style w:type="paragraph" w:customStyle="1" w:styleId="Numberedpara3rdindent">
    <w:name w:val="Numbered para (3rd indent)"/>
    <w:basedOn w:val="BodyText1"/>
    <w:rsid w:val="00AE6B19"/>
    <w:pPr>
      <w:numPr>
        <w:ilvl w:val="5"/>
        <w:numId w:val="4"/>
      </w:numPr>
    </w:pPr>
  </w:style>
  <w:style w:type="character" w:styleId="Hyperlink">
    <w:name w:val="Hyperlink"/>
    <w:uiPriority w:val="99"/>
    <w:rsid w:val="00660901"/>
    <w:rPr>
      <w:color w:val="0D6F8B"/>
      <w:u w:val="single"/>
    </w:rPr>
  </w:style>
  <w:style w:type="paragraph" w:customStyle="1" w:styleId="ColorfulList-Accent11">
    <w:name w:val="Colorful List - Accent 11"/>
    <w:basedOn w:val="Normal"/>
    <w:uiPriority w:val="34"/>
    <w:rsid w:val="00AE6B19"/>
    <w:pPr>
      <w:spacing w:line="276" w:lineRule="auto"/>
      <w:ind w:left="720"/>
      <w:contextualSpacing/>
    </w:pPr>
    <w:rPr>
      <w:rFonts w:eastAsia="Cambria"/>
      <w:szCs w:val="22"/>
    </w:rPr>
  </w:style>
  <w:style w:type="character" w:customStyle="1" w:styleId="Heading4Char">
    <w:name w:val="Heading 4 Char"/>
    <w:link w:val="Heading4"/>
    <w:uiPriority w:val="9"/>
    <w:rsid w:val="00AE6B19"/>
    <w:rPr>
      <w:rFonts w:ascii="Arial" w:eastAsia="Times New Roman" w:hAnsi="Arial" w:cs="Times New Roman"/>
      <w:b/>
      <w:bCs/>
      <w:i/>
      <w:iCs/>
      <w:color w:val="C96904"/>
      <w:szCs w:val="24"/>
      <w:lang w:val="en-US" w:eastAsia="en-US"/>
    </w:rPr>
  </w:style>
  <w:style w:type="paragraph" w:customStyle="1" w:styleId="BodyCopy">
    <w:name w:val="Body Copy"/>
    <w:basedOn w:val="Normal"/>
    <w:uiPriority w:val="99"/>
    <w:rsid w:val="00AE6B19"/>
    <w:pPr>
      <w:suppressAutoHyphens/>
      <w:autoSpaceDE w:val="0"/>
      <w:autoSpaceDN w:val="0"/>
      <w:adjustRightInd w:val="0"/>
      <w:spacing w:before="113" w:line="250" w:lineRule="atLeast"/>
      <w:textAlignment w:val="center"/>
    </w:pPr>
    <w:rPr>
      <w:rFonts w:ascii="Cambria" w:hAnsi="Cambria" w:cs="Cambria"/>
      <w:color w:val="000000"/>
      <w:spacing w:val="-1"/>
      <w:szCs w:val="20"/>
      <w:lang w:val="en-GB" w:eastAsia="en-AU"/>
    </w:rPr>
  </w:style>
  <w:style w:type="paragraph" w:customStyle="1" w:styleId="DateYear">
    <w:name w:val="Date:Year"/>
    <w:basedOn w:val="Normal"/>
    <w:link w:val="DateYearChar"/>
    <w:rsid w:val="00AE6B19"/>
    <w:pPr>
      <w:jc w:val="center"/>
    </w:pPr>
    <w:rPr>
      <w:rFonts w:cs="Arial"/>
      <w:b/>
      <w:caps/>
      <w:color w:val="FFFFFF"/>
    </w:rPr>
  </w:style>
  <w:style w:type="character" w:customStyle="1" w:styleId="DateYearChar">
    <w:name w:val="Date:Year Char"/>
    <w:link w:val="DateYear"/>
    <w:rsid w:val="00AE6B19"/>
    <w:rPr>
      <w:rFonts w:ascii="Arial" w:hAnsi="Arial" w:cs="Arial"/>
      <w:b/>
      <w:caps/>
      <w:color w:val="FFFFFF"/>
      <w:szCs w:val="24"/>
      <w:lang w:eastAsia="en-US"/>
    </w:rPr>
  </w:style>
  <w:style w:type="paragraph" w:customStyle="1" w:styleId="BasicParagraph">
    <w:name w:val="[Basic Paragraph]"/>
    <w:basedOn w:val="Normal"/>
    <w:uiPriority w:val="99"/>
    <w:rsid w:val="0099073D"/>
    <w:pPr>
      <w:autoSpaceDE w:val="0"/>
      <w:autoSpaceDN w:val="0"/>
      <w:adjustRightInd w:val="0"/>
      <w:spacing w:after="0" w:line="288" w:lineRule="auto"/>
      <w:textAlignment w:val="center"/>
    </w:pPr>
    <w:rPr>
      <w:rFonts w:ascii="Minion Pro" w:hAnsi="Minion Pro" w:cs="Minion Pro"/>
      <w:color w:val="000000"/>
      <w:sz w:val="24"/>
      <w:lang w:val="en-GB" w:eastAsia="en-AU"/>
    </w:rPr>
  </w:style>
  <w:style w:type="character" w:customStyle="1" w:styleId="FooterChar">
    <w:name w:val="Footer Char"/>
    <w:link w:val="Footer"/>
    <w:uiPriority w:val="99"/>
    <w:rsid w:val="00C86A41"/>
    <w:rPr>
      <w:rFonts w:ascii="Cambria" w:hAnsi="Cambria"/>
      <w:sz w:val="22"/>
      <w:szCs w:val="24"/>
      <w:lang w:eastAsia="en-US"/>
    </w:rPr>
  </w:style>
  <w:style w:type="paragraph" w:styleId="ListBullet">
    <w:name w:val="List Bullet"/>
    <w:basedOn w:val="Normal"/>
    <w:qFormat/>
    <w:rsid w:val="00F93EFA"/>
    <w:pPr>
      <w:numPr>
        <w:numId w:val="20"/>
      </w:numPr>
      <w:spacing w:line="240" w:lineRule="auto"/>
      <w:contextualSpacing/>
    </w:pPr>
  </w:style>
  <w:style w:type="paragraph" w:styleId="ListNumber">
    <w:name w:val="List Number"/>
    <w:basedOn w:val="Normal"/>
    <w:qFormat/>
    <w:rsid w:val="00240CA9"/>
    <w:pPr>
      <w:numPr>
        <w:numId w:val="18"/>
      </w:numPr>
      <w:spacing w:line="240" w:lineRule="auto"/>
      <w:ind w:left="357" w:hanging="357"/>
      <w:contextualSpacing/>
    </w:pPr>
  </w:style>
  <w:style w:type="paragraph" w:customStyle="1" w:styleId="Sourcenotetext">
    <w:name w:val="Source/note text"/>
    <w:qFormat/>
    <w:rsid w:val="00240CA9"/>
    <w:pPr>
      <w:spacing w:before="85" w:after="85"/>
    </w:pPr>
    <w:rPr>
      <w:rFonts w:ascii="Arial" w:hAnsi="Arial" w:cs="Arial"/>
      <w:i/>
      <w:sz w:val="12"/>
      <w:szCs w:val="12"/>
      <w:lang w:eastAsia="en-US"/>
    </w:rPr>
  </w:style>
  <w:style w:type="paragraph" w:styleId="BodyText">
    <w:name w:val="Body Text"/>
    <w:basedOn w:val="Normal"/>
    <w:link w:val="BodyTextChar"/>
    <w:rsid w:val="00240CA9"/>
    <w:pPr>
      <w:spacing w:after="120" w:line="240" w:lineRule="auto"/>
    </w:pPr>
    <w:rPr>
      <w:rFonts w:eastAsia="Cambria"/>
      <w:szCs w:val="22"/>
    </w:rPr>
  </w:style>
  <w:style w:type="character" w:customStyle="1" w:styleId="BodyTextChar">
    <w:name w:val="Body Text Char"/>
    <w:link w:val="BodyText"/>
    <w:rsid w:val="00240CA9"/>
    <w:rPr>
      <w:rFonts w:ascii="Cambria" w:eastAsia="Cambria" w:hAnsi="Cambria"/>
      <w:sz w:val="22"/>
      <w:szCs w:val="22"/>
      <w:lang w:eastAsia="en-US"/>
    </w:rPr>
  </w:style>
  <w:style w:type="paragraph" w:customStyle="1" w:styleId="BodyText2">
    <w:name w:val="Body Text2"/>
    <w:basedOn w:val="Normal"/>
    <w:qFormat/>
    <w:rsid w:val="004C069D"/>
    <w:rPr>
      <w:rFonts w:ascii="Cambria" w:hAnsi="Cambria"/>
    </w:rPr>
  </w:style>
  <w:style w:type="character" w:customStyle="1" w:styleId="LightExpertusefortablenumbers">
    <w:name w:val="Light Expert (use for table numbers)"/>
    <w:rsid w:val="004C069D"/>
  </w:style>
  <w:style w:type="character" w:customStyle="1" w:styleId="SuperscriptTableNote">
    <w:name w:val="Superscript (Table Note)"/>
    <w:rsid w:val="004C069D"/>
    <w:rPr>
      <w:rFonts w:ascii="TheSansSemiBold-Plain" w:hAnsi="TheSansSemiBold-Plain"/>
      <w:b/>
      <w:position w:val="4"/>
      <w:sz w:val="14"/>
    </w:rPr>
  </w:style>
  <w:style w:type="character" w:customStyle="1" w:styleId="SuperscriptBody">
    <w:name w:val="Superscript (Body)"/>
    <w:rsid w:val="004C069D"/>
    <w:rPr>
      <w:rFonts w:ascii="TheSansSemiBold-Plain" w:hAnsi="TheSansSemiBold-Plain"/>
      <w:b/>
      <w:position w:val="6"/>
      <w:sz w:val="14"/>
    </w:rPr>
  </w:style>
  <w:style w:type="character" w:customStyle="1" w:styleId="SuperscriptTableBold">
    <w:name w:val="Superscript (Table Bold)"/>
    <w:rsid w:val="004C069D"/>
    <w:rPr>
      <w:rFonts w:ascii="TheSansSemiBold-Plain" w:hAnsi="TheSansSemiBold-Plain" w:cs="TheSansSemiBold-Plain"/>
      <w:b/>
      <w:bCs/>
      <w:position w:val="4"/>
      <w:sz w:val="14"/>
      <w:szCs w:val="14"/>
    </w:rPr>
  </w:style>
  <w:style w:type="table" w:styleId="LightShading">
    <w:name w:val="Light Shading"/>
    <w:basedOn w:val="TableNormal"/>
    <w:uiPriority w:val="60"/>
    <w:rsid w:val="0032750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TOCHeading">
    <w:name w:val="TOC Heading"/>
    <w:basedOn w:val="Heading1"/>
    <w:next w:val="Normal"/>
    <w:uiPriority w:val="39"/>
    <w:semiHidden/>
    <w:unhideWhenUsed/>
    <w:qFormat/>
    <w:rsid w:val="00220271"/>
    <w:pPr>
      <w:keepLines/>
      <w:spacing w:before="480" w:line="276" w:lineRule="auto"/>
      <w:outlineLvl w:val="9"/>
    </w:pPr>
    <w:rPr>
      <w:rFonts w:ascii="Cambria" w:hAnsi="Cambria"/>
      <w:b w:val="0"/>
      <w:bCs w:val="0"/>
      <w:color w:val="365F91"/>
      <w:spacing w:val="0"/>
      <w:sz w:val="28"/>
      <w:szCs w:val="28"/>
      <w:lang w:eastAsia="ja-JP"/>
    </w:rPr>
  </w:style>
  <w:style w:type="paragraph" w:styleId="TOC1">
    <w:name w:val="toc 1"/>
    <w:basedOn w:val="Normal"/>
    <w:next w:val="Normal"/>
    <w:autoRedefine/>
    <w:uiPriority w:val="39"/>
    <w:rsid w:val="00220271"/>
    <w:pPr>
      <w:spacing w:after="100"/>
    </w:pPr>
  </w:style>
  <w:style w:type="paragraph" w:styleId="TOC3">
    <w:name w:val="toc 3"/>
    <w:basedOn w:val="Normal"/>
    <w:next w:val="Normal"/>
    <w:autoRedefine/>
    <w:uiPriority w:val="39"/>
    <w:rsid w:val="00220271"/>
    <w:pPr>
      <w:spacing w:after="100"/>
      <w:ind w:left="440"/>
    </w:pPr>
  </w:style>
  <w:style w:type="character" w:customStyle="1" w:styleId="TablebodytextChar">
    <w:name w:val="Table body text Char"/>
    <w:link w:val="Tablebodytext"/>
    <w:rsid w:val="00220271"/>
    <w:rPr>
      <w:rFonts w:ascii="Arial" w:hAnsi="Arial"/>
      <w:sz w:val="17"/>
      <w:szCs w:val="24"/>
      <w:lang w:eastAsia="en-US"/>
    </w:rPr>
  </w:style>
  <w:style w:type="paragraph" w:customStyle="1" w:styleId="Heading3nonumbers">
    <w:name w:val="Heading 3 (no numbers)"/>
    <w:basedOn w:val="Heading3"/>
    <w:next w:val="Normal"/>
    <w:qFormat/>
    <w:rsid w:val="00220271"/>
    <w:pPr>
      <w:keepNext/>
      <w:keepLines/>
      <w:spacing w:before="284" w:after="113" w:line="240" w:lineRule="auto"/>
    </w:pPr>
    <w:rPr>
      <w:bCs w:val="0"/>
      <w:color w:val="auto"/>
      <w:sz w:val="26"/>
      <w:szCs w:val="26"/>
    </w:rPr>
  </w:style>
  <w:style w:type="paragraph" w:styleId="TOC2">
    <w:name w:val="toc 2"/>
    <w:basedOn w:val="Normal"/>
    <w:next w:val="Normal"/>
    <w:autoRedefine/>
    <w:uiPriority w:val="39"/>
    <w:rsid w:val="00220271"/>
    <w:pPr>
      <w:spacing w:after="100"/>
      <w:ind w:left="220"/>
    </w:pPr>
  </w:style>
  <w:style w:type="paragraph" w:styleId="ListParagraph">
    <w:name w:val="List Paragraph"/>
    <w:basedOn w:val="Normal"/>
    <w:uiPriority w:val="34"/>
    <w:qFormat/>
    <w:rsid w:val="00B52E93"/>
    <w:pPr>
      <w:spacing w:after="0" w:line="240" w:lineRule="auto"/>
      <w:ind w:left="720"/>
    </w:pPr>
    <w:rPr>
      <w:rFonts w:ascii="Calibri" w:eastAsia="Calibri" w:hAnsi="Calibri" w:cs="Calibri"/>
      <w:szCs w:val="22"/>
    </w:rPr>
  </w:style>
  <w:style w:type="paragraph" w:customStyle="1" w:styleId="Proposaltitle">
    <w:name w:val="Proposal title"/>
    <w:basedOn w:val="Tablebodytext"/>
    <w:link w:val="ProposaltitleChar"/>
    <w:qFormat/>
    <w:rsid w:val="00B52E93"/>
    <w:pPr>
      <w:spacing w:line="240" w:lineRule="auto"/>
    </w:pPr>
    <w:rPr>
      <w:b/>
    </w:rPr>
  </w:style>
  <w:style w:type="character" w:customStyle="1" w:styleId="ProposaltitleChar">
    <w:name w:val="Proposal title Char"/>
    <w:link w:val="Proposaltitle"/>
    <w:locked/>
    <w:rsid w:val="00B52E93"/>
    <w:rPr>
      <w:rFonts w:ascii="Arial" w:hAnsi="Arial"/>
      <w:b/>
      <w:sz w:val="17"/>
      <w:szCs w:val="24"/>
      <w:lang w:eastAsia="en-US"/>
    </w:rPr>
  </w:style>
  <w:style w:type="paragraph" w:customStyle="1" w:styleId="TableUnitsRow">
    <w:name w:val="Table Units Row"/>
    <w:basedOn w:val="Normal"/>
    <w:rsid w:val="00B52E93"/>
    <w:pPr>
      <w:keepNext/>
      <w:keepLines/>
      <w:spacing w:before="80" w:after="80" w:line="220" w:lineRule="atLeast"/>
      <w:ind w:left="6" w:right="113"/>
      <w:jc w:val="right"/>
    </w:pPr>
    <w:rPr>
      <w:sz w:val="20"/>
      <w:szCs w:val="20"/>
      <w:lang w:val="en-US"/>
    </w:rPr>
  </w:style>
  <w:style w:type="paragraph" w:customStyle="1" w:styleId="TableColumnHeading0">
    <w:name w:val="Table Column Heading"/>
    <w:basedOn w:val="Normal"/>
    <w:rsid w:val="00B52E93"/>
    <w:pPr>
      <w:keepNext/>
      <w:keepLines/>
      <w:spacing w:before="80" w:after="80" w:line="220" w:lineRule="atLeast"/>
      <w:ind w:left="6" w:right="113"/>
      <w:jc w:val="right"/>
    </w:pPr>
    <w:rPr>
      <w:i/>
      <w:sz w:val="20"/>
      <w:szCs w:val="20"/>
      <w:lang w:val="en-US"/>
    </w:rPr>
  </w:style>
  <w:style w:type="character" w:customStyle="1" w:styleId="Heading2Char">
    <w:name w:val="Heading 2 Char"/>
    <w:link w:val="Heading2"/>
    <w:rsid w:val="00D16882"/>
    <w:rPr>
      <w:rFonts w:ascii="Arial" w:hAnsi="Arial"/>
      <w:b/>
      <w:spacing w:val="-6"/>
      <w:sz w:val="26"/>
      <w:szCs w:val="26"/>
      <w:lang w:eastAsia="en-US"/>
    </w:rPr>
  </w:style>
  <w:style w:type="table" w:styleId="MediumGrid1-Accent6">
    <w:name w:val="Medium Grid 1 Accent 6"/>
    <w:basedOn w:val="TableNormal"/>
    <w:uiPriority w:val="67"/>
    <w:rsid w:val="0088765D"/>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
    <w:name w:val="Medium Grid 1 - Accent 61"/>
    <w:basedOn w:val="TableNormal"/>
    <w:next w:val="MediumGrid1-Accent6"/>
    <w:uiPriority w:val="67"/>
    <w:rsid w:val="00DC36DA"/>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2">
    <w:name w:val="Medium Grid 1 - Accent 62"/>
    <w:basedOn w:val="TableNormal"/>
    <w:next w:val="MediumGrid1-Accent6"/>
    <w:uiPriority w:val="67"/>
    <w:rsid w:val="001934B1"/>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3">
    <w:name w:val="Medium Grid 1 - Accent 63"/>
    <w:basedOn w:val="TableNormal"/>
    <w:next w:val="MediumGrid1-Accent6"/>
    <w:uiPriority w:val="67"/>
    <w:rsid w:val="00202058"/>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4">
    <w:name w:val="Medium Grid 1 - Accent 64"/>
    <w:basedOn w:val="TableNormal"/>
    <w:next w:val="MediumGrid1-Accent6"/>
    <w:uiPriority w:val="67"/>
    <w:rsid w:val="00607F7F"/>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CommentReference">
    <w:name w:val="annotation reference"/>
    <w:uiPriority w:val="99"/>
    <w:semiHidden/>
    <w:rsid w:val="0004563F"/>
    <w:rPr>
      <w:sz w:val="16"/>
      <w:szCs w:val="16"/>
    </w:rPr>
  </w:style>
  <w:style w:type="paragraph" w:styleId="CommentText">
    <w:name w:val="annotation text"/>
    <w:basedOn w:val="Normal"/>
    <w:link w:val="CommentTextChar"/>
    <w:uiPriority w:val="99"/>
    <w:semiHidden/>
    <w:rsid w:val="0004563F"/>
    <w:pPr>
      <w:spacing w:line="240" w:lineRule="auto"/>
    </w:pPr>
    <w:rPr>
      <w:sz w:val="20"/>
      <w:szCs w:val="20"/>
    </w:rPr>
  </w:style>
  <w:style w:type="character" w:customStyle="1" w:styleId="CommentTextChar">
    <w:name w:val="Comment Text Char"/>
    <w:link w:val="CommentText"/>
    <w:uiPriority w:val="99"/>
    <w:semiHidden/>
    <w:rsid w:val="0004563F"/>
    <w:rPr>
      <w:rFonts w:ascii="Arial" w:hAnsi="Arial"/>
      <w:lang w:eastAsia="en-US"/>
    </w:rPr>
  </w:style>
  <w:style w:type="paragraph" w:styleId="CommentSubject">
    <w:name w:val="annotation subject"/>
    <w:basedOn w:val="CommentText"/>
    <w:next w:val="CommentText"/>
    <w:link w:val="CommentSubjectChar"/>
    <w:uiPriority w:val="99"/>
    <w:semiHidden/>
    <w:rsid w:val="0004563F"/>
    <w:rPr>
      <w:b/>
      <w:bCs/>
    </w:rPr>
  </w:style>
  <w:style w:type="character" w:customStyle="1" w:styleId="CommentSubjectChar">
    <w:name w:val="Comment Subject Char"/>
    <w:link w:val="CommentSubject"/>
    <w:uiPriority w:val="99"/>
    <w:semiHidden/>
    <w:rsid w:val="0004563F"/>
    <w:rPr>
      <w:rFonts w:ascii="Arial" w:hAnsi="Arial"/>
      <w:b/>
      <w:bCs/>
      <w:lang w:eastAsia="en-US"/>
    </w:rPr>
  </w:style>
  <w:style w:type="table" w:customStyle="1" w:styleId="MediumGrid1-Accent65">
    <w:name w:val="Medium Grid 1 - Accent 65"/>
    <w:basedOn w:val="TableNormal"/>
    <w:next w:val="MediumGrid1-Accent6"/>
    <w:uiPriority w:val="67"/>
    <w:rsid w:val="00AC2262"/>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6">
    <w:name w:val="Medium Grid 1 - Accent 66"/>
    <w:basedOn w:val="TableNormal"/>
    <w:next w:val="MediumGrid1-Accent6"/>
    <w:uiPriority w:val="67"/>
    <w:rsid w:val="00456BF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7">
    <w:name w:val="Medium Grid 1 - Accent 67"/>
    <w:basedOn w:val="TableNormal"/>
    <w:next w:val="MediumGrid1-Accent6"/>
    <w:uiPriority w:val="67"/>
    <w:rsid w:val="00C97C9B"/>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8">
    <w:name w:val="Medium Grid 1 - Accent 68"/>
    <w:basedOn w:val="TableNormal"/>
    <w:next w:val="MediumGrid1-Accent6"/>
    <w:uiPriority w:val="67"/>
    <w:rsid w:val="009C41A4"/>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customStyle="1" w:styleId="Heading3Char">
    <w:name w:val="Heading 3 Char"/>
    <w:link w:val="Heading3"/>
    <w:rsid w:val="00AF6F6A"/>
    <w:rPr>
      <w:rFonts w:ascii="Arial" w:hAnsi="Arial"/>
      <w:b/>
      <w:bCs/>
      <w:color w:val="F79646"/>
      <w:spacing w:val="-6"/>
      <w:sz w:val="22"/>
      <w:szCs w:val="22"/>
      <w:lang w:eastAsia="en-US"/>
    </w:rPr>
  </w:style>
  <w:style w:type="table" w:customStyle="1" w:styleId="MediumGrid1-Accent69">
    <w:name w:val="Medium Grid 1 - Accent 69"/>
    <w:basedOn w:val="TableNormal"/>
    <w:next w:val="MediumGrid1-Accent6"/>
    <w:uiPriority w:val="67"/>
    <w:rsid w:val="00747569"/>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1">
    <w:name w:val="Medium Grid 1 - Accent 611"/>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0">
    <w:name w:val="Medium Grid 1 - Accent 610"/>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2">
    <w:name w:val="Medium Grid 1 - Accent 612"/>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3">
    <w:name w:val="Medium Grid 1 - Accent 613"/>
    <w:basedOn w:val="TableNormal"/>
    <w:next w:val="MediumGrid1-Accent6"/>
    <w:uiPriority w:val="67"/>
    <w:rsid w:val="00F34D3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4">
    <w:name w:val="Medium Grid 1 - Accent 614"/>
    <w:basedOn w:val="TableNormal"/>
    <w:next w:val="MediumGrid1-Accent6"/>
    <w:uiPriority w:val="67"/>
    <w:rsid w:val="00F34D3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5">
    <w:name w:val="Medium Grid 1 - Accent 615"/>
    <w:basedOn w:val="TableNormal"/>
    <w:next w:val="MediumGrid1-Accent6"/>
    <w:uiPriority w:val="67"/>
    <w:rsid w:val="00686906"/>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FollowedHyperlink">
    <w:name w:val="FollowedHyperlink"/>
    <w:uiPriority w:val="99"/>
    <w:semiHidden/>
    <w:rsid w:val="00FB7969"/>
    <w:rPr>
      <w:color w:val="800080"/>
      <w:u w:val="single"/>
    </w:rPr>
  </w:style>
  <w:style w:type="paragraph" w:customStyle="1" w:styleId="note">
    <w:name w:val="note"/>
    <w:basedOn w:val="Normal"/>
    <w:uiPriority w:val="99"/>
    <w:rsid w:val="00730ADC"/>
    <w:pPr>
      <w:widowControl w:val="0"/>
      <w:suppressAutoHyphens/>
      <w:autoSpaceDE w:val="0"/>
      <w:autoSpaceDN w:val="0"/>
      <w:adjustRightInd w:val="0"/>
      <w:spacing w:after="113" w:line="200" w:lineRule="atLeast"/>
      <w:textAlignment w:val="center"/>
    </w:pPr>
    <w:rPr>
      <w:rFonts w:cs="Interstate-Light"/>
      <w:color w:val="000000"/>
      <w:sz w:val="18"/>
      <w:szCs w:val="16"/>
      <w:lang w:val="en-GB"/>
    </w:rPr>
  </w:style>
  <w:style w:type="paragraph" w:customStyle="1" w:styleId="TableParagraph">
    <w:name w:val="Table Paragraph"/>
    <w:basedOn w:val="Normal"/>
    <w:uiPriority w:val="1"/>
    <w:qFormat/>
    <w:rsid w:val="00730ADC"/>
    <w:pPr>
      <w:widowControl w:val="0"/>
      <w:autoSpaceDE w:val="0"/>
      <w:autoSpaceDN w:val="0"/>
      <w:adjustRightInd w:val="0"/>
      <w:spacing w:after="0" w:line="240" w:lineRule="auto"/>
    </w:pPr>
    <w:rPr>
      <w:rFonts w:ascii="Times New Roman" w:eastAsia="MS Mincho" w:hAnsi="Times New Roman"/>
      <w:sz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412645">
      <w:bodyDiv w:val="1"/>
      <w:marLeft w:val="0"/>
      <w:marRight w:val="0"/>
      <w:marTop w:val="0"/>
      <w:marBottom w:val="0"/>
      <w:divBdr>
        <w:top w:val="none" w:sz="0" w:space="0" w:color="auto"/>
        <w:left w:val="none" w:sz="0" w:space="0" w:color="auto"/>
        <w:bottom w:val="none" w:sz="0" w:space="0" w:color="auto"/>
        <w:right w:val="none" w:sz="0" w:space="0" w:color="auto"/>
      </w:divBdr>
      <w:divsChild>
        <w:div w:id="864514656">
          <w:marLeft w:val="0"/>
          <w:marRight w:val="0"/>
          <w:marTop w:val="0"/>
          <w:marBottom w:val="0"/>
          <w:divBdr>
            <w:top w:val="none" w:sz="0" w:space="0" w:color="auto"/>
            <w:left w:val="none" w:sz="0" w:space="0" w:color="auto"/>
            <w:bottom w:val="none" w:sz="0" w:space="0" w:color="auto"/>
            <w:right w:val="none" w:sz="0" w:space="0" w:color="auto"/>
          </w:divBdr>
          <w:divsChild>
            <w:div w:id="188752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669072">
      <w:bodyDiv w:val="1"/>
      <w:marLeft w:val="0"/>
      <w:marRight w:val="0"/>
      <w:marTop w:val="0"/>
      <w:marBottom w:val="0"/>
      <w:divBdr>
        <w:top w:val="none" w:sz="0" w:space="0" w:color="auto"/>
        <w:left w:val="none" w:sz="0" w:space="0" w:color="auto"/>
        <w:bottom w:val="none" w:sz="0" w:space="0" w:color="auto"/>
        <w:right w:val="none" w:sz="0" w:space="0" w:color="auto"/>
      </w:divBdr>
    </w:div>
    <w:div w:id="772557980">
      <w:bodyDiv w:val="1"/>
      <w:marLeft w:val="0"/>
      <w:marRight w:val="0"/>
      <w:marTop w:val="0"/>
      <w:marBottom w:val="0"/>
      <w:divBdr>
        <w:top w:val="none" w:sz="0" w:space="0" w:color="auto"/>
        <w:left w:val="none" w:sz="0" w:space="0" w:color="auto"/>
        <w:bottom w:val="none" w:sz="0" w:space="0" w:color="auto"/>
        <w:right w:val="none" w:sz="0" w:space="0" w:color="auto"/>
      </w:divBdr>
    </w:div>
    <w:div w:id="845245656">
      <w:bodyDiv w:val="1"/>
      <w:marLeft w:val="0"/>
      <w:marRight w:val="0"/>
      <w:marTop w:val="0"/>
      <w:marBottom w:val="0"/>
      <w:divBdr>
        <w:top w:val="none" w:sz="0" w:space="0" w:color="auto"/>
        <w:left w:val="none" w:sz="0" w:space="0" w:color="auto"/>
        <w:bottom w:val="none" w:sz="0" w:space="0" w:color="auto"/>
        <w:right w:val="none" w:sz="0" w:space="0" w:color="auto"/>
      </w:divBdr>
    </w:div>
    <w:div w:id="898367767">
      <w:bodyDiv w:val="1"/>
      <w:marLeft w:val="0"/>
      <w:marRight w:val="0"/>
      <w:marTop w:val="0"/>
      <w:marBottom w:val="0"/>
      <w:divBdr>
        <w:top w:val="none" w:sz="0" w:space="0" w:color="auto"/>
        <w:left w:val="none" w:sz="0" w:space="0" w:color="auto"/>
        <w:bottom w:val="none" w:sz="0" w:space="0" w:color="auto"/>
        <w:right w:val="none" w:sz="0" w:space="0" w:color="auto"/>
      </w:divBdr>
    </w:div>
    <w:div w:id="940988917">
      <w:bodyDiv w:val="1"/>
      <w:marLeft w:val="0"/>
      <w:marRight w:val="0"/>
      <w:marTop w:val="0"/>
      <w:marBottom w:val="0"/>
      <w:divBdr>
        <w:top w:val="none" w:sz="0" w:space="0" w:color="auto"/>
        <w:left w:val="none" w:sz="0" w:space="0" w:color="auto"/>
        <w:bottom w:val="none" w:sz="0" w:space="0" w:color="auto"/>
        <w:right w:val="none" w:sz="0" w:space="0" w:color="auto"/>
      </w:divBdr>
      <w:divsChild>
        <w:div w:id="1702707683">
          <w:marLeft w:val="0"/>
          <w:marRight w:val="0"/>
          <w:marTop w:val="0"/>
          <w:marBottom w:val="0"/>
          <w:divBdr>
            <w:top w:val="none" w:sz="0" w:space="0" w:color="auto"/>
            <w:left w:val="none" w:sz="0" w:space="0" w:color="auto"/>
            <w:bottom w:val="none" w:sz="0" w:space="0" w:color="auto"/>
            <w:right w:val="none" w:sz="0" w:space="0" w:color="auto"/>
          </w:divBdr>
          <w:divsChild>
            <w:div w:id="5304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440230">
      <w:bodyDiv w:val="1"/>
      <w:marLeft w:val="0"/>
      <w:marRight w:val="0"/>
      <w:marTop w:val="0"/>
      <w:marBottom w:val="0"/>
      <w:divBdr>
        <w:top w:val="none" w:sz="0" w:space="0" w:color="auto"/>
        <w:left w:val="none" w:sz="0" w:space="0" w:color="auto"/>
        <w:bottom w:val="none" w:sz="0" w:space="0" w:color="auto"/>
        <w:right w:val="none" w:sz="0" w:space="0" w:color="auto"/>
      </w:divBdr>
      <w:divsChild>
        <w:div w:id="142284700">
          <w:marLeft w:val="0"/>
          <w:marRight w:val="0"/>
          <w:marTop w:val="0"/>
          <w:marBottom w:val="0"/>
          <w:divBdr>
            <w:top w:val="none" w:sz="0" w:space="0" w:color="auto"/>
            <w:left w:val="none" w:sz="0" w:space="0" w:color="auto"/>
            <w:bottom w:val="none" w:sz="0" w:space="0" w:color="auto"/>
            <w:right w:val="none" w:sz="0" w:space="0" w:color="auto"/>
          </w:divBdr>
          <w:divsChild>
            <w:div w:id="127579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600864">
      <w:bodyDiv w:val="1"/>
      <w:marLeft w:val="0"/>
      <w:marRight w:val="0"/>
      <w:marTop w:val="0"/>
      <w:marBottom w:val="0"/>
      <w:divBdr>
        <w:top w:val="none" w:sz="0" w:space="0" w:color="auto"/>
        <w:left w:val="none" w:sz="0" w:space="0" w:color="auto"/>
        <w:bottom w:val="none" w:sz="0" w:space="0" w:color="auto"/>
        <w:right w:val="none" w:sz="0" w:space="0" w:color="auto"/>
      </w:divBdr>
    </w:div>
    <w:div w:id="1330064562">
      <w:bodyDiv w:val="1"/>
      <w:marLeft w:val="0"/>
      <w:marRight w:val="0"/>
      <w:marTop w:val="0"/>
      <w:marBottom w:val="0"/>
      <w:divBdr>
        <w:top w:val="none" w:sz="0" w:space="0" w:color="auto"/>
        <w:left w:val="none" w:sz="0" w:space="0" w:color="auto"/>
        <w:bottom w:val="none" w:sz="0" w:space="0" w:color="auto"/>
        <w:right w:val="none" w:sz="0" w:space="0" w:color="auto"/>
      </w:divBdr>
    </w:div>
    <w:div w:id="1342660130">
      <w:bodyDiv w:val="1"/>
      <w:marLeft w:val="0"/>
      <w:marRight w:val="0"/>
      <w:marTop w:val="0"/>
      <w:marBottom w:val="0"/>
      <w:divBdr>
        <w:top w:val="none" w:sz="0" w:space="0" w:color="auto"/>
        <w:left w:val="none" w:sz="0" w:space="0" w:color="auto"/>
        <w:bottom w:val="none" w:sz="0" w:space="0" w:color="auto"/>
        <w:right w:val="none" w:sz="0" w:space="0" w:color="auto"/>
      </w:divBdr>
    </w:div>
    <w:div w:id="1355039787">
      <w:bodyDiv w:val="1"/>
      <w:marLeft w:val="0"/>
      <w:marRight w:val="0"/>
      <w:marTop w:val="0"/>
      <w:marBottom w:val="0"/>
      <w:divBdr>
        <w:top w:val="none" w:sz="0" w:space="0" w:color="auto"/>
        <w:left w:val="none" w:sz="0" w:space="0" w:color="auto"/>
        <w:bottom w:val="none" w:sz="0" w:space="0" w:color="auto"/>
        <w:right w:val="none" w:sz="0" w:space="0" w:color="auto"/>
      </w:divBdr>
    </w:div>
    <w:div w:id="1422410848">
      <w:bodyDiv w:val="1"/>
      <w:marLeft w:val="0"/>
      <w:marRight w:val="0"/>
      <w:marTop w:val="0"/>
      <w:marBottom w:val="0"/>
      <w:divBdr>
        <w:top w:val="none" w:sz="0" w:space="0" w:color="auto"/>
        <w:left w:val="none" w:sz="0" w:space="0" w:color="auto"/>
        <w:bottom w:val="none" w:sz="0" w:space="0" w:color="auto"/>
        <w:right w:val="none" w:sz="0" w:space="0" w:color="auto"/>
      </w:divBdr>
    </w:div>
    <w:div w:id="1578710640">
      <w:bodyDiv w:val="1"/>
      <w:marLeft w:val="0"/>
      <w:marRight w:val="0"/>
      <w:marTop w:val="0"/>
      <w:marBottom w:val="0"/>
      <w:divBdr>
        <w:top w:val="none" w:sz="0" w:space="0" w:color="auto"/>
        <w:left w:val="none" w:sz="0" w:space="0" w:color="auto"/>
        <w:bottom w:val="none" w:sz="0" w:space="0" w:color="auto"/>
        <w:right w:val="none" w:sz="0" w:space="0" w:color="auto"/>
      </w:divBdr>
    </w:div>
    <w:div w:id="1830633963">
      <w:bodyDiv w:val="1"/>
      <w:marLeft w:val="0"/>
      <w:marRight w:val="0"/>
      <w:marTop w:val="0"/>
      <w:marBottom w:val="0"/>
      <w:divBdr>
        <w:top w:val="none" w:sz="0" w:space="0" w:color="auto"/>
        <w:left w:val="none" w:sz="0" w:space="0" w:color="auto"/>
        <w:bottom w:val="none" w:sz="0" w:space="0" w:color="auto"/>
        <w:right w:val="none" w:sz="0" w:space="0" w:color="auto"/>
      </w:divBdr>
    </w:div>
    <w:div w:id="1851288663">
      <w:bodyDiv w:val="1"/>
      <w:marLeft w:val="0"/>
      <w:marRight w:val="0"/>
      <w:marTop w:val="0"/>
      <w:marBottom w:val="0"/>
      <w:divBdr>
        <w:top w:val="none" w:sz="0" w:space="0" w:color="auto"/>
        <w:left w:val="none" w:sz="0" w:space="0" w:color="auto"/>
        <w:bottom w:val="none" w:sz="0" w:space="0" w:color="auto"/>
        <w:right w:val="none" w:sz="0" w:space="0" w:color="auto"/>
      </w:divBdr>
    </w:div>
    <w:div w:id="1937707869">
      <w:bodyDiv w:val="1"/>
      <w:marLeft w:val="0"/>
      <w:marRight w:val="0"/>
      <w:marTop w:val="0"/>
      <w:marBottom w:val="0"/>
      <w:divBdr>
        <w:top w:val="none" w:sz="0" w:space="0" w:color="auto"/>
        <w:left w:val="none" w:sz="0" w:space="0" w:color="auto"/>
        <w:bottom w:val="none" w:sz="0" w:space="0" w:color="auto"/>
        <w:right w:val="none" w:sz="0" w:space="0" w:color="auto"/>
      </w:divBdr>
    </w:div>
    <w:div w:id="2057389817">
      <w:bodyDiv w:val="1"/>
      <w:marLeft w:val="0"/>
      <w:marRight w:val="0"/>
      <w:marTop w:val="0"/>
      <w:marBottom w:val="0"/>
      <w:divBdr>
        <w:top w:val="none" w:sz="0" w:space="0" w:color="auto"/>
        <w:left w:val="none" w:sz="0" w:space="0" w:color="auto"/>
        <w:bottom w:val="none" w:sz="0" w:space="0" w:color="auto"/>
        <w:right w:val="none" w:sz="0" w:space="0" w:color="auto"/>
      </w:divBdr>
    </w:div>
    <w:div w:id="212758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2" Type="http://schemas.openxmlformats.org/officeDocument/2006/relationships/image" Target="file:///H:\web%20posts\g_server:WORK%20IN%20PROGRESS:14010%20PM&amp;C%20Best%20Practice%20Regulation%20Report%202012-13:Word%20templates:cover.pdf" TargetMode="External"/><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MC Document" ma:contentTypeID="0x0101002825A64A6E1845A99A9D8EE8A5686ECB009B58D7D72C3ED54C851955501673F8AC" ma:contentTypeVersion="11" ma:contentTypeDescription="PMC Document" ma:contentTypeScope="" ma:versionID="dce88d5783c8e6ea69d4384014b5f83d">
  <xsd:schema xmlns:xsd="http://www.w3.org/2001/XMLSchema" xmlns:xs="http://www.w3.org/2001/XMLSchema" xmlns:p="http://schemas.microsoft.com/office/2006/metadata/properties" xmlns:ns1="166541c0-0594-4e6a-9105-c24d4b6de6f7" xmlns:ns3="685f9fda-bd71-4433-b331-92feb9553089" targetNamespace="http://schemas.microsoft.com/office/2006/metadata/properties" ma:root="true" ma:fieldsID="35b41bab6e866c3568f1ad78d1998483" ns1:_="" ns3:_="">
    <xsd:import namespace="166541c0-0594-4e6a-9105-c24d4b6de6f7"/>
    <xsd:import namespace="685f9fda-bd71-4433-b331-92feb9553089"/>
    <xsd:element name="properties">
      <xsd:complexType>
        <xsd:sequence>
          <xsd:element name="documentManagement">
            <xsd:complexType>
              <xsd:all>
                <xsd:element ref="ns1:ShareHubID" minOccurs="0"/>
                <xsd:element ref="ns3:NonRecordJustification"/>
                <xsd:element ref="ns1:PMCNotes" minOccurs="0"/>
                <xsd:element ref="ns1:mc5611b894cf49d8aeeb8ebf39dc09bc" minOccurs="0"/>
                <xsd:element ref="ns1:TaxCatchAll" minOccurs="0"/>
                <xsd:element ref="ns1:TaxCatchAllLabel" minOccurs="0"/>
                <xsd:element ref="ns1:jd1c641577414dfdab1686c9d5d0dbd0" minOccurs="0"/>
                <xsd:element ref="ns1:SharedWithUsers" minOccurs="0"/>
                <xsd:element ref="ns1:hc4a8f51d7584793bcee84017ea96cb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6541c0-0594-4e6a-9105-c24d4b6de6f7" elementFormDefault="qualified">
    <xsd:import namespace="http://schemas.microsoft.com/office/2006/documentManagement/types"/>
    <xsd:import namespace="http://schemas.microsoft.com/office/infopath/2007/PartnerControls"/>
    <xsd:element name="ShareHubID" ma:index="0" nillable="true" ma:displayName="Record ID" ma:indexed="true" ma:internalName="ShareHubID">
      <xsd:simpleType>
        <xsd:restriction base="dms:Text">
          <xsd:maxLength value="255"/>
        </xsd:restriction>
      </xsd:simpleType>
    </xsd:element>
    <xsd:element name="PMCNotes" ma:index="6" nillable="true" ma:displayName="Notes" ma:internalName="PMCNotes">
      <xsd:simpleType>
        <xsd:restriction base="dms:Note">
          <xsd:maxLength value="255"/>
        </xsd:restriction>
      </xsd:simpleType>
    </xsd:element>
    <xsd:element name="mc5611b894cf49d8aeeb8ebf39dc09bc" ma:index="8" ma:taxonomy="true" ma:internalName="mc5611b894cf49d8aeeb8ebf39dc09bc" ma:taxonomyFieldName="HPRMSecurityLevel" ma:displayName="Security Level" ma:default="1;#UNCLASSIFIED|9c49a7c7-17c7-412f-8077-62dec89b9196" ma:fieldId="{6c5611b8-94cf-49d8-aeeb-8ebf39dc09bc}" ma:sspId="fdd71c70-8dda-4116-8995-314ca52d638a" ma:termSetId="ad616a2a-2f34-42df-868f-846f11d5d891"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ea88e85-05a7-4360-91dc-760ce9bb3d8d}" ma:internalName="TaxCatchAll" ma:showField="CatchAllData" ma:web="166541c0-0594-4e6a-9105-c24d4b6de6f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ea88e85-05a7-4360-91dc-760ce9bb3d8d}" ma:internalName="TaxCatchAllLabel" ma:readOnly="true" ma:showField="CatchAllDataLabel" ma:web="166541c0-0594-4e6a-9105-c24d4b6de6f7">
      <xsd:complexType>
        <xsd:complexContent>
          <xsd:extension base="dms:MultiChoiceLookup">
            <xsd:sequence>
              <xsd:element name="Value" type="dms:Lookup" maxOccurs="unbounded" minOccurs="0" nillable="true"/>
            </xsd:sequence>
          </xsd:extension>
        </xsd:complexContent>
      </xsd:complexType>
    </xsd:element>
    <xsd:element name="jd1c641577414dfdab1686c9d5d0dbd0" ma:index="12" nillable="true" ma:taxonomy="true" ma:internalName="jd1c641577414dfdab1686c9d5d0dbd0" ma:taxonomyFieldName="HPRMSecurityCaveat" ma:displayName="DLM" ma:fieldId="{3d1c6415-7741-4dfd-ab16-86c9d5d0dbd0}" ma:taxonomyMulti="true" ma:sspId="fdd71c70-8dda-4116-8995-314ca52d638a" ma:termSetId="4779c3b8-a320-4a06-b8c8-666ff4292a5a" ma:anchorId="00000000-0000-0000-0000-000000000000" ma:open="false" ma:isKeyword="false">
      <xsd:complexType>
        <xsd:sequence>
          <xsd:element ref="pc:Terms" minOccurs="0" maxOccurs="1"/>
        </xsd:sequence>
      </xsd:complex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c4a8f51d7584793bcee84017ea96cb3" ma:index="18" nillable="true" ma:taxonomy="true" ma:internalName="hc4a8f51d7584793bcee84017ea96cb3" ma:taxonomyFieldName="ESearchTags" ma:displayName="Tags" ma:fieldId="{1c4a8f51-d758-4793-bcee-84017ea96cb3}" ma:taxonomyMulti="true" ma:sspId="fdd71c70-8dda-4116-8995-314ca52d638a" ma:termSetId="8f252924-ebd5-4b35-b39d-81596a6204b5"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5f9fda-bd71-4433-b331-92feb9553089" elementFormDefault="qualified">
    <xsd:import namespace="http://schemas.microsoft.com/office/2006/documentManagement/types"/>
    <xsd:import namespace="http://schemas.microsoft.com/office/infopath/2007/PartnerControls"/>
    <xsd:element name="NonRecordJustification" ma:index="5" ma:displayName="Non-record justification" ma:default="None" ma:format="Dropdown" ma:internalName="NonRecordJustification">
      <xsd:simpleType>
        <xsd:restriction base="dms:Choice">
          <xsd:enumeration value="None"/>
          <xsd:enumeration value="Not defined as a record under the Archives Act of 1983"/>
          <xsd:enumeration value="Duplicate or low value item"/>
          <xsd:enumeration value="Superc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mc5611b894cf49d8aeeb8ebf39dc09bc xmlns="166541c0-0594-4e6a-9105-c24d4b6de6f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9c49a7c7-17c7-412f-8077-62dec89b9196</TermId>
        </TermInfo>
      </Terms>
    </mc5611b894cf49d8aeeb8ebf39dc09bc>
    <ShareHubID xmlns="166541c0-0594-4e6a-9105-c24d4b6de6f7">DOC19-44996</ShareHubID>
    <TaxCatchAll xmlns="166541c0-0594-4e6a-9105-c24d4b6de6f7">
      <Value>1</Value>
      <Value>24</Value>
    </TaxCatchAll>
    <jd1c641577414dfdab1686c9d5d0dbd0 xmlns="166541c0-0594-4e6a-9105-c24d4b6de6f7">
      <Terms xmlns="http://schemas.microsoft.com/office/infopath/2007/PartnerControls"/>
    </jd1c641577414dfdab1686c9d5d0dbd0>
    <hc4a8f51d7584793bcee84017ea96cb3 xmlns="166541c0-0594-4e6a-9105-c24d4b6de6f7">
      <Terms xmlns="http://schemas.microsoft.com/office/infopath/2007/PartnerControls">
        <TermInfo xmlns="http://schemas.microsoft.com/office/infopath/2007/PartnerControls">
          <TermName xmlns="http://schemas.microsoft.com/office/infopath/2007/PartnerControls">NEG</TermName>
          <TermId xmlns="http://schemas.microsoft.com/office/infopath/2007/PartnerControls">84922e8b-1ad3-4336-8a0d-222114e7a3ac</TermId>
        </TermInfo>
      </Terms>
    </hc4a8f51d7584793bcee84017ea96cb3>
    <PMCNotes xmlns="166541c0-0594-4e6a-9105-c24d4b6de6f7" xsi:nil="true"/>
    <NonRecordJustification xmlns="685f9fda-bd71-4433-b331-92feb9553089">None</NonRecordJustification>
  </documentManagement>
</p:properties>
</file>

<file path=customXml/itemProps1.xml><?xml version="1.0" encoding="utf-8"?>
<ds:datastoreItem xmlns:ds="http://schemas.openxmlformats.org/officeDocument/2006/customXml" ds:itemID="{3C11E766-A2A1-4C4E-A5DD-21DD21B562E2}"/>
</file>

<file path=customXml/itemProps2.xml><?xml version="1.0" encoding="utf-8"?>
<ds:datastoreItem xmlns:ds="http://schemas.openxmlformats.org/officeDocument/2006/customXml" ds:itemID="{4361887A-6C20-4CF3-A225-AFE13E289D3B}"/>
</file>

<file path=customXml/itemProps3.xml><?xml version="1.0" encoding="utf-8"?>
<ds:datastoreItem xmlns:ds="http://schemas.openxmlformats.org/officeDocument/2006/customXml" ds:itemID="{8B48D892-554E-4ECE-8225-D2DE8BFFC44B}"/>
</file>

<file path=customXml/itemProps4.xml><?xml version="1.0" encoding="utf-8"?>
<ds:datastoreItem xmlns:ds="http://schemas.openxmlformats.org/officeDocument/2006/customXml" ds:itemID="{AFC6EC5F-A26E-475D-BDFE-2FD13F33BDE2}"/>
</file>

<file path=customXml/itemProps5.xml><?xml version="1.0" encoding="utf-8"?>
<ds:datastoreItem xmlns:ds="http://schemas.openxmlformats.org/officeDocument/2006/customXml" ds:itemID="{216329C8-BD2C-473A-8489-C7A1B9F919FD}"/>
</file>

<file path=docProps/app.xml><?xml version="1.0" encoding="utf-8"?>
<Properties xmlns="http://schemas.openxmlformats.org/officeDocument/2006/extended-properties" xmlns:vt="http://schemas.openxmlformats.org/officeDocument/2006/docPropsVTypes">
  <Template>E1787243</Template>
  <TotalTime>0</TotalTime>
  <Pages>8</Pages>
  <Words>2102</Words>
  <Characters>11984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14058</CharactersWithSpaces>
  <SharedDoc>false</SharedDoc>
  <HLinks>
    <vt:vector size="72" baseType="variant">
      <vt:variant>
        <vt:i4>1376317</vt:i4>
      </vt:variant>
      <vt:variant>
        <vt:i4>62</vt:i4>
      </vt:variant>
      <vt:variant>
        <vt:i4>0</vt:i4>
      </vt:variant>
      <vt:variant>
        <vt:i4>5</vt:i4>
      </vt:variant>
      <vt:variant>
        <vt:lpwstr/>
      </vt:variant>
      <vt:variant>
        <vt:lpwstr>_Toc513735813</vt:lpwstr>
      </vt:variant>
      <vt:variant>
        <vt:i4>1376317</vt:i4>
      </vt:variant>
      <vt:variant>
        <vt:i4>56</vt:i4>
      </vt:variant>
      <vt:variant>
        <vt:i4>0</vt:i4>
      </vt:variant>
      <vt:variant>
        <vt:i4>5</vt:i4>
      </vt:variant>
      <vt:variant>
        <vt:lpwstr/>
      </vt:variant>
      <vt:variant>
        <vt:lpwstr>_Toc513735812</vt:lpwstr>
      </vt:variant>
      <vt:variant>
        <vt:i4>1376317</vt:i4>
      </vt:variant>
      <vt:variant>
        <vt:i4>50</vt:i4>
      </vt:variant>
      <vt:variant>
        <vt:i4>0</vt:i4>
      </vt:variant>
      <vt:variant>
        <vt:i4>5</vt:i4>
      </vt:variant>
      <vt:variant>
        <vt:lpwstr/>
      </vt:variant>
      <vt:variant>
        <vt:lpwstr>_Toc513735811</vt:lpwstr>
      </vt:variant>
      <vt:variant>
        <vt:i4>1376317</vt:i4>
      </vt:variant>
      <vt:variant>
        <vt:i4>44</vt:i4>
      </vt:variant>
      <vt:variant>
        <vt:i4>0</vt:i4>
      </vt:variant>
      <vt:variant>
        <vt:i4>5</vt:i4>
      </vt:variant>
      <vt:variant>
        <vt:lpwstr/>
      </vt:variant>
      <vt:variant>
        <vt:lpwstr>_Toc513735810</vt:lpwstr>
      </vt:variant>
      <vt:variant>
        <vt:i4>1310781</vt:i4>
      </vt:variant>
      <vt:variant>
        <vt:i4>38</vt:i4>
      </vt:variant>
      <vt:variant>
        <vt:i4>0</vt:i4>
      </vt:variant>
      <vt:variant>
        <vt:i4>5</vt:i4>
      </vt:variant>
      <vt:variant>
        <vt:lpwstr/>
      </vt:variant>
      <vt:variant>
        <vt:lpwstr>_Toc513735809</vt:lpwstr>
      </vt:variant>
      <vt:variant>
        <vt:i4>1310781</vt:i4>
      </vt:variant>
      <vt:variant>
        <vt:i4>32</vt:i4>
      </vt:variant>
      <vt:variant>
        <vt:i4>0</vt:i4>
      </vt:variant>
      <vt:variant>
        <vt:i4>5</vt:i4>
      </vt:variant>
      <vt:variant>
        <vt:lpwstr/>
      </vt:variant>
      <vt:variant>
        <vt:lpwstr>_Toc513735808</vt:lpwstr>
      </vt:variant>
      <vt:variant>
        <vt:i4>1310781</vt:i4>
      </vt:variant>
      <vt:variant>
        <vt:i4>26</vt:i4>
      </vt:variant>
      <vt:variant>
        <vt:i4>0</vt:i4>
      </vt:variant>
      <vt:variant>
        <vt:i4>5</vt:i4>
      </vt:variant>
      <vt:variant>
        <vt:lpwstr/>
      </vt:variant>
      <vt:variant>
        <vt:lpwstr>_Toc513735807</vt:lpwstr>
      </vt:variant>
      <vt:variant>
        <vt:i4>1310781</vt:i4>
      </vt:variant>
      <vt:variant>
        <vt:i4>20</vt:i4>
      </vt:variant>
      <vt:variant>
        <vt:i4>0</vt:i4>
      </vt:variant>
      <vt:variant>
        <vt:i4>5</vt:i4>
      </vt:variant>
      <vt:variant>
        <vt:lpwstr/>
      </vt:variant>
      <vt:variant>
        <vt:lpwstr>_Toc513735806</vt:lpwstr>
      </vt:variant>
      <vt:variant>
        <vt:i4>1310781</vt:i4>
      </vt:variant>
      <vt:variant>
        <vt:i4>14</vt:i4>
      </vt:variant>
      <vt:variant>
        <vt:i4>0</vt:i4>
      </vt:variant>
      <vt:variant>
        <vt:i4>5</vt:i4>
      </vt:variant>
      <vt:variant>
        <vt:lpwstr/>
      </vt:variant>
      <vt:variant>
        <vt:lpwstr>_Toc513735805</vt:lpwstr>
      </vt:variant>
      <vt:variant>
        <vt:i4>1310781</vt:i4>
      </vt:variant>
      <vt:variant>
        <vt:i4>8</vt:i4>
      </vt:variant>
      <vt:variant>
        <vt:i4>0</vt:i4>
      </vt:variant>
      <vt:variant>
        <vt:i4>5</vt:i4>
      </vt:variant>
      <vt:variant>
        <vt:lpwstr/>
      </vt:variant>
      <vt:variant>
        <vt:lpwstr>_Toc513735804</vt:lpwstr>
      </vt:variant>
      <vt:variant>
        <vt:i4>1310781</vt:i4>
      </vt:variant>
      <vt:variant>
        <vt:i4>2</vt:i4>
      </vt:variant>
      <vt:variant>
        <vt:i4>0</vt:i4>
      </vt:variant>
      <vt:variant>
        <vt:i4>5</vt:i4>
      </vt:variant>
      <vt:variant>
        <vt:lpwstr/>
      </vt:variant>
      <vt:variant>
        <vt:lpwstr>_Toc513735803</vt:lpwstr>
      </vt:variant>
      <vt:variant>
        <vt:i4>3735622</vt:i4>
      </vt:variant>
      <vt:variant>
        <vt:i4>-1</vt:i4>
      </vt:variant>
      <vt:variant>
        <vt:i4>2049</vt:i4>
      </vt:variant>
      <vt:variant>
        <vt:i4>1</vt:i4>
      </vt:variant>
      <vt:variant>
        <vt:lpwstr>g_server:WORK IN PROGRESS:14010 PM&amp;C Best Practice Regulation Report 2012-13:Word templates:cover.pdf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2019-02-04T03:43:00Z</dcterms:created>
  <dcterms:modified xsi:type="dcterms:W3CDTF">2019-02-04T03:43:00Z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PRMSecurityLevel">
    <vt:lpwstr>1;#UNCLASSIFIED|9c49a7c7-17c7-412f-8077-62dec89b9196</vt:lpwstr>
  </property>
  <property fmtid="{D5CDD505-2E9C-101B-9397-08002B2CF9AE}" pid="3" name="ContentTypeId">
    <vt:lpwstr>0x0101002825A64A6E1845A99A9D8EE8A5686ECB009B58D7D72C3ED54C851955501673F8AC</vt:lpwstr>
  </property>
  <property fmtid="{D5CDD505-2E9C-101B-9397-08002B2CF9AE}" pid="4" name="ESearchTags">
    <vt:lpwstr>24;#NEG|84922e8b-1ad3-4336-8a0d-222114e7a3ac</vt:lpwstr>
  </property>
  <property fmtid="{D5CDD505-2E9C-101B-9397-08002B2CF9AE}" pid="5" name="PMC.ESearch.TagGeneratedTime">
    <vt:lpwstr>2019-02-08T13:24:33</vt:lpwstr>
  </property>
  <property fmtid="{D5CDD505-2E9C-101B-9397-08002B2CF9AE}" pid="6" name="HPRMSecurityCaveat">
    <vt:lpwstr/>
  </property>
</Properties>
</file>