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2A06B" w14:textId="77777777" w:rsidR="00130ADC" w:rsidRDefault="00130ADC" w:rsidP="00D044F4">
      <w:pPr>
        <w:pStyle w:val="Heading1"/>
      </w:pPr>
      <w:bookmarkStart w:id="0" w:name="_Toc329769812"/>
      <w:bookmarkStart w:id="1" w:name="_Toc329769939"/>
      <w:bookmarkStart w:id="2" w:name="_Toc330371011"/>
      <w:bookmarkStart w:id="3" w:name="_Toc330371850"/>
      <w:bookmarkStart w:id="4" w:name="_Toc331423696"/>
      <w:bookmarkStart w:id="5" w:name="_Toc331665802"/>
      <w:bookmarkStart w:id="6" w:name="_Toc334085936"/>
      <w:bookmarkStart w:id="7" w:name="_Toc334106934"/>
      <w:bookmarkStart w:id="8" w:name="_Toc334776865"/>
      <w:bookmarkStart w:id="9" w:name="_Toc334790438"/>
      <w:bookmarkStart w:id="10" w:name="_Toc336505282"/>
      <w:bookmarkStart w:id="11" w:name="_Toc336938929"/>
      <w:bookmarkStart w:id="12" w:name="_Toc337210529"/>
      <w:bookmarkStart w:id="13" w:name="_Toc338412891"/>
      <w:bookmarkStart w:id="14" w:name="_Toc338419100"/>
      <w:bookmarkStart w:id="15" w:name="_Toc338419164"/>
      <w:bookmarkStart w:id="16" w:name="_Toc339440854"/>
      <w:bookmarkStart w:id="17" w:name="_Toc339440925"/>
      <w:bookmarkStart w:id="18" w:name="_Toc340562848"/>
      <w:bookmarkStart w:id="19" w:name="_Toc340741195"/>
      <w:bookmarkStart w:id="20" w:name="_Toc340742525"/>
      <w:bookmarkStart w:id="21" w:name="_Toc340816904"/>
      <w:bookmarkStart w:id="22" w:name="_Toc341255148"/>
      <w:bookmarkStart w:id="23" w:name="_Toc341347250"/>
      <w:bookmarkStart w:id="24" w:name="_Toc341429725"/>
      <w:bookmarkStart w:id="25" w:name="_Toc341946134"/>
      <w:bookmarkStart w:id="26" w:name="_Toc342032033"/>
      <w:bookmarkStart w:id="27" w:name="_Toc343066832"/>
      <w:bookmarkStart w:id="28" w:name="_Toc343261518"/>
      <w:bookmarkStart w:id="29" w:name="_Toc343607087"/>
      <w:bookmarkStart w:id="30" w:name="_Toc347485396"/>
      <w:bookmarkStart w:id="31" w:name="_Toc348950634"/>
      <w:bookmarkStart w:id="32" w:name="_Toc348952778"/>
      <w:bookmarkStart w:id="33" w:name="_Toc349652165"/>
      <w:bookmarkStart w:id="34" w:name="_Toc349652265"/>
      <w:bookmarkStart w:id="35" w:name="_Toc349741803"/>
      <w:bookmarkStart w:id="36" w:name="_Toc351033510"/>
      <w:bookmarkStart w:id="37" w:name="_Toc351040429"/>
      <w:bookmarkStart w:id="38" w:name="_Toc351109336"/>
      <w:bookmarkStart w:id="39" w:name="_Toc351115091"/>
      <w:bookmarkStart w:id="40" w:name="_Toc353287152"/>
      <w:bookmarkStart w:id="41" w:name="_Toc353287308"/>
      <w:bookmarkStart w:id="42" w:name="_Toc353371044"/>
      <w:bookmarkStart w:id="43" w:name="_Toc353374429"/>
      <w:bookmarkStart w:id="44" w:name="_Toc353444646"/>
      <w:bookmarkStart w:id="45" w:name="_Toc353525859"/>
      <w:bookmarkStart w:id="46" w:name="_Toc355010386"/>
      <w:bookmarkStart w:id="47" w:name="_Toc356307524"/>
      <w:bookmarkStart w:id="48" w:name="_Toc356313198"/>
      <w:bookmarkStart w:id="49" w:name="_Toc357158733"/>
      <w:bookmarkStart w:id="50" w:name="_Toc357761796"/>
      <w:bookmarkStart w:id="51" w:name="_Toc359254344"/>
      <w:bookmarkStart w:id="52" w:name="_Toc361125038"/>
      <w:bookmarkStart w:id="53" w:name="_Toc361125109"/>
      <w:bookmarkStart w:id="54" w:name="_Toc361143007"/>
      <w:bookmarkStart w:id="55" w:name="_Toc362205722"/>
      <w:bookmarkStart w:id="56" w:name="_Toc362250091"/>
      <w:bookmarkStart w:id="57" w:name="_Toc362341053"/>
      <w:bookmarkStart w:id="58" w:name="_Toc362341072"/>
      <w:bookmarkStart w:id="59" w:name="_Toc362341103"/>
      <w:bookmarkStart w:id="60" w:name="_Toc362343440"/>
      <w:bookmarkStart w:id="61" w:name="_Toc363475029"/>
      <w:bookmarkStart w:id="62" w:name="_Toc363725628"/>
      <w:bookmarkStart w:id="63" w:name="_Toc363725774"/>
      <w:bookmarkStart w:id="64" w:name="_Toc363726435"/>
      <w:bookmarkStart w:id="65" w:name="_Toc364761057"/>
      <w:bookmarkStart w:id="66" w:name="_Toc365273842"/>
      <w:bookmarkStart w:id="67" w:name="_Toc367282597"/>
      <w:bookmarkStart w:id="68" w:name="_Toc367283591"/>
      <w:bookmarkStart w:id="69" w:name="_Toc367781072"/>
      <w:bookmarkStart w:id="70" w:name="_Toc367782736"/>
      <w:bookmarkStart w:id="71" w:name="_Toc369073509"/>
      <w:bookmarkStart w:id="72" w:name="_Toc372708779"/>
      <w:bookmarkStart w:id="73" w:name="_Toc372708814"/>
      <w:bookmarkStart w:id="74" w:name="_Toc372796395"/>
      <w:bookmarkStart w:id="75" w:name="_Toc372807316"/>
      <w:bookmarkStart w:id="76" w:name="_Toc373306749"/>
      <w:bookmarkStart w:id="77" w:name="_Toc373306970"/>
      <w:bookmarkStart w:id="78" w:name="_Toc373307616"/>
      <w:bookmarkStart w:id="79" w:name="_Toc373309337"/>
      <w:bookmarkStart w:id="80" w:name="_Toc373309728"/>
      <w:bookmarkStart w:id="81" w:name="_Toc376962641"/>
      <w:bookmarkStart w:id="82" w:name="_Toc379536792"/>
      <w:bookmarkStart w:id="83" w:name="_Toc379795062"/>
      <w:bookmarkStart w:id="84" w:name="_Toc379801135"/>
      <w:bookmarkStart w:id="85" w:name="_Toc379802373"/>
      <w:bookmarkStart w:id="86" w:name="_Toc383790358"/>
      <w:bookmarkStart w:id="87" w:name="_Toc384306615"/>
      <w:bookmarkStart w:id="88" w:name="_Toc384366785"/>
      <w:bookmarkStart w:id="89" w:name="_Toc387412046"/>
      <w:bookmarkStart w:id="90" w:name="_Toc391977607"/>
      <w:bookmarkStart w:id="91" w:name="_Toc391985271"/>
      <w:bookmarkStart w:id="92" w:name="_Toc391985775"/>
      <w:bookmarkStart w:id="93" w:name="_Toc391985813"/>
      <w:bookmarkStart w:id="94" w:name="_Toc392582652"/>
      <w:bookmarkStart w:id="95" w:name="_Toc392583991"/>
      <w:bookmarkStart w:id="96" w:name="_Toc392751702"/>
      <w:bookmarkStart w:id="97" w:name="_Toc392852654"/>
    </w:p>
    <w:p w14:paraId="5902A06C" w14:textId="1FEA93A6" w:rsidR="00832653" w:rsidRPr="005B7A3E" w:rsidRDefault="000B7D1D" w:rsidP="00483424">
      <w:pPr>
        <w:pStyle w:val="ReportHeading"/>
        <w:outlineLvl w:val="9"/>
        <w:rPr>
          <w:sz w:val="24"/>
          <w:szCs w:val="24"/>
        </w:rPr>
      </w:pPr>
      <w:bookmarkStart w:id="98" w:name="_Toc404606694"/>
      <w:bookmarkStart w:id="99" w:name="_Toc404603872"/>
      <w:bookmarkStart w:id="100" w:name="_Toc404599906"/>
      <w:bookmarkStart w:id="101" w:name="_Toc400627956"/>
      <w:bookmarkStart w:id="102" w:name="_Toc400109595"/>
      <w:bookmarkStart w:id="103" w:name="_Toc396480290"/>
      <w:bookmarkStart w:id="104" w:name="_Toc393462571"/>
      <w:bookmarkStart w:id="105" w:name="_Toc392589568"/>
      <w:bookmarkStart w:id="106" w:name="_Toc381283516"/>
      <w:bookmarkStart w:id="107" w:name="_Toc379966997"/>
      <w:bookmarkStart w:id="108" w:name="_Toc378240276"/>
      <w:bookmarkStart w:id="109" w:name="_Toc378058881"/>
      <w:bookmarkStart w:id="110" w:name="_Toc378058556"/>
      <w:bookmarkStart w:id="111" w:name="_Toc377474322"/>
      <w:bookmarkStart w:id="112" w:name="_Toc375560982"/>
      <w:bookmarkStart w:id="113" w:name="_Toc374526662"/>
      <w:bookmarkStart w:id="114" w:name="_Toc371337758"/>
      <w:bookmarkStart w:id="115" w:name="_Toc369272608"/>
      <w:bookmarkStart w:id="116" w:name="_Toc369272249"/>
      <w:bookmarkStart w:id="117" w:name="_Toc365277233"/>
      <w:bookmarkStart w:id="118" w:name="_Toc365277219"/>
      <w:bookmarkStart w:id="119" w:name="_Toc363719672"/>
      <w:bookmarkStart w:id="120" w:name="_Toc362420389"/>
      <w:bookmarkStart w:id="121" w:name="_Toc362335500"/>
      <w:bookmarkStart w:id="122" w:name="_Toc361929759"/>
      <w:bookmarkStart w:id="123" w:name="_Toc360453939"/>
      <w:bookmarkStart w:id="124" w:name="_Toc358983751"/>
      <w:bookmarkStart w:id="125" w:name="_Toc356569225"/>
      <w:bookmarkStart w:id="126" w:name="_Toc356295551"/>
      <w:bookmarkStart w:id="127" w:name="_Toc355615551"/>
      <w:bookmarkStart w:id="128" w:name="_Toc355604423"/>
      <w:bookmarkStart w:id="129" w:name="_Toc355604256"/>
      <w:bookmarkStart w:id="130" w:name="_Toc354048480"/>
      <w:bookmarkStart w:id="131" w:name="_Toc353966814"/>
      <w:bookmarkStart w:id="132" w:name="_Toc353887999"/>
      <w:bookmarkStart w:id="133" w:name="_Toc353803193"/>
      <w:bookmarkStart w:id="134" w:name="_Toc351553025"/>
      <w:bookmarkStart w:id="135" w:name="_Toc351544109"/>
      <w:bookmarkStart w:id="136" w:name="_Toc351123399"/>
      <w:bookmarkStart w:id="137" w:name="_Toc350953570"/>
      <w:bookmarkStart w:id="138" w:name="_Toc350858881"/>
      <w:bookmarkStart w:id="139" w:name="_Toc350858758"/>
      <w:bookmarkStart w:id="140" w:name="_Toc350858719"/>
      <w:bookmarkStart w:id="141" w:name="_Toc348688776"/>
      <w:bookmarkStart w:id="142" w:name="_Toc346698305"/>
      <w:bookmarkStart w:id="143" w:name="_Toc343850093"/>
      <w:bookmarkStart w:id="144" w:name="_Toc343848433"/>
      <w:bookmarkStart w:id="145" w:name="_Toc343754419"/>
      <w:bookmarkStart w:id="146" w:name="_Toc343250997"/>
      <w:bookmarkStart w:id="147" w:name="_Toc343249091"/>
      <w:bookmarkStart w:id="148" w:name="_Toc341357877"/>
      <w:bookmarkStart w:id="149" w:name="_Toc340583451"/>
      <w:bookmarkStart w:id="150" w:name="_Toc340582359"/>
      <w:bookmarkStart w:id="151" w:name="_Toc340567899"/>
      <w:bookmarkStart w:id="152" w:name="_Toc336956400"/>
      <w:bookmarkStart w:id="153" w:name="_Toc336942382"/>
      <w:bookmarkStart w:id="154" w:name="_Toc334021809"/>
      <w:bookmarkStart w:id="155" w:name="_Toc330308101"/>
      <w:bookmarkStart w:id="156" w:name="_Toc432587370"/>
      <w:bookmarkStart w:id="157" w:name="_Toc438539586"/>
      <w:bookmarkStart w:id="158" w:name="_Toc438539621"/>
      <w:bookmarkStart w:id="159" w:name="_Toc440639804"/>
      <w:bookmarkStart w:id="160" w:name="_Toc445973432"/>
      <w:bookmarkStart w:id="161" w:name="_Toc445974130"/>
      <w:bookmarkStart w:id="162" w:name="_Toc445974391"/>
      <w:bookmarkStart w:id="163" w:name="_Toc446318424"/>
      <w:bookmarkStart w:id="164" w:name="_Toc447532682"/>
      <w:bookmarkStart w:id="165" w:name="_Toc451168630"/>
      <w:bookmarkStart w:id="166" w:name="_Toc451264224"/>
      <w:bookmarkStart w:id="167" w:name="_Toc451264791"/>
      <w:bookmarkStart w:id="168" w:name="_Toc473715459"/>
      <w:bookmarkStart w:id="169" w:name="_Toc473900452"/>
      <w:bookmarkStart w:id="170" w:name="_Toc473900487"/>
      <w:bookmarkStart w:id="171" w:name="_Toc479588076"/>
      <w:bookmarkStart w:id="172" w:name="_Toc480290939"/>
      <w:bookmarkStart w:id="173" w:name="_Toc4876261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sz w:val="24"/>
          <w:szCs w:val="24"/>
        </w:rPr>
        <w:t xml:space="preserve">Compliance with </w:t>
      </w:r>
      <w:r w:rsidR="00832653" w:rsidRPr="005B7A3E">
        <w:rPr>
          <w:sz w:val="24"/>
          <w:szCs w:val="24"/>
        </w:rPr>
        <w:t xml:space="preserve">COAG Regulation Impact Statement </w:t>
      </w:r>
      <w:r>
        <w:rPr>
          <w:sz w:val="24"/>
          <w:szCs w:val="24"/>
        </w:rPr>
        <w:t>(RIS) Requirements</w:t>
      </w:r>
      <w:bookmarkStart w:id="174" w:name="_Toc404606695"/>
      <w:bookmarkStart w:id="175" w:name="_Toc404603873"/>
      <w:bookmarkStart w:id="176" w:name="_Toc404599907"/>
      <w:bookmarkStart w:id="177" w:name="_Toc400627957"/>
      <w:bookmarkStart w:id="178" w:name="_Toc400109596"/>
      <w:bookmarkStart w:id="179" w:name="_Toc396480291"/>
      <w:bookmarkStart w:id="180" w:name="_Toc393462572"/>
      <w:bookmarkStart w:id="181" w:name="_Toc39258956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00F61642" w:rsidRPr="005B7A3E">
        <w:rPr>
          <w:sz w:val="24"/>
          <w:szCs w:val="24"/>
        </w:rPr>
        <w:t>: 201</w:t>
      </w:r>
      <w:r w:rsidR="00B56367" w:rsidRPr="005B7A3E">
        <w:rPr>
          <w:sz w:val="24"/>
          <w:szCs w:val="24"/>
        </w:rPr>
        <w:t>6</w:t>
      </w:r>
      <w:r w:rsidR="00832653" w:rsidRPr="005B7A3E">
        <w:rPr>
          <w:sz w:val="24"/>
          <w:szCs w:val="24"/>
        </w:rPr>
        <w:t>-1</w:t>
      </w:r>
      <w:bookmarkEnd w:id="156"/>
      <w:bookmarkEnd w:id="157"/>
      <w:bookmarkEnd w:id="158"/>
      <w:bookmarkEnd w:id="159"/>
      <w:bookmarkEnd w:id="160"/>
      <w:bookmarkEnd w:id="161"/>
      <w:bookmarkEnd w:id="162"/>
      <w:bookmarkEnd w:id="163"/>
      <w:bookmarkEnd w:id="164"/>
      <w:bookmarkEnd w:id="165"/>
      <w:bookmarkEnd w:id="166"/>
      <w:bookmarkEnd w:id="167"/>
      <w:bookmarkEnd w:id="174"/>
      <w:bookmarkEnd w:id="175"/>
      <w:bookmarkEnd w:id="176"/>
      <w:bookmarkEnd w:id="177"/>
      <w:bookmarkEnd w:id="178"/>
      <w:bookmarkEnd w:id="179"/>
      <w:bookmarkEnd w:id="180"/>
      <w:bookmarkEnd w:id="181"/>
      <w:r w:rsidR="00B56367" w:rsidRPr="005B7A3E">
        <w:rPr>
          <w:sz w:val="24"/>
          <w:szCs w:val="24"/>
        </w:rPr>
        <w:t>7</w:t>
      </w:r>
      <w:bookmarkEnd w:id="168"/>
      <w:bookmarkEnd w:id="169"/>
      <w:bookmarkEnd w:id="170"/>
      <w:bookmarkEnd w:id="171"/>
      <w:bookmarkEnd w:id="172"/>
      <w:bookmarkEnd w:id="173"/>
    </w:p>
    <w:p w14:paraId="6E81A7E2" w14:textId="77777777" w:rsidR="005B7A3E" w:rsidRDefault="005B7A3E" w:rsidP="000A698F">
      <w:pPr>
        <w:pStyle w:val="BodyText1"/>
      </w:pPr>
      <w:bookmarkStart w:id="182" w:name="_Toc387412049"/>
      <w:bookmarkStart w:id="183" w:name="_Toc391977610"/>
      <w:bookmarkStart w:id="184" w:name="_Toc391985274"/>
      <w:bookmarkStart w:id="185" w:name="_Toc391985778"/>
      <w:bookmarkStart w:id="186" w:name="_Toc391985816"/>
      <w:bookmarkStart w:id="187" w:name="_Toc392582655"/>
      <w:bookmarkStart w:id="188" w:name="_Toc392583994"/>
      <w:bookmarkStart w:id="189" w:name="_Toc392751705"/>
      <w:bookmarkStart w:id="190" w:name="_Toc392852657"/>
      <w:bookmarkStart w:id="191" w:name="_Toc396743525"/>
      <w:bookmarkStart w:id="192" w:name="_Toc400100728"/>
      <w:bookmarkStart w:id="193" w:name="_Toc400101007"/>
      <w:bookmarkStart w:id="194" w:name="_Toc400104319"/>
    </w:p>
    <w:p w14:paraId="4F29123C" w14:textId="191878FC" w:rsidR="000A698F" w:rsidRDefault="000A698F" w:rsidP="000A698F">
      <w:pPr>
        <w:pStyle w:val="BodyText1"/>
        <w:rPr>
          <w:sz w:val="20"/>
          <w:szCs w:val="20"/>
        </w:rPr>
      </w:pPr>
      <w:r w:rsidRPr="005B7A3E">
        <w:rPr>
          <w:sz w:val="20"/>
          <w:szCs w:val="20"/>
        </w:rPr>
        <w:t xml:space="preserve">The Office of Best Practice Regulation (OBPR) publishes </w:t>
      </w:r>
      <w:r w:rsidR="00FD5F50">
        <w:rPr>
          <w:sz w:val="20"/>
          <w:szCs w:val="20"/>
        </w:rPr>
        <w:t xml:space="preserve">COAG </w:t>
      </w:r>
      <w:r w:rsidRPr="005B7A3E">
        <w:rPr>
          <w:sz w:val="20"/>
          <w:szCs w:val="20"/>
        </w:rPr>
        <w:t>Regulation Impact Statements (RIS</w:t>
      </w:r>
      <w:r w:rsidR="00FD5F50">
        <w:rPr>
          <w:sz w:val="20"/>
          <w:szCs w:val="20"/>
        </w:rPr>
        <w:t>s</w:t>
      </w:r>
      <w:r w:rsidRPr="005B7A3E">
        <w:rPr>
          <w:sz w:val="20"/>
          <w:szCs w:val="20"/>
        </w:rPr>
        <w:t xml:space="preserve">) and the OBPR’s assessment of </w:t>
      </w:r>
      <w:r w:rsidR="00870F2A">
        <w:rPr>
          <w:sz w:val="20"/>
          <w:szCs w:val="20"/>
        </w:rPr>
        <w:t xml:space="preserve">COAG </w:t>
      </w:r>
      <w:r w:rsidRPr="005B7A3E">
        <w:rPr>
          <w:sz w:val="20"/>
          <w:szCs w:val="20"/>
        </w:rPr>
        <w:t>RISs on its website as soon as practicable after a regulatory announcement is made, in consultation with the relevant Council, Forum or national standard-setting body (NSSB).</w:t>
      </w:r>
      <w:r w:rsidR="008509E6">
        <w:rPr>
          <w:sz w:val="20"/>
          <w:szCs w:val="20"/>
        </w:rPr>
        <w:t xml:space="preserve"> Consequently, the RIS status is aggregated by Council, Forum or NSSB and is also reported ‘live’ in the following tables.</w:t>
      </w:r>
    </w:p>
    <w:p w14:paraId="49198EE4" w14:textId="0BEF7F7B" w:rsidR="000B7D1D" w:rsidRDefault="008509E6" w:rsidP="000A698F">
      <w:pPr>
        <w:pStyle w:val="BodyText1"/>
        <w:rPr>
          <w:sz w:val="20"/>
          <w:szCs w:val="20"/>
        </w:rPr>
      </w:pPr>
      <w:r>
        <w:rPr>
          <w:sz w:val="20"/>
          <w:szCs w:val="20"/>
        </w:rPr>
        <w:t xml:space="preserve">At the end of the 2016-17 financial year, 10 </w:t>
      </w:r>
      <w:r w:rsidR="00870F2A">
        <w:rPr>
          <w:sz w:val="20"/>
          <w:szCs w:val="20"/>
        </w:rPr>
        <w:t xml:space="preserve">COAG RISs </w:t>
      </w:r>
      <w:r>
        <w:rPr>
          <w:sz w:val="20"/>
          <w:szCs w:val="20"/>
        </w:rPr>
        <w:t xml:space="preserve">were </w:t>
      </w:r>
      <w:r w:rsidR="00870F2A">
        <w:rPr>
          <w:sz w:val="20"/>
          <w:szCs w:val="20"/>
        </w:rPr>
        <w:t>assessed as compliant with the COAG RIS requirements</w:t>
      </w:r>
      <w:r w:rsidR="00E92635">
        <w:rPr>
          <w:sz w:val="20"/>
          <w:szCs w:val="20"/>
        </w:rPr>
        <w:t xml:space="preserve"> for the 2016-17 period</w:t>
      </w:r>
      <w:r>
        <w:rPr>
          <w:sz w:val="20"/>
          <w:szCs w:val="20"/>
        </w:rPr>
        <w:t>. One decision did not comply with the COAG best practice regulation requirements to prepare a RIS for consultation or for the final decision.</w:t>
      </w:r>
    </w:p>
    <w:p w14:paraId="25AA4CD0" w14:textId="77777777" w:rsidR="00FD544F" w:rsidRDefault="00FD544F" w:rsidP="00207344">
      <w:pPr>
        <w:pStyle w:val="TableHeading"/>
        <w:outlineLvl w:val="9"/>
      </w:pPr>
      <w:bookmarkStart w:id="195" w:name="_Toc404606696"/>
      <w:bookmarkStart w:id="196" w:name="_Toc404603874"/>
      <w:bookmarkStart w:id="197" w:name="_Toc404599908"/>
      <w:bookmarkStart w:id="198" w:name="_Toc400627958"/>
      <w:bookmarkStart w:id="199" w:name="_Toc400109597"/>
      <w:bookmarkStart w:id="200" w:name="_Toc396480292"/>
      <w:bookmarkStart w:id="201" w:name="_Toc393462573"/>
      <w:bookmarkStart w:id="202" w:name="_Toc392589570"/>
      <w:bookmarkStart w:id="203" w:name="_Toc381283518"/>
      <w:bookmarkStart w:id="204" w:name="_Toc379966999"/>
      <w:bookmarkStart w:id="205" w:name="_Toc378240278"/>
      <w:bookmarkStart w:id="206" w:name="_Toc378058883"/>
      <w:bookmarkStart w:id="207" w:name="_Toc378058558"/>
      <w:bookmarkStart w:id="208" w:name="_Toc377474324"/>
      <w:bookmarkStart w:id="209" w:name="_Toc375560984"/>
      <w:bookmarkStart w:id="210" w:name="_Toc374526664"/>
      <w:bookmarkStart w:id="211" w:name="_Toc371337760"/>
      <w:bookmarkStart w:id="212" w:name="_Toc369272610"/>
      <w:bookmarkStart w:id="213" w:name="_Toc369272251"/>
      <w:bookmarkStart w:id="214" w:name="_Toc365277235"/>
      <w:bookmarkStart w:id="215" w:name="_Toc365277221"/>
      <w:bookmarkStart w:id="216" w:name="_Toc363719674"/>
      <w:bookmarkStart w:id="217" w:name="_Toc362420391"/>
      <w:bookmarkStart w:id="218" w:name="_Toc362335502"/>
      <w:bookmarkStart w:id="219" w:name="_Toc361929761"/>
      <w:bookmarkStart w:id="220" w:name="_Toc360453941"/>
      <w:bookmarkStart w:id="221" w:name="_Toc358983753"/>
      <w:bookmarkStart w:id="222" w:name="_Toc356569227"/>
      <w:bookmarkStart w:id="223" w:name="_Toc356295553"/>
      <w:bookmarkStart w:id="224" w:name="_Toc355615553"/>
      <w:bookmarkStart w:id="225" w:name="_Toc355604425"/>
      <w:bookmarkStart w:id="226" w:name="_Toc355604258"/>
      <w:bookmarkStart w:id="227" w:name="_Toc354048482"/>
      <w:bookmarkStart w:id="228" w:name="_Toc351553027"/>
      <w:bookmarkStart w:id="229" w:name="_Toc432587371"/>
      <w:bookmarkStart w:id="230" w:name="_Toc438539587"/>
      <w:bookmarkStart w:id="231" w:name="_Toc438539622"/>
      <w:bookmarkStart w:id="232" w:name="_Toc440639805"/>
      <w:bookmarkStart w:id="233" w:name="_Toc445973433"/>
      <w:bookmarkStart w:id="234" w:name="_Toc445974131"/>
      <w:bookmarkStart w:id="235" w:name="_Toc445974392"/>
      <w:bookmarkStart w:id="236" w:name="_Toc446318425"/>
      <w:bookmarkStart w:id="237" w:name="_Toc447532683"/>
      <w:bookmarkStart w:id="238" w:name="_Toc451168631"/>
      <w:bookmarkStart w:id="239" w:name="_Toc451264225"/>
      <w:bookmarkStart w:id="240" w:name="_Toc451264792"/>
      <w:bookmarkStart w:id="241" w:name="_Toc459800318"/>
      <w:bookmarkStart w:id="242" w:name="_Toc473715460"/>
      <w:bookmarkStart w:id="243" w:name="_Toc473900453"/>
      <w:bookmarkStart w:id="244" w:name="_Toc473900488"/>
      <w:bookmarkStart w:id="245" w:name="_Toc479588077"/>
      <w:bookmarkStart w:id="246" w:name="_Toc480290940"/>
      <w:bookmarkStart w:id="247" w:name="_Toc487626163"/>
    </w:p>
    <w:p w14:paraId="5902A06F" w14:textId="77777777" w:rsidR="00832653" w:rsidRDefault="00832653" w:rsidP="00207344">
      <w:pPr>
        <w:pStyle w:val="TableHeading"/>
        <w:outlineLvl w:val="9"/>
      </w:pPr>
      <w:r>
        <w:t>Compliance with the COAG R</w:t>
      </w:r>
      <w:r w:rsidR="00C30E67">
        <w:t>IS requirements 201</w:t>
      </w:r>
      <w:r w:rsidR="00B56367">
        <w:t>3</w:t>
      </w:r>
      <w:r w:rsidR="00C30E67">
        <w:t>-1</w:t>
      </w:r>
      <w:r w:rsidR="00B56367">
        <w:t>4</w:t>
      </w:r>
      <w:r w:rsidR="00C30E67">
        <w:t xml:space="preserve"> to 201</w:t>
      </w:r>
      <w:r w:rsidR="00B56367">
        <w:t>6</w:t>
      </w:r>
      <w:r>
        <w:t>-1</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00B56367">
        <w:t>7</w:t>
      </w:r>
      <w:bookmarkEnd w:id="241"/>
      <w:bookmarkEnd w:id="242"/>
      <w:bookmarkEnd w:id="243"/>
      <w:bookmarkEnd w:id="244"/>
      <w:bookmarkEnd w:id="245"/>
      <w:bookmarkEnd w:id="246"/>
      <w:bookmarkEnd w:id="247"/>
    </w:p>
    <w:tbl>
      <w:tblPr>
        <w:tblW w:w="0" w:type="auto"/>
        <w:tblInd w:w="720"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Caption w:val="Compliance with the COAG RIS requirements 2013-14 to 2016-17"/>
        <w:tblDescription w:val="A table summarising the RIS compliance of COAG proposals within the 2013-14 to 2016-17 financial years, listing the number of RISs compliant at the consultation and decision-making stages."/>
      </w:tblPr>
      <w:tblGrid>
        <w:gridCol w:w="2392"/>
        <w:gridCol w:w="866"/>
        <w:gridCol w:w="511"/>
        <w:gridCol w:w="883"/>
        <w:gridCol w:w="497"/>
        <w:gridCol w:w="921"/>
        <w:gridCol w:w="526"/>
        <w:gridCol w:w="974"/>
        <w:gridCol w:w="533"/>
      </w:tblGrid>
      <w:tr w:rsidR="00832653" w14:paraId="5902A07D" w14:textId="77777777" w:rsidTr="00ED3B29">
        <w:trPr>
          <w:tblHeader/>
        </w:trPr>
        <w:tc>
          <w:tcPr>
            <w:tcW w:w="2392" w:type="dxa"/>
            <w:tcBorders>
              <w:top w:val="single" w:sz="2" w:space="0" w:color="A7B4BE"/>
              <w:left w:val="nil"/>
              <w:bottom w:val="single" w:sz="2" w:space="0" w:color="A7B4BE"/>
              <w:right w:val="single" w:sz="2" w:space="0" w:color="A7B4BE"/>
            </w:tcBorders>
            <w:shd w:val="clear" w:color="auto" w:fill="FFCC99"/>
            <w:vAlign w:val="center"/>
            <w:hideMark/>
          </w:tcPr>
          <w:p w14:paraId="5902A070" w14:textId="77777777" w:rsidR="00832653" w:rsidRPr="00A16728" w:rsidRDefault="00832653">
            <w:pPr>
              <w:pStyle w:val="Tablecolumnheading"/>
            </w:pPr>
            <w:r w:rsidRPr="00A16728">
              <w:t>Stage</w:t>
            </w:r>
          </w:p>
        </w:tc>
        <w:tc>
          <w:tcPr>
            <w:tcW w:w="866" w:type="dxa"/>
            <w:tcBorders>
              <w:top w:val="single" w:sz="2" w:space="0" w:color="A7B4BE"/>
              <w:left w:val="single" w:sz="2" w:space="0" w:color="A7B4BE"/>
              <w:bottom w:val="single" w:sz="2" w:space="0" w:color="A7B4BE"/>
              <w:right w:val="nil"/>
            </w:tcBorders>
            <w:shd w:val="clear" w:color="auto" w:fill="FFCC99"/>
            <w:vAlign w:val="center"/>
            <w:hideMark/>
          </w:tcPr>
          <w:p w14:paraId="5902A071" w14:textId="77777777" w:rsidR="00832653" w:rsidRPr="00A16728" w:rsidRDefault="00A16728">
            <w:pPr>
              <w:pStyle w:val="Tablecolumnheading"/>
            </w:pPr>
            <w:r w:rsidRPr="00A16728">
              <w:t>201</w:t>
            </w:r>
            <w:r w:rsidR="00B56367">
              <w:t>3</w:t>
            </w:r>
            <w:r w:rsidRPr="00A16728">
              <w:t>-1</w:t>
            </w:r>
            <w:r w:rsidR="00B56367">
              <w:t>4</w:t>
            </w:r>
          </w:p>
          <w:p w14:paraId="5902A072" w14:textId="77777777" w:rsidR="00832653" w:rsidRPr="00A16728" w:rsidRDefault="00832653">
            <w:pPr>
              <w:pStyle w:val="Tablecolumnheading"/>
            </w:pPr>
            <w:r w:rsidRPr="00A16728">
              <w:t xml:space="preserve">ratio </w:t>
            </w:r>
          </w:p>
        </w:tc>
        <w:tc>
          <w:tcPr>
            <w:tcW w:w="511" w:type="dxa"/>
            <w:tcBorders>
              <w:top w:val="single" w:sz="2" w:space="0" w:color="A7B4BE"/>
              <w:left w:val="nil"/>
              <w:bottom w:val="single" w:sz="2" w:space="0" w:color="A7B4BE"/>
              <w:right w:val="single" w:sz="2" w:space="0" w:color="A7B4BE"/>
            </w:tcBorders>
            <w:shd w:val="clear" w:color="auto" w:fill="FFCC99"/>
            <w:vAlign w:val="bottom"/>
            <w:hideMark/>
          </w:tcPr>
          <w:p w14:paraId="5902A073" w14:textId="77777777" w:rsidR="00832653" w:rsidRPr="00A16728" w:rsidRDefault="00832653">
            <w:pPr>
              <w:pStyle w:val="Tablecolumnheading"/>
            </w:pPr>
            <w:r w:rsidRPr="00A16728">
              <w:t>%</w:t>
            </w:r>
          </w:p>
        </w:tc>
        <w:tc>
          <w:tcPr>
            <w:tcW w:w="883" w:type="dxa"/>
            <w:tcBorders>
              <w:top w:val="single" w:sz="2" w:space="0" w:color="A7B4BE"/>
              <w:left w:val="single" w:sz="2" w:space="0" w:color="A7B4BE"/>
              <w:bottom w:val="single" w:sz="2" w:space="0" w:color="A7B4BE"/>
              <w:right w:val="nil"/>
            </w:tcBorders>
            <w:shd w:val="clear" w:color="auto" w:fill="FFCC99"/>
            <w:hideMark/>
          </w:tcPr>
          <w:p w14:paraId="5902A074" w14:textId="77777777" w:rsidR="00832653" w:rsidRPr="00A16728" w:rsidRDefault="00A16728" w:rsidP="00B56367">
            <w:pPr>
              <w:pStyle w:val="Tablecolumnheading"/>
            </w:pPr>
            <w:r w:rsidRPr="00A16728">
              <w:t>201</w:t>
            </w:r>
            <w:r w:rsidR="00B56367">
              <w:t>4</w:t>
            </w:r>
            <w:r w:rsidRPr="00A16728">
              <w:t>-1</w:t>
            </w:r>
            <w:r w:rsidR="00B56367">
              <w:t xml:space="preserve">5 </w:t>
            </w:r>
            <w:r w:rsidR="00832653" w:rsidRPr="00A16728">
              <w:t xml:space="preserve">ratio </w:t>
            </w:r>
          </w:p>
        </w:tc>
        <w:tc>
          <w:tcPr>
            <w:tcW w:w="497" w:type="dxa"/>
            <w:tcBorders>
              <w:top w:val="single" w:sz="2" w:space="0" w:color="A7B4BE"/>
              <w:left w:val="nil"/>
              <w:bottom w:val="single" w:sz="2" w:space="0" w:color="A7B4BE"/>
              <w:right w:val="single" w:sz="2" w:space="0" w:color="A7B4BE"/>
            </w:tcBorders>
            <w:shd w:val="clear" w:color="auto" w:fill="FFCC99"/>
          </w:tcPr>
          <w:p w14:paraId="5902A075" w14:textId="77777777" w:rsidR="00832653" w:rsidRPr="00A16728" w:rsidRDefault="00832653">
            <w:pPr>
              <w:pStyle w:val="Tablecolumnheading"/>
              <w:ind w:left="0"/>
            </w:pPr>
          </w:p>
          <w:p w14:paraId="5902A076" w14:textId="77777777" w:rsidR="00832653" w:rsidRPr="00A16728" w:rsidRDefault="00832653">
            <w:pPr>
              <w:pStyle w:val="Tablecolumnheading"/>
            </w:pPr>
            <w:r w:rsidRPr="00A16728">
              <w:t xml:space="preserve"> %</w:t>
            </w:r>
          </w:p>
        </w:tc>
        <w:tc>
          <w:tcPr>
            <w:tcW w:w="921" w:type="dxa"/>
            <w:tcBorders>
              <w:top w:val="single" w:sz="2" w:space="0" w:color="A7B4BE"/>
              <w:left w:val="single" w:sz="2" w:space="0" w:color="A7B4BE"/>
              <w:bottom w:val="single" w:sz="2" w:space="0" w:color="A7B4BE"/>
              <w:right w:val="nil"/>
            </w:tcBorders>
            <w:shd w:val="clear" w:color="auto" w:fill="FFCC99"/>
            <w:hideMark/>
          </w:tcPr>
          <w:p w14:paraId="5902A077" w14:textId="77777777" w:rsidR="00832653" w:rsidRPr="00953531" w:rsidRDefault="00A16728" w:rsidP="00B56367">
            <w:pPr>
              <w:pStyle w:val="Tablecolumnheading"/>
            </w:pPr>
            <w:r w:rsidRPr="00953531">
              <w:t>201</w:t>
            </w:r>
            <w:r w:rsidR="00B56367">
              <w:t>5</w:t>
            </w:r>
            <w:r w:rsidRPr="00953531">
              <w:t>-1</w:t>
            </w:r>
            <w:r w:rsidR="00B56367">
              <w:t>6</w:t>
            </w:r>
            <w:r w:rsidR="00832653" w:rsidRPr="00953531">
              <w:t xml:space="preserve"> ratio </w:t>
            </w:r>
          </w:p>
        </w:tc>
        <w:tc>
          <w:tcPr>
            <w:tcW w:w="526" w:type="dxa"/>
            <w:tcBorders>
              <w:top w:val="single" w:sz="2" w:space="0" w:color="A7B4BE"/>
              <w:left w:val="nil"/>
              <w:bottom w:val="single" w:sz="2" w:space="0" w:color="A7B4BE"/>
              <w:right w:val="single" w:sz="2" w:space="0" w:color="A7B4BE"/>
            </w:tcBorders>
            <w:shd w:val="clear" w:color="auto" w:fill="FFCC99"/>
          </w:tcPr>
          <w:p w14:paraId="5902A078" w14:textId="77777777" w:rsidR="00832653" w:rsidRPr="00953531" w:rsidRDefault="00832653">
            <w:pPr>
              <w:pStyle w:val="Tablecolumnheading"/>
              <w:ind w:left="0"/>
            </w:pPr>
          </w:p>
          <w:p w14:paraId="5902A079" w14:textId="77777777" w:rsidR="00832653" w:rsidRPr="00953531" w:rsidRDefault="00832653">
            <w:pPr>
              <w:pStyle w:val="Tablecolumnheading"/>
            </w:pPr>
            <w:r w:rsidRPr="00953531">
              <w:t xml:space="preserve"> %</w:t>
            </w:r>
          </w:p>
        </w:tc>
        <w:tc>
          <w:tcPr>
            <w:tcW w:w="974" w:type="dxa"/>
            <w:tcBorders>
              <w:top w:val="single" w:sz="2" w:space="0" w:color="A7B4BE"/>
              <w:left w:val="nil"/>
              <w:bottom w:val="single" w:sz="2" w:space="0" w:color="A7B4BE"/>
              <w:right w:val="nil"/>
            </w:tcBorders>
            <w:shd w:val="clear" w:color="auto" w:fill="FFCC99"/>
            <w:hideMark/>
          </w:tcPr>
          <w:p w14:paraId="5902A07A" w14:textId="3BB15F57" w:rsidR="00832653" w:rsidRPr="00DF2CC5" w:rsidRDefault="00A16728" w:rsidP="00D863D2">
            <w:pPr>
              <w:pStyle w:val="Tablecolumnheading"/>
            </w:pPr>
            <w:r w:rsidRPr="00DF2CC5">
              <w:t>201</w:t>
            </w:r>
            <w:r w:rsidR="00B56367">
              <w:t>6</w:t>
            </w:r>
            <w:r w:rsidRPr="00DF2CC5">
              <w:t>-1</w:t>
            </w:r>
            <w:r w:rsidR="00B56367">
              <w:t>7</w:t>
            </w:r>
            <w:r w:rsidR="00832653" w:rsidRPr="00DF2CC5">
              <w:t xml:space="preserve"> ratio </w:t>
            </w:r>
          </w:p>
        </w:tc>
        <w:tc>
          <w:tcPr>
            <w:tcW w:w="533" w:type="dxa"/>
            <w:tcBorders>
              <w:top w:val="single" w:sz="2" w:space="0" w:color="A7B4BE"/>
              <w:left w:val="nil"/>
              <w:bottom w:val="single" w:sz="2" w:space="0" w:color="A7B4BE"/>
              <w:right w:val="nil"/>
            </w:tcBorders>
            <w:shd w:val="clear" w:color="auto" w:fill="FFCC99"/>
          </w:tcPr>
          <w:p w14:paraId="5902A07B" w14:textId="77777777" w:rsidR="00832653" w:rsidRPr="00DF2CC5" w:rsidRDefault="00832653">
            <w:pPr>
              <w:pStyle w:val="Tablecolumnheading"/>
              <w:ind w:left="0"/>
            </w:pPr>
          </w:p>
          <w:p w14:paraId="5902A07C" w14:textId="77777777" w:rsidR="00832653" w:rsidRPr="00DF2CC5" w:rsidRDefault="00832653">
            <w:pPr>
              <w:pStyle w:val="Tablecolumnheading"/>
            </w:pPr>
            <w:r w:rsidRPr="00DF2CC5">
              <w:t xml:space="preserve"> %</w:t>
            </w:r>
          </w:p>
        </w:tc>
      </w:tr>
      <w:tr w:rsidR="00CF2938" w:rsidRPr="000D7DBA" w14:paraId="5902A087" w14:textId="77777777" w:rsidTr="00ED3B29">
        <w:tc>
          <w:tcPr>
            <w:tcW w:w="2392" w:type="dxa"/>
            <w:tcBorders>
              <w:top w:val="single" w:sz="2" w:space="0" w:color="A7B4BE"/>
              <w:left w:val="nil"/>
              <w:bottom w:val="single" w:sz="2" w:space="0" w:color="A7B4BE"/>
              <w:right w:val="single" w:sz="2" w:space="0" w:color="A7B4BE"/>
            </w:tcBorders>
            <w:hideMark/>
          </w:tcPr>
          <w:p w14:paraId="5902A07E" w14:textId="38DBA2D8" w:rsidR="00CF2938" w:rsidRPr="00B20104" w:rsidRDefault="00CF2938" w:rsidP="00D863D2">
            <w:pPr>
              <w:pStyle w:val="Tablebodytext"/>
              <w:rPr>
                <w:b/>
              </w:rPr>
            </w:pPr>
            <w:r w:rsidRPr="00B20104">
              <w:rPr>
                <w:b/>
              </w:rPr>
              <w:t xml:space="preserve">Consultation </w:t>
            </w:r>
            <w:proofErr w:type="spellStart"/>
            <w:r w:rsidRPr="00B20104">
              <w:rPr>
                <w:b/>
              </w:rPr>
              <w:t>stage</w:t>
            </w:r>
            <w:r w:rsidR="00D863D2">
              <w:rPr>
                <w:b/>
                <w:vertAlign w:val="superscript"/>
              </w:rPr>
              <w:t>a</w:t>
            </w:r>
            <w:proofErr w:type="spellEnd"/>
          </w:p>
        </w:tc>
        <w:tc>
          <w:tcPr>
            <w:tcW w:w="866" w:type="dxa"/>
            <w:tcBorders>
              <w:top w:val="single" w:sz="2" w:space="0" w:color="A7B4BE"/>
              <w:left w:val="single" w:sz="2" w:space="0" w:color="A7B4BE"/>
              <w:bottom w:val="single" w:sz="2" w:space="0" w:color="A7B4BE"/>
              <w:right w:val="nil"/>
            </w:tcBorders>
            <w:hideMark/>
          </w:tcPr>
          <w:p w14:paraId="5902A07F" w14:textId="5373C5A8" w:rsidR="00CF2938" w:rsidRPr="00B20104" w:rsidRDefault="001D68E3" w:rsidP="001D68E3">
            <w:pPr>
              <w:pStyle w:val="Tablebodytext"/>
            </w:pPr>
            <w:r>
              <w:t>7</w:t>
            </w:r>
            <w:r w:rsidR="000D7C88">
              <w:t>/</w:t>
            </w:r>
            <w:r>
              <w:t>8</w:t>
            </w:r>
          </w:p>
        </w:tc>
        <w:tc>
          <w:tcPr>
            <w:tcW w:w="511" w:type="dxa"/>
            <w:tcBorders>
              <w:top w:val="single" w:sz="2" w:space="0" w:color="A7B4BE"/>
              <w:left w:val="nil"/>
              <w:bottom w:val="single" w:sz="2" w:space="0" w:color="A7B4BE"/>
              <w:right w:val="single" w:sz="2" w:space="0" w:color="A7B4BE"/>
            </w:tcBorders>
            <w:hideMark/>
          </w:tcPr>
          <w:p w14:paraId="5902A080" w14:textId="196B296B" w:rsidR="00CF2938" w:rsidRPr="00B20104" w:rsidRDefault="001D68E3" w:rsidP="001D68E3">
            <w:pPr>
              <w:pStyle w:val="Tablebodytext"/>
            </w:pPr>
            <w:r>
              <w:t>88</w:t>
            </w:r>
          </w:p>
        </w:tc>
        <w:tc>
          <w:tcPr>
            <w:tcW w:w="883" w:type="dxa"/>
            <w:tcBorders>
              <w:top w:val="single" w:sz="2" w:space="0" w:color="A7B4BE"/>
              <w:left w:val="single" w:sz="2" w:space="0" w:color="A7B4BE"/>
              <w:bottom w:val="single" w:sz="2" w:space="0" w:color="A7B4BE"/>
              <w:right w:val="nil"/>
            </w:tcBorders>
            <w:hideMark/>
          </w:tcPr>
          <w:p w14:paraId="5902A081" w14:textId="77777777" w:rsidR="00CF2938" w:rsidRPr="00B20104" w:rsidRDefault="00CF2938">
            <w:pPr>
              <w:pStyle w:val="Tablebodytext"/>
            </w:pPr>
            <w:r w:rsidRPr="00B20104">
              <w:t>8/8</w:t>
            </w:r>
          </w:p>
        </w:tc>
        <w:tc>
          <w:tcPr>
            <w:tcW w:w="497" w:type="dxa"/>
            <w:tcBorders>
              <w:top w:val="single" w:sz="2" w:space="0" w:color="A7B4BE"/>
              <w:left w:val="nil"/>
              <w:bottom w:val="single" w:sz="2" w:space="0" w:color="A7B4BE"/>
              <w:right w:val="single" w:sz="2" w:space="0" w:color="A7B4BE"/>
            </w:tcBorders>
            <w:shd w:val="clear" w:color="auto" w:fill="auto"/>
            <w:hideMark/>
          </w:tcPr>
          <w:p w14:paraId="5902A082" w14:textId="77777777" w:rsidR="00CF2938" w:rsidRPr="00B20104" w:rsidRDefault="00CF2938">
            <w:pPr>
              <w:pStyle w:val="Tablebodytext"/>
            </w:pPr>
            <w:r w:rsidRPr="00B20104">
              <w:t>100</w:t>
            </w:r>
          </w:p>
        </w:tc>
        <w:tc>
          <w:tcPr>
            <w:tcW w:w="921" w:type="dxa"/>
            <w:tcBorders>
              <w:top w:val="single" w:sz="2" w:space="0" w:color="A7B4BE"/>
              <w:left w:val="single" w:sz="2" w:space="0" w:color="A7B4BE"/>
              <w:bottom w:val="single" w:sz="2" w:space="0" w:color="A7B4BE"/>
              <w:right w:val="nil"/>
            </w:tcBorders>
            <w:shd w:val="clear" w:color="auto" w:fill="auto"/>
            <w:hideMark/>
          </w:tcPr>
          <w:p w14:paraId="5902A083" w14:textId="729A6E13" w:rsidR="00CF2938" w:rsidRPr="00576A75" w:rsidRDefault="00C24D9A" w:rsidP="000D7C88">
            <w:pPr>
              <w:pStyle w:val="Tablebodytext"/>
            </w:pPr>
            <w:r>
              <w:t>1</w:t>
            </w:r>
            <w:r w:rsidR="000D7C88">
              <w:t>3/14</w:t>
            </w:r>
          </w:p>
        </w:tc>
        <w:tc>
          <w:tcPr>
            <w:tcW w:w="526" w:type="dxa"/>
            <w:tcBorders>
              <w:top w:val="single" w:sz="2" w:space="0" w:color="A7B4BE"/>
              <w:left w:val="nil"/>
              <w:bottom w:val="single" w:sz="2" w:space="0" w:color="A7B4BE"/>
              <w:right w:val="single" w:sz="2" w:space="0" w:color="A7B4BE"/>
            </w:tcBorders>
            <w:shd w:val="clear" w:color="auto" w:fill="auto"/>
            <w:hideMark/>
          </w:tcPr>
          <w:p w14:paraId="5902A084" w14:textId="73EC84D8" w:rsidR="00CF2938" w:rsidRPr="00576A75" w:rsidRDefault="00CF2938" w:rsidP="000D7C88">
            <w:pPr>
              <w:pStyle w:val="Tablebodytext"/>
            </w:pPr>
            <w:r w:rsidRPr="0060369E">
              <w:t>9</w:t>
            </w:r>
            <w:r w:rsidR="000D7C88">
              <w:t>3</w:t>
            </w:r>
          </w:p>
        </w:tc>
        <w:tc>
          <w:tcPr>
            <w:tcW w:w="974" w:type="dxa"/>
            <w:tcBorders>
              <w:top w:val="single" w:sz="2" w:space="0" w:color="A7B4BE"/>
              <w:left w:val="nil"/>
              <w:bottom w:val="single" w:sz="2" w:space="0" w:color="A7B4BE"/>
              <w:right w:val="nil"/>
            </w:tcBorders>
            <w:shd w:val="clear" w:color="auto" w:fill="auto"/>
            <w:hideMark/>
          </w:tcPr>
          <w:p w14:paraId="5902A085" w14:textId="739BF656" w:rsidR="00CF2938" w:rsidRPr="0067086D" w:rsidRDefault="00BF4359" w:rsidP="00BF4359">
            <w:pPr>
              <w:pStyle w:val="Tablebodytext"/>
            </w:pPr>
            <w:r>
              <w:t>10</w:t>
            </w:r>
            <w:r w:rsidR="000B7D1D">
              <w:t>/</w:t>
            </w:r>
            <w:r>
              <w:t>11</w:t>
            </w:r>
          </w:p>
        </w:tc>
        <w:tc>
          <w:tcPr>
            <w:tcW w:w="533" w:type="dxa"/>
            <w:tcBorders>
              <w:top w:val="single" w:sz="2" w:space="0" w:color="A7B4BE"/>
              <w:left w:val="nil"/>
              <w:bottom w:val="single" w:sz="2" w:space="0" w:color="A7B4BE"/>
              <w:right w:val="nil"/>
            </w:tcBorders>
            <w:hideMark/>
          </w:tcPr>
          <w:p w14:paraId="5902A086" w14:textId="00242B4D" w:rsidR="00CF2938" w:rsidRPr="0067086D" w:rsidRDefault="00B847C6" w:rsidP="00B847C6">
            <w:pPr>
              <w:pStyle w:val="Tablebodytext"/>
            </w:pPr>
            <w:r>
              <w:t>91%</w:t>
            </w:r>
          </w:p>
        </w:tc>
      </w:tr>
      <w:tr w:rsidR="00CF2938" w:rsidRPr="00B20104" w14:paraId="5902A091" w14:textId="77777777" w:rsidTr="00ED3B29">
        <w:tc>
          <w:tcPr>
            <w:tcW w:w="2392" w:type="dxa"/>
            <w:tcBorders>
              <w:top w:val="single" w:sz="2" w:space="0" w:color="A7B4BE"/>
              <w:left w:val="nil"/>
              <w:bottom w:val="single" w:sz="2" w:space="0" w:color="A7B4BE"/>
              <w:right w:val="single" w:sz="2" w:space="0" w:color="A7B4BE"/>
            </w:tcBorders>
            <w:hideMark/>
          </w:tcPr>
          <w:p w14:paraId="5902A088" w14:textId="77777777" w:rsidR="00CF2938" w:rsidRPr="00B20104" w:rsidRDefault="00CF2938">
            <w:pPr>
              <w:pStyle w:val="Tablebodytext"/>
              <w:rPr>
                <w:b/>
              </w:rPr>
            </w:pPr>
            <w:r w:rsidRPr="00B20104">
              <w:rPr>
                <w:b/>
              </w:rPr>
              <w:t>Decision-making stage</w:t>
            </w:r>
          </w:p>
        </w:tc>
        <w:tc>
          <w:tcPr>
            <w:tcW w:w="866" w:type="dxa"/>
            <w:tcBorders>
              <w:top w:val="single" w:sz="2" w:space="0" w:color="A7B4BE"/>
              <w:left w:val="single" w:sz="2" w:space="0" w:color="A7B4BE"/>
              <w:bottom w:val="single" w:sz="2" w:space="0" w:color="A7B4BE"/>
              <w:right w:val="nil"/>
            </w:tcBorders>
            <w:hideMark/>
          </w:tcPr>
          <w:p w14:paraId="5902A089" w14:textId="03E7F613" w:rsidR="00CF2938" w:rsidRPr="00B20104" w:rsidRDefault="001D68E3" w:rsidP="001D68E3">
            <w:pPr>
              <w:pStyle w:val="Tablebodytext"/>
            </w:pPr>
            <w:r>
              <w:t>7</w:t>
            </w:r>
            <w:r w:rsidR="000D7C88">
              <w:t>/</w:t>
            </w:r>
            <w:r>
              <w:t>8</w:t>
            </w:r>
          </w:p>
        </w:tc>
        <w:tc>
          <w:tcPr>
            <w:tcW w:w="511" w:type="dxa"/>
            <w:tcBorders>
              <w:top w:val="single" w:sz="2" w:space="0" w:color="A7B4BE"/>
              <w:left w:val="nil"/>
              <w:bottom w:val="single" w:sz="2" w:space="0" w:color="A7B4BE"/>
              <w:right w:val="single" w:sz="2" w:space="0" w:color="A7B4BE"/>
            </w:tcBorders>
            <w:hideMark/>
          </w:tcPr>
          <w:p w14:paraId="5902A08A" w14:textId="7A120AB3" w:rsidR="00CF2938" w:rsidRPr="00B20104" w:rsidRDefault="001D68E3" w:rsidP="001D68E3">
            <w:pPr>
              <w:pStyle w:val="Tablebodytext"/>
            </w:pPr>
            <w:r>
              <w:t>88</w:t>
            </w:r>
          </w:p>
        </w:tc>
        <w:tc>
          <w:tcPr>
            <w:tcW w:w="883" w:type="dxa"/>
            <w:tcBorders>
              <w:top w:val="single" w:sz="2" w:space="0" w:color="A7B4BE"/>
              <w:left w:val="single" w:sz="2" w:space="0" w:color="A7B4BE"/>
              <w:bottom w:val="single" w:sz="2" w:space="0" w:color="A7B4BE"/>
              <w:right w:val="nil"/>
            </w:tcBorders>
            <w:hideMark/>
          </w:tcPr>
          <w:p w14:paraId="5902A08B" w14:textId="77777777" w:rsidR="00CF2938" w:rsidRPr="00B20104" w:rsidRDefault="00CF2938">
            <w:pPr>
              <w:pStyle w:val="Tablebodytext"/>
            </w:pPr>
            <w:r w:rsidRPr="00B20104">
              <w:t>8/8</w:t>
            </w:r>
          </w:p>
        </w:tc>
        <w:tc>
          <w:tcPr>
            <w:tcW w:w="497" w:type="dxa"/>
            <w:tcBorders>
              <w:top w:val="single" w:sz="2" w:space="0" w:color="A7B4BE"/>
              <w:left w:val="nil"/>
              <w:bottom w:val="single" w:sz="2" w:space="0" w:color="A7B4BE"/>
              <w:right w:val="single" w:sz="2" w:space="0" w:color="A7B4BE"/>
            </w:tcBorders>
            <w:shd w:val="clear" w:color="auto" w:fill="auto"/>
            <w:hideMark/>
          </w:tcPr>
          <w:p w14:paraId="5902A08C" w14:textId="77777777" w:rsidR="00CF2938" w:rsidRPr="00B20104" w:rsidRDefault="00CF2938">
            <w:pPr>
              <w:pStyle w:val="Tablebodytext"/>
            </w:pPr>
            <w:r w:rsidRPr="00B20104">
              <w:t>100</w:t>
            </w:r>
          </w:p>
        </w:tc>
        <w:tc>
          <w:tcPr>
            <w:tcW w:w="921" w:type="dxa"/>
            <w:tcBorders>
              <w:top w:val="single" w:sz="2" w:space="0" w:color="A7B4BE"/>
              <w:left w:val="single" w:sz="2" w:space="0" w:color="A7B4BE"/>
              <w:bottom w:val="single" w:sz="2" w:space="0" w:color="A7B4BE"/>
              <w:right w:val="nil"/>
            </w:tcBorders>
            <w:shd w:val="clear" w:color="auto" w:fill="auto"/>
            <w:hideMark/>
          </w:tcPr>
          <w:p w14:paraId="5902A08D" w14:textId="6E3A9FB6" w:rsidR="00CF2938" w:rsidRPr="00801AB6" w:rsidRDefault="00CF2938" w:rsidP="000D7C88">
            <w:pPr>
              <w:pStyle w:val="Tablebodytext"/>
            </w:pPr>
            <w:r>
              <w:t>1</w:t>
            </w:r>
            <w:r w:rsidR="000D7C88">
              <w:t>1</w:t>
            </w:r>
            <w:r w:rsidRPr="00576A75">
              <w:t>/</w:t>
            </w:r>
            <w:r w:rsidRPr="00801AB6">
              <w:t>1</w:t>
            </w:r>
            <w:r w:rsidR="000D7C88">
              <w:t>4</w:t>
            </w:r>
          </w:p>
        </w:tc>
        <w:tc>
          <w:tcPr>
            <w:tcW w:w="526" w:type="dxa"/>
            <w:tcBorders>
              <w:top w:val="single" w:sz="2" w:space="0" w:color="A7B4BE"/>
              <w:left w:val="nil"/>
              <w:bottom w:val="single" w:sz="2" w:space="0" w:color="A7B4BE"/>
              <w:right w:val="single" w:sz="2" w:space="0" w:color="A7B4BE"/>
            </w:tcBorders>
            <w:shd w:val="clear" w:color="auto" w:fill="auto"/>
            <w:hideMark/>
          </w:tcPr>
          <w:p w14:paraId="5902A08E" w14:textId="386A7B91" w:rsidR="00CF2938" w:rsidRPr="0052636F" w:rsidRDefault="00CF2938" w:rsidP="000D7C88">
            <w:pPr>
              <w:pStyle w:val="Tablebodytext"/>
            </w:pPr>
            <w:r w:rsidRPr="00801AB6">
              <w:t>7</w:t>
            </w:r>
            <w:r w:rsidR="000D7C88">
              <w:t>8.5</w:t>
            </w:r>
          </w:p>
        </w:tc>
        <w:tc>
          <w:tcPr>
            <w:tcW w:w="974" w:type="dxa"/>
            <w:tcBorders>
              <w:top w:val="single" w:sz="2" w:space="0" w:color="A7B4BE"/>
              <w:left w:val="nil"/>
              <w:bottom w:val="single" w:sz="2" w:space="0" w:color="A7B4BE"/>
              <w:right w:val="nil"/>
            </w:tcBorders>
            <w:shd w:val="clear" w:color="auto" w:fill="auto"/>
            <w:hideMark/>
          </w:tcPr>
          <w:p w14:paraId="5902A08F" w14:textId="56E6F306" w:rsidR="00CF2938" w:rsidRPr="0067086D" w:rsidRDefault="00BF4359" w:rsidP="00BF4359">
            <w:pPr>
              <w:pStyle w:val="Tablebodytext"/>
            </w:pPr>
            <w:r>
              <w:t>10</w:t>
            </w:r>
            <w:r w:rsidR="000B7D1D">
              <w:t>/</w:t>
            </w:r>
            <w:r>
              <w:t>11</w:t>
            </w:r>
          </w:p>
        </w:tc>
        <w:tc>
          <w:tcPr>
            <w:tcW w:w="533" w:type="dxa"/>
            <w:tcBorders>
              <w:top w:val="single" w:sz="2" w:space="0" w:color="A7B4BE"/>
              <w:left w:val="nil"/>
              <w:bottom w:val="single" w:sz="2" w:space="0" w:color="A7B4BE"/>
              <w:right w:val="nil"/>
            </w:tcBorders>
            <w:hideMark/>
          </w:tcPr>
          <w:p w14:paraId="5902A090" w14:textId="0092A573" w:rsidR="00CF2938" w:rsidRPr="0067086D" w:rsidRDefault="00B847C6" w:rsidP="00B847C6">
            <w:pPr>
              <w:pStyle w:val="Tablebodytext"/>
            </w:pPr>
            <w:r>
              <w:t>91%</w:t>
            </w:r>
          </w:p>
        </w:tc>
      </w:tr>
    </w:tbl>
    <w:p w14:paraId="312424A4" w14:textId="58632BCD" w:rsidR="00ED3B29" w:rsidRDefault="007D0793" w:rsidP="00ED3B29">
      <w:pPr>
        <w:pStyle w:val="Sourcenotetext"/>
        <w:spacing w:after="240"/>
      </w:pPr>
      <w:bookmarkStart w:id="248" w:name="_Toc479588078"/>
      <w:bookmarkStart w:id="249" w:name="_Toc480290941"/>
      <w:bookmarkStart w:id="250" w:name="_Toc487626164"/>
      <w:bookmarkEnd w:id="182"/>
      <w:bookmarkEnd w:id="183"/>
      <w:bookmarkEnd w:id="184"/>
      <w:bookmarkEnd w:id="185"/>
      <w:bookmarkEnd w:id="186"/>
      <w:bookmarkEnd w:id="187"/>
      <w:bookmarkEnd w:id="188"/>
      <w:bookmarkEnd w:id="189"/>
      <w:bookmarkEnd w:id="190"/>
      <w:bookmarkEnd w:id="191"/>
      <w:bookmarkEnd w:id="192"/>
      <w:bookmarkEnd w:id="193"/>
      <w:bookmarkEnd w:id="194"/>
      <w:proofErr w:type="spellStart"/>
      <w:proofErr w:type="gramStart"/>
      <w:r>
        <w:t>a</w:t>
      </w:r>
      <w:proofErr w:type="spellEnd"/>
      <w:proofErr w:type="gramEnd"/>
      <w:r w:rsidR="00ED3B29">
        <w:t xml:space="preserve"> </w:t>
      </w:r>
      <w:r w:rsidR="00ED3B29" w:rsidRPr="00061BF4">
        <w:t>The consultation stage figures relate to those decisions at the consultation stage for which a corresponding decision RIS at the decision-making stage has been announced.</w:t>
      </w:r>
    </w:p>
    <w:p w14:paraId="5902A094" w14:textId="5639F7BF" w:rsidR="0077323B" w:rsidRPr="00061BF4" w:rsidRDefault="0077323B" w:rsidP="00207344">
      <w:pPr>
        <w:pStyle w:val="TableHeading"/>
        <w:outlineLvl w:val="9"/>
      </w:pPr>
      <w:r w:rsidRPr="00061BF4">
        <w:t xml:space="preserve">COAG </w:t>
      </w:r>
      <w:r w:rsidR="000646E5" w:rsidRPr="00061BF4">
        <w:t>Consultation RISs p</w:t>
      </w:r>
      <w:r w:rsidR="00F015A9">
        <w:t xml:space="preserve">ublished </w:t>
      </w:r>
      <w:r w:rsidR="000646E5" w:rsidRPr="00061BF4">
        <w:t>2013-14</w:t>
      </w:r>
      <w:r w:rsidRPr="00061BF4">
        <w:t xml:space="preserve"> to 2016-17</w:t>
      </w:r>
      <w:bookmarkEnd w:id="248"/>
      <w:bookmarkEnd w:id="249"/>
      <w:bookmarkEnd w:id="250"/>
    </w:p>
    <w:tbl>
      <w:tblPr>
        <w:tblW w:w="0" w:type="auto"/>
        <w:tblInd w:w="720"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Caption w:val="COAG Consultation RISs prepared 2013-14 to 2016-17"/>
        <w:tblDescription w:val="A table summarising the number of COAG Consultation RISs prepared within the 2013-14 to 2016-17 financial years."/>
      </w:tblPr>
      <w:tblGrid>
        <w:gridCol w:w="2399"/>
        <w:gridCol w:w="1417"/>
        <w:gridCol w:w="1418"/>
        <w:gridCol w:w="1276"/>
        <w:gridCol w:w="1559"/>
      </w:tblGrid>
      <w:tr w:rsidR="000646E5" w:rsidRPr="0064756D" w14:paraId="5902A09A" w14:textId="77777777" w:rsidTr="000646E5">
        <w:trPr>
          <w:tblHeader/>
        </w:trPr>
        <w:tc>
          <w:tcPr>
            <w:tcW w:w="2399" w:type="dxa"/>
            <w:tcBorders>
              <w:top w:val="single" w:sz="4" w:space="0" w:color="A7B4BE"/>
              <w:left w:val="nil"/>
              <w:bottom w:val="single" w:sz="2" w:space="0" w:color="A7B4BE"/>
              <w:right w:val="single" w:sz="2" w:space="0" w:color="A7B4BE"/>
            </w:tcBorders>
            <w:shd w:val="clear" w:color="auto" w:fill="FFCC99"/>
            <w:vAlign w:val="center"/>
          </w:tcPr>
          <w:p w14:paraId="5902A095" w14:textId="77777777" w:rsidR="000646E5" w:rsidRPr="00E86491" w:rsidRDefault="000646E5" w:rsidP="00754FDB">
            <w:pPr>
              <w:pStyle w:val="Tablecolumnheading"/>
            </w:pPr>
          </w:p>
        </w:tc>
        <w:tc>
          <w:tcPr>
            <w:tcW w:w="1417" w:type="dxa"/>
            <w:tcBorders>
              <w:top w:val="single" w:sz="4" w:space="0" w:color="A7B4BE"/>
              <w:left w:val="single" w:sz="2" w:space="0" w:color="A7B4BE"/>
              <w:bottom w:val="single" w:sz="4" w:space="0" w:color="A7B4BE"/>
              <w:right w:val="single" w:sz="2" w:space="0" w:color="A7B4BE"/>
            </w:tcBorders>
            <w:shd w:val="clear" w:color="auto" w:fill="FFCC99"/>
          </w:tcPr>
          <w:p w14:paraId="5902A096" w14:textId="77777777" w:rsidR="000646E5" w:rsidRPr="00E86491" w:rsidRDefault="000646E5" w:rsidP="00754FDB">
            <w:pPr>
              <w:pStyle w:val="Tablecolumnheading"/>
              <w:ind w:left="0"/>
              <w:jc w:val="center"/>
            </w:pPr>
            <w:r w:rsidRPr="00E86491">
              <w:t>2013-14</w:t>
            </w:r>
          </w:p>
        </w:tc>
        <w:tc>
          <w:tcPr>
            <w:tcW w:w="1418" w:type="dxa"/>
            <w:tcBorders>
              <w:top w:val="single" w:sz="4" w:space="0" w:color="A7B4BE"/>
              <w:left w:val="single" w:sz="2" w:space="0" w:color="A7B4BE"/>
              <w:bottom w:val="single" w:sz="4" w:space="0" w:color="A7B4BE"/>
              <w:right w:val="single" w:sz="2" w:space="0" w:color="A7B4BE"/>
            </w:tcBorders>
            <w:shd w:val="clear" w:color="auto" w:fill="FFCC99"/>
          </w:tcPr>
          <w:p w14:paraId="5902A097" w14:textId="77777777" w:rsidR="000646E5" w:rsidRPr="00E86491" w:rsidRDefault="000646E5" w:rsidP="00754FDB">
            <w:pPr>
              <w:pStyle w:val="Tablecolumnheading"/>
              <w:ind w:left="0"/>
              <w:jc w:val="center"/>
            </w:pPr>
            <w:r w:rsidRPr="00E86491">
              <w:t>2014-15</w:t>
            </w:r>
          </w:p>
        </w:tc>
        <w:tc>
          <w:tcPr>
            <w:tcW w:w="1276" w:type="dxa"/>
            <w:tcBorders>
              <w:top w:val="single" w:sz="4" w:space="0" w:color="A7B4BE"/>
              <w:left w:val="nil"/>
              <w:bottom w:val="single" w:sz="4" w:space="0" w:color="A7B4BE"/>
              <w:right w:val="single" w:sz="4" w:space="0" w:color="A7B4BE"/>
            </w:tcBorders>
            <w:shd w:val="clear" w:color="auto" w:fill="FFCC99"/>
          </w:tcPr>
          <w:p w14:paraId="5902A098" w14:textId="77777777" w:rsidR="000646E5" w:rsidRPr="00E86491" w:rsidRDefault="000646E5" w:rsidP="00754FDB">
            <w:pPr>
              <w:pStyle w:val="Tablecolumnheading"/>
              <w:ind w:left="0"/>
              <w:jc w:val="center"/>
            </w:pPr>
            <w:r>
              <w:t>2015-16</w:t>
            </w:r>
          </w:p>
        </w:tc>
        <w:tc>
          <w:tcPr>
            <w:tcW w:w="1559" w:type="dxa"/>
            <w:tcBorders>
              <w:top w:val="single" w:sz="4" w:space="0" w:color="A7B4BE"/>
              <w:left w:val="single" w:sz="4" w:space="0" w:color="A7B4BE"/>
              <w:bottom w:val="single" w:sz="4" w:space="0" w:color="A7B4BE"/>
              <w:right w:val="nil"/>
            </w:tcBorders>
            <w:shd w:val="clear" w:color="auto" w:fill="FFCC99"/>
          </w:tcPr>
          <w:p w14:paraId="5902A099" w14:textId="5BCDAEDA" w:rsidR="000646E5" w:rsidRPr="00E86491" w:rsidRDefault="000646E5" w:rsidP="00D863D2">
            <w:pPr>
              <w:pStyle w:val="Tablecolumnheading"/>
              <w:ind w:left="0"/>
              <w:jc w:val="center"/>
            </w:pPr>
            <w:r w:rsidRPr="00E86491">
              <w:t>2016-17</w:t>
            </w:r>
          </w:p>
        </w:tc>
      </w:tr>
      <w:tr w:rsidR="000646E5" w:rsidRPr="0064756D" w14:paraId="5902A0A0" w14:textId="77777777" w:rsidTr="000646E5">
        <w:tc>
          <w:tcPr>
            <w:tcW w:w="2399" w:type="dxa"/>
            <w:tcBorders>
              <w:top w:val="single" w:sz="4" w:space="0" w:color="A7B4BE"/>
              <w:left w:val="nil"/>
              <w:bottom w:val="single" w:sz="2" w:space="0" w:color="A7B4BE"/>
              <w:right w:val="single" w:sz="2" w:space="0" w:color="A7B4BE"/>
            </w:tcBorders>
            <w:hideMark/>
          </w:tcPr>
          <w:p w14:paraId="5902A09B" w14:textId="0B104EDF" w:rsidR="000646E5" w:rsidRPr="00E86491" w:rsidRDefault="000646E5" w:rsidP="00F015A9">
            <w:pPr>
              <w:pStyle w:val="Tablebodytext"/>
              <w:rPr>
                <w:b/>
              </w:rPr>
            </w:pPr>
            <w:r>
              <w:rPr>
                <w:b/>
              </w:rPr>
              <w:t xml:space="preserve">Consultation RISs </w:t>
            </w:r>
            <w:proofErr w:type="spellStart"/>
            <w:r>
              <w:rPr>
                <w:b/>
              </w:rPr>
              <w:t>p</w:t>
            </w:r>
            <w:r w:rsidR="00F015A9">
              <w:rPr>
                <w:b/>
              </w:rPr>
              <w:t>ublished</w:t>
            </w:r>
            <w:r w:rsidR="00FD544F">
              <w:rPr>
                <w:b/>
                <w:vertAlign w:val="superscript"/>
              </w:rPr>
              <w:t>a</w:t>
            </w:r>
            <w:proofErr w:type="spellEnd"/>
          </w:p>
        </w:tc>
        <w:tc>
          <w:tcPr>
            <w:tcW w:w="1417" w:type="dxa"/>
            <w:tcBorders>
              <w:top w:val="single" w:sz="4" w:space="0" w:color="A7B4BE"/>
              <w:left w:val="single" w:sz="2" w:space="0" w:color="A7B4BE"/>
              <w:bottom w:val="single" w:sz="2" w:space="0" w:color="A7B4BE"/>
              <w:right w:val="single" w:sz="2" w:space="0" w:color="A7B4BE"/>
            </w:tcBorders>
            <w:hideMark/>
          </w:tcPr>
          <w:p w14:paraId="5902A09C" w14:textId="77777777" w:rsidR="000646E5" w:rsidRPr="00E86491" w:rsidRDefault="000646E5" w:rsidP="00754FDB">
            <w:pPr>
              <w:pStyle w:val="Tablebodytext"/>
              <w:spacing w:before="120"/>
              <w:jc w:val="center"/>
            </w:pPr>
            <w:r>
              <w:t>11</w:t>
            </w:r>
          </w:p>
        </w:tc>
        <w:tc>
          <w:tcPr>
            <w:tcW w:w="1418" w:type="dxa"/>
            <w:tcBorders>
              <w:top w:val="single" w:sz="4" w:space="0" w:color="A7B4BE"/>
              <w:left w:val="single" w:sz="2" w:space="0" w:color="A7B4BE"/>
              <w:bottom w:val="single" w:sz="2" w:space="0" w:color="A7B4BE"/>
              <w:right w:val="single" w:sz="2" w:space="0" w:color="A7B4BE"/>
            </w:tcBorders>
            <w:hideMark/>
          </w:tcPr>
          <w:p w14:paraId="5902A09D" w14:textId="77777777" w:rsidR="000646E5" w:rsidRPr="00E86491" w:rsidRDefault="00B50E6C" w:rsidP="00754FDB">
            <w:pPr>
              <w:pStyle w:val="Tablebodytext"/>
              <w:spacing w:before="120"/>
              <w:jc w:val="center"/>
            </w:pPr>
            <w:r>
              <w:t>10</w:t>
            </w:r>
          </w:p>
        </w:tc>
        <w:tc>
          <w:tcPr>
            <w:tcW w:w="1276" w:type="dxa"/>
            <w:tcBorders>
              <w:top w:val="single" w:sz="4" w:space="0" w:color="A7B4BE"/>
              <w:left w:val="nil"/>
              <w:bottom w:val="single" w:sz="2" w:space="0" w:color="A7B4BE"/>
              <w:right w:val="single" w:sz="4" w:space="0" w:color="A7B4BE"/>
            </w:tcBorders>
            <w:hideMark/>
          </w:tcPr>
          <w:p w14:paraId="5902A09E" w14:textId="77777777" w:rsidR="000646E5" w:rsidRPr="00E86491" w:rsidRDefault="00B50E6C" w:rsidP="00754FDB">
            <w:pPr>
              <w:pStyle w:val="Tablebodytext"/>
              <w:spacing w:before="120"/>
              <w:jc w:val="center"/>
            </w:pPr>
            <w:r>
              <w:t>9</w:t>
            </w:r>
          </w:p>
        </w:tc>
        <w:tc>
          <w:tcPr>
            <w:tcW w:w="1559" w:type="dxa"/>
            <w:tcBorders>
              <w:top w:val="single" w:sz="4" w:space="0" w:color="A7B4BE"/>
              <w:left w:val="single" w:sz="4" w:space="0" w:color="A7B4BE"/>
              <w:bottom w:val="single" w:sz="4" w:space="0" w:color="A7B4BE"/>
              <w:right w:val="single" w:sz="4" w:space="0" w:color="A7B4BE"/>
            </w:tcBorders>
          </w:tcPr>
          <w:p w14:paraId="5902A09F" w14:textId="5C11C391" w:rsidR="000646E5" w:rsidRPr="004C20DB" w:rsidRDefault="00012844" w:rsidP="00754FDB">
            <w:pPr>
              <w:pStyle w:val="Tablebodytext"/>
              <w:spacing w:before="120"/>
              <w:jc w:val="center"/>
            </w:pPr>
            <w:r>
              <w:t>8</w:t>
            </w:r>
          </w:p>
        </w:tc>
      </w:tr>
    </w:tbl>
    <w:p w14:paraId="5902A0A1" w14:textId="7C0DE20F" w:rsidR="0077323B" w:rsidRPr="000646E5" w:rsidRDefault="0077323B" w:rsidP="000646E5">
      <w:pPr>
        <w:spacing w:before="120" w:after="0"/>
        <w:rPr>
          <w:rFonts w:cs="Arial"/>
          <w:i/>
          <w:sz w:val="12"/>
          <w:szCs w:val="12"/>
        </w:rPr>
      </w:pPr>
    </w:p>
    <w:p w14:paraId="5902A0A3" w14:textId="77777777" w:rsidR="00937EAD" w:rsidRDefault="00220271" w:rsidP="00B56367">
      <w:pPr>
        <w:pStyle w:val="Heading2"/>
        <w:ind w:left="0" w:firstLine="0"/>
      </w:pPr>
      <w:r>
        <w:br w:type="page"/>
      </w:r>
      <w:bookmarkStart w:id="251" w:name="_Toc384306618"/>
      <w:bookmarkStart w:id="252" w:name="_Toc379802376"/>
      <w:bookmarkStart w:id="253" w:name="_Toc379801138"/>
      <w:bookmarkStart w:id="254" w:name="_Toc383790361"/>
      <w:bookmarkStart w:id="255" w:name="_Toc384366788"/>
      <w:bookmarkStart w:id="256" w:name="_Toc387412050"/>
      <w:bookmarkStart w:id="257" w:name="_Toc391977611"/>
      <w:bookmarkStart w:id="258" w:name="_Toc391985275"/>
      <w:bookmarkStart w:id="259" w:name="_Toc391985779"/>
      <w:bookmarkStart w:id="260" w:name="_Toc391985817"/>
      <w:bookmarkStart w:id="261" w:name="_Toc392582656"/>
      <w:bookmarkStart w:id="262" w:name="_Toc392583995"/>
      <w:bookmarkStart w:id="263" w:name="_Toc392751706"/>
      <w:bookmarkStart w:id="264" w:name="_Toc392852658"/>
      <w:bookmarkStart w:id="265" w:name="_Toc396743526"/>
      <w:bookmarkStart w:id="266" w:name="_Toc400100729"/>
      <w:bookmarkStart w:id="267" w:name="_Toc400101008"/>
      <w:bookmarkStart w:id="268" w:name="_Toc400104320"/>
      <w:bookmarkStart w:id="269" w:name="_Toc428440026"/>
      <w:bookmarkStart w:id="270" w:name="_Toc428440453"/>
      <w:bookmarkStart w:id="271" w:name="_Toc432175593"/>
    </w:p>
    <w:p w14:paraId="0F7FA0DE" w14:textId="77777777" w:rsidR="00662E15" w:rsidRDefault="00220271" w:rsidP="00207344">
      <w:pPr>
        <w:pStyle w:val="TableHeading"/>
        <w:outlineLvl w:val="9"/>
        <w:rPr>
          <w:noProof/>
        </w:rPr>
      </w:pPr>
      <w:bookmarkStart w:id="272" w:name="_Toc432587373"/>
      <w:bookmarkStart w:id="273" w:name="_Toc438539624"/>
      <w:bookmarkStart w:id="274" w:name="_Toc440639807"/>
      <w:bookmarkStart w:id="275" w:name="_Toc445973435"/>
      <w:bookmarkStart w:id="276" w:name="_Toc445974133"/>
      <w:bookmarkStart w:id="277" w:name="_Toc445974394"/>
      <w:bookmarkStart w:id="278" w:name="_Toc446318427"/>
      <w:bookmarkStart w:id="279" w:name="_Toc447532685"/>
      <w:bookmarkStart w:id="280" w:name="_Toc451168633"/>
      <w:bookmarkStart w:id="281" w:name="_Toc451264227"/>
      <w:bookmarkStart w:id="282" w:name="_Toc451264794"/>
      <w:bookmarkStart w:id="283" w:name="_Toc459800319"/>
      <w:bookmarkStart w:id="284" w:name="_Toc473715461"/>
      <w:bookmarkStart w:id="285" w:name="_Toc473900454"/>
      <w:bookmarkStart w:id="286" w:name="_Toc473900489"/>
      <w:bookmarkStart w:id="287" w:name="_Toc479588079"/>
      <w:bookmarkStart w:id="288" w:name="_Toc480290942"/>
      <w:bookmarkStart w:id="289" w:name="_Toc487626165"/>
      <w:r w:rsidRPr="00010B24">
        <w:lastRenderedPageBreak/>
        <w:t>Contents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fldChar w:fldCharType="begin"/>
      </w:r>
      <w:r>
        <w:instrText xml:space="preserve"> TOC \o "1-3" \h \z \u </w:instrText>
      </w:r>
      <w:r>
        <w:fldChar w:fldCharType="separate"/>
      </w:r>
    </w:p>
    <w:p w14:paraId="2E4B0FA9" w14:textId="330C9AA1" w:rsidR="00662E15" w:rsidRDefault="00AC1DC1">
      <w:pPr>
        <w:pStyle w:val="TOC2"/>
        <w:tabs>
          <w:tab w:val="right" w:leader="dot" w:pos="9054"/>
        </w:tabs>
        <w:rPr>
          <w:rFonts w:asciiTheme="minorHAnsi" w:eastAsiaTheme="minorEastAsia" w:hAnsiTheme="minorHAnsi" w:cstheme="minorBidi"/>
          <w:noProof/>
          <w:szCs w:val="22"/>
          <w:lang w:eastAsia="en-AU"/>
        </w:rPr>
      </w:pPr>
      <w:hyperlink w:anchor="_Toc514080242" w:history="1">
        <w:r w:rsidR="00662E15" w:rsidRPr="0065342B">
          <w:rPr>
            <w:rStyle w:val="Hyperlink"/>
            <w:noProof/>
          </w:rPr>
          <w:t>Detailed information</w:t>
        </w:r>
        <w:r w:rsidR="00662E15">
          <w:rPr>
            <w:noProof/>
            <w:webHidden/>
          </w:rPr>
          <w:tab/>
        </w:r>
        <w:r w:rsidR="00662E15">
          <w:rPr>
            <w:noProof/>
            <w:webHidden/>
          </w:rPr>
          <w:fldChar w:fldCharType="begin"/>
        </w:r>
        <w:r w:rsidR="00662E15">
          <w:rPr>
            <w:noProof/>
            <w:webHidden/>
          </w:rPr>
          <w:instrText xml:space="preserve"> PAGEREF _Toc514080242 \h </w:instrText>
        </w:r>
        <w:r w:rsidR="00662E15">
          <w:rPr>
            <w:noProof/>
            <w:webHidden/>
          </w:rPr>
        </w:r>
        <w:r w:rsidR="00662E15">
          <w:rPr>
            <w:noProof/>
            <w:webHidden/>
          </w:rPr>
          <w:fldChar w:fldCharType="separate"/>
        </w:r>
        <w:r w:rsidR="007D0793">
          <w:rPr>
            <w:noProof/>
            <w:webHidden/>
          </w:rPr>
          <w:t>3</w:t>
        </w:r>
        <w:r w:rsidR="00662E15">
          <w:rPr>
            <w:noProof/>
            <w:webHidden/>
          </w:rPr>
          <w:fldChar w:fldCharType="end"/>
        </w:r>
      </w:hyperlink>
    </w:p>
    <w:p w14:paraId="10A483EA" w14:textId="17697512" w:rsidR="00662E15" w:rsidRDefault="00AC1DC1">
      <w:pPr>
        <w:pStyle w:val="TOC3"/>
        <w:tabs>
          <w:tab w:val="right" w:leader="dot" w:pos="9054"/>
        </w:tabs>
        <w:rPr>
          <w:rFonts w:asciiTheme="minorHAnsi" w:eastAsiaTheme="minorEastAsia" w:hAnsiTheme="minorHAnsi" w:cstheme="minorBidi"/>
          <w:noProof/>
          <w:szCs w:val="22"/>
          <w:lang w:eastAsia="en-AU"/>
        </w:rPr>
      </w:pPr>
      <w:hyperlink w:anchor="_Toc514080243" w:history="1">
        <w:r w:rsidR="00662E15" w:rsidRPr="0065342B">
          <w:rPr>
            <w:rStyle w:val="Hyperlink"/>
            <w:noProof/>
          </w:rPr>
          <w:t>Australian Building Codes Board</w:t>
        </w:r>
        <w:r w:rsidR="00662E15">
          <w:rPr>
            <w:noProof/>
            <w:webHidden/>
          </w:rPr>
          <w:tab/>
        </w:r>
        <w:r w:rsidR="00662E15">
          <w:rPr>
            <w:noProof/>
            <w:webHidden/>
          </w:rPr>
          <w:fldChar w:fldCharType="begin"/>
        </w:r>
        <w:r w:rsidR="00662E15">
          <w:rPr>
            <w:noProof/>
            <w:webHidden/>
          </w:rPr>
          <w:instrText xml:space="preserve"> PAGEREF _Toc514080243 \h </w:instrText>
        </w:r>
        <w:r w:rsidR="00662E15">
          <w:rPr>
            <w:noProof/>
            <w:webHidden/>
          </w:rPr>
        </w:r>
        <w:r w:rsidR="00662E15">
          <w:rPr>
            <w:noProof/>
            <w:webHidden/>
          </w:rPr>
          <w:fldChar w:fldCharType="separate"/>
        </w:r>
        <w:r w:rsidR="007D0793">
          <w:rPr>
            <w:noProof/>
            <w:webHidden/>
          </w:rPr>
          <w:t>3</w:t>
        </w:r>
        <w:r w:rsidR="00662E15">
          <w:rPr>
            <w:noProof/>
            <w:webHidden/>
          </w:rPr>
          <w:fldChar w:fldCharType="end"/>
        </w:r>
      </w:hyperlink>
    </w:p>
    <w:p w14:paraId="1265605B" w14:textId="405C1D1C" w:rsidR="00662E15" w:rsidRDefault="00AC1DC1">
      <w:pPr>
        <w:pStyle w:val="TOC3"/>
        <w:tabs>
          <w:tab w:val="right" w:leader="dot" w:pos="9054"/>
        </w:tabs>
        <w:rPr>
          <w:rFonts w:asciiTheme="minorHAnsi" w:eastAsiaTheme="minorEastAsia" w:hAnsiTheme="minorHAnsi" w:cstheme="minorBidi"/>
          <w:noProof/>
          <w:szCs w:val="22"/>
          <w:lang w:eastAsia="en-AU"/>
        </w:rPr>
      </w:pPr>
      <w:hyperlink w:anchor="_Toc514080244" w:history="1">
        <w:r w:rsidR="00662E15" w:rsidRPr="0065342B">
          <w:rPr>
            <w:rStyle w:val="Hyperlink"/>
            <w:noProof/>
          </w:rPr>
          <w:t>Disability Reform Council</w:t>
        </w:r>
        <w:r w:rsidR="00662E15">
          <w:rPr>
            <w:noProof/>
            <w:webHidden/>
          </w:rPr>
          <w:tab/>
        </w:r>
        <w:r w:rsidR="00662E15">
          <w:rPr>
            <w:noProof/>
            <w:webHidden/>
          </w:rPr>
          <w:fldChar w:fldCharType="begin"/>
        </w:r>
        <w:r w:rsidR="00662E15">
          <w:rPr>
            <w:noProof/>
            <w:webHidden/>
          </w:rPr>
          <w:instrText xml:space="preserve"> PAGEREF _Toc514080244 \h </w:instrText>
        </w:r>
        <w:r w:rsidR="00662E15">
          <w:rPr>
            <w:noProof/>
            <w:webHidden/>
          </w:rPr>
        </w:r>
        <w:r w:rsidR="00662E15">
          <w:rPr>
            <w:noProof/>
            <w:webHidden/>
          </w:rPr>
          <w:fldChar w:fldCharType="separate"/>
        </w:r>
        <w:r w:rsidR="007D0793">
          <w:rPr>
            <w:noProof/>
            <w:webHidden/>
          </w:rPr>
          <w:t>3</w:t>
        </w:r>
        <w:r w:rsidR="00662E15">
          <w:rPr>
            <w:noProof/>
            <w:webHidden/>
          </w:rPr>
          <w:fldChar w:fldCharType="end"/>
        </w:r>
      </w:hyperlink>
    </w:p>
    <w:p w14:paraId="562E4D50" w14:textId="238BF3BB" w:rsidR="00662E15" w:rsidRDefault="00AC1DC1">
      <w:pPr>
        <w:pStyle w:val="TOC3"/>
        <w:tabs>
          <w:tab w:val="right" w:leader="dot" w:pos="9054"/>
        </w:tabs>
        <w:rPr>
          <w:rFonts w:asciiTheme="minorHAnsi" w:eastAsiaTheme="minorEastAsia" w:hAnsiTheme="minorHAnsi" w:cstheme="minorBidi"/>
          <w:noProof/>
          <w:szCs w:val="22"/>
          <w:lang w:eastAsia="en-AU"/>
        </w:rPr>
      </w:pPr>
      <w:hyperlink w:anchor="_Toc514080245" w:history="1">
        <w:r w:rsidR="00662E15" w:rsidRPr="0065342B">
          <w:rPr>
            <w:rStyle w:val="Hyperlink"/>
            <w:noProof/>
          </w:rPr>
          <w:t>Education Council</w:t>
        </w:r>
        <w:r w:rsidR="00662E15">
          <w:rPr>
            <w:noProof/>
            <w:webHidden/>
          </w:rPr>
          <w:tab/>
        </w:r>
        <w:r w:rsidR="00662E15">
          <w:rPr>
            <w:noProof/>
            <w:webHidden/>
          </w:rPr>
          <w:fldChar w:fldCharType="begin"/>
        </w:r>
        <w:r w:rsidR="00662E15">
          <w:rPr>
            <w:noProof/>
            <w:webHidden/>
          </w:rPr>
          <w:instrText xml:space="preserve"> PAGEREF _Toc514080245 \h </w:instrText>
        </w:r>
        <w:r w:rsidR="00662E15">
          <w:rPr>
            <w:noProof/>
            <w:webHidden/>
          </w:rPr>
        </w:r>
        <w:r w:rsidR="00662E15">
          <w:rPr>
            <w:noProof/>
            <w:webHidden/>
          </w:rPr>
          <w:fldChar w:fldCharType="separate"/>
        </w:r>
        <w:r w:rsidR="007D0793">
          <w:rPr>
            <w:noProof/>
            <w:webHidden/>
          </w:rPr>
          <w:t>3</w:t>
        </w:r>
        <w:r w:rsidR="00662E15">
          <w:rPr>
            <w:noProof/>
            <w:webHidden/>
          </w:rPr>
          <w:fldChar w:fldCharType="end"/>
        </w:r>
      </w:hyperlink>
    </w:p>
    <w:p w14:paraId="4958D020" w14:textId="100AA6C3" w:rsidR="00662E15" w:rsidRDefault="00AC1DC1">
      <w:pPr>
        <w:pStyle w:val="TOC3"/>
        <w:tabs>
          <w:tab w:val="right" w:leader="dot" w:pos="9054"/>
        </w:tabs>
        <w:rPr>
          <w:rFonts w:asciiTheme="minorHAnsi" w:eastAsiaTheme="minorEastAsia" w:hAnsiTheme="minorHAnsi" w:cstheme="minorBidi"/>
          <w:noProof/>
          <w:szCs w:val="22"/>
          <w:lang w:eastAsia="en-AU"/>
        </w:rPr>
      </w:pPr>
      <w:hyperlink w:anchor="_Toc514080246" w:history="1">
        <w:r w:rsidR="00662E15" w:rsidRPr="0065342B">
          <w:rPr>
            <w:rStyle w:val="Hyperlink"/>
            <w:noProof/>
          </w:rPr>
          <w:t>Energy Council</w:t>
        </w:r>
        <w:r w:rsidR="00662E15">
          <w:rPr>
            <w:noProof/>
            <w:webHidden/>
          </w:rPr>
          <w:tab/>
        </w:r>
        <w:r w:rsidR="00662E15">
          <w:rPr>
            <w:noProof/>
            <w:webHidden/>
          </w:rPr>
          <w:fldChar w:fldCharType="begin"/>
        </w:r>
        <w:r w:rsidR="00662E15">
          <w:rPr>
            <w:noProof/>
            <w:webHidden/>
          </w:rPr>
          <w:instrText xml:space="preserve"> PAGEREF _Toc514080246 \h </w:instrText>
        </w:r>
        <w:r w:rsidR="00662E15">
          <w:rPr>
            <w:noProof/>
            <w:webHidden/>
          </w:rPr>
        </w:r>
        <w:r w:rsidR="00662E15">
          <w:rPr>
            <w:noProof/>
            <w:webHidden/>
          </w:rPr>
          <w:fldChar w:fldCharType="separate"/>
        </w:r>
        <w:r w:rsidR="007D0793">
          <w:rPr>
            <w:noProof/>
            <w:webHidden/>
          </w:rPr>
          <w:t>3</w:t>
        </w:r>
        <w:r w:rsidR="00662E15">
          <w:rPr>
            <w:noProof/>
            <w:webHidden/>
          </w:rPr>
          <w:fldChar w:fldCharType="end"/>
        </w:r>
      </w:hyperlink>
    </w:p>
    <w:p w14:paraId="6F354233" w14:textId="046AE2E4" w:rsidR="00662E15" w:rsidRDefault="00AC1DC1">
      <w:pPr>
        <w:pStyle w:val="TOC3"/>
        <w:tabs>
          <w:tab w:val="right" w:leader="dot" w:pos="9054"/>
        </w:tabs>
        <w:rPr>
          <w:rFonts w:asciiTheme="minorHAnsi" w:eastAsiaTheme="minorEastAsia" w:hAnsiTheme="minorHAnsi" w:cstheme="minorBidi"/>
          <w:noProof/>
          <w:szCs w:val="22"/>
          <w:lang w:eastAsia="en-AU"/>
        </w:rPr>
      </w:pPr>
      <w:hyperlink w:anchor="_Toc514080247" w:history="1">
        <w:r w:rsidR="00662E15" w:rsidRPr="0065342B">
          <w:rPr>
            <w:rStyle w:val="Hyperlink"/>
            <w:noProof/>
          </w:rPr>
          <w:t>Food Standards Australia New Zealand</w:t>
        </w:r>
        <w:r w:rsidR="00662E15">
          <w:rPr>
            <w:noProof/>
            <w:webHidden/>
          </w:rPr>
          <w:tab/>
        </w:r>
        <w:r w:rsidR="00662E15">
          <w:rPr>
            <w:noProof/>
            <w:webHidden/>
          </w:rPr>
          <w:fldChar w:fldCharType="begin"/>
        </w:r>
        <w:r w:rsidR="00662E15">
          <w:rPr>
            <w:noProof/>
            <w:webHidden/>
          </w:rPr>
          <w:instrText xml:space="preserve"> PAGEREF _Toc514080247 \h </w:instrText>
        </w:r>
        <w:r w:rsidR="00662E15">
          <w:rPr>
            <w:noProof/>
            <w:webHidden/>
          </w:rPr>
        </w:r>
        <w:r w:rsidR="00662E15">
          <w:rPr>
            <w:noProof/>
            <w:webHidden/>
          </w:rPr>
          <w:fldChar w:fldCharType="separate"/>
        </w:r>
        <w:r w:rsidR="007D0793">
          <w:rPr>
            <w:noProof/>
            <w:webHidden/>
          </w:rPr>
          <w:t>3</w:t>
        </w:r>
        <w:r w:rsidR="00662E15">
          <w:rPr>
            <w:noProof/>
            <w:webHidden/>
          </w:rPr>
          <w:fldChar w:fldCharType="end"/>
        </w:r>
      </w:hyperlink>
    </w:p>
    <w:p w14:paraId="693991EA" w14:textId="6E545FF4" w:rsidR="00662E15" w:rsidRDefault="00AC1DC1">
      <w:pPr>
        <w:pStyle w:val="TOC3"/>
        <w:tabs>
          <w:tab w:val="right" w:leader="dot" w:pos="9054"/>
        </w:tabs>
        <w:rPr>
          <w:rFonts w:asciiTheme="minorHAnsi" w:eastAsiaTheme="minorEastAsia" w:hAnsiTheme="minorHAnsi" w:cstheme="minorBidi"/>
          <w:noProof/>
          <w:szCs w:val="22"/>
          <w:lang w:eastAsia="en-AU"/>
        </w:rPr>
      </w:pPr>
      <w:hyperlink w:anchor="_Toc514080248" w:history="1">
        <w:r w:rsidR="00662E15" w:rsidRPr="0065342B">
          <w:rPr>
            <w:rStyle w:val="Hyperlink"/>
            <w:noProof/>
          </w:rPr>
          <w:t>Law, Crime and Community Safety Council</w:t>
        </w:r>
        <w:r w:rsidR="00662E15">
          <w:rPr>
            <w:noProof/>
            <w:webHidden/>
          </w:rPr>
          <w:tab/>
        </w:r>
        <w:r w:rsidR="00662E15">
          <w:rPr>
            <w:noProof/>
            <w:webHidden/>
          </w:rPr>
          <w:fldChar w:fldCharType="begin"/>
        </w:r>
        <w:r w:rsidR="00662E15">
          <w:rPr>
            <w:noProof/>
            <w:webHidden/>
          </w:rPr>
          <w:instrText xml:space="preserve"> PAGEREF _Toc514080248 \h </w:instrText>
        </w:r>
        <w:r w:rsidR="00662E15">
          <w:rPr>
            <w:noProof/>
            <w:webHidden/>
          </w:rPr>
        </w:r>
        <w:r w:rsidR="00662E15">
          <w:rPr>
            <w:noProof/>
            <w:webHidden/>
          </w:rPr>
          <w:fldChar w:fldCharType="separate"/>
        </w:r>
        <w:r w:rsidR="007D0793">
          <w:rPr>
            <w:noProof/>
            <w:webHidden/>
          </w:rPr>
          <w:t>4</w:t>
        </w:r>
        <w:r w:rsidR="00662E15">
          <w:rPr>
            <w:noProof/>
            <w:webHidden/>
          </w:rPr>
          <w:fldChar w:fldCharType="end"/>
        </w:r>
      </w:hyperlink>
    </w:p>
    <w:p w14:paraId="609FB3B8" w14:textId="22889BE0" w:rsidR="00662E15" w:rsidRDefault="00AC1DC1">
      <w:pPr>
        <w:pStyle w:val="TOC3"/>
        <w:tabs>
          <w:tab w:val="right" w:leader="dot" w:pos="9054"/>
        </w:tabs>
        <w:rPr>
          <w:rFonts w:asciiTheme="minorHAnsi" w:eastAsiaTheme="minorEastAsia" w:hAnsiTheme="minorHAnsi" w:cstheme="minorBidi"/>
          <w:noProof/>
          <w:szCs w:val="22"/>
          <w:lang w:eastAsia="en-AU"/>
        </w:rPr>
      </w:pPr>
      <w:hyperlink w:anchor="_Toc514080249" w:history="1">
        <w:r w:rsidR="00662E15" w:rsidRPr="0065342B">
          <w:rPr>
            <w:rStyle w:val="Hyperlink"/>
            <w:noProof/>
          </w:rPr>
          <w:t>National Transport Commission</w:t>
        </w:r>
        <w:r w:rsidR="00662E15">
          <w:rPr>
            <w:noProof/>
            <w:webHidden/>
          </w:rPr>
          <w:tab/>
        </w:r>
        <w:r w:rsidR="00662E15">
          <w:rPr>
            <w:noProof/>
            <w:webHidden/>
          </w:rPr>
          <w:fldChar w:fldCharType="begin"/>
        </w:r>
        <w:r w:rsidR="00662E15">
          <w:rPr>
            <w:noProof/>
            <w:webHidden/>
          </w:rPr>
          <w:instrText xml:space="preserve"> PAGEREF _Toc514080249 \h </w:instrText>
        </w:r>
        <w:r w:rsidR="00662E15">
          <w:rPr>
            <w:noProof/>
            <w:webHidden/>
          </w:rPr>
        </w:r>
        <w:r w:rsidR="00662E15">
          <w:rPr>
            <w:noProof/>
            <w:webHidden/>
          </w:rPr>
          <w:fldChar w:fldCharType="separate"/>
        </w:r>
        <w:r w:rsidR="007D0793">
          <w:rPr>
            <w:noProof/>
            <w:webHidden/>
          </w:rPr>
          <w:t>4</w:t>
        </w:r>
        <w:r w:rsidR="00662E15">
          <w:rPr>
            <w:noProof/>
            <w:webHidden/>
          </w:rPr>
          <w:fldChar w:fldCharType="end"/>
        </w:r>
      </w:hyperlink>
    </w:p>
    <w:p w14:paraId="69BE8164" w14:textId="75FB8168" w:rsidR="00662E15" w:rsidRDefault="00AC1DC1">
      <w:pPr>
        <w:pStyle w:val="TOC3"/>
        <w:tabs>
          <w:tab w:val="right" w:leader="dot" w:pos="9054"/>
        </w:tabs>
        <w:rPr>
          <w:rFonts w:asciiTheme="minorHAnsi" w:eastAsiaTheme="minorEastAsia" w:hAnsiTheme="minorHAnsi" w:cstheme="minorBidi"/>
          <w:noProof/>
          <w:szCs w:val="22"/>
          <w:lang w:eastAsia="en-AU"/>
        </w:rPr>
      </w:pPr>
      <w:hyperlink w:anchor="_Toc514080250" w:history="1">
        <w:r w:rsidR="00662E15" w:rsidRPr="0065342B">
          <w:rPr>
            <w:rStyle w:val="Hyperlink"/>
            <w:noProof/>
          </w:rPr>
          <w:t>Safe Work Australia</w:t>
        </w:r>
        <w:r w:rsidR="00662E15">
          <w:rPr>
            <w:noProof/>
            <w:webHidden/>
          </w:rPr>
          <w:tab/>
        </w:r>
        <w:r w:rsidR="00662E15">
          <w:rPr>
            <w:noProof/>
            <w:webHidden/>
          </w:rPr>
          <w:fldChar w:fldCharType="begin"/>
        </w:r>
        <w:r w:rsidR="00662E15">
          <w:rPr>
            <w:noProof/>
            <w:webHidden/>
          </w:rPr>
          <w:instrText xml:space="preserve"> PAGEREF _Toc514080250 \h </w:instrText>
        </w:r>
        <w:r w:rsidR="00662E15">
          <w:rPr>
            <w:noProof/>
            <w:webHidden/>
          </w:rPr>
        </w:r>
        <w:r w:rsidR="00662E15">
          <w:rPr>
            <w:noProof/>
            <w:webHidden/>
          </w:rPr>
          <w:fldChar w:fldCharType="separate"/>
        </w:r>
        <w:r w:rsidR="007D0793">
          <w:rPr>
            <w:noProof/>
            <w:webHidden/>
          </w:rPr>
          <w:t>4</w:t>
        </w:r>
        <w:r w:rsidR="00662E15">
          <w:rPr>
            <w:noProof/>
            <w:webHidden/>
          </w:rPr>
          <w:fldChar w:fldCharType="end"/>
        </w:r>
      </w:hyperlink>
    </w:p>
    <w:p w14:paraId="4C76DA94" w14:textId="421D42A8" w:rsidR="00662E15" w:rsidRDefault="00AC1DC1">
      <w:pPr>
        <w:pStyle w:val="TOC3"/>
        <w:tabs>
          <w:tab w:val="right" w:leader="dot" w:pos="9054"/>
        </w:tabs>
        <w:rPr>
          <w:rFonts w:asciiTheme="minorHAnsi" w:eastAsiaTheme="minorEastAsia" w:hAnsiTheme="minorHAnsi" w:cstheme="minorBidi"/>
          <w:noProof/>
          <w:szCs w:val="22"/>
          <w:lang w:eastAsia="en-AU"/>
        </w:rPr>
      </w:pPr>
      <w:hyperlink w:anchor="_Toc514080251" w:history="1">
        <w:r w:rsidR="00662E15" w:rsidRPr="0065342B">
          <w:rPr>
            <w:rStyle w:val="Hyperlink"/>
            <w:noProof/>
          </w:rPr>
          <w:t>Standing Council on Federal Financial Relations</w:t>
        </w:r>
        <w:r w:rsidR="00662E15">
          <w:rPr>
            <w:noProof/>
            <w:webHidden/>
          </w:rPr>
          <w:tab/>
        </w:r>
        <w:r w:rsidR="00662E15">
          <w:rPr>
            <w:noProof/>
            <w:webHidden/>
          </w:rPr>
          <w:fldChar w:fldCharType="begin"/>
        </w:r>
        <w:r w:rsidR="00662E15">
          <w:rPr>
            <w:noProof/>
            <w:webHidden/>
          </w:rPr>
          <w:instrText xml:space="preserve"> PAGEREF _Toc514080251 \h </w:instrText>
        </w:r>
        <w:r w:rsidR="00662E15">
          <w:rPr>
            <w:noProof/>
            <w:webHidden/>
          </w:rPr>
        </w:r>
        <w:r w:rsidR="00662E15">
          <w:rPr>
            <w:noProof/>
            <w:webHidden/>
          </w:rPr>
          <w:fldChar w:fldCharType="separate"/>
        </w:r>
        <w:r w:rsidR="007D0793">
          <w:rPr>
            <w:noProof/>
            <w:webHidden/>
          </w:rPr>
          <w:t>5</w:t>
        </w:r>
        <w:r w:rsidR="00662E15">
          <w:rPr>
            <w:noProof/>
            <w:webHidden/>
          </w:rPr>
          <w:fldChar w:fldCharType="end"/>
        </w:r>
      </w:hyperlink>
    </w:p>
    <w:p w14:paraId="06AC4645" w14:textId="5D5E9F24" w:rsidR="00662E15" w:rsidRDefault="00AC1DC1">
      <w:pPr>
        <w:pStyle w:val="TOC2"/>
        <w:tabs>
          <w:tab w:val="right" w:leader="dot" w:pos="9054"/>
        </w:tabs>
        <w:rPr>
          <w:rFonts w:asciiTheme="minorHAnsi" w:eastAsiaTheme="minorEastAsia" w:hAnsiTheme="minorHAnsi" w:cstheme="minorBidi"/>
          <w:noProof/>
          <w:szCs w:val="22"/>
          <w:lang w:eastAsia="en-AU"/>
        </w:rPr>
      </w:pPr>
      <w:hyperlink w:anchor="_Toc514080252" w:history="1">
        <w:r w:rsidR="00662E15" w:rsidRPr="0065342B">
          <w:rPr>
            <w:rStyle w:val="Hyperlink"/>
            <w:noProof/>
          </w:rPr>
          <w:t>Appendix A – COAG RISs published for consultation in 2016-17</w:t>
        </w:r>
        <w:r w:rsidR="00662E15">
          <w:rPr>
            <w:noProof/>
            <w:webHidden/>
          </w:rPr>
          <w:tab/>
        </w:r>
        <w:r w:rsidR="00662E15">
          <w:rPr>
            <w:noProof/>
            <w:webHidden/>
          </w:rPr>
          <w:fldChar w:fldCharType="begin"/>
        </w:r>
        <w:r w:rsidR="00662E15">
          <w:rPr>
            <w:noProof/>
            <w:webHidden/>
          </w:rPr>
          <w:instrText xml:space="preserve"> PAGEREF _Toc514080252 \h </w:instrText>
        </w:r>
        <w:r w:rsidR="00662E15">
          <w:rPr>
            <w:noProof/>
            <w:webHidden/>
          </w:rPr>
        </w:r>
        <w:r w:rsidR="00662E15">
          <w:rPr>
            <w:noProof/>
            <w:webHidden/>
          </w:rPr>
          <w:fldChar w:fldCharType="separate"/>
        </w:r>
        <w:r w:rsidR="007D0793">
          <w:rPr>
            <w:noProof/>
            <w:webHidden/>
          </w:rPr>
          <w:t>6</w:t>
        </w:r>
        <w:r w:rsidR="00662E15">
          <w:rPr>
            <w:noProof/>
            <w:webHidden/>
          </w:rPr>
          <w:fldChar w:fldCharType="end"/>
        </w:r>
      </w:hyperlink>
    </w:p>
    <w:p w14:paraId="5902A0AF" w14:textId="77777777" w:rsidR="002674FC" w:rsidRDefault="00220271" w:rsidP="00401FA2">
      <w:pPr>
        <w:ind w:firstLine="220"/>
        <w:rPr>
          <w:b/>
          <w:i/>
          <w:sz w:val="26"/>
          <w:szCs w:val="26"/>
        </w:rPr>
      </w:pPr>
      <w:r>
        <w:rPr>
          <w:b/>
          <w:bCs/>
          <w:noProof/>
        </w:rPr>
        <w:fldChar w:fldCharType="end"/>
      </w:r>
      <w:bookmarkStart w:id="290" w:name="_Toc432175906"/>
      <w:bookmarkStart w:id="291" w:name="_Toc432587374"/>
    </w:p>
    <w:p w14:paraId="0550B2A8" w14:textId="61A55FC5" w:rsidR="000A698F" w:rsidRPr="00AE4984" w:rsidRDefault="007B3914" w:rsidP="000A698F">
      <w:pPr>
        <w:pStyle w:val="Heading2"/>
        <w:ind w:left="0" w:firstLine="0"/>
        <w:rPr>
          <w:bCs/>
          <w:color w:val="F79646"/>
        </w:rPr>
      </w:pPr>
      <w:r>
        <w:rPr>
          <w:rFonts w:cs="Arial"/>
          <w:spacing w:val="0"/>
        </w:rPr>
        <w:br w:type="page"/>
      </w:r>
      <w:bookmarkStart w:id="292" w:name="_Toc459800538"/>
      <w:bookmarkStart w:id="293" w:name="_Toc514080242"/>
      <w:bookmarkEnd w:id="290"/>
      <w:bookmarkEnd w:id="291"/>
      <w:r w:rsidR="000A698F" w:rsidRPr="00AE4984">
        <w:lastRenderedPageBreak/>
        <w:t>Detailed information</w:t>
      </w:r>
      <w:bookmarkEnd w:id="292"/>
      <w:bookmarkEnd w:id="293"/>
    </w:p>
    <w:p w14:paraId="03E27E39" w14:textId="77777777" w:rsidR="000A698F" w:rsidRDefault="000A698F" w:rsidP="000A698F">
      <w:pPr>
        <w:pStyle w:val="Heading3"/>
      </w:pPr>
      <w:bookmarkStart w:id="294" w:name="_Toc514080243"/>
      <w:r>
        <w:t>Australian Building Codes Board</w:t>
      </w:r>
      <w:bookmarkEnd w:id="294"/>
    </w:p>
    <w:tbl>
      <w:tblPr>
        <w:tblW w:w="9979" w:type="dxa"/>
        <w:tblInd w:w="-142" w:type="dxa"/>
        <w:tblLayout w:type="fixed"/>
        <w:tblCellMar>
          <w:left w:w="0" w:type="dxa"/>
          <w:right w:w="0" w:type="dxa"/>
        </w:tblCellMar>
        <w:tblLook w:val="0000" w:firstRow="0" w:lastRow="0" w:firstColumn="0" w:lastColumn="0" w:noHBand="0" w:noVBand="0"/>
        <w:tblCaption w:val="Automatic Fire Suppression Systems for Covered Balconies in Residential Buildings"/>
        <w:tblDescription w:val="Automatic Fire Suppression Systems for Covered Balconies in Residential Buildings: Compliant at consultation, Compliant at decision, Final RIS published. Decision Date: June 2016."/>
      </w:tblPr>
      <w:tblGrid>
        <w:gridCol w:w="5420"/>
        <w:gridCol w:w="1245"/>
        <w:gridCol w:w="1105"/>
        <w:gridCol w:w="1104"/>
        <w:gridCol w:w="1105"/>
      </w:tblGrid>
      <w:tr w:rsidR="000A698F" w14:paraId="51BB159C" w14:textId="77777777" w:rsidTr="00DA2D27">
        <w:trPr>
          <w:tblHeader/>
        </w:trPr>
        <w:tc>
          <w:tcPr>
            <w:tcW w:w="5420" w:type="dxa"/>
            <w:shd w:val="clear" w:color="auto" w:fill="F4973F"/>
            <w:vAlign w:val="center"/>
          </w:tcPr>
          <w:p w14:paraId="2311041C"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5ED770E0"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0A121EE4"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7437B850"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18A6CAB4"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09CD69D4" w14:textId="77777777" w:rsidTr="00DA2D27">
        <w:trPr>
          <w:trHeight w:hRule="exact" w:val="525"/>
        </w:trPr>
        <w:tc>
          <w:tcPr>
            <w:tcW w:w="5420" w:type="dxa"/>
            <w:shd w:val="clear" w:color="auto" w:fill="auto"/>
            <w:vAlign w:val="center"/>
          </w:tcPr>
          <w:p w14:paraId="1138E0AF" w14:textId="77777777" w:rsidR="000A698F" w:rsidRPr="00BC0477" w:rsidRDefault="000A698F" w:rsidP="00DA2D2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Automatic Fire Suppression Systems for Covered Balconies in Residential Buildings</w:t>
            </w:r>
          </w:p>
        </w:tc>
        <w:tc>
          <w:tcPr>
            <w:tcW w:w="1245" w:type="dxa"/>
            <w:shd w:val="clear" w:color="auto" w:fill="auto"/>
            <w:vAlign w:val="center"/>
          </w:tcPr>
          <w:p w14:paraId="4E105956"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June 2016</w:t>
            </w:r>
            <w:r w:rsidRPr="00F53A38">
              <w:rPr>
                <w:rFonts w:ascii="Arial" w:hAnsi="Arial" w:cs="Arial"/>
                <w:spacing w:val="-3"/>
                <w:sz w:val="18"/>
                <w:szCs w:val="18"/>
                <w:vertAlign w:val="superscript"/>
              </w:rPr>
              <w:t>a</w:t>
            </w:r>
          </w:p>
        </w:tc>
        <w:tc>
          <w:tcPr>
            <w:tcW w:w="1105" w:type="dxa"/>
            <w:shd w:val="clear" w:color="auto" w:fill="auto"/>
            <w:vAlign w:val="center"/>
          </w:tcPr>
          <w:p w14:paraId="6440282F"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0C527B27"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534B461B"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2861B2B3" w14:textId="77777777" w:rsidR="000A698F" w:rsidRPr="00702109" w:rsidRDefault="000A698F" w:rsidP="000A698F">
      <w:pPr>
        <w:pStyle w:val="note"/>
        <w:spacing w:after="0"/>
        <w:rPr>
          <w:rFonts w:cs="Arial"/>
          <w:color w:val="auto"/>
          <w:szCs w:val="18"/>
        </w:rPr>
      </w:pPr>
    </w:p>
    <w:p w14:paraId="471137D9" w14:textId="2D03ECA5" w:rsidR="000A698F" w:rsidRPr="00702109" w:rsidRDefault="000A698F" w:rsidP="000A698F">
      <w:pPr>
        <w:pStyle w:val="BodyText1"/>
        <w:rPr>
          <w:spacing w:val="-6"/>
          <w:sz w:val="18"/>
          <w:szCs w:val="18"/>
        </w:rPr>
      </w:pPr>
      <w:r w:rsidRPr="00702109">
        <w:rPr>
          <w:spacing w:val="-6"/>
          <w:sz w:val="18"/>
          <w:szCs w:val="18"/>
        </w:rPr>
        <w:t>Consider options to mandate automatic fire suppression systems for covered balconies over 25 meters in effective height.</w:t>
      </w:r>
    </w:p>
    <w:p w14:paraId="7A9849DC" w14:textId="271DEB9E" w:rsidR="000A698F" w:rsidRPr="001645C3" w:rsidRDefault="00382729" w:rsidP="000A698F">
      <w:pPr>
        <w:pStyle w:val="BodyText1"/>
        <w:rPr>
          <w:spacing w:val="-6"/>
          <w:sz w:val="14"/>
          <w:szCs w:val="14"/>
        </w:rPr>
      </w:pPr>
      <w:proofErr w:type="spellStart"/>
      <w:proofErr w:type="gramStart"/>
      <w:r w:rsidRPr="004013EA">
        <w:rPr>
          <w:spacing w:val="-6"/>
          <w:sz w:val="18"/>
          <w:szCs w:val="18"/>
          <w:vertAlign w:val="superscript"/>
        </w:rPr>
        <w:t>a</w:t>
      </w:r>
      <w:proofErr w:type="spellEnd"/>
      <w:proofErr w:type="gramEnd"/>
      <w:r w:rsidRPr="004013EA">
        <w:rPr>
          <w:spacing w:val="-6"/>
          <w:sz w:val="18"/>
          <w:szCs w:val="18"/>
        </w:rPr>
        <w:t xml:space="preserve"> </w:t>
      </w:r>
      <w:r w:rsidR="000A698F" w:rsidRPr="001645C3">
        <w:rPr>
          <w:spacing w:val="-6"/>
          <w:sz w:val="14"/>
          <w:szCs w:val="14"/>
        </w:rPr>
        <w:t>The decision for this proposal was made in 2015–16, however the RIS was published on the OBPR’s website in 2016–17.</w:t>
      </w:r>
    </w:p>
    <w:p w14:paraId="3F566872" w14:textId="77777777" w:rsidR="000A698F" w:rsidRDefault="000A698F" w:rsidP="000A698F">
      <w:pPr>
        <w:pStyle w:val="Heading3"/>
      </w:pPr>
      <w:bookmarkStart w:id="295" w:name="_Toc514080244"/>
      <w:r>
        <w:t>Disability Reform Council</w:t>
      </w:r>
      <w:bookmarkEnd w:id="295"/>
    </w:p>
    <w:tbl>
      <w:tblPr>
        <w:tblW w:w="9979" w:type="dxa"/>
        <w:tblInd w:w="-142" w:type="dxa"/>
        <w:tblLayout w:type="fixed"/>
        <w:tblCellMar>
          <w:left w:w="0" w:type="dxa"/>
          <w:right w:w="0" w:type="dxa"/>
        </w:tblCellMar>
        <w:tblLook w:val="0000" w:firstRow="0" w:lastRow="0" w:firstColumn="0" w:lastColumn="0" w:noHBand="0" w:noVBand="0"/>
        <w:tblCaption w:val="NDIS Quality and Safeguarding Framework"/>
        <w:tblDescription w:val="NDIS Quality and Safeguarding Framework: Compliant at consultation, Compliant at decision, Final RIS published. Decision Date: 2 September 2016."/>
      </w:tblPr>
      <w:tblGrid>
        <w:gridCol w:w="5420"/>
        <w:gridCol w:w="1245"/>
        <w:gridCol w:w="1105"/>
        <w:gridCol w:w="1104"/>
        <w:gridCol w:w="1105"/>
      </w:tblGrid>
      <w:tr w:rsidR="000A698F" w14:paraId="3C08D0F2" w14:textId="77777777" w:rsidTr="00DA2D27">
        <w:trPr>
          <w:tblHeader/>
        </w:trPr>
        <w:tc>
          <w:tcPr>
            <w:tcW w:w="5420" w:type="dxa"/>
            <w:shd w:val="clear" w:color="auto" w:fill="F4973F"/>
            <w:vAlign w:val="center"/>
          </w:tcPr>
          <w:p w14:paraId="70F1AA10"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0216210D"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25FE9F27"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342C7430"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287217D3"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243A8A4D" w14:textId="77777777" w:rsidTr="00DA2D27">
        <w:trPr>
          <w:trHeight w:hRule="exact" w:val="525"/>
        </w:trPr>
        <w:tc>
          <w:tcPr>
            <w:tcW w:w="5420" w:type="dxa"/>
            <w:shd w:val="clear" w:color="auto" w:fill="auto"/>
            <w:vAlign w:val="center"/>
          </w:tcPr>
          <w:p w14:paraId="39449ED8" w14:textId="77777777" w:rsidR="000A698F" w:rsidRPr="00BC0477" w:rsidRDefault="000A698F" w:rsidP="00DA2D2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NDIS Quality and Safeguarding Framework</w:t>
            </w:r>
          </w:p>
        </w:tc>
        <w:tc>
          <w:tcPr>
            <w:tcW w:w="1245" w:type="dxa"/>
            <w:shd w:val="clear" w:color="auto" w:fill="auto"/>
            <w:vAlign w:val="center"/>
          </w:tcPr>
          <w:p w14:paraId="188E9086" w14:textId="35FCD8FF" w:rsidR="000A698F" w:rsidRPr="00BC0477" w:rsidRDefault="000A698F" w:rsidP="000B7D1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 Sept 2016</w:t>
            </w:r>
          </w:p>
        </w:tc>
        <w:tc>
          <w:tcPr>
            <w:tcW w:w="1105" w:type="dxa"/>
            <w:shd w:val="clear" w:color="auto" w:fill="auto"/>
            <w:vAlign w:val="center"/>
          </w:tcPr>
          <w:p w14:paraId="304B262B"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4E041005"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0CE765D6"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74D8715A" w14:textId="77777777" w:rsidR="000A698F" w:rsidRPr="00702109" w:rsidRDefault="000A698F" w:rsidP="000A698F">
      <w:pPr>
        <w:pStyle w:val="note"/>
        <w:spacing w:after="0"/>
        <w:rPr>
          <w:rFonts w:cs="Arial"/>
          <w:color w:val="auto"/>
          <w:szCs w:val="18"/>
        </w:rPr>
      </w:pPr>
    </w:p>
    <w:p w14:paraId="2E81918B" w14:textId="144BE246" w:rsidR="000A698F" w:rsidRPr="00702109" w:rsidRDefault="000A698F" w:rsidP="000A698F">
      <w:pPr>
        <w:pStyle w:val="BodyText1"/>
        <w:rPr>
          <w:spacing w:val="-6"/>
          <w:sz w:val="18"/>
          <w:szCs w:val="18"/>
        </w:rPr>
      </w:pPr>
      <w:r w:rsidRPr="00702109">
        <w:rPr>
          <w:spacing w:val="-6"/>
          <w:sz w:val="18"/>
          <w:szCs w:val="18"/>
        </w:rPr>
        <w:t>Provide national consistent protections for participants in the National Disability Insurance Scheme.</w:t>
      </w:r>
    </w:p>
    <w:p w14:paraId="3BB9411C" w14:textId="77777777" w:rsidR="000A698F" w:rsidRDefault="000A698F" w:rsidP="000A698F">
      <w:pPr>
        <w:pStyle w:val="Heading3"/>
      </w:pPr>
      <w:bookmarkStart w:id="296" w:name="_Toc514080245"/>
      <w:r>
        <w:t>Education Council</w:t>
      </w:r>
      <w:bookmarkEnd w:id="296"/>
    </w:p>
    <w:tbl>
      <w:tblPr>
        <w:tblW w:w="9979" w:type="dxa"/>
        <w:tblInd w:w="-142" w:type="dxa"/>
        <w:tblLayout w:type="fixed"/>
        <w:tblCellMar>
          <w:left w:w="0" w:type="dxa"/>
          <w:right w:w="0" w:type="dxa"/>
        </w:tblCellMar>
        <w:tblLook w:val="0000" w:firstRow="0" w:lastRow="0" w:firstColumn="0" w:lastColumn="0" w:noHBand="0" w:noVBand="0"/>
        <w:tblCaption w:val="Changes to the National Quality Framework for Early Childhood Education and Care"/>
        <w:tblDescription w:val="Changes to the National Quality Framework for Early Childhood Education and Care: Compliant at consultation, Compliant at decision, Final RIS published. Decision Date: January 2017."/>
      </w:tblPr>
      <w:tblGrid>
        <w:gridCol w:w="5420"/>
        <w:gridCol w:w="1245"/>
        <w:gridCol w:w="1105"/>
        <w:gridCol w:w="1104"/>
        <w:gridCol w:w="1105"/>
      </w:tblGrid>
      <w:tr w:rsidR="000A698F" w14:paraId="50721D95" w14:textId="77777777" w:rsidTr="00DA2D27">
        <w:trPr>
          <w:tblHeader/>
        </w:trPr>
        <w:tc>
          <w:tcPr>
            <w:tcW w:w="5420" w:type="dxa"/>
            <w:shd w:val="clear" w:color="auto" w:fill="F4973F"/>
            <w:vAlign w:val="center"/>
          </w:tcPr>
          <w:p w14:paraId="4D03B12D"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1B0FBAB"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1DB38D50"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0C4106C4"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35AD325E"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6C6D093C" w14:textId="77777777" w:rsidTr="00DA2D27">
        <w:trPr>
          <w:trHeight w:hRule="exact" w:val="525"/>
        </w:trPr>
        <w:tc>
          <w:tcPr>
            <w:tcW w:w="5420" w:type="dxa"/>
            <w:shd w:val="clear" w:color="auto" w:fill="auto"/>
            <w:vAlign w:val="center"/>
          </w:tcPr>
          <w:p w14:paraId="44E5CA60" w14:textId="678A5748" w:rsidR="000A698F" w:rsidRPr="00BC0477" w:rsidRDefault="004013EA" w:rsidP="000B7D1D">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Changes to the </w:t>
            </w:r>
            <w:r w:rsidR="000A698F">
              <w:rPr>
                <w:rFonts w:ascii="Arial" w:hAnsi="Arial" w:cs="Arial"/>
                <w:spacing w:val="-3"/>
                <w:sz w:val="18"/>
                <w:szCs w:val="18"/>
              </w:rPr>
              <w:t>National Quality Framework for Early Childhood Education and Care</w:t>
            </w:r>
          </w:p>
        </w:tc>
        <w:tc>
          <w:tcPr>
            <w:tcW w:w="1245" w:type="dxa"/>
            <w:shd w:val="clear" w:color="auto" w:fill="auto"/>
            <w:vAlign w:val="center"/>
          </w:tcPr>
          <w:p w14:paraId="3E919845"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January 2017</w:t>
            </w:r>
          </w:p>
        </w:tc>
        <w:tc>
          <w:tcPr>
            <w:tcW w:w="1105" w:type="dxa"/>
            <w:shd w:val="clear" w:color="auto" w:fill="auto"/>
            <w:vAlign w:val="center"/>
          </w:tcPr>
          <w:p w14:paraId="728B6F46"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6A38B2F5"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1C365BD0"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2E08385C" w14:textId="77777777" w:rsidR="000A698F" w:rsidRPr="00702109" w:rsidRDefault="000A698F" w:rsidP="000A698F">
      <w:pPr>
        <w:pStyle w:val="note"/>
        <w:spacing w:after="0"/>
        <w:rPr>
          <w:rFonts w:cs="Arial"/>
          <w:color w:val="auto"/>
          <w:szCs w:val="18"/>
        </w:rPr>
      </w:pPr>
    </w:p>
    <w:p w14:paraId="0C66FB1D" w14:textId="64DB52E2" w:rsidR="000A698F" w:rsidRPr="00702109" w:rsidRDefault="000A698F" w:rsidP="000A698F">
      <w:pPr>
        <w:pStyle w:val="BodyText1"/>
        <w:rPr>
          <w:spacing w:val="-6"/>
          <w:sz w:val="18"/>
          <w:szCs w:val="18"/>
        </w:rPr>
      </w:pPr>
      <w:r w:rsidRPr="00702109">
        <w:rPr>
          <w:spacing w:val="-6"/>
          <w:sz w:val="18"/>
          <w:szCs w:val="18"/>
        </w:rPr>
        <w:t>Improve</w:t>
      </w:r>
      <w:r w:rsidR="004013EA">
        <w:rPr>
          <w:spacing w:val="-6"/>
          <w:sz w:val="18"/>
          <w:szCs w:val="18"/>
        </w:rPr>
        <w:t>ments to</w:t>
      </w:r>
      <w:r w:rsidRPr="00702109">
        <w:rPr>
          <w:spacing w:val="-6"/>
          <w:sz w:val="18"/>
          <w:szCs w:val="18"/>
        </w:rPr>
        <w:t xml:space="preserve"> the National Quality Framework for Early Childhood Education and Care.</w:t>
      </w:r>
    </w:p>
    <w:p w14:paraId="65BC4B45" w14:textId="77777777" w:rsidR="000A698F" w:rsidRDefault="000A698F" w:rsidP="000A698F">
      <w:pPr>
        <w:pStyle w:val="Heading3"/>
      </w:pPr>
      <w:bookmarkStart w:id="297" w:name="_Toc514080246"/>
      <w:r>
        <w:t>Energy Council</w:t>
      </w:r>
      <w:bookmarkEnd w:id="297"/>
    </w:p>
    <w:tbl>
      <w:tblPr>
        <w:tblW w:w="9979" w:type="dxa"/>
        <w:tblInd w:w="-142" w:type="dxa"/>
        <w:tblLayout w:type="fixed"/>
        <w:tblCellMar>
          <w:left w:w="0" w:type="dxa"/>
          <w:right w:w="0" w:type="dxa"/>
        </w:tblCellMar>
        <w:tblLook w:val="0000" w:firstRow="0" w:lastRow="0" w:firstColumn="0" w:lastColumn="0" w:noHBand="0" w:noVBand="0"/>
        <w:tblCaption w:val="Gas Market Reform - Binding Arbitration Framework"/>
        <w:tblDescription w:val="Gas Market Reform - Binding Arbitration Framework: Not compliant at consultation, Not compliant at decision, Final RIS not published. Decision Date: 14 December 2016."/>
      </w:tblPr>
      <w:tblGrid>
        <w:gridCol w:w="5420"/>
        <w:gridCol w:w="1245"/>
        <w:gridCol w:w="1105"/>
        <w:gridCol w:w="1104"/>
        <w:gridCol w:w="1105"/>
      </w:tblGrid>
      <w:tr w:rsidR="000A698F" w14:paraId="6C4D1D0E" w14:textId="77777777" w:rsidTr="00DA2D27">
        <w:trPr>
          <w:tblHeader/>
        </w:trPr>
        <w:tc>
          <w:tcPr>
            <w:tcW w:w="5420" w:type="dxa"/>
            <w:shd w:val="clear" w:color="auto" w:fill="F4973F"/>
            <w:vAlign w:val="center"/>
          </w:tcPr>
          <w:p w14:paraId="03A077B4"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3E1CDB81"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741DB6A8"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32F54038"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05AD817C"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66F1781E" w14:textId="77777777" w:rsidTr="00DA2D27">
        <w:trPr>
          <w:trHeight w:hRule="exact" w:val="525"/>
        </w:trPr>
        <w:tc>
          <w:tcPr>
            <w:tcW w:w="5420" w:type="dxa"/>
            <w:shd w:val="clear" w:color="auto" w:fill="auto"/>
            <w:vAlign w:val="center"/>
          </w:tcPr>
          <w:p w14:paraId="656085F7" w14:textId="77777777" w:rsidR="000A698F" w:rsidRPr="00BC0477" w:rsidRDefault="000A698F" w:rsidP="00DA2D2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Gas Market Reform: Binding Arbitration Framework</w:t>
            </w:r>
          </w:p>
        </w:tc>
        <w:tc>
          <w:tcPr>
            <w:tcW w:w="1245" w:type="dxa"/>
            <w:shd w:val="clear" w:color="auto" w:fill="auto"/>
            <w:vAlign w:val="center"/>
          </w:tcPr>
          <w:p w14:paraId="43003384" w14:textId="1460137C" w:rsidR="000A698F" w:rsidRPr="00BC0477" w:rsidRDefault="000A698F" w:rsidP="000B7D1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14 Dec 2016</w:t>
            </w:r>
          </w:p>
        </w:tc>
        <w:tc>
          <w:tcPr>
            <w:tcW w:w="1105" w:type="dxa"/>
            <w:shd w:val="clear" w:color="auto" w:fill="auto"/>
            <w:vAlign w:val="center"/>
          </w:tcPr>
          <w:p w14:paraId="79C5202C"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14:paraId="1A70344B"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14:paraId="5D92E1E8" w14:textId="4FC015D3" w:rsidR="000A698F" w:rsidRPr="00F1599A" w:rsidRDefault="000A698F" w:rsidP="00DA2D27">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No</w:t>
            </w:r>
            <w:r w:rsidR="004013EA">
              <w:rPr>
                <w:rFonts w:ascii="Arial" w:hAnsi="Arial" w:cs="Arial"/>
                <w:spacing w:val="-3"/>
                <w:sz w:val="18"/>
                <w:szCs w:val="18"/>
                <w:vertAlign w:val="superscript"/>
              </w:rPr>
              <w:t>b</w:t>
            </w:r>
          </w:p>
        </w:tc>
      </w:tr>
    </w:tbl>
    <w:p w14:paraId="10DFBE67" w14:textId="77777777" w:rsidR="00207344" w:rsidRPr="00702109" w:rsidRDefault="00207344" w:rsidP="00207344">
      <w:pPr>
        <w:pStyle w:val="BodyText1"/>
        <w:spacing w:after="0"/>
        <w:rPr>
          <w:sz w:val="18"/>
          <w:szCs w:val="18"/>
        </w:rPr>
      </w:pPr>
      <w:bookmarkStart w:id="298" w:name="_Toc480290948"/>
      <w:bookmarkStart w:id="299" w:name="_Toc487626171"/>
      <w:bookmarkStart w:id="300" w:name="_Toc479588085"/>
    </w:p>
    <w:p w14:paraId="5899F3E2" w14:textId="68981253" w:rsidR="000A698F" w:rsidRPr="00702109" w:rsidRDefault="00A94D5E" w:rsidP="00207344">
      <w:pPr>
        <w:pStyle w:val="BodyText1"/>
        <w:rPr>
          <w:b/>
          <w:bCs/>
          <w:sz w:val="18"/>
          <w:szCs w:val="18"/>
        </w:rPr>
      </w:pPr>
      <w:r>
        <w:rPr>
          <w:sz w:val="18"/>
          <w:szCs w:val="18"/>
        </w:rPr>
        <w:t xml:space="preserve">Introduce </w:t>
      </w:r>
      <w:r w:rsidR="000A698F" w:rsidRPr="00702109">
        <w:rPr>
          <w:sz w:val="18"/>
          <w:szCs w:val="18"/>
        </w:rPr>
        <w:t>a compulsory arbitration framework for gas pipeline access.</w:t>
      </w:r>
      <w:bookmarkEnd w:id="298"/>
      <w:bookmarkEnd w:id="299"/>
      <w:bookmarkEnd w:id="300"/>
    </w:p>
    <w:p w14:paraId="252E0EE7" w14:textId="4F620F92" w:rsidR="000A698F" w:rsidRPr="00F1599A" w:rsidRDefault="004013EA" w:rsidP="000A698F">
      <w:pPr>
        <w:pStyle w:val="BodyText1"/>
        <w:rPr>
          <w:sz w:val="14"/>
          <w:szCs w:val="14"/>
        </w:rPr>
      </w:pPr>
      <w:proofErr w:type="gramStart"/>
      <w:r w:rsidRPr="004013EA">
        <w:rPr>
          <w:sz w:val="18"/>
          <w:szCs w:val="18"/>
          <w:vertAlign w:val="superscript"/>
        </w:rPr>
        <w:t>b</w:t>
      </w:r>
      <w:r>
        <w:rPr>
          <w:sz w:val="14"/>
          <w:szCs w:val="14"/>
        </w:rPr>
        <w:t xml:space="preserve"> </w:t>
      </w:r>
      <w:r w:rsidR="004C0FAF">
        <w:rPr>
          <w:sz w:val="14"/>
          <w:szCs w:val="14"/>
        </w:rPr>
        <w:t xml:space="preserve"> </w:t>
      </w:r>
      <w:r w:rsidR="00A94D5E">
        <w:rPr>
          <w:sz w:val="14"/>
          <w:szCs w:val="14"/>
        </w:rPr>
        <w:t>A</w:t>
      </w:r>
      <w:proofErr w:type="gramEnd"/>
      <w:r w:rsidR="00A94D5E">
        <w:rPr>
          <w:sz w:val="14"/>
          <w:szCs w:val="14"/>
        </w:rPr>
        <w:t xml:space="preserve"> COAG RIS was not prepared, for </w:t>
      </w:r>
      <w:proofErr w:type="spellStart"/>
      <w:r w:rsidR="00A94D5E">
        <w:rPr>
          <w:sz w:val="14"/>
          <w:szCs w:val="14"/>
        </w:rPr>
        <w:t>consulation</w:t>
      </w:r>
      <w:proofErr w:type="spellEnd"/>
      <w:r w:rsidR="00A94D5E">
        <w:rPr>
          <w:sz w:val="14"/>
          <w:szCs w:val="14"/>
        </w:rPr>
        <w:t xml:space="preserve"> or decision, contrary to the COAG Principles and Guidelines</w:t>
      </w:r>
      <w:r w:rsidR="000A698F" w:rsidRPr="00F1599A">
        <w:rPr>
          <w:sz w:val="14"/>
          <w:szCs w:val="14"/>
        </w:rPr>
        <w:t>.</w:t>
      </w:r>
    </w:p>
    <w:p w14:paraId="72FE79AC" w14:textId="77777777" w:rsidR="000A698F" w:rsidRDefault="000A698F" w:rsidP="000A698F">
      <w:pPr>
        <w:pStyle w:val="Heading3"/>
      </w:pPr>
      <w:bookmarkStart w:id="301" w:name="_Toc514080247"/>
      <w:r>
        <w:t>Food Standards Australia New Zealand</w:t>
      </w:r>
      <w:bookmarkEnd w:id="301"/>
    </w:p>
    <w:tbl>
      <w:tblPr>
        <w:tblW w:w="9979" w:type="dxa"/>
        <w:tblInd w:w="-142" w:type="dxa"/>
        <w:tblLayout w:type="fixed"/>
        <w:tblCellMar>
          <w:left w:w="0" w:type="dxa"/>
          <w:right w:w="0" w:type="dxa"/>
        </w:tblCellMar>
        <w:tblLook w:val="0000" w:firstRow="0" w:lastRow="0" w:firstColumn="0" w:lastColumn="0" w:noHBand="0" w:noVBand="0"/>
        <w:tblCaption w:val="Lupin as an Allergen"/>
        <w:tblDescription w:val="Lupin as an Allergen: Compliant at consultation, Compliant at decision, Final RIS published. Decision Date: 9 March 2017."/>
      </w:tblPr>
      <w:tblGrid>
        <w:gridCol w:w="5420"/>
        <w:gridCol w:w="1245"/>
        <w:gridCol w:w="1105"/>
        <w:gridCol w:w="1104"/>
        <w:gridCol w:w="1105"/>
      </w:tblGrid>
      <w:tr w:rsidR="000A698F" w14:paraId="1DF036AB" w14:textId="77777777" w:rsidTr="00DA2D27">
        <w:trPr>
          <w:tblHeader/>
        </w:trPr>
        <w:tc>
          <w:tcPr>
            <w:tcW w:w="5420" w:type="dxa"/>
            <w:shd w:val="clear" w:color="auto" w:fill="F4973F"/>
            <w:vAlign w:val="center"/>
          </w:tcPr>
          <w:p w14:paraId="278EBFCF"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A613980"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6EE79A0C"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460DA131"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13ED9EC2"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4258E929" w14:textId="77777777" w:rsidTr="00DA2D27">
        <w:trPr>
          <w:trHeight w:hRule="exact" w:val="525"/>
        </w:trPr>
        <w:tc>
          <w:tcPr>
            <w:tcW w:w="5420" w:type="dxa"/>
            <w:shd w:val="clear" w:color="auto" w:fill="auto"/>
            <w:vAlign w:val="center"/>
          </w:tcPr>
          <w:p w14:paraId="236E0ED2" w14:textId="77777777" w:rsidR="000A698F" w:rsidRPr="00BC0477" w:rsidRDefault="000A698F" w:rsidP="00DA2D2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Lupin as an Allergen</w:t>
            </w:r>
          </w:p>
        </w:tc>
        <w:tc>
          <w:tcPr>
            <w:tcW w:w="1245" w:type="dxa"/>
            <w:shd w:val="clear" w:color="auto" w:fill="auto"/>
            <w:vAlign w:val="center"/>
          </w:tcPr>
          <w:p w14:paraId="503B59D1"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9 March 2017</w:t>
            </w:r>
          </w:p>
        </w:tc>
        <w:tc>
          <w:tcPr>
            <w:tcW w:w="1105" w:type="dxa"/>
            <w:shd w:val="clear" w:color="auto" w:fill="auto"/>
            <w:vAlign w:val="center"/>
          </w:tcPr>
          <w:p w14:paraId="0FF1845D"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3F6FAAAB"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39F33584"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67F5AC6C" w14:textId="77777777" w:rsidR="000A698F" w:rsidRPr="00702109" w:rsidRDefault="000A698F" w:rsidP="000A698F">
      <w:pPr>
        <w:pStyle w:val="note"/>
        <w:spacing w:after="0"/>
        <w:rPr>
          <w:rFonts w:cs="Arial"/>
          <w:color w:val="auto"/>
          <w:szCs w:val="18"/>
        </w:rPr>
      </w:pPr>
    </w:p>
    <w:p w14:paraId="56E4A5F7" w14:textId="503FEF50" w:rsidR="000A698F" w:rsidRPr="00702109" w:rsidRDefault="00A94D5E" w:rsidP="000A698F">
      <w:pPr>
        <w:pStyle w:val="BodyText1"/>
        <w:rPr>
          <w:sz w:val="18"/>
          <w:szCs w:val="18"/>
        </w:rPr>
      </w:pPr>
      <w:r>
        <w:rPr>
          <w:sz w:val="18"/>
          <w:szCs w:val="18"/>
        </w:rPr>
        <w:t>R</w:t>
      </w:r>
      <w:r w:rsidR="000A698F" w:rsidRPr="00702109">
        <w:rPr>
          <w:sz w:val="18"/>
          <w:szCs w:val="18"/>
        </w:rPr>
        <w:t>egulate food containing lupin as an allergen.</w:t>
      </w:r>
    </w:p>
    <w:p w14:paraId="1CBFE2CD" w14:textId="77777777" w:rsidR="000A698F" w:rsidRDefault="000A698F" w:rsidP="000A698F">
      <w:pPr>
        <w:pStyle w:val="Heading3"/>
      </w:pPr>
      <w:r w:rsidRPr="00DD21AD">
        <w:rPr>
          <w:sz w:val="20"/>
          <w:szCs w:val="20"/>
        </w:rPr>
        <w:br w:type="page"/>
      </w:r>
      <w:bookmarkStart w:id="302" w:name="_Toc514080248"/>
      <w:r>
        <w:lastRenderedPageBreak/>
        <w:t>Law, Crime and Community Safety Council</w:t>
      </w:r>
      <w:bookmarkEnd w:id="302"/>
    </w:p>
    <w:tbl>
      <w:tblPr>
        <w:tblW w:w="9979" w:type="dxa"/>
        <w:tblInd w:w="-142" w:type="dxa"/>
        <w:tblLayout w:type="fixed"/>
        <w:tblCellMar>
          <w:left w:w="0" w:type="dxa"/>
          <w:right w:w="0" w:type="dxa"/>
        </w:tblCellMar>
        <w:tblLook w:val="0000" w:firstRow="0" w:lastRow="0" w:firstColumn="0" w:lastColumn="0" w:noHBand="0" w:noVBand="0"/>
        <w:tblCaption w:val="Precursor Chemicals and Equipment"/>
        <w:tblDescription w:val="Precursor Chemicals and Equipment: Compliant at consultation, Compliant at decision, Final RIS published. Decision Date: 21 October 2016."/>
      </w:tblPr>
      <w:tblGrid>
        <w:gridCol w:w="5420"/>
        <w:gridCol w:w="1245"/>
        <w:gridCol w:w="1105"/>
        <w:gridCol w:w="1104"/>
        <w:gridCol w:w="1105"/>
      </w:tblGrid>
      <w:tr w:rsidR="000A698F" w14:paraId="4C217E35" w14:textId="77777777" w:rsidTr="00DA2D27">
        <w:trPr>
          <w:tblHeader/>
        </w:trPr>
        <w:tc>
          <w:tcPr>
            <w:tcW w:w="5420" w:type="dxa"/>
            <w:shd w:val="clear" w:color="auto" w:fill="F4973F"/>
            <w:vAlign w:val="center"/>
          </w:tcPr>
          <w:p w14:paraId="086CA5CC"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4B2135FC"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5420EB33"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0DEBD786"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2BB7FAE9"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1D884850" w14:textId="77777777" w:rsidTr="00DA2D27">
        <w:trPr>
          <w:trHeight w:hRule="exact" w:val="525"/>
        </w:trPr>
        <w:tc>
          <w:tcPr>
            <w:tcW w:w="5420" w:type="dxa"/>
            <w:shd w:val="clear" w:color="auto" w:fill="auto"/>
            <w:vAlign w:val="center"/>
          </w:tcPr>
          <w:p w14:paraId="3BF38E9F" w14:textId="77777777" w:rsidR="000A698F" w:rsidRPr="00BC0477" w:rsidRDefault="000A698F" w:rsidP="00DA2D27">
            <w:pPr>
              <w:pStyle w:val="TableParagraph"/>
              <w:kinsoku w:val="0"/>
              <w:overflowPunct w:val="0"/>
              <w:spacing w:before="54" w:line="254" w:lineRule="auto"/>
              <w:ind w:left="170" w:right="102"/>
              <w:rPr>
                <w:rFonts w:ascii="Arial" w:hAnsi="Arial" w:cs="Arial"/>
                <w:spacing w:val="-3"/>
                <w:sz w:val="18"/>
                <w:szCs w:val="18"/>
              </w:rPr>
            </w:pPr>
            <w:r w:rsidRPr="00BC0477">
              <w:rPr>
                <w:rFonts w:ascii="Arial" w:hAnsi="Arial" w:cs="Arial"/>
                <w:spacing w:val="-3"/>
                <w:sz w:val="18"/>
                <w:szCs w:val="18"/>
              </w:rPr>
              <w:t xml:space="preserve">Precursor </w:t>
            </w:r>
            <w:r>
              <w:rPr>
                <w:rFonts w:ascii="Arial" w:hAnsi="Arial" w:cs="Arial"/>
                <w:spacing w:val="-3"/>
                <w:sz w:val="18"/>
                <w:szCs w:val="18"/>
              </w:rPr>
              <w:t>C</w:t>
            </w:r>
            <w:r w:rsidRPr="00BC0477">
              <w:rPr>
                <w:rFonts w:ascii="Arial" w:hAnsi="Arial" w:cs="Arial"/>
                <w:spacing w:val="-3"/>
                <w:sz w:val="18"/>
                <w:szCs w:val="18"/>
              </w:rPr>
              <w:t xml:space="preserve">hemicals and </w:t>
            </w:r>
            <w:r>
              <w:rPr>
                <w:rFonts w:ascii="Arial" w:hAnsi="Arial" w:cs="Arial"/>
                <w:spacing w:val="-3"/>
                <w:sz w:val="18"/>
                <w:szCs w:val="18"/>
              </w:rPr>
              <w:t>E</w:t>
            </w:r>
            <w:r w:rsidRPr="00BC0477">
              <w:rPr>
                <w:rFonts w:ascii="Arial" w:hAnsi="Arial" w:cs="Arial"/>
                <w:spacing w:val="-3"/>
                <w:sz w:val="18"/>
                <w:szCs w:val="18"/>
              </w:rPr>
              <w:t>quipment</w:t>
            </w:r>
          </w:p>
        </w:tc>
        <w:tc>
          <w:tcPr>
            <w:tcW w:w="1245" w:type="dxa"/>
            <w:shd w:val="clear" w:color="auto" w:fill="auto"/>
            <w:vAlign w:val="center"/>
          </w:tcPr>
          <w:p w14:paraId="09B33BA9" w14:textId="158A1334" w:rsidR="000A698F" w:rsidRPr="00BC0477" w:rsidRDefault="000A698F" w:rsidP="000B7D1D">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21 Oct 2016</w:t>
            </w:r>
          </w:p>
        </w:tc>
        <w:tc>
          <w:tcPr>
            <w:tcW w:w="1105" w:type="dxa"/>
            <w:shd w:val="clear" w:color="auto" w:fill="auto"/>
            <w:vAlign w:val="center"/>
          </w:tcPr>
          <w:p w14:paraId="3C048A54"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153B7A61"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25D2A81E"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104AEE7F" w14:textId="77777777" w:rsidR="000A698F" w:rsidRPr="00702109" w:rsidRDefault="000A698F" w:rsidP="000A698F">
      <w:pPr>
        <w:pStyle w:val="note"/>
        <w:spacing w:after="0"/>
        <w:rPr>
          <w:rFonts w:cs="Arial"/>
          <w:color w:val="auto"/>
          <w:szCs w:val="18"/>
        </w:rPr>
      </w:pPr>
    </w:p>
    <w:p w14:paraId="25AC31EA" w14:textId="01D7BD83" w:rsidR="000A698F" w:rsidRPr="00702109" w:rsidRDefault="000B7D1D" w:rsidP="000A698F">
      <w:pPr>
        <w:pStyle w:val="BodyText1"/>
        <w:rPr>
          <w:spacing w:val="-6"/>
          <w:sz w:val="18"/>
          <w:szCs w:val="18"/>
        </w:rPr>
      </w:pPr>
      <w:r>
        <w:rPr>
          <w:spacing w:val="-6"/>
          <w:sz w:val="18"/>
          <w:szCs w:val="18"/>
        </w:rPr>
        <w:t>I</w:t>
      </w:r>
      <w:r w:rsidR="000A698F" w:rsidRPr="00702109">
        <w:rPr>
          <w:spacing w:val="-6"/>
          <w:sz w:val="18"/>
          <w:szCs w:val="18"/>
        </w:rPr>
        <w:t>mprove the national consistency of controls on precursor chemicals and equipment.</w:t>
      </w:r>
    </w:p>
    <w:p w14:paraId="5A03A530" w14:textId="239E3906" w:rsidR="000A698F" w:rsidRDefault="000A698F" w:rsidP="000A698F">
      <w:pPr>
        <w:pStyle w:val="Heading3"/>
      </w:pPr>
      <w:bookmarkStart w:id="303" w:name="_Toc514080249"/>
      <w:r>
        <w:t>National Transport Commission</w:t>
      </w:r>
      <w:bookmarkEnd w:id="303"/>
    </w:p>
    <w:tbl>
      <w:tblPr>
        <w:tblW w:w="9979" w:type="dxa"/>
        <w:tblInd w:w="-142" w:type="dxa"/>
        <w:tblLayout w:type="fixed"/>
        <w:tblCellMar>
          <w:left w:w="0" w:type="dxa"/>
          <w:right w:w="0" w:type="dxa"/>
        </w:tblCellMar>
        <w:tblLook w:val="0000" w:firstRow="0" w:lastRow="0" w:firstColumn="0" w:lastColumn="0" w:noHBand="0" w:noVBand="0"/>
        <w:tblCaption w:val="2014 Heavy Vehicle Charges Determination"/>
        <w:tblDescription w:val="2014 Heavy Vehicle Charges Determination: Compliant at consultation, Compliant at decision, Final RIS published. Decision Date: 9 May 2014."/>
      </w:tblPr>
      <w:tblGrid>
        <w:gridCol w:w="5420"/>
        <w:gridCol w:w="1245"/>
        <w:gridCol w:w="1105"/>
        <w:gridCol w:w="1104"/>
        <w:gridCol w:w="1105"/>
      </w:tblGrid>
      <w:tr w:rsidR="000A698F" w14:paraId="341E65FA" w14:textId="77777777" w:rsidTr="00DA2D27">
        <w:trPr>
          <w:tblHeader/>
        </w:trPr>
        <w:tc>
          <w:tcPr>
            <w:tcW w:w="5420" w:type="dxa"/>
            <w:shd w:val="clear" w:color="auto" w:fill="F4973F"/>
            <w:vAlign w:val="center"/>
          </w:tcPr>
          <w:p w14:paraId="58E511B4"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66E51C7A"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7E825859"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69843AFA"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10D77133"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7A6E776C" w14:textId="77777777" w:rsidTr="00DA2D27">
        <w:trPr>
          <w:trHeight w:hRule="exact" w:val="525"/>
        </w:trPr>
        <w:tc>
          <w:tcPr>
            <w:tcW w:w="5420" w:type="dxa"/>
            <w:shd w:val="clear" w:color="auto" w:fill="auto"/>
            <w:vAlign w:val="center"/>
          </w:tcPr>
          <w:p w14:paraId="0D3B075B" w14:textId="77777777" w:rsidR="000A698F" w:rsidRPr="00BC0477" w:rsidRDefault="000A698F" w:rsidP="00DA2D2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2014 Heavy Vehicle Charges Determination</w:t>
            </w:r>
          </w:p>
        </w:tc>
        <w:tc>
          <w:tcPr>
            <w:tcW w:w="1245" w:type="dxa"/>
            <w:shd w:val="clear" w:color="auto" w:fill="auto"/>
            <w:vAlign w:val="center"/>
          </w:tcPr>
          <w:p w14:paraId="2C95F83D" w14:textId="77777777" w:rsidR="000A698F" w:rsidRPr="00922AA3" w:rsidRDefault="000A698F" w:rsidP="00DA2D27">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9 May 2014</w:t>
            </w:r>
            <w:r>
              <w:rPr>
                <w:rFonts w:ascii="Arial" w:hAnsi="Arial" w:cs="Arial"/>
                <w:spacing w:val="-3"/>
                <w:sz w:val="18"/>
                <w:szCs w:val="18"/>
                <w:vertAlign w:val="superscript"/>
              </w:rPr>
              <w:t>a</w:t>
            </w:r>
          </w:p>
        </w:tc>
        <w:tc>
          <w:tcPr>
            <w:tcW w:w="1105" w:type="dxa"/>
            <w:shd w:val="clear" w:color="auto" w:fill="auto"/>
            <w:vAlign w:val="center"/>
          </w:tcPr>
          <w:p w14:paraId="10610F42"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76931B4F"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048B98B8"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7AE86D5B" w14:textId="77777777" w:rsidR="000A698F" w:rsidRPr="00702109" w:rsidRDefault="000A698F" w:rsidP="000A698F">
      <w:pPr>
        <w:pStyle w:val="note"/>
        <w:spacing w:after="0"/>
        <w:rPr>
          <w:rFonts w:cs="Arial"/>
          <w:color w:val="auto"/>
          <w:szCs w:val="18"/>
        </w:rPr>
      </w:pPr>
    </w:p>
    <w:p w14:paraId="41B83751" w14:textId="5EE7EC2C" w:rsidR="000A698F" w:rsidRPr="00702109" w:rsidRDefault="00A94D5E" w:rsidP="000A698F">
      <w:pPr>
        <w:pStyle w:val="BodyText1"/>
        <w:rPr>
          <w:spacing w:val="-6"/>
          <w:sz w:val="18"/>
          <w:szCs w:val="18"/>
        </w:rPr>
      </w:pPr>
      <w:r>
        <w:rPr>
          <w:spacing w:val="-6"/>
          <w:sz w:val="18"/>
          <w:szCs w:val="18"/>
        </w:rPr>
        <w:t>Agreement to introduce n</w:t>
      </w:r>
      <w:r w:rsidR="000A698F" w:rsidRPr="00702109">
        <w:rPr>
          <w:spacing w:val="-6"/>
          <w:sz w:val="18"/>
          <w:szCs w:val="18"/>
        </w:rPr>
        <w:t xml:space="preserve">ew charging arrangements for heavy vehicles. </w:t>
      </w:r>
    </w:p>
    <w:p w14:paraId="532EF09F" w14:textId="77777777" w:rsidR="000A698F" w:rsidRPr="001645C3" w:rsidRDefault="000A698F" w:rsidP="000A698F">
      <w:pPr>
        <w:pStyle w:val="BodyText1"/>
        <w:rPr>
          <w:spacing w:val="-6"/>
          <w:sz w:val="14"/>
          <w:szCs w:val="14"/>
        </w:rPr>
      </w:pPr>
      <w:proofErr w:type="spellStart"/>
      <w:proofErr w:type="gramStart"/>
      <w:r w:rsidRPr="004C0FAF">
        <w:rPr>
          <w:spacing w:val="-6"/>
          <w:sz w:val="18"/>
          <w:szCs w:val="18"/>
          <w:vertAlign w:val="superscript"/>
        </w:rPr>
        <w:t>a</w:t>
      </w:r>
      <w:proofErr w:type="spellEnd"/>
      <w:proofErr w:type="gramEnd"/>
      <w:r w:rsidRPr="001645C3">
        <w:rPr>
          <w:spacing w:val="-6"/>
          <w:sz w:val="14"/>
          <w:szCs w:val="14"/>
        </w:rPr>
        <w:t xml:space="preserve"> The decision for this proposal was made in 2013–14, however the RIS was published on the OBPR’s website in 2016–17.</w:t>
      </w:r>
    </w:p>
    <w:p w14:paraId="4AD1E791" w14:textId="77777777" w:rsidR="000A698F" w:rsidRDefault="000A698F" w:rsidP="000A698F">
      <w:pPr>
        <w:pStyle w:val="Heading3"/>
      </w:pPr>
      <w:bookmarkStart w:id="304" w:name="_Toc514080250"/>
      <w:r>
        <w:t>Safe Work Australia</w:t>
      </w:r>
      <w:bookmarkEnd w:id="304"/>
    </w:p>
    <w:tbl>
      <w:tblPr>
        <w:tblW w:w="9979" w:type="dxa"/>
        <w:tblInd w:w="-142" w:type="dxa"/>
        <w:tblLayout w:type="fixed"/>
        <w:tblCellMar>
          <w:left w:w="0" w:type="dxa"/>
          <w:right w:w="0" w:type="dxa"/>
        </w:tblCellMar>
        <w:tblLook w:val="0000" w:firstRow="0" w:lastRow="0" w:firstColumn="0" w:lastColumn="0" w:noHBand="0" w:noVBand="0"/>
        <w:tblCaption w:val="Explosives Regulation in Australia"/>
        <w:tblDescription w:val="Explosives Regulation in Australia: Compliant at consultation, Compliant at decision, Final RIS published. Decision Date: October 2016."/>
      </w:tblPr>
      <w:tblGrid>
        <w:gridCol w:w="5420"/>
        <w:gridCol w:w="1245"/>
        <w:gridCol w:w="1105"/>
        <w:gridCol w:w="1104"/>
        <w:gridCol w:w="1105"/>
      </w:tblGrid>
      <w:tr w:rsidR="000A698F" w14:paraId="4928A0D4" w14:textId="77777777" w:rsidTr="00DA2D27">
        <w:trPr>
          <w:tblHeader/>
        </w:trPr>
        <w:tc>
          <w:tcPr>
            <w:tcW w:w="5420" w:type="dxa"/>
            <w:shd w:val="clear" w:color="auto" w:fill="F4973F"/>
            <w:vAlign w:val="center"/>
          </w:tcPr>
          <w:p w14:paraId="71AD7D6A"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7B1403F"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55FA8A93"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07A31381"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162FF722"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0F98E88C" w14:textId="77777777" w:rsidTr="00DA2D27">
        <w:trPr>
          <w:trHeight w:hRule="exact" w:val="525"/>
        </w:trPr>
        <w:tc>
          <w:tcPr>
            <w:tcW w:w="5420" w:type="dxa"/>
            <w:shd w:val="clear" w:color="auto" w:fill="auto"/>
            <w:vAlign w:val="center"/>
          </w:tcPr>
          <w:p w14:paraId="36AEB7D0" w14:textId="77777777" w:rsidR="000A698F" w:rsidRPr="00BC0477" w:rsidRDefault="000A698F" w:rsidP="00DA2D2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Explosives Regulation in Australia</w:t>
            </w:r>
          </w:p>
        </w:tc>
        <w:tc>
          <w:tcPr>
            <w:tcW w:w="1245" w:type="dxa"/>
            <w:shd w:val="clear" w:color="auto" w:fill="auto"/>
            <w:vAlign w:val="center"/>
          </w:tcPr>
          <w:p w14:paraId="67CE7563" w14:textId="77777777" w:rsidR="000A698F" w:rsidRPr="00922AA3" w:rsidRDefault="000A698F" w:rsidP="00DA2D27">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October 2016</w:t>
            </w:r>
          </w:p>
        </w:tc>
        <w:tc>
          <w:tcPr>
            <w:tcW w:w="1105" w:type="dxa"/>
            <w:shd w:val="clear" w:color="auto" w:fill="auto"/>
            <w:vAlign w:val="center"/>
          </w:tcPr>
          <w:p w14:paraId="767A3419"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492D9AD1"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759927CD"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781E0D1C" w14:textId="77777777" w:rsidR="000A698F" w:rsidRPr="00702109" w:rsidRDefault="000A698F" w:rsidP="000A698F">
      <w:pPr>
        <w:pStyle w:val="note"/>
        <w:spacing w:after="0"/>
        <w:rPr>
          <w:rFonts w:cs="Arial"/>
          <w:color w:val="auto"/>
          <w:szCs w:val="18"/>
        </w:rPr>
      </w:pPr>
    </w:p>
    <w:p w14:paraId="33E9EB9A" w14:textId="12422A3D" w:rsidR="000A698F" w:rsidRPr="00702109" w:rsidRDefault="000A698F" w:rsidP="000A698F">
      <w:pPr>
        <w:pStyle w:val="BodyText1"/>
        <w:rPr>
          <w:sz w:val="18"/>
          <w:szCs w:val="18"/>
        </w:rPr>
      </w:pPr>
      <w:r w:rsidRPr="00702109">
        <w:rPr>
          <w:spacing w:val="-6"/>
          <w:sz w:val="18"/>
          <w:szCs w:val="18"/>
        </w:rPr>
        <w:t>Agreement to develop nationally consistent approaches to four areas within existing explosives regulation</w:t>
      </w:r>
      <w:r w:rsidR="000B7D1D">
        <w:rPr>
          <w:spacing w:val="-6"/>
          <w:sz w:val="18"/>
          <w:szCs w:val="18"/>
        </w:rPr>
        <w:t xml:space="preserve">: </w:t>
      </w:r>
      <w:r w:rsidRPr="00702109">
        <w:rPr>
          <w:spacing w:val="-6"/>
          <w:sz w:val="18"/>
          <w:szCs w:val="18"/>
        </w:rPr>
        <w:t>the definition of explosives</w:t>
      </w:r>
      <w:r w:rsidR="004C0FAF">
        <w:rPr>
          <w:spacing w:val="-6"/>
          <w:sz w:val="18"/>
          <w:szCs w:val="18"/>
        </w:rPr>
        <w:t>,</w:t>
      </w:r>
      <w:r w:rsidRPr="00702109">
        <w:rPr>
          <w:spacing w:val="-6"/>
          <w:sz w:val="18"/>
          <w:szCs w:val="18"/>
        </w:rPr>
        <w:t xml:space="preserve"> the licensing framework</w:t>
      </w:r>
      <w:r w:rsidR="004C0FAF">
        <w:rPr>
          <w:spacing w:val="-6"/>
          <w:sz w:val="18"/>
          <w:szCs w:val="18"/>
        </w:rPr>
        <w:t>,</w:t>
      </w:r>
      <w:r w:rsidRPr="00702109">
        <w:rPr>
          <w:spacing w:val="-6"/>
          <w:sz w:val="18"/>
          <w:szCs w:val="18"/>
        </w:rPr>
        <w:t xml:space="preserve"> notification processes</w:t>
      </w:r>
      <w:r w:rsidR="004C0FAF">
        <w:rPr>
          <w:spacing w:val="-6"/>
          <w:sz w:val="18"/>
          <w:szCs w:val="18"/>
        </w:rPr>
        <w:t xml:space="preserve"> </w:t>
      </w:r>
      <w:r w:rsidRPr="00702109">
        <w:rPr>
          <w:spacing w:val="-6"/>
          <w:sz w:val="18"/>
          <w:szCs w:val="18"/>
        </w:rPr>
        <w:t>and the explosives authorisation process.</w:t>
      </w:r>
    </w:p>
    <w:tbl>
      <w:tblPr>
        <w:tblW w:w="9979" w:type="dxa"/>
        <w:tblInd w:w="-142" w:type="dxa"/>
        <w:tblLayout w:type="fixed"/>
        <w:tblCellMar>
          <w:left w:w="0" w:type="dxa"/>
          <w:right w:w="0" w:type="dxa"/>
        </w:tblCellMar>
        <w:tblLook w:val="0000" w:firstRow="0" w:lastRow="0" w:firstColumn="0" w:lastColumn="0" w:noHBand="0" w:noVBand="0"/>
        <w:tblCaption w:val="Improving the Model Work Health and Safety Laws"/>
        <w:tblDescription w:val="Improving the Model Work Health and Safety Laws: Compliant at consultation, Compliant at decision, Final RIS published. Decision Date: 2 May 2014."/>
      </w:tblPr>
      <w:tblGrid>
        <w:gridCol w:w="5420"/>
        <w:gridCol w:w="1245"/>
        <w:gridCol w:w="1105"/>
        <w:gridCol w:w="1104"/>
        <w:gridCol w:w="1105"/>
      </w:tblGrid>
      <w:tr w:rsidR="000A698F" w14:paraId="07074516" w14:textId="77777777" w:rsidTr="00DA2D27">
        <w:trPr>
          <w:tblHeader/>
        </w:trPr>
        <w:tc>
          <w:tcPr>
            <w:tcW w:w="5420" w:type="dxa"/>
            <w:shd w:val="clear" w:color="auto" w:fill="F4973F"/>
            <w:vAlign w:val="center"/>
          </w:tcPr>
          <w:p w14:paraId="30003329"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12B778ED"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23A6C516"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4FE39E2E"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6A382599"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5A2E24E5" w14:textId="77777777" w:rsidTr="00DA2D27">
        <w:trPr>
          <w:trHeight w:hRule="exact" w:val="525"/>
        </w:trPr>
        <w:tc>
          <w:tcPr>
            <w:tcW w:w="5420" w:type="dxa"/>
            <w:shd w:val="clear" w:color="auto" w:fill="auto"/>
            <w:vAlign w:val="center"/>
          </w:tcPr>
          <w:p w14:paraId="3CF2230D" w14:textId="051CA7BF" w:rsidR="000A698F" w:rsidRPr="00BC0477" w:rsidRDefault="00C361E4" w:rsidP="000B7D1D">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Improvements to the </w:t>
            </w:r>
            <w:r w:rsidR="000A698F">
              <w:rPr>
                <w:rFonts w:ascii="Arial" w:hAnsi="Arial" w:cs="Arial"/>
                <w:spacing w:val="-3"/>
                <w:sz w:val="18"/>
                <w:szCs w:val="18"/>
              </w:rPr>
              <w:t>Model Work Health and Safety Laws</w:t>
            </w:r>
          </w:p>
        </w:tc>
        <w:tc>
          <w:tcPr>
            <w:tcW w:w="1245" w:type="dxa"/>
            <w:shd w:val="clear" w:color="auto" w:fill="auto"/>
            <w:vAlign w:val="center"/>
          </w:tcPr>
          <w:p w14:paraId="30377D32" w14:textId="5F44D8C4" w:rsidR="000A698F" w:rsidRPr="00922AA3" w:rsidRDefault="000A698F" w:rsidP="00C361E4">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2 May 2014</w:t>
            </w:r>
            <w:r w:rsidR="00C361E4" w:rsidRPr="00C361E4">
              <w:rPr>
                <w:rFonts w:ascii="Arial" w:hAnsi="Arial" w:cs="Arial"/>
                <w:spacing w:val="-3"/>
                <w:sz w:val="18"/>
                <w:szCs w:val="18"/>
                <w:vertAlign w:val="superscript"/>
              </w:rPr>
              <w:t>b</w:t>
            </w:r>
          </w:p>
        </w:tc>
        <w:tc>
          <w:tcPr>
            <w:tcW w:w="1105" w:type="dxa"/>
            <w:shd w:val="clear" w:color="auto" w:fill="auto"/>
            <w:vAlign w:val="center"/>
          </w:tcPr>
          <w:p w14:paraId="5BCAA7FA"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089B003C"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3D64AC2E"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374A4A45" w14:textId="77777777" w:rsidR="000A698F" w:rsidRPr="00A94D5E" w:rsidRDefault="000A698F" w:rsidP="000A698F">
      <w:pPr>
        <w:pStyle w:val="note"/>
        <w:spacing w:after="0"/>
        <w:rPr>
          <w:rFonts w:cs="Arial"/>
          <w:color w:val="auto"/>
          <w:szCs w:val="18"/>
        </w:rPr>
      </w:pPr>
    </w:p>
    <w:p w14:paraId="3810142E" w14:textId="74F06602" w:rsidR="000A698F" w:rsidRPr="00A94D5E" w:rsidRDefault="00A94D5E" w:rsidP="000A698F">
      <w:pPr>
        <w:pStyle w:val="BodyText1"/>
        <w:rPr>
          <w:spacing w:val="-6"/>
          <w:sz w:val="18"/>
          <w:szCs w:val="18"/>
        </w:rPr>
      </w:pPr>
      <w:r>
        <w:rPr>
          <w:spacing w:val="-6"/>
          <w:sz w:val="18"/>
          <w:szCs w:val="18"/>
        </w:rPr>
        <w:t xml:space="preserve">Agreement to changes to </w:t>
      </w:r>
      <w:r w:rsidR="000A698F" w:rsidRPr="00A94D5E">
        <w:rPr>
          <w:spacing w:val="-6"/>
          <w:sz w:val="18"/>
          <w:szCs w:val="18"/>
        </w:rPr>
        <w:t>the model Work Health and Safety Laws.</w:t>
      </w:r>
    </w:p>
    <w:p w14:paraId="5BE2FDC1" w14:textId="62631FDB" w:rsidR="000A698F" w:rsidRPr="001645C3" w:rsidRDefault="00C361E4" w:rsidP="000A698F">
      <w:pPr>
        <w:pStyle w:val="BodyText1"/>
        <w:rPr>
          <w:spacing w:val="-6"/>
          <w:sz w:val="14"/>
          <w:szCs w:val="14"/>
        </w:rPr>
      </w:pPr>
      <w:proofErr w:type="gramStart"/>
      <w:r w:rsidRPr="00C361E4">
        <w:rPr>
          <w:spacing w:val="-6"/>
          <w:sz w:val="18"/>
          <w:szCs w:val="18"/>
          <w:vertAlign w:val="superscript"/>
        </w:rPr>
        <w:t>b</w:t>
      </w:r>
      <w:proofErr w:type="gramEnd"/>
      <w:r w:rsidR="000A698F" w:rsidRPr="001645C3">
        <w:rPr>
          <w:spacing w:val="-6"/>
          <w:sz w:val="14"/>
          <w:szCs w:val="14"/>
        </w:rPr>
        <w:t xml:space="preserve"> The decision for this proposal was made in 2013–14, however the RIS was published on the OBPR’s website in 2016–17.</w:t>
      </w:r>
    </w:p>
    <w:tbl>
      <w:tblPr>
        <w:tblW w:w="9979" w:type="dxa"/>
        <w:tblInd w:w="-142" w:type="dxa"/>
        <w:tblLayout w:type="fixed"/>
        <w:tblCellMar>
          <w:left w:w="0" w:type="dxa"/>
          <w:right w:w="0" w:type="dxa"/>
        </w:tblCellMar>
        <w:tblLook w:val="0000" w:firstRow="0" w:lastRow="0" w:firstColumn="0" w:lastColumn="0" w:noHBand="0" w:noVBand="0"/>
        <w:tblCaption w:val="Managing the Risks Associated with Lead in the Workplace"/>
        <w:tblDescription w:val="Managing the Risks Associated with Lead in the Workplace: Compliant at consultation, Compliant at decision, Final RIS published. Decision Date: 17 January 2017."/>
      </w:tblPr>
      <w:tblGrid>
        <w:gridCol w:w="5420"/>
        <w:gridCol w:w="1245"/>
        <w:gridCol w:w="1105"/>
        <w:gridCol w:w="1104"/>
        <w:gridCol w:w="1105"/>
      </w:tblGrid>
      <w:tr w:rsidR="000A698F" w14:paraId="0121CE22" w14:textId="77777777" w:rsidTr="00DA2D27">
        <w:trPr>
          <w:tblHeader/>
        </w:trPr>
        <w:tc>
          <w:tcPr>
            <w:tcW w:w="5420" w:type="dxa"/>
            <w:shd w:val="clear" w:color="auto" w:fill="F4973F"/>
            <w:vAlign w:val="center"/>
          </w:tcPr>
          <w:p w14:paraId="2E2DB52C" w14:textId="77777777" w:rsidR="000A698F" w:rsidRDefault="000A698F" w:rsidP="00DA2D27">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A8C2D94"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5EBD6360"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229A4733"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13AA2388"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0A698F" w:rsidRPr="00BC0477" w14:paraId="68E39D02" w14:textId="77777777" w:rsidTr="00DA2D27">
        <w:trPr>
          <w:trHeight w:hRule="exact" w:val="525"/>
        </w:trPr>
        <w:tc>
          <w:tcPr>
            <w:tcW w:w="5420" w:type="dxa"/>
            <w:shd w:val="clear" w:color="auto" w:fill="auto"/>
            <w:vAlign w:val="center"/>
          </w:tcPr>
          <w:p w14:paraId="08EDAAE6" w14:textId="77777777" w:rsidR="000A698F" w:rsidRPr="00BC0477" w:rsidRDefault="000A698F" w:rsidP="00DA2D2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Managing the Risks Associated with Lead in the Workplace</w:t>
            </w:r>
          </w:p>
        </w:tc>
        <w:tc>
          <w:tcPr>
            <w:tcW w:w="1245" w:type="dxa"/>
            <w:shd w:val="clear" w:color="auto" w:fill="auto"/>
            <w:vAlign w:val="center"/>
          </w:tcPr>
          <w:p w14:paraId="20C1E40B" w14:textId="738F364A" w:rsidR="000A698F" w:rsidRPr="00922AA3" w:rsidRDefault="000A698F" w:rsidP="000D7C88">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17 Jan 2017</w:t>
            </w:r>
          </w:p>
        </w:tc>
        <w:tc>
          <w:tcPr>
            <w:tcW w:w="1105" w:type="dxa"/>
            <w:shd w:val="clear" w:color="auto" w:fill="auto"/>
            <w:vAlign w:val="center"/>
          </w:tcPr>
          <w:p w14:paraId="49563899"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0BC6296D"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4C3002AE" w14:textId="77777777" w:rsidR="000A698F" w:rsidRPr="00BC0477" w:rsidRDefault="000A698F" w:rsidP="00DA2D27">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7F0B40B8" w14:textId="77777777" w:rsidR="000A698F" w:rsidRPr="00702109" w:rsidRDefault="000A698F" w:rsidP="000A698F">
      <w:pPr>
        <w:pStyle w:val="note"/>
        <w:spacing w:after="0"/>
        <w:rPr>
          <w:rFonts w:cs="Arial"/>
          <w:color w:val="auto"/>
          <w:szCs w:val="18"/>
        </w:rPr>
      </w:pPr>
    </w:p>
    <w:p w14:paraId="6DBEE1BB" w14:textId="77777777" w:rsidR="000A698F" w:rsidRPr="00702109" w:rsidRDefault="000A698F" w:rsidP="000A698F">
      <w:pPr>
        <w:pStyle w:val="BodyText1"/>
        <w:rPr>
          <w:spacing w:val="-6"/>
          <w:sz w:val="18"/>
          <w:szCs w:val="18"/>
        </w:rPr>
      </w:pPr>
      <w:r w:rsidRPr="00702109">
        <w:rPr>
          <w:spacing w:val="-6"/>
          <w:sz w:val="18"/>
          <w:szCs w:val="18"/>
        </w:rPr>
        <w:t xml:space="preserve">Review of the current </w:t>
      </w:r>
      <w:proofErr w:type="spellStart"/>
      <w:r w:rsidRPr="00702109">
        <w:rPr>
          <w:spacing w:val="-6"/>
          <w:sz w:val="18"/>
          <w:szCs w:val="18"/>
        </w:rPr>
        <w:t>toxilogical</w:t>
      </w:r>
      <w:proofErr w:type="spellEnd"/>
      <w:r w:rsidRPr="00702109">
        <w:rPr>
          <w:spacing w:val="-6"/>
          <w:sz w:val="18"/>
          <w:szCs w:val="18"/>
        </w:rPr>
        <w:t xml:space="preserve"> information and overseas trends in the regulation of lead in the workplace in order to reduce adverse health outcomes caused by exposure to lead in the workplace. </w:t>
      </w:r>
    </w:p>
    <w:p w14:paraId="22AC7371" w14:textId="77777777" w:rsidR="00F5772F" w:rsidRDefault="00F5772F" w:rsidP="00A20048">
      <w:bookmarkStart w:id="305" w:name="_GoBack"/>
      <w:bookmarkEnd w:id="305"/>
    </w:p>
    <w:p w14:paraId="3218D366" w14:textId="77777777" w:rsidR="00F5772F" w:rsidRDefault="00F5772F" w:rsidP="00F5772F">
      <w:pPr>
        <w:pStyle w:val="BodyText1"/>
        <w:rPr>
          <w:color w:val="F79646"/>
          <w:spacing w:val="-6"/>
          <w:szCs w:val="22"/>
        </w:rPr>
      </w:pPr>
      <w:r>
        <w:br w:type="page"/>
      </w:r>
    </w:p>
    <w:p w14:paraId="3255EA22" w14:textId="4CD5688D" w:rsidR="008F471E" w:rsidRDefault="008F471E" w:rsidP="008F471E">
      <w:pPr>
        <w:pStyle w:val="Heading3"/>
      </w:pPr>
      <w:bookmarkStart w:id="306" w:name="_Toc514080251"/>
      <w:r>
        <w:lastRenderedPageBreak/>
        <w:t>Standing Council on Federal Financial Relations</w:t>
      </w:r>
      <w:bookmarkEnd w:id="306"/>
    </w:p>
    <w:tbl>
      <w:tblPr>
        <w:tblW w:w="9979" w:type="dxa"/>
        <w:tblInd w:w="-142" w:type="dxa"/>
        <w:tblLayout w:type="fixed"/>
        <w:tblCellMar>
          <w:left w:w="0" w:type="dxa"/>
          <w:right w:w="0" w:type="dxa"/>
        </w:tblCellMar>
        <w:tblLook w:val="0000" w:firstRow="0" w:lastRow="0" w:firstColumn="0" w:lastColumn="0" w:noHBand="0" w:noVBand="0"/>
        <w:tblCaption w:val="National Injury Insurance Scheme: Motor Vehicle Accidents"/>
        <w:tblDescription w:val="National Injury Insurance Scheme: Motor Vehicle Accidents: Compliant at consultation, Compliant at decision, Final RIS published. Decision Date: March 2017."/>
      </w:tblPr>
      <w:tblGrid>
        <w:gridCol w:w="5420"/>
        <w:gridCol w:w="1245"/>
        <w:gridCol w:w="1105"/>
        <w:gridCol w:w="1104"/>
        <w:gridCol w:w="1105"/>
      </w:tblGrid>
      <w:tr w:rsidR="008F471E" w14:paraId="5C2EA2BB" w14:textId="77777777" w:rsidTr="00896CD2">
        <w:trPr>
          <w:tblHeader/>
        </w:trPr>
        <w:tc>
          <w:tcPr>
            <w:tcW w:w="5420" w:type="dxa"/>
            <w:shd w:val="clear" w:color="auto" w:fill="F4973F"/>
            <w:vAlign w:val="center"/>
          </w:tcPr>
          <w:p w14:paraId="2503E249" w14:textId="77777777" w:rsidR="008F471E" w:rsidRDefault="008F471E" w:rsidP="00896CD2">
            <w:pPr>
              <w:pStyle w:val="TableParagraph"/>
              <w:kinsoku w:val="0"/>
              <w:overflowPunct w:val="0"/>
              <w:spacing w:beforeLines="60" w:before="144" w:after="60"/>
              <w:ind w:left="85"/>
            </w:pPr>
            <w:r>
              <w:rPr>
                <w:rFonts w:ascii="Arial" w:hAnsi="Arial" w:cs="Arial"/>
                <w:color w:val="FFFFFF"/>
                <w:w w:val="105"/>
                <w:sz w:val="18"/>
                <w:szCs w:val="18"/>
              </w:rPr>
              <w:t>Proposal</w:t>
            </w:r>
          </w:p>
        </w:tc>
        <w:tc>
          <w:tcPr>
            <w:tcW w:w="1245" w:type="dxa"/>
            <w:shd w:val="clear" w:color="auto" w:fill="F4973F"/>
            <w:vAlign w:val="center"/>
          </w:tcPr>
          <w:p w14:paraId="210CCC62" w14:textId="77777777" w:rsidR="008F471E" w:rsidRDefault="008F471E" w:rsidP="00896CD2">
            <w:pPr>
              <w:pStyle w:val="TableParagraph"/>
              <w:kinsoku w:val="0"/>
              <w:overflowPunct w:val="0"/>
              <w:spacing w:beforeLines="60" w:before="144" w:after="60"/>
              <w:jc w:val="center"/>
            </w:pPr>
            <w:r>
              <w:rPr>
                <w:rFonts w:ascii="Arial" w:hAnsi="Arial" w:cs="Arial"/>
                <w:color w:val="FFFFFF"/>
                <w:w w:val="105"/>
                <w:sz w:val="18"/>
                <w:szCs w:val="18"/>
              </w:rPr>
              <w:t>Decision date</w:t>
            </w:r>
          </w:p>
        </w:tc>
        <w:tc>
          <w:tcPr>
            <w:tcW w:w="1105" w:type="dxa"/>
            <w:shd w:val="clear" w:color="auto" w:fill="F4973F"/>
            <w:vAlign w:val="center"/>
          </w:tcPr>
          <w:p w14:paraId="0309987B" w14:textId="77777777" w:rsidR="008F471E" w:rsidRDefault="008F471E" w:rsidP="00896CD2">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Compliant at consultation</w:t>
            </w:r>
          </w:p>
        </w:tc>
        <w:tc>
          <w:tcPr>
            <w:tcW w:w="1104" w:type="dxa"/>
            <w:shd w:val="clear" w:color="auto" w:fill="F4973F"/>
            <w:vAlign w:val="center"/>
          </w:tcPr>
          <w:p w14:paraId="222B6819" w14:textId="77777777" w:rsidR="008F471E" w:rsidRDefault="008F471E" w:rsidP="00896CD2">
            <w:pPr>
              <w:pStyle w:val="TableParagraph"/>
              <w:kinsoku w:val="0"/>
              <w:overflowPunct w:val="0"/>
              <w:spacing w:beforeLines="60" w:before="144" w:after="60"/>
              <w:jc w:val="center"/>
            </w:pPr>
            <w:r>
              <w:rPr>
                <w:rFonts w:ascii="Arial" w:hAnsi="Arial" w:cs="Arial"/>
                <w:color w:val="FFFFFF"/>
                <w:w w:val="105"/>
                <w:sz w:val="18"/>
                <w:szCs w:val="18"/>
              </w:rPr>
              <w:t>Compliant at decision</w:t>
            </w:r>
          </w:p>
        </w:tc>
        <w:tc>
          <w:tcPr>
            <w:tcW w:w="1105" w:type="dxa"/>
            <w:shd w:val="clear" w:color="auto" w:fill="F4973F"/>
            <w:vAlign w:val="center"/>
          </w:tcPr>
          <w:p w14:paraId="76455083" w14:textId="77777777" w:rsidR="008F471E" w:rsidRDefault="008F471E" w:rsidP="00896CD2">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Final RIS published</w:t>
            </w:r>
          </w:p>
        </w:tc>
      </w:tr>
      <w:tr w:rsidR="008F471E" w:rsidRPr="00BC0477" w14:paraId="2CCFFBD7" w14:textId="77777777" w:rsidTr="00896CD2">
        <w:trPr>
          <w:trHeight w:hRule="exact" w:val="525"/>
        </w:trPr>
        <w:tc>
          <w:tcPr>
            <w:tcW w:w="5420" w:type="dxa"/>
            <w:shd w:val="clear" w:color="auto" w:fill="auto"/>
            <w:vAlign w:val="center"/>
          </w:tcPr>
          <w:p w14:paraId="0425C491" w14:textId="0853287B" w:rsidR="008F471E" w:rsidRPr="00BC0477" w:rsidRDefault="008F471E" w:rsidP="00896CD2">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National Injury Insurance Scheme: Motor Vehicle Accidents</w:t>
            </w:r>
          </w:p>
        </w:tc>
        <w:tc>
          <w:tcPr>
            <w:tcW w:w="1245" w:type="dxa"/>
            <w:shd w:val="clear" w:color="auto" w:fill="auto"/>
            <w:vAlign w:val="center"/>
          </w:tcPr>
          <w:p w14:paraId="37F29FFB" w14:textId="1752C6B4" w:rsidR="008F471E" w:rsidRPr="00BC0477" w:rsidRDefault="008F471E" w:rsidP="00896CD2">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March 2017</w:t>
            </w:r>
          </w:p>
        </w:tc>
        <w:tc>
          <w:tcPr>
            <w:tcW w:w="1105" w:type="dxa"/>
            <w:shd w:val="clear" w:color="auto" w:fill="auto"/>
            <w:vAlign w:val="center"/>
          </w:tcPr>
          <w:p w14:paraId="71F02796" w14:textId="77777777" w:rsidR="008F471E" w:rsidRPr="00BC0477" w:rsidRDefault="008F471E" w:rsidP="00896CD2">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4" w:type="dxa"/>
            <w:shd w:val="clear" w:color="auto" w:fill="auto"/>
            <w:vAlign w:val="center"/>
          </w:tcPr>
          <w:p w14:paraId="252BA9AB" w14:textId="77777777" w:rsidR="008F471E" w:rsidRPr="00BC0477" w:rsidRDefault="008F471E" w:rsidP="00896CD2">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c>
          <w:tcPr>
            <w:tcW w:w="1105" w:type="dxa"/>
            <w:vAlign w:val="center"/>
          </w:tcPr>
          <w:p w14:paraId="1718C87C" w14:textId="77777777" w:rsidR="008F471E" w:rsidRPr="00BC0477" w:rsidRDefault="008F471E" w:rsidP="00896CD2">
            <w:pPr>
              <w:pStyle w:val="TableParagraph"/>
              <w:kinsoku w:val="0"/>
              <w:overflowPunct w:val="0"/>
              <w:spacing w:before="54"/>
              <w:jc w:val="center"/>
              <w:rPr>
                <w:rFonts w:ascii="Arial" w:hAnsi="Arial" w:cs="Arial"/>
                <w:spacing w:val="-3"/>
                <w:sz w:val="18"/>
                <w:szCs w:val="18"/>
              </w:rPr>
            </w:pPr>
            <w:r w:rsidRPr="00BC0477">
              <w:rPr>
                <w:rFonts w:ascii="Arial" w:hAnsi="Arial" w:cs="Arial"/>
                <w:spacing w:val="-3"/>
                <w:sz w:val="18"/>
                <w:szCs w:val="18"/>
              </w:rPr>
              <w:t>Yes</w:t>
            </w:r>
          </w:p>
        </w:tc>
      </w:tr>
    </w:tbl>
    <w:p w14:paraId="41FD22D3" w14:textId="77777777" w:rsidR="008F471E" w:rsidRPr="00702109" w:rsidRDefault="008F471E" w:rsidP="008F471E">
      <w:pPr>
        <w:pStyle w:val="note"/>
        <w:spacing w:after="0"/>
        <w:rPr>
          <w:rFonts w:cs="Arial"/>
          <w:color w:val="auto"/>
          <w:szCs w:val="18"/>
        </w:rPr>
      </w:pPr>
    </w:p>
    <w:p w14:paraId="727C8AAA" w14:textId="2D847E25" w:rsidR="00207344" w:rsidRPr="00702109" w:rsidRDefault="00A94D5E" w:rsidP="00207344">
      <w:pPr>
        <w:pStyle w:val="BodyText2"/>
        <w:rPr>
          <w:rFonts w:ascii="Arial" w:hAnsi="Arial" w:cs="Arial"/>
          <w:sz w:val="18"/>
          <w:szCs w:val="18"/>
        </w:rPr>
      </w:pPr>
      <w:r>
        <w:rPr>
          <w:rFonts w:ascii="Arial" w:hAnsi="Arial" w:cs="Arial"/>
          <w:sz w:val="18"/>
          <w:szCs w:val="18"/>
        </w:rPr>
        <w:t xml:space="preserve">Agreement to </w:t>
      </w:r>
      <w:r w:rsidR="00F5772F" w:rsidRPr="00702109">
        <w:rPr>
          <w:rFonts w:ascii="Arial" w:hAnsi="Arial" w:cs="Arial"/>
          <w:sz w:val="18"/>
          <w:szCs w:val="18"/>
        </w:rPr>
        <w:t xml:space="preserve">implement a National Injury Insurance Scheme (NIIS) for people who have been catastrophically injured in motor vehicle accidents. </w:t>
      </w:r>
    </w:p>
    <w:p w14:paraId="007285A4" w14:textId="77777777" w:rsidR="00207344" w:rsidRDefault="00207344">
      <w:pPr>
        <w:spacing w:after="0" w:line="240" w:lineRule="auto"/>
        <w:rPr>
          <w:rFonts w:ascii="Cambria" w:hAnsi="Cambria"/>
        </w:rPr>
      </w:pPr>
      <w:r>
        <w:br w:type="page"/>
      </w:r>
    </w:p>
    <w:p w14:paraId="4EE6ABC2" w14:textId="0A0A8255" w:rsidR="000A698F" w:rsidRDefault="000A698F" w:rsidP="00207344">
      <w:pPr>
        <w:pStyle w:val="Heading2"/>
      </w:pPr>
      <w:bookmarkStart w:id="307" w:name="_Toc514080252"/>
      <w:r>
        <w:lastRenderedPageBreak/>
        <w:t xml:space="preserve">Appendix A </w:t>
      </w:r>
      <w:r w:rsidR="00024B2D">
        <w:t>–</w:t>
      </w:r>
      <w:r>
        <w:t xml:space="preserve"> </w:t>
      </w:r>
      <w:r w:rsidR="00024B2D">
        <w:t xml:space="preserve">COAG </w:t>
      </w:r>
      <w:r>
        <w:t>RISs p</w:t>
      </w:r>
      <w:r w:rsidR="00024B2D">
        <w:t>ublished</w:t>
      </w:r>
      <w:r w:rsidRPr="00CB1EE6">
        <w:t xml:space="preserve"> for consultation</w:t>
      </w:r>
      <w:r>
        <w:t xml:space="preserve"> in 2016-17</w:t>
      </w:r>
      <w:bookmarkEnd w:id="307"/>
    </w:p>
    <w:p w14:paraId="02580FD1" w14:textId="5036B717" w:rsidR="000A698F" w:rsidRPr="00DB15D8" w:rsidRDefault="000A698F" w:rsidP="000A698F">
      <w:pPr>
        <w:pStyle w:val="BodyText1"/>
      </w:pPr>
    </w:p>
    <w:tbl>
      <w:tblPr>
        <w:tblW w:w="9979" w:type="dxa"/>
        <w:tblInd w:w="-142" w:type="dxa"/>
        <w:tblLayout w:type="fixed"/>
        <w:tblCellMar>
          <w:left w:w="0" w:type="dxa"/>
          <w:right w:w="0" w:type="dxa"/>
        </w:tblCellMar>
        <w:tblLook w:val="0000" w:firstRow="0" w:lastRow="0" w:firstColumn="0" w:lastColumn="0" w:noHBand="0" w:noVBand="0"/>
        <w:tblCaption w:val="RISs prepared for consultation in 2016-17"/>
        <w:tblDescription w:val="COAG consultation RISs that have been published for consultation during the 2016-17 financial year."/>
      </w:tblPr>
      <w:tblGrid>
        <w:gridCol w:w="6379"/>
        <w:gridCol w:w="2268"/>
        <w:gridCol w:w="1332"/>
      </w:tblGrid>
      <w:tr w:rsidR="000A698F" w14:paraId="3287B948" w14:textId="77777777" w:rsidTr="00DA2D27">
        <w:trPr>
          <w:tblHeader/>
        </w:trPr>
        <w:tc>
          <w:tcPr>
            <w:tcW w:w="6379" w:type="dxa"/>
            <w:shd w:val="clear" w:color="auto" w:fill="F4973F"/>
            <w:vAlign w:val="center"/>
          </w:tcPr>
          <w:p w14:paraId="07636C58" w14:textId="77777777" w:rsidR="000A698F" w:rsidRDefault="000A698F" w:rsidP="00DA2D27">
            <w:pPr>
              <w:pStyle w:val="TableParagraph"/>
              <w:kinsoku w:val="0"/>
              <w:overflowPunct w:val="0"/>
              <w:spacing w:beforeLines="60" w:before="144" w:after="60"/>
              <w:ind w:left="79"/>
              <w:rPr>
                <w:rFonts w:ascii="Arial" w:hAnsi="Arial" w:cs="Arial"/>
                <w:color w:val="FFFFFF"/>
                <w:w w:val="105"/>
                <w:sz w:val="18"/>
                <w:szCs w:val="18"/>
              </w:rPr>
            </w:pPr>
            <w:r w:rsidRPr="00C25C33">
              <w:rPr>
                <w:rFonts w:ascii="Arial" w:hAnsi="Arial" w:cs="Arial"/>
                <w:color w:val="FFFFFF"/>
                <w:w w:val="105"/>
                <w:sz w:val="18"/>
                <w:szCs w:val="18"/>
              </w:rPr>
              <w:t>Proposal</w:t>
            </w:r>
          </w:p>
        </w:tc>
        <w:tc>
          <w:tcPr>
            <w:tcW w:w="2268" w:type="dxa"/>
            <w:shd w:val="clear" w:color="auto" w:fill="F4973F"/>
            <w:vAlign w:val="center"/>
          </w:tcPr>
          <w:p w14:paraId="0C400DEB" w14:textId="77777777" w:rsidR="000A698F" w:rsidRDefault="000A698F" w:rsidP="00DA2D27">
            <w:pPr>
              <w:pStyle w:val="TableParagraph"/>
              <w:kinsoku w:val="0"/>
              <w:overflowPunct w:val="0"/>
              <w:spacing w:beforeLines="60" w:before="144" w:after="60"/>
              <w:jc w:val="center"/>
            </w:pPr>
            <w:r>
              <w:rPr>
                <w:rFonts w:ascii="Arial" w:hAnsi="Arial" w:cs="Arial"/>
                <w:color w:val="FFFFFF"/>
                <w:w w:val="105"/>
                <w:sz w:val="18"/>
                <w:szCs w:val="18"/>
              </w:rPr>
              <w:t>Decision-making body</w:t>
            </w:r>
          </w:p>
        </w:tc>
        <w:tc>
          <w:tcPr>
            <w:tcW w:w="1332" w:type="dxa"/>
            <w:shd w:val="clear" w:color="auto" w:fill="F4973F"/>
            <w:vAlign w:val="center"/>
          </w:tcPr>
          <w:p w14:paraId="10629F58" w14:textId="77777777" w:rsidR="000A698F" w:rsidRDefault="000A698F" w:rsidP="00DA2D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Closing date</w:t>
            </w:r>
          </w:p>
        </w:tc>
      </w:tr>
      <w:tr w:rsidR="0019230D" w14:paraId="09F14464" w14:textId="77777777" w:rsidTr="00B654D7">
        <w:trPr>
          <w:trHeight w:hRule="exact" w:val="689"/>
        </w:trPr>
        <w:tc>
          <w:tcPr>
            <w:tcW w:w="6379" w:type="dxa"/>
            <w:shd w:val="clear" w:color="auto" w:fill="auto"/>
            <w:vAlign w:val="center"/>
          </w:tcPr>
          <w:p w14:paraId="10FCC136" w14:textId="37D8D507" w:rsidR="0019230D" w:rsidRDefault="00995D62" w:rsidP="00995D62">
            <w:pPr>
              <w:pStyle w:val="TableParagraph"/>
              <w:kinsoku w:val="0"/>
              <w:overflowPunct w:val="0"/>
              <w:spacing w:before="54"/>
              <w:ind w:left="170"/>
              <w:rPr>
                <w:rFonts w:ascii="Arial" w:hAnsi="Arial" w:cs="Arial"/>
                <w:spacing w:val="-3"/>
                <w:sz w:val="18"/>
                <w:szCs w:val="18"/>
              </w:rPr>
            </w:pPr>
            <w:r w:rsidRPr="00995D62">
              <w:rPr>
                <w:rFonts w:ascii="Arial" w:hAnsi="Arial" w:cs="Arial"/>
                <w:spacing w:val="-3"/>
                <w:sz w:val="18"/>
                <w:szCs w:val="18"/>
              </w:rPr>
              <w:t>New South Wales Container Deposit Scheme</w:t>
            </w:r>
          </w:p>
        </w:tc>
        <w:tc>
          <w:tcPr>
            <w:tcW w:w="2268" w:type="dxa"/>
            <w:shd w:val="clear" w:color="auto" w:fill="auto"/>
            <w:vAlign w:val="center"/>
          </w:tcPr>
          <w:p w14:paraId="4B8CE386" w14:textId="385C4ABC" w:rsidR="0019230D" w:rsidRDefault="0019230D" w:rsidP="0019230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NSW Environment Protection Agency</w:t>
            </w:r>
          </w:p>
        </w:tc>
        <w:tc>
          <w:tcPr>
            <w:tcW w:w="1332" w:type="dxa"/>
            <w:vAlign w:val="center"/>
          </w:tcPr>
          <w:p w14:paraId="77015A47" w14:textId="1C9AD216" w:rsidR="0019230D" w:rsidRDefault="0019230D" w:rsidP="00B654D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21 June 2017</w:t>
            </w:r>
          </w:p>
        </w:tc>
      </w:tr>
      <w:tr w:rsidR="00FF18D3" w14:paraId="2D8FD476" w14:textId="77777777" w:rsidTr="00DA2D27">
        <w:trPr>
          <w:trHeight w:hRule="exact" w:val="689"/>
        </w:trPr>
        <w:tc>
          <w:tcPr>
            <w:tcW w:w="6379" w:type="dxa"/>
            <w:shd w:val="clear" w:color="auto" w:fill="auto"/>
            <w:vAlign w:val="center"/>
          </w:tcPr>
          <w:p w14:paraId="35BAE652" w14:textId="6B49CBE1" w:rsidR="00FF18D3" w:rsidRDefault="00995D62" w:rsidP="00995D62">
            <w:pPr>
              <w:pStyle w:val="TableParagraph"/>
              <w:kinsoku w:val="0"/>
              <w:overflowPunct w:val="0"/>
              <w:spacing w:before="54"/>
              <w:ind w:left="170"/>
              <w:rPr>
                <w:rFonts w:ascii="Arial" w:hAnsi="Arial" w:cs="Arial"/>
                <w:spacing w:val="-3"/>
                <w:sz w:val="18"/>
                <w:szCs w:val="18"/>
              </w:rPr>
            </w:pPr>
            <w:r w:rsidRPr="00995D62">
              <w:rPr>
                <w:rFonts w:ascii="Arial" w:hAnsi="Arial" w:cs="Arial"/>
                <w:spacing w:val="-3"/>
                <w:sz w:val="18"/>
                <w:szCs w:val="18"/>
              </w:rPr>
              <w:t>A National Consumer Protection Framework For Online Wagering In Australia</w:t>
            </w:r>
          </w:p>
        </w:tc>
        <w:tc>
          <w:tcPr>
            <w:tcW w:w="2268" w:type="dxa"/>
            <w:shd w:val="clear" w:color="auto" w:fill="auto"/>
            <w:vAlign w:val="center"/>
          </w:tcPr>
          <w:p w14:paraId="5E22B90B" w14:textId="66801D8F" w:rsidR="00FF18D3" w:rsidRDefault="00FF18D3"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Department of Social Services</w:t>
            </w:r>
          </w:p>
        </w:tc>
        <w:tc>
          <w:tcPr>
            <w:tcW w:w="1332" w:type="dxa"/>
            <w:vAlign w:val="center"/>
          </w:tcPr>
          <w:p w14:paraId="7521D25B" w14:textId="21D12391" w:rsidR="00FF18D3" w:rsidRDefault="00FF18D3" w:rsidP="00DA2D2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16 June 2017</w:t>
            </w:r>
          </w:p>
        </w:tc>
      </w:tr>
      <w:tr w:rsidR="000A698F" w14:paraId="1EE4142D" w14:textId="77777777" w:rsidTr="00DA2D27">
        <w:trPr>
          <w:trHeight w:hRule="exact" w:val="689"/>
        </w:trPr>
        <w:tc>
          <w:tcPr>
            <w:tcW w:w="6379" w:type="dxa"/>
            <w:shd w:val="clear" w:color="auto" w:fill="auto"/>
            <w:vAlign w:val="center"/>
          </w:tcPr>
          <w:p w14:paraId="1BDBC897" w14:textId="760FA171" w:rsidR="000A698F" w:rsidRDefault="00995D62" w:rsidP="00995D62">
            <w:pPr>
              <w:pStyle w:val="TableParagraph"/>
              <w:kinsoku w:val="0"/>
              <w:overflowPunct w:val="0"/>
              <w:spacing w:before="54"/>
              <w:ind w:left="170"/>
              <w:rPr>
                <w:rFonts w:ascii="Arial" w:hAnsi="Arial" w:cs="Arial"/>
                <w:spacing w:val="-3"/>
                <w:sz w:val="18"/>
                <w:szCs w:val="18"/>
              </w:rPr>
            </w:pPr>
            <w:r w:rsidRPr="00995D62">
              <w:rPr>
                <w:rFonts w:ascii="Arial" w:hAnsi="Arial" w:cs="Arial"/>
                <w:spacing w:val="-3"/>
                <w:sz w:val="18"/>
                <w:szCs w:val="18"/>
              </w:rPr>
              <w:t>Application of Temperature Control Requirements for Heated Water</w:t>
            </w:r>
          </w:p>
        </w:tc>
        <w:tc>
          <w:tcPr>
            <w:tcW w:w="2268" w:type="dxa"/>
            <w:shd w:val="clear" w:color="auto" w:fill="auto"/>
            <w:vAlign w:val="center"/>
          </w:tcPr>
          <w:p w14:paraId="59AAFCA1" w14:textId="77777777" w:rsidR="000A698F"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Australian Building Codes Board</w:t>
            </w:r>
          </w:p>
        </w:tc>
        <w:tc>
          <w:tcPr>
            <w:tcW w:w="1332" w:type="dxa"/>
            <w:vAlign w:val="center"/>
          </w:tcPr>
          <w:p w14:paraId="0FAA9A09" w14:textId="77777777" w:rsidR="000A698F" w:rsidRDefault="000A698F" w:rsidP="00DA2D2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21 April 2017</w:t>
            </w:r>
          </w:p>
        </w:tc>
      </w:tr>
      <w:tr w:rsidR="000A698F" w14:paraId="1B06BD2B" w14:textId="77777777" w:rsidTr="00DA2D27">
        <w:trPr>
          <w:trHeight w:hRule="exact" w:val="689"/>
        </w:trPr>
        <w:tc>
          <w:tcPr>
            <w:tcW w:w="6379" w:type="dxa"/>
            <w:shd w:val="clear" w:color="auto" w:fill="auto"/>
            <w:vAlign w:val="center"/>
          </w:tcPr>
          <w:p w14:paraId="2EE6D213" w14:textId="593108E7" w:rsidR="000A698F" w:rsidRDefault="00702109" w:rsidP="00702109">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Measures to improve the e</w:t>
            </w:r>
            <w:r w:rsidR="000A698F" w:rsidRPr="00B32B36">
              <w:rPr>
                <w:rFonts w:ascii="Arial" w:hAnsi="Arial" w:cs="Arial"/>
                <w:spacing w:val="-3"/>
                <w:sz w:val="18"/>
                <w:szCs w:val="18"/>
              </w:rPr>
              <w:t xml:space="preserve">nergy </w:t>
            </w:r>
            <w:r w:rsidR="000A698F">
              <w:rPr>
                <w:rFonts w:ascii="Arial" w:hAnsi="Arial" w:cs="Arial"/>
                <w:spacing w:val="-3"/>
                <w:sz w:val="18"/>
                <w:szCs w:val="18"/>
              </w:rPr>
              <w:t>e</w:t>
            </w:r>
            <w:r w:rsidR="000A698F" w:rsidRPr="00B32B36">
              <w:rPr>
                <w:rFonts w:ascii="Arial" w:hAnsi="Arial" w:cs="Arial"/>
                <w:spacing w:val="-3"/>
                <w:sz w:val="18"/>
                <w:szCs w:val="18"/>
              </w:rPr>
              <w:t>fficiency of residential and commercial lighting</w:t>
            </w:r>
          </w:p>
        </w:tc>
        <w:tc>
          <w:tcPr>
            <w:tcW w:w="2268" w:type="dxa"/>
            <w:shd w:val="clear" w:color="auto" w:fill="auto"/>
            <w:vAlign w:val="center"/>
          </w:tcPr>
          <w:p w14:paraId="6815E091" w14:textId="77777777" w:rsidR="000A698F"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COAG Energy Council</w:t>
            </w:r>
          </w:p>
        </w:tc>
        <w:tc>
          <w:tcPr>
            <w:tcW w:w="1332" w:type="dxa"/>
            <w:vAlign w:val="center"/>
          </w:tcPr>
          <w:p w14:paraId="2A550753" w14:textId="5EF25836" w:rsidR="000A698F" w:rsidRDefault="000A698F" w:rsidP="00024B2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24 Feb 2017</w:t>
            </w:r>
          </w:p>
        </w:tc>
      </w:tr>
      <w:tr w:rsidR="000A698F" w14:paraId="2391BCAC" w14:textId="77777777" w:rsidTr="00DA2D27">
        <w:trPr>
          <w:trHeight w:hRule="exact" w:val="689"/>
        </w:trPr>
        <w:tc>
          <w:tcPr>
            <w:tcW w:w="6379" w:type="dxa"/>
            <w:shd w:val="clear" w:color="auto" w:fill="auto"/>
            <w:vAlign w:val="center"/>
          </w:tcPr>
          <w:p w14:paraId="6C93CF12" w14:textId="1FB90568" w:rsidR="000A698F" w:rsidRDefault="00702109" w:rsidP="00702109">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 xml:space="preserve">Measures to improve the </w:t>
            </w:r>
            <w:r w:rsidR="000A698F">
              <w:rPr>
                <w:rFonts w:ascii="Arial" w:hAnsi="Arial" w:cs="Arial"/>
                <w:spacing w:val="-3"/>
                <w:sz w:val="18"/>
                <w:szCs w:val="18"/>
              </w:rPr>
              <w:t>energy efficiency of pool pumps for residential use</w:t>
            </w:r>
          </w:p>
        </w:tc>
        <w:tc>
          <w:tcPr>
            <w:tcW w:w="2268" w:type="dxa"/>
            <w:shd w:val="clear" w:color="auto" w:fill="auto"/>
            <w:vAlign w:val="center"/>
          </w:tcPr>
          <w:p w14:paraId="7D7BC512" w14:textId="77777777" w:rsidR="000A698F"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COAG Energy Council</w:t>
            </w:r>
          </w:p>
        </w:tc>
        <w:tc>
          <w:tcPr>
            <w:tcW w:w="1332" w:type="dxa"/>
            <w:vAlign w:val="center"/>
          </w:tcPr>
          <w:p w14:paraId="10443429" w14:textId="3AC1F384" w:rsidR="000A698F" w:rsidRDefault="000A698F" w:rsidP="00024B2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20 Jan 2017</w:t>
            </w:r>
          </w:p>
        </w:tc>
      </w:tr>
      <w:tr w:rsidR="000A698F" w14:paraId="0AFCAEBC" w14:textId="77777777" w:rsidTr="00DA2D27">
        <w:trPr>
          <w:trHeight w:hRule="exact" w:val="689"/>
        </w:trPr>
        <w:tc>
          <w:tcPr>
            <w:tcW w:w="6379" w:type="dxa"/>
            <w:shd w:val="clear" w:color="auto" w:fill="auto"/>
            <w:vAlign w:val="center"/>
          </w:tcPr>
          <w:p w14:paraId="28FFD9AB" w14:textId="4C1E8250" w:rsidR="000A698F" w:rsidRDefault="00416416" w:rsidP="00416416">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Cost effectiveness of mandatory installation of</w:t>
            </w:r>
            <w:r w:rsidR="00702109">
              <w:rPr>
                <w:rFonts w:ascii="Arial" w:hAnsi="Arial" w:cs="Arial"/>
                <w:spacing w:val="-3"/>
                <w:sz w:val="18"/>
                <w:szCs w:val="18"/>
              </w:rPr>
              <w:t xml:space="preserve"> f</w:t>
            </w:r>
            <w:r w:rsidR="000A698F">
              <w:rPr>
                <w:rFonts w:ascii="Arial" w:hAnsi="Arial" w:cs="Arial"/>
                <w:spacing w:val="-3"/>
                <w:sz w:val="18"/>
                <w:szCs w:val="18"/>
              </w:rPr>
              <w:t>ire hose reels in new office buildings</w:t>
            </w:r>
          </w:p>
        </w:tc>
        <w:tc>
          <w:tcPr>
            <w:tcW w:w="2268" w:type="dxa"/>
            <w:shd w:val="clear" w:color="auto" w:fill="auto"/>
            <w:vAlign w:val="center"/>
          </w:tcPr>
          <w:p w14:paraId="7A4E3E06" w14:textId="77777777" w:rsidR="000A698F"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Australian Building Codes Board</w:t>
            </w:r>
          </w:p>
        </w:tc>
        <w:tc>
          <w:tcPr>
            <w:tcW w:w="1332" w:type="dxa"/>
            <w:vAlign w:val="center"/>
          </w:tcPr>
          <w:p w14:paraId="26AE6245" w14:textId="15085E76" w:rsidR="000A698F" w:rsidRDefault="000A698F" w:rsidP="00024B2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16 Dec 2016</w:t>
            </w:r>
          </w:p>
        </w:tc>
      </w:tr>
      <w:tr w:rsidR="000A698F" w14:paraId="231CFB5D" w14:textId="77777777" w:rsidTr="00DA2D27">
        <w:trPr>
          <w:trHeight w:hRule="exact" w:val="689"/>
        </w:trPr>
        <w:tc>
          <w:tcPr>
            <w:tcW w:w="6379" w:type="dxa"/>
            <w:shd w:val="clear" w:color="auto" w:fill="auto"/>
            <w:vAlign w:val="center"/>
          </w:tcPr>
          <w:p w14:paraId="1AC82895" w14:textId="18EBC1B6" w:rsidR="000A698F" w:rsidRDefault="000A698F" w:rsidP="00702109">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Review</w:t>
            </w:r>
            <w:r w:rsidR="00416416">
              <w:rPr>
                <w:rFonts w:ascii="Arial" w:hAnsi="Arial" w:cs="Arial"/>
                <w:spacing w:val="-3"/>
                <w:sz w:val="18"/>
                <w:szCs w:val="18"/>
              </w:rPr>
              <w:t xml:space="preserve"> of</w:t>
            </w:r>
            <w:r>
              <w:rPr>
                <w:rFonts w:ascii="Arial" w:hAnsi="Arial" w:cs="Arial"/>
                <w:spacing w:val="-3"/>
                <w:sz w:val="18"/>
                <w:szCs w:val="18"/>
              </w:rPr>
              <w:t xml:space="preserve"> the model WHS Regulations for diving work</w:t>
            </w:r>
          </w:p>
        </w:tc>
        <w:tc>
          <w:tcPr>
            <w:tcW w:w="2268" w:type="dxa"/>
            <w:shd w:val="clear" w:color="auto" w:fill="auto"/>
            <w:vAlign w:val="center"/>
          </w:tcPr>
          <w:p w14:paraId="0BC99E25" w14:textId="77777777" w:rsidR="000A698F"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Safe Work Australia</w:t>
            </w:r>
          </w:p>
        </w:tc>
        <w:tc>
          <w:tcPr>
            <w:tcW w:w="1332" w:type="dxa"/>
            <w:vAlign w:val="center"/>
          </w:tcPr>
          <w:p w14:paraId="50C4A5E4" w14:textId="717C7F2F" w:rsidR="000A698F" w:rsidRDefault="000A698F" w:rsidP="00024B2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30 Sept 2016</w:t>
            </w:r>
          </w:p>
        </w:tc>
      </w:tr>
      <w:tr w:rsidR="000A698F" w14:paraId="7C709C58" w14:textId="77777777" w:rsidTr="00DA2D27">
        <w:trPr>
          <w:trHeight w:hRule="exact" w:val="689"/>
        </w:trPr>
        <w:tc>
          <w:tcPr>
            <w:tcW w:w="6379" w:type="dxa"/>
            <w:shd w:val="clear" w:color="auto" w:fill="auto"/>
            <w:vAlign w:val="center"/>
          </w:tcPr>
          <w:p w14:paraId="29E3E8F7" w14:textId="63D9FE79" w:rsidR="000A698F" w:rsidRDefault="000A698F" w:rsidP="00702109">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Review</w:t>
            </w:r>
            <w:r w:rsidR="00416416">
              <w:rPr>
                <w:rFonts w:ascii="Arial" w:hAnsi="Arial" w:cs="Arial"/>
                <w:spacing w:val="-3"/>
                <w:sz w:val="18"/>
                <w:szCs w:val="18"/>
              </w:rPr>
              <w:t xml:space="preserve"> of</w:t>
            </w:r>
            <w:r>
              <w:rPr>
                <w:rFonts w:ascii="Arial" w:hAnsi="Arial" w:cs="Arial"/>
                <w:spacing w:val="-3"/>
                <w:sz w:val="18"/>
                <w:szCs w:val="18"/>
              </w:rPr>
              <w:t xml:space="preserve"> the National Safety and Quality Health Service Standards</w:t>
            </w:r>
          </w:p>
        </w:tc>
        <w:tc>
          <w:tcPr>
            <w:tcW w:w="2268" w:type="dxa"/>
            <w:shd w:val="clear" w:color="auto" w:fill="auto"/>
            <w:vAlign w:val="center"/>
          </w:tcPr>
          <w:p w14:paraId="276D1ED4" w14:textId="77777777" w:rsidR="000A698F" w:rsidRDefault="000A698F" w:rsidP="00DA2D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Australian Commission on Safety and Quality in Health Care</w:t>
            </w:r>
          </w:p>
        </w:tc>
        <w:tc>
          <w:tcPr>
            <w:tcW w:w="1332" w:type="dxa"/>
            <w:vAlign w:val="center"/>
          </w:tcPr>
          <w:p w14:paraId="20446F5A" w14:textId="688C5ECA" w:rsidR="000A698F" w:rsidRDefault="000A698F" w:rsidP="00024B2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5 Aug 2016</w:t>
            </w:r>
          </w:p>
        </w:tc>
      </w:tr>
    </w:tbl>
    <w:p w14:paraId="0672F375" w14:textId="7D4DABF2" w:rsidR="0029253C" w:rsidRDefault="0029253C">
      <w:pPr>
        <w:spacing w:after="0" w:line="240" w:lineRule="auto"/>
        <w:rPr>
          <w:b/>
        </w:rPr>
      </w:pPr>
      <w:bookmarkStart w:id="308" w:name="_Toc432175913"/>
    </w:p>
    <w:bookmarkEnd w:id="308"/>
    <w:p w14:paraId="50B814AA" w14:textId="77777777" w:rsidR="00E37403" w:rsidRDefault="00E37403" w:rsidP="00B12BB7">
      <w:pPr>
        <w:rPr>
          <w:b/>
        </w:rPr>
      </w:pPr>
    </w:p>
    <w:p w14:paraId="72A5A60E" w14:textId="77777777" w:rsidR="00E37403" w:rsidRDefault="00E37403" w:rsidP="00B12BB7">
      <w:pPr>
        <w:rPr>
          <w:b/>
        </w:rPr>
      </w:pPr>
    </w:p>
    <w:p w14:paraId="0405F287" w14:textId="77777777" w:rsidR="00B12BB7" w:rsidRPr="00B12BB7" w:rsidRDefault="00B12BB7" w:rsidP="00B12BB7">
      <w:pPr>
        <w:rPr>
          <w:i/>
        </w:rPr>
      </w:pPr>
      <w:r w:rsidRPr="00B12BB7">
        <w:rPr>
          <w:b/>
        </w:rPr>
        <w:t xml:space="preserve">New South Wales Container Deposit Scheme </w:t>
      </w:r>
      <w:r w:rsidRPr="00B12BB7">
        <w:rPr>
          <w:i/>
        </w:rPr>
        <w:t>(NSW Environment Protection Agency)</w:t>
      </w:r>
    </w:p>
    <w:p w14:paraId="7335EA59" w14:textId="77777777" w:rsidR="00B12BB7" w:rsidRPr="00B12BB7" w:rsidRDefault="00B12BB7" w:rsidP="00B12BB7">
      <w:pPr>
        <w:rPr>
          <w:rFonts w:cs="Arial"/>
          <w:szCs w:val="22"/>
          <w:lang w:eastAsia="en-AU"/>
        </w:rPr>
      </w:pPr>
      <w:r w:rsidRPr="00B12BB7">
        <w:rPr>
          <w:rFonts w:cs="Arial"/>
          <w:szCs w:val="22"/>
          <w:lang w:eastAsia="en-AU"/>
        </w:rPr>
        <w:t>The New South Wales Environment Protection Agency released a COAG consultation RIS examining a permanent exemption from mutual recognition arrangements for the NSW Container Deposit Scheme (CDS). The NSW CDS laws impose certain requirements on the sale of beverages that are not required in other jurisdictions or New Zealand that do not have a CDS, which may be inconsistent with the Commonwealth mutual recognition laws.</w:t>
      </w:r>
    </w:p>
    <w:p w14:paraId="766C5935" w14:textId="77777777" w:rsidR="00B12BB7" w:rsidRPr="00B12BB7" w:rsidRDefault="00B12BB7" w:rsidP="00B12BB7">
      <w:pPr>
        <w:rPr>
          <w:rFonts w:cs="Arial"/>
          <w:szCs w:val="22"/>
          <w:lang w:eastAsia="en-AU"/>
        </w:rPr>
      </w:pPr>
      <w:r w:rsidRPr="00B12BB7">
        <w:rPr>
          <w:rFonts w:cs="Arial"/>
          <w:szCs w:val="22"/>
          <w:lang w:eastAsia="en-AU"/>
        </w:rPr>
        <w:t>Published: 15 June 2017</w:t>
      </w:r>
    </w:p>
    <w:p w14:paraId="35A73047" w14:textId="77777777" w:rsidR="00B12BB7" w:rsidRPr="00B12BB7" w:rsidRDefault="00B12BB7" w:rsidP="00B12BB7">
      <w:pPr>
        <w:rPr>
          <w:i/>
        </w:rPr>
      </w:pPr>
      <w:r w:rsidRPr="00B12BB7">
        <w:rPr>
          <w:b/>
        </w:rPr>
        <w:t xml:space="preserve">A National Consumer Protection Framework for online wagering in Australia </w:t>
      </w:r>
      <w:r w:rsidRPr="00B12BB7">
        <w:rPr>
          <w:i/>
        </w:rPr>
        <w:t>(Department of Social Services)</w:t>
      </w:r>
    </w:p>
    <w:p w14:paraId="69F3EE87" w14:textId="77777777" w:rsidR="00B12BB7" w:rsidRPr="00B12BB7" w:rsidRDefault="00B12BB7" w:rsidP="00B12BB7">
      <w:pPr>
        <w:rPr>
          <w:rFonts w:cs="Arial"/>
          <w:szCs w:val="22"/>
          <w:lang w:eastAsia="en-AU"/>
        </w:rPr>
      </w:pPr>
      <w:r w:rsidRPr="00B12BB7">
        <w:rPr>
          <w:rFonts w:cs="Arial"/>
          <w:szCs w:val="22"/>
          <w:lang w:eastAsia="en-AU"/>
        </w:rPr>
        <w:t>Department of Social Services (DSS) released a consultation RIS on the National Consumer Protection Framework for online wagering in Australia (The Framework). The Framework will seek to put in place nationally-consistent consumer protection measures for individuals using licensed online wagering products in Australia.</w:t>
      </w:r>
    </w:p>
    <w:p w14:paraId="4E12AFF9" w14:textId="77777777" w:rsidR="00B12BB7" w:rsidRPr="00B12BB7" w:rsidRDefault="00B12BB7" w:rsidP="00B12BB7">
      <w:pPr>
        <w:rPr>
          <w:rFonts w:cs="Arial"/>
          <w:szCs w:val="22"/>
          <w:lang w:eastAsia="en-AU"/>
        </w:rPr>
      </w:pPr>
      <w:r w:rsidRPr="00B12BB7">
        <w:rPr>
          <w:rFonts w:cs="Arial"/>
          <w:szCs w:val="22"/>
          <w:lang w:eastAsia="en-AU"/>
        </w:rPr>
        <w:t>Published: 19 May 2017</w:t>
      </w:r>
    </w:p>
    <w:p w14:paraId="3DF5B1C2" w14:textId="77777777" w:rsidR="00B12BB7" w:rsidRPr="00B12BB7" w:rsidRDefault="00B12BB7" w:rsidP="00B12BB7">
      <w:pPr>
        <w:rPr>
          <w:i/>
        </w:rPr>
      </w:pPr>
      <w:r w:rsidRPr="00B12BB7">
        <w:rPr>
          <w:b/>
        </w:rPr>
        <w:lastRenderedPageBreak/>
        <w:t xml:space="preserve">Application of temperature control requirements for heated water </w:t>
      </w:r>
      <w:r w:rsidRPr="00B12BB7">
        <w:rPr>
          <w:i/>
        </w:rPr>
        <w:t>(Australian Building Codes Board)</w:t>
      </w:r>
    </w:p>
    <w:p w14:paraId="15B13233" w14:textId="77777777" w:rsidR="00B12BB7" w:rsidRPr="00B12BB7" w:rsidRDefault="00B12BB7" w:rsidP="00B12BB7">
      <w:pPr>
        <w:rPr>
          <w:rFonts w:cs="Calibri"/>
          <w:color w:val="000000"/>
          <w:lang w:eastAsia="en-AU"/>
        </w:rPr>
      </w:pPr>
      <w:r w:rsidRPr="00B12BB7">
        <w:rPr>
          <w:rFonts w:cs="Arial"/>
          <w:szCs w:val="22"/>
          <w:lang w:eastAsia="en-AU"/>
        </w:rPr>
        <w:t xml:space="preserve">The Australian Building Codes Board released a COAG Consultation RIS examining </w:t>
      </w:r>
      <w:r w:rsidRPr="00B12BB7">
        <w:rPr>
          <w:rFonts w:cs="Calibri"/>
          <w:color w:val="000000"/>
          <w:lang w:eastAsia="en-AU"/>
        </w:rPr>
        <w:t xml:space="preserve">current requirements for temperature control when replacing </w:t>
      </w:r>
      <w:proofErr w:type="spellStart"/>
      <w:r w:rsidRPr="00B12BB7">
        <w:rPr>
          <w:rFonts w:cs="Calibri"/>
          <w:color w:val="000000"/>
          <w:lang w:eastAsia="en-AU"/>
        </w:rPr>
        <w:t>waterheaters</w:t>
      </w:r>
      <w:proofErr w:type="spellEnd"/>
      <w:r w:rsidRPr="00B12BB7">
        <w:rPr>
          <w:rFonts w:cs="Calibri"/>
          <w:color w:val="000000"/>
          <w:lang w:eastAsia="en-AU"/>
        </w:rPr>
        <w:t xml:space="preserve"> in private residences to further reduce the risk of scalding injuries and fatalities.</w:t>
      </w:r>
    </w:p>
    <w:p w14:paraId="49DF9662" w14:textId="77777777" w:rsidR="00B12BB7" w:rsidRPr="00B12BB7" w:rsidRDefault="00B12BB7" w:rsidP="00B12BB7">
      <w:pPr>
        <w:rPr>
          <w:rFonts w:cs="Arial"/>
          <w:szCs w:val="22"/>
          <w:lang w:eastAsia="en-AU"/>
        </w:rPr>
      </w:pPr>
      <w:r w:rsidRPr="00B12BB7">
        <w:rPr>
          <w:rFonts w:cs="Arial"/>
          <w:szCs w:val="22"/>
          <w:lang w:eastAsia="en-AU"/>
        </w:rPr>
        <w:t>Published: 9 March 2017</w:t>
      </w:r>
    </w:p>
    <w:p w14:paraId="21990EDC" w14:textId="77777777" w:rsidR="00B12BB7" w:rsidRPr="00B12BB7" w:rsidRDefault="00B12BB7" w:rsidP="00B12BB7">
      <w:pPr>
        <w:rPr>
          <w:i/>
        </w:rPr>
      </w:pPr>
      <w:r w:rsidRPr="00B12BB7">
        <w:rPr>
          <w:b/>
        </w:rPr>
        <w:t xml:space="preserve">Energy efficiency of residential and commercial lighting </w:t>
      </w:r>
      <w:r w:rsidRPr="00B12BB7">
        <w:rPr>
          <w:i/>
        </w:rPr>
        <w:t>(COAG Energy Council)</w:t>
      </w:r>
    </w:p>
    <w:p w14:paraId="07DBDEEC" w14:textId="77777777" w:rsidR="00B12BB7" w:rsidRPr="00B12BB7" w:rsidRDefault="00B12BB7" w:rsidP="00B12BB7">
      <w:pPr>
        <w:rPr>
          <w:rFonts w:cs="Arial"/>
          <w:szCs w:val="22"/>
          <w:lang w:eastAsia="en-AU"/>
        </w:rPr>
      </w:pPr>
      <w:r w:rsidRPr="00B12BB7">
        <w:rPr>
          <w:rFonts w:cs="Arial"/>
          <w:szCs w:val="22"/>
          <w:lang w:eastAsia="en-AU"/>
        </w:rPr>
        <w:t xml:space="preserve">The COAG Energy Council released a COAG Consultation RIS examining the adequacy of existing regulations on incandescent and halogen lamps, self-ballasted compact fluorescent lamps, double-capped fluorescent lamps and ballasts for fluorescent lamps. It also considers placing mandatory minimum energy performance requirements on light emitting diode (LED) lamp technology and non-integrated commercial luminaires. </w:t>
      </w:r>
    </w:p>
    <w:p w14:paraId="1903C4C6" w14:textId="77777777" w:rsidR="00B12BB7" w:rsidRPr="00B12BB7" w:rsidRDefault="00B12BB7" w:rsidP="00B12BB7">
      <w:pPr>
        <w:rPr>
          <w:rFonts w:cs="Arial"/>
          <w:szCs w:val="22"/>
          <w:lang w:eastAsia="en-AU"/>
        </w:rPr>
      </w:pPr>
      <w:r w:rsidRPr="00B12BB7">
        <w:rPr>
          <w:rFonts w:cs="Arial"/>
          <w:szCs w:val="22"/>
          <w:lang w:eastAsia="en-AU"/>
        </w:rPr>
        <w:t>Published: 17 January 2017</w:t>
      </w:r>
    </w:p>
    <w:p w14:paraId="4C8BE1A5" w14:textId="77777777" w:rsidR="00B12BB7" w:rsidRPr="00B12BB7" w:rsidRDefault="00B12BB7" w:rsidP="00B12BB7">
      <w:pPr>
        <w:rPr>
          <w:i/>
        </w:rPr>
      </w:pPr>
      <w:r w:rsidRPr="00B12BB7">
        <w:rPr>
          <w:b/>
        </w:rPr>
        <w:t xml:space="preserve">Proposal to increase energy efficiency of pool pumps for residential use </w:t>
      </w:r>
      <w:r w:rsidRPr="00B12BB7">
        <w:rPr>
          <w:i/>
        </w:rPr>
        <w:t>(COAG Energy Council)</w:t>
      </w:r>
    </w:p>
    <w:p w14:paraId="2D5C67EF" w14:textId="77777777" w:rsidR="00B12BB7" w:rsidRPr="00B12BB7" w:rsidRDefault="00B12BB7" w:rsidP="00B12BB7">
      <w:pPr>
        <w:rPr>
          <w:rFonts w:cs="Arial"/>
          <w:szCs w:val="22"/>
          <w:lang w:eastAsia="en-AU"/>
        </w:rPr>
      </w:pPr>
      <w:r w:rsidRPr="00B12BB7">
        <w:rPr>
          <w:rFonts w:cs="Arial"/>
          <w:szCs w:val="22"/>
          <w:lang w:eastAsia="en-AU"/>
        </w:rPr>
        <w:t xml:space="preserve">The COAG Energy Council released a COAG Consultation RIS examining options to improve the energy </w:t>
      </w:r>
      <w:proofErr w:type="spellStart"/>
      <w:r w:rsidRPr="00B12BB7">
        <w:rPr>
          <w:rFonts w:cs="Arial"/>
          <w:szCs w:val="22"/>
          <w:lang w:eastAsia="en-AU"/>
        </w:rPr>
        <w:t>effiency</w:t>
      </w:r>
      <w:proofErr w:type="spellEnd"/>
      <w:r w:rsidRPr="00B12BB7">
        <w:rPr>
          <w:rFonts w:cs="Arial"/>
          <w:szCs w:val="22"/>
          <w:lang w:eastAsia="en-AU"/>
        </w:rPr>
        <w:t xml:space="preserve"> of residential pool and spa pumps.</w:t>
      </w:r>
    </w:p>
    <w:p w14:paraId="4D0C125E" w14:textId="77777777" w:rsidR="00B12BB7" w:rsidRPr="00B12BB7" w:rsidRDefault="00B12BB7" w:rsidP="00B12BB7">
      <w:pPr>
        <w:rPr>
          <w:rFonts w:cs="Arial"/>
          <w:szCs w:val="22"/>
          <w:lang w:eastAsia="en-AU"/>
        </w:rPr>
      </w:pPr>
      <w:r w:rsidRPr="00B12BB7">
        <w:rPr>
          <w:rFonts w:cs="Arial"/>
          <w:szCs w:val="22"/>
          <w:lang w:eastAsia="en-AU"/>
        </w:rPr>
        <w:t>Published: 16 January 2017</w:t>
      </w:r>
    </w:p>
    <w:p w14:paraId="6329721E" w14:textId="77777777" w:rsidR="00B12BB7" w:rsidRPr="00B12BB7" w:rsidRDefault="00B12BB7" w:rsidP="00B12BB7">
      <w:pPr>
        <w:rPr>
          <w:rFonts w:cs="Arial"/>
          <w:szCs w:val="22"/>
          <w:lang w:eastAsia="en-AU"/>
        </w:rPr>
      </w:pPr>
      <w:r w:rsidRPr="00B12BB7">
        <w:rPr>
          <w:b/>
        </w:rPr>
        <w:t xml:space="preserve">Fire hose reels in office buildings </w:t>
      </w:r>
      <w:r w:rsidRPr="00B12BB7">
        <w:rPr>
          <w:i/>
        </w:rPr>
        <w:t>(Australian Building Codes Board)</w:t>
      </w:r>
    </w:p>
    <w:p w14:paraId="480BDE29" w14:textId="77777777" w:rsidR="00B12BB7" w:rsidRPr="00B12BB7" w:rsidRDefault="00B12BB7" w:rsidP="00B12BB7">
      <w:pPr>
        <w:rPr>
          <w:rFonts w:cs="Arial"/>
          <w:szCs w:val="22"/>
          <w:lang w:eastAsia="en-AU"/>
        </w:rPr>
      </w:pPr>
      <w:r w:rsidRPr="00B12BB7">
        <w:rPr>
          <w:rFonts w:cs="Arial"/>
          <w:szCs w:val="22"/>
          <w:lang w:eastAsia="en-AU"/>
        </w:rPr>
        <w:t>The Australian Building Codes Board released a COAG Consultation RIS assessing the need for fire hose reels in new offices buildings.</w:t>
      </w:r>
    </w:p>
    <w:p w14:paraId="0A56AF01" w14:textId="77777777" w:rsidR="00B12BB7" w:rsidRPr="00B12BB7" w:rsidRDefault="00B12BB7" w:rsidP="00B12BB7">
      <w:pPr>
        <w:rPr>
          <w:rFonts w:cs="Arial"/>
          <w:szCs w:val="22"/>
          <w:lang w:eastAsia="en-AU"/>
        </w:rPr>
      </w:pPr>
      <w:r w:rsidRPr="00B12BB7">
        <w:rPr>
          <w:rFonts w:cs="Arial"/>
          <w:szCs w:val="22"/>
          <w:lang w:eastAsia="en-AU"/>
        </w:rPr>
        <w:t>Published: 13 January 2017</w:t>
      </w:r>
    </w:p>
    <w:p w14:paraId="3A846040" w14:textId="77777777" w:rsidR="00B12BB7" w:rsidRPr="00B12BB7" w:rsidRDefault="00B12BB7" w:rsidP="00B12BB7">
      <w:pPr>
        <w:rPr>
          <w:i/>
        </w:rPr>
      </w:pPr>
      <w:r w:rsidRPr="00B12BB7">
        <w:rPr>
          <w:b/>
        </w:rPr>
        <w:t xml:space="preserve">Review of the model WHS Regulations for diving work </w:t>
      </w:r>
      <w:r w:rsidRPr="00B12BB7">
        <w:rPr>
          <w:i/>
        </w:rPr>
        <w:t>(Safe Work Australia)</w:t>
      </w:r>
    </w:p>
    <w:p w14:paraId="036D5B82" w14:textId="77777777" w:rsidR="00B12BB7" w:rsidRPr="00B12BB7" w:rsidRDefault="00B12BB7" w:rsidP="00B12BB7">
      <w:pPr>
        <w:rPr>
          <w:rFonts w:cs="Arial"/>
          <w:szCs w:val="22"/>
          <w:lang w:eastAsia="en-AU"/>
        </w:rPr>
      </w:pPr>
      <w:r w:rsidRPr="00B12BB7">
        <w:rPr>
          <w:rFonts w:cs="Arial"/>
          <w:szCs w:val="22"/>
          <w:lang w:eastAsia="en-AU"/>
        </w:rPr>
        <w:t>Safe Work Australia released a COAG Consultation RIS on the model Work Health and Safety Regulations for diving work.</w:t>
      </w:r>
    </w:p>
    <w:p w14:paraId="155C3F0E" w14:textId="77777777" w:rsidR="00B12BB7" w:rsidRDefault="00B12BB7" w:rsidP="00B12BB7">
      <w:pPr>
        <w:rPr>
          <w:rFonts w:cs="Arial"/>
          <w:szCs w:val="22"/>
          <w:lang w:eastAsia="en-AU"/>
        </w:rPr>
      </w:pPr>
      <w:r w:rsidRPr="00B12BB7">
        <w:rPr>
          <w:rFonts w:cs="Arial"/>
          <w:szCs w:val="22"/>
          <w:lang w:eastAsia="en-AU"/>
        </w:rPr>
        <w:t>Published: 16 September 2016</w:t>
      </w:r>
    </w:p>
    <w:p w14:paraId="3FC561C6" w14:textId="5A479042" w:rsidR="00995D62" w:rsidRDefault="00E37403" w:rsidP="00B12BB7">
      <w:pPr>
        <w:rPr>
          <w:rFonts w:cs="Arial"/>
          <w:b/>
          <w:szCs w:val="22"/>
          <w:lang w:eastAsia="en-AU"/>
        </w:rPr>
      </w:pPr>
      <w:r w:rsidRPr="00E37403">
        <w:rPr>
          <w:rFonts w:cs="Arial"/>
          <w:b/>
          <w:szCs w:val="22"/>
          <w:lang w:eastAsia="en-AU"/>
        </w:rPr>
        <w:t>Review of the National Safety and Quality Health Service Standards</w:t>
      </w:r>
      <w:r>
        <w:rPr>
          <w:rFonts w:cs="Arial"/>
          <w:b/>
          <w:szCs w:val="22"/>
          <w:lang w:eastAsia="en-AU"/>
        </w:rPr>
        <w:t xml:space="preserve"> (Australian Commission on Safety and Quality in Health Care)</w:t>
      </w:r>
    </w:p>
    <w:p w14:paraId="7EF00D9F" w14:textId="176BE876" w:rsidR="00E37403" w:rsidRDefault="00E37403" w:rsidP="00B12BB7">
      <w:pPr>
        <w:rPr>
          <w:rFonts w:cs="Arial"/>
          <w:szCs w:val="22"/>
          <w:lang w:eastAsia="en-AU"/>
        </w:rPr>
      </w:pPr>
      <w:r w:rsidRPr="00E37403">
        <w:rPr>
          <w:rFonts w:cs="Arial"/>
          <w:szCs w:val="22"/>
          <w:lang w:eastAsia="en-AU"/>
        </w:rPr>
        <w:t xml:space="preserve">The Australian </w:t>
      </w:r>
      <w:r>
        <w:rPr>
          <w:rFonts w:cs="Arial"/>
          <w:szCs w:val="22"/>
          <w:lang w:eastAsia="en-AU"/>
        </w:rPr>
        <w:t>Commission on Safety and Quality in Health Care released a consultation RIS for a review of the National Safety and Quality Health Service (NSQHS) Standards. These sta</w:t>
      </w:r>
      <w:r w:rsidR="00D971EC">
        <w:rPr>
          <w:rFonts w:cs="Arial"/>
          <w:szCs w:val="22"/>
          <w:lang w:eastAsia="en-AU"/>
        </w:rPr>
        <w:t>n</w:t>
      </w:r>
      <w:r>
        <w:rPr>
          <w:rFonts w:cs="Arial"/>
          <w:szCs w:val="22"/>
          <w:lang w:eastAsia="en-AU"/>
        </w:rPr>
        <w:t>dards are applicable to all health service organisations and have been used to assess all hospital and day procedure services since January 2013.</w:t>
      </w:r>
    </w:p>
    <w:p w14:paraId="32A637EE" w14:textId="0F6EF0BC" w:rsidR="00D971EC" w:rsidRPr="00B12BB7" w:rsidRDefault="00D971EC" w:rsidP="00B12BB7">
      <w:pPr>
        <w:rPr>
          <w:rFonts w:cs="Arial"/>
          <w:szCs w:val="22"/>
          <w:lang w:eastAsia="en-AU"/>
        </w:rPr>
      </w:pPr>
      <w:r>
        <w:rPr>
          <w:rFonts w:cs="Arial"/>
          <w:szCs w:val="22"/>
          <w:lang w:eastAsia="en-AU"/>
        </w:rPr>
        <w:t>Published: 30 January 2018</w:t>
      </w:r>
    </w:p>
    <w:p w14:paraId="1844921E" w14:textId="77777777" w:rsidR="00B12BB7" w:rsidRPr="00E37403" w:rsidRDefault="00B12BB7" w:rsidP="00E37403">
      <w:pPr>
        <w:rPr>
          <w:rFonts w:cs="Arial"/>
          <w:szCs w:val="22"/>
          <w:lang w:eastAsia="en-AU"/>
        </w:rPr>
      </w:pPr>
    </w:p>
    <w:sectPr w:rsidR="00B12BB7" w:rsidRPr="00E37403" w:rsidSect="004210FB">
      <w:headerReference w:type="even" r:id="rId9"/>
      <w:headerReference w:type="default" r:id="rId10"/>
      <w:footerReference w:type="even" r:id="rId11"/>
      <w:footerReference w:type="default" r:id="rId12"/>
      <w:headerReference w:type="first" r:id="rId13"/>
      <w:footerReference w:type="first" r:id="rId14"/>
      <w:type w:val="continuous"/>
      <w:pgSz w:w="11900" w:h="16840" w:code="9"/>
      <w:pgMar w:top="1956" w:right="1418" w:bottom="1701" w:left="1418" w:header="510" w:footer="0" w:gutter="0"/>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7FEE7" w14:textId="77777777" w:rsidR="00AC1DC1" w:rsidRDefault="00AC1DC1" w:rsidP="003B52FC">
      <w:r>
        <w:separator/>
      </w:r>
    </w:p>
  </w:endnote>
  <w:endnote w:type="continuationSeparator" w:id="0">
    <w:p w14:paraId="4F55609A" w14:textId="77777777" w:rsidR="00AC1DC1" w:rsidRDefault="00AC1DC1"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Gotham Rounded Book">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TheSansSemiBold-Plain">
    <w:altName w:val="Arial"/>
    <w:panose1 w:val="00000000000000000000"/>
    <w:charset w:val="00"/>
    <w:family w:val="swiss"/>
    <w:notTrueType/>
    <w:pitch w:val="variable"/>
    <w:sig w:usb0="00000001" w:usb1="00000000" w:usb2="00000000" w:usb3="00000000" w:csb0="00000009" w:csb1="00000000"/>
  </w:font>
  <w:font w:name="Interstate-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2A180" w14:textId="77777777" w:rsidR="00FF2E5F" w:rsidRDefault="00FF2E5F">
    <w:pPr>
      <w:pStyle w:val="Footer"/>
    </w:pPr>
  </w:p>
  <w:p w14:paraId="5902A181" w14:textId="77777777" w:rsidR="00FF2E5F" w:rsidRDefault="00FF2E5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2A182" w14:textId="35498981" w:rsidR="00FF2E5F" w:rsidRDefault="00FF2E5F" w:rsidP="00C86A41">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A20048">
      <w:rPr>
        <w:rFonts w:cs="Arial"/>
        <w:noProof/>
        <w:color w:val="808080"/>
        <w:sz w:val="16"/>
        <w:szCs w:val="16"/>
      </w:rPr>
      <w:t>5</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A20048">
      <w:rPr>
        <w:rFonts w:cs="Arial"/>
        <w:noProof/>
        <w:color w:val="808080"/>
        <w:sz w:val="16"/>
        <w:szCs w:val="16"/>
      </w:rPr>
      <w:t>7</w:t>
    </w:r>
    <w:r w:rsidRPr="00C86A41">
      <w:rPr>
        <w:rFonts w:cs="Arial"/>
        <w:color w:val="808080"/>
        <w:sz w:val="16"/>
        <w:szCs w:val="16"/>
      </w:rPr>
      <w:fldChar w:fldCharType="end"/>
    </w:r>
  </w:p>
  <w:p w14:paraId="5902A183" w14:textId="77777777" w:rsidR="00FF2E5F" w:rsidRDefault="00FF2E5F">
    <w:pPr>
      <w:pStyle w:val="Footer"/>
    </w:pPr>
  </w:p>
  <w:p w14:paraId="5902A184" w14:textId="77777777" w:rsidR="00FF2E5F" w:rsidRDefault="00FF2E5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2A187" w14:textId="647AE60C" w:rsidR="00FF2E5F" w:rsidRDefault="00FF2E5F" w:rsidP="00A373F3">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A20048">
      <w:rPr>
        <w:rFonts w:cs="Arial"/>
        <w:noProof/>
        <w:color w:val="808080"/>
        <w:sz w:val="16"/>
        <w:szCs w:val="16"/>
      </w:rPr>
      <w:t>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A20048">
      <w:rPr>
        <w:rFonts w:cs="Arial"/>
        <w:noProof/>
        <w:color w:val="808080"/>
        <w:sz w:val="16"/>
        <w:szCs w:val="16"/>
      </w:rPr>
      <w:t>7</w:t>
    </w:r>
    <w:r w:rsidRPr="00C86A41">
      <w:rPr>
        <w:rFonts w:cs="Arial"/>
        <w:color w:val="808080"/>
        <w:sz w:val="16"/>
        <w:szCs w:val="16"/>
      </w:rPr>
      <w:fldChar w:fldCharType="end"/>
    </w:r>
  </w:p>
  <w:p w14:paraId="5902A188" w14:textId="77777777" w:rsidR="00FF2E5F" w:rsidRDefault="00FF2E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001AC" w14:textId="77777777" w:rsidR="00AC1DC1" w:rsidRDefault="00AC1DC1" w:rsidP="003B52FC"/>
  </w:footnote>
  <w:footnote w:type="continuationSeparator" w:id="0">
    <w:p w14:paraId="318499B3" w14:textId="77777777" w:rsidR="00AC1DC1" w:rsidRDefault="00AC1DC1" w:rsidP="003B52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8A002" w14:textId="77777777" w:rsidR="00D67441" w:rsidRDefault="00D674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2A17E" w14:textId="77777777" w:rsidR="00FF2E5F" w:rsidRPr="008A1645" w:rsidRDefault="008354A3" w:rsidP="008A1645">
    <w:pPr>
      <w:pStyle w:val="Header"/>
    </w:pPr>
    <w:r>
      <w:rPr>
        <w:noProof/>
        <w:lang w:eastAsia="en-AU"/>
      </w:rPr>
      <w:drawing>
        <wp:inline distT="0" distB="0" distL="0" distR="0" wp14:anchorId="5902A189" wp14:editId="5902A18A">
          <wp:extent cx="6907530" cy="432435"/>
          <wp:effectExtent l="0" t="0" r="7620" b="5715"/>
          <wp:docPr id="1" name="Picture 1" title="backgroun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7530" cy="432435"/>
                  </a:xfrm>
                  <a:prstGeom prst="rect">
                    <a:avLst/>
                  </a:prstGeom>
                  <a:noFill/>
                  <a:ln>
                    <a:noFill/>
                  </a:ln>
                </pic:spPr>
              </pic:pic>
            </a:graphicData>
          </a:graphic>
        </wp:inline>
      </w:drawing>
    </w:r>
  </w:p>
  <w:p w14:paraId="5902A17F" w14:textId="77777777" w:rsidR="00FF2E5F" w:rsidRDefault="00FF2E5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2A185" w14:textId="77777777" w:rsidR="00FF2E5F" w:rsidRDefault="008354A3" w:rsidP="00D95828">
    <w:pPr>
      <w:pStyle w:val="Header"/>
      <w:tabs>
        <w:tab w:val="clear" w:pos="4680"/>
        <w:tab w:val="clear" w:pos="9360"/>
        <w:tab w:val="left" w:pos="8102"/>
        <w:tab w:val="right" w:pos="9064"/>
      </w:tabs>
    </w:pPr>
    <w:r>
      <w:rPr>
        <w:noProof/>
        <w:lang w:eastAsia="en-AU"/>
      </w:rPr>
      <w:drawing>
        <wp:anchor distT="0" distB="0" distL="114300" distR="114300" simplePos="0" relativeHeight="251657728" behindDoc="1" locked="0" layoutInCell="1" allowOverlap="1" wp14:anchorId="5902A18B" wp14:editId="5902A18C">
          <wp:simplePos x="0" y="0"/>
          <wp:positionH relativeFrom="column">
            <wp:posOffset>-908050</wp:posOffset>
          </wp:positionH>
          <wp:positionV relativeFrom="paragraph">
            <wp:posOffset>-442595</wp:posOffset>
          </wp:positionV>
          <wp:extent cx="7560310" cy="1645285"/>
          <wp:effectExtent l="0" t="0" r="0" b="0"/>
          <wp:wrapNone/>
          <wp:docPr id="2" name="Picture 13" descr="g_server:WORK IN PROGRESS:14010 PM&amp;C Best Practice Regulation Report 2012-13:Word templates:cover.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g_server:WORK IN PROGRESS:14010 PM&amp;C Best Practice Regulation Report 2012-13:Word templates:cover.pdf"/>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60310" cy="1645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02A186" w14:textId="77777777" w:rsidR="00FF2E5F" w:rsidRDefault="00FF2E5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8EC9C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A186FB8E"/>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E3722D7E"/>
    <w:lvl w:ilvl="0">
      <w:start w:val="1"/>
      <w:numFmt w:val="bullet"/>
      <w:lvlText w:val=""/>
      <w:lvlJc w:val="left"/>
      <w:pPr>
        <w:ind w:left="360" w:hanging="360"/>
      </w:pPr>
      <w:rPr>
        <w:rFonts w:ascii="Symbol" w:hAnsi="Symbol" w:hint="default"/>
        <w:color w:val="14708E"/>
      </w:rPr>
    </w:lvl>
  </w:abstractNum>
  <w:abstractNum w:abstractNumId="3" w15:restartNumberingAfterBreak="0">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13048DF"/>
    <w:multiLevelType w:val="hybridMultilevel"/>
    <w:tmpl w:val="BD26DBF0"/>
    <w:lvl w:ilvl="0" w:tplc="8A9AC692">
      <w:numFmt w:val="bullet"/>
      <w:lvlText w:val="-"/>
      <w:lvlJc w:val="left"/>
      <w:pPr>
        <w:ind w:left="720" w:hanging="360"/>
      </w:pPr>
      <w:rPr>
        <w:rFonts w:ascii="Calibri" w:eastAsia="Cambria"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A8A0836"/>
    <w:multiLevelType w:val="hybridMultilevel"/>
    <w:tmpl w:val="7FF45B4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1B606A51"/>
    <w:multiLevelType w:val="hybridMultilevel"/>
    <w:tmpl w:val="AC1C627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DC83F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DA2EF1"/>
    <w:multiLevelType w:val="singleLevel"/>
    <w:tmpl w:val="DEA86906"/>
    <w:lvl w:ilvl="0">
      <w:start w:val="1"/>
      <w:numFmt w:val="bullet"/>
      <w:pStyle w:val="Tablebullets1stindent"/>
      <w:lvlText w:val=""/>
      <w:lvlJc w:val="left"/>
      <w:pPr>
        <w:ind w:left="644" w:hanging="360"/>
      </w:pPr>
      <w:rPr>
        <w:rFonts w:ascii="Symbol" w:hAnsi="Symbol" w:hint="default"/>
        <w:color w:val="F79646"/>
      </w:rPr>
    </w:lvl>
  </w:abstractNum>
  <w:abstractNum w:abstractNumId="14" w15:restartNumberingAfterBreak="0">
    <w:nsid w:val="22FF5B81"/>
    <w:multiLevelType w:val="hybridMultilevel"/>
    <w:tmpl w:val="FE70AC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340781B"/>
    <w:multiLevelType w:val="hybridMultilevel"/>
    <w:tmpl w:val="726AC41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94214C9"/>
    <w:multiLevelType w:val="multilevel"/>
    <w:tmpl w:val="47504E52"/>
    <w:styleLink w:val="Bullets"/>
    <w:lvl w:ilvl="0">
      <w:start w:val="1"/>
      <w:numFmt w:val="bullet"/>
      <w:lvlText w:val=""/>
      <w:lvlJc w:val="left"/>
      <w:pPr>
        <w:ind w:left="360" w:hanging="360"/>
      </w:pPr>
      <w:rPr>
        <w:rFonts w:ascii="Symbol" w:hAnsi="Symbol" w:hint="default"/>
        <w:color w:val="E36C0A"/>
      </w:rPr>
    </w:lvl>
    <w:lvl w:ilvl="1">
      <w:start w:val="1"/>
      <w:numFmt w:val="bullet"/>
      <w:lvlText w:val=""/>
      <w:lvlJc w:val="left"/>
      <w:pPr>
        <w:tabs>
          <w:tab w:val="num" w:pos="567"/>
        </w:tabs>
        <w:ind w:left="567" w:hanging="283"/>
      </w:pPr>
      <w:rPr>
        <w:rFonts w:ascii="Symbol" w:hAnsi="Symbol" w:hint="default"/>
        <w:color w:val="0D6F8B"/>
      </w:rPr>
    </w:lvl>
    <w:lvl w:ilvl="2">
      <w:start w:val="1"/>
      <w:numFmt w:val="bullet"/>
      <w:lvlText w:val="•"/>
      <w:lvlJc w:val="left"/>
      <w:pPr>
        <w:tabs>
          <w:tab w:val="num" w:pos="284"/>
        </w:tabs>
        <w:ind w:left="284" w:hanging="284"/>
      </w:pPr>
      <w:rPr>
        <w:rFonts w:ascii="Cambria" w:hAnsi="Cambria" w:hint="default"/>
        <w:color w:val="45C7ED"/>
      </w:rPr>
    </w:lvl>
    <w:lvl w:ilvl="3">
      <w:start w:val="1"/>
      <w:numFmt w:val="bullet"/>
      <w:lvlText w:val="•"/>
      <w:lvlJc w:val="left"/>
      <w:pPr>
        <w:tabs>
          <w:tab w:val="num" w:pos="567"/>
        </w:tabs>
        <w:ind w:left="567" w:hanging="283"/>
      </w:pPr>
      <w:rPr>
        <w:rFonts w:ascii="Cambria" w:hAnsi="Cambria" w:hint="default"/>
        <w:color w:val="45C7ED"/>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45C7ED"/>
      </w:rPr>
    </w:lvl>
    <w:lvl w:ilvl="6">
      <w:start w:val="1"/>
      <w:numFmt w:val="bullet"/>
      <w:lvlText w:val="•"/>
      <w:lvlJc w:val="left"/>
      <w:pPr>
        <w:tabs>
          <w:tab w:val="num" w:pos="437"/>
        </w:tabs>
        <w:ind w:left="437" w:hanging="171"/>
      </w:pPr>
      <w:rPr>
        <w:rFonts w:ascii="Cambria" w:hAnsi="Cambria" w:hint="default"/>
        <w:color w:val="45C7ED"/>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7" w15:restartNumberingAfterBreak="0">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9610248"/>
    <w:multiLevelType w:val="hybridMultilevel"/>
    <w:tmpl w:val="D2E0898C"/>
    <w:lvl w:ilvl="0" w:tplc="0E9A8272">
      <w:start w:val="1"/>
      <w:numFmt w:val="bullet"/>
      <w:pStyle w:val="ListBullet"/>
      <w:lvlText w:val=""/>
      <w:lvlJc w:val="left"/>
      <w:pPr>
        <w:ind w:left="360" w:hanging="360"/>
      </w:pPr>
      <w:rPr>
        <w:rFonts w:ascii="Symbol" w:hAnsi="Symbol" w:hint="default"/>
        <w:color w:val="F7964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F4DEC"/>
    <w:multiLevelType w:val="hybridMultilevel"/>
    <w:tmpl w:val="3794B07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75E1D6E"/>
    <w:multiLevelType w:val="multilevel"/>
    <w:tmpl w:val="D52A2368"/>
    <w:lvl w:ilvl="0">
      <w:start w:val="1"/>
      <w:numFmt w:val="bullet"/>
      <w:lvlText w:val="•"/>
      <w:lvlJc w:val="left"/>
      <w:pPr>
        <w:ind w:left="360" w:hanging="360"/>
      </w:pPr>
      <w:rPr>
        <w:rFonts w:ascii="Cambria" w:hAnsi="Cambria" w:hint="default"/>
        <w:color w:val="45C7ED"/>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22" w15:restartNumberingAfterBreak="0">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23" w15:restartNumberingAfterBreak="0">
    <w:nsid w:val="56647883"/>
    <w:multiLevelType w:val="hybridMultilevel"/>
    <w:tmpl w:val="E89E7C26"/>
    <w:lvl w:ilvl="0" w:tplc="925C5CF0">
      <w:start w:val="1"/>
      <w:numFmt w:val="bullet"/>
      <w:lvlText w:val=""/>
      <w:lvlJc w:val="left"/>
      <w:pPr>
        <w:tabs>
          <w:tab w:val="num" w:pos="720"/>
        </w:tabs>
        <w:ind w:left="720" w:hanging="360"/>
      </w:pPr>
      <w:rPr>
        <w:rFonts w:ascii="Symbol" w:hAnsi="Symbol" w:hint="default"/>
        <w:color w:val="auto"/>
      </w:rPr>
    </w:lvl>
    <w:lvl w:ilvl="1" w:tplc="1AEAF566">
      <w:start w:val="1"/>
      <w:numFmt w:val="bullet"/>
      <w:lvlText w:val="o"/>
      <w:lvlJc w:val="left"/>
      <w:pPr>
        <w:tabs>
          <w:tab w:val="num" w:pos="1440"/>
        </w:tabs>
        <w:ind w:left="1440" w:hanging="360"/>
      </w:pPr>
      <w:rPr>
        <w:rFonts w:ascii="Courier New" w:hAnsi="Courier New" w:cs="Courier New" w:hint="default"/>
        <w:color w:val="auto"/>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2FBCC594">
      <w:start w:val="1"/>
      <w:numFmt w:val="bullet"/>
      <w:lvlText w:val="-"/>
      <w:lvlJc w:val="left"/>
      <w:pPr>
        <w:ind w:left="3600" w:hanging="360"/>
      </w:pPr>
      <w:rPr>
        <w:rFonts w:ascii="Calibri" w:eastAsia="Calibri" w:hAnsi="Calibri" w:cs="Calibri"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E45D09"/>
    <w:multiLevelType w:val="hybridMultilevel"/>
    <w:tmpl w:val="14685D3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BC66B1B"/>
    <w:multiLevelType w:val="hybridMultilevel"/>
    <w:tmpl w:val="791E0EC8"/>
    <w:lvl w:ilvl="0" w:tplc="86CA608C">
      <w:start w:val="1"/>
      <w:numFmt w:val="bullet"/>
      <w:lvlText w:val=""/>
      <w:lvlJc w:val="left"/>
      <w:pPr>
        <w:ind w:left="360" w:hanging="360"/>
      </w:pPr>
      <w:rPr>
        <w:rFonts w:ascii="Symbol" w:hAnsi="Symbol" w:hint="default"/>
      </w:rPr>
    </w:lvl>
    <w:lvl w:ilvl="1" w:tplc="60702C44" w:tentative="1">
      <w:start w:val="1"/>
      <w:numFmt w:val="bullet"/>
      <w:lvlText w:val="o"/>
      <w:lvlJc w:val="left"/>
      <w:pPr>
        <w:ind w:left="1080" w:hanging="360"/>
      </w:pPr>
      <w:rPr>
        <w:rFonts w:ascii="Courier New" w:hAnsi="Courier New" w:cs="Courier New" w:hint="default"/>
      </w:rPr>
    </w:lvl>
    <w:lvl w:ilvl="2" w:tplc="AB44D55E" w:tentative="1">
      <w:start w:val="1"/>
      <w:numFmt w:val="bullet"/>
      <w:lvlText w:val=""/>
      <w:lvlJc w:val="left"/>
      <w:pPr>
        <w:ind w:left="1800" w:hanging="360"/>
      </w:pPr>
      <w:rPr>
        <w:rFonts w:ascii="Wingdings" w:hAnsi="Wingdings" w:hint="default"/>
      </w:rPr>
    </w:lvl>
    <w:lvl w:ilvl="3" w:tplc="27568406" w:tentative="1">
      <w:start w:val="1"/>
      <w:numFmt w:val="bullet"/>
      <w:lvlText w:val=""/>
      <w:lvlJc w:val="left"/>
      <w:pPr>
        <w:ind w:left="2520" w:hanging="360"/>
      </w:pPr>
      <w:rPr>
        <w:rFonts w:ascii="Symbol" w:hAnsi="Symbol" w:hint="default"/>
      </w:rPr>
    </w:lvl>
    <w:lvl w:ilvl="4" w:tplc="6A887900" w:tentative="1">
      <w:start w:val="1"/>
      <w:numFmt w:val="bullet"/>
      <w:lvlText w:val="o"/>
      <w:lvlJc w:val="left"/>
      <w:pPr>
        <w:ind w:left="3240" w:hanging="360"/>
      </w:pPr>
      <w:rPr>
        <w:rFonts w:ascii="Courier New" w:hAnsi="Courier New" w:cs="Courier New" w:hint="default"/>
      </w:rPr>
    </w:lvl>
    <w:lvl w:ilvl="5" w:tplc="5C56B852" w:tentative="1">
      <w:start w:val="1"/>
      <w:numFmt w:val="bullet"/>
      <w:lvlText w:val=""/>
      <w:lvlJc w:val="left"/>
      <w:pPr>
        <w:ind w:left="3960" w:hanging="360"/>
      </w:pPr>
      <w:rPr>
        <w:rFonts w:ascii="Wingdings" w:hAnsi="Wingdings" w:hint="default"/>
      </w:rPr>
    </w:lvl>
    <w:lvl w:ilvl="6" w:tplc="9A8675E4" w:tentative="1">
      <w:start w:val="1"/>
      <w:numFmt w:val="bullet"/>
      <w:lvlText w:val=""/>
      <w:lvlJc w:val="left"/>
      <w:pPr>
        <w:ind w:left="4680" w:hanging="360"/>
      </w:pPr>
      <w:rPr>
        <w:rFonts w:ascii="Symbol" w:hAnsi="Symbol" w:hint="default"/>
      </w:rPr>
    </w:lvl>
    <w:lvl w:ilvl="7" w:tplc="16CABE5E" w:tentative="1">
      <w:start w:val="1"/>
      <w:numFmt w:val="bullet"/>
      <w:lvlText w:val="o"/>
      <w:lvlJc w:val="left"/>
      <w:pPr>
        <w:ind w:left="5400" w:hanging="360"/>
      </w:pPr>
      <w:rPr>
        <w:rFonts w:ascii="Courier New" w:hAnsi="Courier New" w:cs="Courier New" w:hint="default"/>
      </w:rPr>
    </w:lvl>
    <w:lvl w:ilvl="8" w:tplc="A6F0BD08" w:tentative="1">
      <w:start w:val="1"/>
      <w:numFmt w:val="bullet"/>
      <w:lvlText w:val=""/>
      <w:lvlJc w:val="left"/>
      <w:pPr>
        <w:ind w:left="6120" w:hanging="360"/>
      </w:pPr>
      <w:rPr>
        <w:rFonts w:ascii="Wingdings" w:hAnsi="Wingdings" w:hint="default"/>
      </w:rPr>
    </w:lvl>
  </w:abstractNum>
  <w:abstractNum w:abstractNumId="26" w15:restartNumberingAfterBreak="0">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D11BEF"/>
    <w:multiLevelType w:val="hybridMultilevel"/>
    <w:tmpl w:val="A94C45EC"/>
    <w:lvl w:ilvl="0" w:tplc="0C090001">
      <w:start w:val="1"/>
      <w:numFmt w:val="decimal"/>
      <w:pStyle w:val="Chapternumber"/>
      <w:lvlText w:val="%1"/>
      <w:lvlJc w:val="left"/>
      <w:pPr>
        <w:ind w:left="36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28" w15:restartNumberingAfterBreak="0">
    <w:nsid w:val="74D55861"/>
    <w:multiLevelType w:val="hybridMultilevel"/>
    <w:tmpl w:val="103AECF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A561065"/>
    <w:multiLevelType w:val="hybridMultilevel"/>
    <w:tmpl w:val="52A279E6"/>
    <w:lvl w:ilvl="0" w:tplc="0C09000F">
      <w:start w:val="1"/>
      <w:numFmt w:val="decimal"/>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22"/>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21"/>
  </w:num>
  <w:num w:numId="3">
    <w:abstractNumId w:val="6"/>
  </w:num>
  <w:num w:numId="4">
    <w:abstractNumId w:val="22"/>
  </w:num>
  <w:num w:numId="5">
    <w:abstractNumId w:val="27"/>
  </w:num>
  <w:num w:numId="6">
    <w:abstractNumId w:val="16"/>
  </w:num>
  <w:num w:numId="7">
    <w:abstractNumId w:val="4"/>
  </w:num>
  <w:num w:numId="8">
    <w:abstractNumId w:val="26"/>
  </w:num>
  <w:num w:numId="9">
    <w:abstractNumId w:val="7"/>
  </w:num>
  <w:num w:numId="10">
    <w:abstractNumId w:val="18"/>
  </w:num>
  <w:num w:numId="11">
    <w:abstractNumId w:val="25"/>
  </w:num>
  <w:num w:numId="12">
    <w:abstractNumId w:val="3"/>
  </w:num>
  <w:num w:numId="13">
    <w:abstractNumId w:val="17"/>
  </w:num>
  <w:num w:numId="14">
    <w:abstractNumId w:val="10"/>
  </w:num>
  <w:num w:numId="15">
    <w:abstractNumId w:val="5"/>
  </w:num>
  <w:num w:numId="16">
    <w:abstractNumId w:val="9"/>
  </w:num>
  <w:num w:numId="17">
    <w:abstractNumId w:val="2"/>
  </w:num>
  <w:num w:numId="18">
    <w:abstractNumId w:val="1"/>
  </w:num>
  <w:num w:numId="19">
    <w:abstractNumId w:val="1"/>
    <w:lvlOverride w:ilvl="0">
      <w:startOverride w:val="1"/>
    </w:lvlOverride>
  </w:num>
  <w:num w:numId="20">
    <w:abstractNumId w:val="19"/>
  </w:num>
  <w:num w:numId="21">
    <w:abstractNumId w:val="13"/>
  </w:num>
  <w:num w:numId="22">
    <w:abstractNumId w:val="0"/>
  </w:num>
  <w:num w:numId="23">
    <w:abstractNumId w:val="12"/>
  </w:num>
  <w:num w:numId="24">
    <w:abstractNumId w:val="29"/>
    <w:lvlOverride w:ilvl="0">
      <w:startOverride w:val="1"/>
    </w:lvlOverride>
    <w:lvlOverride w:ilvl="1"/>
    <w:lvlOverride w:ilvl="2"/>
    <w:lvlOverride w:ilvl="3"/>
    <w:lvlOverride w:ilvl="4"/>
    <w:lvlOverride w:ilvl="5"/>
    <w:lvlOverride w:ilvl="6"/>
    <w:lvlOverride w:ilvl="7"/>
    <w:lvlOverride w:ilvl="8"/>
  </w:num>
  <w:num w:numId="25">
    <w:abstractNumId w:val="20"/>
  </w:num>
  <w:num w:numId="26">
    <w:abstractNumId w:val="28"/>
  </w:num>
  <w:num w:numId="27">
    <w:abstractNumId w:val="24"/>
  </w:num>
  <w:num w:numId="28">
    <w:abstractNumId w:val="11"/>
  </w:num>
  <w:num w:numId="29">
    <w:abstractNumId w:val="15"/>
  </w:num>
  <w:num w:numId="30">
    <w:abstractNumId w:val="8"/>
  </w:num>
  <w:num w:numId="31">
    <w:abstractNumId w:val="2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69D"/>
    <w:rsid w:val="0000078B"/>
    <w:rsid w:val="00000B58"/>
    <w:rsid w:val="000026D4"/>
    <w:rsid w:val="000041DC"/>
    <w:rsid w:val="000043FB"/>
    <w:rsid w:val="00010776"/>
    <w:rsid w:val="00010A13"/>
    <w:rsid w:val="00010B24"/>
    <w:rsid w:val="00011AD4"/>
    <w:rsid w:val="00012844"/>
    <w:rsid w:val="00013C05"/>
    <w:rsid w:val="00015A86"/>
    <w:rsid w:val="00016298"/>
    <w:rsid w:val="00016C3A"/>
    <w:rsid w:val="00024B2D"/>
    <w:rsid w:val="00025493"/>
    <w:rsid w:val="000272BD"/>
    <w:rsid w:val="00031F0C"/>
    <w:rsid w:val="00033027"/>
    <w:rsid w:val="00037010"/>
    <w:rsid w:val="000403F1"/>
    <w:rsid w:val="000418F6"/>
    <w:rsid w:val="000436AF"/>
    <w:rsid w:val="0004563F"/>
    <w:rsid w:val="00045B03"/>
    <w:rsid w:val="00045CD2"/>
    <w:rsid w:val="00051189"/>
    <w:rsid w:val="00051B61"/>
    <w:rsid w:val="0005314C"/>
    <w:rsid w:val="00053A38"/>
    <w:rsid w:val="00054556"/>
    <w:rsid w:val="00060262"/>
    <w:rsid w:val="000606A0"/>
    <w:rsid w:val="00061356"/>
    <w:rsid w:val="00061BF4"/>
    <w:rsid w:val="00061FA9"/>
    <w:rsid w:val="000646E5"/>
    <w:rsid w:val="0006541D"/>
    <w:rsid w:val="00066FF8"/>
    <w:rsid w:val="0007280F"/>
    <w:rsid w:val="0007453F"/>
    <w:rsid w:val="000749C5"/>
    <w:rsid w:val="00076BA6"/>
    <w:rsid w:val="000775EB"/>
    <w:rsid w:val="00081B37"/>
    <w:rsid w:val="000841B0"/>
    <w:rsid w:val="0008446F"/>
    <w:rsid w:val="000859C5"/>
    <w:rsid w:val="00086A4C"/>
    <w:rsid w:val="0009015D"/>
    <w:rsid w:val="0009057F"/>
    <w:rsid w:val="00090B8D"/>
    <w:rsid w:val="00092724"/>
    <w:rsid w:val="00095546"/>
    <w:rsid w:val="00096C17"/>
    <w:rsid w:val="00096C81"/>
    <w:rsid w:val="000972C5"/>
    <w:rsid w:val="0009792A"/>
    <w:rsid w:val="000A0882"/>
    <w:rsid w:val="000A698F"/>
    <w:rsid w:val="000B50AA"/>
    <w:rsid w:val="000B59D5"/>
    <w:rsid w:val="000B7D1D"/>
    <w:rsid w:val="000C1C0A"/>
    <w:rsid w:val="000C31DC"/>
    <w:rsid w:val="000C6452"/>
    <w:rsid w:val="000D280B"/>
    <w:rsid w:val="000D61F3"/>
    <w:rsid w:val="000D7181"/>
    <w:rsid w:val="000D7C88"/>
    <w:rsid w:val="000D7DBA"/>
    <w:rsid w:val="000E034A"/>
    <w:rsid w:val="000E0F1F"/>
    <w:rsid w:val="000E13A5"/>
    <w:rsid w:val="000E21F5"/>
    <w:rsid w:val="000E2F53"/>
    <w:rsid w:val="000E43D3"/>
    <w:rsid w:val="000E6DB5"/>
    <w:rsid w:val="000E7A72"/>
    <w:rsid w:val="000F2C5A"/>
    <w:rsid w:val="000F3017"/>
    <w:rsid w:val="000F7EB1"/>
    <w:rsid w:val="001003E0"/>
    <w:rsid w:val="00100507"/>
    <w:rsid w:val="00104826"/>
    <w:rsid w:val="00105C72"/>
    <w:rsid w:val="00105F30"/>
    <w:rsid w:val="001105DF"/>
    <w:rsid w:val="00113501"/>
    <w:rsid w:val="00116350"/>
    <w:rsid w:val="00120110"/>
    <w:rsid w:val="00120790"/>
    <w:rsid w:val="00120890"/>
    <w:rsid w:val="0012163E"/>
    <w:rsid w:val="00122594"/>
    <w:rsid w:val="00126C27"/>
    <w:rsid w:val="0013041D"/>
    <w:rsid w:val="00130ADC"/>
    <w:rsid w:val="00131257"/>
    <w:rsid w:val="00133DE8"/>
    <w:rsid w:val="001341D4"/>
    <w:rsid w:val="001345DB"/>
    <w:rsid w:val="00140218"/>
    <w:rsid w:val="001419BF"/>
    <w:rsid w:val="00146BB7"/>
    <w:rsid w:val="00152C6F"/>
    <w:rsid w:val="00153DC0"/>
    <w:rsid w:val="00155464"/>
    <w:rsid w:val="001629D4"/>
    <w:rsid w:val="0016375A"/>
    <w:rsid w:val="001645C3"/>
    <w:rsid w:val="00165AB5"/>
    <w:rsid w:val="0017225F"/>
    <w:rsid w:val="00180664"/>
    <w:rsid w:val="00180C7C"/>
    <w:rsid w:val="00180CA5"/>
    <w:rsid w:val="00182443"/>
    <w:rsid w:val="001829A0"/>
    <w:rsid w:val="001832F6"/>
    <w:rsid w:val="001836AF"/>
    <w:rsid w:val="0019230D"/>
    <w:rsid w:val="001934B1"/>
    <w:rsid w:val="001939C8"/>
    <w:rsid w:val="00196790"/>
    <w:rsid w:val="00197074"/>
    <w:rsid w:val="00197120"/>
    <w:rsid w:val="001A0954"/>
    <w:rsid w:val="001A1088"/>
    <w:rsid w:val="001A1F1E"/>
    <w:rsid w:val="001A2271"/>
    <w:rsid w:val="001B0475"/>
    <w:rsid w:val="001B7F64"/>
    <w:rsid w:val="001C0FC4"/>
    <w:rsid w:val="001C4768"/>
    <w:rsid w:val="001C4EBA"/>
    <w:rsid w:val="001C6412"/>
    <w:rsid w:val="001D329D"/>
    <w:rsid w:val="001D4A47"/>
    <w:rsid w:val="001D68E3"/>
    <w:rsid w:val="001E00FD"/>
    <w:rsid w:val="001E17AD"/>
    <w:rsid w:val="001E20A9"/>
    <w:rsid w:val="001E3D9A"/>
    <w:rsid w:val="001E516E"/>
    <w:rsid w:val="001E64F0"/>
    <w:rsid w:val="001E6EFB"/>
    <w:rsid w:val="001E77CD"/>
    <w:rsid w:val="001F13DC"/>
    <w:rsid w:val="001F1A00"/>
    <w:rsid w:val="001F23B0"/>
    <w:rsid w:val="001F392F"/>
    <w:rsid w:val="001F4914"/>
    <w:rsid w:val="001F4B5A"/>
    <w:rsid w:val="001F5A01"/>
    <w:rsid w:val="001F61AE"/>
    <w:rsid w:val="001F6FA9"/>
    <w:rsid w:val="00201922"/>
    <w:rsid w:val="00202058"/>
    <w:rsid w:val="00202AE0"/>
    <w:rsid w:val="002036A2"/>
    <w:rsid w:val="00207344"/>
    <w:rsid w:val="00207ADC"/>
    <w:rsid w:val="00207CA3"/>
    <w:rsid w:val="00213350"/>
    <w:rsid w:val="0021476E"/>
    <w:rsid w:val="00216C27"/>
    <w:rsid w:val="00220271"/>
    <w:rsid w:val="00224D47"/>
    <w:rsid w:val="00225559"/>
    <w:rsid w:val="00231669"/>
    <w:rsid w:val="00233957"/>
    <w:rsid w:val="00233EF2"/>
    <w:rsid w:val="00234BC8"/>
    <w:rsid w:val="00235A3A"/>
    <w:rsid w:val="00235FC7"/>
    <w:rsid w:val="002369C8"/>
    <w:rsid w:val="00237A7C"/>
    <w:rsid w:val="002406DF"/>
    <w:rsid w:val="00240BCD"/>
    <w:rsid w:val="00240CA9"/>
    <w:rsid w:val="002417FE"/>
    <w:rsid w:val="00246EE1"/>
    <w:rsid w:val="0024780E"/>
    <w:rsid w:val="00252FF5"/>
    <w:rsid w:val="00253BA3"/>
    <w:rsid w:val="00254E63"/>
    <w:rsid w:val="00257CEE"/>
    <w:rsid w:val="00261442"/>
    <w:rsid w:val="00266115"/>
    <w:rsid w:val="002674FC"/>
    <w:rsid w:val="0027084F"/>
    <w:rsid w:val="00273A38"/>
    <w:rsid w:val="00274B74"/>
    <w:rsid w:val="00276859"/>
    <w:rsid w:val="0027761E"/>
    <w:rsid w:val="00277808"/>
    <w:rsid w:val="00284D5E"/>
    <w:rsid w:val="002907DB"/>
    <w:rsid w:val="0029253C"/>
    <w:rsid w:val="00294D97"/>
    <w:rsid w:val="002969BD"/>
    <w:rsid w:val="00296DF2"/>
    <w:rsid w:val="002A1846"/>
    <w:rsid w:val="002A5A8C"/>
    <w:rsid w:val="002B1258"/>
    <w:rsid w:val="002B25F3"/>
    <w:rsid w:val="002B7919"/>
    <w:rsid w:val="002C2852"/>
    <w:rsid w:val="002C3FDC"/>
    <w:rsid w:val="002C717F"/>
    <w:rsid w:val="002C7624"/>
    <w:rsid w:val="002D0080"/>
    <w:rsid w:val="002D3885"/>
    <w:rsid w:val="002D3DAE"/>
    <w:rsid w:val="002D4A6C"/>
    <w:rsid w:val="002D536F"/>
    <w:rsid w:val="002D5FBA"/>
    <w:rsid w:val="002D6440"/>
    <w:rsid w:val="002D6A79"/>
    <w:rsid w:val="002D6ABC"/>
    <w:rsid w:val="002E020E"/>
    <w:rsid w:val="002E0C44"/>
    <w:rsid w:val="002E18E0"/>
    <w:rsid w:val="002E6351"/>
    <w:rsid w:val="002E6BF8"/>
    <w:rsid w:val="002F723B"/>
    <w:rsid w:val="00304E9B"/>
    <w:rsid w:val="00305D87"/>
    <w:rsid w:val="003110A7"/>
    <w:rsid w:val="003114F0"/>
    <w:rsid w:val="0031239E"/>
    <w:rsid w:val="00316D11"/>
    <w:rsid w:val="003205EC"/>
    <w:rsid w:val="00323103"/>
    <w:rsid w:val="00323F57"/>
    <w:rsid w:val="00323F95"/>
    <w:rsid w:val="0032750F"/>
    <w:rsid w:val="00327EFB"/>
    <w:rsid w:val="00330D57"/>
    <w:rsid w:val="00330DA3"/>
    <w:rsid w:val="003311B7"/>
    <w:rsid w:val="003321B1"/>
    <w:rsid w:val="0033625A"/>
    <w:rsid w:val="0034101C"/>
    <w:rsid w:val="003414F8"/>
    <w:rsid w:val="00344C5B"/>
    <w:rsid w:val="00345ADC"/>
    <w:rsid w:val="003526A9"/>
    <w:rsid w:val="0035281C"/>
    <w:rsid w:val="0035512F"/>
    <w:rsid w:val="0035610E"/>
    <w:rsid w:val="00357988"/>
    <w:rsid w:val="003605CA"/>
    <w:rsid w:val="003613EC"/>
    <w:rsid w:val="0036299D"/>
    <w:rsid w:val="003630E6"/>
    <w:rsid w:val="003643B3"/>
    <w:rsid w:val="00365614"/>
    <w:rsid w:val="00370955"/>
    <w:rsid w:val="00374D1C"/>
    <w:rsid w:val="00375B3E"/>
    <w:rsid w:val="00376B7A"/>
    <w:rsid w:val="003800CE"/>
    <w:rsid w:val="003810B5"/>
    <w:rsid w:val="00382729"/>
    <w:rsid w:val="003854A0"/>
    <w:rsid w:val="00386C17"/>
    <w:rsid w:val="00391837"/>
    <w:rsid w:val="00397016"/>
    <w:rsid w:val="003A2C90"/>
    <w:rsid w:val="003B1624"/>
    <w:rsid w:val="003B251F"/>
    <w:rsid w:val="003B52FC"/>
    <w:rsid w:val="003B757A"/>
    <w:rsid w:val="003B7C41"/>
    <w:rsid w:val="003C129B"/>
    <w:rsid w:val="003C223C"/>
    <w:rsid w:val="003C327A"/>
    <w:rsid w:val="003D11C0"/>
    <w:rsid w:val="003D2153"/>
    <w:rsid w:val="003D40D2"/>
    <w:rsid w:val="003E190D"/>
    <w:rsid w:val="003E4241"/>
    <w:rsid w:val="003E551D"/>
    <w:rsid w:val="003E5DAB"/>
    <w:rsid w:val="003F1373"/>
    <w:rsid w:val="003F266A"/>
    <w:rsid w:val="003F4868"/>
    <w:rsid w:val="003F54D5"/>
    <w:rsid w:val="003F6264"/>
    <w:rsid w:val="003F7B06"/>
    <w:rsid w:val="00400EE4"/>
    <w:rsid w:val="004013EA"/>
    <w:rsid w:val="004015C2"/>
    <w:rsid w:val="00401FA2"/>
    <w:rsid w:val="0040260B"/>
    <w:rsid w:val="00403EA9"/>
    <w:rsid w:val="00406326"/>
    <w:rsid w:val="00410120"/>
    <w:rsid w:val="004111F8"/>
    <w:rsid w:val="004118C1"/>
    <w:rsid w:val="004139EE"/>
    <w:rsid w:val="004159B7"/>
    <w:rsid w:val="00416416"/>
    <w:rsid w:val="00416BE5"/>
    <w:rsid w:val="004210FB"/>
    <w:rsid w:val="00426032"/>
    <w:rsid w:val="0043041B"/>
    <w:rsid w:val="0043723B"/>
    <w:rsid w:val="00437291"/>
    <w:rsid w:val="00442044"/>
    <w:rsid w:val="0044302F"/>
    <w:rsid w:val="00447D68"/>
    <w:rsid w:val="0045585F"/>
    <w:rsid w:val="00455E56"/>
    <w:rsid w:val="00456BF3"/>
    <w:rsid w:val="00461C06"/>
    <w:rsid w:val="00463FF8"/>
    <w:rsid w:val="00470688"/>
    <w:rsid w:val="004719A3"/>
    <w:rsid w:val="00474E81"/>
    <w:rsid w:val="004758DC"/>
    <w:rsid w:val="00476FA2"/>
    <w:rsid w:val="00477EDF"/>
    <w:rsid w:val="00482C62"/>
    <w:rsid w:val="0048329A"/>
    <w:rsid w:val="00483424"/>
    <w:rsid w:val="00487FCC"/>
    <w:rsid w:val="00491485"/>
    <w:rsid w:val="00491FE6"/>
    <w:rsid w:val="00495364"/>
    <w:rsid w:val="0049722F"/>
    <w:rsid w:val="00497236"/>
    <w:rsid w:val="004A013F"/>
    <w:rsid w:val="004A0A15"/>
    <w:rsid w:val="004A14A1"/>
    <w:rsid w:val="004A1719"/>
    <w:rsid w:val="004A4079"/>
    <w:rsid w:val="004A5BE6"/>
    <w:rsid w:val="004A67C3"/>
    <w:rsid w:val="004A7986"/>
    <w:rsid w:val="004B1948"/>
    <w:rsid w:val="004B23CE"/>
    <w:rsid w:val="004B315B"/>
    <w:rsid w:val="004C0613"/>
    <w:rsid w:val="004C069D"/>
    <w:rsid w:val="004C0FAF"/>
    <w:rsid w:val="004C32A5"/>
    <w:rsid w:val="004C3CBF"/>
    <w:rsid w:val="004C3DBE"/>
    <w:rsid w:val="004C6614"/>
    <w:rsid w:val="004D1F64"/>
    <w:rsid w:val="004D6730"/>
    <w:rsid w:val="004D71E4"/>
    <w:rsid w:val="004E0CD3"/>
    <w:rsid w:val="004E3B3C"/>
    <w:rsid w:val="004E3FFE"/>
    <w:rsid w:val="004E5727"/>
    <w:rsid w:val="004E6B98"/>
    <w:rsid w:val="004F5076"/>
    <w:rsid w:val="004F600A"/>
    <w:rsid w:val="004F6078"/>
    <w:rsid w:val="004F7C8F"/>
    <w:rsid w:val="00500F93"/>
    <w:rsid w:val="00503017"/>
    <w:rsid w:val="005048D7"/>
    <w:rsid w:val="00506984"/>
    <w:rsid w:val="00512DDE"/>
    <w:rsid w:val="00514270"/>
    <w:rsid w:val="00514CEB"/>
    <w:rsid w:val="0051695E"/>
    <w:rsid w:val="005215ED"/>
    <w:rsid w:val="00522005"/>
    <w:rsid w:val="0052236E"/>
    <w:rsid w:val="00525305"/>
    <w:rsid w:val="005259DA"/>
    <w:rsid w:val="00530827"/>
    <w:rsid w:val="005311DB"/>
    <w:rsid w:val="00534ADF"/>
    <w:rsid w:val="0054233A"/>
    <w:rsid w:val="005428F4"/>
    <w:rsid w:val="00547072"/>
    <w:rsid w:val="005537F7"/>
    <w:rsid w:val="0055427A"/>
    <w:rsid w:val="0055567A"/>
    <w:rsid w:val="0055594E"/>
    <w:rsid w:val="00557FB5"/>
    <w:rsid w:val="00560F00"/>
    <w:rsid w:val="0056568D"/>
    <w:rsid w:val="00567DC8"/>
    <w:rsid w:val="005765A5"/>
    <w:rsid w:val="005853B8"/>
    <w:rsid w:val="00586DF3"/>
    <w:rsid w:val="005879AC"/>
    <w:rsid w:val="00590336"/>
    <w:rsid w:val="00590E37"/>
    <w:rsid w:val="0059121A"/>
    <w:rsid w:val="00593F8F"/>
    <w:rsid w:val="00594E23"/>
    <w:rsid w:val="00595649"/>
    <w:rsid w:val="00596053"/>
    <w:rsid w:val="005A0B0B"/>
    <w:rsid w:val="005A2269"/>
    <w:rsid w:val="005A3507"/>
    <w:rsid w:val="005A382A"/>
    <w:rsid w:val="005A436D"/>
    <w:rsid w:val="005A6507"/>
    <w:rsid w:val="005B1403"/>
    <w:rsid w:val="005B2D21"/>
    <w:rsid w:val="005B4C95"/>
    <w:rsid w:val="005B56D9"/>
    <w:rsid w:val="005B69AF"/>
    <w:rsid w:val="005B6C38"/>
    <w:rsid w:val="005B7A3E"/>
    <w:rsid w:val="005C3DBB"/>
    <w:rsid w:val="005C5F75"/>
    <w:rsid w:val="005C661F"/>
    <w:rsid w:val="005D0496"/>
    <w:rsid w:val="005D12B7"/>
    <w:rsid w:val="005D1DA9"/>
    <w:rsid w:val="005D2AAF"/>
    <w:rsid w:val="005D2CB4"/>
    <w:rsid w:val="005D5B5F"/>
    <w:rsid w:val="005E0C11"/>
    <w:rsid w:val="005E3E81"/>
    <w:rsid w:val="005E7BA0"/>
    <w:rsid w:val="005F00A1"/>
    <w:rsid w:val="005F4220"/>
    <w:rsid w:val="006015D2"/>
    <w:rsid w:val="00602AAE"/>
    <w:rsid w:val="00607F7F"/>
    <w:rsid w:val="0061026F"/>
    <w:rsid w:val="00610A55"/>
    <w:rsid w:val="00610C52"/>
    <w:rsid w:val="006117E5"/>
    <w:rsid w:val="00612226"/>
    <w:rsid w:val="00625BC0"/>
    <w:rsid w:val="00627AA6"/>
    <w:rsid w:val="00631829"/>
    <w:rsid w:val="00633565"/>
    <w:rsid w:val="00634BF8"/>
    <w:rsid w:val="00636CF8"/>
    <w:rsid w:val="006407B1"/>
    <w:rsid w:val="0064113A"/>
    <w:rsid w:val="0064310D"/>
    <w:rsid w:val="00644C4A"/>
    <w:rsid w:val="006456F6"/>
    <w:rsid w:val="00651E39"/>
    <w:rsid w:val="00651F5B"/>
    <w:rsid w:val="006525E5"/>
    <w:rsid w:val="00660901"/>
    <w:rsid w:val="00660D25"/>
    <w:rsid w:val="00662539"/>
    <w:rsid w:val="00662E15"/>
    <w:rsid w:val="00663BBE"/>
    <w:rsid w:val="00664159"/>
    <w:rsid w:val="00665043"/>
    <w:rsid w:val="00666740"/>
    <w:rsid w:val="006669E1"/>
    <w:rsid w:val="00666EBD"/>
    <w:rsid w:val="0067086D"/>
    <w:rsid w:val="006730CC"/>
    <w:rsid w:val="006754E5"/>
    <w:rsid w:val="00675A7C"/>
    <w:rsid w:val="00676B64"/>
    <w:rsid w:val="006778B3"/>
    <w:rsid w:val="006838CA"/>
    <w:rsid w:val="00683A75"/>
    <w:rsid w:val="0068611B"/>
    <w:rsid w:val="00686906"/>
    <w:rsid w:val="00691804"/>
    <w:rsid w:val="0069262A"/>
    <w:rsid w:val="00695E2D"/>
    <w:rsid w:val="0069664C"/>
    <w:rsid w:val="00697214"/>
    <w:rsid w:val="006A155A"/>
    <w:rsid w:val="006A4CEC"/>
    <w:rsid w:val="006A63F0"/>
    <w:rsid w:val="006B21FC"/>
    <w:rsid w:val="006B357E"/>
    <w:rsid w:val="006C0AC1"/>
    <w:rsid w:val="006C4428"/>
    <w:rsid w:val="006C51DC"/>
    <w:rsid w:val="006C7702"/>
    <w:rsid w:val="006C78EC"/>
    <w:rsid w:val="006D44CE"/>
    <w:rsid w:val="006D475A"/>
    <w:rsid w:val="006D488C"/>
    <w:rsid w:val="006D71A1"/>
    <w:rsid w:val="006E5710"/>
    <w:rsid w:val="006E5E79"/>
    <w:rsid w:val="006E6C23"/>
    <w:rsid w:val="006E76AF"/>
    <w:rsid w:val="006F73A7"/>
    <w:rsid w:val="00700BDE"/>
    <w:rsid w:val="00702109"/>
    <w:rsid w:val="00707C33"/>
    <w:rsid w:val="00710887"/>
    <w:rsid w:val="00715A60"/>
    <w:rsid w:val="0071646F"/>
    <w:rsid w:val="00723AD9"/>
    <w:rsid w:val="00726034"/>
    <w:rsid w:val="00730ADC"/>
    <w:rsid w:val="007319E6"/>
    <w:rsid w:val="00732A67"/>
    <w:rsid w:val="0073722C"/>
    <w:rsid w:val="00737379"/>
    <w:rsid w:val="007379F6"/>
    <w:rsid w:val="00740E86"/>
    <w:rsid w:val="007441EB"/>
    <w:rsid w:val="007444B5"/>
    <w:rsid w:val="00747569"/>
    <w:rsid w:val="00754AA5"/>
    <w:rsid w:val="00754FDB"/>
    <w:rsid w:val="00755EB9"/>
    <w:rsid w:val="0076359F"/>
    <w:rsid w:val="00765EE9"/>
    <w:rsid w:val="00766493"/>
    <w:rsid w:val="00771307"/>
    <w:rsid w:val="00771702"/>
    <w:rsid w:val="0077242B"/>
    <w:rsid w:val="0077323B"/>
    <w:rsid w:val="00773270"/>
    <w:rsid w:val="007732FF"/>
    <w:rsid w:val="00774947"/>
    <w:rsid w:val="00774A1E"/>
    <w:rsid w:val="007762E9"/>
    <w:rsid w:val="00777443"/>
    <w:rsid w:val="00782507"/>
    <w:rsid w:val="00782541"/>
    <w:rsid w:val="007856FD"/>
    <w:rsid w:val="0078713A"/>
    <w:rsid w:val="00790177"/>
    <w:rsid w:val="007903EE"/>
    <w:rsid w:val="00791A03"/>
    <w:rsid w:val="007940BD"/>
    <w:rsid w:val="00794B22"/>
    <w:rsid w:val="007951B4"/>
    <w:rsid w:val="007976F4"/>
    <w:rsid w:val="007978A4"/>
    <w:rsid w:val="007A0ACF"/>
    <w:rsid w:val="007A5B84"/>
    <w:rsid w:val="007A6E3F"/>
    <w:rsid w:val="007B21FA"/>
    <w:rsid w:val="007B3914"/>
    <w:rsid w:val="007B5BC0"/>
    <w:rsid w:val="007B70F0"/>
    <w:rsid w:val="007C2E37"/>
    <w:rsid w:val="007C5163"/>
    <w:rsid w:val="007D0793"/>
    <w:rsid w:val="007D27CE"/>
    <w:rsid w:val="007D5092"/>
    <w:rsid w:val="007D6616"/>
    <w:rsid w:val="007E4012"/>
    <w:rsid w:val="007E47F7"/>
    <w:rsid w:val="007E498E"/>
    <w:rsid w:val="007E5F7C"/>
    <w:rsid w:val="007E7D8B"/>
    <w:rsid w:val="007F08B9"/>
    <w:rsid w:val="007F1B3E"/>
    <w:rsid w:val="007F2F40"/>
    <w:rsid w:val="007F772D"/>
    <w:rsid w:val="00802326"/>
    <w:rsid w:val="00804031"/>
    <w:rsid w:val="008055B0"/>
    <w:rsid w:val="00807A9A"/>
    <w:rsid w:val="008157E3"/>
    <w:rsid w:val="008222F1"/>
    <w:rsid w:val="0082240B"/>
    <w:rsid w:val="008227B5"/>
    <w:rsid w:val="0082408D"/>
    <w:rsid w:val="0083007F"/>
    <w:rsid w:val="0083079C"/>
    <w:rsid w:val="00831131"/>
    <w:rsid w:val="008313E2"/>
    <w:rsid w:val="00832653"/>
    <w:rsid w:val="0083366A"/>
    <w:rsid w:val="008354A3"/>
    <w:rsid w:val="00835A93"/>
    <w:rsid w:val="00840C76"/>
    <w:rsid w:val="00842929"/>
    <w:rsid w:val="00843EF8"/>
    <w:rsid w:val="00847DA7"/>
    <w:rsid w:val="00847F40"/>
    <w:rsid w:val="008509E6"/>
    <w:rsid w:val="0085179F"/>
    <w:rsid w:val="00851B40"/>
    <w:rsid w:val="008529A3"/>
    <w:rsid w:val="00852BCA"/>
    <w:rsid w:val="008536BF"/>
    <w:rsid w:val="008541FA"/>
    <w:rsid w:val="00861C26"/>
    <w:rsid w:val="00864F59"/>
    <w:rsid w:val="00870F2A"/>
    <w:rsid w:val="008722A2"/>
    <w:rsid w:val="008764D6"/>
    <w:rsid w:val="00876C83"/>
    <w:rsid w:val="0087768A"/>
    <w:rsid w:val="00877D62"/>
    <w:rsid w:val="008803AA"/>
    <w:rsid w:val="00882B0C"/>
    <w:rsid w:val="00882B2F"/>
    <w:rsid w:val="00886AA9"/>
    <w:rsid w:val="0088765D"/>
    <w:rsid w:val="008904F6"/>
    <w:rsid w:val="00894A00"/>
    <w:rsid w:val="00894C65"/>
    <w:rsid w:val="008A13AE"/>
    <w:rsid w:val="008A1645"/>
    <w:rsid w:val="008A4363"/>
    <w:rsid w:val="008A68FD"/>
    <w:rsid w:val="008B2F2F"/>
    <w:rsid w:val="008B4A40"/>
    <w:rsid w:val="008B4CB7"/>
    <w:rsid w:val="008B6A92"/>
    <w:rsid w:val="008B6C63"/>
    <w:rsid w:val="008C0B32"/>
    <w:rsid w:val="008C1AD6"/>
    <w:rsid w:val="008C27BB"/>
    <w:rsid w:val="008C34BB"/>
    <w:rsid w:val="008C4568"/>
    <w:rsid w:val="008C685D"/>
    <w:rsid w:val="008C7C72"/>
    <w:rsid w:val="008D0950"/>
    <w:rsid w:val="008D0AE0"/>
    <w:rsid w:val="008D1C9A"/>
    <w:rsid w:val="008D2D0E"/>
    <w:rsid w:val="008E2C63"/>
    <w:rsid w:val="008E2E87"/>
    <w:rsid w:val="008E52E0"/>
    <w:rsid w:val="008F07DF"/>
    <w:rsid w:val="008F1C8A"/>
    <w:rsid w:val="008F1EE5"/>
    <w:rsid w:val="008F471E"/>
    <w:rsid w:val="008F6E9B"/>
    <w:rsid w:val="00901524"/>
    <w:rsid w:val="00901C54"/>
    <w:rsid w:val="00902394"/>
    <w:rsid w:val="0090622C"/>
    <w:rsid w:val="00906296"/>
    <w:rsid w:val="00906F9A"/>
    <w:rsid w:val="00907C3D"/>
    <w:rsid w:val="00912B43"/>
    <w:rsid w:val="00913F09"/>
    <w:rsid w:val="00914DBD"/>
    <w:rsid w:val="0092079F"/>
    <w:rsid w:val="00920929"/>
    <w:rsid w:val="00922654"/>
    <w:rsid w:val="00922AA3"/>
    <w:rsid w:val="00926613"/>
    <w:rsid w:val="00927FF3"/>
    <w:rsid w:val="00932CA4"/>
    <w:rsid w:val="00932CC6"/>
    <w:rsid w:val="0093558A"/>
    <w:rsid w:val="00937EAD"/>
    <w:rsid w:val="00940B87"/>
    <w:rsid w:val="00940CD3"/>
    <w:rsid w:val="00941A58"/>
    <w:rsid w:val="00952392"/>
    <w:rsid w:val="0095262B"/>
    <w:rsid w:val="00953531"/>
    <w:rsid w:val="00954309"/>
    <w:rsid w:val="00954EF7"/>
    <w:rsid w:val="009603E0"/>
    <w:rsid w:val="00960DD9"/>
    <w:rsid w:val="00961382"/>
    <w:rsid w:val="00962549"/>
    <w:rsid w:val="00963A77"/>
    <w:rsid w:val="0097078B"/>
    <w:rsid w:val="0098052A"/>
    <w:rsid w:val="009818C3"/>
    <w:rsid w:val="00983CD1"/>
    <w:rsid w:val="0098778C"/>
    <w:rsid w:val="0099073D"/>
    <w:rsid w:val="009913D5"/>
    <w:rsid w:val="00991B37"/>
    <w:rsid w:val="0099223F"/>
    <w:rsid w:val="00994C3B"/>
    <w:rsid w:val="00995253"/>
    <w:rsid w:val="00995D62"/>
    <w:rsid w:val="009A4A5D"/>
    <w:rsid w:val="009A5791"/>
    <w:rsid w:val="009A70D7"/>
    <w:rsid w:val="009B300F"/>
    <w:rsid w:val="009B3518"/>
    <w:rsid w:val="009B5647"/>
    <w:rsid w:val="009B72AB"/>
    <w:rsid w:val="009C2DA8"/>
    <w:rsid w:val="009C3B41"/>
    <w:rsid w:val="009C41A4"/>
    <w:rsid w:val="009C5A83"/>
    <w:rsid w:val="009C7AB7"/>
    <w:rsid w:val="009C7CCA"/>
    <w:rsid w:val="009D19E6"/>
    <w:rsid w:val="009E1B78"/>
    <w:rsid w:val="009E1F00"/>
    <w:rsid w:val="009E250E"/>
    <w:rsid w:val="009E5C20"/>
    <w:rsid w:val="009F138C"/>
    <w:rsid w:val="009F1C2B"/>
    <w:rsid w:val="009F1E01"/>
    <w:rsid w:val="009F4E6D"/>
    <w:rsid w:val="009F7FCC"/>
    <w:rsid w:val="00A00446"/>
    <w:rsid w:val="00A00720"/>
    <w:rsid w:val="00A010B2"/>
    <w:rsid w:val="00A02945"/>
    <w:rsid w:val="00A02998"/>
    <w:rsid w:val="00A0384C"/>
    <w:rsid w:val="00A057F1"/>
    <w:rsid w:val="00A05CF6"/>
    <w:rsid w:val="00A06413"/>
    <w:rsid w:val="00A06FBD"/>
    <w:rsid w:val="00A10916"/>
    <w:rsid w:val="00A12EAE"/>
    <w:rsid w:val="00A15712"/>
    <w:rsid w:val="00A15975"/>
    <w:rsid w:val="00A16728"/>
    <w:rsid w:val="00A167C9"/>
    <w:rsid w:val="00A20048"/>
    <w:rsid w:val="00A225CD"/>
    <w:rsid w:val="00A2401E"/>
    <w:rsid w:val="00A315FD"/>
    <w:rsid w:val="00A33D5D"/>
    <w:rsid w:val="00A36135"/>
    <w:rsid w:val="00A373F3"/>
    <w:rsid w:val="00A404A1"/>
    <w:rsid w:val="00A44A06"/>
    <w:rsid w:val="00A46055"/>
    <w:rsid w:val="00A56F92"/>
    <w:rsid w:val="00A57716"/>
    <w:rsid w:val="00A60407"/>
    <w:rsid w:val="00A614F0"/>
    <w:rsid w:val="00A676BC"/>
    <w:rsid w:val="00A67D5B"/>
    <w:rsid w:val="00A70104"/>
    <w:rsid w:val="00A70387"/>
    <w:rsid w:val="00A71BCB"/>
    <w:rsid w:val="00A772E4"/>
    <w:rsid w:val="00A77B8F"/>
    <w:rsid w:val="00A83A24"/>
    <w:rsid w:val="00A86644"/>
    <w:rsid w:val="00A8741C"/>
    <w:rsid w:val="00A91B7E"/>
    <w:rsid w:val="00A94D5E"/>
    <w:rsid w:val="00AA416C"/>
    <w:rsid w:val="00AA7546"/>
    <w:rsid w:val="00AA7F70"/>
    <w:rsid w:val="00AB008D"/>
    <w:rsid w:val="00AB143D"/>
    <w:rsid w:val="00AB37DE"/>
    <w:rsid w:val="00AB462B"/>
    <w:rsid w:val="00AC1DC1"/>
    <w:rsid w:val="00AC212D"/>
    <w:rsid w:val="00AC2262"/>
    <w:rsid w:val="00AC3070"/>
    <w:rsid w:val="00AD0B0A"/>
    <w:rsid w:val="00AD2A77"/>
    <w:rsid w:val="00AD3469"/>
    <w:rsid w:val="00AD68CD"/>
    <w:rsid w:val="00AD78F6"/>
    <w:rsid w:val="00AE2762"/>
    <w:rsid w:val="00AE2B03"/>
    <w:rsid w:val="00AE4984"/>
    <w:rsid w:val="00AE6B19"/>
    <w:rsid w:val="00AF3703"/>
    <w:rsid w:val="00AF6F6A"/>
    <w:rsid w:val="00B029BF"/>
    <w:rsid w:val="00B02AAE"/>
    <w:rsid w:val="00B034F6"/>
    <w:rsid w:val="00B04BAC"/>
    <w:rsid w:val="00B04D91"/>
    <w:rsid w:val="00B04F2E"/>
    <w:rsid w:val="00B04FBF"/>
    <w:rsid w:val="00B05677"/>
    <w:rsid w:val="00B05F21"/>
    <w:rsid w:val="00B11362"/>
    <w:rsid w:val="00B1278D"/>
    <w:rsid w:val="00B12A7C"/>
    <w:rsid w:val="00B12BB7"/>
    <w:rsid w:val="00B12E83"/>
    <w:rsid w:val="00B13032"/>
    <w:rsid w:val="00B13810"/>
    <w:rsid w:val="00B14DF9"/>
    <w:rsid w:val="00B1679F"/>
    <w:rsid w:val="00B20104"/>
    <w:rsid w:val="00B2162F"/>
    <w:rsid w:val="00B22016"/>
    <w:rsid w:val="00B22550"/>
    <w:rsid w:val="00B22DD2"/>
    <w:rsid w:val="00B24087"/>
    <w:rsid w:val="00B27B3B"/>
    <w:rsid w:val="00B32B36"/>
    <w:rsid w:val="00B33496"/>
    <w:rsid w:val="00B337F8"/>
    <w:rsid w:val="00B350E4"/>
    <w:rsid w:val="00B355F7"/>
    <w:rsid w:val="00B35B37"/>
    <w:rsid w:val="00B37FEB"/>
    <w:rsid w:val="00B40FF9"/>
    <w:rsid w:val="00B428BE"/>
    <w:rsid w:val="00B42E5D"/>
    <w:rsid w:val="00B451BB"/>
    <w:rsid w:val="00B47B38"/>
    <w:rsid w:val="00B50E6C"/>
    <w:rsid w:val="00B5193C"/>
    <w:rsid w:val="00B52E93"/>
    <w:rsid w:val="00B540C9"/>
    <w:rsid w:val="00B56367"/>
    <w:rsid w:val="00B56E6B"/>
    <w:rsid w:val="00B61935"/>
    <w:rsid w:val="00B6310B"/>
    <w:rsid w:val="00B6321F"/>
    <w:rsid w:val="00B66783"/>
    <w:rsid w:val="00B70875"/>
    <w:rsid w:val="00B754BA"/>
    <w:rsid w:val="00B7624B"/>
    <w:rsid w:val="00B76938"/>
    <w:rsid w:val="00B80B49"/>
    <w:rsid w:val="00B80EFF"/>
    <w:rsid w:val="00B83964"/>
    <w:rsid w:val="00B847C6"/>
    <w:rsid w:val="00B92307"/>
    <w:rsid w:val="00B93FD0"/>
    <w:rsid w:val="00B97C98"/>
    <w:rsid w:val="00BA08F5"/>
    <w:rsid w:val="00BA2562"/>
    <w:rsid w:val="00BA4955"/>
    <w:rsid w:val="00BA4A2A"/>
    <w:rsid w:val="00BA4F64"/>
    <w:rsid w:val="00BB2D37"/>
    <w:rsid w:val="00BC0477"/>
    <w:rsid w:val="00BC2C81"/>
    <w:rsid w:val="00BC61EE"/>
    <w:rsid w:val="00BC6AC9"/>
    <w:rsid w:val="00BD0864"/>
    <w:rsid w:val="00BD1A56"/>
    <w:rsid w:val="00BD517E"/>
    <w:rsid w:val="00BD5751"/>
    <w:rsid w:val="00BE32DC"/>
    <w:rsid w:val="00BF167D"/>
    <w:rsid w:val="00BF1BE1"/>
    <w:rsid w:val="00BF2B01"/>
    <w:rsid w:val="00BF4359"/>
    <w:rsid w:val="00BF6A79"/>
    <w:rsid w:val="00C00077"/>
    <w:rsid w:val="00C02075"/>
    <w:rsid w:val="00C11447"/>
    <w:rsid w:val="00C1271B"/>
    <w:rsid w:val="00C14ECB"/>
    <w:rsid w:val="00C16BFB"/>
    <w:rsid w:val="00C16E5D"/>
    <w:rsid w:val="00C206AF"/>
    <w:rsid w:val="00C210D2"/>
    <w:rsid w:val="00C24B38"/>
    <w:rsid w:val="00C24D9A"/>
    <w:rsid w:val="00C30E67"/>
    <w:rsid w:val="00C32097"/>
    <w:rsid w:val="00C34BCA"/>
    <w:rsid w:val="00C34EF7"/>
    <w:rsid w:val="00C34F57"/>
    <w:rsid w:val="00C35D43"/>
    <w:rsid w:val="00C361E4"/>
    <w:rsid w:val="00C40D38"/>
    <w:rsid w:val="00C41D9F"/>
    <w:rsid w:val="00C441EE"/>
    <w:rsid w:val="00C45CF7"/>
    <w:rsid w:val="00C463B6"/>
    <w:rsid w:val="00C540FF"/>
    <w:rsid w:val="00C55D88"/>
    <w:rsid w:val="00C5697F"/>
    <w:rsid w:val="00C63BF4"/>
    <w:rsid w:val="00C66832"/>
    <w:rsid w:val="00C744D8"/>
    <w:rsid w:val="00C747EA"/>
    <w:rsid w:val="00C7792A"/>
    <w:rsid w:val="00C813AA"/>
    <w:rsid w:val="00C82389"/>
    <w:rsid w:val="00C86A41"/>
    <w:rsid w:val="00C90030"/>
    <w:rsid w:val="00C902F8"/>
    <w:rsid w:val="00C9108D"/>
    <w:rsid w:val="00C94DB3"/>
    <w:rsid w:val="00C97C9B"/>
    <w:rsid w:val="00CA2837"/>
    <w:rsid w:val="00CA3410"/>
    <w:rsid w:val="00CA6611"/>
    <w:rsid w:val="00CB00CA"/>
    <w:rsid w:val="00CB1E69"/>
    <w:rsid w:val="00CB1EE6"/>
    <w:rsid w:val="00CB51B5"/>
    <w:rsid w:val="00CB5A0C"/>
    <w:rsid w:val="00CB601E"/>
    <w:rsid w:val="00CB7154"/>
    <w:rsid w:val="00CB7F0E"/>
    <w:rsid w:val="00CC0D3D"/>
    <w:rsid w:val="00CC29D1"/>
    <w:rsid w:val="00CC43FC"/>
    <w:rsid w:val="00CC5C94"/>
    <w:rsid w:val="00CC5F24"/>
    <w:rsid w:val="00CC627C"/>
    <w:rsid w:val="00CD04D9"/>
    <w:rsid w:val="00CD2064"/>
    <w:rsid w:val="00CD2C21"/>
    <w:rsid w:val="00CE38E8"/>
    <w:rsid w:val="00CE458E"/>
    <w:rsid w:val="00CE5D60"/>
    <w:rsid w:val="00CE5DBD"/>
    <w:rsid w:val="00CE5EB6"/>
    <w:rsid w:val="00CE6BCB"/>
    <w:rsid w:val="00CF0B09"/>
    <w:rsid w:val="00CF2938"/>
    <w:rsid w:val="00CF3E5C"/>
    <w:rsid w:val="00CF41CB"/>
    <w:rsid w:val="00CF70E3"/>
    <w:rsid w:val="00D0160D"/>
    <w:rsid w:val="00D01CF3"/>
    <w:rsid w:val="00D01EA2"/>
    <w:rsid w:val="00D0298F"/>
    <w:rsid w:val="00D02F7E"/>
    <w:rsid w:val="00D044F4"/>
    <w:rsid w:val="00D05DE7"/>
    <w:rsid w:val="00D10B0F"/>
    <w:rsid w:val="00D11024"/>
    <w:rsid w:val="00D14356"/>
    <w:rsid w:val="00D144B5"/>
    <w:rsid w:val="00D14A72"/>
    <w:rsid w:val="00D16107"/>
    <w:rsid w:val="00D16882"/>
    <w:rsid w:val="00D228B5"/>
    <w:rsid w:val="00D231EA"/>
    <w:rsid w:val="00D24E70"/>
    <w:rsid w:val="00D25EC0"/>
    <w:rsid w:val="00D26AF2"/>
    <w:rsid w:val="00D3006D"/>
    <w:rsid w:val="00D3205E"/>
    <w:rsid w:val="00D32990"/>
    <w:rsid w:val="00D3351B"/>
    <w:rsid w:val="00D33A28"/>
    <w:rsid w:val="00D36862"/>
    <w:rsid w:val="00D41929"/>
    <w:rsid w:val="00D41FB7"/>
    <w:rsid w:val="00D424F7"/>
    <w:rsid w:val="00D440A2"/>
    <w:rsid w:val="00D45320"/>
    <w:rsid w:val="00D46678"/>
    <w:rsid w:val="00D5047A"/>
    <w:rsid w:val="00D53A91"/>
    <w:rsid w:val="00D6227B"/>
    <w:rsid w:val="00D63FF9"/>
    <w:rsid w:val="00D65A13"/>
    <w:rsid w:val="00D67441"/>
    <w:rsid w:val="00D7134A"/>
    <w:rsid w:val="00D71945"/>
    <w:rsid w:val="00D74A55"/>
    <w:rsid w:val="00D75F84"/>
    <w:rsid w:val="00D80384"/>
    <w:rsid w:val="00D804C2"/>
    <w:rsid w:val="00D81033"/>
    <w:rsid w:val="00D82026"/>
    <w:rsid w:val="00D83E0F"/>
    <w:rsid w:val="00D863D2"/>
    <w:rsid w:val="00D8696B"/>
    <w:rsid w:val="00D86C90"/>
    <w:rsid w:val="00D95828"/>
    <w:rsid w:val="00D971EC"/>
    <w:rsid w:val="00DA0EDB"/>
    <w:rsid w:val="00DA4B6F"/>
    <w:rsid w:val="00DA5F10"/>
    <w:rsid w:val="00DA6EC0"/>
    <w:rsid w:val="00DA760C"/>
    <w:rsid w:val="00DB15D8"/>
    <w:rsid w:val="00DB42F1"/>
    <w:rsid w:val="00DB4A43"/>
    <w:rsid w:val="00DC009C"/>
    <w:rsid w:val="00DC36DA"/>
    <w:rsid w:val="00DC3D96"/>
    <w:rsid w:val="00DC44D4"/>
    <w:rsid w:val="00DD2019"/>
    <w:rsid w:val="00DD21AD"/>
    <w:rsid w:val="00DD354B"/>
    <w:rsid w:val="00DD43EB"/>
    <w:rsid w:val="00DD5331"/>
    <w:rsid w:val="00DD60B9"/>
    <w:rsid w:val="00DE06CA"/>
    <w:rsid w:val="00DE13D9"/>
    <w:rsid w:val="00DE388B"/>
    <w:rsid w:val="00DE4442"/>
    <w:rsid w:val="00DE4ED9"/>
    <w:rsid w:val="00DF2CC5"/>
    <w:rsid w:val="00DF357F"/>
    <w:rsid w:val="00DF5CE4"/>
    <w:rsid w:val="00DF6B9C"/>
    <w:rsid w:val="00E00599"/>
    <w:rsid w:val="00E03530"/>
    <w:rsid w:val="00E05D55"/>
    <w:rsid w:val="00E11300"/>
    <w:rsid w:val="00E13506"/>
    <w:rsid w:val="00E14F58"/>
    <w:rsid w:val="00E16372"/>
    <w:rsid w:val="00E16A26"/>
    <w:rsid w:val="00E25F60"/>
    <w:rsid w:val="00E36936"/>
    <w:rsid w:val="00E37403"/>
    <w:rsid w:val="00E4177B"/>
    <w:rsid w:val="00E436DC"/>
    <w:rsid w:val="00E43CC8"/>
    <w:rsid w:val="00E46EF9"/>
    <w:rsid w:val="00E52107"/>
    <w:rsid w:val="00E53B9B"/>
    <w:rsid w:val="00E5788B"/>
    <w:rsid w:val="00E578D3"/>
    <w:rsid w:val="00E65B67"/>
    <w:rsid w:val="00E667C0"/>
    <w:rsid w:val="00E668FE"/>
    <w:rsid w:val="00E67214"/>
    <w:rsid w:val="00E7274F"/>
    <w:rsid w:val="00E73162"/>
    <w:rsid w:val="00E75244"/>
    <w:rsid w:val="00E76759"/>
    <w:rsid w:val="00E76BD0"/>
    <w:rsid w:val="00E84075"/>
    <w:rsid w:val="00E90486"/>
    <w:rsid w:val="00E9174C"/>
    <w:rsid w:val="00E92502"/>
    <w:rsid w:val="00E92635"/>
    <w:rsid w:val="00E9314C"/>
    <w:rsid w:val="00E935A2"/>
    <w:rsid w:val="00E93C12"/>
    <w:rsid w:val="00E94E9C"/>
    <w:rsid w:val="00E952B1"/>
    <w:rsid w:val="00E96835"/>
    <w:rsid w:val="00E975AA"/>
    <w:rsid w:val="00E979AC"/>
    <w:rsid w:val="00EA0915"/>
    <w:rsid w:val="00EA09F8"/>
    <w:rsid w:val="00EA258A"/>
    <w:rsid w:val="00EA2C47"/>
    <w:rsid w:val="00EA3AD0"/>
    <w:rsid w:val="00EA3B0F"/>
    <w:rsid w:val="00EB073E"/>
    <w:rsid w:val="00EB27ED"/>
    <w:rsid w:val="00EB2A47"/>
    <w:rsid w:val="00EC3097"/>
    <w:rsid w:val="00EC494F"/>
    <w:rsid w:val="00ED15AE"/>
    <w:rsid w:val="00ED37C8"/>
    <w:rsid w:val="00ED3B29"/>
    <w:rsid w:val="00ED527F"/>
    <w:rsid w:val="00EE00DE"/>
    <w:rsid w:val="00EE1EBB"/>
    <w:rsid w:val="00EE2673"/>
    <w:rsid w:val="00EE4E10"/>
    <w:rsid w:val="00EE582D"/>
    <w:rsid w:val="00EF28CF"/>
    <w:rsid w:val="00EF299E"/>
    <w:rsid w:val="00EF2F6B"/>
    <w:rsid w:val="00EF7246"/>
    <w:rsid w:val="00EF7C54"/>
    <w:rsid w:val="00F015A9"/>
    <w:rsid w:val="00F01900"/>
    <w:rsid w:val="00F01C11"/>
    <w:rsid w:val="00F025D5"/>
    <w:rsid w:val="00F03D2A"/>
    <w:rsid w:val="00F03D6C"/>
    <w:rsid w:val="00F041B1"/>
    <w:rsid w:val="00F06530"/>
    <w:rsid w:val="00F06E83"/>
    <w:rsid w:val="00F122C9"/>
    <w:rsid w:val="00F1261A"/>
    <w:rsid w:val="00F1357B"/>
    <w:rsid w:val="00F1392D"/>
    <w:rsid w:val="00F15579"/>
    <w:rsid w:val="00F1599A"/>
    <w:rsid w:val="00F227B8"/>
    <w:rsid w:val="00F22C7F"/>
    <w:rsid w:val="00F2301B"/>
    <w:rsid w:val="00F23C1E"/>
    <w:rsid w:val="00F267D6"/>
    <w:rsid w:val="00F32B53"/>
    <w:rsid w:val="00F334B4"/>
    <w:rsid w:val="00F33515"/>
    <w:rsid w:val="00F34D33"/>
    <w:rsid w:val="00F35B56"/>
    <w:rsid w:val="00F370CD"/>
    <w:rsid w:val="00F3727C"/>
    <w:rsid w:val="00F44133"/>
    <w:rsid w:val="00F44C21"/>
    <w:rsid w:val="00F44E22"/>
    <w:rsid w:val="00F450E1"/>
    <w:rsid w:val="00F45B16"/>
    <w:rsid w:val="00F46C04"/>
    <w:rsid w:val="00F50393"/>
    <w:rsid w:val="00F53A38"/>
    <w:rsid w:val="00F5403F"/>
    <w:rsid w:val="00F54ECF"/>
    <w:rsid w:val="00F5772F"/>
    <w:rsid w:val="00F60568"/>
    <w:rsid w:val="00F61633"/>
    <w:rsid w:val="00F61642"/>
    <w:rsid w:val="00F63B36"/>
    <w:rsid w:val="00F775E6"/>
    <w:rsid w:val="00F9024A"/>
    <w:rsid w:val="00F93EFA"/>
    <w:rsid w:val="00F9526C"/>
    <w:rsid w:val="00F957A4"/>
    <w:rsid w:val="00FA0424"/>
    <w:rsid w:val="00FA0DF0"/>
    <w:rsid w:val="00FA28CF"/>
    <w:rsid w:val="00FA4FD2"/>
    <w:rsid w:val="00FA71FF"/>
    <w:rsid w:val="00FA7967"/>
    <w:rsid w:val="00FB1CF6"/>
    <w:rsid w:val="00FB22DA"/>
    <w:rsid w:val="00FB266C"/>
    <w:rsid w:val="00FB475D"/>
    <w:rsid w:val="00FB4E22"/>
    <w:rsid w:val="00FB69A0"/>
    <w:rsid w:val="00FB7969"/>
    <w:rsid w:val="00FC36B3"/>
    <w:rsid w:val="00FC4582"/>
    <w:rsid w:val="00FC5064"/>
    <w:rsid w:val="00FC59ED"/>
    <w:rsid w:val="00FC5F9E"/>
    <w:rsid w:val="00FC6C6E"/>
    <w:rsid w:val="00FD0852"/>
    <w:rsid w:val="00FD544F"/>
    <w:rsid w:val="00FD5F3B"/>
    <w:rsid w:val="00FD5F50"/>
    <w:rsid w:val="00FD7BDF"/>
    <w:rsid w:val="00FE3A00"/>
    <w:rsid w:val="00FE3C59"/>
    <w:rsid w:val="00FE4360"/>
    <w:rsid w:val="00FF18D3"/>
    <w:rsid w:val="00FF285A"/>
    <w:rsid w:val="00FF2E5F"/>
    <w:rsid w:val="00FF34C4"/>
    <w:rsid w:val="00FF5905"/>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5902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9E6"/>
    <w:pPr>
      <w:spacing w:after="200" w:line="260" w:lineRule="exact"/>
    </w:pPr>
    <w:rPr>
      <w:rFonts w:ascii="Arial" w:hAnsi="Arial"/>
      <w:sz w:val="22"/>
      <w:szCs w:val="24"/>
      <w:lang w:eastAsia="en-US"/>
    </w:rPr>
  </w:style>
  <w:style w:type="paragraph" w:styleId="Heading1">
    <w:name w:val="heading 1"/>
    <w:basedOn w:val="Heading3"/>
    <w:next w:val="BodyText1"/>
    <w:link w:val="Heading1Char"/>
    <w:qFormat/>
    <w:rsid w:val="00010B24"/>
    <w:pPr>
      <w:outlineLvl w:val="0"/>
    </w:p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link w:val="Heading3Char"/>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basedOn w:val="Heading1"/>
    <w:uiPriority w:val="2"/>
    <w:qFormat/>
    <w:rsid w:val="00010B24"/>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Cambria" w:hAnsi="Cambria"/>
      <w:b w:val="0"/>
      <w:bCs w:val="0"/>
      <w:color w:val="365F91"/>
      <w:spacing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styleId="ListParagraph">
    <w:name w:val="List Paragraph"/>
    <w:basedOn w:val="Normal"/>
    <w:uiPriority w:val="34"/>
    <w:qFormat/>
    <w:rsid w:val="00B52E93"/>
    <w:pPr>
      <w:spacing w:after="0" w:line="240" w:lineRule="auto"/>
      <w:ind w:left="720"/>
    </w:pPr>
    <w:rPr>
      <w:rFonts w:ascii="Calibri" w:eastAsia="Calibri" w:hAnsi="Calibri" w:cs="Calibri"/>
      <w:szCs w:val="22"/>
    </w:rPr>
  </w:style>
  <w:style w:type="paragraph" w:customStyle="1" w:styleId="Proposaltitle">
    <w:name w:val="Proposal title"/>
    <w:basedOn w:val="Tablebodytext"/>
    <w:link w:val="ProposaltitleChar"/>
    <w:qFormat/>
    <w:rsid w:val="00B52E93"/>
    <w:pPr>
      <w:spacing w:line="240" w:lineRule="auto"/>
    </w:pPr>
    <w:rPr>
      <w:b/>
    </w:rPr>
  </w:style>
  <w:style w:type="character" w:customStyle="1" w:styleId="ProposaltitleChar">
    <w:name w:val="Proposal title Char"/>
    <w:link w:val="Proposaltitle"/>
    <w:locked/>
    <w:rsid w:val="00B52E93"/>
    <w:rPr>
      <w:rFonts w:ascii="Arial" w:hAnsi="Arial"/>
      <w:b/>
      <w:sz w:val="17"/>
      <w:szCs w:val="24"/>
      <w:lang w:eastAsia="en-US"/>
    </w:rPr>
  </w:style>
  <w:style w:type="paragraph" w:customStyle="1" w:styleId="TableUnitsRow">
    <w:name w:val="Table Units Row"/>
    <w:basedOn w:val="Normal"/>
    <w:rsid w:val="00B52E93"/>
    <w:pPr>
      <w:keepNext/>
      <w:keepLines/>
      <w:spacing w:before="80" w:after="80" w:line="220" w:lineRule="atLeast"/>
      <w:ind w:left="6" w:right="113"/>
      <w:jc w:val="right"/>
    </w:pPr>
    <w:rPr>
      <w:sz w:val="20"/>
      <w:szCs w:val="20"/>
      <w:lang w:val="en-US"/>
    </w:rPr>
  </w:style>
  <w:style w:type="paragraph" w:customStyle="1" w:styleId="TableColumnHeading0">
    <w:name w:val="Table Column Heading"/>
    <w:basedOn w:val="Normal"/>
    <w:rsid w:val="00B52E93"/>
    <w:pPr>
      <w:keepNext/>
      <w:keepLines/>
      <w:spacing w:before="80" w:after="80" w:line="220" w:lineRule="atLeast"/>
      <w:ind w:left="6" w:right="113"/>
      <w:jc w:val="right"/>
    </w:pPr>
    <w:rPr>
      <w:i/>
      <w:sz w:val="20"/>
      <w:szCs w:val="20"/>
      <w:lang w:val="en-US"/>
    </w:rPr>
  </w:style>
  <w:style w:type="character" w:customStyle="1" w:styleId="Heading2Char">
    <w:name w:val="Heading 2 Char"/>
    <w:link w:val="Heading2"/>
    <w:rsid w:val="00D16882"/>
    <w:rPr>
      <w:rFonts w:ascii="Arial" w:hAnsi="Arial"/>
      <w:b/>
      <w:spacing w:val="-6"/>
      <w:sz w:val="26"/>
      <w:szCs w:val="26"/>
      <w:lang w:eastAsia="en-US"/>
    </w:rPr>
  </w:style>
  <w:style w:type="table" w:styleId="MediumGrid1-Accent6">
    <w:name w:val="Medium Grid 1 Accent 6"/>
    <w:basedOn w:val="TableNormal"/>
    <w:uiPriority w:val="67"/>
    <w:rsid w:val="0088765D"/>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
    <w:name w:val="Medium Grid 1 - Accent 61"/>
    <w:basedOn w:val="TableNormal"/>
    <w:next w:val="MediumGrid1-Accent6"/>
    <w:uiPriority w:val="67"/>
    <w:rsid w:val="00DC36DA"/>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2">
    <w:name w:val="Medium Grid 1 - Accent 62"/>
    <w:basedOn w:val="TableNormal"/>
    <w:next w:val="MediumGrid1-Accent6"/>
    <w:uiPriority w:val="67"/>
    <w:rsid w:val="001934B1"/>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3">
    <w:name w:val="Medium Grid 1 - Accent 63"/>
    <w:basedOn w:val="TableNormal"/>
    <w:next w:val="MediumGrid1-Accent6"/>
    <w:uiPriority w:val="67"/>
    <w:rsid w:val="00202058"/>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4">
    <w:name w:val="Medium Grid 1 - Accent 64"/>
    <w:basedOn w:val="TableNormal"/>
    <w:next w:val="MediumGrid1-Accent6"/>
    <w:uiPriority w:val="67"/>
    <w:rsid w:val="00607F7F"/>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CommentReference">
    <w:name w:val="annotation reference"/>
    <w:uiPriority w:val="99"/>
    <w:semiHidden/>
    <w:rsid w:val="0004563F"/>
    <w:rPr>
      <w:sz w:val="16"/>
      <w:szCs w:val="16"/>
    </w:rPr>
  </w:style>
  <w:style w:type="paragraph" w:styleId="CommentText">
    <w:name w:val="annotation text"/>
    <w:basedOn w:val="Normal"/>
    <w:link w:val="CommentTextChar"/>
    <w:uiPriority w:val="99"/>
    <w:semiHidden/>
    <w:rsid w:val="0004563F"/>
    <w:pPr>
      <w:spacing w:line="240" w:lineRule="auto"/>
    </w:pPr>
    <w:rPr>
      <w:sz w:val="20"/>
      <w:szCs w:val="20"/>
    </w:rPr>
  </w:style>
  <w:style w:type="character" w:customStyle="1" w:styleId="CommentTextChar">
    <w:name w:val="Comment Text Char"/>
    <w:link w:val="CommentText"/>
    <w:uiPriority w:val="99"/>
    <w:semiHidden/>
    <w:rsid w:val="0004563F"/>
    <w:rPr>
      <w:rFonts w:ascii="Arial" w:hAnsi="Arial"/>
      <w:lang w:eastAsia="en-US"/>
    </w:rPr>
  </w:style>
  <w:style w:type="paragraph" w:styleId="CommentSubject">
    <w:name w:val="annotation subject"/>
    <w:basedOn w:val="CommentText"/>
    <w:next w:val="CommentText"/>
    <w:link w:val="CommentSubjectChar"/>
    <w:uiPriority w:val="99"/>
    <w:semiHidden/>
    <w:rsid w:val="0004563F"/>
    <w:rPr>
      <w:b/>
      <w:bCs/>
    </w:rPr>
  </w:style>
  <w:style w:type="character" w:customStyle="1" w:styleId="CommentSubjectChar">
    <w:name w:val="Comment Subject Char"/>
    <w:link w:val="CommentSubject"/>
    <w:uiPriority w:val="99"/>
    <w:semiHidden/>
    <w:rsid w:val="0004563F"/>
    <w:rPr>
      <w:rFonts w:ascii="Arial" w:hAnsi="Arial"/>
      <w:b/>
      <w:bCs/>
      <w:lang w:eastAsia="en-US"/>
    </w:rPr>
  </w:style>
  <w:style w:type="table" w:customStyle="1" w:styleId="MediumGrid1-Accent65">
    <w:name w:val="Medium Grid 1 - Accent 65"/>
    <w:basedOn w:val="TableNormal"/>
    <w:next w:val="MediumGrid1-Accent6"/>
    <w:uiPriority w:val="67"/>
    <w:rsid w:val="00AC2262"/>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6">
    <w:name w:val="Medium Grid 1 - Accent 66"/>
    <w:basedOn w:val="TableNormal"/>
    <w:next w:val="MediumGrid1-Accent6"/>
    <w:uiPriority w:val="67"/>
    <w:rsid w:val="00456BF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7">
    <w:name w:val="Medium Grid 1 - Accent 67"/>
    <w:basedOn w:val="TableNormal"/>
    <w:next w:val="MediumGrid1-Accent6"/>
    <w:uiPriority w:val="67"/>
    <w:rsid w:val="00C97C9B"/>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8">
    <w:name w:val="Medium Grid 1 - Accent 68"/>
    <w:basedOn w:val="TableNormal"/>
    <w:next w:val="MediumGrid1-Accent6"/>
    <w:uiPriority w:val="67"/>
    <w:rsid w:val="009C41A4"/>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Heading3Char">
    <w:name w:val="Heading 3 Char"/>
    <w:link w:val="Heading3"/>
    <w:rsid w:val="00AF6F6A"/>
    <w:rPr>
      <w:rFonts w:ascii="Arial" w:hAnsi="Arial"/>
      <w:b/>
      <w:bCs/>
      <w:color w:val="F79646"/>
      <w:spacing w:val="-6"/>
      <w:sz w:val="22"/>
      <w:szCs w:val="22"/>
      <w:lang w:eastAsia="en-US"/>
    </w:rPr>
  </w:style>
  <w:style w:type="table" w:customStyle="1" w:styleId="MediumGrid1-Accent69">
    <w:name w:val="Medium Grid 1 - Accent 69"/>
    <w:basedOn w:val="TableNormal"/>
    <w:next w:val="MediumGrid1-Accent6"/>
    <w:uiPriority w:val="67"/>
    <w:rsid w:val="00747569"/>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1">
    <w:name w:val="Medium Grid 1 - Accent 611"/>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0">
    <w:name w:val="Medium Grid 1 - Accent 610"/>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2">
    <w:name w:val="Medium Grid 1 - Accent 612"/>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3">
    <w:name w:val="Medium Grid 1 - Accent 613"/>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4">
    <w:name w:val="Medium Grid 1 - Accent 614"/>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5">
    <w:name w:val="Medium Grid 1 - Accent 615"/>
    <w:basedOn w:val="TableNormal"/>
    <w:next w:val="MediumGrid1-Accent6"/>
    <w:uiPriority w:val="67"/>
    <w:rsid w:val="00686906"/>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FollowedHyperlink">
    <w:name w:val="FollowedHyperlink"/>
    <w:uiPriority w:val="99"/>
    <w:semiHidden/>
    <w:rsid w:val="00FB7969"/>
    <w:rPr>
      <w:color w:val="800080"/>
      <w:u w:val="single"/>
    </w:rPr>
  </w:style>
  <w:style w:type="paragraph" w:customStyle="1" w:styleId="note">
    <w:name w:val="note"/>
    <w:basedOn w:val="Normal"/>
    <w:uiPriority w:val="99"/>
    <w:rsid w:val="00730ADC"/>
    <w:pPr>
      <w:widowControl w:val="0"/>
      <w:suppressAutoHyphens/>
      <w:autoSpaceDE w:val="0"/>
      <w:autoSpaceDN w:val="0"/>
      <w:adjustRightInd w:val="0"/>
      <w:spacing w:after="113" w:line="200" w:lineRule="atLeast"/>
      <w:textAlignment w:val="center"/>
    </w:pPr>
    <w:rPr>
      <w:rFonts w:cs="Interstate-Light"/>
      <w:color w:val="000000"/>
      <w:sz w:val="18"/>
      <w:szCs w:val="16"/>
      <w:lang w:val="en-GB"/>
    </w:rPr>
  </w:style>
  <w:style w:type="paragraph" w:customStyle="1" w:styleId="TableParagraph">
    <w:name w:val="Table Paragraph"/>
    <w:basedOn w:val="Normal"/>
    <w:uiPriority w:val="1"/>
    <w:qFormat/>
    <w:rsid w:val="00730ADC"/>
    <w:pPr>
      <w:widowControl w:val="0"/>
      <w:autoSpaceDE w:val="0"/>
      <w:autoSpaceDN w:val="0"/>
      <w:adjustRightInd w:val="0"/>
      <w:spacing w:after="0" w:line="240" w:lineRule="auto"/>
    </w:pPr>
    <w:rPr>
      <w:rFonts w:ascii="Times New Roman" w:eastAsia="MS Mincho" w:hAnsi="Times New Roman"/>
      <w:sz w:val="24"/>
      <w:lang w:eastAsia="en-AU"/>
    </w:rPr>
  </w:style>
  <w:style w:type="paragraph" w:customStyle="1" w:styleId="ReportHeading">
    <w:name w:val="Report Heading"/>
    <w:basedOn w:val="Heading1"/>
    <w:link w:val="ReportHeadingChar"/>
    <w:qFormat/>
    <w:rsid w:val="00207344"/>
  </w:style>
  <w:style w:type="paragraph" w:customStyle="1" w:styleId="TableHeading">
    <w:name w:val="Table Heading"/>
    <w:basedOn w:val="Heading2"/>
    <w:link w:val="TableHeadingChar"/>
    <w:qFormat/>
    <w:rsid w:val="00207344"/>
  </w:style>
  <w:style w:type="character" w:customStyle="1" w:styleId="Heading1Char">
    <w:name w:val="Heading 1 Char"/>
    <w:basedOn w:val="Heading3Char"/>
    <w:link w:val="Heading1"/>
    <w:rsid w:val="00207344"/>
    <w:rPr>
      <w:rFonts w:ascii="Arial" w:hAnsi="Arial"/>
      <w:b/>
      <w:bCs/>
      <w:color w:val="F79646"/>
      <w:spacing w:val="-6"/>
      <w:sz w:val="22"/>
      <w:szCs w:val="22"/>
      <w:lang w:eastAsia="en-US"/>
    </w:rPr>
  </w:style>
  <w:style w:type="character" w:customStyle="1" w:styleId="ReportHeadingChar">
    <w:name w:val="Report Heading Char"/>
    <w:basedOn w:val="Heading1Char"/>
    <w:link w:val="ReportHeading"/>
    <w:rsid w:val="00207344"/>
    <w:rPr>
      <w:rFonts w:ascii="Arial" w:hAnsi="Arial"/>
      <w:b/>
      <w:bCs/>
      <w:color w:val="F79646"/>
      <w:spacing w:val="-6"/>
      <w:sz w:val="22"/>
      <w:szCs w:val="22"/>
      <w:lang w:eastAsia="en-US"/>
    </w:rPr>
  </w:style>
  <w:style w:type="character" w:customStyle="1" w:styleId="TableHeadingChar">
    <w:name w:val="Table Heading Char"/>
    <w:basedOn w:val="Heading2Char"/>
    <w:link w:val="TableHeading"/>
    <w:rsid w:val="00207344"/>
    <w:rPr>
      <w:rFonts w:ascii="Arial" w:hAnsi="Arial"/>
      <w:b/>
      <w:spacing w:val="-6"/>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9716">
      <w:bodyDiv w:val="1"/>
      <w:marLeft w:val="0"/>
      <w:marRight w:val="0"/>
      <w:marTop w:val="0"/>
      <w:marBottom w:val="0"/>
      <w:divBdr>
        <w:top w:val="none" w:sz="0" w:space="0" w:color="auto"/>
        <w:left w:val="none" w:sz="0" w:space="0" w:color="auto"/>
        <w:bottom w:val="none" w:sz="0" w:space="0" w:color="auto"/>
        <w:right w:val="none" w:sz="0" w:space="0" w:color="auto"/>
      </w:divBdr>
    </w:div>
    <w:div w:id="383412645">
      <w:bodyDiv w:val="1"/>
      <w:marLeft w:val="0"/>
      <w:marRight w:val="0"/>
      <w:marTop w:val="0"/>
      <w:marBottom w:val="0"/>
      <w:divBdr>
        <w:top w:val="none" w:sz="0" w:space="0" w:color="auto"/>
        <w:left w:val="none" w:sz="0" w:space="0" w:color="auto"/>
        <w:bottom w:val="none" w:sz="0" w:space="0" w:color="auto"/>
        <w:right w:val="none" w:sz="0" w:space="0" w:color="auto"/>
      </w:divBdr>
      <w:divsChild>
        <w:div w:id="864514656">
          <w:marLeft w:val="0"/>
          <w:marRight w:val="0"/>
          <w:marTop w:val="0"/>
          <w:marBottom w:val="0"/>
          <w:divBdr>
            <w:top w:val="none" w:sz="0" w:space="0" w:color="auto"/>
            <w:left w:val="none" w:sz="0" w:space="0" w:color="auto"/>
            <w:bottom w:val="none" w:sz="0" w:space="0" w:color="auto"/>
            <w:right w:val="none" w:sz="0" w:space="0" w:color="auto"/>
          </w:divBdr>
          <w:divsChild>
            <w:div w:id="188752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772557980">
      <w:bodyDiv w:val="1"/>
      <w:marLeft w:val="0"/>
      <w:marRight w:val="0"/>
      <w:marTop w:val="0"/>
      <w:marBottom w:val="0"/>
      <w:divBdr>
        <w:top w:val="none" w:sz="0" w:space="0" w:color="auto"/>
        <w:left w:val="none" w:sz="0" w:space="0" w:color="auto"/>
        <w:bottom w:val="none" w:sz="0" w:space="0" w:color="auto"/>
        <w:right w:val="none" w:sz="0" w:space="0" w:color="auto"/>
      </w:divBdr>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898367767">
      <w:bodyDiv w:val="1"/>
      <w:marLeft w:val="0"/>
      <w:marRight w:val="0"/>
      <w:marTop w:val="0"/>
      <w:marBottom w:val="0"/>
      <w:divBdr>
        <w:top w:val="none" w:sz="0" w:space="0" w:color="auto"/>
        <w:left w:val="none" w:sz="0" w:space="0" w:color="auto"/>
        <w:bottom w:val="none" w:sz="0" w:space="0" w:color="auto"/>
        <w:right w:val="none" w:sz="0" w:space="0" w:color="auto"/>
      </w:divBdr>
    </w:div>
    <w:div w:id="940988917">
      <w:bodyDiv w:val="1"/>
      <w:marLeft w:val="0"/>
      <w:marRight w:val="0"/>
      <w:marTop w:val="0"/>
      <w:marBottom w:val="0"/>
      <w:divBdr>
        <w:top w:val="none" w:sz="0" w:space="0" w:color="auto"/>
        <w:left w:val="none" w:sz="0" w:space="0" w:color="auto"/>
        <w:bottom w:val="none" w:sz="0" w:space="0" w:color="auto"/>
        <w:right w:val="none" w:sz="0" w:space="0" w:color="auto"/>
      </w:divBdr>
      <w:divsChild>
        <w:div w:id="1702707683">
          <w:marLeft w:val="0"/>
          <w:marRight w:val="0"/>
          <w:marTop w:val="0"/>
          <w:marBottom w:val="0"/>
          <w:divBdr>
            <w:top w:val="none" w:sz="0" w:space="0" w:color="auto"/>
            <w:left w:val="none" w:sz="0" w:space="0" w:color="auto"/>
            <w:bottom w:val="none" w:sz="0" w:space="0" w:color="auto"/>
            <w:right w:val="none" w:sz="0" w:space="0" w:color="auto"/>
          </w:divBdr>
          <w:divsChild>
            <w:div w:id="5304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40230">
      <w:bodyDiv w:val="1"/>
      <w:marLeft w:val="0"/>
      <w:marRight w:val="0"/>
      <w:marTop w:val="0"/>
      <w:marBottom w:val="0"/>
      <w:divBdr>
        <w:top w:val="none" w:sz="0" w:space="0" w:color="auto"/>
        <w:left w:val="none" w:sz="0" w:space="0" w:color="auto"/>
        <w:bottom w:val="none" w:sz="0" w:space="0" w:color="auto"/>
        <w:right w:val="none" w:sz="0" w:space="0" w:color="auto"/>
      </w:divBdr>
      <w:divsChild>
        <w:div w:id="142284700">
          <w:marLeft w:val="0"/>
          <w:marRight w:val="0"/>
          <w:marTop w:val="0"/>
          <w:marBottom w:val="0"/>
          <w:divBdr>
            <w:top w:val="none" w:sz="0" w:space="0" w:color="auto"/>
            <w:left w:val="none" w:sz="0" w:space="0" w:color="auto"/>
            <w:bottom w:val="none" w:sz="0" w:space="0" w:color="auto"/>
            <w:right w:val="none" w:sz="0" w:space="0" w:color="auto"/>
          </w:divBdr>
          <w:divsChild>
            <w:div w:id="127579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600864">
      <w:bodyDiv w:val="1"/>
      <w:marLeft w:val="0"/>
      <w:marRight w:val="0"/>
      <w:marTop w:val="0"/>
      <w:marBottom w:val="0"/>
      <w:divBdr>
        <w:top w:val="none" w:sz="0" w:space="0" w:color="auto"/>
        <w:left w:val="none" w:sz="0" w:space="0" w:color="auto"/>
        <w:bottom w:val="none" w:sz="0" w:space="0" w:color="auto"/>
        <w:right w:val="none" w:sz="0" w:space="0" w:color="auto"/>
      </w:divBdr>
    </w:div>
    <w:div w:id="1330064562">
      <w:bodyDiv w:val="1"/>
      <w:marLeft w:val="0"/>
      <w:marRight w:val="0"/>
      <w:marTop w:val="0"/>
      <w:marBottom w:val="0"/>
      <w:divBdr>
        <w:top w:val="none" w:sz="0" w:space="0" w:color="auto"/>
        <w:left w:val="none" w:sz="0" w:space="0" w:color="auto"/>
        <w:bottom w:val="none" w:sz="0" w:space="0" w:color="auto"/>
        <w:right w:val="none" w:sz="0" w:space="0" w:color="auto"/>
      </w:divBdr>
    </w:div>
    <w:div w:id="1342660130">
      <w:bodyDiv w:val="1"/>
      <w:marLeft w:val="0"/>
      <w:marRight w:val="0"/>
      <w:marTop w:val="0"/>
      <w:marBottom w:val="0"/>
      <w:divBdr>
        <w:top w:val="none" w:sz="0" w:space="0" w:color="auto"/>
        <w:left w:val="none" w:sz="0" w:space="0" w:color="auto"/>
        <w:bottom w:val="none" w:sz="0" w:space="0" w:color="auto"/>
        <w:right w:val="none" w:sz="0" w:space="0" w:color="auto"/>
      </w:divBdr>
    </w:div>
    <w:div w:id="1355039787">
      <w:bodyDiv w:val="1"/>
      <w:marLeft w:val="0"/>
      <w:marRight w:val="0"/>
      <w:marTop w:val="0"/>
      <w:marBottom w:val="0"/>
      <w:divBdr>
        <w:top w:val="none" w:sz="0" w:space="0" w:color="auto"/>
        <w:left w:val="none" w:sz="0" w:space="0" w:color="auto"/>
        <w:bottom w:val="none" w:sz="0" w:space="0" w:color="auto"/>
        <w:right w:val="none" w:sz="0" w:space="0" w:color="auto"/>
      </w:divBdr>
    </w:div>
    <w:div w:id="1422410848">
      <w:bodyDiv w:val="1"/>
      <w:marLeft w:val="0"/>
      <w:marRight w:val="0"/>
      <w:marTop w:val="0"/>
      <w:marBottom w:val="0"/>
      <w:divBdr>
        <w:top w:val="none" w:sz="0" w:space="0" w:color="auto"/>
        <w:left w:val="none" w:sz="0" w:space="0" w:color="auto"/>
        <w:bottom w:val="none" w:sz="0" w:space="0" w:color="auto"/>
        <w:right w:val="none" w:sz="0" w:space="0" w:color="auto"/>
      </w:divBdr>
    </w:div>
    <w:div w:id="1578710640">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851288663">
      <w:bodyDiv w:val="1"/>
      <w:marLeft w:val="0"/>
      <w:marRight w:val="0"/>
      <w:marTop w:val="0"/>
      <w:marBottom w:val="0"/>
      <w:divBdr>
        <w:top w:val="none" w:sz="0" w:space="0" w:color="auto"/>
        <w:left w:val="none" w:sz="0" w:space="0" w:color="auto"/>
        <w:bottom w:val="none" w:sz="0" w:space="0" w:color="auto"/>
        <w:right w:val="none" w:sz="0" w:space="0" w:color="auto"/>
      </w:divBdr>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 w:id="2057389817">
      <w:bodyDiv w:val="1"/>
      <w:marLeft w:val="0"/>
      <w:marRight w:val="0"/>
      <w:marTop w:val="0"/>
      <w:marBottom w:val="0"/>
      <w:divBdr>
        <w:top w:val="none" w:sz="0" w:space="0" w:color="auto"/>
        <w:left w:val="none" w:sz="0" w:space="0" w:color="auto"/>
        <w:bottom w:val="none" w:sz="0" w:space="0" w:color="auto"/>
        <w:right w:val="none" w:sz="0" w:space="0" w:color="auto"/>
      </w:divBdr>
    </w:div>
    <w:div w:id="212758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file:///H:\web%20posts\g_server:WORK%20IN%20PROGRESS:14010%20PM&amp;C%20Best%20Practice%20Regulation%20Report%202012-13:Word%20templates:cover.pdf" TargetMode="External"/><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MC Document" ma:contentTypeID="0x0101002825A64A6E1845A99A9D8EE8A5686ECB009B58D7D72C3ED54C851955501673F8AC" ma:contentTypeVersion="9" ma:contentTypeDescription="PMC Document" ma:contentTypeScope="" ma:versionID="24db4452a1d4cd70c9c1989d7c793753">
  <xsd:schema xmlns:xsd="http://www.w3.org/2001/XMLSchema" xmlns:xs="http://www.w3.org/2001/XMLSchema" xmlns:p="http://schemas.microsoft.com/office/2006/metadata/properties" xmlns:ns1="166541c0-0594-4e6a-9105-c24d4b6de6f7" xmlns:ns3="685f9fda-bd71-4433-b331-92feb9553089" targetNamespace="http://schemas.microsoft.com/office/2006/metadata/properties" ma:root="true" ma:fieldsID="d0abaa46c074f05dae7dcaf033e4c6ca" ns1:_="" ns3:_="">
    <xsd:import namespace="166541c0-0594-4e6a-9105-c24d4b6de6f7"/>
    <xsd:import namespace="685f9fda-bd71-4433-b331-92feb9553089"/>
    <xsd:element name="properties">
      <xsd:complexType>
        <xsd:sequence>
          <xsd:element name="documentManagement">
            <xsd:complexType>
              <xsd:all>
                <xsd:element ref="ns1:ShareHubID" minOccurs="0"/>
                <xsd:element ref="ns3:NonRecordJustification"/>
                <xsd:element ref="ns1:PMCNotes" minOccurs="0"/>
                <xsd:element ref="ns1:mc5611b894cf49d8aeeb8ebf39dc09bc" minOccurs="0"/>
                <xsd:element ref="ns1:TaxCatchAll" minOccurs="0"/>
                <xsd:element ref="ns1:TaxCatchAllLabel" minOccurs="0"/>
                <xsd:element ref="ns1:jd1c641577414dfdab1686c9d5d0db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541c0-0594-4e6a-9105-c24d4b6de6f7"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Level" ma:default="1;#UNCLASSIFIED|9c49a7c7-17c7-412f-8077-62dec89b9196"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ea88e85-05a7-4360-91dc-760ce9bb3d8d}" ma:internalName="TaxCatchAll" ma:showField="CatchAllData"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ea88e85-05a7-4360-91dc-760ce9bb3d8d}" ma:internalName="TaxCatchAllLabel" ma:readOnly="true" ma:showField="CatchAllDataLabel"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DLM"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ma:displayName="Non-record justification" ma:default="None" ma:format="Dropdown" ma:internalName="NonRecordJustification">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mc5611b894cf49d8aeeb8ebf39dc09bc xmlns="166541c0-0594-4e6a-9105-c24d4b6de6f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9c49a7c7-17c7-412f-8077-62dec89b9196</TermId>
        </TermInfo>
      </Terms>
    </mc5611b894cf49d8aeeb8ebf39dc09bc>
    <ShareHubID xmlns="166541c0-0594-4e6a-9105-c24d4b6de6f7">DOC18-187709</ShareHubID>
    <TaxCatchAll xmlns="166541c0-0594-4e6a-9105-c24d4b6de6f7">
      <Value>1</Value>
    </TaxCatchAll>
    <jd1c641577414dfdab1686c9d5d0dbd0 xmlns="166541c0-0594-4e6a-9105-c24d4b6de6f7">
      <Terms xmlns="http://schemas.microsoft.com/office/infopath/2007/PartnerControls"/>
    </jd1c641577414dfdab1686c9d5d0dbd0>
    <PMCNotes xmlns="166541c0-0594-4e6a-9105-c24d4b6de6f7" xsi:nil="true"/>
    <NonRecordJustification xmlns="685f9fda-bd71-4433-b331-92feb9553089">None</NonRecordJustification>
  </documentManagement>
</p:properties>
</file>

<file path=customXml/itemProps1.xml><?xml version="1.0" encoding="utf-8"?>
<ds:datastoreItem xmlns:ds="http://schemas.openxmlformats.org/officeDocument/2006/customXml" ds:itemID="{39CC610B-71AD-4F8E-9FD3-F76B6002448A}"/>
</file>

<file path=customXml/itemProps2.xml><?xml version="1.0" encoding="utf-8"?>
<ds:datastoreItem xmlns:ds="http://schemas.openxmlformats.org/officeDocument/2006/customXml" ds:itemID="{9159F53E-937C-4C95-AE78-278369F637CF}"/>
</file>

<file path=customXml/itemProps3.xml><?xml version="1.0" encoding="utf-8"?>
<ds:datastoreItem xmlns:ds="http://schemas.openxmlformats.org/officeDocument/2006/customXml" ds:itemID="{7A0FCFBE-9741-4932-B96E-B233DC4A3D98}"/>
</file>

<file path=customXml/itemProps4.xml><?xml version="1.0" encoding="utf-8"?>
<ds:datastoreItem xmlns:ds="http://schemas.openxmlformats.org/officeDocument/2006/customXml" ds:itemID="{CAA4BBC2-CC74-494E-9931-C8AB23862168}"/>
</file>

<file path=customXml/itemProps5.xml><?xml version="1.0" encoding="utf-8"?>
<ds:datastoreItem xmlns:ds="http://schemas.openxmlformats.org/officeDocument/2006/customXml" ds:itemID="{A3C6D4BB-7A5D-4E24-9CF2-C98286CCFC6A}"/>
</file>

<file path=docProps/app.xml><?xml version="1.0" encoding="utf-8"?>
<Properties xmlns="http://schemas.openxmlformats.org/officeDocument/2006/extended-properties" xmlns:vt="http://schemas.openxmlformats.org/officeDocument/2006/docPropsVTypes">
  <Template>Normal</Template>
  <TotalTime>0</TotalTime>
  <Pages>1</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COAG Regulation Impact Statement status – by Council 2016-17</vt:lpstr>
    </vt:vector>
  </TitlesOfParts>
  <LinksUpToDate>false</LinksUpToDate>
  <CharactersWithSpaces>10304</CharactersWithSpaces>
  <SharedDoc>false</SharedDoc>
  <HLinks>
    <vt:vector size="66" baseType="variant">
      <vt:variant>
        <vt:i4>1572916</vt:i4>
      </vt:variant>
      <vt:variant>
        <vt:i4>56</vt:i4>
      </vt:variant>
      <vt:variant>
        <vt:i4>0</vt:i4>
      </vt:variant>
      <vt:variant>
        <vt:i4>5</vt:i4>
      </vt:variant>
      <vt:variant>
        <vt:lpwstr/>
      </vt:variant>
      <vt:variant>
        <vt:lpwstr>_Toc480290953</vt:lpwstr>
      </vt:variant>
      <vt:variant>
        <vt:i4>1572916</vt:i4>
      </vt:variant>
      <vt:variant>
        <vt:i4>50</vt:i4>
      </vt:variant>
      <vt:variant>
        <vt:i4>0</vt:i4>
      </vt:variant>
      <vt:variant>
        <vt:i4>5</vt:i4>
      </vt:variant>
      <vt:variant>
        <vt:lpwstr/>
      </vt:variant>
      <vt:variant>
        <vt:lpwstr>_Toc480290952</vt:lpwstr>
      </vt:variant>
      <vt:variant>
        <vt:i4>1572916</vt:i4>
      </vt:variant>
      <vt:variant>
        <vt:i4>44</vt:i4>
      </vt:variant>
      <vt:variant>
        <vt:i4>0</vt:i4>
      </vt:variant>
      <vt:variant>
        <vt:i4>5</vt:i4>
      </vt:variant>
      <vt:variant>
        <vt:lpwstr/>
      </vt:variant>
      <vt:variant>
        <vt:lpwstr>_Toc480290951</vt:lpwstr>
      </vt:variant>
      <vt:variant>
        <vt:i4>1572916</vt:i4>
      </vt:variant>
      <vt:variant>
        <vt:i4>38</vt:i4>
      </vt:variant>
      <vt:variant>
        <vt:i4>0</vt:i4>
      </vt:variant>
      <vt:variant>
        <vt:i4>5</vt:i4>
      </vt:variant>
      <vt:variant>
        <vt:lpwstr/>
      </vt:variant>
      <vt:variant>
        <vt:lpwstr>_Toc480290950</vt:lpwstr>
      </vt:variant>
      <vt:variant>
        <vt:i4>1638452</vt:i4>
      </vt:variant>
      <vt:variant>
        <vt:i4>32</vt:i4>
      </vt:variant>
      <vt:variant>
        <vt:i4>0</vt:i4>
      </vt:variant>
      <vt:variant>
        <vt:i4>5</vt:i4>
      </vt:variant>
      <vt:variant>
        <vt:lpwstr/>
      </vt:variant>
      <vt:variant>
        <vt:lpwstr>_Toc480290949</vt:lpwstr>
      </vt:variant>
      <vt:variant>
        <vt:i4>1638452</vt:i4>
      </vt:variant>
      <vt:variant>
        <vt:i4>26</vt:i4>
      </vt:variant>
      <vt:variant>
        <vt:i4>0</vt:i4>
      </vt:variant>
      <vt:variant>
        <vt:i4>5</vt:i4>
      </vt:variant>
      <vt:variant>
        <vt:lpwstr/>
      </vt:variant>
      <vt:variant>
        <vt:lpwstr>_Toc480290947</vt:lpwstr>
      </vt:variant>
      <vt:variant>
        <vt:i4>1638452</vt:i4>
      </vt:variant>
      <vt:variant>
        <vt:i4>20</vt:i4>
      </vt:variant>
      <vt:variant>
        <vt:i4>0</vt:i4>
      </vt:variant>
      <vt:variant>
        <vt:i4>5</vt:i4>
      </vt:variant>
      <vt:variant>
        <vt:lpwstr/>
      </vt:variant>
      <vt:variant>
        <vt:lpwstr>_Toc480290946</vt:lpwstr>
      </vt:variant>
      <vt:variant>
        <vt:i4>1638452</vt:i4>
      </vt:variant>
      <vt:variant>
        <vt:i4>14</vt:i4>
      </vt:variant>
      <vt:variant>
        <vt:i4>0</vt:i4>
      </vt:variant>
      <vt:variant>
        <vt:i4>5</vt:i4>
      </vt:variant>
      <vt:variant>
        <vt:lpwstr/>
      </vt:variant>
      <vt:variant>
        <vt:lpwstr>_Toc480290945</vt:lpwstr>
      </vt:variant>
      <vt:variant>
        <vt:i4>1638452</vt:i4>
      </vt:variant>
      <vt:variant>
        <vt:i4>8</vt:i4>
      </vt:variant>
      <vt:variant>
        <vt:i4>0</vt:i4>
      </vt:variant>
      <vt:variant>
        <vt:i4>5</vt:i4>
      </vt:variant>
      <vt:variant>
        <vt:lpwstr/>
      </vt:variant>
      <vt:variant>
        <vt:lpwstr>_Toc480290944</vt:lpwstr>
      </vt:variant>
      <vt:variant>
        <vt:i4>1638452</vt:i4>
      </vt:variant>
      <vt:variant>
        <vt:i4>2</vt:i4>
      </vt:variant>
      <vt:variant>
        <vt:i4>0</vt:i4>
      </vt:variant>
      <vt:variant>
        <vt:i4>5</vt:i4>
      </vt:variant>
      <vt:variant>
        <vt:lpwstr/>
      </vt:variant>
      <vt:variant>
        <vt:lpwstr>_Toc480290943</vt:lpwstr>
      </vt:variant>
      <vt:variant>
        <vt:i4>3735622</vt:i4>
      </vt:variant>
      <vt:variant>
        <vt:i4>-1</vt:i4>
      </vt:variant>
      <vt:variant>
        <vt:i4>2049</vt:i4>
      </vt:variant>
      <vt:variant>
        <vt:i4>1</vt:i4>
      </vt:variant>
      <vt:variant>
        <vt:lpwstr>g_server:WORK IN PROGRESS:14010 PM&amp;C Best Practice Regulation Report 2012-13:Word templates:cover.pdf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COAG Regulation Impact Statement status – by Council 2016-17</dc:title>
  <dc:creator/>
  <cp:lastModifiedBy/>
  <cp:revision>1</cp:revision>
  <dcterms:created xsi:type="dcterms:W3CDTF">2018-05-18T04:43:00Z</dcterms:created>
  <dcterms:modified xsi:type="dcterms:W3CDTF">2018-05-21T02:51:00Z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0x0101002825A64A6E1845A99A9D8EE8A5686ECB009B58D7D72C3ED54C851955501673F8AC</vt:lpwstr>
  </property>
  <property fmtid="{D5CDD505-2E9C-101B-9397-08002B2CF9AE}" pid="3" name="HPRMSecurityLevel">
    <vt:lpwstr>1;#UNCLASSIFIED|9c49a7c7-17c7-412f-8077-62dec89b9196</vt:lpwstr>
  </property>
</Properties>
</file>