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ADC" w:rsidRDefault="00130ADC" w:rsidP="00D044F4">
      <w:pPr>
        <w:pStyle w:val="Heading1"/>
      </w:pPr>
      <w:bookmarkStart w:id="0" w:name="_Toc329769812"/>
      <w:bookmarkStart w:id="1" w:name="_Toc329769939"/>
      <w:bookmarkStart w:id="2" w:name="_Toc330371011"/>
      <w:bookmarkStart w:id="3" w:name="_Toc330371850"/>
      <w:bookmarkStart w:id="4" w:name="_Toc331423696"/>
      <w:bookmarkStart w:id="5" w:name="_Toc331665802"/>
      <w:bookmarkStart w:id="6" w:name="_Toc334085936"/>
      <w:bookmarkStart w:id="7" w:name="_Toc334106934"/>
      <w:bookmarkStart w:id="8" w:name="_Toc334776865"/>
      <w:bookmarkStart w:id="9" w:name="_Toc334790438"/>
      <w:bookmarkStart w:id="10" w:name="_Toc336505282"/>
      <w:bookmarkStart w:id="11" w:name="_Toc336938929"/>
      <w:bookmarkStart w:id="12" w:name="_Toc337210529"/>
      <w:bookmarkStart w:id="13" w:name="_Toc338412891"/>
      <w:bookmarkStart w:id="14" w:name="_Toc338419100"/>
      <w:bookmarkStart w:id="15" w:name="_Toc338419164"/>
      <w:bookmarkStart w:id="16" w:name="_Toc339440854"/>
      <w:bookmarkStart w:id="17" w:name="_Toc339440925"/>
      <w:bookmarkStart w:id="18" w:name="_Toc340562848"/>
      <w:bookmarkStart w:id="19" w:name="_Toc340741195"/>
      <w:bookmarkStart w:id="20" w:name="_Toc340742525"/>
      <w:bookmarkStart w:id="21" w:name="_Toc340816904"/>
      <w:bookmarkStart w:id="22" w:name="_Toc341255148"/>
      <w:bookmarkStart w:id="23" w:name="_Toc341347250"/>
      <w:bookmarkStart w:id="24" w:name="_Toc341429725"/>
      <w:bookmarkStart w:id="25" w:name="_Toc341946134"/>
      <w:bookmarkStart w:id="26" w:name="_Toc342032033"/>
      <w:bookmarkStart w:id="27" w:name="_Toc343066832"/>
      <w:bookmarkStart w:id="28" w:name="_Toc343261518"/>
      <w:bookmarkStart w:id="29" w:name="_Toc343607087"/>
      <w:bookmarkStart w:id="30" w:name="_Toc347485396"/>
      <w:bookmarkStart w:id="31" w:name="_Toc348950634"/>
      <w:bookmarkStart w:id="32" w:name="_Toc348952778"/>
      <w:bookmarkStart w:id="33" w:name="_Toc349652165"/>
      <w:bookmarkStart w:id="34" w:name="_Toc349652265"/>
      <w:bookmarkStart w:id="35" w:name="_Toc349741803"/>
      <w:bookmarkStart w:id="36" w:name="_Toc351033510"/>
      <w:bookmarkStart w:id="37" w:name="_Toc351040429"/>
      <w:bookmarkStart w:id="38" w:name="_Toc351109336"/>
      <w:bookmarkStart w:id="39" w:name="_Toc351115091"/>
      <w:bookmarkStart w:id="40" w:name="_Toc353287152"/>
      <w:bookmarkStart w:id="41" w:name="_Toc353287308"/>
      <w:bookmarkStart w:id="42" w:name="_Toc353371044"/>
      <w:bookmarkStart w:id="43" w:name="_Toc353374429"/>
      <w:bookmarkStart w:id="44" w:name="_Toc353444646"/>
      <w:bookmarkStart w:id="45" w:name="_Toc353525859"/>
      <w:bookmarkStart w:id="46" w:name="_Toc355010386"/>
      <w:bookmarkStart w:id="47" w:name="_Toc356307524"/>
      <w:bookmarkStart w:id="48" w:name="_Toc356313198"/>
      <w:bookmarkStart w:id="49" w:name="_Toc357158733"/>
      <w:bookmarkStart w:id="50" w:name="_Toc357761796"/>
      <w:bookmarkStart w:id="51" w:name="_Toc359254344"/>
      <w:bookmarkStart w:id="52" w:name="_Toc361125038"/>
      <w:bookmarkStart w:id="53" w:name="_Toc361125109"/>
      <w:bookmarkStart w:id="54" w:name="_Toc361143007"/>
      <w:bookmarkStart w:id="55" w:name="_Toc362205722"/>
      <w:bookmarkStart w:id="56" w:name="_Toc362250091"/>
      <w:bookmarkStart w:id="57" w:name="_Toc362341053"/>
      <w:bookmarkStart w:id="58" w:name="_Toc362341072"/>
      <w:bookmarkStart w:id="59" w:name="_Toc362341103"/>
      <w:bookmarkStart w:id="60" w:name="_Toc362343440"/>
      <w:bookmarkStart w:id="61" w:name="_Toc363475029"/>
      <w:bookmarkStart w:id="62" w:name="_Toc363725628"/>
      <w:bookmarkStart w:id="63" w:name="_Toc363725774"/>
      <w:bookmarkStart w:id="64" w:name="_Toc363726435"/>
      <w:bookmarkStart w:id="65" w:name="_Toc364761057"/>
      <w:bookmarkStart w:id="66" w:name="_Toc365273842"/>
      <w:bookmarkStart w:id="67" w:name="_Toc367282597"/>
      <w:bookmarkStart w:id="68" w:name="_Toc367283591"/>
      <w:bookmarkStart w:id="69" w:name="_Toc367781072"/>
      <w:bookmarkStart w:id="70" w:name="_Toc367782736"/>
      <w:bookmarkStart w:id="71" w:name="_Toc369073509"/>
      <w:bookmarkStart w:id="72" w:name="_Toc372708779"/>
      <w:bookmarkStart w:id="73" w:name="_Toc372708814"/>
      <w:bookmarkStart w:id="74" w:name="_Toc372796395"/>
      <w:bookmarkStart w:id="75" w:name="_Toc372807316"/>
      <w:bookmarkStart w:id="76" w:name="_Toc373306749"/>
      <w:bookmarkStart w:id="77" w:name="_Toc373306970"/>
      <w:bookmarkStart w:id="78" w:name="_Toc373307616"/>
      <w:bookmarkStart w:id="79" w:name="_Toc373309337"/>
      <w:bookmarkStart w:id="80" w:name="_Toc373309728"/>
      <w:bookmarkStart w:id="81" w:name="_Toc376962641"/>
      <w:bookmarkStart w:id="82" w:name="_Toc379536792"/>
      <w:bookmarkStart w:id="83" w:name="_Toc379795062"/>
      <w:bookmarkStart w:id="84" w:name="_Toc379801135"/>
      <w:bookmarkStart w:id="85" w:name="_Toc379802373"/>
      <w:bookmarkStart w:id="86" w:name="_Toc383790358"/>
      <w:bookmarkStart w:id="87" w:name="_Toc384306615"/>
      <w:bookmarkStart w:id="88" w:name="_Toc384366785"/>
      <w:bookmarkStart w:id="89" w:name="_Toc387412046"/>
      <w:bookmarkStart w:id="90" w:name="_Toc391977607"/>
      <w:bookmarkStart w:id="91" w:name="_Toc391985271"/>
      <w:bookmarkStart w:id="92" w:name="_Toc391985775"/>
      <w:bookmarkStart w:id="93" w:name="_Toc391985813"/>
      <w:bookmarkStart w:id="94" w:name="_Toc392582652"/>
      <w:bookmarkStart w:id="95" w:name="_Toc392583991"/>
      <w:bookmarkStart w:id="96" w:name="_Toc392751702"/>
      <w:bookmarkStart w:id="97" w:name="_Toc392852654"/>
      <w:bookmarkStart w:id="98" w:name="_GoBack"/>
      <w:bookmarkEnd w:id="98"/>
    </w:p>
    <w:p w:rsidR="00491FE6" w:rsidRPr="00130ADC" w:rsidRDefault="004C069D" w:rsidP="00130ADC">
      <w:pPr>
        <w:pStyle w:val="Heading1"/>
      </w:pPr>
      <w:bookmarkStart w:id="99" w:name="_Toc396743524"/>
      <w:bookmarkStart w:id="100" w:name="_Toc400100727"/>
      <w:bookmarkStart w:id="101" w:name="_Toc400101006"/>
      <w:bookmarkStart w:id="102" w:name="_Toc400104318"/>
      <w:bookmarkStart w:id="103" w:name="_Toc424109894"/>
      <w:bookmarkStart w:id="104" w:name="_Toc426374299"/>
      <w:bookmarkStart w:id="105" w:name="_Toc426536130"/>
      <w:bookmarkStart w:id="106" w:name="_Toc428965500"/>
      <w:r w:rsidRPr="00130ADC">
        <w:t>Australian Government Regulation Impact Statement status</w:t>
      </w:r>
      <w:bookmarkEnd w:id="0"/>
      <w:bookmarkEnd w:id="1"/>
      <w:bookmarkEnd w:id="2"/>
      <w:r w:rsidRPr="00130ADC">
        <w:t xml:space="preserve"> </w:t>
      </w:r>
      <w:bookmarkStart w:id="107" w:name="_Toc330371012"/>
      <w:r w:rsidRPr="00130ADC">
        <w:t>- by agency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107"/>
      <w:r w:rsidR="00A05CF6" w:rsidRPr="00130ADC">
        <w:t>: 2014</w:t>
      </w:r>
      <w:r w:rsidR="0034402A">
        <w:t>–</w:t>
      </w:r>
      <w:r w:rsidR="00B451BB" w:rsidRPr="00130ADC">
        <w:t>1</w:t>
      </w:r>
      <w:bookmarkEnd w:id="90"/>
      <w:bookmarkEnd w:id="91"/>
      <w:bookmarkEnd w:id="92"/>
      <w:bookmarkEnd w:id="93"/>
      <w:bookmarkEnd w:id="94"/>
      <w:bookmarkEnd w:id="95"/>
      <w:bookmarkEnd w:id="96"/>
      <w:bookmarkEnd w:id="97"/>
      <w:r w:rsidR="00A05CF6" w:rsidRPr="00130ADC">
        <w:t>5</w:t>
      </w:r>
      <w:bookmarkEnd w:id="99"/>
      <w:bookmarkEnd w:id="100"/>
      <w:bookmarkEnd w:id="101"/>
      <w:bookmarkEnd w:id="102"/>
      <w:bookmarkEnd w:id="103"/>
      <w:bookmarkEnd w:id="104"/>
      <w:bookmarkEnd w:id="105"/>
      <w:bookmarkEnd w:id="106"/>
    </w:p>
    <w:p w:rsidR="000972C5" w:rsidRDefault="004C069D" w:rsidP="000972C5">
      <w:pPr>
        <w:pStyle w:val="BodyText1"/>
      </w:pPr>
      <w:r w:rsidRPr="0032750F">
        <w:t>The Office of Best Practice R</w:t>
      </w:r>
      <w:r w:rsidR="009D49B6">
        <w:t xml:space="preserve">egulation (OBPR) </w:t>
      </w:r>
      <w:r w:rsidRPr="0032750F">
        <w:t>publish</w:t>
      </w:r>
      <w:r w:rsidR="009D49B6">
        <w:t>es</w:t>
      </w:r>
      <w:r w:rsidRPr="0032750F">
        <w:t xml:space="preserve"> Regulation Impact Statements (RIS</w:t>
      </w:r>
      <w:r w:rsidR="000972C5">
        <w:t>s</w:t>
      </w:r>
      <w:r w:rsidRPr="0032750F">
        <w:t xml:space="preserve">) on its website as soon as practicable from the date of regulatory announcements, in consultation with the </w:t>
      </w:r>
      <w:r w:rsidR="000972C5">
        <w:t xml:space="preserve">relevant </w:t>
      </w:r>
      <w:r w:rsidRPr="0032750F">
        <w:t xml:space="preserve">agency. Consequently, the RIS status in aggregate and by agency is also reported ‘live’ in the following </w:t>
      </w:r>
      <w:r w:rsidR="00567DC8" w:rsidRPr="0032750F">
        <w:t>tables. The</w:t>
      </w:r>
      <w:r w:rsidRPr="0032750F">
        <w:t xml:space="preserve"> Australian Government introduced a new </w:t>
      </w:r>
      <w:r w:rsidR="000972C5">
        <w:t>Regulatory Impact Analysis (</w:t>
      </w:r>
      <w:r w:rsidRPr="0032750F">
        <w:t>RIA</w:t>
      </w:r>
      <w:r w:rsidR="000972C5">
        <w:t>)</w:t>
      </w:r>
      <w:r w:rsidRPr="0032750F">
        <w:t xml:space="preserve"> process in </w:t>
      </w:r>
      <w:r w:rsidR="00146BB7">
        <w:t>March 2014</w:t>
      </w:r>
      <w:r w:rsidRPr="0032750F">
        <w:t>.</w:t>
      </w:r>
      <w:r w:rsidR="00146BB7">
        <w:t xml:space="preserve"> During 2013-14, there were</w:t>
      </w:r>
      <w:r w:rsidR="00C14A05">
        <w:t xml:space="preserve"> </w:t>
      </w:r>
      <w:r w:rsidR="00146BB7">
        <w:t>RISs assessed under the June 2010</w:t>
      </w:r>
      <w:r w:rsidR="00AA416C">
        <w:t>,</w:t>
      </w:r>
      <w:r w:rsidR="00146BB7">
        <w:t xml:space="preserve"> July 2013 </w:t>
      </w:r>
      <w:r w:rsidR="00AA416C">
        <w:t xml:space="preserve">and March 2014 </w:t>
      </w:r>
      <w:r w:rsidR="00146BB7">
        <w:t>RIA processes.</w:t>
      </w:r>
      <w:r w:rsidR="00AA416C">
        <w:t xml:space="preserve"> Information is available on </w:t>
      </w:r>
      <w:hyperlink r:id="rId9" w:history="1">
        <w:r w:rsidR="00AA416C" w:rsidRPr="008C4568">
          <w:rPr>
            <w:rStyle w:val="Hyperlink"/>
          </w:rPr>
          <w:t>compliance for previous years</w:t>
        </w:r>
      </w:hyperlink>
      <w:r w:rsidR="00AA416C">
        <w:t xml:space="preserve"> under these different processes.</w:t>
      </w:r>
      <w:r w:rsidR="000972C5" w:rsidRPr="000972C5">
        <w:t xml:space="preserve"> </w:t>
      </w:r>
    </w:p>
    <w:p w:rsidR="000972C5" w:rsidRPr="00AA416C" w:rsidRDefault="000972C5" w:rsidP="000972C5">
      <w:pPr>
        <w:pStyle w:val="BodyText1"/>
      </w:pPr>
      <w:r w:rsidRPr="00AA416C">
        <w:t>Under the March 2014 Australian Government RI</w:t>
      </w:r>
      <w:r>
        <w:t>A</w:t>
      </w:r>
      <w:r w:rsidRPr="00AA416C">
        <w:t xml:space="preserve"> p</w:t>
      </w:r>
      <w:r w:rsidR="003711FC">
        <w:t xml:space="preserve">rocess, the OBPR </w:t>
      </w:r>
      <w:r w:rsidRPr="00AA416C">
        <w:t>publish</w:t>
      </w:r>
      <w:r w:rsidR="003711FC">
        <w:t>es</w:t>
      </w:r>
      <w:r w:rsidRPr="00AA416C">
        <w:t xml:space="preserve"> the RIS, the associated agency certification letter and the OBPR assessment letter. A RIS can evolve during the policy development process, and can also be published for consultation at an early stage.</w:t>
      </w:r>
      <w:r w:rsidR="00590336">
        <w:t xml:space="preserve"> The OBPR assesses RISs for compliance and best practice at the final decision point.</w:t>
      </w:r>
    </w:p>
    <w:p w:rsidR="00130ADC" w:rsidRDefault="00130ADC" w:rsidP="00130ADC">
      <w:pPr>
        <w:pStyle w:val="BodyText1"/>
      </w:pPr>
    </w:p>
    <w:p w:rsidR="00683A75" w:rsidRPr="00010B24" w:rsidRDefault="008B6C63" w:rsidP="00B451BB">
      <w:pPr>
        <w:pStyle w:val="Heading2"/>
      </w:pPr>
      <w:bookmarkStart w:id="108" w:name="_Toc424109895"/>
      <w:bookmarkStart w:id="109" w:name="_Toc426374300"/>
      <w:bookmarkStart w:id="110" w:name="_Toc426536131"/>
      <w:bookmarkStart w:id="111" w:name="_Toc428965501"/>
      <w:bookmarkStart w:id="112" w:name="_Toc387412049"/>
      <w:bookmarkStart w:id="113" w:name="_Toc391977610"/>
      <w:bookmarkStart w:id="114" w:name="_Toc391985274"/>
      <w:bookmarkStart w:id="115" w:name="_Toc391985778"/>
      <w:bookmarkStart w:id="116" w:name="_Toc391985816"/>
      <w:bookmarkStart w:id="117" w:name="_Toc392582655"/>
      <w:bookmarkStart w:id="118" w:name="_Toc392583994"/>
      <w:bookmarkStart w:id="119" w:name="_Toc392751705"/>
      <w:bookmarkStart w:id="120" w:name="_Toc392852657"/>
      <w:bookmarkStart w:id="121" w:name="_Toc396743525"/>
      <w:bookmarkStart w:id="122" w:name="_Toc400100728"/>
      <w:bookmarkStart w:id="123" w:name="_Toc400101007"/>
      <w:bookmarkStart w:id="124" w:name="_Toc400104319"/>
      <w:r>
        <w:t xml:space="preserve">RIS </w:t>
      </w:r>
      <w:r w:rsidR="00730ADC">
        <w:t xml:space="preserve">Summary of </w:t>
      </w:r>
      <w:r>
        <w:t>compliance</w:t>
      </w:r>
      <w:bookmarkEnd w:id="108"/>
      <w:bookmarkEnd w:id="109"/>
      <w:bookmarkEnd w:id="110"/>
      <w:bookmarkEnd w:id="111"/>
      <w:r w:rsidR="00683A75" w:rsidRPr="00010B24">
        <w:t xml:space="preserve"> </w:t>
      </w:r>
      <w:bookmarkEnd w:id="112"/>
      <w:bookmarkEnd w:id="113"/>
      <w:bookmarkEnd w:id="114"/>
      <w:bookmarkEnd w:id="115"/>
      <w:bookmarkEnd w:id="116"/>
      <w:bookmarkEnd w:id="117"/>
      <w:bookmarkEnd w:id="118"/>
      <w:bookmarkEnd w:id="119"/>
      <w:bookmarkEnd w:id="120"/>
      <w:bookmarkEnd w:id="121"/>
      <w:bookmarkEnd w:id="122"/>
      <w:bookmarkEnd w:id="123"/>
      <w:bookmarkEnd w:id="124"/>
    </w:p>
    <w:tbl>
      <w:tblPr>
        <w:tblW w:w="0" w:type="auto"/>
        <w:jc w:val="center"/>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Pr>
      <w:tblGrid>
        <w:gridCol w:w="2392"/>
        <w:gridCol w:w="1065"/>
        <w:gridCol w:w="1065"/>
        <w:gridCol w:w="1235"/>
        <w:gridCol w:w="760"/>
      </w:tblGrid>
      <w:tr w:rsidR="00707C33" w:rsidTr="00DF5CE4">
        <w:trPr>
          <w:tblHeader/>
          <w:jc w:val="center"/>
        </w:trPr>
        <w:tc>
          <w:tcPr>
            <w:tcW w:w="2392" w:type="dxa"/>
            <w:shd w:val="clear" w:color="auto" w:fill="FFCC99"/>
            <w:vAlign w:val="center"/>
          </w:tcPr>
          <w:p w:rsidR="00707C33" w:rsidRPr="0015777B" w:rsidRDefault="00707C33" w:rsidP="00F44E22">
            <w:pPr>
              <w:pStyle w:val="Tablecolumnheading"/>
            </w:pPr>
            <w:r>
              <w:t>Stage</w:t>
            </w:r>
          </w:p>
        </w:tc>
        <w:tc>
          <w:tcPr>
            <w:tcW w:w="1065" w:type="dxa"/>
            <w:tcBorders>
              <w:right w:val="nil"/>
            </w:tcBorders>
            <w:shd w:val="clear" w:color="auto" w:fill="FFCC99"/>
          </w:tcPr>
          <w:p w:rsidR="00707C33" w:rsidRPr="00707C33" w:rsidRDefault="00707C33" w:rsidP="00707C33">
            <w:pPr>
              <w:pStyle w:val="Tablecolumnheading"/>
            </w:pPr>
            <w:r w:rsidRPr="00707C33">
              <w:t>201</w:t>
            </w:r>
            <w:r>
              <w:t>3</w:t>
            </w:r>
            <w:r w:rsidRPr="00707C33">
              <w:t>–1</w:t>
            </w:r>
            <w:r>
              <w:t>4</w:t>
            </w:r>
          </w:p>
          <w:p w:rsidR="00707C33" w:rsidRDefault="00707C33" w:rsidP="00707C33">
            <w:pPr>
              <w:pStyle w:val="Tablecolumnheading"/>
            </w:pPr>
            <w:r w:rsidRPr="00707C33">
              <w:t>ratio</w:t>
            </w:r>
          </w:p>
        </w:tc>
        <w:tc>
          <w:tcPr>
            <w:tcW w:w="1065" w:type="dxa"/>
            <w:tcBorders>
              <w:left w:val="nil"/>
            </w:tcBorders>
            <w:shd w:val="clear" w:color="auto" w:fill="FFCC99"/>
          </w:tcPr>
          <w:p w:rsidR="00707C33" w:rsidRDefault="00707C33" w:rsidP="00F44E22">
            <w:pPr>
              <w:pStyle w:val="Tablecolumnheading"/>
            </w:pPr>
          </w:p>
          <w:p w:rsidR="00707C33" w:rsidRDefault="00707C33" w:rsidP="00F44E22">
            <w:pPr>
              <w:pStyle w:val="Tablecolumnheading"/>
            </w:pPr>
            <w:r>
              <w:t>%</w:t>
            </w:r>
          </w:p>
        </w:tc>
        <w:tc>
          <w:tcPr>
            <w:tcW w:w="1235" w:type="dxa"/>
            <w:tcBorders>
              <w:bottom w:val="single" w:sz="2" w:space="0" w:color="A7B4BE"/>
              <w:right w:val="nil"/>
            </w:tcBorders>
            <w:shd w:val="clear" w:color="auto" w:fill="FFCC99"/>
            <w:vAlign w:val="center"/>
          </w:tcPr>
          <w:p w:rsidR="00707C33" w:rsidRDefault="00707C33" w:rsidP="00F44E22">
            <w:pPr>
              <w:pStyle w:val="Tablecolumnheading"/>
            </w:pPr>
            <w:r>
              <w:t>2014–15</w:t>
            </w:r>
            <w:r w:rsidRPr="0031239E">
              <w:rPr>
                <w:vertAlign w:val="superscript"/>
              </w:rPr>
              <w:t>a</w:t>
            </w:r>
          </w:p>
          <w:p w:rsidR="00707C33" w:rsidRDefault="00270BA5" w:rsidP="00F44E22">
            <w:pPr>
              <w:pStyle w:val="Tablecolumnheading"/>
            </w:pPr>
            <w:r>
              <w:t>R</w:t>
            </w:r>
            <w:r w:rsidR="00707C33">
              <w:t>atio</w:t>
            </w:r>
          </w:p>
        </w:tc>
        <w:tc>
          <w:tcPr>
            <w:tcW w:w="760" w:type="dxa"/>
            <w:tcBorders>
              <w:left w:val="nil"/>
              <w:bottom w:val="single" w:sz="2" w:space="0" w:color="A7B4BE"/>
            </w:tcBorders>
            <w:shd w:val="clear" w:color="auto" w:fill="FFCC99"/>
            <w:vAlign w:val="bottom"/>
          </w:tcPr>
          <w:p w:rsidR="00707C33" w:rsidRDefault="00707C33" w:rsidP="00F44E22">
            <w:pPr>
              <w:pStyle w:val="Tablecolumnheading"/>
            </w:pPr>
            <w:r>
              <w:t>%</w:t>
            </w:r>
          </w:p>
        </w:tc>
      </w:tr>
      <w:tr w:rsidR="008529A3" w:rsidTr="00DF5CE4">
        <w:trPr>
          <w:tblHeader/>
          <w:jc w:val="center"/>
        </w:trPr>
        <w:tc>
          <w:tcPr>
            <w:tcW w:w="2392" w:type="dxa"/>
          </w:tcPr>
          <w:p w:rsidR="008529A3" w:rsidRPr="0032750F" w:rsidRDefault="008529A3" w:rsidP="00F44E22">
            <w:pPr>
              <w:pStyle w:val="Tablebodytext"/>
              <w:rPr>
                <w:b/>
              </w:rPr>
            </w:pPr>
            <w:r>
              <w:rPr>
                <w:b/>
              </w:rPr>
              <w:t>RIS compliant</w:t>
            </w:r>
          </w:p>
        </w:tc>
        <w:tc>
          <w:tcPr>
            <w:tcW w:w="1065" w:type="dxa"/>
            <w:tcBorders>
              <w:right w:val="nil"/>
            </w:tcBorders>
          </w:tcPr>
          <w:p w:rsidR="008529A3" w:rsidRDefault="0034402A" w:rsidP="00130ADC">
            <w:pPr>
              <w:pStyle w:val="Tablebodytext"/>
            </w:pPr>
            <w:r>
              <w:t>47/48</w:t>
            </w:r>
          </w:p>
        </w:tc>
        <w:tc>
          <w:tcPr>
            <w:tcW w:w="1065" w:type="dxa"/>
            <w:tcBorders>
              <w:left w:val="nil"/>
            </w:tcBorders>
          </w:tcPr>
          <w:p w:rsidR="008529A3" w:rsidRDefault="008529A3" w:rsidP="00130ADC">
            <w:pPr>
              <w:pStyle w:val="Tablebodytext"/>
            </w:pPr>
            <w:r>
              <w:t>98</w:t>
            </w:r>
          </w:p>
        </w:tc>
        <w:tc>
          <w:tcPr>
            <w:tcW w:w="1235" w:type="dxa"/>
            <w:tcBorders>
              <w:right w:val="nil"/>
            </w:tcBorders>
          </w:tcPr>
          <w:p w:rsidR="008529A3" w:rsidRPr="00CE3DFA" w:rsidRDefault="009307CC" w:rsidP="00D13C14">
            <w:pPr>
              <w:pStyle w:val="Tablebodytext"/>
            </w:pPr>
            <w:r>
              <w:t>55/55</w:t>
            </w:r>
          </w:p>
        </w:tc>
        <w:tc>
          <w:tcPr>
            <w:tcW w:w="760" w:type="dxa"/>
            <w:tcBorders>
              <w:left w:val="nil"/>
              <w:bottom w:val="single" w:sz="2" w:space="0" w:color="A7B4BE"/>
              <w:right w:val="nil"/>
            </w:tcBorders>
          </w:tcPr>
          <w:p w:rsidR="008529A3" w:rsidRPr="00CE3DFA" w:rsidRDefault="003C4402" w:rsidP="00F44E22">
            <w:pPr>
              <w:pStyle w:val="Tablebodytext"/>
            </w:pPr>
            <w:r w:rsidRPr="00CE3DFA">
              <w:t>100</w:t>
            </w:r>
          </w:p>
        </w:tc>
      </w:tr>
      <w:tr w:rsidR="00AA416C" w:rsidTr="00DF5CE4">
        <w:trPr>
          <w:tblHeader/>
          <w:jc w:val="center"/>
        </w:trPr>
        <w:tc>
          <w:tcPr>
            <w:tcW w:w="2392" w:type="dxa"/>
          </w:tcPr>
          <w:p w:rsidR="00AA416C" w:rsidRDefault="00AA416C" w:rsidP="00F44E22">
            <w:pPr>
              <w:pStyle w:val="Tablebodytext"/>
              <w:rPr>
                <w:b/>
              </w:rPr>
            </w:pPr>
            <w:r>
              <w:rPr>
                <w:b/>
              </w:rPr>
              <w:t>Best practice</w:t>
            </w:r>
            <w:r w:rsidR="0055567A" w:rsidRPr="0055567A">
              <w:rPr>
                <w:rFonts w:ascii="Arial Bold" w:hAnsi="Arial Bold"/>
                <w:b/>
                <w:vertAlign w:val="superscript"/>
              </w:rPr>
              <w:t>b</w:t>
            </w:r>
          </w:p>
        </w:tc>
        <w:tc>
          <w:tcPr>
            <w:tcW w:w="1065" w:type="dxa"/>
            <w:tcBorders>
              <w:right w:val="nil"/>
            </w:tcBorders>
          </w:tcPr>
          <w:p w:rsidR="00AA416C" w:rsidRDefault="007E33D9" w:rsidP="00130ADC">
            <w:pPr>
              <w:pStyle w:val="Tablebodytext"/>
            </w:pPr>
            <w:r>
              <w:t>4</w:t>
            </w:r>
            <w:r w:rsidR="0034402A">
              <w:t>/9</w:t>
            </w:r>
          </w:p>
        </w:tc>
        <w:tc>
          <w:tcPr>
            <w:tcW w:w="1065" w:type="dxa"/>
            <w:tcBorders>
              <w:left w:val="nil"/>
            </w:tcBorders>
          </w:tcPr>
          <w:p w:rsidR="00AA416C" w:rsidRDefault="007E33D9" w:rsidP="00130ADC">
            <w:pPr>
              <w:pStyle w:val="Tablebodytext"/>
            </w:pPr>
            <w:r>
              <w:t>44</w:t>
            </w:r>
          </w:p>
        </w:tc>
        <w:tc>
          <w:tcPr>
            <w:tcW w:w="1235" w:type="dxa"/>
            <w:tcBorders>
              <w:right w:val="nil"/>
            </w:tcBorders>
          </w:tcPr>
          <w:p w:rsidR="00AA416C" w:rsidRPr="00CE3DFA" w:rsidRDefault="00066664" w:rsidP="00AE3C7A">
            <w:pPr>
              <w:pStyle w:val="Tablebodytext"/>
            </w:pPr>
            <w:r w:rsidRPr="00CE3DFA">
              <w:t>4</w:t>
            </w:r>
            <w:r w:rsidR="009307CC">
              <w:t>3</w:t>
            </w:r>
            <w:r w:rsidRPr="00CE3DFA">
              <w:t>/5</w:t>
            </w:r>
            <w:r w:rsidR="009307CC">
              <w:t>5</w:t>
            </w:r>
          </w:p>
        </w:tc>
        <w:tc>
          <w:tcPr>
            <w:tcW w:w="760" w:type="dxa"/>
            <w:tcBorders>
              <w:left w:val="nil"/>
              <w:bottom w:val="single" w:sz="2" w:space="0" w:color="A7B4BE"/>
            </w:tcBorders>
          </w:tcPr>
          <w:p w:rsidR="00AA416C" w:rsidRPr="00CE3DFA" w:rsidRDefault="004E764F" w:rsidP="00AE3C7A">
            <w:pPr>
              <w:pStyle w:val="Tablebodytext"/>
            </w:pPr>
            <w:r w:rsidRPr="00CE3DFA">
              <w:t>7</w:t>
            </w:r>
            <w:r w:rsidR="00AE3C7A">
              <w:t>8</w:t>
            </w:r>
          </w:p>
        </w:tc>
      </w:tr>
      <w:tr w:rsidR="009C7CCA" w:rsidTr="009C7CCA">
        <w:trPr>
          <w:tblHeader/>
          <w:jc w:val="center"/>
        </w:trPr>
        <w:tc>
          <w:tcPr>
            <w:tcW w:w="2392" w:type="dxa"/>
          </w:tcPr>
          <w:p w:rsidR="009C7CCA" w:rsidRPr="0032750F" w:rsidRDefault="009C7CCA" w:rsidP="00F44E22">
            <w:pPr>
              <w:pStyle w:val="Tablebodytext"/>
              <w:rPr>
                <w:b/>
              </w:rPr>
            </w:pPr>
            <w:r>
              <w:rPr>
                <w:b/>
              </w:rPr>
              <w:t>RISs for consultation</w:t>
            </w:r>
            <w:r w:rsidRPr="00DF5CE4">
              <w:rPr>
                <w:rFonts w:ascii="Arial Bold" w:hAnsi="Arial Bold"/>
                <w:b/>
                <w:vertAlign w:val="superscript"/>
              </w:rPr>
              <w:t>c</w:t>
            </w:r>
          </w:p>
        </w:tc>
        <w:tc>
          <w:tcPr>
            <w:tcW w:w="2130" w:type="dxa"/>
            <w:gridSpan w:val="2"/>
          </w:tcPr>
          <w:p w:rsidR="009C7CCA" w:rsidRDefault="009C7CCA" w:rsidP="00F44E22">
            <w:pPr>
              <w:pStyle w:val="Tablebodytext"/>
              <w:jc w:val="center"/>
            </w:pPr>
            <w:r>
              <w:t>8</w:t>
            </w:r>
          </w:p>
        </w:tc>
        <w:tc>
          <w:tcPr>
            <w:tcW w:w="1995" w:type="dxa"/>
            <w:gridSpan w:val="2"/>
            <w:vAlign w:val="center"/>
          </w:tcPr>
          <w:p w:rsidR="009C7CCA" w:rsidRPr="00CE3DFA" w:rsidRDefault="00CC6834" w:rsidP="00F44E22">
            <w:pPr>
              <w:pStyle w:val="Tablebodytext"/>
              <w:jc w:val="center"/>
            </w:pPr>
            <w:r w:rsidRPr="00CE3DFA">
              <w:t>10</w:t>
            </w:r>
          </w:p>
        </w:tc>
      </w:tr>
      <w:tr w:rsidR="009C7CCA" w:rsidTr="009C7CCA">
        <w:trPr>
          <w:tblHeader/>
          <w:jc w:val="center"/>
        </w:trPr>
        <w:tc>
          <w:tcPr>
            <w:tcW w:w="2392" w:type="dxa"/>
          </w:tcPr>
          <w:p w:rsidR="009C7CCA" w:rsidRPr="0032750F" w:rsidRDefault="009C7CCA" w:rsidP="00F44E22">
            <w:pPr>
              <w:pStyle w:val="Tablebodytext"/>
              <w:rPr>
                <w:b/>
              </w:rPr>
            </w:pPr>
            <w:r w:rsidRPr="0032750F">
              <w:rPr>
                <w:b/>
              </w:rPr>
              <w:t>Exceptional circumstances</w:t>
            </w:r>
          </w:p>
        </w:tc>
        <w:tc>
          <w:tcPr>
            <w:tcW w:w="2130" w:type="dxa"/>
            <w:gridSpan w:val="2"/>
          </w:tcPr>
          <w:p w:rsidR="009C7CCA" w:rsidRDefault="009C7CCA" w:rsidP="00F44E22">
            <w:pPr>
              <w:pStyle w:val="Tablebodytext"/>
              <w:jc w:val="center"/>
            </w:pPr>
            <w:r>
              <w:t>1</w:t>
            </w:r>
          </w:p>
        </w:tc>
        <w:tc>
          <w:tcPr>
            <w:tcW w:w="1995" w:type="dxa"/>
            <w:gridSpan w:val="2"/>
            <w:vAlign w:val="center"/>
          </w:tcPr>
          <w:p w:rsidR="009C7CCA" w:rsidRPr="00CE3DFA" w:rsidRDefault="009C7CCA" w:rsidP="00F44E22">
            <w:pPr>
              <w:pStyle w:val="Tablebodytext"/>
              <w:jc w:val="center"/>
            </w:pPr>
            <w:r w:rsidRPr="00CE3DFA">
              <w:t>0</w:t>
            </w:r>
          </w:p>
        </w:tc>
      </w:tr>
      <w:tr w:rsidR="00B350E4" w:rsidTr="00B350E4">
        <w:trPr>
          <w:tblHeader/>
          <w:jc w:val="center"/>
        </w:trPr>
        <w:tc>
          <w:tcPr>
            <w:tcW w:w="2392" w:type="dxa"/>
          </w:tcPr>
          <w:p w:rsidR="00B350E4" w:rsidRPr="0032750F" w:rsidRDefault="00B350E4" w:rsidP="00B350E4">
            <w:pPr>
              <w:pStyle w:val="Tablebodytext"/>
              <w:rPr>
                <w:b/>
              </w:rPr>
            </w:pPr>
            <w:r>
              <w:rPr>
                <w:b/>
              </w:rPr>
              <w:t>Estimated annual impact on Regulatory Burden</w:t>
            </w:r>
            <w:r w:rsidRPr="00B350E4">
              <w:rPr>
                <w:b/>
                <w:vertAlign w:val="superscript"/>
              </w:rPr>
              <w:t>d</w:t>
            </w:r>
          </w:p>
        </w:tc>
        <w:tc>
          <w:tcPr>
            <w:tcW w:w="2130" w:type="dxa"/>
            <w:gridSpan w:val="2"/>
            <w:vAlign w:val="center"/>
          </w:tcPr>
          <w:p w:rsidR="00B350E4" w:rsidRDefault="00B350E4" w:rsidP="00B350E4">
            <w:pPr>
              <w:pStyle w:val="Tablebodytext"/>
              <w:jc w:val="center"/>
            </w:pPr>
          </w:p>
        </w:tc>
        <w:tc>
          <w:tcPr>
            <w:tcW w:w="1995" w:type="dxa"/>
            <w:gridSpan w:val="2"/>
            <w:vAlign w:val="center"/>
          </w:tcPr>
          <w:p w:rsidR="00B350E4" w:rsidRPr="00CE3DFA" w:rsidRDefault="00A05FF3" w:rsidP="00CF5512">
            <w:pPr>
              <w:pStyle w:val="Tablebodytext"/>
              <w:jc w:val="center"/>
              <w:rPr>
                <w:highlight w:val="yellow"/>
              </w:rPr>
            </w:pPr>
            <w:r w:rsidRPr="00CE3DFA">
              <w:t>-$</w:t>
            </w:r>
            <w:r w:rsidR="000F0A64">
              <w:t>8</w:t>
            </w:r>
            <w:r w:rsidR="00CF5512">
              <w:t>65</w:t>
            </w:r>
            <w:r w:rsidR="000F0A64">
              <w:t>.2</w:t>
            </w:r>
            <w:r w:rsidR="00465BCB" w:rsidRPr="00CE3DFA">
              <w:t xml:space="preserve"> million</w:t>
            </w:r>
            <w:r w:rsidR="00DC2C23" w:rsidRPr="00CE3DFA">
              <w:rPr>
                <w:vertAlign w:val="superscript"/>
              </w:rPr>
              <w:t>e</w:t>
            </w:r>
          </w:p>
        </w:tc>
      </w:tr>
    </w:tbl>
    <w:p w:rsidR="00683A75" w:rsidRDefault="00683A75" w:rsidP="00683A75">
      <w:pPr>
        <w:pStyle w:val="Sourcenotetext"/>
      </w:pPr>
      <w:r w:rsidRPr="00DF5CE4">
        <w:t>a</w:t>
      </w:r>
      <w:r w:rsidRPr="0031239E">
        <w:t xml:space="preserve"> Year to date.</w:t>
      </w:r>
    </w:p>
    <w:p w:rsidR="009C7CCA" w:rsidRDefault="0055567A" w:rsidP="00683A75">
      <w:pPr>
        <w:pStyle w:val="Sourcenotetext"/>
      </w:pPr>
      <w:r>
        <w:t>b. An assessment of best practice is only made under the March 2014 RIA process</w:t>
      </w:r>
      <w:r w:rsidR="008529A3">
        <w:t>.  In 201</w:t>
      </w:r>
      <w:r w:rsidR="00CC58F1">
        <w:t>3-14, five</w:t>
      </w:r>
      <w:r w:rsidR="008529A3">
        <w:t xml:space="preserve"> </w:t>
      </w:r>
      <w:r w:rsidR="00CC58F1">
        <w:t>from nine</w:t>
      </w:r>
      <w:r w:rsidR="00864F59">
        <w:t xml:space="preserve"> </w:t>
      </w:r>
      <w:r w:rsidR="008529A3">
        <w:t>RISs were considered compliant but not best practice</w:t>
      </w:r>
      <w:r w:rsidR="00864F59">
        <w:t>.</w:t>
      </w:r>
    </w:p>
    <w:p w:rsidR="0055567A" w:rsidRDefault="009C7CCA" w:rsidP="00683A75">
      <w:pPr>
        <w:pStyle w:val="Sourcenotetext"/>
      </w:pPr>
      <w:r>
        <w:t>c. RISs published for consultation includes options-stage RISs under the July 2013 RIA process.</w:t>
      </w:r>
    </w:p>
    <w:p w:rsidR="00B100C6" w:rsidRDefault="003711FC" w:rsidP="00683A75">
      <w:pPr>
        <w:pStyle w:val="Sourcenotetext"/>
      </w:pPr>
      <w:r>
        <w:t>d. Regulatory burden in RISs</w:t>
      </w:r>
      <w:r w:rsidR="00B350E4">
        <w:t xml:space="preserve"> are estimated using the Commonwealth Regulatory Burden measurement framework and are assumed to be spread over 10 years. </w:t>
      </w:r>
      <w:r>
        <w:t>The estimate is based on RISs published at the final decision point.</w:t>
      </w:r>
    </w:p>
    <w:p w:rsidR="00DC2C23" w:rsidRPr="00B100C6" w:rsidRDefault="00DC2C23" w:rsidP="00683A75">
      <w:pPr>
        <w:pStyle w:val="Sourcenotetext"/>
      </w:pPr>
      <w:r w:rsidRPr="00B100C6">
        <w:t xml:space="preserve">e. The total estimated </w:t>
      </w:r>
      <w:r w:rsidR="0007764A" w:rsidRPr="00B100C6">
        <w:t>annual</w:t>
      </w:r>
      <w:r w:rsidRPr="00B100C6">
        <w:t xml:space="preserve"> impact on regulatory burden may differ from the other figures in this document due to rounding. </w:t>
      </w:r>
    </w:p>
    <w:p w:rsidR="00730ADC" w:rsidRDefault="00730ADC" w:rsidP="00B350E4">
      <w:pPr>
        <w:pStyle w:val="Heading2"/>
        <w:ind w:left="0" w:firstLine="0"/>
      </w:pPr>
      <w:r>
        <w:br w:type="page"/>
      </w:r>
      <w:bookmarkStart w:id="125" w:name="_Toc424109896"/>
      <w:bookmarkStart w:id="126" w:name="_Toc426374301"/>
      <w:bookmarkStart w:id="127" w:name="_Toc426536132"/>
      <w:bookmarkStart w:id="128" w:name="_Toc428965502"/>
      <w:r>
        <w:lastRenderedPageBreak/>
        <w:t>Regulation Impact Statement compliance 2014-15 (by proposal)</w:t>
      </w:r>
      <w:bookmarkEnd w:id="125"/>
      <w:bookmarkEnd w:id="126"/>
      <w:bookmarkEnd w:id="127"/>
      <w:bookmarkEnd w:id="128"/>
      <w:r>
        <w:t xml:space="preserve"> </w:t>
      </w:r>
      <w:r>
        <w:br/>
      </w:r>
    </w:p>
    <w:tbl>
      <w:tblPr>
        <w:tblW w:w="9979" w:type="dxa"/>
        <w:tblInd w:w="-142" w:type="dxa"/>
        <w:tblLayout w:type="fixed"/>
        <w:tblCellMar>
          <w:left w:w="0" w:type="dxa"/>
          <w:right w:w="0" w:type="dxa"/>
        </w:tblCellMar>
        <w:tblLook w:val="0000" w:firstRow="0" w:lastRow="0" w:firstColumn="0" w:lastColumn="0" w:noHBand="0" w:noVBand="0"/>
      </w:tblPr>
      <w:tblGrid>
        <w:gridCol w:w="5245"/>
        <w:gridCol w:w="1420"/>
        <w:gridCol w:w="1105"/>
        <w:gridCol w:w="1104"/>
        <w:gridCol w:w="1105"/>
      </w:tblGrid>
      <w:tr w:rsidR="00730ADC" w:rsidTr="007E5F78">
        <w:trPr>
          <w:tblHeader/>
        </w:trPr>
        <w:tc>
          <w:tcPr>
            <w:tcW w:w="5245" w:type="dxa"/>
            <w:shd w:val="clear" w:color="auto" w:fill="F4973F"/>
            <w:vAlign w:val="center"/>
          </w:tcPr>
          <w:p w:rsidR="00730ADC" w:rsidRDefault="00730ADC" w:rsidP="00631829">
            <w:pPr>
              <w:pStyle w:val="TableParagraph"/>
              <w:kinsoku w:val="0"/>
              <w:overflowPunct w:val="0"/>
              <w:spacing w:beforeLines="60" w:before="144" w:after="60"/>
              <w:ind w:left="85"/>
            </w:pPr>
          </w:p>
        </w:tc>
        <w:tc>
          <w:tcPr>
            <w:tcW w:w="1420" w:type="dxa"/>
            <w:shd w:val="clear" w:color="auto" w:fill="F4973F"/>
            <w:vAlign w:val="center"/>
          </w:tcPr>
          <w:p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RIS Compliance</w:t>
            </w:r>
          </w:p>
        </w:tc>
        <w:tc>
          <w:tcPr>
            <w:tcW w:w="1105" w:type="dxa"/>
            <w:shd w:val="clear" w:color="auto" w:fill="F4973F"/>
            <w:vAlign w:val="center"/>
          </w:tcPr>
          <w:p w:rsidR="00730ADC" w:rsidRDefault="00730ADC" w:rsidP="0063182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730ADC" w:rsidRDefault="00730ADC" w:rsidP="00B350E4">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Regulatory </w:t>
            </w:r>
            <w:r w:rsidR="00F96E4B">
              <w:rPr>
                <w:rFonts w:ascii="Arial" w:hAnsi="Arial" w:cs="Arial"/>
                <w:color w:val="FFFFFF"/>
                <w:w w:val="105"/>
                <w:sz w:val="18"/>
                <w:szCs w:val="18"/>
              </w:rPr>
              <w:t>B</w:t>
            </w:r>
            <w:r w:rsidR="000066BC">
              <w:rPr>
                <w:rFonts w:ascii="Arial" w:hAnsi="Arial" w:cs="Arial"/>
                <w:color w:val="FFFFFF"/>
                <w:w w:val="105"/>
                <w:sz w:val="18"/>
                <w:szCs w:val="18"/>
              </w:rPr>
              <w:t>urden</w:t>
            </w:r>
            <w:r>
              <w:rPr>
                <w:rFonts w:ascii="Arial" w:hAnsi="Arial" w:cs="Arial"/>
                <w:color w:val="FFFFFF"/>
                <w:w w:val="105"/>
                <w:sz w:val="18"/>
                <w:szCs w:val="18"/>
              </w:rPr>
              <w:t xml:space="preserve"> ($m)</w:t>
            </w:r>
          </w:p>
        </w:tc>
      </w:tr>
      <w:tr w:rsidR="006040B4" w:rsidTr="008960F5">
        <w:trPr>
          <w:trHeight w:hRule="exact" w:val="525"/>
        </w:trPr>
        <w:tc>
          <w:tcPr>
            <w:tcW w:w="5245" w:type="dxa"/>
            <w:shd w:val="clear" w:color="auto" w:fill="FDE9D9"/>
            <w:vAlign w:val="center"/>
          </w:tcPr>
          <w:p w:rsidR="006040B4" w:rsidRDefault="006040B4" w:rsidP="00631829">
            <w:pPr>
              <w:pStyle w:val="TableParagraph"/>
              <w:kinsoku w:val="0"/>
              <w:overflowPunct w:val="0"/>
              <w:spacing w:before="54" w:line="255" w:lineRule="auto"/>
              <w:ind w:left="80" w:right="100"/>
              <w:rPr>
                <w:rFonts w:ascii="Arial" w:hAnsi="Arial" w:cs="Arial"/>
                <w:b/>
                <w:spacing w:val="-3"/>
                <w:sz w:val="18"/>
                <w:szCs w:val="18"/>
              </w:rPr>
            </w:pPr>
            <w:r>
              <w:rPr>
                <w:rFonts w:ascii="Arial" w:hAnsi="Arial" w:cs="Arial"/>
                <w:b/>
                <w:spacing w:val="-3"/>
                <w:sz w:val="18"/>
                <w:szCs w:val="18"/>
              </w:rPr>
              <w:t>Agriculture</w:t>
            </w:r>
          </w:p>
        </w:tc>
        <w:tc>
          <w:tcPr>
            <w:tcW w:w="1420" w:type="dxa"/>
            <w:shd w:val="clear" w:color="auto" w:fill="FDE9D9"/>
            <w:vAlign w:val="center"/>
          </w:tcPr>
          <w:p w:rsidR="006040B4" w:rsidRPr="00C45CF7" w:rsidRDefault="00C6316C" w:rsidP="00631829">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6/6</w:t>
            </w:r>
          </w:p>
        </w:tc>
        <w:tc>
          <w:tcPr>
            <w:tcW w:w="1105" w:type="dxa"/>
            <w:shd w:val="clear" w:color="auto" w:fill="FDE9D9"/>
            <w:vAlign w:val="center"/>
          </w:tcPr>
          <w:p w:rsidR="006040B4" w:rsidRPr="00C45CF7" w:rsidRDefault="00C6316C" w:rsidP="00631829">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5/6</w:t>
            </w:r>
          </w:p>
        </w:tc>
        <w:tc>
          <w:tcPr>
            <w:tcW w:w="1104" w:type="dxa"/>
            <w:shd w:val="clear" w:color="auto" w:fill="FDE9D9"/>
            <w:vAlign w:val="center"/>
          </w:tcPr>
          <w:p w:rsidR="006040B4" w:rsidRPr="00C45CF7" w:rsidRDefault="006040B4" w:rsidP="00631829">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rsidR="006040B4" w:rsidRPr="00C45CF7" w:rsidRDefault="00C367D0" w:rsidP="003B757A">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C6316C">
              <w:rPr>
                <w:rFonts w:ascii="Arial" w:hAnsi="Arial" w:cs="Arial"/>
                <w:b/>
                <w:spacing w:val="-3"/>
                <w:sz w:val="18"/>
                <w:szCs w:val="18"/>
              </w:rPr>
              <w:t>15.3</w:t>
            </w:r>
          </w:p>
        </w:tc>
      </w:tr>
      <w:tr w:rsidR="006040B4" w:rsidTr="008960F5">
        <w:trPr>
          <w:trHeight w:hRule="exact" w:val="525"/>
        </w:trPr>
        <w:tc>
          <w:tcPr>
            <w:tcW w:w="5245" w:type="dxa"/>
            <w:shd w:val="clear" w:color="auto" w:fill="FDE9D9"/>
            <w:vAlign w:val="center"/>
          </w:tcPr>
          <w:p w:rsidR="006040B4" w:rsidRPr="00CE3B33" w:rsidRDefault="006040B4" w:rsidP="008960F5">
            <w:pPr>
              <w:pStyle w:val="TableParagraph"/>
              <w:kinsoku w:val="0"/>
              <w:overflowPunct w:val="0"/>
              <w:spacing w:before="54" w:line="255" w:lineRule="auto"/>
              <w:ind w:left="80" w:right="100"/>
              <w:rPr>
                <w:rFonts w:ascii="Arial" w:hAnsi="Arial" w:cs="Arial"/>
                <w:spacing w:val="-3"/>
                <w:sz w:val="18"/>
                <w:szCs w:val="18"/>
              </w:rPr>
            </w:pPr>
            <w:r>
              <w:rPr>
                <w:rFonts w:ascii="Arial" w:hAnsi="Arial" w:cs="Arial"/>
                <w:i/>
                <w:spacing w:val="-3"/>
                <w:sz w:val="18"/>
                <w:szCs w:val="18"/>
              </w:rPr>
              <w:t>Department of Agriculture</w:t>
            </w:r>
          </w:p>
        </w:tc>
        <w:tc>
          <w:tcPr>
            <w:tcW w:w="1420" w:type="dxa"/>
            <w:shd w:val="clear" w:color="auto" w:fill="FDE9D9"/>
            <w:vAlign w:val="center"/>
          </w:tcPr>
          <w:p w:rsidR="006040B4" w:rsidRPr="002826A9" w:rsidRDefault="00C6316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6/6</w:t>
            </w:r>
          </w:p>
        </w:tc>
        <w:tc>
          <w:tcPr>
            <w:tcW w:w="1105" w:type="dxa"/>
            <w:shd w:val="clear" w:color="auto" w:fill="FDE9D9"/>
            <w:vAlign w:val="center"/>
          </w:tcPr>
          <w:p w:rsidR="006040B4" w:rsidRPr="002826A9" w:rsidRDefault="00C6316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5/6</w:t>
            </w:r>
          </w:p>
        </w:tc>
        <w:tc>
          <w:tcPr>
            <w:tcW w:w="1104" w:type="dxa"/>
            <w:shd w:val="clear" w:color="auto" w:fill="FDE9D9"/>
            <w:vAlign w:val="center"/>
          </w:tcPr>
          <w:p w:rsidR="006040B4" w:rsidRPr="002826A9" w:rsidRDefault="006040B4"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6040B4" w:rsidRPr="002826A9" w:rsidRDefault="00C367D0"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C6316C">
              <w:rPr>
                <w:rFonts w:ascii="Arial" w:hAnsi="Arial" w:cs="Arial"/>
                <w:spacing w:val="-3"/>
                <w:sz w:val="18"/>
                <w:szCs w:val="18"/>
              </w:rPr>
              <w:t>15.3</w:t>
            </w:r>
          </w:p>
        </w:tc>
      </w:tr>
      <w:tr w:rsidR="006040B4" w:rsidTr="006040B4">
        <w:trPr>
          <w:trHeight w:hRule="exact" w:val="525"/>
        </w:trPr>
        <w:tc>
          <w:tcPr>
            <w:tcW w:w="5245" w:type="dxa"/>
            <w:shd w:val="clear" w:color="auto" w:fill="auto"/>
            <w:vAlign w:val="center"/>
          </w:tcPr>
          <w:p w:rsidR="006040B4" w:rsidRDefault="006040B4" w:rsidP="008960F5">
            <w:pPr>
              <w:pStyle w:val="TableParagraph"/>
              <w:kinsoku w:val="0"/>
              <w:overflowPunct w:val="0"/>
              <w:spacing w:before="54" w:line="254" w:lineRule="auto"/>
              <w:ind w:left="170" w:right="102"/>
              <w:rPr>
                <w:rFonts w:ascii="Arial" w:hAnsi="Arial" w:cs="Arial"/>
                <w:spacing w:val="-3"/>
                <w:sz w:val="18"/>
                <w:szCs w:val="18"/>
              </w:rPr>
            </w:pPr>
            <w:r w:rsidRPr="004B6287">
              <w:rPr>
                <w:rFonts w:ascii="Arial" w:hAnsi="Arial" w:cs="Arial"/>
                <w:spacing w:val="-3"/>
                <w:sz w:val="18"/>
                <w:szCs w:val="18"/>
              </w:rPr>
              <w:t>Biosecurity legislation</w:t>
            </w:r>
          </w:p>
        </w:tc>
        <w:tc>
          <w:tcPr>
            <w:tcW w:w="1420"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2"/>
                <w:w w:val="90"/>
                <w:sz w:val="18"/>
                <w:szCs w:val="18"/>
              </w:rPr>
            </w:pPr>
            <w:r>
              <w:rPr>
                <w:rFonts w:ascii="Arial" w:hAnsi="Arial" w:cs="Arial"/>
                <w:spacing w:val="-3"/>
                <w:sz w:val="18"/>
                <w:szCs w:val="18"/>
              </w:rPr>
              <w:t>Compliant</w:t>
            </w:r>
          </w:p>
        </w:tc>
        <w:tc>
          <w:tcPr>
            <w:tcW w:w="1105" w:type="dxa"/>
            <w:shd w:val="clear" w:color="auto" w:fill="auto"/>
            <w:vAlign w:val="center"/>
          </w:tcPr>
          <w:p w:rsidR="006040B4" w:rsidRDefault="006040B4" w:rsidP="008960F5">
            <w:pPr>
              <w:pStyle w:val="TableParagraph"/>
              <w:kinsoku w:val="0"/>
              <w:overflowPunct w:val="0"/>
              <w:spacing w:before="54"/>
              <w:jc w:val="center"/>
              <w:rPr>
                <w:rFonts w:ascii="Arial" w:hAnsi="Arial" w:cs="Arial"/>
                <w:w w:val="85"/>
                <w:sz w:val="18"/>
                <w:szCs w:val="18"/>
              </w:rPr>
            </w:pPr>
            <w:r>
              <w:rPr>
                <w:rFonts w:ascii="Arial" w:hAnsi="Arial" w:cs="Arial"/>
                <w:spacing w:val="-3"/>
                <w:sz w:val="18"/>
                <w:szCs w:val="18"/>
              </w:rPr>
              <w:t>Yes</w:t>
            </w:r>
          </w:p>
        </w:tc>
        <w:tc>
          <w:tcPr>
            <w:tcW w:w="1104" w:type="dxa"/>
            <w:shd w:val="clear" w:color="auto" w:fill="auto"/>
            <w:vAlign w:val="center"/>
          </w:tcPr>
          <w:p w:rsidR="006040B4" w:rsidRDefault="006040B4" w:rsidP="008960F5">
            <w:pPr>
              <w:pStyle w:val="TableParagraph"/>
              <w:kinsoku w:val="0"/>
              <w:overflowPunct w:val="0"/>
              <w:spacing w:before="54"/>
              <w:jc w:val="center"/>
              <w:rPr>
                <w:rFonts w:ascii="Arial" w:hAnsi="Arial" w:cs="Arial"/>
                <w:w w:val="85"/>
                <w:sz w:val="18"/>
                <w:szCs w:val="18"/>
              </w:rPr>
            </w:pPr>
            <w:r>
              <w:rPr>
                <w:rFonts w:ascii="Arial" w:hAnsi="Arial" w:cs="Arial"/>
                <w:spacing w:val="-3"/>
                <w:sz w:val="18"/>
                <w:szCs w:val="18"/>
              </w:rPr>
              <w:t>No</w:t>
            </w:r>
          </w:p>
        </w:tc>
        <w:tc>
          <w:tcPr>
            <w:tcW w:w="1105" w:type="dxa"/>
            <w:shd w:val="clear" w:color="auto" w:fill="auto"/>
            <w:vAlign w:val="center"/>
          </w:tcPr>
          <w:p w:rsidR="006040B4" w:rsidRDefault="006040B4"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-$6.9</w:t>
            </w:r>
          </w:p>
        </w:tc>
      </w:tr>
      <w:tr w:rsidR="0089752C" w:rsidTr="006040B4">
        <w:trPr>
          <w:trHeight w:hRule="exact" w:val="525"/>
        </w:trPr>
        <w:tc>
          <w:tcPr>
            <w:tcW w:w="5245" w:type="dxa"/>
            <w:shd w:val="clear" w:color="auto" w:fill="auto"/>
            <w:vAlign w:val="center"/>
          </w:tcPr>
          <w:p w:rsidR="0089752C" w:rsidRPr="004B6287" w:rsidRDefault="0089752C" w:rsidP="008960F5">
            <w:pPr>
              <w:pStyle w:val="TableParagraph"/>
              <w:kinsoku w:val="0"/>
              <w:overflowPunct w:val="0"/>
              <w:spacing w:before="54" w:line="254" w:lineRule="auto"/>
              <w:ind w:left="170" w:right="102"/>
              <w:rPr>
                <w:rFonts w:ascii="Arial" w:hAnsi="Arial" w:cs="Arial"/>
                <w:spacing w:val="-3"/>
                <w:sz w:val="18"/>
                <w:szCs w:val="18"/>
              </w:rPr>
            </w:pPr>
            <w:r w:rsidRPr="0089752C">
              <w:rPr>
                <w:rFonts w:ascii="Arial" w:hAnsi="Arial" w:cs="Arial"/>
                <w:spacing w:val="-3"/>
                <w:sz w:val="18"/>
                <w:szCs w:val="18"/>
              </w:rPr>
              <w:t>Export regulation enabled by the Horticulture Marketing and Research and Development Services Act 2000</w:t>
            </w:r>
          </w:p>
        </w:tc>
        <w:tc>
          <w:tcPr>
            <w:tcW w:w="1420" w:type="dxa"/>
            <w:shd w:val="clear" w:color="auto" w:fill="auto"/>
            <w:vAlign w:val="center"/>
          </w:tcPr>
          <w:p w:rsidR="0089752C" w:rsidRDefault="0089752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89752C" w:rsidRDefault="0089752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89752C" w:rsidRDefault="0089752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shd w:val="clear" w:color="auto" w:fill="auto"/>
            <w:vAlign w:val="center"/>
          </w:tcPr>
          <w:p w:rsidR="0089752C" w:rsidRDefault="0089752C"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D73580" w:rsidTr="006040B4">
        <w:trPr>
          <w:trHeight w:hRule="exact" w:val="525"/>
        </w:trPr>
        <w:tc>
          <w:tcPr>
            <w:tcW w:w="5245" w:type="dxa"/>
            <w:shd w:val="clear" w:color="auto" w:fill="auto"/>
            <w:vAlign w:val="center"/>
          </w:tcPr>
          <w:p w:rsidR="00D73580" w:rsidRPr="0089752C" w:rsidRDefault="00D73580"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Future Status of Super Trawlers</w:t>
            </w:r>
          </w:p>
        </w:tc>
        <w:tc>
          <w:tcPr>
            <w:tcW w:w="1420" w:type="dxa"/>
            <w:shd w:val="clear" w:color="auto" w:fill="auto"/>
            <w:vAlign w:val="center"/>
          </w:tcPr>
          <w:p w:rsidR="00D73580" w:rsidRDefault="00D73580"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D73580" w:rsidRDefault="00D73580"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4" w:type="dxa"/>
            <w:shd w:val="clear" w:color="auto" w:fill="auto"/>
            <w:vAlign w:val="center"/>
          </w:tcPr>
          <w:p w:rsidR="00D73580" w:rsidRDefault="00D73580"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shd w:val="clear" w:color="auto" w:fill="auto"/>
            <w:vAlign w:val="center"/>
          </w:tcPr>
          <w:p w:rsidR="00D73580" w:rsidRDefault="00D73580"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6040B4" w:rsidTr="006040B4">
        <w:trPr>
          <w:trHeight w:hRule="exact" w:val="525"/>
        </w:trPr>
        <w:tc>
          <w:tcPr>
            <w:tcW w:w="5245" w:type="dxa"/>
            <w:shd w:val="clear" w:color="auto" w:fill="auto"/>
            <w:vAlign w:val="center"/>
          </w:tcPr>
          <w:p w:rsidR="006040B4" w:rsidRDefault="006040B4" w:rsidP="008960F5">
            <w:pPr>
              <w:pStyle w:val="TableParagraph"/>
              <w:kinsoku w:val="0"/>
              <w:overflowPunct w:val="0"/>
              <w:spacing w:before="54" w:line="254" w:lineRule="auto"/>
              <w:ind w:left="170" w:right="102"/>
              <w:rPr>
                <w:rFonts w:ascii="Arial" w:hAnsi="Arial" w:cs="Arial"/>
                <w:spacing w:val="-3"/>
                <w:sz w:val="18"/>
                <w:szCs w:val="18"/>
              </w:rPr>
            </w:pPr>
            <w:r w:rsidRPr="00551A9F">
              <w:rPr>
                <w:rFonts w:ascii="Arial" w:hAnsi="Arial" w:cs="Arial"/>
                <w:spacing w:val="-3"/>
                <w:sz w:val="18"/>
                <w:szCs w:val="18"/>
              </w:rPr>
              <w:t>Mandatory Code of Conduct for Grain Export Terminals</w:t>
            </w:r>
          </w:p>
        </w:tc>
        <w:tc>
          <w:tcPr>
            <w:tcW w:w="1420"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6040B4" w:rsidRDefault="006040B4"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-$0.6</w:t>
            </w:r>
          </w:p>
        </w:tc>
      </w:tr>
      <w:tr w:rsidR="00AB3B19" w:rsidTr="006040B4">
        <w:trPr>
          <w:trHeight w:hRule="exact" w:val="525"/>
        </w:trPr>
        <w:tc>
          <w:tcPr>
            <w:tcW w:w="5245" w:type="dxa"/>
            <w:shd w:val="clear" w:color="auto" w:fill="auto"/>
            <w:vAlign w:val="center"/>
          </w:tcPr>
          <w:p w:rsidR="00AB3B19" w:rsidRPr="00551A9F" w:rsidRDefault="00AB3B19"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Reducing the Regulation of Stock Food and Pet Food </w:t>
            </w:r>
          </w:p>
        </w:tc>
        <w:tc>
          <w:tcPr>
            <w:tcW w:w="1420" w:type="dxa"/>
            <w:shd w:val="clear" w:color="auto" w:fill="auto"/>
            <w:vAlign w:val="center"/>
          </w:tcPr>
          <w:p w:rsidR="00AB3B19" w:rsidRDefault="00AB3B1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AB3B19" w:rsidRDefault="00AB3B1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AB3B19" w:rsidRDefault="00AB3B1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AB3B19" w:rsidRDefault="00AB3B1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-$7.8</w:t>
            </w:r>
          </w:p>
        </w:tc>
      </w:tr>
      <w:tr w:rsidR="002230CE" w:rsidTr="006040B4">
        <w:trPr>
          <w:trHeight w:hRule="exact" w:val="525"/>
        </w:trPr>
        <w:tc>
          <w:tcPr>
            <w:tcW w:w="5245" w:type="dxa"/>
            <w:shd w:val="clear" w:color="auto" w:fill="auto"/>
            <w:vAlign w:val="center"/>
          </w:tcPr>
          <w:p w:rsidR="002230CE" w:rsidRDefault="002230CE" w:rsidP="008960F5">
            <w:pPr>
              <w:pStyle w:val="TableParagraph"/>
              <w:kinsoku w:val="0"/>
              <w:overflowPunct w:val="0"/>
              <w:spacing w:before="54" w:line="254" w:lineRule="auto"/>
              <w:ind w:left="170" w:right="102"/>
              <w:rPr>
                <w:rFonts w:ascii="Arial" w:hAnsi="Arial" w:cs="Arial"/>
                <w:spacing w:val="-3"/>
                <w:sz w:val="18"/>
                <w:szCs w:val="18"/>
              </w:rPr>
            </w:pPr>
            <w:r w:rsidRPr="00CA1D2D">
              <w:rPr>
                <w:rFonts w:ascii="Arial" w:hAnsi="Arial" w:cs="Arial"/>
                <w:spacing w:val="-3"/>
                <w:sz w:val="18"/>
                <w:szCs w:val="18"/>
              </w:rPr>
              <w:t>Regulations for Honey Levy Reforms</w:t>
            </w:r>
          </w:p>
        </w:tc>
        <w:tc>
          <w:tcPr>
            <w:tcW w:w="1420" w:type="dxa"/>
            <w:shd w:val="clear" w:color="auto" w:fill="auto"/>
            <w:vAlign w:val="center"/>
          </w:tcPr>
          <w:p w:rsidR="002230CE" w:rsidRDefault="002230C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2230CE" w:rsidRDefault="002230C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2230CE" w:rsidRDefault="002230C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2230CE" w:rsidRDefault="002230CE"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6040B4" w:rsidTr="008960F5">
        <w:trPr>
          <w:trHeight w:hRule="exact" w:val="525"/>
        </w:trPr>
        <w:tc>
          <w:tcPr>
            <w:tcW w:w="5245" w:type="dxa"/>
            <w:shd w:val="clear" w:color="auto" w:fill="FDE9D9"/>
            <w:vAlign w:val="center"/>
          </w:tcPr>
          <w:p w:rsidR="006040B4" w:rsidRPr="00CE3B33" w:rsidRDefault="006040B4" w:rsidP="00631829">
            <w:pPr>
              <w:pStyle w:val="TableParagraph"/>
              <w:kinsoku w:val="0"/>
              <w:overflowPunct w:val="0"/>
              <w:spacing w:before="54" w:line="255" w:lineRule="auto"/>
              <w:ind w:left="80" w:right="100"/>
              <w:rPr>
                <w:rFonts w:ascii="Arial" w:hAnsi="Arial" w:cs="Arial"/>
                <w:b/>
                <w:sz w:val="18"/>
                <w:szCs w:val="18"/>
              </w:rPr>
            </w:pPr>
            <w:r>
              <w:rPr>
                <w:rFonts w:ascii="Arial" w:hAnsi="Arial" w:cs="Arial"/>
                <w:b/>
                <w:spacing w:val="-3"/>
                <w:sz w:val="18"/>
                <w:szCs w:val="18"/>
              </w:rPr>
              <w:t xml:space="preserve">Attorney General’s </w:t>
            </w:r>
          </w:p>
        </w:tc>
        <w:tc>
          <w:tcPr>
            <w:tcW w:w="1420" w:type="dxa"/>
            <w:shd w:val="clear" w:color="auto" w:fill="FDE9D9"/>
            <w:vAlign w:val="center"/>
          </w:tcPr>
          <w:p w:rsidR="006040B4" w:rsidRPr="00C45CF7" w:rsidRDefault="00B707BA" w:rsidP="00631829">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3/3</w:t>
            </w:r>
          </w:p>
        </w:tc>
        <w:tc>
          <w:tcPr>
            <w:tcW w:w="1105" w:type="dxa"/>
            <w:shd w:val="clear" w:color="auto" w:fill="FDE9D9"/>
            <w:vAlign w:val="center"/>
          </w:tcPr>
          <w:p w:rsidR="006040B4" w:rsidRPr="00C45CF7" w:rsidRDefault="00B707BA" w:rsidP="00631829">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2/3</w:t>
            </w:r>
          </w:p>
        </w:tc>
        <w:tc>
          <w:tcPr>
            <w:tcW w:w="1104" w:type="dxa"/>
            <w:shd w:val="clear" w:color="auto" w:fill="FDE9D9"/>
            <w:vAlign w:val="center"/>
          </w:tcPr>
          <w:p w:rsidR="006040B4" w:rsidRPr="00C45CF7" w:rsidRDefault="006040B4" w:rsidP="00631829">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rsidR="006040B4" w:rsidRPr="00C45CF7" w:rsidRDefault="009803F9" w:rsidP="003B757A">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B707BA">
              <w:rPr>
                <w:rFonts w:ascii="Arial" w:hAnsi="Arial" w:cs="Arial"/>
                <w:b/>
                <w:spacing w:val="-3"/>
                <w:sz w:val="18"/>
                <w:szCs w:val="18"/>
              </w:rPr>
              <w:t>0</w:t>
            </w:r>
            <w:r>
              <w:rPr>
                <w:rFonts w:ascii="Arial" w:hAnsi="Arial" w:cs="Arial"/>
                <w:b/>
                <w:spacing w:val="-3"/>
                <w:sz w:val="18"/>
                <w:szCs w:val="18"/>
              </w:rPr>
              <w:t>.</w:t>
            </w:r>
            <w:r w:rsidR="00B707BA">
              <w:rPr>
                <w:rFonts w:ascii="Arial" w:hAnsi="Arial" w:cs="Arial"/>
                <w:b/>
                <w:spacing w:val="-3"/>
                <w:sz w:val="18"/>
                <w:szCs w:val="18"/>
              </w:rPr>
              <w:t>1</w:t>
            </w:r>
          </w:p>
        </w:tc>
      </w:tr>
      <w:tr w:rsidR="006040B4" w:rsidTr="008960F5">
        <w:trPr>
          <w:trHeight w:hRule="exact" w:val="525"/>
        </w:trPr>
        <w:tc>
          <w:tcPr>
            <w:tcW w:w="5245" w:type="dxa"/>
            <w:shd w:val="clear" w:color="auto" w:fill="FDE9D9"/>
            <w:vAlign w:val="center"/>
          </w:tcPr>
          <w:p w:rsidR="006040B4" w:rsidRPr="00CE3B33" w:rsidRDefault="006040B4" w:rsidP="00631829">
            <w:pPr>
              <w:pStyle w:val="TableParagraph"/>
              <w:kinsoku w:val="0"/>
              <w:overflowPunct w:val="0"/>
              <w:spacing w:before="54" w:line="255" w:lineRule="auto"/>
              <w:ind w:left="80" w:right="100"/>
              <w:rPr>
                <w:rFonts w:ascii="Arial" w:hAnsi="Arial" w:cs="Arial"/>
                <w:spacing w:val="-3"/>
                <w:sz w:val="18"/>
                <w:szCs w:val="18"/>
              </w:rPr>
            </w:pPr>
            <w:r>
              <w:rPr>
                <w:rFonts w:ascii="Arial" w:hAnsi="Arial" w:cs="Arial"/>
                <w:i/>
                <w:spacing w:val="-3"/>
                <w:sz w:val="18"/>
                <w:szCs w:val="18"/>
              </w:rPr>
              <w:t>Attorney General’s Department</w:t>
            </w:r>
          </w:p>
        </w:tc>
        <w:tc>
          <w:tcPr>
            <w:tcW w:w="1420" w:type="dxa"/>
            <w:shd w:val="clear" w:color="auto" w:fill="FDE9D9"/>
            <w:vAlign w:val="center"/>
          </w:tcPr>
          <w:p w:rsidR="006040B4" w:rsidRPr="002826A9" w:rsidRDefault="00B707BA"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3/3</w:t>
            </w:r>
          </w:p>
        </w:tc>
        <w:tc>
          <w:tcPr>
            <w:tcW w:w="1105" w:type="dxa"/>
            <w:shd w:val="clear" w:color="auto" w:fill="FDE9D9"/>
            <w:vAlign w:val="center"/>
          </w:tcPr>
          <w:p w:rsidR="006040B4" w:rsidRPr="002826A9" w:rsidRDefault="00B707BA"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2/3</w:t>
            </w:r>
          </w:p>
        </w:tc>
        <w:tc>
          <w:tcPr>
            <w:tcW w:w="1104" w:type="dxa"/>
            <w:shd w:val="clear" w:color="auto" w:fill="FDE9D9"/>
            <w:vAlign w:val="center"/>
          </w:tcPr>
          <w:p w:rsidR="006040B4" w:rsidRPr="002826A9" w:rsidRDefault="006040B4" w:rsidP="00631829">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6040B4" w:rsidRPr="002826A9" w:rsidRDefault="009803F9" w:rsidP="00C45CF7">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B707BA">
              <w:rPr>
                <w:rFonts w:ascii="Arial" w:hAnsi="Arial" w:cs="Arial"/>
                <w:spacing w:val="-3"/>
                <w:sz w:val="18"/>
                <w:szCs w:val="18"/>
              </w:rPr>
              <w:t>0</w:t>
            </w:r>
            <w:r>
              <w:rPr>
                <w:rFonts w:ascii="Arial" w:hAnsi="Arial" w:cs="Arial"/>
                <w:spacing w:val="-3"/>
                <w:sz w:val="18"/>
                <w:szCs w:val="18"/>
              </w:rPr>
              <w:t>.</w:t>
            </w:r>
            <w:r w:rsidR="00B707BA">
              <w:rPr>
                <w:rFonts w:ascii="Arial" w:hAnsi="Arial" w:cs="Arial"/>
                <w:spacing w:val="-3"/>
                <w:sz w:val="18"/>
                <w:szCs w:val="18"/>
              </w:rPr>
              <w:t>1</w:t>
            </w:r>
          </w:p>
        </w:tc>
      </w:tr>
      <w:tr w:rsidR="006040B4" w:rsidTr="007E5F78">
        <w:trPr>
          <w:trHeight w:hRule="exact" w:val="525"/>
        </w:trPr>
        <w:tc>
          <w:tcPr>
            <w:tcW w:w="5245" w:type="dxa"/>
            <w:shd w:val="clear" w:color="auto" w:fill="auto"/>
            <w:vAlign w:val="center"/>
          </w:tcPr>
          <w:p w:rsidR="006040B4" w:rsidRDefault="00A00E5C" w:rsidP="00A00E5C">
            <w:pPr>
              <w:pStyle w:val="TableParagraph"/>
              <w:kinsoku w:val="0"/>
              <w:overflowPunct w:val="0"/>
              <w:spacing w:before="54" w:line="254" w:lineRule="auto"/>
              <w:ind w:left="170" w:right="102"/>
              <w:rPr>
                <w:rFonts w:ascii="Arial" w:hAnsi="Arial" w:cs="Arial"/>
                <w:spacing w:val="-3"/>
                <w:sz w:val="18"/>
                <w:szCs w:val="18"/>
              </w:rPr>
            </w:pPr>
            <w:r w:rsidRPr="00A00E5C">
              <w:rPr>
                <w:rFonts w:ascii="Arial" w:hAnsi="Arial" w:cs="Arial"/>
                <w:spacing w:val="-3"/>
                <w:sz w:val="18"/>
                <w:szCs w:val="18"/>
              </w:rPr>
              <w:t>Ban on importation of new psychoactive substances</w:t>
            </w:r>
          </w:p>
        </w:tc>
        <w:tc>
          <w:tcPr>
            <w:tcW w:w="1420"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6040B4" w:rsidRDefault="00025D52"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4A5C90" w:rsidTr="007E5F78">
        <w:trPr>
          <w:trHeight w:hRule="exact" w:val="525"/>
        </w:trPr>
        <w:tc>
          <w:tcPr>
            <w:tcW w:w="5245" w:type="dxa"/>
            <w:shd w:val="clear" w:color="auto" w:fill="auto"/>
            <w:vAlign w:val="center"/>
          </w:tcPr>
          <w:p w:rsidR="004A5C90" w:rsidRPr="00A00E5C" w:rsidRDefault="004A5C90" w:rsidP="00A00E5C">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Extending the Legal Deposit Regime to Digital Material </w:t>
            </w:r>
          </w:p>
        </w:tc>
        <w:tc>
          <w:tcPr>
            <w:tcW w:w="1420" w:type="dxa"/>
            <w:shd w:val="clear" w:color="auto" w:fill="auto"/>
            <w:vAlign w:val="center"/>
          </w:tcPr>
          <w:p w:rsidR="004A5C90" w:rsidRDefault="004A5C90"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4A5C90" w:rsidRDefault="004A5C90"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4A5C90" w:rsidRDefault="004A5C90"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4A5C90" w:rsidRDefault="004A5C90"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-$0.1</w:t>
            </w:r>
          </w:p>
        </w:tc>
      </w:tr>
      <w:tr w:rsidR="009803F9" w:rsidTr="007E5F78">
        <w:trPr>
          <w:trHeight w:hRule="exact" w:val="525"/>
        </w:trPr>
        <w:tc>
          <w:tcPr>
            <w:tcW w:w="5245" w:type="dxa"/>
            <w:shd w:val="clear" w:color="auto" w:fill="auto"/>
            <w:vAlign w:val="center"/>
          </w:tcPr>
          <w:p w:rsidR="009803F9" w:rsidRDefault="009803F9" w:rsidP="00A00E5C">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Telecommunications Sector Security Reforms</w:t>
            </w:r>
          </w:p>
        </w:tc>
        <w:tc>
          <w:tcPr>
            <w:tcW w:w="1420" w:type="dxa"/>
            <w:shd w:val="clear" w:color="auto" w:fill="auto"/>
            <w:vAlign w:val="center"/>
          </w:tcPr>
          <w:p w:rsidR="009803F9" w:rsidRDefault="009803F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9803F9" w:rsidRDefault="009803F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9803F9" w:rsidRDefault="009803F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9803F9" w:rsidRDefault="009803F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$0.2</w:t>
            </w:r>
          </w:p>
        </w:tc>
      </w:tr>
      <w:tr w:rsidR="006040B4" w:rsidTr="008960F5">
        <w:trPr>
          <w:trHeight w:hRule="exact" w:val="525"/>
        </w:trPr>
        <w:tc>
          <w:tcPr>
            <w:tcW w:w="5245" w:type="dxa"/>
            <w:shd w:val="clear" w:color="auto" w:fill="FDE9D9"/>
            <w:vAlign w:val="center"/>
          </w:tcPr>
          <w:p w:rsidR="006040B4" w:rsidRPr="00CE3B33" w:rsidRDefault="006040B4" w:rsidP="008960F5">
            <w:pPr>
              <w:pStyle w:val="TableParagraph"/>
              <w:kinsoku w:val="0"/>
              <w:overflowPunct w:val="0"/>
              <w:spacing w:before="54" w:line="255" w:lineRule="auto"/>
              <w:ind w:left="80" w:right="100"/>
              <w:rPr>
                <w:rFonts w:ascii="Arial" w:hAnsi="Arial" w:cs="Arial"/>
                <w:b/>
                <w:sz w:val="18"/>
                <w:szCs w:val="18"/>
              </w:rPr>
            </w:pPr>
            <w:r>
              <w:rPr>
                <w:rFonts w:ascii="Arial" w:hAnsi="Arial" w:cs="Arial"/>
                <w:b/>
                <w:spacing w:val="-3"/>
                <w:sz w:val="18"/>
                <w:szCs w:val="18"/>
              </w:rPr>
              <w:t>Communications</w:t>
            </w:r>
          </w:p>
        </w:tc>
        <w:tc>
          <w:tcPr>
            <w:tcW w:w="1420" w:type="dxa"/>
            <w:shd w:val="clear" w:color="auto" w:fill="FDE9D9"/>
            <w:vAlign w:val="center"/>
          </w:tcPr>
          <w:p w:rsidR="006040B4" w:rsidRPr="00C45CF7" w:rsidRDefault="00A92D1C"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7/7</w:t>
            </w:r>
          </w:p>
        </w:tc>
        <w:tc>
          <w:tcPr>
            <w:tcW w:w="1105" w:type="dxa"/>
            <w:shd w:val="clear" w:color="auto" w:fill="FDE9D9"/>
            <w:vAlign w:val="center"/>
          </w:tcPr>
          <w:p w:rsidR="006040B4" w:rsidRPr="00C45CF7" w:rsidRDefault="00A92D1C"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7/7</w:t>
            </w:r>
          </w:p>
        </w:tc>
        <w:tc>
          <w:tcPr>
            <w:tcW w:w="1104" w:type="dxa"/>
            <w:shd w:val="clear" w:color="auto" w:fill="FDE9D9"/>
            <w:vAlign w:val="center"/>
          </w:tcPr>
          <w:p w:rsidR="006040B4" w:rsidRPr="00C45CF7" w:rsidRDefault="006040B4" w:rsidP="008960F5">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rsidR="006040B4" w:rsidRPr="00C45CF7" w:rsidRDefault="00983C44" w:rsidP="008960F5">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E9092C">
              <w:rPr>
                <w:rFonts w:ascii="Arial" w:hAnsi="Arial" w:cs="Arial"/>
                <w:b/>
                <w:spacing w:val="-3"/>
                <w:sz w:val="18"/>
                <w:szCs w:val="18"/>
              </w:rPr>
              <w:t>62.7</w:t>
            </w:r>
          </w:p>
        </w:tc>
      </w:tr>
      <w:tr w:rsidR="00961FFD" w:rsidTr="008960F5">
        <w:trPr>
          <w:trHeight w:hRule="exact" w:val="525"/>
        </w:trPr>
        <w:tc>
          <w:tcPr>
            <w:tcW w:w="5245" w:type="dxa"/>
            <w:shd w:val="clear" w:color="auto" w:fill="FDE9D9"/>
            <w:vAlign w:val="center"/>
          </w:tcPr>
          <w:p w:rsidR="00961FFD" w:rsidRPr="00961FFD" w:rsidRDefault="00961FFD" w:rsidP="008960F5">
            <w:pPr>
              <w:pStyle w:val="TableParagraph"/>
              <w:kinsoku w:val="0"/>
              <w:overflowPunct w:val="0"/>
              <w:spacing w:before="54" w:line="255" w:lineRule="auto"/>
              <w:ind w:left="80" w:right="100"/>
              <w:rPr>
                <w:rFonts w:ascii="Arial" w:hAnsi="Arial" w:cs="Arial"/>
                <w:i/>
                <w:spacing w:val="-3"/>
                <w:sz w:val="18"/>
                <w:szCs w:val="18"/>
              </w:rPr>
            </w:pPr>
            <w:r w:rsidRPr="00961FFD">
              <w:rPr>
                <w:rFonts w:ascii="Arial" w:hAnsi="Arial" w:cs="Arial"/>
                <w:i/>
                <w:spacing w:val="-3"/>
                <w:sz w:val="18"/>
                <w:szCs w:val="18"/>
              </w:rPr>
              <w:t>Department of Communications</w:t>
            </w:r>
          </w:p>
        </w:tc>
        <w:tc>
          <w:tcPr>
            <w:tcW w:w="1420" w:type="dxa"/>
            <w:shd w:val="clear" w:color="auto" w:fill="FDE9D9"/>
            <w:vAlign w:val="center"/>
          </w:tcPr>
          <w:p w:rsidR="00961FFD" w:rsidRPr="002826A9" w:rsidRDefault="00A92D1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6/6</w:t>
            </w:r>
          </w:p>
        </w:tc>
        <w:tc>
          <w:tcPr>
            <w:tcW w:w="1105" w:type="dxa"/>
            <w:shd w:val="clear" w:color="auto" w:fill="FDE9D9"/>
            <w:vAlign w:val="center"/>
          </w:tcPr>
          <w:p w:rsidR="00961FFD" w:rsidRPr="002826A9" w:rsidRDefault="00A92D1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6/6</w:t>
            </w:r>
          </w:p>
        </w:tc>
        <w:tc>
          <w:tcPr>
            <w:tcW w:w="1104" w:type="dxa"/>
            <w:shd w:val="clear" w:color="auto" w:fill="FDE9D9"/>
            <w:vAlign w:val="center"/>
          </w:tcPr>
          <w:p w:rsidR="00961FFD" w:rsidRPr="002826A9" w:rsidRDefault="00961FFD" w:rsidP="008960F5">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rsidR="00961FFD" w:rsidRPr="002826A9" w:rsidRDefault="00983C44" w:rsidP="008960F5">
            <w:pPr>
              <w:pStyle w:val="TableParagraph"/>
              <w:kinsoku w:val="0"/>
              <w:overflowPunct w:val="0"/>
              <w:spacing w:before="54"/>
              <w:ind w:right="227"/>
              <w:jc w:val="right"/>
              <w:rPr>
                <w:rFonts w:ascii="Arial" w:hAnsi="Arial" w:cs="Arial"/>
                <w:spacing w:val="-3"/>
                <w:sz w:val="18"/>
                <w:szCs w:val="18"/>
              </w:rPr>
            </w:pPr>
            <w:r w:rsidRPr="001E6266">
              <w:rPr>
                <w:rFonts w:ascii="Arial" w:hAnsi="Arial" w:cs="Arial"/>
                <w:spacing w:val="-3"/>
                <w:sz w:val="18"/>
                <w:szCs w:val="18"/>
              </w:rPr>
              <w:t>-$</w:t>
            </w:r>
            <w:r w:rsidR="00E9092C">
              <w:rPr>
                <w:rFonts w:ascii="Arial" w:hAnsi="Arial" w:cs="Arial"/>
                <w:spacing w:val="-3"/>
                <w:sz w:val="18"/>
                <w:szCs w:val="18"/>
              </w:rPr>
              <w:t>62.9</w:t>
            </w:r>
          </w:p>
        </w:tc>
      </w:tr>
      <w:tr w:rsidR="00F37C2D" w:rsidTr="00961FFD">
        <w:trPr>
          <w:trHeight w:hRule="exact" w:val="525"/>
        </w:trPr>
        <w:tc>
          <w:tcPr>
            <w:tcW w:w="5245" w:type="dxa"/>
            <w:shd w:val="clear" w:color="auto" w:fill="auto"/>
            <w:vAlign w:val="center"/>
          </w:tcPr>
          <w:p w:rsidR="00F37C2D" w:rsidRDefault="00F37C2D" w:rsidP="008960F5">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Carrier Licence Conditions</w:t>
            </w:r>
            <w:r w:rsidR="00AC769F">
              <w:rPr>
                <w:rFonts w:ascii="Arial" w:hAnsi="Arial" w:cs="Arial"/>
                <w:spacing w:val="-3"/>
                <w:sz w:val="18"/>
                <w:szCs w:val="18"/>
              </w:rPr>
              <w:t xml:space="preserve"> (Networks supplying Superfast Carriage Services to Residential Customers)  Declaration 2014</w:t>
            </w:r>
          </w:p>
        </w:tc>
        <w:tc>
          <w:tcPr>
            <w:tcW w:w="1420" w:type="dxa"/>
            <w:shd w:val="clear" w:color="auto" w:fill="auto"/>
            <w:vAlign w:val="center"/>
          </w:tcPr>
          <w:p w:rsidR="00F37C2D" w:rsidRDefault="00AC769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F37C2D" w:rsidRDefault="00AC769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F37C2D" w:rsidRDefault="00AC769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F37C2D" w:rsidRDefault="00AC769F"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$1.8</w:t>
            </w:r>
          </w:p>
        </w:tc>
      </w:tr>
      <w:tr w:rsidR="00F24039" w:rsidTr="00961FFD">
        <w:trPr>
          <w:trHeight w:hRule="exact" w:val="525"/>
        </w:trPr>
        <w:tc>
          <w:tcPr>
            <w:tcW w:w="5245" w:type="dxa"/>
            <w:shd w:val="clear" w:color="auto" w:fill="auto"/>
            <w:vAlign w:val="center"/>
          </w:tcPr>
          <w:p w:rsidR="00F24039" w:rsidRDefault="00F24039" w:rsidP="008960F5">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Enhancing Online Safety for Children</w:t>
            </w:r>
          </w:p>
        </w:tc>
        <w:tc>
          <w:tcPr>
            <w:tcW w:w="1420" w:type="dxa"/>
            <w:shd w:val="clear" w:color="auto" w:fill="auto"/>
            <w:vAlign w:val="center"/>
          </w:tcPr>
          <w:p w:rsidR="00F24039" w:rsidRPr="00961FFD" w:rsidRDefault="00F2403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F24039" w:rsidRDefault="00F2403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F24039" w:rsidRPr="00961FFD" w:rsidRDefault="00F2403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F24039" w:rsidRDefault="00F2403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$0.4</w:t>
            </w:r>
          </w:p>
        </w:tc>
      </w:tr>
      <w:tr w:rsidR="00961FFD" w:rsidTr="00961FFD">
        <w:trPr>
          <w:trHeight w:hRule="exact" w:val="525"/>
        </w:trPr>
        <w:tc>
          <w:tcPr>
            <w:tcW w:w="5245" w:type="dxa"/>
            <w:shd w:val="clear" w:color="auto" w:fill="auto"/>
            <w:vAlign w:val="center"/>
          </w:tcPr>
          <w:p w:rsidR="00961FFD" w:rsidRDefault="00961FFD" w:rsidP="008960F5">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Optimal Period of Registration for the Do Not Call Register</w:t>
            </w:r>
          </w:p>
        </w:tc>
        <w:tc>
          <w:tcPr>
            <w:tcW w:w="1420" w:type="dxa"/>
            <w:shd w:val="clear" w:color="auto" w:fill="auto"/>
            <w:vAlign w:val="center"/>
          </w:tcPr>
          <w:p w:rsidR="00961FFD" w:rsidRPr="00961FFD" w:rsidRDefault="00961FFD" w:rsidP="008960F5">
            <w:pPr>
              <w:pStyle w:val="TableParagraph"/>
              <w:kinsoku w:val="0"/>
              <w:overflowPunct w:val="0"/>
              <w:spacing w:before="54"/>
              <w:jc w:val="center"/>
              <w:rPr>
                <w:rFonts w:ascii="Arial" w:hAnsi="Arial" w:cs="Arial"/>
                <w:spacing w:val="-3"/>
                <w:sz w:val="18"/>
                <w:szCs w:val="18"/>
              </w:rPr>
            </w:pPr>
            <w:r w:rsidRPr="00961FFD">
              <w:rPr>
                <w:rFonts w:ascii="Arial" w:hAnsi="Arial" w:cs="Arial"/>
                <w:spacing w:val="-3"/>
                <w:sz w:val="18"/>
                <w:szCs w:val="18"/>
              </w:rPr>
              <w:t xml:space="preserve">Compliant </w:t>
            </w:r>
          </w:p>
        </w:tc>
        <w:tc>
          <w:tcPr>
            <w:tcW w:w="1105" w:type="dxa"/>
            <w:shd w:val="clear" w:color="auto" w:fill="auto"/>
            <w:vAlign w:val="center"/>
          </w:tcPr>
          <w:p w:rsidR="00961FFD" w:rsidRPr="00961FFD" w:rsidRDefault="005D4C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961FFD" w:rsidRPr="00961FFD" w:rsidRDefault="00961FFD" w:rsidP="008960F5">
            <w:pPr>
              <w:pStyle w:val="TableParagraph"/>
              <w:kinsoku w:val="0"/>
              <w:overflowPunct w:val="0"/>
              <w:spacing w:before="54"/>
              <w:jc w:val="center"/>
              <w:rPr>
                <w:rFonts w:ascii="Arial" w:hAnsi="Arial" w:cs="Arial"/>
                <w:spacing w:val="-3"/>
                <w:sz w:val="18"/>
                <w:szCs w:val="18"/>
              </w:rPr>
            </w:pPr>
            <w:r w:rsidRPr="00961FFD">
              <w:rPr>
                <w:rFonts w:ascii="Arial" w:hAnsi="Arial" w:cs="Arial"/>
                <w:spacing w:val="-3"/>
                <w:sz w:val="18"/>
                <w:szCs w:val="18"/>
              </w:rPr>
              <w:t>No</w:t>
            </w:r>
          </w:p>
        </w:tc>
        <w:tc>
          <w:tcPr>
            <w:tcW w:w="1105" w:type="dxa"/>
            <w:shd w:val="clear" w:color="auto" w:fill="auto"/>
            <w:vAlign w:val="center"/>
          </w:tcPr>
          <w:p w:rsidR="00961FFD" w:rsidRPr="00025D52" w:rsidRDefault="00B5038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-$3.5</w:t>
            </w:r>
          </w:p>
        </w:tc>
      </w:tr>
      <w:tr w:rsidR="00983C44" w:rsidTr="00961FFD">
        <w:trPr>
          <w:trHeight w:hRule="exact" w:val="525"/>
        </w:trPr>
        <w:tc>
          <w:tcPr>
            <w:tcW w:w="5245" w:type="dxa"/>
            <w:shd w:val="clear" w:color="auto" w:fill="auto"/>
            <w:vAlign w:val="center"/>
          </w:tcPr>
          <w:p w:rsidR="00983C44" w:rsidRPr="00B75D21" w:rsidRDefault="00983C44" w:rsidP="008960F5">
            <w:pPr>
              <w:pStyle w:val="TableParagraph"/>
              <w:kinsoku w:val="0"/>
              <w:overflowPunct w:val="0"/>
              <w:spacing w:before="54" w:line="255" w:lineRule="auto"/>
              <w:ind w:left="80" w:right="100"/>
              <w:rPr>
                <w:rFonts w:ascii="Arial" w:hAnsi="Arial" w:cs="Arial"/>
                <w:spacing w:val="-3"/>
                <w:sz w:val="18"/>
                <w:szCs w:val="18"/>
              </w:rPr>
            </w:pPr>
            <w:r w:rsidRPr="00B75D21">
              <w:rPr>
                <w:rFonts w:ascii="Arial" w:hAnsi="Arial" w:cs="Arial"/>
                <w:spacing w:val="-3"/>
                <w:sz w:val="18"/>
                <w:szCs w:val="18"/>
              </w:rPr>
              <w:t xml:space="preserve">SBS Advertising  Flexibility </w:t>
            </w:r>
          </w:p>
        </w:tc>
        <w:tc>
          <w:tcPr>
            <w:tcW w:w="1420" w:type="dxa"/>
            <w:shd w:val="clear" w:color="auto" w:fill="auto"/>
            <w:vAlign w:val="center"/>
          </w:tcPr>
          <w:p w:rsidR="00983C44" w:rsidRPr="00961FFD" w:rsidRDefault="00B16ED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983C44" w:rsidRDefault="00B16ED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983C44" w:rsidRPr="00961FFD" w:rsidRDefault="00B16ED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983C44" w:rsidRDefault="00B16ED2"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4D4FEF" w:rsidTr="00961FFD">
        <w:trPr>
          <w:trHeight w:hRule="exact" w:val="525"/>
        </w:trPr>
        <w:tc>
          <w:tcPr>
            <w:tcW w:w="5245" w:type="dxa"/>
            <w:shd w:val="clear" w:color="auto" w:fill="auto"/>
            <w:vAlign w:val="center"/>
          </w:tcPr>
          <w:p w:rsidR="004D4FEF" w:rsidRPr="00B75D21" w:rsidRDefault="004D4FEF" w:rsidP="008960F5">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Telecommunications Infrastructure in New Developments</w:t>
            </w:r>
          </w:p>
        </w:tc>
        <w:tc>
          <w:tcPr>
            <w:tcW w:w="1420" w:type="dxa"/>
            <w:shd w:val="clear" w:color="auto" w:fill="auto"/>
            <w:vAlign w:val="center"/>
          </w:tcPr>
          <w:p w:rsidR="004D4FEF" w:rsidRDefault="004D4FE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4D4FEF" w:rsidRDefault="004D4FE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4D4FEF" w:rsidRDefault="004D4FE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4D4FEF" w:rsidRDefault="004D4FEF"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-$61.3</w:t>
            </w:r>
          </w:p>
        </w:tc>
      </w:tr>
      <w:tr w:rsidR="00983C44" w:rsidTr="00961FFD">
        <w:trPr>
          <w:trHeight w:hRule="exact" w:val="525"/>
        </w:trPr>
        <w:tc>
          <w:tcPr>
            <w:tcW w:w="5245" w:type="dxa"/>
            <w:shd w:val="clear" w:color="auto" w:fill="auto"/>
            <w:vAlign w:val="center"/>
          </w:tcPr>
          <w:p w:rsidR="00983C44" w:rsidRPr="00B75D21" w:rsidRDefault="00983C44" w:rsidP="008960F5">
            <w:pPr>
              <w:pStyle w:val="TableParagraph"/>
              <w:kinsoku w:val="0"/>
              <w:overflowPunct w:val="0"/>
              <w:spacing w:before="54" w:line="255" w:lineRule="auto"/>
              <w:ind w:left="80" w:right="100"/>
              <w:rPr>
                <w:rFonts w:ascii="Arial" w:hAnsi="Arial" w:cs="Arial"/>
                <w:spacing w:val="-3"/>
                <w:sz w:val="18"/>
                <w:szCs w:val="18"/>
              </w:rPr>
            </w:pPr>
            <w:r w:rsidRPr="00B75D21">
              <w:rPr>
                <w:rFonts w:ascii="Arial" w:hAnsi="Arial" w:cs="Arial"/>
                <w:spacing w:val="-3"/>
                <w:sz w:val="18"/>
                <w:szCs w:val="18"/>
              </w:rPr>
              <w:t xml:space="preserve">Telstra Retail Price Controls </w:t>
            </w:r>
          </w:p>
        </w:tc>
        <w:tc>
          <w:tcPr>
            <w:tcW w:w="1420" w:type="dxa"/>
            <w:shd w:val="clear" w:color="auto" w:fill="auto"/>
            <w:vAlign w:val="center"/>
          </w:tcPr>
          <w:p w:rsidR="00983C44" w:rsidRPr="00961FFD" w:rsidRDefault="000467D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983C44" w:rsidRDefault="000467D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983C44" w:rsidRPr="00961FFD" w:rsidRDefault="000467D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shd w:val="clear" w:color="auto" w:fill="auto"/>
            <w:vAlign w:val="center"/>
          </w:tcPr>
          <w:p w:rsidR="00983C44" w:rsidRDefault="000467DD"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-$0.3</w:t>
            </w:r>
          </w:p>
        </w:tc>
      </w:tr>
      <w:tr w:rsidR="006040B4" w:rsidTr="008960F5">
        <w:trPr>
          <w:trHeight w:hRule="exact" w:val="525"/>
        </w:trPr>
        <w:tc>
          <w:tcPr>
            <w:tcW w:w="5245" w:type="dxa"/>
            <w:shd w:val="clear" w:color="auto" w:fill="FDE9D9"/>
            <w:vAlign w:val="center"/>
          </w:tcPr>
          <w:p w:rsidR="006040B4" w:rsidRPr="00CE3B33" w:rsidRDefault="006040B4" w:rsidP="008960F5">
            <w:pPr>
              <w:pStyle w:val="TableParagraph"/>
              <w:kinsoku w:val="0"/>
              <w:overflowPunct w:val="0"/>
              <w:spacing w:before="54" w:line="255" w:lineRule="auto"/>
              <w:ind w:left="80" w:right="100"/>
              <w:rPr>
                <w:rFonts w:ascii="Arial" w:hAnsi="Arial" w:cs="Arial"/>
                <w:spacing w:val="-3"/>
                <w:sz w:val="18"/>
                <w:szCs w:val="18"/>
              </w:rPr>
            </w:pPr>
            <w:r>
              <w:rPr>
                <w:rFonts w:ascii="Arial" w:hAnsi="Arial" w:cs="Arial"/>
                <w:i/>
                <w:spacing w:val="-3"/>
                <w:sz w:val="18"/>
                <w:szCs w:val="18"/>
              </w:rPr>
              <w:t>Australian Communications and Media Authority</w:t>
            </w:r>
          </w:p>
        </w:tc>
        <w:tc>
          <w:tcPr>
            <w:tcW w:w="1420" w:type="dxa"/>
            <w:shd w:val="clear" w:color="auto" w:fill="FDE9D9"/>
            <w:vAlign w:val="center"/>
          </w:tcPr>
          <w:p w:rsidR="006040B4" w:rsidRPr="002826A9" w:rsidRDefault="006040B4" w:rsidP="008960F5">
            <w:pPr>
              <w:pStyle w:val="TableParagraph"/>
              <w:kinsoku w:val="0"/>
              <w:overflowPunct w:val="0"/>
              <w:spacing w:before="54"/>
              <w:jc w:val="center"/>
              <w:rPr>
                <w:rFonts w:ascii="Arial" w:hAnsi="Arial" w:cs="Arial"/>
                <w:spacing w:val="-3"/>
                <w:sz w:val="18"/>
                <w:szCs w:val="18"/>
              </w:rPr>
            </w:pPr>
            <w:r w:rsidRPr="002826A9">
              <w:rPr>
                <w:rFonts w:ascii="Arial" w:hAnsi="Arial" w:cs="Arial"/>
                <w:spacing w:val="-3"/>
                <w:sz w:val="18"/>
                <w:szCs w:val="18"/>
              </w:rPr>
              <w:t>1/1</w:t>
            </w:r>
          </w:p>
        </w:tc>
        <w:tc>
          <w:tcPr>
            <w:tcW w:w="1105" w:type="dxa"/>
            <w:shd w:val="clear" w:color="auto" w:fill="FDE9D9"/>
            <w:vAlign w:val="center"/>
          </w:tcPr>
          <w:p w:rsidR="006040B4" w:rsidRPr="002826A9" w:rsidRDefault="006040B4" w:rsidP="008960F5">
            <w:pPr>
              <w:pStyle w:val="TableParagraph"/>
              <w:kinsoku w:val="0"/>
              <w:overflowPunct w:val="0"/>
              <w:spacing w:before="54"/>
              <w:jc w:val="center"/>
              <w:rPr>
                <w:rFonts w:ascii="Arial" w:hAnsi="Arial" w:cs="Arial"/>
                <w:spacing w:val="-3"/>
                <w:sz w:val="18"/>
                <w:szCs w:val="18"/>
              </w:rPr>
            </w:pPr>
            <w:r w:rsidRPr="002826A9">
              <w:rPr>
                <w:rFonts w:ascii="Arial" w:hAnsi="Arial" w:cs="Arial"/>
                <w:spacing w:val="-3"/>
                <w:sz w:val="18"/>
                <w:szCs w:val="18"/>
              </w:rPr>
              <w:t>1/1</w:t>
            </w:r>
          </w:p>
        </w:tc>
        <w:tc>
          <w:tcPr>
            <w:tcW w:w="1104" w:type="dxa"/>
            <w:shd w:val="clear" w:color="auto" w:fill="FDE9D9"/>
            <w:vAlign w:val="center"/>
          </w:tcPr>
          <w:p w:rsidR="006040B4" w:rsidRPr="002826A9" w:rsidRDefault="006040B4"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6040B4" w:rsidRPr="002826A9" w:rsidRDefault="006040B4" w:rsidP="008960F5">
            <w:pPr>
              <w:pStyle w:val="TableParagraph"/>
              <w:kinsoku w:val="0"/>
              <w:overflowPunct w:val="0"/>
              <w:spacing w:before="54"/>
              <w:ind w:right="227"/>
              <w:jc w:val="right"/>
              <w:rPr>
                <w:rFonts w:ascii="Arial" w:hAnsi="Arial" w:cs="Arial"/>
                <w:spacing w:val="-3"/>
                <w:sz w:val="18"/>
                <w:szCs w:val="18"/>
              </w:rPr>
            </w:pPr>
            <w:r w:rsidRPr="002826A9">
              <w:rPr>
                <w:rFonts w:ascii="Arial" w:hAnsi="Arial" w:cs="Arial"/>
                <w:spacing w:val="-3"/>
                <w:sz w:val="18"/>
                <w:szCs w:val="18"/>
              </w:rPr>
              <w:t>$0.2</w:t>
            </w:r>
          </w:p>
        </w:tc>
      </w:tr>
      <w:tr w:rsidR="006040B4" w:rsidTr="006040B4">
        <w:trPr>
          <w:trHeight w:hRule="exact" w:val="525"/>
        </w:trPr>
        <w:tc>
          <w:tcPr>
            <w:tcW w:w="5245" w:type="dxa"/>
            <w:shd w:val="clear" w:color="auto" w:fill="auto"/>
            <w:vAlign w:val="center"/>
          </w:tcPr>
          <w:p w:rsidR="006040B4" w:rsidRDefault="006040B4" w:rsidP="008960F5">
            <w:pPr>
              <w:pStyle w:val="TableParagraph"/>
              <w:kinsoku w:val="0"/>
              <w:overflowPunct w:val="0"/>
              <w:spacing w:before="54" w:line="254" w:lineRule="auto"/>
              <w:ind w:left="170" w:right="102"/>
              <w:rPr>
                <w:rFonts w:ascii="Arial" w:hAnsi="Arial" w:cs="Arial"/>
                <w:spacing w:val="-3"/>
                <w:sz w:val="18"/>
                <w:szCs w:val="18"/>
              </w:rPr>
            </w:pPr>
            <w:r w:rsidRPr="004A54EB">
              <w:rPr>
                <w:rFonts w:ascii="Arial" w:hAnsi="Arial" w:cs="Arial"/>
                <w:spacing w:val="-3"/>
                <w:sz w:val="18"/>
                <w:szCs w:val="18"/>
              </w:rPr>
              <w:lastRenderedPageBreak/>
              <w:t>Informed Decisions for Backup Power Supply Arrangements</w:t>
            </w:r>
          </w:p>
        </w:tc>
        <w:tc>
          <w:tcPr>
            <w:tcW w:w="1420"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6040B4" w:rsidRDefault="006040B4"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$0.2</w:t>
            </w:r>
          </w:p>
        </w:tc>
      </w:tr>
      <w:tr w:rsidR="006040B4" w:rsidTr="008960F5">
        <w:trPr>
          <w:trHeight w:hRule="exact" w:val="525"/>
        </w:trPr>
        <w:tc>
          <w:tcPr>
            <w:tcW w:w="5245" w:type="dxa"/>
            <w:shd w:val="clear" w:color="auto" w:fill="FDE9D9"/>
            <w:vAlign w:val="center"/>
          </w:tcPr>
          <w:p w:rsidR="006040B4" w:rsidRPr="00CE3B33" w:rsidRDefault="006040B4" w:rsidP="008960F5">
            <w:pPr>
              <w:pStyle w:val="TableParagraph"/>
              <w:kinsoku w:val="0"/>
              <w:overflowPunct w:val="0"/>
              <w:spacing w:before="54" w:line="255" w:lineRule="auto"/>
              <w:ind w:left="80" w:right="100"/>
              <w:rPr>
                <w:rFonts w:ascii="Arial" w:hAnsi="Arial" w:cs="Arial"/>
                <w:b/>
                <w:sz w:val="18"/>
                <w:szCs w:val="18"/>
              </w:rPr>
            </w:pPr>
            <w:r>
              <w:rPr>
                <w:rFonts w:ascii="Arial" w:hAnsi="Arial" w:cs="Arial"/>
                <w:b/>
                <w:spacing w:val="-3"/>
                <w:sz w:val="18"/>
                <w:szCs w:val="18"/>
              </w:rPr>
              <w:t>Education</w:t>
            </w:r>
          </w:p>
        </w:tc>
        <w:tc>
          <w:tcPr>
            <w:tcW w:w="1420" w:type="dxa"/>
            <w:shd w:val="clear" w:color="auto" w:fill="FDE9D9"/>
            <w:vAlign w:val="center"/>
          </w:tcPr>
          <w:p w:rsidR="006040B4" w:rsidRPr="00C45CF7" w:rsidRDefault="006040B4"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1/1</w:t>
            </w:r>
          </w:p>
        </w:tc>
        <w:tc>
          <w:tcPr>
            <w:tcW w:w="1105" w:type="dxa"/>
            <w:shd w:val="clear" w:color="auto" w:fill="FDE9D9"/>
            <w:vAlign w:val="center"/>
          </w:tcPr>
          <w:p w:rsidR="006040B4" w:rsidRPr="00C45CF7" w:rsidRDefault="006040B4"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0/1</w:t>
            </w:r>
          </w:p>
        </w:tc>
        <w:tc>
          <w:tcPr>
            <w:tcW w:w="1104" w:type="dxa"/>
            <w:shd w:val="clear" w:color="auto" w:fill="FDE9D9"/>
            <w:vAlign w:val="center"/>
          </w:tcPr>
          <w:p w:rsidR="006040B4" w:rsidRPr="00C45CF7" w:rsidRDefault="006040B4" w:rsidP="008960F5">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rsidR="006040B4" w:rsidRPr="00C45CF7" w:rsidRDefault="006040B4" w:rsidP="006040B4">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-$9.8</w:t>
            </w:r>
          </w:p>
        </w:tc>
      </w:tr>
      <w:tr w:rsidR="006040B4" w:rsidTr="008960F5">
        <w:trPr>
          <w:trHeight w:hRule="exact" w:val="525"/>
        </w:trPr>
        <w:tc>
          <w:tcPr>
            <w:tcW w:w="5245" w:type="dxa"/>
            <w:shd w:val="clear" w:color="auto" w:fill="FDE9D9"/>
            <w:vAlign w:val="center"/>
          </w:tcPr>
          <w:p w:rsidR="006040B4" w:rsidRPr="00CE3B33" w:rsidRDefault="006040B4" w:rsidP="008960F5">
            <w:pPr>
              <w:pStyle w:val="TableParagraph"/>
              <w:kinsoku w:val="0"/>
              <w:overflowPunct w:val="0"/>
              <w:spacing w:before="54" w:line="255" w:lineRule="auto"/>
              <w:ind w:left="80" w:right="100"/>
              <w:rPr>
                <w:rFonts w:ascii="Arial" w:hAnsi="Arial" w:cs="Arial"/>
                <w:spacing w:val="-3"/>
                <w:sz w:val="18"/>
                <w:szCs w:val="18"/>
              </w:rPr>
            </w:pPr>
            <w:r>
              <w:rPr>
                <w:rFonts w:ascii="Arial" w:hAnsi="Arial" w:cs="Arial"/>
                <w:i/>
                <w:spacing w:val="-3"/>
                <w:sz w:val="18"/>
                <w:szCs w:val="18"/>
              </w:rPr>
              <w:t>Department of Education</w:t>
            </w:r>
          </w:p>
        </w:tc>
        <w:tc>
          <w:tcPr>
            <w:tcW w:w="1420" w:type="dxa"/>
            <w:shd w:val="clear" w:color="auto" w:fill="FDE9D9"/>
            <w:vAlign w:val="center"/>
          </w:tcPr>
          <w:p w:rsidR="006040B4" w:rsidRPr="002826A9" w:rsidRDefault="006040B4" w:rsidP="008960F5">
            <w:pPr>
              <w:pStyle w:val="TableParagraph"/>
              <w:kinsoku w:val="0"/>
              <w:overflowPunct w:val="0"/>
              <w:spacing w:before="54"/>
              <w:jc w:val="center"/>
              <w:rPr>
                <w:rFonts w:ascii="Arial" w:hAnsi="Arial" w:cs="Arial"/>
                <w:spacing w:val="-3"/>
                <w:sz w:val="18"/>
                <w:szCs w:val="18"/>
              </w:rPr>
            </w:pPr>
            <w:r w:rsidRPr="002826A9">
              <w:rPr>
                <w:rFonts w:ascii="Arial" w:hAnsi="Arial" w:cs="Arial"/>
                <w:spacing w:val="-3"/>
                <w:sz w:val="18"/>
                <w:szCs w:val="18"/>
              </w:rPr>
              <w:t>1/1</w:t>
            </w:r>
          </w:p>
        </w:tc>
        <w:tc>
          <w:tcPr>
            <w:tcW w:w="1105" w:type="dxa"/>
            <w:shd w:val="clear" w:color="auto" w:fill="FDE9D9"/>
            <w:vAlign w:val="center"/>
          </w:tcPr>
          <w:p w:rsidR="006040B4" w:rsidRPr="002826A9" w:rsidRDefault="006040B4" w:rsidP="008960F5">
            <w:pPr>
              <w:pStyle w:val="TableParagraph"/>
              <w:kinsoku w:val="0"/>
              <w:overflowPunct w:val="0"/>
              <w:spacing w:before="54"/>
              <w:jc w:val="center"/>
              <w:rPr>
                <w:rFonts w:ascii="Arial" w:hAnsi="Arial" w:cs="Arial"/>
                <w:spacing w:val="-3"/>
                <w:sz w:val="18"/>
                <w:szCs w:val="18"/>
              </w:rPr>
            </w:pPr>
            <w:r w:rsidRPr="002826A9">
              <w:rPr>
                <w:rFonts w:ascii="Arial" w:hAnsi="Arial" w:cs="Arial"/>
                <w:spacing w:val="-3"/>
                <w:sz w:val="18"/>
                <w:szCs w:val="18"/>
              </w:rPr>
              <w:t>0/1</w:t>
            </w:r>
          </w:p>
        </w:tc>
        <w:tc>
          <w:tcPr>
            <w:tcW w:w="1104" w:type="dxa"/>
            <w:shd w:val="clear" w:color="auto" w:fill="FDE9D9"/>
            <w:vAlign w:val="center"/>
          </w:tcPr>
          <w:p w:rsidR="006040B4" w:rsidRPr="002826A9" w:rsidRDefault="006040B4"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6040B4" w:rsidRPr="002826A9" w:rsidRDefault="006040B4" w:rsidP="008960F5">
            <w:pPr>
              <w:pStyle w:val="TableParagraph"/>
              <w:kinsoku w:val="0"/>
              <w:overflowPunct w:val="0"/>
              <w:spacing w:before="54"/>
              <w:ind w:right="227"/>
              <w:jc w:val="right"/>
              <w:rPr>
                <w:rFonts w:ascii="Arial" w:hAnsi="Arial" w:cs="Arial"/>
                <w:spacing w:val="-3"/>
                <w:sz w:val="18"/>
                <w:szCs w:val="18"/>
              </w:rPr>
            </w:pPr>
            <w:r w:rsidRPr="002826A9">
              <w:rPr>
                <w:rFonts w:ascii="Arial" w:hAnsi="Arial" w:cs="Arial"/>
                <w:spacing w:val="-3"/>
                <w:sz w:val="18"/>
                <w:szCs w:val="18"/>
              </w:rPr>
              <w:t>-$9.8</w:t>
            </w:r>
          </w:p>
        </w:tc>
      </w:tr>
      <w:tr w:rsidR="006040B4" w:rsidTr="00FC4551">
        <w:trPr>
          <w:trHeight w:hRule="exact" w:val="525"/>
        </w:trPr>
        <w:tc>
          <w:tcPr>
            <w:tcW w:w="5245" w:type="dxa"/>
            <w:shd w:val="clear" w:color="auto" w:fill="auto"/>
            <w:vAlign w:val="center"/>
          </w:tcPr>
          <w:p w:rsidR="006040B4" w:rsidRDefault="006040B4"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Higher Education Reforms</w:t>
            </w:r>
          </w:p>
        </w:tc>
        <w:tc>
          <w:tcPr>
            <w:tcW w:w="1420"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within five years</w:t>
            </w:r>
          </w:p>
        </w:tc>
        <w:tc>
          <w:tcPr>
            <w:tcW w:w="1105" w:type="dxa"/>
            <w:vAlign w:val="center"/>
          </w:tcPr>
          <w:p w:rsidR="006040B4" w:rsidRDefault="006040B4"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-$9.8</w:t>
            </w:r>
          </w:p>
        </w:tc>
      </w:tr>
      <w:tr w:rsidR="00FC4551" w:rsidRPr="00FE226A" w:rsidTr="001905D6">
        <w:trPr>
          <w:trHeight w:hRule="exact" w:val="525"/>
        </w:trPr>
        <w:tc>
          <w:tcPr>
            <w:tcW w:w="5245" w:type="dxa"/>
            <w:shd w:val="clear" w:color="auto" w:fill="FDE9D9"/>
            <w:vAlign w:val="center"/>
          </w:tcPr>
          <w:p w:rsidR="00FC4551" w:rsidRPr="00CE3B33" w:rsidRDefault="00FC4551" w:rsidP="001905D6">
            <w:pPr>
              <w:pStyle w:val="TableParagraph"/>
              <w:kinsoku w:val="0"/>
              <w:overflowPunct w:val="0"/>
              <w:spacing w:before="54" w:line="255" w:lineRule="auto"/>
              <w:ind w:left="80" w:right="100"/>
              <w:rPr>
                <w:rFonts w:ascii="Arial" w:hAnsi="Arial" w:cs="Arial"/>
                <w:b/>
                <w:sz w:val="18"/>
                <w:szCs w:val="18"/>
              </w:rPr>
            </w:pPr>
            <w:r>
              <w:rPr>
                <w:rFonts w:ascii="Arial" w:hAnsi="Arial" w:cs="Arial"/>
                <w:b/>
                <w:spacing w:val="-3"/>
                <w:sz w:val="18"/>
                <w:szCs w:val="18"/>
              </w:rPr>
              <w:t>Employment</w:t>
            </w:r>
          </w:p>
        </w:tc>
        <w:tc>
          <w:tcPr>
            <w:tcW w:w="1420" w:type="dxa"/>
            <w:shd w:val="clear" w:color="auto" w:fill="FDE9D9"/>
            <w:vAlign w:val="center"/>
          </w:tcPr>
          <w:p w:rsidR="00FC4551" w:rsidRPr="00C45CF7" w:rsidRDefault="00CC2A48" w:rsidP="001905D6">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4/4</w:t>
            </w:r>
          </w:p>
        </w:tc>
        <w:tc>
          <w:tcPr>
            <w:tcW w:w="1105" w:type="dxa"/>
            <w:shd w:val="clear" w:color="auto" w:fill="FDE9D9"/>
            <w:vAlign w:val="center"/>
          </w:tcPr>
          <w:p w:rsidR="00FC4551" w:rsidRPr="00C45CF7" w:rsidRDefault="00CC2A48" w:rsidP="001905D6">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4/4</w:t>
            </w:r>
          </w:p>
        </w:tc>
        <w:tc>
          <w:tcPr>
            <w:tcW w:w="1104" w:type="dxa"/>
            <w:shd w:val="clear" w:color="auto" w:fill="FDE9D9"/>
            <w:vAlign w:val="center"/>
          </w:tcPr>
          <w:p w:rsidR="00FC4551" w:rsidRPr="00C45CF7" w:rsidRDefault="00FC4551" w:rsidP="001905D6">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rsidR="00FC4551" w:rsidRPr="00C650A1" w:rsidRDefault="003C4402" w:rsidP="00FC4551">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A05FF3">
              <w:rPr>
                <w:rFonts w:ascii="Arial" w:hAnsi="Arial" w:cs="Arial"/>
                <w:b/>
                <w:spacing w:val="-3"/>
                <w:sz w:val="18"/>
                <w:szCs w:val="18"/>
              </w:rPr>
              <w:t>$</w:t>
            </w:r>
            <w:r w:rsidR="002774FE">
              <w:rPr>
                <w:rFonts w:ascii="Arial" w:hAnsi="Arial" w:cs="Arial"/>
                <w:b/>
                <w:spacing w:val="-3"/>
                <w:sz w:val="18"/>
                <w:szCs w:val="18"/>
              </w:rPr>
              <w:t>16.7</w:t>
            </w:r>
          </w:p>
        </w:tc>
      </w:tr>
      <w:tr w:rsidR="00FC4551" w:rsidRPr="00FE226A" w:rsidTr="001905D6">
        <w:trPr>
          <w:trHeight w:hRule="exact" w:val="525"/>
        </w:trPr>
        <w:tc>
          <w:tcPr>
            <w:tcW w:w="5245" w:type="dxa"/>
            <w:shd w:val="clear" w:color="auto" w:fill="FDE9D9"/>
            <w:vAlign w:val="center"/>
          </w:tcPr>
          <w:p w:rsidR="00FC4551" w:rsidRPr="00CE3B33" w:rsidRDefault="00FC4551" w:rsidP="00FC4551">
            <w:pPr>
              <w:pStyle w:val="TableParagraph"/>
              <w:kinsoku w:val="0"/>
              <w:overflowPunct w:val="0"/>
              <w:spacing w:before="54" w:line="255" w:lineRule="auto"/>
              <w:ind w:left="80" w:right="100"/>
              <w:rPr>
                <w:rFonts w:ascii="Arial" w:hAnsi="Arial" w:cs="Arial"/>
                <w:spacing w:val="-3"/>
                <w:sz w:val="18"/>
                <w:szCs w:val="18"/>
              </w:rPr>
            </w:pPr>
            <w:r>
              <w:rPr>
                <w:rFonts w:ascii="Arial" w:hAnsi="Arial" w:cs="Arial"/>
                <w:i/>
                <w:spacing w:val="-3"/>
                <w:sz w:val="18"/>
                <w:szCs w:val="18"/>
              </w:rPr>
              <w:t>Department of Employment</w:t>
            </w:r>
          </w:p>
        </w:tc>
        <w:tc>
          <w:tcPr>
            <w:tcW w:w="1420" w:type="dxa"/>
            <w:shd w:val="clear" w:color="auto" w:fill="FDE9D9"/>
            <w:vAlign w:val="center"/>
          </w:tcPr>
          <w:p w:rsidR="00FC4551" w:rsidRPr="002826A9" w:rsidRDefault="00CC2A48"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4/4</w:t>
            </w:r>
          </w:p>
        </w:tc>
        <w:tc>
          <w:tcPr>
            <w:tcW w:w="1105" w:type="dxa"/>
            <w:shd w:val="clear" w:color="auto" w:fill="FDE9D9"/>
            <w:vAlign w:val="center"/>
          </w:tcPr>
          <w:p w:rsidR="00FC4551" w:rsidRPr="002826A9" w:rsidRDefault="00CC2A48"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4/4</w:t>
            </w:r>
          </w:p>
        </w:tc>
        <w:tc>
          <w:tcPr>
            <w:tcW w:w="1104" w:type="dxa"/>
            <w:shd w:val="clear" w:color="auto" w:fill="FDE9D9"/>
            <w:vAlign w:val="center"/>
          </w:tcPr>
          <w:p w:rsidR="00FC4551" w:rsidRPr="002826A9" w:rsidRDefault="00FC4551" w:rsidP="001905D6">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FC4551" w:rsidRPr="00FE226A" w:rsidRDefault="003C4402" w:rsidP="00FC4551">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A05FF3">
              <w:rPr>
                <w:rFonts w:ascii="Arial" w:hAnsi="Arial" w:cs="Arial"/>
                <w:spacing w:val="-3"/>
                <w:sz w:val="18"/>
                <w:szCs w:val="18"/>
              </w:rPr>
              <w:t>$</w:t>
            </w:r>
            <w:r w:rsidR="002774FE">
              <w:rPr>
                <w:rFonts w:ascii="Arial" w:hAnsi="Arial" w:cs="Arial"/>
                <w:spacing w:val="-3"/>
                <w:sz w:val="18"/>
                <w:szCs w:val="18"/>
              </w:rPr>
              <w:t>16.7</w:t>
            </w:r>
          </w:p>
        </w:tc>
      </w:tr>
      <w:tr w:rsidR="00FC4551" w:rsidRPr="00FE226A" w:rsidTr="006040B4">
        <w:trPr>
          <w:trHeight w:hRule="exact" w:val="525"/>
        </w:trPr>
        <w:tc>
          <w:tcPr>
            <w:tcW w:w="5245" w:type="dxa"/>
            <w:shd w:val="clear" w:color="auto" w:fill="auto"/>
            <w:vAlign w:val="center"/>
          </w:tcPr>
          <w:p w:rsidR="00FC4551" w:rsidRDefault="00FC4551" w:rsidP="001905D6">
            <w:pPr>
              <w:pStyle w:val="TableParagraph"/>
              <w:kinsoku w:val="0"/>
              <w:overflowPunct w:val="0"/>
              <w:spacing w:before="54" w:line="254" w:lineRule="auto"/>
              <w:ind w:left="170" w:right="102"/>
              <w:rPr>
                <w:rFonts w:ascii="Arial" w:hAnsi="Arial" w:cs="Arial"/>
                <w:spacing w:val="-3"/>
                <w:sz w:val="18"/>
                <w:szCs w:val="18"/>
              </w:rPr>
            </w:pPr>
            <w:r w:rsidRPr="00FC4551">
              <w:rPr>
                <w:rFonts w:ascii="Arial" w:hAnsi="Arial" w:cs="Arial"/>
                <w:spacing w:val="-3"/>
                <w:sz w:val="18"/>
                <w:szCs w:val="18"/>
              </w:rPr>
              <w:t xml:space="preserve">Building Code 2014 </w:t>
            </w:r>
            <w:r w:rsidR="00A72E8A">
              <w:rPr>
                <w:rFonts w:ascii="Arial" w:hAnsi="Arial" w:cs="Arial"/>
                <w:spacing w:val="-3"/>
                <w:sz w:val="18"/>
                <w:szCs w:val="18"/>
              </w:rPr>
              <w:t xml:space="preserve">further </w:t>
            </w:r>
            <w:r w:rsidRPr="00FC4551">
              <w:rPr>
                <w:rFonts w:ascii="Arial" w:hAnsi="Arial" w:cs="Arial"/>
                <w:spacing w:val="-3"/>
                <w:sz w:val="18"/>
                <w:szCs w:val="18"/>
              </w:rPr>
              <w:t>advance release</w:t>
            </w:r>
          </w:p>
        </w:tc>
        <w:tc>
          <w:tcPr>
            <w:tcW w:w="1420" w:type="dxa"/>
            <w:shd w:val="clear" w:color="auto" w:fill="auto"/>
            <w:vAlign w:val="center"/>
          </w:tcPr>
          <w:p w:rsidR="00FC4551" w:rsidRDefault="00FC4551"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FC4551" w:rsidRDefault="000072FD"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FC4551" w:rsidRDefault="00FC4551"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FC4551" w:rsidRPr="00FE226A" w:rsidRDefault="00FE226A" w:rsidP="00FC4551">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CC2A48" w:rsidRPr="00FE226A" w:rsidTr="006040B4">
        <w:trPr>
          <w:trHeight w:hRule="exact" w:val="525"/>
        </w:trPr>
        <w:tc>
          <w:tcPr>
            <w:tcW w:w="5245" w:type="dxa"/>
            <w:shd w:val="clear" w:color="auto" w:fill="auto"/>
            <w:vAlign w:val="center"/>
          </w:tcPr>
          <w:p w:rsidR="00CC2A48" w:rsidRPr="00FC4551" w:rsidRDefault="00CC2A48" w:rsidP="001905D6">
            <w:pPr>
              <w:pStyle w:val="TableParagraph"/>
              <w:kinsoku w:val="0"/>
              <w:overflowPunct w:val="0"/>
              <w:spacing w:before="54" w:line="254" w:lineRule="auto"/>
              <w:ind w:left="170" w:right="102"/>
              <w:rPr>
                <w:rFonts w:ascii="Arial" w:hAnsi="Arial" w:cs="Arial"/>
                <w:spacing w:val="-3"/>
                <w:sz w:val="18"/>
                <w:szCs w:val="18"/>
              </w:rPr>
            </w:pPr>
            <w:r w:rsidRPr="00CC2A48">
              <w:rPr>
                <w:rFonts w:ascii="Arial" w:hAnsi="Arial" w:cs="Arial"/>
                <w:spacing w:val="-3"/>
                <w:sz w:val="18"/>
                <w:szCs w:val="18"/>
              </w:rPr>
              <w:t>Office of the Federal Safety Commissioner and the Building and Construction Work Health and Safety Accreditation Scheme</w:t>
            </w:r>
          </w:p>
        </w:tc>
        <w:tc>
          <w:tcPr>
            <w:tcW w:w="1420" w:type="dxa"/>
            <w:shd w:val="clear" w:color="auto" w:fill="auto"/>
            <w:vAlign w:val="center"/>
          </w:tcPr>
          <w:p w:rsidR="00CC2A48" w:rsidRDefault="00CC2A48"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CC2A48" w:rsidRDefault="00CC2A48"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CC2A48" w:rsidRDefault="00CC2A48"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CC2A48" w:rsidRDefault="00CC2A48" w:rsidP="00FC4551">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-$9.7</w:t>
            </w:r>
          </w:p>
        </w:tc>
      </w:tr>
      <w:tr w:rsidR="007329D9" w:rsidRPr="00FE226A" w:rsidTr="006040B4">
        <w:trPr>
          <w:trHeight w:hRule="exact" w:val="525"/>
        </w:trPr>
        <w:tc>
          <w:tcPr>
            <w:tcW w:w="5245" w:type="dxa"/>
            <w:shd w:val="clear" w:color="auto" w:fill="auto"/>
            <w:vAlign w:val="center"/>
          </w:tcPr>
          <w:p w:rsidR="007329D9" w:rsidRPr="00FC6664" w:rsidRDefault="007329D9" w:rsidP="001905D6">
            <w:pPr>
              <w:pStyle w:val="TableParagraph"/>
              <w:kinsoku w:val="0"/>
              <w:overflowPunct w:val="0"/>
              <w:spacing w:before="54" w:line="254" w:lineRule="auto"/>
              <w:ind w:left="170" w:right="102"/>
              <w:rPr>
                <w:rFonts w:ascii="Arial" w:hAnsi="Arial" w:cs="Arial"/>
                <w:spacing w:val="-3"/>
                <w:sz w:val="18"/>
                <w:szCs w:val="18"/>
              </w:rPr>
            </w:pPr>
            <w:r w:rsidRPr="00FC6664">
              <w:rPr>
                <w:rFonts w:ascii="Arial" w:hAnsi="Arial" w:cs="Arial"/>
                <w:spacing w:val="-3"/>
                <w:sz w:val="18"/>
                <w:szCs w:val="18"/>
              </w:rPr>
              <w:t xml:space="preserve">Safety, Rehabilitation and Compensation Amendments (Improving the Comcare Scheme) Bill 2015 </w:t>
            </w:r>
          </w:p>
        </w:tc>
        <w:tc>
          <w:tcPr>
            <w:tcW w:w="1420" w:type="dxa"/>
            <w:shd w:val="clear" w:color="auto" w:fill="auto"/>
            <w:vAlign w:val="center"/>
          </w:tcPr>
          <w:p w:rsidR="007329D9" w:rsidRDefault="004476E7"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7329D9" w:rsidRDefault="004476E7"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7329D9" w:rsidRDefault="004476E7"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vAlign w:val="center"/>
          </w:tcPr>
          <w:p w:rsidR="007329D9" w:rsidRDefault="004476E7" w:rsidP="00FC4551">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-$0.1</w:t>
            </w:r>
          </w:p>
        </w:tc>
      </w:tr>
      <w:tr w:rsidR="00A05FF3" w:rsidRPr="00FE226A" w:rsidTr="006040B4">
        <w:trPr>
          <w:trHeight w:hRule="exact" w:val="525"/>
        </w:trPr>
        <w:tc>
          <w:tcPr>
            <w:tcW w:w="5245" w:type="dxa"/>
            <w:shd w:val="clear" w:color="auto" w:fill="auto"/>
            <w:vAlign w:val="center"/>
          </w:tcPr>
          <w:p w:rsidR="00A05FF3" w:rsidRPr="00FC4551" w:rsidRDefault="00A05FF3" w:rsidP="001905D6">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Workplace Gender Equality Reporting </w:t>
            </w:r>
          </w:p>
        </w:tc>
        <w:tc>
          <w:tcPr>
            <w:tcW w:w="1420" w:type="dxa"/>
            <w:shd w:val="clear" w:color="auto" w:fill="auto"/>
            <w:vAlign w:val="center"/>
          </w:tcPr>
          <w:p w:rsidR="00A05FF3" w:rsidRDefault="00A05FF3"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A05FF3" w:rsidRDefault="00A05FF3"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A05FF3" w:rsidRDefault="00A05FF3"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A05FF3" w:rsidRDefault="00A05FF3" w:rsidP="00FC4551">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-$6.9</w:t>
            </w:r>
          </w:p>
        </w:tc>
      </w:tr>
      <w:tr w:rsidR="00795531" w:rsidTr="008960F5">
        <w:trPr>
          <w:trHeight w:hRule="exact" w:val="525"/>
        </w:trPr>
        <w:tc>
          <w:tcPr>
            <w:tcW w:w="5245" w:type="dxa"/>
            <w:shd w:val="clear" w:color="auto" w:fill="FDE9D9"/>
            <w:vAlign w:val="center"/>
          </w:tcPr>
          <w:p w:rsidR="00795531" w:rsidRDefault="00795531" w:rsidP="008960F5">
            <w:pPr>
              <w:pStyle w:val="TableParagraph"/>
              <w:kinsoku w:val="0"/>
              <w:overflowPunct w:val="0"/>
              <w:spacing w:before="54" w:line="255" w:lineRule="auto"/>
              <w:ind w:left="80" w:right="100"/>
              <w:rPr>
                <w:rFonts w:ascii="Arial" w:hAnsi="Arial" w:cs="Arial"/>
                <w:b/>
                <w:spacing w:val="-3"/>
                <w:sz w:val="18"/>
                <w:szCs w:val="18"/>
              </w:rPr>
            </w:pPr>
            <w:r>
              <w:rPr>
                <w:rFonts w:ascii="Arial" w:hAnsi="Arial" w:cs="Arial"/>
                <w:b/>
                <w:spacing w:val="-3"/>
                <w:sz w:val="18"/>
                <w:szCs w:val="18"/>
              </w:rPr>
              <w:t>Environment</w:t>
            </w:r>
          </w:p>
        </w:tc>
        <w:tc>
          <w:tcPr>
            <w:tcW w:w="1420" w:type="dxa"/>
            <w:shd w:val="clear" w:color="auto" w:fill="FDE9D9"/>
            <w:vAlign w:val="center"/>
          </w:tcPr>
          <w:p w:rsidR="00795531" w:rsidRDefault="004F44C5"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3/3</w:t>
            </w:r>
          </w:p>
        </w:tc>
        <w:tc>
          <w:tcPr>
            <w:tcW w:w="1105" w:type="dxa"/>
            <w:shd w:val="clear" w:color="auto" w:fill="FDE9D9"/>
            <w:vAlign w:val="center"/>
          </w:tcPr>
          <w:p w:rsidR="00795531" w:rsidRDefault="004F44C5" w:rsidP="00FC4551">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2/3</w:t>
            </w:r>
          </w:p>
        </w:tc>
        <w:tc>
          <w:tcPr>
            <w:tcW w:w="1104" w:type="dxa"/>
            <w:shd w:val="clear" w:color="auto" w:fill="FDE9D9"/>
            <w:vAlign w:val="center"/>
          </w:tcPr>
          <w:p w:rsidR="00795531" w:rsidRPr="00C45CF7" w:rsidRDefault="00795531" w:rsidP="008960F5">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rsidR="00EC4B23" w:rsidRDefault="004F44C5" w:rsidP="00EC4B23">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EC4B23">
              <w:rPr>
                <w:rFonts w:ascii="Arial" w:hAnsi="Arial" w:cs="Arial"/>
                <w:b/>
                <w:spacing w:val="-3"/>
                <w:sz w:val="18"/>
                <w:szCs w:val="18"/>
              </w:rPr>
              <w:t>522.5</w:t>
            </w:r>
          </w:p>
        </w:tc>
      </w:tr>
      <w:tr w:rsidR="00046DAA" w:rsidTr="008960F5">
        <w:trPr>
          <w:trHeight w:hRule="exact" w:val="525"/>
        </w:trPr>
        <w:tc>
          <w:tcPr>
            <w:tcW w:w="5245" w:type="dxa"/>
            <w:shd w:val="clear" w:color="auto" w:fill="FDE9D9"/>
            <w:vAlign w:val="center"/>
          </w:tcPr>
          <w:p w:rsidR="00046DAA" w:rsidRPr="00CD0584" w:rsidRDefault="00046DAA" w:rsidP="008960F5">
            <w:pPr>
              <w:pStyle w:val="TableParagraph"/>
              <w:kinsoku w:val="0"/>
              <w:overflowPunct w:val="0"/>
              <w:spacing w:before="54" w:line="255" w:lineRule="auto"/>
              <w:ind w:left="80" w:right="100"/>
              <w:rPr>
                <w:rFonts w:ascii="Arial" w:hAnsi="Arial" w:cs="Arial"/>
                <w:i/>
                <w:spacing w:val="-3"/>
                <w:sz w:val="18"/>
                <w:szCs w:val="18"/>
              </w:rPr>
            </w:pPr>
            <w:r w:rsidRPr="00CD0584">
              <w:rPr>
                <w:rFonts w:ascii="Arial" w:hAnsi="Arial" w:cs="Arial"/>
                <w:i/>
                <w:spacing w:val="-3"/>
                <w:sz w:val="18"/>
                <w:szCs w:val="18"/>
              </w:rPr>
              <w:t>Department of the Environment</w:t>
            </w:r>
          </w:p>
        </w:tc>
        <w:tc>
          <w:tcPr>
            <w:tcW w:w="1420" w:type="dxa"/>
            <w:shd w:val="clear" w:color="auto" w:fill="FDE9D9"/>
            <w:vAlign w:val="center"/>
          </w:tcPr>
          <w:p w:rsidR="00046DAA" w:rsidRPr="00046DAA" w:rsidRDefault="004F44C5"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2/2</w:t>
            </w:r>
          </w:p>
        </w:tc>
        <w:tc>
          <w:tcPr>
            <w:tcW w:w="1105" w:type="dxa"/>
            <w:shd w:val="clear" w:color="auto" w:fill="FDE9D9"/>
            <w:vAlign w:val="center"/>
          </w:tcPr>
          <w:p w:rsidR="00046DAA" w:rsidRPr="00046DAA" w:rsidRDefault="004F44C5" w:rsidP="00FC455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2/2</w:t>
            </w:r>
          </w:p>
        </w:tc>
        <w:tc>
          <w:tcPr>
            <w:tcW w:w="1104" w:type="dxa"/>
            <w:shd w:val="clear" w:color="auto" w:fill="FDE9D9"/>
            <w:vAlign w:val="center"/>
          </w:tcPr>
          <w:p w:rsidR="00046DAA" w:rsidRPr="00046DAA" w:rsidRDefault="00046DAA"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046DAA" w:rsidRPr="00046DAA" w:rsidRDefault="004F44C5"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EC4B23">
              <w:rPr>
                <w:rFonts w:ascii="Arial" w:hAnsi="Arial" w:cs="Arial"/>
                <w:spacing w:val="-3"/>
                <w:sz w:val="18"/>
                <w:szCs w:val="18"/>
              </w:rPr>
              <w:t>526.7</w:t>
            </w:r>
          </w:p>
        </w:tc>
      </w:tr>
      <w:tr w:rsidR="004F44C5" w:rsidTr="00046DAA">
        <w:trPr>
          <w:trHeight w:hRule="exact" w:val="525"/>
        </w:trPr>
        <w:tc>
          <w:tcPr>
            <w:tcW w:w="5245" w:type="dxa"/>
            <w:shd w:val="clear" w:color="auto" w:fill="auto"/>
            <w:vAlign w:val="center"/>
          </w:tcPr>
          <w:p w:rsidR="004F44C5" w:rsidRPr="00733A95" w:rsidRDefault="004F44C5" w:rsidP="008960F5">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Renewable Energy (Electricity) Amendment Bill 2012</w:t>
            </w:r>
          </w:p>
        </w:tc>
        <w:tc>
          <w:tcPr>
            <w:tcW w:w="1420" w:type="dxa"/>
            <w:shd w:val="clear" w:color="auto" w:fill="auto"/>
            <w:vAlign w:val="center"/>
          </w:tcPr>
          <w:p w:rsidR="004F44C5" w:rsidRDefault="004F44C5"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4F44C5" w:rsidRDefault="004F44C5" w:rsidP="00FC455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4F44C5" w:rsidRDefault="004F44C5"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4F44C5" w:rsidRDefault="004F44C5"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-519.6</w:t>
            </w:r>
          </w:p>
        </w:tc>
      </w:tr>
      <w:tr w:rsidR="00046DAA" w:rsidTr="00046DAA">
        <w:trPr>
          <w:trHeight w:hRule="exact" w:val="525"/>
        </w:trPr>
        <w:tc>
          <w:tcPr>
            <w:tcW w:w="5245" w:type="dxa"/>
            <w:shd w:val="clear" w:color="auto" w:fill="auto"/>
            <w:vAlign w:val="center"/>
          </w:tcPr>
          <w:p w:rsidR="00046DAA" w:rsidRPr="00046DAA" w:rsidRDefault="00046DAA" w:rsidP="008960F5">
            <w:pPr>
              <w:pStyle w:val="TableParagraph"/>
              <w:kinsoku w:val="0"/>
              <w:overflowPunct w:val="0"/>
              <w:spacing w:before="54" w:line="255" w:lineRule="auto"/>
              <w:ind w:left="80" w:right="100"/>
              <w:rPr>
                <w:rFonts w:ascii="Arial" w:hAnsi="Arial" w:cs="Arial"/>
                <w:spacing w:val="-3"/>
                <w:sz w:val="18"/>
                <w:szCs w:val="18"/>
              </w:rPr>
            </w:pPr>
            <w:r w:rsidRPr="00733A95">
              <w:rPr>
                <w:rFonts w:ascii="Arial" w:hAnsi="Arial" w:cs="Arial"/>
                <w:spacing w:val="-3"/>
                <w:sz w:val="18"/>
                <w:szCs w:val="18"/>
              </w:rPr>
              <w:t>Changes to the National Television and Computer Recycling Scheme</w:t>
            </w:r>
          </w:p>
        </w:tc>
        <w:tc>
          <w:tcPr>
            <w:tcW w:w="1420" w:type="dxa"/>
            <w:shd w:val="clear" w:color="auto" w:fill="auto"/>
            <w:vAlign w:val="center"/>
          </w:tcPr>
          <w:p w:rsidR="00046DAA" w:rsidRPr="00046DAA" w:rsidRDefault="00046DAA"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046DAA" w:rsidRPr="00046DAA" w:rsidRDefault="00046DAA" w:rsidP="00FC455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046DAA" w:rsidRPr="00046DAA" w:rsidRDefault="00046DAA"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046DAA" w:rsidRPr="00046DAA" w:rsidRDefault="00046DAA"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-$7.1</w:t>
            </w:r>
          </w:p>
        </w:tc>
      </w:tr>
      <w:tr w:rsidR="00795531" w:rsidTr="008960F5">
        <w:trPr>
          <w:trHeight w:hRule="exact" w:val="525"/>
        </w:trPr>
        <w:tc>
          <w:tcPr>
            <w:tcW w:w="5245" w:type="dxa"/>
            <w:shd w:val="clear" w:color="auto" w:fill="FDE9D9"/>
            <w:vAlign w:val="center"/>
          </w:tcPr>
          <w:p w:rsidR="00795531" w:rsidRPr="00795531" w:rsidRDefault="00795531" w:rsidP="008960F5">
            <w:pPr>
              <w:pStyle w:val="TableParagraph"/>
              <w:kinsoku w:val="0"/>
              <w:overflowPunct w:val="0"/>
              <w:spacing w:before="54" w:line="255" w:lineRule="auto"/>
              <w:ind w:left="80" w:right="100"/>
              <w:rPr>
                <w:rFonts w:ascii="Arial" w:hAnsi="Arial" w:cs="Arial"/>
                <w:i/>
                <w:spacing w:val="-3"/>
                <w:sz w:val="18"/>
                <w:szCs w:val="18"/>
              </w:rPr>
            </w:pPr>
            <w:r w:rsidRPr="00795531">
              <w:rPr>
                <w:rFonts w:ascii="Arial" w:hAnsi="Arial" w:cs="Arial"/>
                <w:i/>
                <w:spacing w:val="-3"/>
                <w:sz w:val="18"/>
                <w:szCs w:val="18"/>
              </w:rPr>
              <w:t xml:space="preserve">Great Barrier Reef Marine Park Authority </w:t>
            </w:r>
          </w:p>
        </w:tc>
        <w:tc>
          <w:tcPr>
            <w:tcW w:w="1420" w:type="dxa"/>
            <w:shd w:val="clear" w:color="auto" w:fill="FDE9D9"/>
            <w:vAlign w:val="center"/>
          </w:tcPr>
          <w:p w:rsidR="00795531" w:rsidRPr="00CA10CD" w:rsidRDefault="00046DAA"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5" w:type="dxa"/>
            <w:shd w:val="clear" w:color="auto" w:fill="FDE9D9"/>
            <w:vAlign w:val="center"/>
          </w:tcPr>
          <w:p w:rsidR="00795531" w:rsidRPr="00CA10CD" w:rsidRDefault="00046DAA" w:rsidP="00FC455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0/1</w:t>
            </w:r>
          </w:p>
        </w:tc>
        <w:tc>
          <w:tcPr>
            <w:tcW w:w="1104" w:type="dxa"/>
            <w:shd w:val="clear" w:color="auto" w:fill="FDE9D9"/>
            <w:vAlign w:val="center"/>
          </w:tcPr>
          <w:p w:rsidR="00795531" w:rsidRPr="00CA10CD" w:rsidRDefault="00795531"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795531" w:rsidRPr="00CA10CD" w:rsidRDefault="00046DAA"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$4.2</w:t>
            </w:r>
          </w:p>
        </w:tc>
      </w:tr>
      <w:tr w:rsidR="00795531" w:rsidTr="00CA10CD">
        <w:trPr>
          <w:trHeight w:hRule="exact" w:val="525"/>
        </w:trPr>
        <w:tc>
          <w:tcPr>
            <w:tcW w:w="5245" w:type="dxa"/>
            <w:shd w:val="clear" w:color="auto" w:fill="auto"/>
            <w:vAlign w:val="center"/>
          </w:tcPr>
          <w:p w:rsidR="00795531" w:rsidRPr="00795531" w:rsidRDefault="003E6B34" w:rsidP="008960F5">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 xml:space="preserve">Ban on the disposal of </w:t>
            </w:r>
            <w:r w:rsidR="00795531" w:rsidRPr="00795531">
              <w:rPr>
                <w:rFonts w:ascii="Arial" w:hAnsi="Arial" w:cs="Arial"/>
                <w:spacing w:val="-3"/>
                <w:sz w:val="18"/>
                <w:szCs w:val="18"/>
              </w:rPr>
              <w:t>capital dredge spoil material</w:t>
            </w:r>
          </w:p>
        </w:tc>
        <w:tc>
          <w:tcPr>
            <w:tcW w:w="1420" w:type="dxa"/>
            <w:shd w:val="clear" w:color="auto" w:fill="auto"/>
            <w:vAlign w:val="center"/>
          </w:tcPr>
          <w:p w:rsidR="00795531" w:rsidRPr="00CA10CD" w:rsidRDefault="00CA10CD" w:rsidP="008960F5">
            <w:pPr>
              <w:pStyle w:val="TableParagraph"/>
              <w:kinsoku w:val="0"/>
              <w:overflowPunct w:val="0"/>
              <w:spacing w:before="54"/>
              <w:jc w:val="center"/>
              <w:rPr>
                <w:rFonts w:ascii="Arial" w:hAnsi="Arial" w:cs="Arial"/>
                <w:spacing w:val="-3"/>
                <w:sz w:val="18"/>
                <w:szCs w:val="18"/>
              </w:rPr>
            </w:pPr>
            <w:r w:rsidRPr="00CA10CD">
              <w:rPr>
                <w:rFonts w:ascii="Arial" w:hAnsi="Arial" w:cs="Arial"/>
                <w:spacing w:val="-3"/>
                <w:sz w:val="18"/>
                <w:szCs w:val="18"/>
              </w:rPr>
              <w:t xml:space="preserve">Compliant </w:t>
            </w:r>
          </w:p>
        </w:tc>
        <w:tc>
          <w:tcPr>
            <w:tcW w:w="1105" w:type="dxa"/>
            <w:shd w:val="clear" w:color="auto" w:fill="auto"/>
            <w:vAlign w:val="center"/>
          </w:tcPr>
          <w:p w:rsidR="00795531" w:rsidRPr="00CA10CD" w:rsidRDefault="00CA10CD" w:rsidP="00FC4551">
            <w:pPr>
              <w:pStyle w:val="TableParagraph"/>
              <w:kinsoku w:val="0"/>
              <w:overflowPunct w:val="0"/>
              <w:spacing w:before="54"/>
              <w:jc w:val="center"/>
              <w:rPr>
                <w:rFonts w:ascii="Arial" w:hAnsi="Arial" w:cs="Arial"/>
                <w:spacing w:val="-3"/>
                <w:sz w:val="18"/>
                <w:szCs w:val="18"/>
              </w:rPr>
            </w:pPr>
            <w:r w:rsidRPr="00CA10CD">
              <w:rPr>
                <w:rFonts w:ascii="Arial" w:hAnsi="Arial" w:cs="Arial"/>
                <w:spacing w:val="-3"/>
                <w:sz w:val="18"/>
                <w:szCs w:val="18"/>
              </w:rPr>
              <w:t>No</w:t>
            </w:r>
          </w:p>
        </w:tc>
        <w:tc>
          <w:tcPr>
            <w:tcW w:w="1104" w:type="dxa"/>
            <w:shd w:val="clear" w:color="auto" w:fill="auto"/>
            <w:vAlign w:val="center"/>
          </w:tcPr>
          <w:p w:rsidR="00795531" w:rsidRPr="00CA10CD" w:rsidRDefault="00CA10CD" w:rsidP="008960F5">
            <w:pPr>
              <w:pStyle w:val="TableParagraph"/>
              <w:kinsoku w:val="0"/>
              <w:overflowPunct w:val="0"/>
              <w:spacing w:before="54"/>
              <w:jc w:val="center"/>
              <w:rPr>
                <w:rFonts w:ascii="Arial" w:hAnsi="Arial" w:cs="Arial"/>
                <w:spacing w:val="-3"/>
                <w:sz w:val="18"/>
                <w:szCs w:val="18"/>
              </w:rPr>
            </w:pPr>
            <w:r w:rsidRPr="00CA10CD">
              <w:rPr>
                <w:rFonts w:ascii="Arial" w:hAnsi="Arial" w:cs="Arial"/>
                <w:spacing w:val="-3"/>
                <w:sz w:val="18"/>
                <w:szCs w:val="18"/>
              </w:rPr>
              <w:t>No</w:t>
            </w:r>
          </w:p>
        </w:tc>
        <w:tc>
          <w:tcPr>
            <w:tcW w:w="1105" w:type="dxa"/>
            <w:shd w:val="clear" w:color="auto" w:fill="auto"/>
            <w:vAlign w:val="center"/>
          </w:tcPr>
          <w:p w:rsidR="00795531" w:rsidRPr="00CA10CD" w:rsidRDefault="00CA10CD" w:rsidP="008960F5">
            <w:pPr>
              <w:pStyle w:val="TableParagraph"/>
              <w:kinsoku w:val="0"/>
              <w:overflowPunct w:val="0"/>
              <w:spacing w:before="54"/>
              <w:ind w:right="227"/>
              <w:jc w:val="right"/>
              <w:rPr>
                <w:rFonts w:ascii="Arial" w:hAnsi="Arial" w:cs="Arial"/>
                <w:spacing w:val="-3"/>
                <w:sz w:val="18"/>
                <w:szCs w:val="18"/>
              </w:rPr>
            </w:pPr>
            <w:r w:rsidRPr="00CA10CD">
              <w:rPr>
                <w:rFonts w:ascii="Arial" w:hAnsi="Arial" w:cs="Arial"/>
                <w:spacing w:val="-3"/>
                <w:sz w:val="18"/>
                <w:szCs w:val="18"/>
              </w:rPr>
              <w:t>$4.2</w:t>
            </w:r>
          </w:p>
        </w:tc>
      </w:tr>
      <w:tr w:rsidR="00FC4551" w:rsidTr="008960F5">
        <w:trPr>
          <w:trHeight w:hRule="exact" w:val="525"/>
        </w:trPr>
        <w:tc>
          <w:tcPr>
            <w:tcW w:w="5245" w:type="dxa"/>
            <w:shd w:val="clear" w:color="auto" w:fill="FDE9D9"/>
            <w:vAlign w:val="center"/>
          </w:tcPr>
          <w:p w:rsidR="00FC4551" w:rsidRPr="00CE3B33" w:rsidRDefault="00FC4551" w:rsidP="008960F5">
            <w:pPr>
              <w:pStyle w:val="TableParagraph"/>
              <w:kinsoku w:val="0"/>
              <w:overflowPunct w:val="0"/>
              <w:spacing w:before="54" w:line="255" w:lineRule="auto"/>
              <w:ind w:left="80" w:right="100"/>
              <w:rPr>
                <w:rFonts w:ascii="Arial" w:hAnsi="Arial" w:cs="Arial"/>
                <w:b/>
                <w:sz w:val="18"/>
                <w:szCs w:val="18"/>
              </w:rPr>
            </w:pPr>
            <w:r>
              <w:rPr>
                <w:rFonts w:ascii="Arial" w:hAnsi="Arial" w:cs="Arial"/>
                <w:b/>
                <w:spacing w:val="-3"/>
                <w:sz w:val="18"/>
                <w:szCs w:val="18"/>
              </w:rPr>
              <w:t>Foreign Affairs and Trade</w:t>
            </w:r>
          </w:p>
        </w:tc>
        <w:tc>
          <w:tcPr>
            <w:tcW w:w="1420" w:type="dxa"/>
            <w:shd w:val="clear" w:color="auto" w:fill="FDE9D9"/>
            <w:vAlign w:val="center"/>
          </w:tcPr>
          <w:p w:rsidR="00FC4551" w:rsidRPr="00C45CF7" w:rsidRDefault="005368F5"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3/3</w:t>
            </w:r>
          </w:p>
        </w:tc>
        <w:tc>
          <w:tcPr>
            <w:tcW w:w="1105" w:type="dxa"/>
            <w:shd w:val="clear" w:color="auto" w:fill="FDE9D9"/>
            <w:vAlign w:val="center"/>
          </w:tcPr>
          <w:p w:rsidR="00FC4551" w:rsidRPr="00C45CF7" w:rsidRDefault="005368F5" w:rsidP="00FC4551">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1/3</w:t>
            </w:r>
          </w:p>
        </w:tc>
        <w:tc>
          <w:tcPr>
            <w:tcW w:w="1104" w:type="dxa"/>
            <w:shd w:val="clear" w:color="auto" w:fill="FDE9D9"/>
            <w:vAlign w:val="center"/>
          </w:tcPr>
          <w:p w:rsidR="00FC4551" w:rsidRPr="00C45CF7" w:rsidRDefault="00FC4551" w:rsidP="008960F5">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rsidR="00FC4551" w:rsidRPr="00C45CF7" w:rsidRDefault="005368F5" w:rsidP="008960F5">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-$0.6</w:t>
            </w:r>
          </w:p>
        </w:tc>
      </w:tr>
      <w:tr w:rsidR="00FC4551" w:rsidTr="008960F5">
        <w:trPr>
          <w:trHeight w:hRule="exact" w:val="525"/>
        </w:trPr>
        <w:tc>
          <w:tcPr>
            <w:tcW w:w="5245" w:type="dxa"/>
            <w:shd w:val="clear" w:color="auto" w:fill="FDE9D9"/>
            <w:vAlign w:val="center"/>
          </w:tcPr>
          <w:p w:rsidR="00FC4551" w:rsidRPr="00CE3B33" w:rsidRDefault="00FC4551" w:rsidP="008960F5">
            <w:pPr>
              <w:pStyle w:val="TableParagraph"/>
              <w:kinsoku w:val="0"/>
              <w:overflowPunct w:val="0"/>
              <w:spacing w:before="54" w:line="255" w:lineRule="auto"/>
              <w:ind w:left="80" w:right="100"/>
              <w:rPr>
                <w:rFonts w:ascii="Arial" w:hAnsi="Arial" w:cs="Arial"/>
                <w:spacing w:val="-3"/>
                <w:sz w:val="18"/>
                <w:szCs w:val="18"/>
              </w:rPr>
            </w:pPr>
            <w:r>
              <w:rPr>
                <w:rFonts w:ascii="Arial" w:hAnsi="Arial" w:cs="Arial"/>
                <w:i/>
                <w:spacing w:val="-3"/>
                <w:sz w:val="18"/>
                <w:szCs w:val="18"/>
              </w:rPr>
              <w:t>Department of Foreign Affairs and Trade</w:t>
            </w:r>
          </w:p>
        </w:tc>
        <w:tc>
          <w:tcPr>
            <w:tcW w:w="1420" w:type="dxa"/>
            <w:shd w:val="clear" w:color="auto" w:fill="FDE9D9"/>
            <w:vAlign w:val="center"/>
          </w:tcPr>
          <w:p w:rsidR="00FC4551" w:rsidRPr="002826A9" w:rsidRDefault="005368F5" w:rsidP="00FC455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3/3</w:t>
            </w:r>
          </w:p>
        </w:tc>
        <w:tc>
          <w:tcPr>
            <w:tcW w:w="1105" w:type="dxa"/>
            <w:shd w:val="clear" w:color="auto" w:fill="FDE9D9"/>
            <w:vAlign w:val="center"/>
          </w:tcPr>
          <w:p w:rsidR="00FC4551" w:rsidRPr="002826A9" w:rsidRDefault="005368F5" w:rsidP="00FC455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1/3</w:t>
            </w:r>
          </w:p>
        </w:tc>
        <w:tc>
          <w:tcPr>
            <w:tcW w:w="1104" w:type="dxa"/>
            <w:shd w:val="clear" w:color="auto" w:fill="FDE9D9"/>
            <w:vAlign w:val="center"/>
          </w:tcPr>
          <w:p w:rsidR="00FC4551" w:rsidRPr="002826A9" w:rsidRDefault="00FC4551"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FC4551" w:rsidRPr="002826A9" w:rsidRDefault="001523CB"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-$0.6</w:t>
            </w:r>
          </w:p>
        </w:tc>
      </w:tr>
      <w:tr w:rsidR="00CE40C7" w:rsidTr="006040B4">
        <w:trPr>
          <w:trHeight w:hRule="exact" w:val="525"/>
        </w:trPr>
        <w:tc>
          <w:tcPr>
            <w:tcW w:w="5245" w:type="dxa"/>
            <w:shd w:val="clear" w:color="auto" w:fill="auto"/>
            <w:vAlign w:val="center"/>
          </w:tcPr>
          <w:p w:rsidR="00CE40C7" w:rsidRPr="00D2740F" w:rsidRDefault="00CE40C7" w:rsidP="008960F5">
            <w:pPr>
              <w:pStyle w:val="TableParagraph"/>
              <w:kinsoku w:val="0"/>
              <w:overflowPunct w:val="0"/>
              <w:spacing w:before="54" w:line="254" w:lineRule="auto"/>
              <w:ind w:left="170" w:right="102"/>
              <w:rPr>
                <w:rFonts w:ascii="Arial" w:hAnsi="Arial" w:cs="Arial"/>
                <w:spacing w:val="-3"/>
                <w:sz w:val="18"/>
                <w:szCs w:val="18"/>
              </w:rPr>
            </w:pPr>
            <w:r w:rsidRPr="009848CC">
              <w:rPr>
                <w:rFonts w:ascii="Arial" w:hAnsi="Arial" w:cs="Arial"/>
                <w:spacing w:val="-3"/>
                <w:sz w:val="18"/>
                <w:szCs w:val="18"/>
              </w:rPr>
              <w:t>China Free Trade Agreement (ChAFTA)</w:t>
            </w:r>
          </w:p>
        </w:tc>
        <w:tc>
          <w:tcPr>
            <w:tcW w:w="1420" w:type="dxa"/>
            <w:shd w:val="clear" w:color="auto" w:fill="auto"/>
            <w:vAlign w:val="center"/>
          </w:tcPr>
          <w:p w:rsidR="00CE40C7" w:rsidRDefault="00CE40C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CE40C7" w:rsidRDefault="00CE40C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CE40C7" w:rsidRDefault="00CE40C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within five years </w:t>
            </w:r>
          </w:p>
        </w:tc>
        <w:tc>
          <w:tcPr>
            <w:tcW w:w="1105" w:type="dxa"/>
            <w:vAlign w:val="center"/>
          </w:tcPr>
          <w:p w:rsidR="00CE40C7" w:rsidRDefault="00CE40C7"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FC4551" w:rsidTr="006040B4">
        <w:trPr>
          <w:trHeight w:hRule="exact" w:val="525"/>
        </w:trPr>
        <w:tc>
          <w:tcPr>
            <w:tcW w:w="5245" w:type="dxa"/>
            <w:shd w:val="clear" w:color="auto" w:fill="auto"/>
            <w:vAlign w:val="center"/>
          </w:tcPr>
          <w:p w:rsidR="00FC4551" w:rsidRDefault="00FC4551" w:rsidP="008960F5">
            <w:pPr>
              <w:pStyle w:val="TableParagraph"/>
              <w:kinsoku w:val="0"/>
              <w:overflowPunct w:val="0"/>
              <w:spacing w:before="54" w:line="254" w:lineRule="auto"/>
              <w:ind w:left="170" w:right="102"/>
              <w:rPr>
                <w:rFonts w:ascii="Arial" w:hAnsi="Arial" w:cs="Arial"/>
                <w:spacing w:val="-3"/>
                <w:sz w:val="18"/>
                <w:szCs w:val="18"/>
              </w:rPr>
            </w:pPr>
            <w:r w:rsidRPr="00D2740F">
              <w:rPr>
                <w:rFonts w:ascii="Arial" w:hAnsi="Arial" w:cs="Arial"/>
                <w:spacing w:val="-3"/>
                <w:sz w:val="18"/>
                <w:szCs w:val="18"/>
              </w:rPr>
              <w:t>Japan-Australia Economic Partnership Agreement (JAEPA)</w:t>
            </w:r>
          </w:p>
        </w:tc>
        <w:tc>
          <w:tcPr>
            <w:tcW w:w="1420" w:type="dxa"/>
            <w:shd w:val="clear" w:color="auto" w:fill="auto"/>
            <w:vAlign w:val="center"/>
          </w:tcPr>
          <w:p w:rsidR="00FC4551" w:rsidRDefault="00323FB3"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FC4551" w:rsidRDefault="00FC45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FC4551" w:rsidRDefault="00FC45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within five years</w:t>
            </w:r>
          </w:p>
        </w:tc>
        <w:tc>
          <w:tcPr>
            <w:tcW w:w="1105" w:type="dxa"/>
            <w:vAlign w:val="center"/>
          </w:tcPr>
          <w:p w:rsidR="00FC4551" w:rsidRDefault="001523CB"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FC4551" w:rsidTr="006040B4">
        <w:trPr>
          <w:trHeight w:hRule="exact" w:val="525"/>
        </w:trPr>
        <w:tc>
          <w:tcPr>
            <w:tcW w:w="5245" w:type="dxa"/>
            <w:shd w:val="clear" w:color="auto" w:fill="auto"/>
            <w:vAlign w:val="center"/>
          </w:tcPr>
          <w:p w:rsidR="00FC4551" w:rsidRPr="00B609D8" w:rsidRDefault="00FC4551" w:rsidP="008960F5">
            <w:pPr>
              <w:pStyle w:val="TableParagraph"/>
              <w:kinsoku w:val="0"/>
              <w:overflowPunct w:val="0"/>
              <w:spacing w:before="54" w:line="254" w:lineRule="auto"/>
              <w:ind w:left="170" w:right="102"/>
              <w:rPr>
                <w:rFonts w:ascii="Arial" w:hAnsi="Arial" w:cs="Arial"/>
                <w:spacing w:val="-3"/>
                <w:sz w:val="18"/>
                <w:szCs w:val="18"/>
              </w:rPr>
            </w:pPr>
            <w:r w:rsidRPr="00FC4551">
              <w:rPr>
                <w:rFonts w:ascii="Arial" w:hAnsi="Arial" w:cs="Arial"/>
                <w:spacing w:val="-3"/>
                <w:sz w:val="18"/>
                <w:szCs w:val="18"/>
              </w:rPr>
              <w:t>First Protocol to amend the Agreement Establishing the ASEAN-Australia-New Zealand Free Trade Area</w:t>
            </w:r>
          </w:p>
        </w:tc>
        <w:tc>
          <w:tcPr>
            <w:tcW w:w="1420" w:type="dxa"/>
            <w:shd w:val="clear" w:color="auto" w:fill="auto"/>
            <w:vAlign w:val="center"/>
          </w:tcPr>
          <w:p w:rsidR="00FC4551" w:rsidRDefault="00FC45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FC4551" w:rsidRDefault="00FC45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FC4551" w:rsidRDefault="00FC45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FC4551" w:rsidRDefault="00FC4551"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-$0.6</w:t>
            </w:r>
          </w:p>
        </w:tc>
      </w:tr>
      <w:tr w:rsidR="00961FFD" w:rsidTr="003049C6">
        <w:trPr>
          <w:trHeight w:hRule="exact" w:val="525"/>
        </w:trPr>
        <w:tc>
          <w:tcPr>
            <w:tcW w:w="5245" w:type="dxa"/>
            <w:shd w:val="clear" w:color="auto" w:fill="FDE9D9"/>
            <w:vAlign w:val="center"/>
          </w:tcPr>
          <w:p w:rsidR="00961FFD" w:rsidRPr="00961FFD" w:rsidRDefault="00961FFD" w:rsidP="008960F5">
            <w:pPr>
              <w:pStyle w:val="TableParagraph"/>
              <w:kinsoku w:val="0"/>
              <w:overflowPunct w:val="0"/>
              <w:spacing w:before="54" w:line="254" w:lineRule="auto"/>
              <w:ind w:left="170" w:right="102"/>
              <w:rPr>
                <w:rFonts w:ascii="Arial" w:hAnsi="Arial" w:cs="Arial"/>
                <w:b/>
                <w:spacing w:val="-3"/>
                <w:sz w:val="18"/>
                <w:szCs w:val="18"/>
              </w:rPr>
            </w:pPr>
            <w:r w:rsidRPr="00961FFD">
              <w:rPr>
                <w:rFonts w:ascii="Arial" w:hAnsi="Arial" w:cs="Arial"/>
                <w:b/>
                <w:spacing w:val="-3"/>
                <w:sz w:val="18"/>
                <w:szCs w:val="18"/>
              </w:rPr>
              <w:t xml:space="preserve">Health </w:t>
            </w:r>
          </w:p>
        </w:tc>
        <w:tc>
          <w:tcPr>
            <w:tcW w:w="1420" w:type="dxa"/>
            <w:shd w:val="clear" w:color="auto" w:fill="FDE9D9"/>
            <w:vAlign w:val="center"/>
          </w:tcPr>
          <w:p w:rsidR="00961FFD" w:rsidRPr="00754299" w:rsidRDefault="0045211D"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4/4</w:t>
            </w:r>
          </w:p>
        </w:tc>
        <w:tc>
          <w:tcPr>
            <w:tcW w:w="1105" w:type="dxa"/>
            <w:shd w:val="clear" w:color="auto" w:fill="FDE9D9"/>
            <w:vAlign w:val="center"/>
          </w:tcPr>
          <w:p w:rsidR="00961FFD" w:rsidRPr="00754299" w:rsidRDefault="0045211D"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4/4</w:t>
            </w:r>
          </w:p>
        </w:tc>
        <w:tc>
          <w:tcPr>
            <w:tcW w:w="1104" w:type="dxa"/>
            <w:shd w:val="clear" w:color="auto" w:fill="FDE9D9"/>
            <w:vAlign w:val="center"/>
          </w:tcPr>
          <w:p w:rsidR="00961FFD" w:rsidRDefault="00961FFD"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961FFD" w:rsidRPr="00D14C7F" w:rsidRDefault="00CF3EB9" w:rsidP="008960F5">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45211D">
              <w:rPr>
                <w:rFonts w:ascii="Arial" w:hAnsi="Arial" w:cs="Arial"/>
                <w:b/>
                <w:spacing w:val="-3"/>
                <w:sz w:val="18"/>
                <w:szCs w:val="18"/>
              </w:rPr>
              <w:t>$</w:t>
            </w:r>
            <w:r w:rsidR="00B14D42">
              <w:rPr>
                <w:rFonts w:ascii="Arial" w:hAnsi="Arial" w:cs="Arial"/>
                <w:b/>
                <w:spacing w:val="-3"/>
                <w:sz w:val="18"/>
                <w:szCs w:val="18"/>
              </w:rPr>
              <w:t>28.5</w:t>
            </w:r>
          </w:p>
        </w:tc>
      </w:tr>
      <w:tr w:rsidR="00754299" w:rsidTr="003049C6">
        <w:trPr>
          <w:trHeight w:hRule="exact" w:val="525"/>
        </w:trPr>
        <w:tc>
          <w:tcPr>
            <w:tcW w:w="5245" w:type="dxa"/>
            <w:shd w:val="clear" w:color="auto" w:fill="FDE9D9"/>
            <w:vAlign w:val="center"/>
          </w:tcPr>
          <w:p w:rsidR="00754299" w:rsidRPr="00754299" w:rsidRDefault="00754299" w:rsidP="008960F5">
            <w:pPr>
              <w:pStyle w:val="TableParagraph"/>
              <w:kinsoku w:val="0"/>
              <w:overflowPunct w:val="0"/>
              <w:spacing w:before="54" w:line="254" w:lineRule="auto"/>
              <w:ind w:left="170" w:right="102"/>
              <w:rPr>
                <w:rFonts w:ascii="Arial" w:hAnsi="Arial" w:cs="Arial"/>
                <w:i/>
                <w:spacing w:val="-3"/>
                <w:sz w:val="18"/>
                <w:szCs w:val="18"/>
              </w:rPr>
            </w:pPr>
            <w:r w:rsidRPr="00754299">
              <w:rPr>
                <w:rFonts w:ascii="Arial" w:hAnsi="Arial" w:cs="Arial"/>
                <w:i/>
                <w:spacing w:val="-3"/>
                <w:sz w:val="18"/>
                <w:szCs w:val="18"/>
              </w:rPr>
              <w:t xml:space="preserve">Department of Health </w:t>
            </w:r>
          </w:p>
        </w:tc>
        <w:tc>
          <w:tcPr>
            <w:tcW w:w="1420" w:type="dxa"/>
            <w:shd w:val="clear" w:color="auto" w:fill="FDE9D9"/>
            <w:vAlign w:val="center"/>
          </w:tcPr>
          <w:p w:rsidR="00754299" w:rsidRPr="0045211D" w:rsidRDefault="0045211D" w:rsidP="008960F5">
            <w:pPr>
              <w:pStyle w:val="TableParagraph"/>
              <w:kinsoku w:val="0"/>
              <w:overflowPunct w:val="0"/>
              <w:spacing w:before="54"/>
              <w:jc w:val="center"/>
              <w:rPr>
                <w:rFonts w:ascii="Arial" w:hAnsi="Arial" w:cs="Arial"/>
                <w:spacing w:val="-3"/>
                <w:sz w:val="18"/>
                <w:szCs w:val="18"/>
              </w:rPr>
            </w:pPr>
            <w:r w:rsidRPr="0045211D">
              <w:rPr>
                <w:rFonts w:ascii="Arial" w:hAnsi="Arial" w:cs="Arial"/>
                <w:spacing w:val="-3"/>
                <w:sz w:val="18"/>
                <w:szCs w:val="18"/>
              </w:rPr>
              <w:t>4/4</w:t>
            </w:r>
          </w:p>
        </w:tc>
        <w:tc>
          <w:tcPr>
            <w:tcW w:w="1105" w:type="dxa"/>
            <w:shd w:val="clear" w:color="auto" w:fill="FDE9D9"/>
            <w:vAlign w:val="center"/>
          </w:tcPr>
          <w:p w:rsidR="00754299" w:rsidRPr="002826A9" w:rsidRDefault="0045211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4/4</w:t>
            </w:r>
          </w:p>
        </w:tc>
        <w:tc>
          <w:tcPr>
            <w:tcW w:w="1104" w:type="dxa"/>
            <w:shd w:val="clear" w:color="auto" w:fill="FDE9D9"/>
            <w:vAlign w:val="center"/>
          </w:tcPr>
          <w:p w:rsidR="00754299" w:rsidRPr="002826A9" w:rsidRDefault="00754299"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754299" w:rsidRPr="002826A9" w:rsidRDefault="00CF3EB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B14D42">
              <w:rPr>
                <w:rFonts w:ascii="Arial" w:hAnsi="Arial" w:cs="Arial"/>
                <w:spacing w:val="-3"/>
                <w:sz w:val="18"/>
                <w:szCs w:val="18"/>
              </w:rPr>
              <w:t>28.5</w:t>
            </w:r>
          </w:p>
        </w:tc>
      </w:tr>
      <w:tr w:rsidR="00CF3EB9" w:rsidTr="006040B4">
        <w:trPr>
          <w:trHeight w:hRule="exact" w:val="525"/>
        </w:trPr>
        <w:tc>
          <w:tcPr>
            <w:tcW w:w="5245" w:type="dxa"/>
            <w:shd w:val="clear" w:color="auto" w:fill="auto"/>
            <w:vAlign w:val="center"/>
          </w:tcPr>
          <w:p w:rsidR="00CF3EB9" w:rsidRDefault="00CF3EB9"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lastRenderedPageBreak/>
              <w:t>Amendments to the new regulatory framework for in-vitro diagnostic medical devices</w:t>
            </w:r>
          </w:p>
        </w:tc>
        <w:tc>
          <w:tcPr>
            <w:tcW w:w="1420" w:type="dxa"/>
            <w:shd w:val="clear" w:color="auto" w:fill="auto"/>
            <w:vAlign w:val="center"/>
          </w:tcPr>
          <w:p w:rsidR="00CF3EB9" w:rsidRDefault="00CF3E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CF3EB9" w:rsidRDefault="00CF3E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CF3EB9" w:rsidRDefault="00CF3EB9"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vAlign w:val="center"/>
          </w:tcPr>
          <w:p w:rsidR="00CF3EB9" w:rsidRDefault="00A32747"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CF3EB9">
              <w:rPr>
                <w:rFonts w:ascii="Arial" w:hAnsi="Arial" w:cs="Arial"/>
                <w:spacing w:val="-3"/>
                <w:sz w:val="18"/>
                <w:szCs w:val="18"/>
              </w:rPr>
              <w:t>$0.1</w:t>
            </w:r>
          </w:p>
        </w:tc>
      </w:tr>
      <w:tr w:rsidR="009C1FC4" w:rsidTr="006040B4">
        <w:trPr>
          <w:trHeight w:hRule="exact" w:val="525"/>
        </w:trPr>
        <w:tc>
          <w:tcPr>
            <w:tcW w:w="5245" w:type="dxa"/>
            <w:shd w:val="clear" w:color="auto" w:fill="auto"/>
            <w:vAlign w:val="center"/>
          </w:tcPr>
          <w:p w:rsidR="009C1FC4" w:rsidRDefault="009C1FC4" w:rsidP="008960F5">
            <w:pPr>
              <w:pStyle w:val="TableParagraph"/>
              <w:kinsoku w:val="0"/>
              <w:overflowPunct w:val="0"/>
              <w:spacing w:before="54" w:line="254" w:lineRule="auto"/>
              <w:ind w:left="170" w:right="102"/>
              <w:rPr>
                <w:rFonts w:ascii="Arial" w:hAnsi="Arial" w:cs="Arial"/>
                <w:spacing w:val="-3"/>
                <w:sz w:val="18"/>
                <w:szCs w:val="18"/>
              </w:rPr>
            </w:pPr>
            <w:r w:rsidRPr="009C1FC4">
              <w:rPr>
                <w:rFonts w:ascii="Arial" w:hAnsi="Arial" w:cs="Arial"/>
                <w:spacing w:val="-3"/>
                <w:sz w:val="18"/>
                <w:szCs w:val="18"/>
              </w:rPr>
              <w:t>Industrial chemicals assessment reforms</w:t>
            </w:r>
          </w:p>
        </w:tc>
        <w:tc>
          <w:tcPr>
            <w:tcW w:w="1420" w:type="dxa"/>
            <w:shd w:val="clear" w:color="auto" w:fill="auto"/>
            <w:vAlign w:val="center"/>
          </w:tcPr>
          <w:p w:rsidR="009C1FC4" w:rsidRDefault="009C1FC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9C1FC4" w:rsidRDefault="009C1FC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9C1FC4" w:rsidRDefault="009C1FC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9C1FC4" w:rsidRDefault="009C1FC4"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-$22.7</w:t>
            </w:r>
          </w:p>
        </w:tc>
      </w:tr>
      <w:tr w:rsidR="00961FFD" w:rsidTr="006040B4">
        <w:trPr>
          <w:trHeight w:hRule="exact" w:val="525"/>
        </w:trPr>
        <w:tc>
          <w:tcPr>
            <w:tcW w:w="5245" w:type="dxa"/>
            <w:shd w:val="clear" w:color="auto" w:fill="auto"/>
            <w:vAlign w:val="center"/>
          </w:tcPr>
          <w:p w:rsidR="00961FFD" w:rsidRDefault="00961FFD"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Pre-market assessment of Australian-manufactured medical devices</w:t>
            </w:r>
          </w:p>
        </w:tc>
        <w:tc>
          <w:tcPr>
            <w:tcW w:w="1420" w:type="dxa"/>
            <w:shd w:val="clear" w:color="auto" w:fill="auto"/>
            <w:vAlign w:val="center"/>
          </w:tcPr>
          <w:p w:rsidR="00961FFD" w:rsidRDefault="00961FF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961FFD" w:rsidRDefault="00961FF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961FFD" w:rsidRDefault="00961FF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vAlign w:val="center"/>
          </w:tcPr>
          <w:p w:rsidR="00961FFD" w:rsidRDefault="001012A2"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-$6.1</w:t>
            </w:r>
          </w:p>
        </w:tc>
      </w:tr>
      <w:tr w:rsidR="0045211D" w:rsidTr="006040B4">
        <w:trPr>
          <w:trHeight w:hRule="exact" w:val="525"/>
        </w:trPr>
        <w:tc>
          <w:tcPr>
            <w:tcW w:w="5245" w:type="dxa"/>
            <w:shd w:val="clear" w:color="auto" w:fill="auto"/>
            <w:vAlign w:val="center"/>
          </w:tcPr>
          <w:p w:rsidR="0045211D" w:rsidRDefault="0045211D"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Proposed changes to the personally controlled electronic health record system</w:t>
            </w:r>
          </w:p>
        </w:tc>
        <w:tc>
          <w:tcPr>
            <w:tcW w:w="1420" w:type="dxa"/>
            <w:shd w:val="clear" w:color="auto" w:fill="auto"/>
            <w:vAlign w:val="center"/>
          </w:tcPr>
          <w:p w:rsidR="0045211D" w:rsidRDefault="0045211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45211D" w:rsidRDefault="0045211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45211D" w:rsidRDefault="0045211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45211D" w:rsidRDefault="0045211D"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$0.4</w:t>
            </w:r>
          </w:p>
        </w:tc>
      </w:tr>
      <w:tr w:rsidR="00F24F19" w:rsidTr="003049C6">
        <w:trPr>
          <w:trHeight w:hRule="exact" w:val="525"/>
        </w:trPr>
        <w:tc>
          <w:tcPr>
            <w:tcW w:w="5245" w:type="dxa"/>
            <w:shd w:val="clear" w:color="auto" w:fill="FDE9D9"/>
            <w:vAlign w:val="center"/>
          </w:tcPr>
          <w:p w:rsidR="00F24F19" w:rsidRPr="00ED6185" w:rsidRDefault="00F24F19" w:rsidP="008960F5">
            <w:pPr>
              <w:pStyle w:val="TableParagraph"/>
              <w:kinsoku w:val="0"/>
              <w:overflowPunct w:val="0"/>
              <w:spacing w:before="54" w:line="254" w:lineRule="auto"/>
              <w:ind w:left="170" w:right="102"/>
              <w:rPr>
                <w:rFonts w:ascii="Arial" w:hAnsi="Arial" w:cs="Arial"/>
                <w:b/>
                <w:spacing w:val="-3"/>
                <w:sz w:val="18"/>
                <w:szCs w:val="18"/>
              </w:rPr>
            </w:pPr>
            <w:r w:rsidRPr="00ED6185">
              <w:rPr>
                <w:rFonts w:ascii="Arial" w:hAnsi="Arial" w:cs="Arial"/>
                <w:b/>
                <w:spacing w:val="-3"/>
                <w:sz w:val="18"/>
                <w:szCs w:val="18"/>
              </w:rPr>
              <w:t>Im</w:t>
            </w:r>
            <w:r w:rsidR="00FD66D9" w:rsidRPr="00ED6185">
              <w:rPr>
                <w:rFonts w:ascii="Arial" w:hAnsi="Arial" w:cs="Arial"/>
                <w:b/>
                <w:spacing w:val="-3"/>
                <w:sz w:val="18"/>
                <w:szCs w:val="18"/>
              </w:rPr>
              <w:t xml:space="preserve">migration </w:t>
            </w:r>
          </w:p>
        </w:tc>
        <w:tc>
          <w:tcPr>
            <w:tcW w:w="1420" w:type="dxa"/>
            <w:shd w:val="clear" w:color="auto" w:fill="FDE9D9"/>
            <w:vAlign w:val="center"/>
          </w:tcPr>
          <w:p w:rsidR="00F24F19" w:rsidRPr="00ED6185" w:rsidRDefault="00ED6185" w:rsidP="008960F5">
            <w:pPr>
              <w:pStyle w:val="TableParagraph"/>
              <w:kinsoku w:val="0"/>
              <w:overflowPunct w:val="0"/>
              <w:spacing w:before="54"/>
              <w:jc w:val="center"/>
              <w:rPr>
                <w:rFonts w:ascii="Arial" w:hAnsi="Arial" w:cs="Arial"/>
                <w:b/>
                <w:spacing w:val="-3"/>
                <w:sz w:val="18"/>
                <w:szCs w:val="18"/>
              </w:rPr>
            </w:pPr>
            <w:r w:rsidRPr="00ED6185">
              <w:rPr>
                <w:rFonts w:ascii="Arial" w:hAnsi="Arial" w:cs="Arial"/>
                <w:b/>
                <w:spacing w:val="-3"/>
                <w:sz w:val="18"/>
                <w:szCs w:val="18"/>
              </w:rPr>
              <w:t>2/2</w:t>
            </w:r>
          </w:p>
        </w:tc>
        <w:tc>
          <w:tcPr>
            <w:tcW w:w="1105" w:type="dxa"/>
            <w:shd w:val="clear" w:color="auto" w:fill="FDE9D9"/>
            <w:vAlign w:val="center"/>
          </w:tcPr>
          <w:p w:rsidR="00F24F19" w:rsidRPr="00ED6185" w:rsidRDefault="00ED6185" w:rsidP="008960F5">
            <w:pPr>
              <w:pStyle w:val="TableParagraph"/>
              <w:kinsoku w:val="0"/>
              <w:overflowPunct w:val="0"/>
              <w:spacing w:before="54"/>
              <w:jc w:val="center"/>
              <w:rPr>
                <w:rFonts w:ascii="Arial" w:hAnsi="Arial" w:cs="Arial"/>
                <w:b/>
                <w:spacing w:val="-3"/>
                <w:sz w:val="18"/>
                <w:szCs w:val="18"/>
              </w:rPr>
            </w:pPr>
            <w:r w:rsidRPr="00ED6185">
              <w:rPr>
                <w:rFonts w:ascii="Arial" w:hAnsi="Arial" w:cs="Arial"/>
                <w:b/>
                <w:spacing w:val="-3"/>
                <w:sz w:val="18"/>
                <w:szCs w:val="18"/>
              </w:rPr>
              <w:t>2/2</w:t>
            </w:r>
          </w:p>
        </w:tc>
        <w:tc>
          <w:tcPr>
            <w:tcW w:w="1104" w:type="dxa"/>
            <w:shd w:val="clear" w:color="auto" w:fill="FDE9D9"/>
            <w:vAlign w:val="center"/>
          </w:tcPr>
          <w:p w:rsidR="00F24F19" w:rsidRPr="00ED6185" w:rsidRDefault="00F24F19"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F24F19" w:rsidRPr="00ED6185" w:rsidRDefault="00ED6185" w:rsidP="008960F5">
            <w:pPr>
              <w:pStyle w:val="TableParagraph"/>
              <w:kinsoku w:val="0"/>
              <w:overflowPunct w:val="0"/>
              <w:spacing w:before="54"/>
              <w:ind w:right="227"/>
              <w:jc w:val="right"/>
              <w:rPr>
                <w:rFonts w:ascii="Arial" w:hAnsi="Arial" w:cs="Arial"/>
                <w:b/>
                <w:spacing w:val="-3"/>
                <w:sz w:val="18"/>
                <w:szCs w:val="18"/>
              </w:rPr>
            </w:pPr>
            <w:r w:rsidRPr="00ED6185">
              <w:rPr>
                <w:rFonts w:ascii="Arial" w:hAnsi="Arial" w:cs="Arial"/>
                <w:b/>
                <w:spacing w:val="-3"/>
                <w:sz w:val="18"/>
                <w:szCs w:val="18"/>
              </w:rPr>
              <w:t>-$26.6</w:t>
            </w:r>
          </w:p>
        </w:tc>
      </w:tr>
      <w:tr w:rsidR="00FD66D9" w:rsidTr="003049C6">
        <w:trPr>
          <w:trHeight w:hRule="exact" w:val="525"/>
        </w:trPr>
        <w:tc>
          <w:tcPr>
            <w:tcW w:w="5245" w:type="dxa"/>
            <w:shd w:val="clear" w:color="auto" w:fill="FDE9D9"/>
            <w:vAlign w:val="center"/>
          </w:tcPr>
          <w:p w:rsidR="00FD66D9" w:rsidRPr="00ED6185" w:rsidRDefault="00FD66D9" w:rsidP="008960F5">
            <w:pPr>
              <w:pStyle w:val="TableParagraph"/>
              <w:kinsoku w:val="0"/>
              <w:overflowPunct w:val="0"/>
              <w:spacing w:before="54" w:line="254" w:lineRule="auto"/>
              <w:ind w:left="170" w:right="102"/>
              <w:rPr>
                <w:rFonts w:ascii="Arial" w:hAnsi="Arial" w:cs="Arial"/>
                <w:i/>
                <w:spacing w:val="-3"/>
                <w:sz w:val="18"/>
                <w:szCs w:val="18"/>
              </w:rPr>
            </w:pPr>
            <w:r w:rsidRPr="00ED6185">
              <w:rPr>
                <w:rFonts w:ascii="Arial" w:hAnsi="Arial" w:cs="Arial"/>
                <w:i/>
                <w:spacing w:val="-3"/>
                <w:sz w:val="18"/>
                <w:szCs w:val="18"/>
              </w:rPr>
              <w:t>Department of Immigration and Border Protection</w:t>
            </w:r>
          </w:p>
        </w:tc>
        <w:tc>
          <w:tcPr>
            <w:tcW w:w="1420" w:type="dxa"/>
            <w:shd w:val="clear" w:color="auto" w:fill="FDE9D9"/>
            <w:vAlign w:val="center"/>
          </w:tcPr>
          <w:p w:rsidR="00FD66D9" w:rsidRPr="00ED6185" w:rsidRDefault="00ED6185" w:rsidP="008960F5">
            <w:pPr>
              <w:pStyle w:val="TableParagraph"/>
              <w:kinsoku w:val="0"/>
              <w:overflowPunct w:val="0"/>
              <w:spacing w:before="54"/>
              <w:jc w:val="center"/>
              <w:rPr>
                <w:rFonts w:ascii="Arial" w:hAnsi="Arial" w:cs="Arial"/>
                <w:spacing w:val="-3"/>
                <w:sz w:val="18"/>
                <w:szCs w:val="18"/>
              </w:rPr>
            </w:pPr>
            <w:r w:rsidRPr="00ED6185">
              <w:rPr>
                <w:rFonts w:ascii="Arial" w:hAnsi="Arial" w:cs="Arial"/>
                <w:spacing w:val="-3"/>
                <w:sz w:val="18"/>
                <w:szCs w:val="18"/>
              </w:rPr>
              <w:t>2/2</w:t>
            </w:r>
          </w:p>
        </w:tc>
        <w:tc>
          <w:tcPr>
            <w:tcW w:w="1105" w:type="dxa"/>
            <w:shd w:val="clear" w:color="auto" w:fill="FDE9D9"/>
            <w:vAlign w:val="center"/>
          </w:tcPr>
          <w:p w:rsidR="00FD66D9" w:rsidRPr="00ED6185" w:rsidRDefault="00ED6185" w:rsidP="008960F5">
            <w:pPr>
              <w:pStyle w:val="TableParagraph"/>
              <w:kinsoku w:val="0"/>
              <w:overflowPunct w:val="0"/>
              <w:spacing w:before="54"/>
              <w:jc w:val="center"/>
              <w:rPr>
                <w:rFonts w:ascii="Arial" w:hAnsi="Arial" w:cs="Arial"/>
                <w:spacing w:val="-3"/>
                <w:sz w:val="18"/>
                <w:szCs w:val="18"/>
              </w:rPr>
            </w:pPr>
            <w:r w:rsidRPr="00ED6185">
              <w:rPr>
                <w:rFonts w:ascii="Arial" w:hAnsi="Arial" w:cs="Arial"/>
                <w:spacing w:val="-3"/>
                <w:sz w:val="18"/>
                <w:szCs w:val="18"/>
              </w:rPr>
              <w:t>2/2</w:t>
            </w:r>
          </w:p>
        </w:tc>
        <w:tc>
          <w:tcPr>
            <w:tcW w:w="1104" w:type="dxa"/>
            <w:shd w:val="clear" w:color="auto" w:fill="FDE9D9"/>
            <w:vAlign w:val="center"/>
          </w:tcPr>
          <w:p w:rsidR="00FD66D9" w:rsidRPr="00ED6185" w:rsidRDefault="00FD66D9"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FD66D9" w:rsidRPr="00ED6185" w:rsidRDefault="00ED6185" w:rsidP="008960F5">
            <w:pPr>
              <w:pStyle w:val="TableParagraph"/>
              <w:kinsoku w:val="0"/>
              <w:overflowPunct w:val="0"/>
              <w:spacing w:before="54"/>
              <w:ind w:right="227"/>
              <w:jc w:val="right"/>
              <w:rPr>
                <w:rFonts w:ascii="Arial" w:hAnsi="Arial" w:cs="Arial"/>
                <w:spacing w:val="-3"/>
                <w:sz w:val="18"/>
                <w:szCs w:val="18"/>
              </w:rPr>
            </w:pPr>
            <w:r w:rsidRPr="00ED6185">
              <w:rPr>
                <w:rFonts w:ascii="Arial" w:hAnsi="Arial" w:cs="Arial"/>
                <w:spacing w:val="-3"/>
                <w:sz w:val="18"/>
                <w:szCs w:val="18"/>
              </w:rPr>
              <w:t>-$26.6</w:t>
            </w:r>
          </w:p>
        </w:tc>
      </w:tr>
      <w:tr w:rsidR="00F24F19" w:rsidTr="00B16ED2">
        <w:trPr>
          <w:trHeight w:hRule="exact" w:val="525"/>
        </w:trPr>
        <w:tc>
          <w:tcPr>
            <w:tcW w:w="5245" w:type="dxa"/>
            <w:shd w:val="clear" w:color="auto" w:fill="auto"/>
            <w:vAlign w:val="center"/>
          </w:tcPr>
          <w:p w:rsidR="00F24F19" w:rsidRPr="00FC6664" w:rsidRDefault="00F24F19" w:rsidP="008960F5">
            <w:pPr>
              <w:pStyle w:val="TableParagraph"/>
              <w:kinsoku w:val="0"/>
              <w:overflowPunct w:val="0"/>
              <w:spacing w:before="54" w:line="254" w:lineRule="auto"/>
              <w:ind w:left="170" w:right="102"/>
              <w:rPr>
                <w:rFonts w:ascii="Arial" w:hAnsi="Arial" w:cs="Arial"/>
                <w:spacing w:val="-3"/>
                <w:sz w:val="18"/>
                <w:szCs w:val="18"/>
              </w:rPr>
            </w:pPr>
            <w:r w:rsidRPr="00FC6664">
              <w:rPr>
                <w:rFonts w:ascii="Arial" w:hAnsi="Arial" w:cs="Arial"/>
                <w:spacing w:val="-3"/>
                <w:sz w:val="18"/>
                <w:szCs w:val="18"/>
              </w:rPr>
              <w:t>Section 457 Visa Reforms</w:t>
            </w:r>
          </w:p>
        </w:tc>
        <w:tc>
          <w:tcPr>
            <w:tcW w:w="1420" w:type="dxa"/>
            <w:shd w:val="clear" w:color="auto" w:fill="auto"/>
            <w:vAlign w:val="center"/>
          </w:tcPr>
          <w:p w:rsidR="00F24F19" w:rsidRPr="00A06277" w:rsidRDefault="00A06277" w:rsidP="008960F5">
            <w:pPr>
              <w:pStyle w:val="TableParagraph"/>
              <w:kinsoku w:val="0"/>
              <w:overflowPunct w:val="0"/>
              <w:spacing w:before="54"/>
              <w:jc w:val="center"/>
              <w:rPr>
                <w:rFonts w:ascii="Arial" w:hAnsi="Arial" w:cs="Arial"/>
                <w:spacing w:val="-3"/>
                <w:sz w:val="18"/>
                <w:szCs w:val="18"/>
              </w:rPr>
            </w:pPr>
            <w:r w:rsidRPr="00A06277">
              <w:rPr>
                <w:rFonts w:ascii="Arial" w:hAnsi="Arial" w:cs="Arial"/>
                <w:spacing w:val="-3"/>
                <w:sz w:val="18"/>
                <w:szCs w:val="18"/>
              </w:rPr>
              <w:t xml:space="preserve">Compliant </w:t>
            </w:r>
          </w:p>
        </w:tc>
        <w:tc>
          <w:tcPr>
            <w:tcW w:w="1105" w:type="dxa"/>
            <w:shd w:val="clear" w:color="auto" w:fill="auto"/>
            <w:vAlign w:val="center"/>
          </w:tcPr>
          <w:p w:rsidR="00F24F19" w:rsidRPr="00A06277" w:rsidRDefault="00A06277" w:rsidP="008960F5">
            <w:pPr>
              <w:pStyle w:val="TableParagraph"/>
              <w:kinsoku w:val="0"/>
              <w:overflowPunct w:val="0"/>
              <w:spacing w:before="54"/>
              <w:jc w:val="center"/>
              <w:rPr>
                <w:rFonts w:ascii="Arial" w:hAnsi="Arial" w:cs="Arial"/>
                <w:spacing w:val="-3"/>
                <w:sz w:val="18"/>
                <w:szCs w:val="18"/>
              </w:rPr>
            </w:pPr>
            <w:r w:rsidRPr="00A06277">
              <w:rPr>
                <w:rFonts w:ascii="Arial" w:hAnsi="Arial" w:cs="Arial"/>
                <w:spacing w:val="-3"/>
                <w:sz w:val="18"/>
                <w:szCs w:val="18"/>
              </w:rPr>
              <w:t>Yes</w:t>
            </w:r>
          </w:p>
        </w:tc>
        <w:tc>
          <w:tcPr>
            <w:tcW w:w="1104" w:type="dxa"/>
            <w:shd w:val="clear" w:color="auto" w:fill="auto"/>
            <w:vAlign w:val="center"/>
          </w:tcPr>
          <w:p w:rsidR="00F24F19" w:rsidRDefault="00A0627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shd w:val="clear" w:color="auto" w:fill="auto"/>
            <w:vAlign w:val="center"/>
          </w:tcPr>
          <w:p w:rsidR="00F24F19" w:rsidRPr="00A06277" w:rsidRDefault="00A06277" w:rsidP="008960F5">
            <w:pPr>
              <w:pStyle w:val="TableParagraph"/>
              <w:kinsoku w:val="0"/>
              <w:overflowPunct w:val="0"/>
              <w:spacing w:before="54"/>
              <w:ind w:right="227"/>
              <w:jc w:val="right"/>
              <w:rPr>
                <w:rFonts w:ascii="Arial" w:hAnsi="Arial" w:cs="Arial"/>
                <w:spacing w:val="-3"/>
                <w:sz w:val="18"/>
                <w:szCs w:val="18"/>
              </w:rPr>
            </w:pPr>
            <w:r w:rsidRPr="00A06277">
              <w:rPr>
                <w:rFonts w:ascii="Arial" w:hAnsi="Arial" w:cs="Arial"/>
                <w:spacing w:val="-3"/>
                <w:sz w:val="18"/>
                <w:szCs w:val="18"/>
              </w:rPr>
              <w:t>-$29.9</w:t>
            </w:r>
          </w:p>
        </w:tc>
      </w:tr>
      <w:tr w:rsidR="003E7268" w:rsidTr="00B16ED2">
        <w:trPr>
          <w:trHeight w:hRule="exact" w:val="525"/>
        </w:trPr>
        <w:tc>
          <w:tcPr>
            <w:tcW w:w="5245" w:type="dxa"/>
            <w:shd w:val="clear" w:color="auto" w:fill="auto"/>
            <w:vAlign w:val="center"/>
          </w:tcPr>
          <w:p w:rsidR="003E7268" w:rsidRPr="006E165A" w:rsidRDefault="003E7268" w:rsidP="000D206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Office of the Migration Agents Registration Authority Review</w:t>
            </w:r>
          </w:p>
        </w:tc>
        <w:tc>
          <w:tcPr>
            <w:tcW w:w="1420" w:type="dxa"/>
            <w:shd w:val="clear" w:color="auto" w:fill="auto"/>
            <w:vAlign w:val="center"/>
          </w:tcPr>
          <w:p w:rsidR="003E7268" w:rsidRDefault="003E7268" w:rsidP="000D206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3E7268" w:rsidRDefault="003E7268" w:rsidP="000D206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3E7268" w:rsidRDefault="003E7268" w:rsidP="000D206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3E7268" w:rsidRDefault="003E7268" w:rsidP="000D206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$3.3</w:t>
            </w:r>
          </w:p>
        </w:tc>
      </w:tr>
      <w:tr w:rsidR="00961FFD" w:rsidTr="003049C6">
        <w:trPr>
          <w:trHeight w:hRule="exact" w:val="525"/>
        </w:trPr>
        <w:tc>
          <w:tcPr>
            <w:tcW w:w="5245" w:type="dxa"/>
            <w:shd w:val="clear" w:color="auto" w:fill="FDE9D9"/>
            <w:vAlign w:val="center"/>
          </w:tcPr>
          <w:p w:rsidR="00961FFD" w:rsidRPr="00961FFD" w:rsidRDefault="00961FFD" w:rsidP="008960F5">
            <w:pPr>
              <w:pStyle w:val="TableParagraph"/>
              <w:kinsoku w:val="0"/>
              <w:overflowPunct w:val="0"/>
              <w:spacing w:before="54" w:line="254" w:lineRule="auto"/>
              <w:ind w:left="170" w:right="102"/>
              <w:rPr>
                <w:rFonts w:ascii="Arial" w:hAnsi="Arial" w:cs="Arial"/>
                <w:b/>
                <w:spacing w:val="-3"/>
                <w:sz w:val="18"/>
                <w:szCs w:val="18"/>
              </w:rPr>
            </w:pPr>
            <w:r w:rsidRPr="00961FFD">
              <w:rPr>
                <w:rFonts w:ascii="Arial" w:hAnsi="Arial" w:cs="Arial"/>
                <w:b/>
                <w:spacing w:val="-3"/>
                <w:sz w:val="18"/>
                <w:szCs w:val="18"/>
              </w:rPr>
              <w:t xml:space="preserve">Industry </w:t>
            </w:r>
          </w:p>
        </w:tc>
        <w:tc>
          <w:tcPr>
            <w:tcW w:w="1420" w:type="dxa"/>
            <w:shd w:val="clear" w:color="auto" w:fill="FDE9D9"/>
            <w:vAlign w:val="center"/>
          </w:tcPr>
          <w:p w:rsidR="00961FFD" w:rsidRPr="00754299" w:rsidRDefault="00E46CE6"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3/3</w:t>
            </w:r>
          </w:p>
        </w:tc>
        <w:tc>
          <w:tcPr>
            <w:tcW w:w="1105" w:type="dxa"/>
            <w:shd w:val="clear" w:color="auto" w:fill="FDE9D9"/>
            <w:vAlign w:val="center"/>
          </w:tcPr>
          <w:p w:rsidR="00961FFD" w:rsidRPr="00754299" w:rsidRDefault="00E46CE6"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3/3</w:t>
            </w:r>
          </w:p>
        </w:tc>
        <w:tc>
          <w:tcPr>
            <w:tcW w:w="1104" w:type="dxa"/>
            <w:shd w:val="clear" w:color="auto" w:fill="FDE9D9"/>
            <w:vAlign w:val="center"/>
          </w:tcPr>
          <w:p w:rsidR="00961FFD" w:rsidRDefault="00961FFD"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961FFD" w:rsidRPr="00D14C7F" w:rsidRDefault="00F24F19" w:rsidP="008960F5">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04738C">
              <w:rPr>
                <w:rFonts w:ascii="Arial" w:hAnsi="Arial" w:cs="Arial"/>
                <w:b/>
                <w:spacing w:val="-3"/>
                <w:sz w:val="18"/>
                <w:szCs w:val="18"/>
              </w:rPr>
              <w:t>3.2</w:t>
            </w:r>
          </w:p>
        </w:tc>
      </w:tr>
      <w:tr w:rsidR="00754299" w:rsidTr="003049C6">
        <w:trPr>
          <w:trHeight w:hRule="exact" w:val="525"/>
        </w:trPr>
        <w:tc>
          <w:tcPr>
            <w:tcW w:w="5245" w:type="dxa"/>
            <w:shd w:val="clear" w:color="auto" w:fill="FDE9D9"/>
            <w:vAlign w:val="center"/>
          </w:tcPr>
          <w:p w:rsidR="00754299" w:rsidRPr="00754299" w:rsidRDefault="00754299" w:rsidP="008960F5">
            <w:pPr>
              <w:pStyle w:val="TableParagraph"/>
              <w:kinsoku w:val="0"/>
              <w:overflowPunct w:val="0"/>
              <w:spacing w:before="54" w:line="254" w:lineRule="auto"/>
              <w:ind w:left="170" w:right="102"/>
              <w:rPr>
                <w:rFonts w:ascii="Arial" w:hAnsi="Arial" w:cs="Arial"/>
                <w:i/>
                <w:spacing w:val="-3"/>
                <w:sz w:val="18"/>
                <w:szCs w:val="18"/>
              </w:rPr>
            </w:pPr>
            <w:r w:rsidRPr="00754299">
              <w:rPr>
                <w:rFonts w:ascii="Arial" w:hAnsi="Arial" w:cs="Arial"/>
                <w:i/>
                <w:spacing w:val="-3"/>
                <w:sz w:val="18"/>
                <w:szCs w:val="18"/>
              </w:rPr>
              <w:t xml:space="preserve">Department of Industry </w:t>
            </w:r>
          </w:p>
        </w:tc>
        <w:tc>
          <w:tcPr>
            <w:tcW w:w="1420" w:type="dxa"/>
            <w:shd w:val="clear" w:color="auto" w:fill="FDE9D9"/>
            <w:vAlign w:val="center"/>
          </w:tcPr>
          <w:p w:rsidR="00754299" w:rsidRPr="002826A9" w:rsidRDefault="00E46CE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3/3</w:t>
            </w:r>
          </w:p>
        </w:tc>
        <w:tc>
          <w:tcPr>
            <w:tcW w:w="1105" w:type="dxa"/>
            <w:shd w:val="clear" w:color="auto" w:fill="FDE9D9"/>
            <w:vAlign w:val="center"/>
          </w:tcPr>
          <w:p w:rsidR="00754299" w:rsidRPr="00E46CE6" w:rsidRDefault="00E46CE6" w:rsidP="008960F5">
            <w:pPr>
              <w:pStyle w:val="TableParagraph"/>
              <w:kinsoku w:val="0"/>
              <w:overflowPunct w:val="0"/>
              <w:spacing w:before="54"/>
              <w:jc w:val="center"/>
              <w:rPr>
                <w:rFonts w:ascii="Arial" w:hAnsi="Arial" w:cs="Arial"/>
                <w:spacing w:val="-3"/>
                <w:sz w:val="18"/>
                <w:szCs w:val="18"/>
              </w:rPr>
            </w:pPr>
            <w:r w:rsidRPr="00E46CE6">
              <w:rPr>
                <w:rFonts w:ascii="Arial" w:hAnsi="Arial" w:cs="Arial"/>
                <w:spacing w:val="-3"/>
                <w:sz w:val="18"/>
                <w:szCs w:val="18"/>
              </w:rPr>
              <w:t>3/3</w:t>
            </w:r>
          </w:p>
        </w:tc>
        <w:tc>
          <w:tcPr>
            <w:tcW w:w="1104" w:type="dxa"/>
            <w:shd w:val="clear" w:color="auto" w:fill="FDE9D9"/>
            <w:vAlign w:val="center"/>
          </w:tcPr>
          <w:p w:rsidR="00754299" w:rsidRPr="002826A9" w:rsidRDefault="00754299"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754299" w:rsidRPr="002826A9" w:rsidRDefault="00F24F19"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04738C">
              <w:rPr>
                <w:rFonts w:ascii="Arial" w:hAnsi="Arial" w:cs="Arial"/>
                <w:spacing w:val="-3"/>
                <w:sz w:val="18"/>
                <w:szCs w:val="18"/>
              </w:rPr>
              <w:t>3.2</w:t>
            </w:r>
          </w:p>
        </w:tc>
      </w:tr>
      <w:tr w:rsidR="00F24F19" w:rsidTr="006040B4">
        <w:trPr>
          <w:trHeight w:hRule="exact" w:val="525"/>
        </w:trPr>
        <w:tc>
          <w:tcPr>
            <w:tcW w:w="5245" w:type="dxa"/>
            <w:shd w:val="clear" w:color="auto" w:fill="auto"/>
            <w:vAlign w:val="center"/>
          </w:tcPr>
          <w:p w:rsidR="00F24F19" w:rsidRPr="00FC6664" w:rsidRDefault="00F24F19" w:rsidP="008960F5">
            <w:pPr>
              <w:pStyle w:val="TableParagraph"/>
              <w:kinsoku w:val="0"/>
              <w:overflowPunct w:val="0"/>
              <w:spacing w:before="54" w:line="254" w:lineRule="auto"/>
              <w:ind w:left="170" w:right="102"/>
              <w:rPr>
                <w:rFonts w:ascii="Arial" w:hAnsi="Arial" w:cs="Arial"/>
                <w:spacing w:val="-3"/>
                <w:sz w:val="18"/>
                <w:szCs w:val="18"/>
              </w:rPr>
            </w:pPr>
            <w:r w:rsidRPr="00FC6664">
              <w:rPr>
                <w:rFonts w:ascii="Arial" w:hAnsi="Arial" w:cs="Arial"/>
                <w:spacing w:val="-3"/>
                <w:sz w:val="18"/>
                <w:szCs w:val="18"/>
              </w:rPr>
              <w:t>Energy White Paper</w:t>
            </w:r>
          </w:p>
        </w:tc>
        <w:tc>
          <w:tcPr>
            <w:tcW w:w="1420" w:type="dxa"/>
            <w:shd w:val="clear" w:color="auto" w:fill="auto"/>
            <w:vAlign w:val="center"/>
          </w:tcPr>
          <w:p w:rsidR="00F24F19" w:rsidRDefault="00DA6EE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F24F19" w:rsidRDefault="00DA6EE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F24F19" w:rsidRDefault="00DA6EE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vAlign w:val="center"/>
          </w:tcPr>
          <w:p w:rsidR="00F24F19" w:rsidRDefault="00DA6EEC" w:rsidP="001012A2">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3B12E4" w:rsidTr="006040B4">
        <w:trPr>
          <w:trHeight w:hRule="exact" w:val="525"/>
        </w:trPr>
        <w:tc>
          <w:tcPr>
            <w:tcW w:w="5245" w:type="dxa"/>
            <w:shd w:val="clear" w:color="auto" w:fill="auto"/>
            <w:vAlign w:val="center"/>
          </w:tcPr>
          <w:p w:rsidR="003B12E4" w:rsidRPr="00FC6664" w:rsidRDefault="003B12E4" w:rsidP="008960F5">
            <w:pPr>
              <w:pStyle w:val="TableParagraph"/>
              <w:kinsoku w:val="0"/>
              <w:overflowPunct w:val="0"/>
              <w:spacing w:before="54" w:line="254" w:lineRule="auto"/>
              <w:ind w:left="170" w:right="102"/>
              <w:rPr>
                <w:rFonts w:ascii="Arial" w:hAnsi="Arial" w:cs="Arial"/>
                <w:spacing w:val="-3"/>
                <w:sz w:val="18"/>
                <w:szCs w:val="18"/>
              </w:rPr>
            </w:pPr>
            <w:r w:rsidRPr="00764D8B">
              <w:rPr>
                <w:rFonts w:ascii="Arial" w:hAnsi="Arial" w:cs="Arial"/>
                <w:spacing w:val="-3"/>
                <w:sz w:val="18"/>
                <w:szCs w:val="18"/>
              </w:rPr>
              <w:t>Exploration Development Incentive</w:t>
            </w:r>
          </w:p>
        </w:tc>
        <w:tc>
          <w:tcPr>
            <w:tcW w:w="1420" w:type="dxa"/>
            <w:shd w:val="clear" w:color="auto" w:fill="auto"/>
            <w:vAlign w:val="center"/>
          </w:tcPr>
          <w:p w:rsidR="003B12E4" w:rsidRDefault="003B12E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3B12E4" w:rsidRDefault="003B12E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3B12E4" w:rsidRDefault="003B12E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3B12E4" w:rsidRDefault="003B12E4" w:rsidP="001012A2">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$0.1</w:t>
            </w:r>
          </w:p>
        </w:tc>
      </w:tr>
      <w:tr w:rsidR="00961FFD" w:rsidTr="006040B4">
        <w:trPr>
          <w:trHeight w:hRule="exact" w:val="525"/>
        </w:trPr>
        <w:tc>
          <w:tcPr>
            <w:tcW w:w="5245" w:type="dxa"/>
            <w:shd w:val="clear" w:color="auto" w:fill="auto"/>
            <w:vAlign w:val="center"/>
          </w:tcPr>
          <w:p w:rsidR="00961FFD" w:rsidRDefault="00961FFD"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Revised regulation of ‘scope of registration’ applications in VET sector</w:t>
            </w:r>
          </w:p>
        </w:tc>
        <w:tc>
          <w:tcPr>
            <w:tcW w:w="1420" w:type="dxa"/>
            <w:shd w:val="clear" w:color="auto" w:fill="auto"/>
            <w:vAlign w:val="center"/>
          </w:tcPr>
          <w:p w:rsidR="00961FFD" w:rsidRDefault="00961FF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961FFD" w:rsidRDefault="00961FF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961FFD" w:rsidRDefault="00961FF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vAlign w:val="center"/>
          </w:tcPr>
          <w:p w:rsidR="00961FFD" w:rsidRDefault="00933E43" w:rsidP="001012A2">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-$3.3</w:t>
            </w:r>
          </w:p>
        </w:tc>
      </w:tr>
      <w:tr w:rsidR="00062FCD" w:rsidTr="008960F5">
        <w:trPr>
          <w:trHeight w:hRule="exact" w:val="525"/>
        </w:trPr>
        <w:tc>
          <w:tcPr>
            <w:tcW w:w="5245" w:type="dxa"/>
            <w:shd w:val="clear" w:color="auto" w:fill="FDE9D9"/>
            <w:vAlign w:val="center"/>
          </w:tcPr>
          <w:p w:rsidR="00062FCD" w:rsidRDefault="00254CD2" w:rsidP="008960F5">
            <w:pPr>
              <w:pStyle w:val="TableParagraph"/>
              <w:kinsoku w:val="0"/>
              <w:overflowPunct w:val="0"/>
              <w:spacing w:before="54" w:line="255" w:lineRule="auto"/>
              <w:ind w:left="80" w:right="100"/>
              <w:rPr>
                <w:rFonts w:ascii="Arial" w:hAnsi="Arial" w:cs="Arial"/>
                <w:b/>
                <w:spacing w:val="-3"/>
                <w:sz w:val="18"/>
                <w:szCs w:val="18"/>
              </w:rPr>
            </w:pPr>
            <w:r>
              <w:rPr>
                <w:rFonts w:ascii="Arial" w:hAnsi="Arial" w:cs="Arial"/>
                <w:b/>
                <w:spacing w:val="-3"/>
                <w:sz w:val="18"/>
                <w:szCs w:val="18"/>
              </w:rPr>
              <w:t xml:space="preserve">Infrastructure and Regional Development </w:t>
            </w:r>
          </w:p>
        </w:tc>
        <w:tc>
          <w:tcPr>
            <w:tcW w:w="1420" w:type="dxa"/>
            <w:shd w:val="clear" w:color="auto" w:fill="FDE9D9"/>
            <w:vAlign w:val="center"/>
          </w:tcPr>
          <w:p w:rsidR="00062FCD" w:rsidRPr="00C45CF7" w:rsidRDefault="00B557DB"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2/2</w:t>
            </w:r>
          </w:p>
        </w:tc>
        <w:tc>
          <w:tcPr>
            <w:tcW w:w="1105" w:type="dxa"/>
            <w:shd w:val="clear" w:color="auto" w:fill="FDE9D9"/>
            <w:vAlign w:val="center"/>
          </w:tcPr>
          <w:p w:rsidR="00062FCD" w:rsidRPr="00C45CF7" w:rsidRDefault="00B557DB"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1/2</w:t>
            </w:r>
          </w:p>
        </w:tc>
        <w:tc>
          <w:tcPr>
            <w:tcW w:w="1104" w:type="dxa"/>
            <w:shd w:val="clear" w:color="auto" w:fill="FDE9D9"/>
            <w:vAlign w:val="center"/>
          </w:tcPr>
          <w:p w:rsidR="00062FCD" w:rsidRPr="00C45CF7" w:rsidRDefault="00062FCD" w:rsidP="008960F5">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rsidR="00062FCD" w:rsidRDefault="00CD0584" w:rsidP="008960F5">
            <w:pPr>
              <w:pStyle w:val="TableParagraph"/>
              <w:kinsoku w:val="0"/>
              <w:overflowPunct w:val="0"/>
              <w:spacing w:before="54"/>
              <w:ind w:right="227"/>
              <w:jc w:val="right"/>
              <w:rPr>
                <w:rFonts w:ascii="Arial" w:hAnsi="Arial" w:cs="Arial"/>
                <w:b/>
                <w:spacing w:val="-3"/>
                <w:sz w:val="18"/>
                <w:szCs w:val="18"/>
              </w:rPr>
            </w:pPr>
            <w:r>
              <w:rPr>
                <w:rFonts w:ascii="Arial" w:hAnsi="Arial" w:cs="Arial"/>
                <w:b/>
                <w:spacing w:val="-3"/>
                <w:sz w:val="18"/>
                <w:szCs w:val="18"/>
              </w:rPr>
              <w:t>-$</w:t>
            </w:r>
            <w:r w:rsidR="00B557DB">
              <w:rPr>
                <w:rFonts w:ascii="Arial" w:hAnsi="Arial" w:cs="Arial"/>
                <w:b/>
                <w:spacing w:val="-3"/>
                <w:sz w:val="18"/>
                <w:szCs w:val="18"/>
              </w:rPr>
              <w:t>21.4</w:t>
            </w:r>
          </w:p>
        </w:tc>
      </w:tr>
      <w:tr w:rsidR="00062FCD" w:rsidTr="008960F5">
        <w:trPr>
          <w:trHeight w:hRule="exact" w:val="525"/>
        </w:trPr>
        <w:tc>
          <w:tcPr>
            <w:tcW w:w="5245" w:type="dxa"/>
            <w:shd w:val="clear" w:color="auto" w:fill="FDE9D9"/>
            <w:vAlign w:val="center"/>
          </w:tcPr>
          <w:p w:rsidR="00062FCD" w:rsidRPr="00062FCD" w:rsidRDefault="00062FCD" w:rsidP="008960F5">
            <w:pPr>
              <w:pStyle w:val="TableParagraph"/>
              <w:kinsoku w:val="0"/>
              <w:overflowPunct w:val="0"/>
              <w:spacing w:before="54" w:line="255" w:lineRule="auto"/>
              <w:ind w:left="80" w:right="100"/>
              <w:rPr>
                <w:rFonts w:ascii="Arial" w:hAnsi="Arial" w:cs="Arial"/>
                <w:i/>
                <w:spacing w:val="-3"/>
                <w:sz w:val="18"/>
                <w:szCs w:val="18"/>
              </w:rPr>
            </w:pPr>
            <w:r w:rsidRPr="00062FCD">
              <w:rPr>
                <w:rFonts w:ascii="Arial" w:hAnsi="Arial" w:cs="Arial"/>
                <w:i/>
                <w:spacing w:val="-3"/>
                <w:sz w:val="18"/>
                <w:szCs w:val="18"/>
              </w:rPr>
              <w:t xml:space="preserve">Department of Infrastructure and Regional Development </w:t>
            </w:r>
          </w:p>
        </w:tc>
        <w:tc>
          <w:tcPr>
            <w:tcW w:w="1420" w:type="dxa"/>
            <w:shd w:val="clear" w:color="auto" w:fill="FDE9D9"/>
            <w:vAlign w:val="center"/>
          </w:tcPr>
          <w:p w:rsidR="00062FCD" w:rsidRPr="00D251D0" w:rsidRDefault="00B557DB"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2/2</w:t>
            </w:r>
          </w:p>
        </w:tc>
        <w:tc>
          <w:tcPr>
            <w:tcW w:w="1105" w:type="dxa"/>
            <w:shd w:val="clear" w:color="auto" w:fill="FDE9D9"/>
            <w:vAlign w:val="center"/>
          </w:tcPr>
          <w:p w:rsidR="00062FCD" w:rsidRPr="00D251D0" w:rsidRDefault="00B557DB"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1/2</w:t>
            </w:r>
          </w:p>
        </w:tc>
        <w:tc>
          <w:tcPr>
            <w:tcW w:w="1104" w:type="dxa"/>
            <w:shd w:val="clear" w:color="auto" w:fill="FDE9D9"/>
            <w:vAlign w:val="center"/>
          </w:tcPr>
          <w:p w:rsidR="00062FCD" w:rsidRPr="00D251D0" w:rsidRDefault="00062FCD"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062FCD" w:rsidRPr="00D251D0" w:rsidRDefault="00CD0584"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B557DB">
              <w:rPr>
                <w:rFonts w:ascii="Arial" w:hAnsi="Arial" w:cs="Arial"/>
                <w:spacing w:val="-3"/>
                <w:sz w:val="18"/>
                <w:szCs w:val="18"/>
              </w:rPr>
              <w:t>21.4</w:t>
            </w:r>
          </w:p>
        </w:tc>
      </w:tr>
      <w:tr w:rsidR="00062FCD" w:rsidTr="00062FCD">
        <w:trPr>
          <w:trHeight w:hRule="exact" w:val="525"/>
        </w:trPr>
        <w:tc>
          <w:tcPr>
            <w:tcW w:w="5245" w:type="dxa"/>
            <w:shd w:val="clear" w:color="auto" w:fill="auto"/>
            <w:vAlign w:val="center"/>
          </w:tcPr>
          <w:p w:rsidR="00062FCD" w:rsidRPr="00062FCD" w:rsidRDefault="00062FCD" w:rsidP="008960F5">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 xml:space="preserve">Coast Shipping Reform </w:t>
            </w:r>
          </w:p>
        </w:tc>
        <w:tc>
          <w:tcPr>
            <w:tcW w:w="1420" w:type="dxa"/>
            <w:shd w:val="clear" w:color="auto" w:fill="auto"/>
            <w:vAlign w:val="center"/>
          </w:tcPr>
          <w:p w:rsidR="00062FCD" w:rsidRPr="00062FCD" w:rsidRDefault="00062FCD" w:rsidP="008960F5">
            <w:pPr>
              <w:pStyle w:val="TableParagraph"/>
              <w:kinsoku w:val="0"/>
              <w:overflowPunct w:val="0"/>
              <w:spacing w:before="54"/>
              <w:jc w:val="center"/>
              <w:rPr>
                <w:rFonts w:ascii="Arial" w:hAnsi="Arial" w:cs="Arial"/>
                <w:spacing w:val="-3"/>
                <w:sz w:val="18"/>
                <w:szCs w:val="18"/>
              </w:rPr>
            </w:pPr>
            <w:r w:rsidRPr="00062FCD">
              <w:rPr>
                <w:rFonts w:ascii="Arial" w:hAnsi="Arial" w:cs="Arial"/>
                <w:spacing w:val="-3"/>
                <w:sz w:val="18"/>
                <w:szCs w:val="18"/>
              </w:rPr>
              <w:t xml:space="preserve">Compliant </w:t>
            </w:r>
          </w:p>
        </w:tc>
        <w:tc>
          <w:tcPr>
            <w:tcW w:w="1105" w:type="dxa"/>
            <w:shd w:val="clear" w:color="auto" w:fill="auto"/>
            <w:vAlign w:val="center"/>
          </w:tcPr>
          <w:p w:rsidR="00062FCD" w:rsidRPr="00062FCD" w:rsidRDefault="00062FCD" w:rsidP="008960F5">
            <w:pPr>
              <w:pStyle w:val="TableParagraph"/>
              <w:kinsoku w:val="0"/>
              <w:overflowPunct w:val="0"/>
              <w:spacing w:before="54"/>
              <w:jc w:val="center"/>
              <w:rPr>
                <w:rFonts w:ascii="Arial" w:hAnsi="Arial" w:cs="Arial"/>
                <w:spacing w:val="-3"/>
                <w:sz w:val="18"/>
                <w:szCs w:val="18"/>
              </w:rPr>
            </w:pPr>
            <w:r w:rsidRPr="00062FCD">
              <w:rPr>
                <w:rFonts w:ascii="Arial" w:hAnsi="Arial" w:cs="Arial"/>
                <w:spacing w:val="-3"/>
                <w:sz w:val="18"/>
                <w:szCs w:val="18"/>
              </w:rPr>
              <w:t>Yes</w:t>
            </w:r>
          </w:p>
        </w:tc>
        <w:tc>
          <w:tcPr>
            <w:tcW w:w="1104" w:type="dxa"/>
            <w:shd w:val="clear" w:color="auto" w:fill="auto"/>
            <w:vAlign w:val="center"/>
          </w:tcPr>
          <w:p w:rsidR="00062FCD" w:rsidRPr="00062FCD" w:rsidRDefault="00062FCD" w:rsidP="008960F5">
            <w:pPr>
              <w:pStyle w:val="TableParagraph"/>
              <w:kinsoku w:val="0"/>
              <w:overflowPunct w:val="0"/>
              <w:spacing w:before="54"/>
              <w:jc w:val="center"/>
              <w:rPr>
                <w:rFonts w:ascii="Arial" w:hAnsi="Arial" w:cs="Arial"/>
                <w:spacing w:val="-3"/>
                <w:sz w:val="18"/>
                <w:szCs w:val="18"/>
              </w:rPr>
            </w:pPr>
            <w:r w:rsidRPr="00062FCD">
              <w:rPr>
                <w:rFonts w:ascii="Arial" w:hAnsi="Arial" w:cs="Arial"/>
                <w:spacing w:val="-3"/>
                <w:sz w:val="18"/>
                <w:szCs w:val="18"/>
              </w:rPr>
              <w:t>Yes</w:t>
            </w:r>
          </w:p>
        </w:tc>
        <w:tc>
          <w:tcPr>
            <w:tcW w:w="1105" w:type="dxa"/>
            <w:shd w:val="clear" w:color="auto" w:fill="auto"/>
            <w:vAlign w:val="center"/>
          </w:tcPr>
          <w:p w:rsidR="00062FCD" w:rsidRPr="00062FCD" w:rsidRDefault="00062FCD" w:rsidP="008960F5">
            <w:pPr>
              <w:pStyle w:val="TableParagraph"/>
              <w:kinsoku w:val="0"/>
              <w:overflowPunct w:val="0"/>
              <w:spacing w:before="54"/>
              <w:ind w:right="227"/>
              <w:jc w:val="right"/>
              <w:rPr>
                <w:rFonts w:ascii="Arial" w:hAnsi="Arial" w:cs="Arial"/>
                <w:spacing w:val="-3"/>
                <w:sz w:val="18"/>
                <w:szCs w:val="18"/>
              </w:rPr>
            </w:pPr>
            <w:r w:rsidRPr="00062FCD">
              <w:rPr>
                <w:rFonts w:ascii="Arial" w:hAnsi="Arial" w:cs="Arial"/>
                <w:spacing w:val="-3"/>
                <w:sz w:val="18"/>
                <w:szCs w:val="18"/>
              </w:rPr>
              <w:t>-$21.4</w:t>
            </w:r>
          </w:p>
        </w:tc>
      </w:tr>
      <w:tr w:rsidR="00CD0584" w:rsidTr="00062FCD">
        <w:trPr>
          <w:trHeight w:hRule="exact" w:val="525"/>
        </w:trPr>
        <w:tc>
          <w:tcPr>
            <w:tcW w:w="5245" w:type="dxa"/>
            <w:shd w:val="clear" w:color="auto" w:fill="auto"/>
            <w:vAlign w:val="center"/>
          </w:tcPr>
          <w:p w:rsidR="00CD0584" w:rsidRDefault="00CE40C7" w:rsidP="008960F5">
            <w:pPr>
              <w:pStyle w:val="TableParagraph"/>
              <w:kinsoku w:val="0"/>
              <w:overflowPunct w:val="0"/>
              <w:spacing w:before="54" w:line="255" w:lineRule="auto"/>
              <w:ind w:left="80" w:right="100"/>
              <w:rPr>
                <w:rFonts w:ascii="Arial" w:hAnsi="Arial" w:cs="Arial"/>
                <w:spacing w:val="-3"/>
                <w:sz w:val="18"/>
                <w:szCs w:val="18"/>
              </w:rPr>
            </w:pPr>
            <w:r w:rsidRPr="009848CC">
              <w:rPr>
                <w:rFonts w:ascii="Arial" w:hAnsi="Arial" w:cs="Arial"/>
                <w:spacing w:val="-3"/>
                <w:sz w:val="18"/>
                <w:szCs w:val="18"/>
              </w:rPr>
              <w:t>Western Sydney Airport Market Access Facilitation</w:t>
            </w:r>
          </w:p>
        </w:tc>
        <w:tc>
          <w:tcPr>
            <w:tcW w:w="1420" w:type="dxa"/>
            <w:shd w:val="clear" w:color="auto" w:fill="auto"/>
            <w:vAlign w:val="center"/>
          </w:tcPr>
          <w:p w:rsidR="00CD0584" w:rsidRPr="00062FCD" w:rsidRDefault="00B557DB"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CD0584" w:rsidRPr="00062FCD" w:rsidRDefault="00B557DB"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CD0584" w:rsidRPr="00062FCD" w:rsidRDefault="00B557DB"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CD0584" w:rsidRPr="00062FCD" w:rsidRDefault="00B557DB"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FC4551" w:rsidTr="008960F5">
        <w:trPr>
          <w:trHeight w:hRule="exact" w:val="525"/>
        </w:trPr>
        <w:tc>
          <w:tcPr>
            <w:tcW w:w="5245" w:type="dxa"/>
            <w:shd w:val="clear" w:color="auto" w:fill="FDE9D9"/>
            <w:vAlign w:val="center"/>
          </w:tcPr>
          <w:p w:rsidR="00FC4551" w:rsidRPr="00CE3B33" w:rsidRDefault="00FC4551" w:rsidP="008960F5">
            <w:pPr>
              <w:pStyle w:val="TableParagraph"/>
              <w:kinsoku w:val="0"/>
              <w:overflowPunct w:val="0"/>
              <w:spacing w:before="54" w:line="255" w:lineRule="auto"/>
              <w:ind w:left="80" w:right="100"/>
              <w:rPr>
                <w:rFonts w:ascii="Arial" w:hAnsi="Arial" w:cs="Arial"/>
                <w:b/>
                <w:sz w:val="18"/>
                <w:szCs w:val="18"/>
              </w:rPr>
            </w:pPr>
            <w:r>
              <w:rPr>
                <w:rFonts w:ascii="Arial" w:hAnsi="Arial" w:cs="Arial"/>
                <w:b/>
                <w:spacing w:val="-3"/>
                <w:sz w:val="18"/>
                <w:szCs w:val="18"/>
              </w:rPr>
              <w:t>Treasury</w:t>
            </w:r>
          </w:p>
        </w:tc>
        <w:tc>
          <w:tcPr>
            <w:tcW w:w="1420" w:type="dxa"/>
            <w:shd w:val="clear" w:color="auto" w:fill="FDE9D9"/>
            <w:vAlign w:val="center"/>
          </w:tcPr>
          <w:p w:rsidR="00FC4551" w:rsidRPr="00C45CF7" w:rsidRDefault="00A224D7" w:rsidP="008960F5">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17/17</w:t>
            </w:r>
          </w:p>
        </w:tc>
        <w:tc>
          <w:tcPr>
            <w:tcW w:w="1105" w:type="dxa"/>
            <w:shd w:val="clear" w:color="auto" w:fill="FDE9D9"/>
            <w:vAlign w:val="center"/>
          </w:tcPr>
          <w:p w:rsidR="00FC4551" w:rsidRPr="00C45CF7" w:rsidRDefault="00CE1B56" w:rsidP="00A224D7">
            <w:pPr>
              <w:pStyle w:val="TableParagraph"/>
              <w:kinsoku w:val="0"/>
              <w:overflowPunct w:val="0"/>
              <w:spacing w:before="54"/>
              <w:jc w:val="center"/>
              <w:rPr>
                <w:rFonts w:ascii="Arial" w:hAnsi="Arial" w:cs="Arial"/>
                <w:b/>
                <w:spacing w:val="-3"/>
                <w:sz w:val="18"/>
                <w:szCs w:val="18"/>
              </w:rPr>
            </w:pPr>
            <w:r>
              <w:rPr>
                <w:rFonts w:ascii="Arial" w:hAnsi="Arial" w:cs="Arial"/>
                <w:b/>
                <w:spacing w:val="-3"/>
                <w:sz w:val="18"/>
                <w:szCs w:val="18"/>
              </w:rPr>
              <w:t>1</w:t>
            </w:r>
            <w:r w:rsidR="00A224D7">
              <w:rPr>
                <w:rFonts w:ascii="Arial" w:hAnsi="Arial" w:cs="Arial"/>
                <w:b/>
                <w:spacing w:val="-3"/>
                <w:sz w:val="18"/>
                <w:szCs w:val="18"/>
              </w:rPr>
              <w:t>2</w:t>
            </w:r>
            <w:r>
              <w:rPr>
                <w:rFonts w:ascii="Arial" w:hAnsi="Arial" w:cs="Arial"/>
                <w:b/>
                <w:spacing w:val="-3"/>
                <w:sz w:val="18"/>
                <w:szCs w:val="18"/>
              </w:rPr>
              <w:t>/1</w:t>
            </w:r>
            <w:r w:rsidR="00A224D7">
              <w:rPr>
                <w:rFonts w:ascii="Arial" w:hAnsi="Arial" w:cs="Arial"/>
                <w:b/>
                <w:spacing w:val="-3"/>
                <w:sz w:val="18"/>
                <w:szCs w:val="18"/>
              </w:rPr>
              <w:t>7</w:t>
            </w:r>
          </w:p>
        </w:tc>
        <w:tc>
          <w:tcPr>
            <w:tcW w:w="1104" w:type="dxa"/>
            <w:shd w:val="clear" w:color="auto" w:fill="FDE9D9"/>
            <w:vAlign w:val="center"/>
          </w:tcPr>
          <w:p w:rsidR="00FC4551" w:rsidRPr="00C45CF7" w:rsidRDefault="00FC4551" w:rsidP="008960F5">
            <w:pPr>
              <w:pStyle w:val="TableParagraph"/>
              <w:kinsoku w:val="0"/>
              <w:overflowPunct w:val="0"/>
              <w:spacing w:before="54"/>
              <w:jc w:val="center"/>
              <w:rPr>
                <w:rFonts w:ascii="Arial" w:hAnsi="Arial" w:cs="Arial"/>
                <w:b/>
                <w:spacing w:val="-3"/>
                <w:sz w:val="18"/>
                <w:szCs w:val="18"/>
              </w:rPr>
            </w:pPr>
          </w:p>
        </w:tc>
        <w:tc>
          <w:tcPr>
            <w:tcW w:w="1105" w:type="dxa"/>
            <w:shd w:val="clear" w:color="auto" w:fill="FDE9D9"/>
            <w:vAlign w:val="center"/>
          </w:tcPr>
          <w:p w:rsidR="00FC4551" w:rsidRPr="00C45CF7" w:rsidRDefault="003C4683" w:rsidP="009356A4">
            <w:pPr>
              <w:pStyle w:val="TableParagraph"/>
              <w:kinsoku w:val="0"/>
              <w:overflowPunct w:val="0"/>
              <w:spacing w:before="54"/>
              <w:ind w:right="227"/>
              <w:jc w:val="right"/>
              <w:rPr>
                <w:rFonts w:ascii="Arial" w:hAnsi="Arial" w:cs="Arial"/>
                <w:b/>
                <w:spacing w:val="-3"/>
                <w:sz w:val="18"/>
                <w:szCs w:val="18"/>
              </w:rPr>
            </w:pPr>
            <w:r w:rsidRPr="005959D4">
              <w:rPr>
                <w:rFonts w:ascii="Arial" w:hAnsi="Arial" w:cs="Arial"/>
                <w:b/>
                <w:spacing w:val="-3"/>
                <w:sz w:val="18"/>
                <w:szCs w:val="18"/>
              </w:rPr>
              <w:t>-</w:t>
            </w:r>
            <w:r w:rsidR="00267F37" w:rsidRPr="005959D4">
              <w:rPr>
                <w:rFonts w:ascii="Arial" w:hAnsi="Arial" w:cs="Arial"/>
                <w:b/>
                <w:spacing w:val="-3"/>
                <w:sz w:val="18"/>
                <w:szCs w:val="18"/>
              </w:rPr>
              <w:t>$</w:t>
            </w:r>
            <w:r w:rsidR="009356A4">
              <w:rPr>
                <w:rFonts w:ascii="Arial" w:hAnsi="Arial" w:cs="Arial"/>
                <w:b/>
                <w:spacing w:val="-3"/>
                <w:sz w:val="18"/>
                <w:szCs w:val="18"/>
              </w:rPr>
              <w:t>158.0</w:t>
            </w:r>
          </w:p>
        </w:tc>
      </w:tr>
      <w:tr w:rsidR="009F626D" w:rsidTr="008960F5">
        <w:trPr>
          <w:trHeight w:hRule="exact" w:val="525"/>
        </w:trPr>
        <w:tc>
          <w:tcPr>
            <w:tcW w:w="5245" w:type="dxa"/>
            <w:shd w:val="clear" w:color="auto" w:fill="FDE9D9"/>
            <w:vAlign w:val="center"/>
          </w:tcPr>
          <w:p w:rsidR="009F626D" w:rsidRPr="008423A0" w:rsidRDefault="009F626D" w:rsidP="008960F5">
            <w:pPr>
              <w:pStyle w:val="TableParagraph"/>
              <w:kinsoku w:val="0"/>
              <w:overflowPunct w:val="0"/>
              <w:spacing w:before="54" w:line="255" w:lineRule="auto"/>
              <w:ind w:left="80" w:right="100"/>
              <w:rPr>
                <w:rFonts w:ascii="Arial" w:hAnsi="Arial" w:cs="Arial"/>
                <w:i/>
                <w:spacing w:val="-3"/>
                <w:sz w:val="18"/>
                <w:szCs w:val="18"/>
              </w:rPr>
            </w:pPr>
            <w:r>
              <w:rPr>
                <w:rFonts w:ascii="Arial" w:hAnsi="Arial" w:cs="Arial"/>
                <w:i/>
                <w:spacing w:val="-3"/>
                <w:sz w:val="18"/>
                <w:szCs w:val="18"/>
              </w:rPr>
              <w:t>Australian Accounting Standards Board</w:t>
            </w:r>
          </w:p>
        </w:tc>
        <w:tc>
          <w:tcPr>
            <w:tcW w:w="1420" w:type="dxa"/>
            <w:shd w:val="clear" w:color="auto" w:fill="FDE9D9"/>
            <w:vAlign w:val="center"/>
          </w:tcPr>
          <w:p w:rsidR="009F626D" w:rsidRPr="002826A9" w:rsidRDefault="009F626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2/2</w:t>
            </w:r>
          </w:p>
        </w:tc>
        <w:tc>
          <w:tcPr>
            <w:tcW w:w="1105" w:type="dxa"/>
            <w:shd w:val="clear" w:color="auto" w:fill="FDE9D9"/>
            <w:vAlign w:val="center"/>
          </w:tcPr>
          <w:p w:rsidR="009F626D" w:rsidRPr="002826A9" w:rsidRDefault="009F626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1/2</w:t>
            </w:r>
          </w:p>
        </w:tc>
        <w:tc>
          <w:tcPr>
            <w:tcW w:w="1104" w:type="dxa"/>
            <w:shd w:val="clear" w:color="auto" w:fill="FDE9D9"/>
            <w:vAlign w:val="center"/>
          </w:tcPr>
          <w:p w:rsidR="009F626D" w:rsidRPr="002826A9" w:rsidRDefault="009F626D" w:rsidP="00C71862">
            <w:pPr>
              <w:pStyle w:val="TableParagraph"/>
              <w:kinsoku w:val="0"/>
              <w:overflowPunct w:val="0"/>
              <w:spacing w:before="54"/>
              <w:rPr>
                <w:rFonts w:ascii="Arial" w:hAnsi="Arial" w:cs="Arial"/>
                <w:spacing w:val="-3"/>
                <w:sz w:val="18"/>
                <w:szCs w:val="18"/>
              </w:rPr>
            </w:pPr>
          </w:p>
        </w:tc>
        <w:tc>
          <w:tcPr>
            <w:tcW w:w="1105" w:type="dxa"/>
            <w:shd w:val="clear" w:color="auto" w:fill="FDE9D9"/>
            <w:vAlign w:val="center"/>
          </w:tcPr>
          <w:p w:rsidR="009F626D" w:rsidRPr="002826A9" w:rsidRDefault="009F626D"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$47.3</w:t>
            </w:r>
          </w:p>
        </w:tc>
      </w:tr>
      <w:tr w:rsidR="009F626D" w:rsidTr="009F626D">
        <w:trPr>
          <w:trHeight w:hRule="exact" w:val="525"/>
        </w:trPr>
        <w:tc>
          <w:tcPr>
            <w:tcW w:w="5245" w:type="dxa"/>
            <w:shd w:val="clear" w:color="auto" w:fill="auto"/>
            <w:vAlign w:val="center"/>
          </w:tcPr>
          <w:p w:rsidR="009F626D" w:rsidRPr="009F626D" w:rsidRDefault="009F626D" w:rsidP="008960F5">
            <w:pPr>
              <w:pStyle w:val="TableParagraph"/>
              <w:kinsoku w:val="0"/>
              <w:overflowPunct w:val="0"/>
              <w:spacing w:before="54" w:line="255" w:lineRule="auto"/>
              <w:ind w:left="80" w:right="100"/>
              <w:rPr>
                <w:rFonts w:ascii="Arial" w:hAnsi="Arial" w:cs="Arial"/>
                <w:spacing w:val="-3"/>
                <w:sz w:val="18"/>
                <w:szCs w:val="18"/>
              </w:rPr>
            </w:pPr>
            <w:r w:rsidRPr="009F626D">
              <w:rPr>
                <w:rFonts w:ascii="Arial" w:hAnsi="Arial" w:cs="Arial"/>
                <w:spacing w:val="-3"/>
                <w:sz w:val="18"/>
                <w:szCs w:val="18"/>
              </w:rPr>
              <w:t>Revised Accounting Standard for Financial Instruments</w:t>
            </w:r>
          </w:p>
        </w:tc>
        <w:tc>
          <w:tcPr>
            <w:tcW w:w="1420" w:type="dxa"/>
            <w:shd w:val="clear" w:color="auto" w:fill="auto"/>
            <w:vAlign w:val="center"/>
          </w:tcPr>
          <w:p w:rsidR="009F626D" w:rsidRPr="002826A9" w:rsidRDefault="009F626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9F626D" w:rsidRPr="002826A9" w:rsidRDefault="009F626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9F626D" w:rsidRPr="002826A9" w:rsidRDefault="009F626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9F626D" w:rsidRPr="002826A9" w:rsidRDefault="009F626D"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$32.2</w:t>
            </w:r>
          </w:p>
        </w:tc>
      </w:tr>
      <w:tr w:rsidR="009F626D" w:rsidTr="009F626D">
        <w:trPr>
          <w:trHeight w:hRule="exact" w:val="525"/>
        </w:trPr>
        <w:tc>
          <w:tcPr>
            <w:tcW w:w="5245" w:type="dxa"/>
            <w:shd w:val="clear" w:color="auto" w:fill="auto"/>
            <w:vAlign w:val="center"/>
          </w:tcPr>
          <w:p w:rsidR="009F626D" w:rsidRPr="009F626D" w:rsidRDefault="009F626D" w:rsidP="008960F5">
            <w:pPr>
              <w:pStyle w:val="TableParagraph"/>
              <w:kinsoku w:val="0"/>
              <w:overflowPunct w:val="0"/>
              <w:spacing w:before="54" w:line="255" w:lineRule="auto"/>
              <w:ind w:left="80" w:right="100"/>
              <w:rPr>
                <w:rFonts w:ascii="Arial" w:hAnsi="Arial" w:cs="Arial"/>
                <w:spacing w:val="-3"/>
                <w:sz w:val="18"/>
                <w:szCs w:val="18"/>
              </w:rPr>
            </w:pPr>
            <w:r w:rsidRPr="009F626D">
              <w:rPr>
                <w:rFonts w:ascii="Arial" w:hAnsi="Arial" w:cs="Arial"/>
                <w:spacing w:val="-3"/>
                <w:sz w:val="18"/>
                <w:szCs w:val="18"/>
              </w:rPr>
              <w:t>Revised Accounting Standard for Revenue from Contracts with Customers</w:t>
            </w:r>
          </w:p>
        </w:tc>
        <w:tc>
          <w:tcPr>
            <w:tcW w:w="1420" w:type="dxa"/>
            <w:shd w:val="clear" w:color="auto" w:fill="auto"/>
            <w:vAlign w:val="center"/>
          </w:tcPr>
          <w:p w:rsidR="009F626D" w:rsidRPr="002826A9" w:rsidRDefault="009F626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9F626D" w:rsidRPr="002826A9" w:rsidRDefault="009F626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9F626D" w:rsidRPr="002826A9" w:rsidRDefault="009F626D"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9F626D" w:rsidRPr="002826A9" w:rsidRDefault="009F626D"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$15.1</w:t>
            </w:r>
          </w:p>
        </w:tc>
      </w:tr>
      <w:tr w:rsidR="00FC4551" w:rsidTr="008960F5">
        <w:trPr>
          <w:trHeight w:hRule="exact" w:val="525"/>
        </w:trPr>
        <w:tc>
          <w:tcPr>
            <w:tcW w:w="5245" w:type="dxa"/>
            <w:shd w:val="clear" w:color="auto" w:fill="FDE9D9"/>
            <w:vAlign w:val="center"/>
          </w:tcPr>
          <w:p w:rsidR="00FC4551" w:rsidRPr="00CE3B33" w:rsidRDefault="00FC4551" w:rsidP="008960F5">
            <w:pPr>
              <w:pStyle w:val="TableParagraph"/>
              <w:kinsoku w:val="0"/>
              <w:overflowPunct w:val="0"/>
              <w:spacing w:before="54" w:line="255" w:lineRule="auto"/>
              <w:ind w:left="80" w:right="100"/>
              <w:rPr>
                <w:rFonts w:ascii="Arial" w:hAnsi="Arial" w:cs="Arial"/>
                <w:spacing w:val="-3"/>
                <w:sz w:val="18"/>
                <w:szCs w:val="18"/>
              </w:rPr>
            </w:pPr>
            <w:r w:rsidRPr="008423A0">
              <w:rPr>
                <w:rFonts w:ascii="Arial" w:hAnsi="Arial" w:cs="Arial"/>
                <w:i/>
                <w:spacing w:val="-3"/>
                <w:sz w:val="18"/>
                <w:szCs w:val="18"/>
              </w:rPr>
              <w:t>Australian Competition and Consumer Commission</w:t>
            </w:r>
          </w:p>
        </w:tc>
        <w:tc>
          <w:tcPr>
            <w:tcW w:w="1420" w:type="dxa"/>
            <w:shd w:val="clear" w:color="auto" w:fill="FDE9D9"/>
            <w:vAlign w:val="center"/>
          </w:tcPr>
          <w:p w:rsidR="00FC4551" w:rsidRPr="002826A9" w:rsidRDefault="00FC4551" w:rsidP="008960F5">
            <w:pPr>
              <w:pStyle w:val="TableParagraph"/>
              <w:kinsoku w:val="0"/>
              <w:overflowPunct w:val="0"/>
              <w:spacing w:before="54"/>
              <w:jc w:val="center"/>
              <w:rPr>
                <w:rFonts w:ascii="Arial" w:hAnsi="Arial" w:cs="Arial"/>
                <w:spacing w:val="-3"/>
                <w:sz w:val="18"/>
                <w:szCs w:val="18"/>
              </w:rPr>
            </w:pPr>
            <w:r w:rsidRPr="002826A9">
              <w:rPr>
                <w:rFonts w:ascii="Arial" w:hAnsi="Arial" w:cs="Arial"/>
                <w:spacing w:val="-3"/>
                <w:sz w:val="18"/>
                <w:szCs w:val="18"/>
              </w:rPr>
              <w:t>1/1</w:t>
            </w:r>
          </w:p>
        </w:tc>
        <w:tc>
          <w:tcPr>
            <w:tcW w:w="1105" w:type="dxa"/>
            <w:shd w:val="clear" w:color="auto" w:fill="FDE9D9"/>
            <w:vAlign w:val="center"/>
          </w:tcPr>
          <w:p w:rsidR="00FC4551" w:rsidRPr="002826A9" w:rsidRDefault="00FC4551" w:rsidP="008960F5">
            <w:pPr>
              <w:pStyle w:val="TableParagraph"/>
              <w:kinsoku w:val="0"/>
              <w:overflowPunct w:val="0"/>
              <w:spacing w:before="54"/>
              <w:jc w:val="center"/>
              <w:rPr>
                <w:rFonts w:ascii="Arial" w:hAnsi="Arial" w:cs="Arial"/>
                <w:spacing w:val="-3"/>
                <w:sz w:val="18"/>
                <w:szCs w:val="18"/>
              </w:rPr>
            </w:pPr>
            <w:r w:rsidRPr="002826A9">
              <w:rPr>
                <w:rFonts w:ascii="Arial" w:hAnsi="Arial" w:cs="Arial"/>
                <w:spacing w:val="-3"/>
                <w:sz w:val="18"/>
                <w:szCs w:val="18"/>
              </w:rPr>
              <w:t>0/1</w:t>
            </w:r>
          </w:p>
        </w:tc>
        <w:tc>
          <w:tcPr>
            <w:tcW w:w="1104" w:type="dxa"/>
            <w:shd w:val="clear" w:color="auto" w:fill="FDE9D9"/>
            <w:vAlign w:val="center"/>
          </w:tcPr>
          <w:p w:rsidR="00FC4551" w:rsidRPr="002826A9" w:rsidRDefault="00FC4551"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FC4551" w:rsidRPr="002826A9" w:rsidRDefault="001012A2" w:rsidP="008960F5">
            <w:pPr>
              <w:pStyle w:val="TableParagraph"/>
              <w:kinsoku w:val="0"/>
              <w:overflowPunct w:val="0"/>
              <w:spacing w:before="54"/>
              <w:ind w:right="227"/>
              <w:jc w:val="right"/>
              <w:rPr>
                <w:rFonts w:ascii="Arial" w:hAnsi="Arial" w:cs="Arial"/>
                <w:spacing w:val="-3"/>
                <w:sz w:val="18"/>
                <w:szCs w:val="18"/>
              </w:rPr>
            </w:pPr>
            <w:r w:rsidRPr="002826A9">
              <w:rPr>
                <w:rFonts w:ascii="Arial" w:hAnsi="Arial" w:cs="Arial"/>
                <w:spacing w:val="-3"/>
                <w:sz w:val="18"/>
                <w:szCs w:val="18"/>
              </w:rPr>
              <w:t>$0.0</w:t>
            </w:r>
          </w:p>
        </w:tc>
      </w:tr>
      <w:tr w:rsidR="00FC4551" w:rsidTr="006040B4">
        <w:trPr>
          <w:trHeight w:hRule="exact" w:val="525"/>
        </w:trPr>
        <w:tc>
          <w:tcPr>
            <w:tcW w:w="5245" w:type="dxa"/>
            <w:shd w:val="clear" w:color="auto" w:fill="auto"/>
            <w:vAlign w:val="center"/>
          </w:tcPr>
          <w:p w:rsidR="00FC4551" w:rsidRDefault="00FC4551" w:rsidP="008960F5">
            <w:pPr>
              <w:pStyle w:val="TableParagraph"/>
              <w:kinsoku w:val="0"/>
              <w:overflowPunct w:val="0"/>
              <w:spacing w:before="54" w:line="254" w:lineRule="auto"/>
              <w:ind w:left="170" w:right="102"/>
              <w:rPr>
                <w:rFonts w:ascii="Arial" w:hAnsi="Arial" w:cs="Arial"/>
                <w:spacing w:val="-3"/>
                <w:sz w:val="18"/>
                <w:szCs w:val="18"/>
              </w:rPr>
            </w:pPr>
            <w:r w:rsidRPr="00D330AB">
              <w:rPr>
                <w:rFonts w:ascii="Arial" w:hAnsi="Arial" w:cs="Arial"/>
                <w:spacing w:val="-3"/>
                <w:sz w:val="18"/>
                <w:szCs w:val="18"/>
              </w:rPr>
              <w:t>Domestic Mobile Termina</w:t>
            </w:r>
            <w:r>
              <w:rPr>
                <w:rFonts w:ascii="Arial" w:hAnsi="Arial" w:cs="Arial"/>
                <w:spacing w:val="-3"/>
                <w:sz w:val="18"/>
                <w:szCs w:val="18"/>
              </w:rPr>
              <w:t>ting Access Service Declaration</w:t>
            </w:r>
          </w:p>
        </w:tc>
        <w:tc>
          <w:tcPr>
            <w:tcW w:w="1420" w:type="dxa"/>
            <w:shd w:val="clear" w:color="auto" w:fill="auto"/>
            <w:vAlign w:val="center"/>
          </w:tcPr>
          <w:p w:rsidR="00FC4551" w:rsidRDefault="00FC45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FC4551" w:rsidRDefault="00FC45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FC4551" w:rsidRDefault="00FC45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FC4551" w:rsidRDefault="001012A2"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F37C2D" w:rsidTr="008960F5">
        <w:trPr>
          <w:trHeight w:hRule="exact" w:val="525"/>
        </w:trPr>
        <w:tc>
          <w:tcPr>
            <w:tcW w:w="5245" w:type="dxa"/>
            <w:shd w:val="clear" w:color="auto" w:fill="FDE9D9"/>
            <w:vAlign w:val="center"/>
          </w:tcPr>
          <w:p w:rsidR="00F37C2D" w:rsidRDefault="00F37C2D" w:rsidP="008423A0">
            <w:pPr>
              <w:pStyle w:val="TableParagraph"/>
              <w:kinsoku w:val="0"/>
              <w:overflowPunct w:val="0"/>
              <w:spacing w:before="54" w:line="255" w:lineRule="auto"/>
              <w:ind w:left="80" w:right="100"/>
              <w:rPr>
                <w:rFonts w:ascii="Arial" w:hAnsi="Arial" w:cs="Arial"/>
                <w:i/>
                <w:spacing w:val="-3"/>
                <w:sz w:val="18"/>
                <w:szCs w:val="18"/>
              </w:rPr>
            </w:pPr>
            <w:r>
              <w:rPr>
                <w:rFonts w:ascii="Arial" w:hAnsi="Arial" w:cs="Arial"/>
                <w:i/>
                <w:spacing w:val="-3"/>
                <w:sz w:val="18"/>
                <w:szCs w:val="18"/>
              </w:rPr>
              <w:lastRenderedPageBreak/>
              <w:t>Australian Prudential Regulation Authority</w:t>
            </w:r>
          </w:p>
        </w:tc>
        <w:tc>
          <w:tcPr>
            <w:tcW w:w="1420" w:type="dxa"/>
            <w:shd w:val="clear" w:color="auto" w:fill="FDE9D9"/>
            <w:vAlign w:val="center"/>
          </w:tcPr>
          <w:p w:rsidR="00F37C2D" w:rsidRPr="0080193F" w:rsidRDefault="003C4683"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2/2</w:t>
            </w:r>
          </w:p>
        </w:tc>
        <w:tc>
          <w:tcPr>
            <w:tcW w:w="1105" w:type="dxa"/>
            <w:shd w:val="clear" w:color="auto" w:fill="FDE9D9"/>
            <w:vAlign w:val="center"/>
          </w:tcPr>
          <w:p w:rsidR="00F37C2D" w:rsidRPr="0080193F" w:rsidRDefault="003C4683"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1/2</w:t>
            </w:r>
          </w:p>
        </w:tc>
        <w:tc>
          <w:tcPr>
            <w:tcW w:w="1104" w:type="dxa"/>
            <w:shd w:val="clear" w:color="auto" w:fill="FDE9D9"/>
            <w:vAlign w:val="center"/>
          </w:tcPr>
          <w:p w:rsidR="00F37C2D" w:rsidRPr="0080193F" w:rsidRDefault="00F37C2D"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F37C2D" w:rsidRPr="0080193F" w:rsidRDefault="0000304A"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E858C4">
              <w:rPr>
                <w:rFonts w:ascii="Arial" w:hAnsi="Arial" w:cs="Arial"/>
                <w:spacing w:val="-3"/>
                <w:sz w:val="18"/>
                <w:szCs w:val="18"/>
              </w:rPr>
              <w:t>1.0</w:t>
            </w:r>
          </w:p>
        </w:tc>
      </w:tr>
      <w:tr w:rsidR="00F37C2D" w:rsidTr="001E5905">
        <w:trPr>
          <w:trHeight w:hRule="exact" w:val="803"/>
        </w:trPr>
        <w:tc>
          <w:tcPr>
            <w:tcW w:w="5245" w:type="dxa"/>
            <w:shd w:val="clear" w:color="auto" w:fill="auto"/>
            <w:vAlign w:val="center"/>
          </w:tcPr>
          <w:p w:rsidR="00F37C2D" w:rsidRPr="001E5905" w:rsidRDefault="001E5905" w:rsidP="008423A0">
            <w:pPr>
              <w:pStyle w:val="TableParagraph"/>
              <w:kinsoku w:val="0"/>
              <w:overflowPunct w:val="0"/>
              <w:spacing w:before="54" w:line="255" w:lineRule="auto"/>
              <w:ind w:left="80" w:right="100"/>
              <w:rPr>
                <w:rFonts w:ascii="Arial" w:hAnsi="Arial" w:cs="Arial"/>
                <w:spacing w:val="-3"/>
                <w:sz w:val="18"/>
                <w:szCs w:val="18"/>
              </w:rPr>
            </w:pPr>
            <w:r w:rsidRPr="001E5905">
              <w:rPr>
                <w:rFonts w:ascii="Arial" w:hAnsi="Arial" w:cs="Arial"/>
                <w:spacing w:val="-3"/>
                <w:sz w:val="18"/>
                <w:szCs w:val="18"/>
              </w:rPr>
              <w:t>Basel III Disclosure Requirements: leverage ratio; liquidity coverage ratio; the identification of potential global systemically important banks; and other minor amendments</w:t>
            </w:r>
          </w:p>
        </w:tc>
        <w:tc>
          <w:tcPr>
            <w:tcW w:w="1420" w:type="dxa"/>
            <w:shd w:val="clear" w:color="auto" w:fill="auto"/>
            <w:vAlign w:val="center"/>
          </w:tcPr>
          <w:p w:rsidR="00F37C2D" w:rsidRPr="002826A9" w:rsidRDefault="001E5905"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F37C2D" w:rsidRPr="002826A9" w:rsidRDefault="001E5905"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F37C2D" w:rsidRPr="002826A9" w:rsidRDefault="001E5905"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shd w:val="clear" w:color="auto" w:fill="auto"/>
            <w:vAlign w:val="center"/>
          </w:tcPr>
          <w:p w:rsidR="00F37C2D" w:rsidRDefault="001E5905"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$1.0</w:t>
            </w:r>
          </w:p>
        </w:tc>
      </w:tr>
      <w:tr w:rsidR="0000304A" w:rsidTr="001E5905">
        <w:trPr>
          <w:trHeight w:hRule="exact" w:val="803"/>
        </w:trPr>
        <w:tc>
          <w:tcPr>
            <w:tcW w:w="5245" w:type="dxa"/>
            <w:shd w:val="clear" w:color="auto" w:fill="auto"/>
            <w:vAlign w:val="center"/>
          </w:tcPr>
          <w:p w:rsidR="0000304A" w:rsidRPr="001E5905" w:rsidRDefault="0000304A" w:rsidP="008423A0">
            <w:pPr>
              <w:pStyle w:val="TableParagraph"/>
              <w:kinsoku w:val="0"/>
              <w:overflowPunct w:val="0"/>
              <w:spacing w:before="54" w:line="255" w:lineRule="auto"/>
              <w:ind w:left="80" w:right="100"/>
              <w:rPr>
                <w:rFonts w:ascii="Arial" w:hAnsi="Arial" w:cs="Arial"/>
                <w:spacing w:val="-3"/>
                <w:sz w:val="18"/>
                <w:szCs w:val="18"/>
              </w:rPr>
            </w:pPr>
            <w:r>
              <w:rPr>
                <w:rFonts w:ascii="Arial" w:hAnsi="Arial" w:cs="Arial"/>
                <w:spacing w:val="-3"/>
                <w:sz w:val="18"/>
                <w:szCs w:val="18"/>
              </w:rPr>
              <w:t>Regulation of Registered Financial Corporations</w:t>
            </w:r>
          </w:p>
        </w:tc>
        <w:tc>
          <w:tcPr>
            <w:tcW w:w="1420" w:type="dxa"/>
            <w:shd w:val="clear" w:color="auto" w:fill="auto"/>
            <w:vAlign w:val="center"/>
          </w:tcPr>
          <w:p w:rsidR="0000304A" w:rsidRDefault="0000304A"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00304A" w:rsidRDefault="0000304A"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00304A" w:rsidRDefault="0000304A"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shd w:val="clear" w:color="auto" w:fill="auto"/>
            <w:vAlign w:val="center"/>
          </w:tcPr>
          <w:p w:rsidR="0000304A" w:rsidRDefault="0000304A"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FC4551" w:rsidTr="008960F5">
        <w:trPr>
          <w:trHeight w:hRule="exact" w:val="525"/>
        </w:trPr>
        <w:tc>
          <w:tcPr>
            <w:tcW w:w="5245" w:type="dxa"/>
            <w:shd w:val="clear" w:color="auto" w:fill="FDE9D9"/>
            <w:vAlign w:val="center"/>
          </w:tcPr>
          <w:p w:rsidR="00FC4551" w:rsidRPr="00CE3B33" w:rsidRDefault="00FC4551" w:rsidP="008423A0">
            <w:pPr>
              <w:pStyle w:val="TableParagraph"/>
              <w:kinsoku w:val="0"/>
              <w:overflowPunct w:val="0"/>
              <w:spacing w:before="54" w:line="255" w:lineRule="auto"/>
              <w:ind w:left="80" w:right="100"/>
              <w:rPr>
                <w:rFonts w:ascii="Arial" w:hAnsi="Arial" w:cs="Arial"/>
                <w:spacing w:val="-3"/>
                <w:sz w:val="18"/>
                <w:szCs w:val="18"/>
              </w:rPr>
            </w:pPr>
            <w:r>
              <w:rPr>
                <w:rFonts w:ascii="Arial" w:hAnsi="Arial" w:cs="Arial"/>
                <w:i/>
                <w:spacing w:val="-3"/>
                <w:sz w:val="18"/>
                <w:szCs w:val="18"/>
              </w:rPr>
              <w:t>Australian Securities and Investments Commission</w:t>
            </w:r>
          </w:p>
        </w:tc>
        <w:tc>
          <w:tcPr>
            <w:tcW w:w="1420" w:type="dxa"/>
            <w:shd w:val="clear" w:color="auto" w:fill="FDE9D9"/>
            <w:vAlign w:val="center"/>
          </w:tcPr>
          <w:p w:rsidR="00FC4551" w:rsidRPr="002826A9" w:rsidRDefault="002E37D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3/3</w:t>
            </w:r>
          </w:p>
        </w:tc>
        <w:tc>
          <w:tcPr>
            <w:tcW w:w="1105" w:type="dxa"/>
            <w:shd w:val="clear" w:color="auto" w:fill="FDE9D9"/>
            <w:vAlign w:val="center"/>
          </w:tcPr>
          <w:p w:rsidR="00FC4551" w:rsidRPr="002826A9" w:rsidRDefault="002E37D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2/3</w:t>
            </w:r>
          </w:p>
        </w:tc>
        <w:tc>
          <w:tcPr>
            <w:tcW w:w="1104" w:type="dxa"/>
            <w:shd w:val="clear" w:color="auto" w:fill="FDE9D9"/>
            <w:vAlign w:val="center"/>
          </w:tcPr>
          <w:p w:rsidR="00FC4551" w:rsidRPr="002826A9" w:rsidRDefault="00FC4551"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FC4551" w:rsidRPr="002826A9" w:rsidRDefault="005A128E"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2E37DF">
              <w:rPr>
                <w:rFonts w:ascii="Arial" w:hAnsi="Arial" w:cs="Arial"/>
                <w:spacing w:val="-3"/>
                <w:sz w:val="18"/>
                <w:szCs w:val="18"/>
              </w:rPr>
              <w:t>95.3</w:t>
            </w:r>
          </w:p>
        </w:tc>
      </w:tr>
      <w:tr w:rsidR="008B1668" w:rsidTr="00267F37">
        <w:trPr>
          <w:trHeight w:hRule="exact" w:val="525"/>
        </w:trPr>
        <w:tc>
          <w:tcPr>
            <w:tcW w:w="5245" w:type="dxa"/>
            <w:shd w:val="clear" w:color="auto" w:fill="auto"/>
            <w:vAlign w:val="center"/>
          </w:tcPr>
          <w:p w:rsidR="008B1668" w:rsidRDefault="008B1668" w:rsidP="008960F5">
            <w:pPr>
              <w:pStyle w:val="TableParagraph"/>
              <w:kinsoku w:val="0"/>
              <w:overflowPunct w:val="0"/>
              <w:spacing w:before="54" w:line="254" w:lineRule="auto"/>
              <w:ind w:left="170" w:right="102"/>
              <w:rPr>
                <w:rFonts w:ascii="Arial" w:hAnsi="Arial" w:cs="Arial"/>
                <w:spacing w:val="-3"/>
                <w:sz w:val="18"/>
                <w:szCs w:val="18"/>
              </w:rPr>
            </w:pPr>
            <w:r w:rsidRPr="008B1668">
              <w:rPr>
                <w:rFonts w:ascii="Arial" w:hAnsi="Arial" w:cs="Arial"/>
                <w:spacing w:val="-3"/>
                <w:sz w:val="18"/>
                <w:szCs w:val="18"/>
              </w:rPr>
              <w:t>Over-The-Counter Derivatives Reform: Amendments to ASIC Derivative Transaction Rules (Reporting) 2013</w:t>
            </w:r>
          </w:p>
        </w:tc>
        <w:tc>
          <w:tcPr>
            <w:tcW w:w="1420" w:type="dxa"/>
            <w:shd w:val="clear" w:color="auto" w:fill="auto"/>
            <w:vAlign w:val="center"/>
          </w:tcPr>
          <w:p w:rsidR="008B1668" w:rsidRDefault="008B166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8B1668" w:rsidRDefault="008B166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8B1668" w:rsidRDefault="008B166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8B1668" w:rsidRDefault="008B1668"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-$4.9</w:t>
            </w:r>
          </w:p>
        </w:tc>
      </w:tr>
      <w:tr w:rsidR="005A128E" w:rsidTr="00267F37">
        <w:trPr>
          <w:trHeight w:hRule="exact" w:val="525"/>
        </w:trPr>
        <w:tc>
          <w:tcPr>
            <w:tcW w:w="5245" w:type="dxa"/>
            <w:shd w:val="clear" w:color="auto" w:fill="auto"/>
            <w:vAlign w:val="center"/>
          </w:tcPr>
          <w:p w:rsidR="005A128E" w:rsidRPr="00D330AB" w:rsidRDefault="005A128E"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Relief for 31 day notice term deposits</w:t>
            </w:r>
          </w:p>
        </w:tc>
        <w:tc>
          <w:tcPr>
            <w:tcW w:w="1420" w:type="dxa"/>
            <w:shd w:val="clear" w:color="auto" w:fill="auto"/>
            <w:vAlign w:val="center"/>
          </w:tcPr>
          <w:p w:rsidR="005A128E" w:rsidRDefault="005A128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5A128E" w:rsidRDefault="005A128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5A128E" w:rsidRDefault="005A128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5A128E" w:rsidRDefault="005A128E"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-$77.3</w:t>
            </w:r>
          </w:p>
        </w:tc>
      </w:tr>
      <w:tr w:rsidR="00FC4551" w:rsidTr="00267F37">
        <w:trPr>
          <w:trHeight w:hRule="exact" w:val="525"/>
        </w:trPr>
        <w:tc>
          <w:tcPr>
            <w:tcW w:w="5245" w:type="dxa"/>
            <w:shd w:val="clear" w:color="auto" w:fill="auto"/>
            <w:vAlign w:val="center"/>
          </w:tcPr>
          <w:p w:rsidR="00FC4551" w:rsidRDefault="00FC4551" w:rsidP="008960F5">
            <w:pPr>
              <w:pStyle w:val="TableParagraph"/>
              <w:kinsoku w:val="0"/>
              <w:overflowPunct w:val="0"/>
              <w:spacing w:before="54" w:line="254" w:lineRule="auto"/>
              <w:ind w:left="170" w:right="102"/>
              <w:rPr>
                <w:rFonts w:ascii="Arial" w:hAnsi="Arial" w:cs="Arial"/>
                <w:spacing w:val="-3"/>
                <w:sz w:val="18"/>
                <w:szCs w:val="18"/>
              </w:rPr>
            </w:pPr>
            <w:r w:rsidRPr="00D330AB">
              <w:rPr>
                <w:rFonts w:ascii="Arial" w:hAnsi="Arial" w:cs="Arial"/>
                <w:spacing w:val="-3"/>
                <w:sz w:val="18"/>
                <w:szCs w:val="18"/>
              </w:rPr>
              <w:t>Removal of short sale tagging obligation</w:t>
            </w:r>
          </w:p>
        </w:tc>
        <w:tc>
          <w:tcPr>
            <w:tcW w:w="1420" w:type="dxa"/>
            <w:shd w:val="clear" w:color="auto" w:fill="auto"/>
            <w:vAlign w:val="center"/>
          </w:tcPr>
          <w:p w:rsidR="00FC4551" w:rsidRDefault="00FC45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FC4551" w:rsidRDefault="00FC45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FC4551" w:rsidRDefault="00FC45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FC4551" w:rsidRDefault="003A67F2"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-$13.1</w:t>
            </w:r>
          </w:p>
        </w:tc>
      </w:tr>
      <w:tr w:rsidR="00F37C2D" w:rsidTr="00AE54A0">
        <w:trPr>
          <w:trHeight w:hRule="exact" w:val="525"/>
        </w:trPr>
        <w:tc>
          <w:tcPr>
            <w:tcW w:w="5245" w:type="dxa"/>
            <w:shd w:val="clear" w:color="auto" w:fill="FDE9D9"/>
            <w:vAlign w:val="center"/>
          </w:tcPr>
          <w:p w:rsidR="00F37C2D" w:rsidRPr="00E112D2" w:rsidRDefault="00F37C2D" w:rsidP="008960F5">
            <w:pPr>
              <w:pStyle w:val="TableParagraph"/>
              <w:kinsoku w:val="0"/>
              <w:overflowPunct w:val="0"/>
              <w:spacing w:before="54" w:line="254" w:lineRule="auto"/>
              <w:ind w:left="170" w:right="102"/>
              <w:rPr>
                <w:rFonts w:ascii="Arial" w:hAnsi="Arial" w:cs="Arial"/>
                <w:i/>
                <w:spacing w:val="-3"/>
                <w:sz w:val="18"/>
                <w:szCs w:val="18"/>
              </w:rPr>
            </w:pPr>
            <w:r>
              <w:rPr>
                <w:rFonts w:ascii="Arial" w:hAnsi="Arial" w:cs="Arial"/>
                <w:i/>
                <w:spacing w:val="-3"/>
                <w:sz w:val="18"/>
                <w:szCs w:val="18"/>
              </w:rPr>
              <w:t xml:space="preserve">Australian Taxation Office </w:t>
            </w:r>
          </w:p>
        </w:tc>
        <w:tc>
          <w:tcPr>
            <w:tcW w:w="1420" w:type="dxa"/>
            <w:shd w:val="clear" w:color="auto" w:fill="FDE9D9"/>
            <w:vAlign w:val="center"/>
          </w:tcPr>
          <w:p w:rsidR="00F37C2D" w:rsidRDefault="0080193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1/1</w:t>
            </w:r>
          </w:p>
        </w:tc>
        <w:tc>
          <w:tcPr>
            <w:tcW w:w="1105" w:type="dxa"/>
            <w:shd w:val="clear" w:color="auto" w:fill="FDE9D9"/>
            <w:vAlign w:val="center"/>
          </w:tcPr>
          <w:p w:rsidR="00F37C2D" w:rsidRDefault="00E858C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0</w:t>
            </w:r>
            <w:r w:rsidR="0080193F">
              <w:rPr>
                <w:rFonts w:ascii="Arial" w:hAnsi="Arial" w:cs="Arial"/>
                <w:spacing w:val="-3"/>
                <w:sz w:val="18"/>
                <w:szCs w:val="18"/>
              </w:rPr>
              <w:t>/1</w:t>
            </w:r>
          </w:p>
        </w:tc>
        <w:tc>
          <w:tcPr>
            <w:tcW w:w="1104" w:type="dxa"/>
            <w:shd w:val="clear" w:color="auto" w:fill="FDE9D9"/>
            <w:vAlign w:val="center"/>
          </w:tcPr>
          <w:p w:rsidR="00F37C2D" w:rsidRDefault="00F37C2D"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F37C2D" w:rsidRDefault="0080193F" w:rsidP="007A7E3C">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-$80.9</w:t>
            </w:r>
          </w:p>
        </w:tc>
      </w:tr>
      <w:tr w:rsidR="00F37C2D" w:rsidTr="00F37C2D">
        <w:trPr>
          <w:trHeight w:hRule="exact" w:val="525"/>
        </w:trPr>
        <w:tc>
          <w:tcPr>
            <w:tcW w:w="5245" w:type="dxa"/>
            <w:shd w:val="clear" w:color="auto" w:fill="auto"/>
            <w:vAlign w:val="center"/>
          </w:tcPr>
          <w:p w:rsidR="00F37C2D" w:rsidRPr="0080193F" w:rsidRDefault="0080193F"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Simplified Transfer Price Record Keeping</w:t>
            </w:r>
          </w:p>
        </w:tc>
        <w:tc>
          <w:tcPr>
            <w:tcW w:w="1420" w:type="dxa"/>
            <w:shd w:val="clear" w:color="auto" w:fill="auto"/>
            <w:vAlign w:val="center"/>
          </w:tcPr>
          <w:p w:rsidR="00F37C2D" w:rsidRDefault="0080193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F37C2D" w:rsidRDefault="0080193F" w:rsidP="008960F5">
            <w:pPr>
              <w:pStyle w:val="TableParagraph"/>
              <w:kinsoku w:val="0"/>
              <w:overflowPunct w:val="0"/>
              <w:spacing w:before="54"/>
              <w:jc w:val="center"/>
              <w:rPr>
                <w:rFonts w:ascii="Arial" w:hAnsi="Arial" w:cs="Arial"/>
                <w:spacing w:val="-3"/>
                <w:sz w:val="18"/>
                <w:szCs w:val="18"/>
              </w:rPr>
            </w:pPr>
            <w:r w:rsidRPr="00E9092C">
              <w:rPr>
                <w:rFonts w:ascii="Arial" w:hAnsi="Arial" w:cs="Arial"/>
                <w:spacing w:val="-3"/>
                <w:sz w:val="18"/>
                <w:szCs w:val="18"/>
              </w:rPr>
              <w:t>No</w:t>
            </w:r>
          </w:p>
        </w:tc>
        <w:tc>
          <w:tcPr>
            <w:tcW w:w="1104" w:type="dxa"/>
            <w:shd w:val="clear" w:color="auto" w:fill="auto"/>
            <w:vAlign w:val="center"/>
          </w:tcPr>
          <w:p w:rsidR="00F37C2D" w:rsidRDefault="0080193F"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shd w:val="clear" w:color="auto" w:fill="auto"/>
            <w:vAlign w:val="center"/>
          </w:tcPr>
          <w:p w:rsidR="00F37C2D" w:rsidRDefault="0080193F" w:rsidP="007A7E3C">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-$80.9</w:t>
            </w:r>
          </w:p>
        </w:tc>
      </w:tr>
      <w:tr w:rsidR="00267F37" w:rsidTr="00AE54A0">
        <w:trPr>
          <w:trHeight w:hRule="exact" w:val="525"/>
        </w:trPr>
        <w:tc>
          <w:tcPr>
            <w:tcW w:w="5245" w:type="dxa"/>
            <w:shd w:val="clear" w:color="auto" w:fill="FDE9D9"/>
            <w:vAlign w:val="center"/>
          </w:tcPr>
          <w:p w:rsidR="00267F37" w:rsidRPr="00E112D2" w:rsidRDefault="00267F37" w:rsidP="008960F5">
            <w:pPr>
              <w:pStyle w:val="TableParagraph"/>
              <w:kinsoku w:val="0"/>
              <w:overflowPunct w:val="0"/>
              <w:spacing w:before="54" w:line="254" w:lineRule="auto"/>
              <w:ind w:left="170" w:right="102"/>
              <w:rPr>
                <w:rFonts w:ascii="Arial" w:hAnsi="Arial" w:cs="Arial"/>
                <w:i/>
                <w:spacing w:val="-3"/>
                <w:sz w:val="18"/>
                <w:szCs w:val="18"/>
              </w:rPr>
            </w:pPr>
            <w:r w:rsidRPr="00E112D2">
              <w:rPr>
                <w:rFonts w:ascii="Arial" w:hAnsi="Arial" w:cs="Arial"/>
                <w:i/>
                <w:spacing w:val="-3"/>
                <w:sz w:val="18"/>
                <w:szCs w:val="18"/>
              </w:rPr>
              <w:t>The Treasury</w:t>
            </w:r>
          </w:p>
        </w:tc>
        <w:tc>
          <w:tcPr>
            <w:tcW w:w="1420" w:type="dxa"/>
            <w:shd w:val="clear" w:color="auto" w:fill="FDE9D9"/>
            <w:vAlign w:val="center"/>
          </w:tcPr>
          <w:p w:rsidR="00267F37" w:rsidRDefault="00A224D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8/8</w:t>
            </w:r>
          </w:p>
        </w:tc>
        <w:tc>
          <w:tcPr>
            <w:tcW w:w="1105" w:type="dxa"/>
            <w:shd w:val="clear" w:color="auto" w:fill="FDE9D9"/>
            <w:vAlign w:val="center"/>
          </w:tcPr>
          <w:p w:rsidR="00267F37" w:rsidRDefault="00A224D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8/8</w:t>
            </w:r>
          </w:p>
        </w:tc>
        <w:tc>
          <w:tcPr>
            <w:tcW w:w="1104" w:type="dxa"/>
            <w:shd w:val="clear" w:color="auto" w:fill="FDE9D9"/>
            <w:vAlign w:val="center"/>
          </w:tcPr>
          <w:p w:rsidR="00267F37" w:rsidRDefault="00267F37" w:rsidP="008960F5">
            <w:pPr>
              <w:pStyle w:val="TableParagraph"/>
              <w:kinsoku w:val="0"/>
              <w:overflowPunct w:val="0"/>
              <w:spacing w:before="54"/>
              <w:jc w:val="center"/>
              <w:rPr>
                <w:rFonts w:ascii="Arial" w:hAnsi="Arial" w:cs="Arial"/>
                <w:spacing w:val="-3"/>
                <w:sz w:val="18"/>
                <w:szCs w:val="18"/>
              </w:rPr>
            </w:pPr>
          </w:p>
        </w:tc>
        <w:tc>
          <w:tcPr>
            <w:tcW w:w="1105" w:type="dxa"/>
            <w:shd w:val="clear" w:color="auto" w:fill="FDE9D9"/>
            <w:vAlign w:val="center"/>
          </w:tcPr>
          <w:p w:rsidR="007A7E3C" w:rsidRDefault="00AF2376" w:rsidP="009356A4">
            <w:pPr>
              <w:pStyle w:val="TableParagraph"/>
              <w:kinsoku w:val="0"/>
              <w:overflowPunct w:val="0"/>
              <w:spacing w:before="54"/>
              <w:ind w:right="227"/>
              <w:jc w:val="right"/>
              <w:rPr>
                <w:rFonts w:ascii="Arial" w:hAnsi="Arial" w:cs="Arial"/>
                <w:spacing w:val="-3"/>
                <w:sz w:val="18"/>
                <w:szCs w:val="18"/>
              </w:rPr>
            </w:pPr>
            <w:r w:rsidRPr="003652D9">
              <w:rPr>
                <w:rFonts w:ascii="Arial" w:hAnsi="Arial" w:cs="Arial"/>
                <w:spacing w:val="-3"/>
                <w:sz w:val="18"/>
                <w:szCs w:val="18"/>
              </w:rPr>
              <w:t>-$</w:t>
            </w:r>
            <w:r w:rsidR="003652D9" w:rsidRPr="003652D9">
              <w:rPr>
                <w:rFonts w:ascii="Arial" w:hAnsi="Arial" w:cs="Arial"/>
                <w:spacing w:val="-3"/>
                <w:sz w:val="18"/>
                <w:szCs w:val="18"/>
              </w:rPr>
              <w:t>3</w:t>
            </w:r>
            <w:r w:rsidR="009356A4">
              <w:rPr>
                <w:rFonts w:ascii="Arial" w:hAnsi="Arial" w:cs="Arial"/>
                <w:spacing w:val="-3"/>
                <w:sz w:val="18"/>
                <w:szCs w:val="18"/>
              </w:rPr>
              <w:t>0</w:t>
            </w:r>
            <w:r w:rsidR="003B6B6C">
              <w:rPr>
                <w:rFonts w:ascii="Arial" w:hAnsi="Arial" w:cs="Arial"/>
                <w:spacing w:val="-3"/>
                <w:sz w:val="18"/>
                <w:szCs w:val="18"/>
              </w:rPr>
              <w:t>.1</w:t>
            </w:r>
          </w:p>
        </w:tc>
      </w:tr>
      <w:tr w:rsidR="007C7385" w:rsidTr="00267F37">
        <w:trPr>
          <w:trHeight w:hRule="exact" w:val="525"/>
        </w:trPr>
        <w:tc>
          <w:tcPr>
            <w:tcW w:w="5245" w:type="dxa"/>
            <w:shd w:val="clear" w:color="auto" w:fill="auto"/>
            <w:vAlign w:val="center"/>
          </w:tcPr>
          <w:p w:rsidR="007C7385" w:rsidRDefault="0063080B"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Accelerated  Depreciation for Primary P</w:t>
            </w:r>
            <w:r w:rsidR="007C7385">
              <w:rPr>
                <w:rFonts w:ascii="Arial" w:hAnsi="Arial" w:cs="Arial"/>
                <w:spacing w:val="-3"/>
                <w:sz w:val="18"/>
                <w:szCs w:val="18"/>
              </w:rPr>
              <w:t>roducers</w:t>
            </w:r>
          </w:p>
        </w:tc>
        <w:tc>
          <w:tcPr>
            <w:tcW w:w="1420" w:type="dxa"/>
            <w:shd w:val="clear" w:color="auto" w:fill="auto"/>
            <w:vAlign w:val="center"/>
          </w:tcPr>
          <w:p w:rsidR="007C7385" w:rsidRDefault="007C7385"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7C7385" w:rsidRDefault="007C7385"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7C7385" w:rsidRDefault="007C7385"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7C7385" w:rsidRDefault="007C7385"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-$1.4</w:t>
            </w:r>
          </w:p>
        </w:tc>
      </w:tr>
      <w:tr w:rsidR="00267F37" w:rsidTr="00267F37">
        <w:trPr>
          <w:trHeight w:hRule="exact" w:val="525"/>
        </w:trPr>
        <w:tc>
          <w:tcPr>
            <w:tcW w:w="5245" w:type="dxa"/>
            <w:shd w:val="clear" w:color="auto" w:fill="auto"/>
            <w:vAlign w:val="center"/>
          </w:tcPr>
          <w:p w:rsidR="00267F37" w:rsidRDefault="00267F37"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Australian Small Business and Family Enterprise Ombudsman</w:t>
            </w:r>
          </w:p>
        </w:tc>
        <w:tc>
          <w:tcPr>
            <w:tcW w:w="1420" w:type="dxa"/>
            <w:shd w:val="clear" w:color="auto" w:fill="auto"/>
            <w:vAlign w:val="center"/>
          </w:tcPr>
          <w:p w:rsidR="00267F37" w:rsidRDefault="00267F3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267F37" w:rsidRDefault="00267F3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267F37" w:rsidRDefault="00267F3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267F37" w:rsidRDefault="00267F37"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9A573E" w:rsidTr="00267F37">
        <w:trPr>
          <w:trHeight w:hRule="exact" w:val="525"/>
        </w:trPr>
        <w:tc>
          <w:tcPr>
            <w:tcW w:w="5245" w:type="dxa"/>
            <w:shd w:val="clear" w:color="auto" w:fill="auto"/>
            <w:vAlign w:val="center"/>
          </w:tcPr>
          <w:p w:rsidR="009A573E" w:rsidRPr="00CE130D" w:rsidRDefault="0063080B" w:rsidP="008960F5">
            <w:pPr>
              <w:pStyle w:val="TableParagraph"/>
              <w:kinsoku w:val="0"/>
              <w:overflowPunct w:val="0"/>
              <w:spacing w:before="54" w:line="254" w:lineRule="auto"/>
              <w:ind w:left="170" w:right="102"/>
              <w:rPr>
                <w:rFonts w:ascii="Arial" w:hAnsi="Arial" w:cs="Arial"/>
                <w:spacing w:val="-3"/>
                <w:sz w:val="18"/>
                <w:szCs w:val="18"/>
                <w:highlight w:val="yellow"/>
              </w:rPr>
            </w:pPr>
            <w:r>
              <w:rPr>
                <w:rFonts w:ascii="Arial" w:hAnsi="Arial" w:cs="Arial"/>
                <w:spacing w:val="-3"/>
                <w:sz w:val="18"/>
                <w:szCs w:val="18"/>
              </w:rPr>
              <w:t>Expanding Accelerated Depreciation for Small B</w:t>
            </w:r>
            <w:r w:rsidR="009A573E" w:rsidRPr="00601C73">
              <w:rPr>
                <w:rFonts w:ascii="Arial" w:hAnsi="Arial" w:cs="Arial"/>
                <w:spacing w:val="-3"/>
                <w:sz w:val="18"/>
                <w:szCs w:val="18"/>
              </w:rPr>
              <w:t>usinesses</w:t>
            </w:r>
          </w:p>
        </w:tc>
        <w:tc>
          <w:tcPr>
            <w:tcW w:w="1420" w:type="dxa"/>
            <w:shd w:val="clear" w:color="auto" w:fill="auto"/>
            <w:vAlign w:val="center"/>
          </w:tcPr>
          <w:p w:rsidR="009A573E" w:rsidRDefault="009A573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9A573E" w:rsidRDefault="009A573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9A573E" w:rsidRDefault="009A573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9A573E" w:rsidRDefault="009A573E"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-$6.1</w:t>
            </w:r>
          </w:p>
        </w:tc>
      </w:tr>
      <w:tr w:rsidR="00CA5462" w:rsidTr="00267F37">
        <w:trPr>
          <w:trHeight w:hRule="exact" w:val="525"/>
        </w:trPr>
        <w:tc>
          <w:tcPr>
            <w:tcW w:w="5245" w:type="dxa"/>
            <w:shd w:val="clear" w:color="auto" w:fill="auto"/>
            <w:vAlign w:val="center"/>
          </w:tcPr>
          <w:p w:rsidR="00CA5462" w:rsidRDefault="00CA5462"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Fuel Excise Indexation</w:t>
            </w:r>
          </w:p>
        </w:tc>
        <w:tc>
          <w:tcPr>
            <w:tcW w:w="1420" w:type="dxa"/>
            <w:shd w:val="clear" w:color="auto" w:fill="auto"/>
            <w:vAlign w:val="center"/>
          </w:tcPr>
          <w:p w:rsidR="00CA5462" w:rsidRDefault="00CA546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CA5462" w:rsidRDefault="00CA546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CA5462" w:rsidRDefault="00CA546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CA5462" w:rsidRDefault="00617C1C"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$5.0</w:t>
            </w:r>
          </w:p>
        </w:tc>
      </w:tr>
      <w:tr w:rsidR="009A573E" w:rsidTr="00267F37">
        <w:trPr>
          <w:trHeight w:hRule="exact" w:val="525"/>
        </w:trPr>
        <w:tc>
          <w:tcPr>
            <w:tcW w:w="5245" w:type="dxa"/>
            <w:shd w:val="clear" w:color="auto" w:fill="auto"/>
            <w:vAlign w:val="center"/>
          </w:tcPr>
          <w:p w:rsidR="009A573E" w:rsidRPr="00CE130D" w:rsidRDefault="0063080B" w:rsidP="008960F5">
            <w:pPr>
              <w:pStyle w:val="TableParagraph"/>
              <w:kinsoku w:val="0"/>
              <w:overflowPunct w:val="0"/>
              <w:spacing w:before="54" w:line="254" w:lineRule="auto"/>
              <w:ind w:left="170" w:right="102"/>
              <w:rPr>
                <w:rFonts w:ascii="Arial" w:hAnsi="Arial" w:cs="Arial"/>
                <w:spacing w:val="-3"/>
                <w:sz w:val="18"/>
                <w:szCs w:val="18"/>
                <w:highlight w:val="yellow"/>
              </w:rPr>
            </w:pPr>
            <w:r>
              <w:rPr>
                <w:rFonts w:ascii="Arial" w:hAnsi="Arial" w:cs="Arial"/>
                <w:spacing w:val="-3"/>
                <w:sz w:val="18"/>
                <w:szCs w:val="18"/>
              </w:rPr>
              <w:t>Incorporated Small Business Tax C</w:t>
            </w:r>
            <w:r w:rsidR="009A573E" w:rsidRPr="00B63505">
              <w:rPr>
                <w:rFonts w:ascii="Arial" w:hAnsi="Arial" w:cs="Arial"/>
                <w:spacing w:val="-3"/>
                <w:sz w:val="18"/>
                <w:szCs w:val="18"/>
              </w:rPr>
              <w:t xml:space="preserve">ut </w:t>
            </w:r>
          </w:p>
        </w:tc>
        <w:tc>
          <w:tcPr>
            <w:tcW w:w="1420" w:type="dxa"/>
            <w:shd w:val="clear" w:color="auto" w:fill="auto"/>
            <w:vAlign w:val="center"/>
          </w:tcPr>
          <w:p w:rsidR="009A573E" w:rsidRDefault="009A573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9A573E" w:rsidRDefault="00C60C1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9A573E" w:rsidRDefault="00C60C1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9A573E" w:rsidRDefault="00C60C1C"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$3.2</w:t>
            </w:r>
          </w:p>
        </w:tc>
      </w:tr>
      <w:tr w:rsidR="00642D66" w:rsidTr="00267F37">
        <w:trPr>
          <w:trHeight w:hRule="exact" w:val="525"/>
        </w:trPr>
        <w:tc>
          <w:tcPr>
            <w:tcW w:w="5245" w:type="dxa"/>
            <w:shd w:val="clear" w:color="auto" w:fill="auto"/>
            <w:vAlign w:val="center"/>
          </w:tcPr>
          <w:p w:rsidR="00642D66" w:rsidRDefault="00642D66" w:rsidP="008960F5">
            <w:pPr>
              <w:pStyle w:val="TableParagraph"/>
              <w:kinsoku w:val="0"/>
              <w:overflowPunct w:val="0"/>
              <w:spacing w:before="54" w:line="254" w:lineRule="auto"/>
              <w:ind w:left="170" w:right="102"/>
              <w:rPr>
                <w:rFonts w:ascii="Arial" w:hAnsi="Arial" w:cs="Arial"/>
                <w:spacing w:val="-3"/>
                <w:sz w:val="18"/>
                <w:szCs w:val="18"/>
              </w:rPr>
            </w:pPr>
            <w:r w:rsidRPr="003652D9">
              <w:rPr>
                <w:rFonts w:ascii="Arial" w:hAnsi="Arial" w:cs="Arial"/>
                <w:spacing w:val="-3"/>
                <w:sz w:val="18"/>
                <w:szCs w:val="18"/>
              </w:rPr>
              <w:t>Increase in Tobacco Excise</w:t>
            </w:r>
          </w:p>
        </w:tc>
        <w:tc>
          <w:tcPr>
            <w:tcW w:w="1420" w:type="dxa"/>
            <w:shd w:val="clear" w:color="auto" w:fill="auto"/>
            <w:vAlign w:val="center"/>
          </w:tcPr>
          <w:p w:rsidR="00642D66" w:rsidRDefault="00642D6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642D66" w:rsidRDefault="00642D6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Yes </w:t>
            </w:r>
          </w:p>
        </w:tc>
        <w:tc>
          <w:tcPr>
            <w:tcW w:w="1104" w:type="dxa"/>
            <w:shd w:val="clear" w:color="auto" w:fill="auto"/>
            <w:vAlign w:val="center"/>
          </w:tcPr>
          <w:p w:rsidR="00642D66" w:rsidRDefault="00642D66"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vAlign w:val="center"/>
          </w:tcPr>
          <w:p w:rsidR="00642D66" w:rsidRDefault="00642D66"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r w:rsidR="001D4148" w:rsidTr="00267F37">
        <w:trPr>
          <w:trHeight w:hRule="exact" w:val="525"/>
        </w:trPr>
        <w:tc>
          <w:tcPr>
            <w:tcW w:w="5245" w:type="dxa"/>
            <w:shd w:val="clear" w:color="auto" w:fill="auto"/>
            <w:vAlign w:val="center"/>
          </w:tcPr>
          <w:p w:rsidR="001D4148" w:rsidRDefault="001D4148" w:rsidP="008960F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Reducing  Superannuation Compliance Costs for Small Business</w:t>
            </w:r>
          </w:p>
        </w:tc>
        <w:tc>
          <w:tcPr>
            <w:tcW w:w="1420" w:type="dxa"/>
            <w:shd w:val="clear" w:color="auto" w:fill="auto"/>
            <w:vAlign w:val="center"/>
          </w:tcPr>
          <w:p w:rsidR="001D4148" w:rsidRDefault="001D414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Compliant </w:t>
            </w:r>
          </w:p>
        </w:tc>
        <w:tc>
          <w:tcPr>
            <w:tcW w:w="1105" w:type="dxa"/>
            <w:shd w:val="clear" w:color="auto" w:fill="auto"/>
            <w:vAlign w:val="center"/>
          </w:tcPr>
          <w:p w:rsidR="001D4148" w:rsidRDefault="001D414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1D4148" w:rsidRDefault="001D4148"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No </w:t>
            </w:r>
          </w:p>
        </w:tc>
        <w:tc>
          <w:tcPr>
            <w:tcW w:w="1105" w:type="dxa"/>
            <w:vAlign w:val="center"/>
          </w:tcPr>
          <w:p w:rsidR="001D4148" w:rsidRDefault="001D4148"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-$46.4</w:t>
            </w:r>
          </w:p>
        </w:tc>
      </w:tr>
      <w:tr w:rsidR="009A573E" w:rsidTr="00267F37">
        <w:trPr>
          <w:trHeight w:hRule="exact" w:val="525"/>
        </w:trPr>
        <w:tc>
          <w:tcPr>
            <w:tcW w:w="5245" w:type="dxa"/>
            <w:shd w:val="clear" w:color="auto" w:fill="auto"/>
            <w:vAlign w:val="center"/>
          </w:tcPr>
          <w:p w:rsidR="009A573E" w:rsidRDefault="009A573E" w:rsidP="008960F5">
            <w:pPr>
              <w:pStyle w:val="TableParagraph"/>
              <w:kinsoku w:val="0"/>
              <w:overflowPunct w:val="0"/>
              <w:spacing w:before="54" w:line="254" w:lineRule="auto"/>
              <w:ind w:left="170" w:right="102"/>
              <w:rPr>
                <w:rFonts w:ascii="Arial" w:hAnsi="Arial" w:cs="Arial"/>
                <w:spacing w:val="-3"/>
                <w:sz w:val="18"/>
                <w:szCs w:val="18"/>
              </w:rPr>
            </w:pPr>
            <w:r w:rsidRPr="00C6316C">
              <w:rPr>
                <w:rFonts w:ascii="Arial" w:hAnsi="Arial" w:cs="Arial"/>
                <w:spacing w:val="-3"/>
                <w:sz w:val="18"/>
                <w:szCs w:val="18"/>
              </w:rPr>
              <w:t>Uni</w:t>
            </w:r>
            <w:r w:rsidR="0063080B">
              <w:rPr>
                <w:rFonts w:ascii="Arial" w:hAnsi="Arial" w:cs="Arial"/>
                <w:spacing w:val="-3"/>
                <w:sz w:val="18"/>
                <w:szCs w:val="18"/>
              </w:rPr>
              <w:t>ncorporated Small Business Tax D</w:t>
            </w:r>
            <w:r w:rsidRPr="00C6316C">
              <w:rPr>
                <w:rFonts w:ascii="Arial" w:hAnsi="Arial" w:cs="Arial"/>
                <w:spacing w:val="-3"/>
                <w:sz w:val="18"/>
                <w:szCs w:val="18"/>
              </w:rPr>
              <w:t>iscount</w:t>
            </w:r>
            <w:r>
              <w:rPr>
                <w:rFonts w:ascii="Arial" w:hAnsi="Arial" w:cs="Arial"/>
                <w:spacing w:val="-3"/>
                <w:sz w:val="18"/>
                <w:szCs w:val="18"/>
              </w:rPr>
              <w:t xml:space="preserve"> </w:t>
            </w:r>
          </w:p>
        </w:tc>
        <w:tc>
          <w:tcPr>
            <w:tcW w:w="1420" w:type="dxa"/>
            <w:shd w:val="clear" w:color="auto" w:fill="auto"/>
            <w:vAlign w:val="center"/>
          </w:tcPr>
          <w:p w:rsidR="009A573E" w:rsidRDefault="009A573E"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9A573E" w:rsidRDefault="00C60C1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9A573E" w:rsidRDefault="00C60C1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9A573E" w:rsidRDefault="00C60C1C"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$15.6</w:t>
            </w:r>
          </w:p>
        </w:tc>
      </w:tr>
    </w:tbl>
    <w:p w:rsidR="0023720B" w:rsidRDefault="00C45CF7" w:rsidP="00C45CF7">
      <w:pPr>
        <w:pStyle w:val="Sourcenotetext"/>
      </w:pPr>
      <w:r>
        <w:t>totals may not match exactly due to rounding</w:t>
      </w:r>
    </w:p>
    <w:p w:rsidR="0023720B" w:rsidRPr="0023720B" w:rsidRDefault="0023720B" w:rsidP="0023720B"/>
    <w:p w:rsidR="0023720B" w:rsidRPr="0023720B" w:rsidRDefault="0023720B" w:rsidP="0023720B"/>
    <w:p w:rsidR="0023720B" w:rsidRPr="0023720B" w:rsidRDefault="0023720B" w:rsidP="0023720B"/>
    <w:p w:rsidR="0023720B" w:rsidRPr="0023720B" w:rsidRDefault="0023720B" w:rsidP="0023720B"/>
    <w:p w:rsidR="0023720B" w:rsidRPr="0023720B" w:rsidRDefault="0023720B" w:rsidP="0023720B"/>
    <w:p w:rsidR="0023720B" w:rsidRPr="0023720B" w:rsidRDefault="0023720B" w:rsidP="0023720B"/>
    <w:p w:rsidR="002F3056" w:rsidRDefault="00220271" w:rsidP="00730ADC">
      <w:pPr>
        <w:pStyle w:val="Heading2"/>
        <w:rPr>
          <w:noProof/>
        </w:rPr>
      </w:pPr>
      <w:bookmarkStart w:id="129" w:name="_Toc384306618"/>
      <w:bookmarkStart w:id="130" w:name="_Toc379802376"/>
      <w:bookmarkStart w:id="131" w:name="_Toc379801138"/>
      <w:bookmarkStart w:id="132" w:name="_Toc383790361"/>
      <w:bookmarkStart w:id="133" w:name="_Toc384366788"/>
      <w:bookmarkStart w:id="134" w:name="_Toc387412050"/>
      <w:bookmarkStart w:id="135" w:name="_Toc391977611"/>
      <w:bookmarkStart w:id="136" w:name="_Toc391985275"/>
      <w:bookmarkStart w:id="137" w:name="_Toc391985779"/>
      <w:bookmarkStart w:id="138" w:name="_Toc391985817"/>
      <w:bookmarkStart w:id="139" w:name="_Toc392582656"/>
      <w:bookmarkStart w:id="140" w:name="_Toc392583995"/>
      <w:bookmarkStart w:id="141" w:name="_Toc392751706"/>
      <w:bookmarkStart w:id="142" w:name="_Toc392852658"/>
      <w:bookmarkStart w:id="143" w:name="_Toc396743526"/>
      <w:bookmarkStart w:id="144" w:name="_Toc400100729"/>
      <w:bookmarkStart w:id="145" w:name="_Toc400101008"/>
      <w:bookmarkStart w:id="146" w:name="_Toc400104320"/>
      <w:bookmarkStart w:id="147" w:name="_Toc424109897"/>
      <w:bookmarkStart w:id="148" w:name="_Toc426374302"/>
      <w:bookmarkStart w:id="149" w:name="_Toc426536133"/>
      <w:bookmarkStart w:id="150" w:name="_Toc428965503"/>
      <w:r w:rsidRPr="00010B24">
        <w:t>Contents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fldChar w:fldCharType="begin"/>
      </w:r>
      <w:r>
        <w:instrText xml:space="preserve"> TOC \o "1-3" \h \z \u </w:instrText>
      </w:r>
      <w:r>
        <w:fldChar w:fldCharType="separate"/>
      </w:r>
    </w:p>
    <w:p w:rsidR="002F3056" w:rsidRPr="00B41258" w:rsidRDefault="00F46DEB">
      <w:pPr>
        <w:pStyle w:val="TOC3"/>
        <w:tabs>
          <w:tab w:val="right" w:leader="dot" w:pos="9054"/>
        </w:tabs>
        <w:rPr>
          <w:rFonts w:ascii="Calibri" w:hAnsi="Calibri"/>
          <w:noProof/>
          <w:szCs w:val="22"/>
          <w:lang w:eastAsia="en-AU"/>
        </w:rPr>
      </w:pPr>
      <w:hyperlink w:anchor="_Toc428965505" w:history="1">
        <w:r w:rsidR="002F3056" w:rsidRPr="00BD61DF">
          <w:rPr>
            <w:rStyle w:val="Hyperlink"/>
            <w:noProof/>
          </w:rPr>
          <w:t>Department of Agriculture</w:t>
        </w:r>
        <w:r w:rsidR="002F3056">
          <w:rPr>
            <w:noProof/>
            <w:webHidden/>
          </w:rPr>
          <w:tab/>
        </w:r>
        <w:r w:rsidR="002F3056">
          <w:rPr>
            <w:noProof/>
            <w:webHidden/>
          </w:rPr>
          <w:fldChar w:fldCharType="begin"/>
        </w:r>
        <w:r w:rsidR="002F3056">
          <w:rPr>
            <w:noProof/>
            <w:webHidden/>
          </w:rPr>
          <w:instrText xml:space="preserve"> PAGEREF _Toc428965505 \h </w:instrText>
        </w:r>
        <w:r w:rsidR="002F3056">
          <w:rPr>
            <w:noProof/>
            <w:webHidden/>
          </w:rPr>
        </w:r>
        <w:r w:rsidR="002F3056">
          <w:rPr>
            <w:noProof/>
            <w:webHidden/>
          </w:rPr>
          <w:fldChar w:fldCharType="separate"/>
        </w:r>
        <w:r w:rsidR="00846709">
          <w:rPr>
            <w:noProof/>
            <w:webHidden/>
          </w:rPr>
          <w:t>7</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06" w:history="1">
        <w:r w:rsidR="002F3056" w:rsidRPr="00BD61DF">
          <w:rPr>
            <w:rStyle w:val="Hyperlink"/>
            <w:noProof/>
          </w:rPr>
          <w:t>Attorney-General’s Department</w:t>
        </w:r>
        <w:r w:rsidR="002F3056">
          <w:rPr>
            <w:noProof/>
            <w:webHidden/>
          </w:rPr>
          <w:tab/>
        </w:r>
        <w:r w:rsidR="002F3056">
          <w:rPr>
            <w:noProof/>
            <w:webHidden/>
          </w:rPr>
          <w:fldChar w:fldCharType="begin"/>
        </w:r>
        <w:r w:rsidR="002F3056">
          <w:rPr>
            <w:noProof/>
            <w:webHidden/>
          </w:rPr>
          <w:instrText xml:space="preserve"> PAGEREF _Toc428965506 \h </w:instrText>
        </w:r>
        <w:r w:rsidR="002F3056">
          <w:rPr>
            <w:noProof/>
            <w:webHidden/>
          </w:rPr>
        </w:r>
        <w:r w:rsidR="002F3056">
          <w:rPr>
            <w:noProof/>
            <w:webHidden/>
          </w:rPr>
          <w:fldChar w:fldCharType="separate"/>
        </w:r>
        <w:r w:rsidR="00846709">
          <w:rPr>
            <w:noProof/>
            <w:webHidden/>
          </w:rPr>
          <w:t>8</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07" w:history="1">
        <w:r w:rsidR="002F3056" w:rsidRPr="00BD61DF">
          <w:rPr>
            <w:rStyle w:val="Hyperlink"/>
            <w:noProof/>
          </w:rPr>
          <w:t>Department of Communications</w:t>
        </w:r>
        <w:r w:rsidR="002F3056">
          <w:rPr>
            <w:noProof/>
            <w:webHidden/>
          </w:rPr>
          <w:tab/>
        </w:r>
        <w:r w:rsidR="002F3056">
          <w:rPr>
            <w:noProof/>
            <w:webHidden/>
          </w:rPr>
          <w:fldChar w:fldCharType="begin"/>
        </w:r>
        <w:r w:rsidR="002F3056">
          <w:rPr>
            <w:noProof/>
            <w:webHidden/>
          </w:rPr>
          <w:instrText xml:space="preserve"> PAGEREF _Toc428965507 \h </w:instrText>
        </w:r>
        <w:r w:rsidR="002F3056">
          <w:rPr>
            <w:noProof/>
            <w:webHidden/>
          </w:rPr>
        </w:r>
        <w:r w:rsidR="002F3056">
          <w:rPr>
            <w:noProof/>
            <w:webHidden/>
          </w:rPr>
          <w:fldChar w:fldCharType="separate"/>
        </w:r>
        <w:r w:rsidR="00846709">
          <w:rPr>
            <w:noProof/>
            <w:webHidden/>
          </w:rPr>
          <w:t>9</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08" w:history="1">
        <w:r w:rsidR="002F3056" w:rsidRPr="00BD61DF">
          <w:rPr>
            <w:rStyle w:val="Hyperlink"/>
            <w:rFonts w:eastAsia="Calibri"/>
            <w:noProof/>
            <w:lang w:eastAsia="en-AU"/>
          </w:rPr>
          <w:t>Australian Communications and Media Authority</w:t>
        </w:r>
        <w:r w:rsidR="002F3056">
          <w:rPr>
            <w:noProof/>
            <w:webHidden/>
          </w:rPr>
          <w:tab/>
        </w:r>
        <w:r w:rsidR="002F3056">
          <w:rPr>
            <w:noProof/>
            <w:webHidden/>
          </w:rPr>
          <w:fldChar w:fldCharType="begin"/>
        </w:r>
        <w:r w:rsidR="002F3056">
          <w:rPr>
            <w:noProof/>
            <w:webHidden/>
          </w:rPr>
          <w:instrText xml:space="preserve"> PAGEREF _Toc428965508 \h </w:instrText>
        </w:r>
        <w:r w:rsidR="002F3056">
          <w:rPr>
            <w:noProof/>
            <w:webHidden/>
          </w:rPr>
        </w:r>
        <w:r w:rsidR="002F3056">
          <w:rPr>
            <w:noProof/>
            <w:webHidden/>
          </w:rPr>
          <w:fldChar w:fldCharType="separate"/>
        </w:r>
        <w:r w:rsidR="00846709">
          <w:rPr>
            <w:noProof/>
            <w:webHidden/>
          </w:rPr>
          <w:t>11</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09" w:history="1">
        <w:r w:rsidR="002F3056" w:rsidRPr="00BD61DF">
          <w:rPr>
            <w:rStyle w:val="Hyperlink"/>
            <w:noProof/>
          </w:rPr>
          <w:t>Department of Education</w:t>
        </w:r>
        <w:r w:rsidR="002F3056">
          <w:rPr>
            <w:noProof/>
            <w:webHidden/>
          </w:rPr>
          <w:tab/>
        </w:r>
        <w:r w:rsidR="002F3056">
          <w:rPr>
            <w:noProof/>
            <w:webHidden/>
          </w:rPr>
          <w:fldChar w:fldCharType="begin"/>
        </w:r>
        <w:r w:rsidR="002F3056">
          <w:rPr>
            <w:noProof/>
            <w:webHidden/>
          </w:rPr>
          <w:instrText xml:space="preserve"> PAGEREF _Toc428965509 \h </w:instrText>
        </w:r>
        <w:r w:rsidR="002F3056">
          <w:rPr>
            <w:noProof/>
            <w:webHidden/>
          </w:rPr>
        </w:r>
        <w:r w:rsidR="002F3056">
          <w:rPr>
            <w:noProof/>
            <w:webHidden/>
          </w:rPr>
          <w:fldChar w:fldCharType="separate"/>
        </w:r>
        <w:r w:rsidR="00846709">
          <w:rPr>
            <w:noProof/>
            <w:webHidden/>
          </w:rPr>
          <w:t>11</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10" w:history="1">
        <w:r w:rsidR="002F3056" w:rsidRPr="00BD61DF">
          <w:rPr>
            <w:rStyle w:val="Hyperlink"/>
            <w:noProof/>
          </w:rPr>
          <w:t>Department of Employment</w:t>
        </w:r>
        <w:r w:rsidR="002F3056">
          <w:rPr>
            <w:noProof/>
            <w:webHidden/>
          </w:rPr>
          <w:tab/>
        </w:r>
        <w:r w:rsidR="002F3056">
          <w:rPr>
            <w:noProof/>
            <w:webHidden/>
          </w:rPr>
          <w:fldChar w:fldCharType="begin"/>
        </w:r>
        <w:r w:rsidR="002F3056">
          <w:rPr>
            <w:noProof/>
            <w:webHidden/>
          </w:rPr>
          <w:instrText xml:space="preserve"> PAGEREF _Toc428965510 \h </w:instrText>
        </w:r>
        <w:r w:rsidR="002F3056">
          <w:rPr>
            <w:noProof/>
            <w:webHidden/>
          </w:rPr>
        </w:r>
        <w:r w:rsidR="002F3056">
          <w:rPr>
            <w:noProof/>
            <w:webHidden/>
          </w:rPr>
          <w:fldChar w:fldCharType="separate"/>
        </w:r>
        <w:r w:rsidR="00846709">
          <w:rPr>
            <w:noProof/>
            <w:webHidden/>
          </w:rPr>
          <w:t>11</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11" w:history="1">
        <w:r w:rsidR="002F3056" w:rsidRPr="00BD61DF">
          <w:rPr>
            <w:rStyle w:val="Hyperlink"/>
            <w:noProof/>
          </w:rPr>
          <w:t>Department of Environment</w:t>
        </w:r>
        <w:r w:rsidR="002F3056">
          <w:rPr>
            <w:noProof/>
            <w:webHidden/>
          </w:rPr>
          <w:tab/>
        </w:r>
        <w:r w:rsidR="002F3056">
          <w:rPr>
            <w:noProof/>
            <w:webHidden/>
          </w:rPr>
          <w:fldChar w:fldCharType="begin"/>
        </w:r>
        <w:r w:rsidR="002F3056">
          <w:rPr>
            <w:noProof/>
            <w:webHidden/>
          </w:rPr>
          <w:instrText xml:space="preserve"> PAGEREF _Toc428965511 \h </w:instrText>
        </w:r>
        <w:r w:rsidR="002F3056">
          <w:rPr>
            <w:noProof/>
            <w:webHidden/>
          </w:rPr>
        </w:r>
        <w:r w:rsidR="002F3056">
          <w:rPr>
            <w:noProof/>
            <w:webHidden/>
          </w:rPr>
          <w:fldChar w:fldCharType="separate"/>
        </w:r>
        <w:r w:rsidR="00846709">
          <w:rPr>
            <w:noProof/>
            <w:webHidden/>
          </w:rPr>
          <w:t>13</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12" w:history="1">
        <w:r w:rsidR="002F3056" w:rsidRPr="00BD61DF">
          <w:rPr>
            <w:rStyle w:val="Hyperlink"/>
            <w:noProof/>
          </w:rPr>
          <w:t>Department of Foreign Affairs and Trade</w:t>
        </w:r>
        <w:r w:rsidR="002F3056">
          <w:rPr>
            <w:noProof/>
            <w:webHidden/>
          </w:rPr>
          <w:tab/>
        </w:r>
        <w:r w:rsidR="002F3056">
          <w:rPr>
            <w:noProof/>
            <w:webHidden/>
          </w:rPr>
          <w:fldChar w:fldCharType="begin"/>
        </w:r>
        <w:r w:rsidR="002F3056">
          <w:rPr>
            <w:noProof/>
            <w:webHidden/>
          </w:rPr>
          <w:instrText xml:space="preserve"> PAGEREF _Toc428965512 \h </w:instrText>
        </w:r>
        <w:r w:rsidR="002F3056">
          <w:rPr>
            <w:noProof/>
            <w:webHidden/>
          </w:rPr>
        </w:r>
        <w:r w:rsidR="002F3056">
          <w:rPr>
            <w:noProof/>
            <w:webHidden/>
          </w:rPr>
          <w:fldChar w:fldCharType="separate"/>
        </w:r>
        <w:r w:rsidR="00846709">
          <w:rPr>
            <w:noProof/>
            <w:webHidden/>
          </w:rPr>
          <w:t>13</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13" w:history="1">
        <w:r w:rsidR="002F3056" w:rsidRPr="00BD61DF">
          <w:rPr>
            <w:rStyle w:val="Hyperlink"/>
            <w:noProof/>
          </w:rPr>
          <w:t>Department of Health</w:t>
        </w:r>
        <w:r w:rsidR="002F3056">
          <w:rPr>
            <w:noProof/>
            <w:webHidden/>
          </w:rPr>
          <w:tab/>
        </w:r>
        <w:r w:rsidR="002F3056">
          <w:rPr>
            <w:noProof/>
            <w:webHidden/>
          </w:rPr>
          <w:fldChar w:fldCharType="begin"/>
        </w:r>
        <w:r w:rsidR="002F3056">
          <w:rPr>
            <w:noProof/>
            <w:webHidden/>
          </w:rPr>
          <w:instrText xml:space="preserve"> PAGEREF _Toc428965513 \h </w:instrText>
        </w:r>
        <w:r w:rsidR="002F3056">
          <w:rPr>
            <w:noProof/>
            <w:webHidden/>
          </w:rPr>
        </w:r>
        <w:r w:rsidR="002F3056">
          <w:rPr>
            <w:noProof/>
            <w:webHidden/>
          </w:rPr>
          <w:fldChar w:fldCharType="separate"/>
        </w:r>
        <w:r w:rsidR="00846709">
          <w:rPr>
            <w:noProof/>
            <w:webHidden/>
          </w:rPr>
          <w:t>14</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14" w:history="1">
        <w:r w:rsidR="002F3056" w:rsidRPr="00BD61DF">
          <w:rPr>
            <w:rStyle w:val="Hyperlink"/>
            <w:noProof/>
          </w:rPr>
          <w:t>Department of Immigration and Border Protection</w:t>
        </w:r>
        <w:r w:rsidR="002F3056">
          <w:rPr>
            <w:noProof/>
            <w:webHidden/>
          </w:rPr>
          <w:tab/>
        </w:r>
        <w:r w:rsidR="002F3056">
          <w:rPr>
            <w:noProof/>
            <w:webHidden/>
          </w:rPr>
          <w:fldChar w:fldCharType="begin"/>
        </w:r>
        <w:r w:rsidR="002F3056">
          <w:rPr>
            <w:noProof/>
            <w:webHidden/>
          </w:rPr>
          <w:instrText xml:space="preserve"> PAGEREF _Toc428965514 \h </w:instrText>
        </w:r>
        <w:r w:rsidR="002F3056">
          <w:rPr>
            <w:noProof/>
            <w:webHidden/>
          </w:rPr>
        </w:r>
        <w:r w:rsidR="002F3056">
          <w:rPr>
            <w:noProof/>
            <w:webHidden/>
          </w:rPr>
          <w:fldChar w:fldCharType="separate"/>
        </w:r>
        <w:r w:rsidR="00846709">
          <w:rPr>
            <w:noProof/>
            <w:webHidden/>
          </w:rPr>
          <w:t>15</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15" w:history="1">
        <w:r w:rsidR="002F3056" w:rsidRPr="00BD61DF">
          <w:rPr>
            <w:rStyle w:val="Hyperlink"/>
            <w:noProof/>
          </w:rPr>
          <w:t>Department of Industry</w:t>
        </w:r>
        <w:r w:rsidR="002F3056">
          <w:rPr>
            <w:noProof/>
            <w:webHidden/>
          </w:rPr>
          <w:tab/>
        </w:r>
        <w:r w:rsidR="002F3056">
          <w:rPr>
            <w:noProof/>
            <w:webHidden/>
          </w:rPr>
          <w:fldChar w:fldCharType="begin"/>
        </w:r>
        <w:r w:rsidR="002F3056">
          <w:rPr>
            <w:noProof/>
            <w:webHidden/>
          </w:rPr>
          <w:instrText xml:space="preserve"> PAGEREF _Toc428965515 \h </w:instrText>
        </w:r>
        <w:r w:rsidR="002F3056">
          <w:rPr>
            <w:noProof/>
            <w:webHidden/>
          </w:rPr>
        </w:r>
        <w:r w:rsidR="002F3056">
          <w:rPr>
            <w:noProof/>
            <w:webHidden/>
          </w:rPr>
          <w:fldChar w:fldCharType="separate"/>
        </w:r>
        <w:r w:rsidR="00846709">
          <w:rPr>
            <w:noProof/>
            <w:webHidden/>
          </w:rPr>
          <w:t>16</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16" w:history="1">
        <w:r w:rsidR="002F3056" w:rsidRPr="00BD61DF">
          <w:rPr>
            <w:rStyle w:val="Hyperlink"/>
            <w:noProof/>
          </w:rPr>
          <w:t>Department of Infrastructure and Regional Development</w:t>
        </w:r>
        <w:r w:rsidR="002F3056">
          <w:rPr>
            <w:noProof/>
            <w:webHidden/>
          </w:rPr>
          <w:tab/>
        </w:r>
        <w:r w:rsidR="002F3056">
          <w:rPr>
            <w:noProof/>
            <w:webHidden/>
          </w:rPr>
          <w:fldChar w:fldCharType="begin"/>
        </w:r>
        <w:r w:rsidR="002F3056">
          <w:rPr>
            <w:noProof/>
            <w:webHidden/>
          </w:rPr>
          <w:instrText xml:space="preserve"> PAGEREF _Toc428965516 \h </w:instrText>
        </w:r>
        <w:r w:rsidR="002F3056">
          <w:rPr>
            <w:noProof/>
            <w:webHidden/>
          </w:rPr>
        </w:r>
        <w:r w:rsidR="002F3056">
          <w:rPr>
            <w:noProof/>
            <w:webHidden/>
          </w:rPr>
          <w:fldChar w:fldCharType="separate"/>
        </w:r>
        <w:r w:rsidR="00846709">
          <w:rPr>
            <w:noProof/>
            <w:webHidden/>
          </w:rPr>
          <w:t>17</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17" w:history="1">
        <w:r w:rsidR="002F3056" w:rsidRPr="00BD61DF">
          <w:rPr>
            <w:rStyle w:val="Hyperlink"/>
            <w:rFonts w:eastAsia="Calibri"/>
            <w:noProof/>
          </w:rPr>
          <w:t>Australian Accounting Standards Board</w:t>
        </w:r>
        <w:r w:rsidR="002F3056">
          <w:rPr>
            <w:noProof/>
            <w:webHidden/>
          </w:rPr>
          <w:tab/>
        </w:r>
        <w:r w:rsidR="002F3056">
          <w:rPr>
            <w:noProof/>
            <w:webHidden/>
          </w:rPr>
          <w:fldChar w:fldCharType="begin"/>
        </w:r>
        <w:r w:rsidR="002F3056">
          <w:rPr>
            <w:noProof/>
            <w:webHidden/>
          </w:rPr>
          <w:instrText xml:space="preserve"> PAGEREF _Toc428965517 \h </w:instrText>
        </w:r>
        <w:r w:rsidR="002F3056">
          <w:rPr>
            <w:noProof/>
            <w:webHidden/>
          </w:rPr>
        </w:r>
        <w:r w:rsidR="002F3056">
          <w:rPr>
            <w:noProof/>
            <w:webHidden/>
          </w:rPr>
          <w:fldChar w:fldCharType="separate"/>
        </w:r>
        <w:r w:rsidR="00846709">
          <w:rPr>
            <w:noProof/>
            <w:webHidden/>
          </w:rPr>
          <w:t>17</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18" w:history="1">
        <w:r w:rsidR="002F3056" w:rsidRPr="00BD61DF">
          <w:rPr>
            <w:rStyle w:val="Hyperlink"/>
            <w:rFonts w:eastAsia="Calibri"/>
            <w:noProof/>
          </w:rPr>
          <w:t>Australian Competition and Consumer Commission</w:t>
        </w:r>
        <w:r w:rsidR="002F3056">
          <w:rPr>
            <w:noProof/>
            <w:webHidden/>
          </w:rPr>
          <w:tab/>
        </w:r>
        <w:r w:rsidR="002F3056">
          <w:rPr>
            <w:noProof/>
            <w:webHidden/>
          </w:rPr>
          <w:fldChar w:fldCharType="begin"/>
        </w:r>
        <w:r w:rsidR="002F3056">
          <w:rPr>
            <w:noProof/>
            <w:webHidden/>
          </w:rPr>
          <w:instrText xml:space="preserve"> PAGEREF _Toc428965518 \h </w:instrText>
        </w:r>
        <w:r w:rsidR="002F3056">
          <w:rPr>
            <w:noProof/>
            <w:webHidden/>
          </w:rPr>
        </w:r>
        <w:r w:rsidR="002F3056">
          <w:rPr>
            <w:noProof/>
            <w:webHidden/>
          </w:rPr>
          <w:fldChar w:fldCharType="separate"/>
        </w:r>
        <w:r w:rsidR="00846709">
          <w:rPr>
            <w:noProof/>
            <w:webHidden/>
          </w:rPr>
          <w:t>18</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19" w:history="1">
        <w:r w:rsidR="002F3056" w:rsidRPr="002F3056">
          <w:rPr>
            <w:rStyle w:val="Hyperlink"/>
            <w:bCs/>
            <w:noProof/>
            <w:spacing w:val="-6"/>
          </w:rPr>
          <w:t>Australian Prudential Regulation Authority</w:t>
        </w:r>
        <w:r w:rsidR="002F3056">
          <w:rPr>
            <w:noProof/>
            <w:webHidden/>
          </w:rPr>
          <w:tab/>
        </w:r>
        <w:r w:rsidR="002F3056">
          <w:rPr>
            <w:noProof/>
            <w:webHidden/>
          </w:rPr>
          <w:fldChar w:fldCharType="begin"/>
        </w:r>
        <w:r w:rsidR="002F3056">
          <w:rPr>
            <w:noProof/>
            <w:webHidden/>
          </w:rPr>
          <w:instrText xml:space="preserve"> PAGEREF _Toc428965519 \h </w:instrText>
        </w:r>
        <w:r w:rsidR="002F3056">
          <w:rPr>
            <w:noProof/>
            <w:webHidden/>
          </w:rPr>
        </w:r>
        <w:r w:rsidR="002F3056">
          <w:rPr>
            <w:noProof/>
            <w:webHidden/>
          </w:rPr>
          <w:fldChar w:fldCharType="separate"/>
        </w:r>
        <w:r w:rsidR="00846709">
          <w:rPr>
            <w:noProof/>
            <w:webHidden/>
          </w:rPr>
          <w:t>18</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21" w:history="1">
        <w:r w:rsidR="002F3056" w:rsidRPr="00BD61DF">
          <w:rPr>
            <w:rStyle w:val="Hyperlink"/>
            <w:rFonts w:eastAsia="Calibri"/>
            <w:noProof/>
          </w:rPr>
          <w:t>Australian Securities and Investments Commission</w:t>
        </w:r>
        <w:r w:rsidR="002F3056">
          <w:rPr>
            <w:noProof/>
            <w:webHidden/>
          </w:rPr>
          <w:tab/>
        </w:r>
        <w:r w:rsidR="002F3056">
          <w:rPr>
            <w:noProof/>
            <w:webHidden/>
          </w:rPr>
          <w:fldChar w:fldCharType="begin"/>
        </w:r>
        <w:r w:rsidR="002F3056">
          <w:rPr>
            <w:noProof/>
            <w:webHidden/>
          </w:rPr>
          <w:instrText xml:space="preserve"> PAGEREF _Toc428965521 \h </w:instrText>
        </w:r>
        <w:r w:rsidR="002F3056">
          <w:rPr>
            <w:noProof/>
            <w:webHidden/>
          </w:rPr>
        </w:r>
        <w:r w:rsidR="002F3056">
          <w:rPr>
            <w:noProof/>
            <w:webHidden/>
          </w:rPr>
          <w:fldChar w:fldCharType="separate"/>
        </w:r>
        <w:r w:rsidR="00846709">
          <w:rPr>
            <w:noProof/>
            <w:webHidden/>
          </w:rPr>
          <w:t>19</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23" w:history="1">
        <w:r w:rsidR="002F3056" w:rsidRPr="002F3056">
          <w:rPr>
            <w:rStyle w:val="Hyperlink"/>
            <w:bCs/>
            <w:noProof/>
            <w:spacing w:val="-6"/>
          </w:rPr>
          <w:t>Australian Taxation Office</w:t>
        </w:r>
        <w:r w:rsidR="002F3056">
          <w:rPr>
            <w:noProof/>
            <w:webHidden/>
          </w:rPr>
          <w:tab/>
        </w:r>
        <w:r w:rsidR="002F3056">
          <w:rPr>
            <w:noProof/>
            <w:webHidden/>
          </w:rPr>
          <w:fldChar w:fldCharType="begin"/>
        </w:r>
        <w:r w:rsidR="002F3056">
          <w:rPr>
            <w:noProof/>
            <w:webHidden/>
          </w:rPr>
          <w:instrText xml:space="preserve"> PAGEREF _Toc428965523 \h </w:instrText>
        </w:r>
        <w:r w:rsidR="002F3056">
          <w:rPr>
            <w:noProof/>
            <w:webHidden/>
          </w:rPr>
        </w:r>
        <w:r w:rsidR="002F3056">
          <w:rPr>
            <w:noProof/>
            <w:webHidden/>
          </w:rPr>
          <w:fldChar w:fldCharType="separate"/>
        </w:r>
        <w:r w:rsidR="00846709">
          <w:rPr>
            <w:noProof/>
            <w:webHidden/>
          </w:rPr>
          <w:t>20</w:t>
        </w:r>
        <w:r w:rsidR="002F3056">
          <w:rPr>
            <w:noProof/>
            <w:webHidden/>
          </w:rPr>
          <w:fldChar w:fldCharType="end"/>
        </w:r>
      </w:hyperlink>
    </w:p>
    <w:p w:rsidR="002F3056" w:rsidRPr="00B41258" w:rsidRDefault="00F46DEB">
      <w:pPr>
        <w:pStyle w:val="TOC3"/>
        <w:tabs>
          <w:tab w:val="right" w:leader="dot" w:pos="9054"/>
        </w:tabs>
        <w:rPr>
          <w:rFonts w:ascii="Calibri" w:hAnsi="Calibri"/>
          <w:noProof/>
          <w:szCs w:val="22"/>
          <w:lang w:eastAsia="en-AU"/>
        </w:rPr>
      </w:pPr>
      <w:hyperlink w:anchor="_Toc428965524" w:history="1">
        <w:r w:rsidR="002F3056" w:rsidRPr="00BD61DF">
          <w:rPr>
            <w:rStyle w:val="Hyperlink"/>
            <w:rFonts w:eastAsia="Calibri"/>
            <w:noProof/>
          </w:rPr>
          <w:t>The Treasury</w:t>
        </w:r>
        <w:r w:rsidR="002F3056">
          <w:rPr>
            <w:noProof/>
            <w:webHidden/>
          </w:rPr>
          <w:tab/>
        </w:r>
        <w:r w:rsidR="002F3056">
          <w:rPr>
            <w:noProof/>
            <w:webHidden/>
          </w:rPr>
          <w:fldChar w:fldCharType="begin"/>
        </w:r>
        <w:r w:rsidR="002F3056">
          <w:rPr>
            <w:noProof/>
            <w:webHidden/>
          </w:rPr>
          <w:instrText xml:space="preserve"> PAGEREF _Toc428965524 \h </w:instrText>
        </w:r>
        <w:r w:rsidR="002F3056">
          <w:rPr>
            <w:noProof/>
            <w:webHidden/>
          </w:rPr>
        </w:r>
        <w:r w:rsidR="002F3056">
          <w:rPr>
            <w:noProof/>
            <w:webHidden/>
          </w:rPr>
          <w:fldChar w:fldCharType="separate"/>
        </w:r>
        <w:r w:rsidR="00846709">
          <w:rPr>
            <w:noProof/>
            <w:webHidden/>
          </w:rPr>
          <w:t>20</w:t>
        </w:r>
        <w:r w:rsidR="002F3056">
          <w:rPr>
            <w:noProof/>
            <w:webHidden/>
          </w:rPr>
          <w:fldChar w:fldCharType="end"/>
        </w:r>
      </w:hyperlink>
    </w:p>
    <w:p w:rsidR="002F3056" w:rsidRPr="00B41258" w:rsidRDefault="00F46DEB">
      <w:pPr>
        <w:pStyle w:val="TOC2"/>
        <w:tabs>
          <w:tab w:val="right" w:leader="dot" w:pos="9054"/>
        </w:tabs>
        <w:rPr>
          <w:rFonts w:ascii="Calibri" w:hAnsi="Calibri"/>
          <w:noProof/>
          <w:szCs w:val="22"/>
          <w:lang w:eastAsia="en-AU"/>
        </w:rPr>
      </w:pPr>
      <w:hyperlink w:anchor="_Toc428965531" w:history="1">
        <w:r w:rsidR="002F3056" w:rsidRPr="00BD61DF">
          <w:rPr>
            <w:rStyle w:val="Hyperlink"/>
            <w:noProof/>
          </w:rPr>
          <w:t>Appendix A – RISs used for consultation during 2014-2015</w:t>
        </w:r>
        <w:r w:rsidR="002F3056">
          <w:rPr>
            <w:noProof/>
            <w:webHidden/>
          </w:rPr>
          <w:tab/>
        </w:r>
        <w:r w:rsidR="002F3056">
          <w:rPr>
            <w:noProof/>
            <w:webHidden/>
          </w:rPr>
          <w:fldChar w:fldCharType="begin"/>
        </w:r>
        <w:r w:rsidR="002F3056">
          <w:rPr>
            <w:noProof/>
            <w:webHidden/>
          </w:rPr>
          <w:instrText xml:space="preserve"> PAGEREF _Toc428965531 \h </w:instrText>
        </w:r>
        <w:r w:rsidR="002F3056">
          <w:rPr>
            <w:noProof/>
            <w:webHidden/>
          </w:rPr>
        </w:r>
        <w:r w:rsidR="002F3056">
          <w:rPr>
            <w:noProof/>
            <w:webHidden/>
          </w:rPr>
          <w:fldChar w:fldCharType="separate"/>
        </w:r>
        <w:r w:rsidR="00846709">
          <w:rPr>
            <w:noProof/>
            <w:webHidden/>
          </w:rPr>
          <w:t>22</w:t>
        </w:r>
        <w:r w:rsidR="002F3056">
          <w:rPr>
            <w:noProof/>
            <w:webHidden/>
          </w:rPr>
          <w:fldChar w:fldCharType="end"/>
        </w:r>
      </w:hyperlink>
    </w:p>
    <w:p w:rsidR="00220271" w:rsidRPr="00B1278D" w:rsidRDefault="00220271" w:rsidP="00FC59ED">
      <w:pPr>
        <w:ind w:firstLine="220"/>
      </w:pPr>
      <w:r>
        <w:rPr>
          <w:b/>
          <w:bCs/>
          <w:noProof/>
        </w:rPr>
        <w:fldChar w:fldCharType="end"/>
      </w:r>
    </w:p>
    <w:p w:rsidR="00730ADC" w:rsidRDefault="00220271" w:rsidP="00730ADC">
      <w:pPr>
        <w:pStyle w:val="Heading2"/>
      </w:pPr>
      <w:r>
        <w:br w:type="page"/>
      </w:r>
      <w:bookmarkStart w:id="151" w:name="_Toc426374303"/>
      <w:bookmarkStart w:id="152" w:name="_Toc426536134"/>
      <w:bookmarkStart w:id="153" w:name="_Toc428965504"/>
      <w:bookmarkStart w:id="154" w:name="_Toc379536795"/>
      <w:r w:rsidR="00730ADC">
        <w:lastRenderedPageBreak/>
        <w:t>Detailed information</w:t>
      </w:r>
      <w:bookmarkEnd w:id="151"/>
      <w:bookmarkEnd w:id="152"/>
      <w:bookmarkEnd w:id="153"/>
    </w:p>
    <w:p w:rsidR="006040B4" w:rsidRPr="00987990" w:rsidRDefault="006040B4" w:rsidP="006040B4">
      <w:pPr>
        <w:pStyle w:val="Heading3"/>
      </w:pPr>
      <w:bookmarkStart w:id="155" w:name="_Toc400104325"/>
      <w:bookmarkStart w:id="156" w:name="_Toc428965505"/>
      <w:r w:rsidRPr="00987990">
        <w:t>Department of Agriculture</w:t>
      </w:r>
      <w:bookmarkEnd w:id="155"/>
      <w:bookmarkEnd w:id="156"/>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6040B4" w:rsidTr="008960F5">
        <w:trPr>
          <w:tblHeader/>
        </w:trPr>
        <w:tc>
          <w:tcPr>
            <w:tcW w:w="5420" w:type="dxa"/>
            <w:shd w:val="clear" w:color="auto" w:fill="F4973F"/>
            <w:vAlign w:val="center"/>
          </w:tcPr>
          <w:p w:rsidR="006040B4" w:rsidRPr="00987990" w:rsidRDefault="006040B4" w:rsidP="008960F5">
            <w:pPr>
              <w:pStyle w:val="TableParagraph"/>
              <w:kinsoku w:val="0"/>
              <w:overflowPunct w:val="0"/>
              <w:spacing w:beforeLines="60" w:before="144" w:after="60"/>
              <w:ind w:left="85"/>
              <w:rPr>
                <w:sz w:val="18"/>
                <w:szCs w:val="18"/>
              </w:rPr>
            </w:pPr>
            <w:r w:rsidRPr="00987990">
              <w:rPr>
                <w:rFonts w:ascii="Arial" w:hAnsi="Arial" w:cs="Arial"/>
                <w:color w:val="FFFFFF"/>
                <w:w w:val="105"/>
                <w:sz w:val="18"/>
                <w:szCs w:val="18"/>
              </w:rPr>
              <w:t>Proposal</w:t>
            </w:r>
          </w:p>
        </w:tc>
        <w:tc>
          <w:tcPr>
            <w:tcW w:w="1245" w:type="dxa"/>
            <w:shd w:val="clear" w:color="auto" w:fill="F4973F"/>
            <w:vAlign w:val="center"/>
          </w:tcPr>
          <w:p w:rsidR="006040B4" w:rsidRPr="00987990" w:rsidRDefault="006040B4" w:rsidP="008960F5">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RIS Status</w:t>
            </w:r>
          </w:p>
        </w:tc>
        <w:tc>
          <w:tcPr>
            <w:tcW w:w="1105" w:type="dxa"/>
            <w:shd w:val="clear" w:color="auto" w:fill="F4973F"/>
            <w:vAlign w:val="center"/>
          </w:tcPr>
          <w:p w:rsidR="006040B4" w:rsidRPr="00987990" w:rsidRDefault="006040B4" w:rsidP="008960F5">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 xml:space="preserve">Best </w:t>
            </w:r>
            <w:r w:rsidRPr="00987990">
              <w:rPr>
                <w:rFonts w:ascii="Arial" w:hAnsi="Arial" w:cs="Arial"/>
                <w:color w:val="FFFFFF"/>
                <w:w w:val="105"/>
                <w:sz w:val="18"/>
                <w:szCs w:val="18"/>
              </w:rPr>
              <w:br/>
              <w:t>practice</w:t>
            </w:r>
          </w:p>
        </w:tc>
        <w:tc>
          <w:tcPr>
            <w:tcW w:w="1104" w:type="dxa"/>
            <w:shd w:val="clear" w:color="auto" w:fill="F4973F"/>
            <w:vAlign w:val="center"/>
          </w:tcPr>
          <w:p w:rsidR="006040B4" w:rsidRPr="00987990" w:rsidRDefault="006040B4" w:rsidP="008960F5">
            <w:pPr>
              <w:pStyle w:val="TableParagraph"/>
              <w:kinsoku w:val="0"/>
              <w:overflowPunct w:val="0"/>
              <w:spacing w:beforeLines="60" w:before="144" w:after="60"/>
              <w:jc w:val="center"/>
              <w:rPr>
                <w:sz w:val="18"/>
                <w:szCs w:val="18"/>
              </w:rPr>
            </w:pPr>
            <w:r w:rsidRPr="00987990">
              <w:rPr>
                <w:rFonts w:ascii="Arial" w:hAnsi="Arial" w:cs="Arial"/>
                <w:color w:val="FFFFFF"/>
                <w:w w:val="105"/>
                <w:sz w:val="18"/>
                <w:szCs w:val="18"/>
              </w:rPr>
              <w:t xml:space="preserve">PIR </w:t>
            </w:r>
            <w:r w:rsidRPr="00987990">
              <w:rPr>
                <w:rFonts w:ascii="Arial" w:hAnsi="Arial" w:cs="Arial"/>
                <w:color w:val="FFFFFF"/>
                <w:w w:val="105"/>
                <w:sz w:val="18"/>
                <w:szCs w:val="18"/>
              </w:rPr>
              <w:br/>
              <w:t>required</w:t>
            </w:r>
          </w:p>
        </w:tc>
        <w:tc>
          <w:tcPr>
            <w:tcW w:w="1105" w:type="dxa"/>
            <w:shd w:val="clear" w:color="auto" w:fill="F4973F"/>
            <w:vAlign w:val="center"/>
          </w:tcPr>
          <w:p w:rsidR="006040B4" w:rsidRPr="00987990" w:rsidRDefault="00F96E4B" w:rsidP="008960F5">
            <w:pPr>
              <w:pStyle w:val="TableParagraph"/>
              <w:kinsoku w:val="0"/>
              <w:overflowPunct w:val="0"/>
              <w:spacing w:beforeLines="60" w:before="144" w:after="60"/>
              <w:jc w:val="center"/>
              <w:rPr>
                <w:rFonts w:ascii="Arial" w:hAnsi="Arial" w:cs="Arial"/>
                <w:color w:val="FFFFFF"/>
                <w:w w:val="105"/>
                <w:sz w:val="18"/>
                <w:szCs w:val="18"/>
              </w:rPr>
            </w:pPr>
            <w:r w:rsidRPr="00987990">
              <w:rPr>
                <w:rFonts w:ascii="Arial" w:hAnsi="Arial" w:cs="Arial"/>
                <w:color w:val="FFFFFF"/>
                <w:w w:val="105"/>
                <w:sz w:val="18"/>
                <w:szCs w:val="18"/>
              </w:rPr>
              <w:t>Regulatory Burden</w:t>
            </w:r>
            <w:r w:rsidR="006040B4" w:rsidRPr="00987990">
              <w:rPr>
                <w:rFonts w:ascii="Arial" w:hAnsi="Arial" w:cs="Arial"/>
                <w:color w:val="FFFFFF"/>
                <w:w w:val="105"/>
                <w:sz w:val="18"/>
                <w:szCs w:val="18"/>
              </w:rPr>
              <w:t xml:space="preserve"> ($m)</w:t>
            </w:r>
          </w:p>
        </w:tc>
      </w:tr>
      <w:tr w:rsidR="006040B4" w:rsidTr="008960F5">
        <w:trPr>
          <w:trHeight w:hRule="exact" w:val="525"/>
        </w:trPr>
        <w:tc>
          <w:tcPr>
            <w:tcW w:w="5420" w:type="dxa"/>
            <w:shd w:val="clear" w:color="auto" w:fill="auto"/>
            <w:vAlign w:val="center"/>
          </w:tcPr>
          <w:p w:rsidR="006040B4" w:rsidRPr="00987990" w:rsidRDefault="006040B4" w:rsidP="008960F5">
            <w:pPr>
              <w:pStyle w:val="TableParagraph"/>
              <w:kinsoku w:val="0"/>
              <w:overflowPunct w:val="0"/>
              <w:spacing w:before="54" w:line="254" w:lineRule="auto"/>
              <w:ind w:left="170" w:right="102"/>
              <w:rPr>
                <w:rFonts w:ascii="Arial" w:hAnsi="Arial" w:cs="Arial"/>
                <w:spacing w:val="-3"/>
                <w:sz w:val="18"/>
                <w:szCs w:val="18"/>
              </w:rPr>
            </w:pPr>
            <w:r w:rsidRPr="00987990">
              <w:rPr>
                <w:rFonts w:ascii="Arial" w:hAnsi="Arial" w:cs="Arial"/>
                <w:spacing w:val="-3"/>
                <w:sz w:val="18"/>
                <w:szCs w:val="18"/>
              </w:rPr>
              <w:t>Biosecurity legislation</w:t>
            </w:r>
          </w:p>
        </w:tc>
        <w:tc>
          <w:tcPr>
            <w:tcW w:w="1245" w:type="dxa"/>
            <w:shd w:val="clear" w:color="auto" w:fill="auto"/>
            <w:vAlign w:val="center"/>
          </w:tcPr>
          <w:p w:rsidR="006040B4" w:rsidRPr="00987990" w:rsidRDefault="006040B4" w:rsidP="008960F5">
            <w:pPr>
              <w:pStyle w:val="TableParagraph"/>
              <w:kinsoku w:val="0"/>
              <w:overflowPunct w:val="0"/>
              <w:spacing w:before="54"/>
              <w:jc w:val="center"/>
              <w:rPr>
                <w:rFonts w:ascii="Arial" w:hAnsi="Arial" w:cs="Arial"/>
                <w:spacing w:val="-2"/>
                <w:w w:val="90"/>
                <w:sz w:val="18"/>
                <w:szCs w:val="18"/>
              </w:rPr>
            </w:pPr>
            <w:r w:rsidRPr="00987990">
              <w:rPr>
                <w:rFonts w:ascii="Arial" w:hAnsi="Arial" w:cs="Arial"/>
                <w:spacing w:val="-3"/>
                <w:sz w:val="18"/>
                <w:szCs w:val="18"/>
              </w:rPr>
              <w:t>Compliant</w:t>
            </w:r>
          </w:p>
        </w:tc>
        <w:tc>
          <w:tcPr>
            <w:tcW w:w="1105" w:type="dxa"/>
            <w:shd w:val="clear" w:color="auto" w:fill="auto"/>
            <w:vAlign w:val="center"/>
          </w:tcPr>
          <w:p w:rsidR="006040B4" w:rsidRPr="00987990" w:rsidRDefault="006040B4" w:rsidP="008960F5">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Yes</w:t>
            </w:r>
          </w:p>
        </w:tc>
        <w:tc>
          <w:tcPr>
            <w:tcW w:w="1104" w:type="dxa"/>
            <w:shd w:val="clear" w:color="auto" w:fill="auto"/>
            <w:vAlign w:val="center"/>
          </w:tcPr>
          <w:p w:rsidR="006040B4" w:rsidRPr="00987990" w:rsidRDefault="006040B4" w:rsidP="008960F5">
            <w:pPr>
              <w:pStyle w:val="TableParagraph"/>
              <w:kinsoku w:val="0"/>
              <w:overflowPunct w:val="0"/>
              <w:spacing w:before="54"/>
              <w:jc w:val="center"/>
              <w:rPr>
                <w:rFonts w:ascii="Arial" w:hAnsi="Arial" w:cs="Arial"/>
                <w:w w:val="85"/>
                <w:sz w:val="18"/>
                <w:szCs w:val="18"/>
              </w:rPr>
            </w:pPr>
            <w:r w:rsidRPr="00987990">
              <w:rPr>
                <w:rFonts w:ascii="Arial" w:hAnsi="Arial" w:cs="Arial"/>
                <w:spacing w:val="-3"/>
                <w:sz w:val="18"/>
                <w:szCs w:val="18"/>
              </w:rPr>
              <w:t>No</w:t>
            </w:r>
          </w:p>
        </w:tc>
        <w:tc>
          <w:tcPr>
            <w:tcW w:w="1105" w:type="dxa"/>
            <w:vAlign w:val="center"/>
          </w:tcPr>
          <w:p w:rsidR="006040B4" w:rsidRPr="00987990" w:rsidRDefault="006040B4" w:rsidP="008960F5">
            <w:pPr>
              <w:pStyle w:val="TableParagraph"/>
              <w:kinsoku w:val="0"/>
              <w:overflowPunct w:val="0"/>
              <w:spacing w:before="54"/>
              <w:ind w:right="227"/>
              <w:jc w:val="right"/>
              <w:rPr>
                <w:rFonts w:ascii="Arial" w:hAnsi="Arial" w:cs="Arial"/>
                <w:spacing w:val="-3"/>
                <w:sz w:val="18"/>
                <w:szCs w:val="18"/>
              </w:rPr>
            </w:pPr>
            <w:r w:rsidRPr="00987990">
              <w:rPr>
                <w:rFonts w:ascii="Arial" w:hAnsi="Arial" w:cs="Arial"/>
                <w:spacing w:val="-3"/>
                <w:sz w:val="18"/>
                <w:szCs w:val="18"/>
              </w:rPr>
              <w:t>-$6.9</w:t>
            </w:r>
          </w:p>
        </w:tc>
      </w:tr>
    </w:tbl>
    <w:p w:rsidR="006040B4" w:rsidRPr="00987990" w:rsidRDefault="00F96E4B" w:rsidP="00EC4423">
      <w:pPr>
        <w:pStyle w:val="BodyText1"/>
        <w:spacing w:before="240"/>
        <w:rPr>
          <w:sz w:val="20"/>
          <w:szCs w:val="20"/>
        </w:rPr>
      </w:pPr>
      <w:r w:rsidRPr="00987990">
        <w:rPr>
          <w:sz w:val="20"/>
          <w:szCs w:val="20"/>
        </w:rPr>
        <w:t>T</w:t>
      </w:r>
      <w:r w:rsidR="006040B4" w:rsidRPr="00987990">
        <w:rPr>
          <w:sz w:val="20"/>
          <w:szCs w:val="20"/>
        </w:rPr>
        <w:t xml:space="preserve">he </w:t>
      </w:r>
      <w:r w:rsidR="006040B4" w:rsidRPr="00987990">
        <w:rPr>
          <w:i/>
          <w:sz w:val="20"/>
          <w:szCs w:val="20"/>
        </w:rPr>
        <w:t>Biosecurity Bill 2014</w:t>
      </w:r>
      <w:r w:rsidR="006040B4" w:rsidRPr="00987990">
        <w:rPr>
          <w:sz w:val="20"/>
          <w:szCs w:val="20"/>
        </w:rPr>
        <w:t xml:space="preserve"> will replace the </w:t>
      </w:r>
      <w:r w:rsidR="006040B4" w:rsidRPr="00987990">
        <w:rPr>
          <w:i/>
          <w:sz w:val="20"/>
          <w:szCs w:val="20"/>
        </w:rPr>
        <w:t>Quarantine Act 1908</w:t>
      </w:r>
      <w:r w:rsidR="006040B4" w:rsidRPr="00987990">
        <w:rPr>
          <w:sz w:val="20"/>
          <w:szCs w:val="20"/>
        </w:rPr>
        <w:t>. The proposed legislation provides a more flexible risk</w:t>
      </w:r>
      <w:r w:rsidR="006040B4" w:rsidRPr="00987990">
        <w:rPr>
          <w:sz w:val="20"/>
          <w:szCs w:val="20"/>
        </w:rPr>
        <w:noBreakHyphen/>
        <w:t>based approach to compliance, which will cost businesses less to administer and improve Australia’s biosecurity risk management. The legislation encourages industry participants to actively manage biosecurity risk in return for a commercial advantage.</w:t>
      </w:r>
    </w:p>
    <w:p w:rsidR="00127EDB" w:rsidRPr="00987990" w:rsidRDefault="00EB2632" w:rsidP="00920E82">
      <w:pPr>
        <w:pStyle w:val="BodyText1"/>
        <w:spacing w:before="240"/>
        <w:rPr>
          <w:sz w:val="20"/>
          <w:szCs w:val="20"/>
        </w:rPr>
      </w:pPr>
      <w:r w:rsidRPr="00987990">
        <w:rPr>
          <w:sz w:val="20"/>
          <w:szCs w:val="20"/>
        </w:rPr>
        <w:t>The Department of Agriculture has</w:t>
      </w:r>
      <w:r w:rsidR="006040B4" w:rsidRPr="00987990">
        <w:rPr>
          <w:sz w:val="20"/>
          <w:szCs w:val="20"/>
        </w:rPr>
        <w:t xml:space="preserve"> esti</w:t>
      </w:r>
      <w:r w:rsidRPr="00987990">
        <w:rPr>
          <w:sz w:val="20"/>
          <w:szCs w:val="20"/>
        </w:rPr>
        <w:t>mated regulatory cost savings of</w:t>
      </w:r>
      <w:r w:rsidR="006040B4" w:rsidRPr="00987990">
        <w:rPr>
          <w:sz w:val="20"/>
          <w:szCs w:val="20"/>
        </w:rPr>
        <w:t xml:space="preserve"> $6.9 million per annum. However the compliance cost burden on some industry participants is estimated to increase. This is primarily through the increased regulation to manage the biosecurity risk associated with bal</w:t>
      </w:r>
      <w:r w:rsidR="0039755B" w:rsidRPr="00987990">
        <w:rPr>
          <w:sz w:val="20"/>
          <w:szCs w:val="20"/>
        </w:rPr>
        <w:t>last water on domestic vessels.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596A8C" w:rsidTr="00E76009">
        <w:trPr>
          <w:tblHeader/>
        </w:trPr>
        <w:tc>
          <w:tcPr>
            <w:tcW w:w="5420" w:type="dxa"/>
            <w:shd w:val="clear" w:color="auto" w:fill="F4973F"/>
            <w:vAlign w:val="center"/>
          </w:tcPr>
          <w:p w:rsidR="00596A8C" w:rsidRDefault="00596A8C" w:rsidP="00E76009">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596A8C" w:rsidRDefault="00596A8C" w:rsidP="00E76009">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596A8C" w:rsidRDefault="00596A8C" w:rsidP="00E7600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596A8C" w:rsidRDefault="00596A8C" w:rsidP="00E7600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596A8C" w:rsidRDefault="00596A8C" w:rsidP="00E7600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596A8C" w:rsidTr="00E76009">
        <w:trPr>
          <w:trHeight w:hRule="exact" w:val="525"/>
        </w:trPr>
        <w:tc>
          <w:tcPr>
            <w:tcW w:w="5420" w:type="dxa"/>
            <w:shd w:val="clear" w:color="auto" w:fill="auto"/>
            <w:vAlign w:val="center"/>
          </w:tcPr>
          <w:p w:rsidR="00596A8C" w:rsidRDefault="00596A8C" w:rsidP="00E76009">
            <w:pPr>
              <w:pStyle w:val="TableParagraph"/>
              <w:kinsoku w:val="0"/>
              <w:overflowPunct w:val="0"/>
              <w:spacing w:before="54" w:line="254" w:lineRule="auto"/>
              <w:ind w:left="170" w:right="102"/>
              <w:rPr>
                <w:rFonts w:ascii="Arial" w:hAnsi="Arial" w:cs="Arial"/>
                <w:spacing w:val="-3"/>
                <w:sz w:val="18"/>
                <w:szCs w:val="18"/>
              </w:rPr>
            </w:pPr>
            <w:r w:rsidRPr="00596A8C">
              <w:rPr>
                <w:rFonts w:ascii="Arial" w:hAnsi="Arial" w:cs="Arial"/>
                <w:spacing w:val="-3"/>
                <w:sz w:val="18"/>
                <w:szCs w:val="18"/>
              </w:rPr>
              <w:t>Export regulation enabled by the Horticulture Marketing and Research and Development Services Act 2000</w:t>
            </w:r>
          </w:p>
        </w:tc>
        <w:tc>
          <w:tcPr>
            <w:tcW w:w="1245" w:type="dxa"/>
            <w:shd w:val="clear" w:color="auto" w:fill="auto"/>
            <w:vAlign w:val="center"/>
          </w:tcPr>
          <w:p w:rsidR="00596A8C" w:rsidRDefault="00596A8C" w:rsidP="00E76009">
            <w:pPr>
              <w:pStyle w:val="TableParagraph"/>
              <w:kinsoku w:val="0"/>
              <w:overflowPunct w:val="0"/>
              <w:spacing w:before="54"/>
              <w:jc w:val="center"/>
              <w:rPr>
                <w:rFonts w:ascii="Arial" w:hAnsi="Arial" w:cs="Arial"/>
                <w:spacing w:val="-2"/>
                <w:w w:val="90"/>
                <w:sz w:val="18"/>
                <w:szCs w:val="18"/>
              </w:rPr>
            </w:pPr>
            <w:r>
              <w:rPr>
                <w:rFonts w:ascii="Arial" w:hAnsi="Arial" w:cs="Arial"/>
                <w:spacing w:val="-3"/>
                <w:sz w:val="18"/>
                <w:szCs w:val="18"/>
              </w:rPr>
              <w:t>Compliant</w:t>
            </w:r>
          </w:p>
        </w:tc>
        <w:tc>
          <w:tcPr>
            <w:tcW w:w="1105" w:type="dxa"/>
            <w:shd w:val="clear" w:color="auto" w:fill="auto"/>
            <w:vAlign w:val="center"/>
          </w:tcPr>
          <w:p w:rsidR="00596A8C" w:rsidRDefault="00596A8C" w:rsidP="00E76009">
            <w:pPr>
              <w:pStyle w:val="TableParagraph"/>
              <w:kinsoku w:val="0"/>
              <w:overflowPunct w:val="0"/>
              <w:spacing w:before="54"/>
              <w:jc w:val="center"/>
              <w:rPr>
                <w:rFonts w:ascii="Arial" w:hAnsi="Arial" w:cs="Arial"/>
                <w:w w:val="85"/>
                <w:sz w:val="18"/>
                <w:szCs w:val="18"/>
              </w:rPr>
            </w:pPr>
            <w:r>
              <w:rPr>
                <w:rFonts w:ascii="Arial" w:hAnsi="Arial" w:cs="Arial"/>
                <w:spacing w:val="-3"/>
                <w:sz w:val="18"/>
                <w:szCs w:val="18"/>
              </w:rPr>
              <w:t>Yes</w:t>
            </w:r>
          </w:p>
        </w:tc>
        <w:tc>
          <w:tcPr>
            <w:tcW w:w="1104" w:type="dxa"/>
            <w:shd w:val="clear" w:color="auto" w:fill="auto"/>
            <w:vAlign w:val="center"/>
          </w:tcPr>
          <w:p w:rsidR="00596A8C" w:rsidRDefault="00596A8C" w:rsidP="00E76009">
            <w:pPr>
              <w:pStyle w:val="TableParagraph"/>
              <w:kinsoku w:val="0"/>
              <w:overflowPunct w:val="0"/>
              <w:spacing w:before="54"/>
              <w:jc w:val="center"/>
              <w:rPr>
                <w:rFonts w:ascii="Arial" w:hAnsi="Arial" w:cs="Arial"/>
                <w:w w:val="85"/>
                <w:sz w:val="18"/>
                <w:szCs w:val="18"/>
              </w:rPr>
            </w:pPr>
            <w:r>
              <w:rPr>
                <w:rFonts w:ascii="Arial" w:hAnsi="Arial" w:cs="Arial"/>
                <w:spacing w:val="-3"/>
                <w:sz w:val="18"/>
                <w:szCs w:val="18"/>
              </w:rPr>
              <w:t>No</w:t>
            </w:r>
          </w:p>
        </w:tc>
        <w:tc>
          <w:tcPr>
            <w:tcW w:w="1105" w:type="dxa"/>
            <w:vAlign w:val="center"/>
          </w:tcPr>
          <w:p w:rsidR="00596A8C" w:rsidRDefault="00596A8C" w:rsidP="00E76009">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bl>
    <w:p w:rsidR="00596A8C" w:rsidRDefault="00596A8C" w:rsidP="00596A8C">
      <w:pPr>
        <w:pStyle w:val="BodyText1"/>
        <w:spacing w:before="240"/>
        <w:rPr>
          <w:sz w:val="20"/>
          <w:szCs w:val="20"/>
        </w:rPr>
      </w:pPr>
      <w:r w:rsidRPr="00987990">
        <w:rPr>
          <w:sz w:val="20"/>
          <w:szCs w:val="20"/>
        </w:rPr>
        <w:t>The Minister</w:t>
      </w:r>
      <w:r w:rsidR="00BA4B4B" w:rsidRPr="00987990">
        <w:rPr>
          <w:sz w:val="20"/>
          <w:szCs w:val="20"/>
        </w:rPr>
        <w:t xml:space="preserve"> for Agriculture</w:t>
      </w:r>
      <w:r w:rsidRPr="00987990">
        <w:rPr>
          <w:sz w:val="20"/>
          <w:szCs w:val="20"/>
        </w:rPr>
        <w:t xml:space="preserve"> decided to extend the Export Efficiency Powers for two years to enable the citrus industry to work with Horticulture Innovation Australia Limited to improve the operational effectiveness (including compliance), transparency and communication activity associated with the powers.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A05FF3" w:rsidTr="00881855">
        <w:trPr>
          <w:tblHeader/>
        </w:trPr>
        <w:tc>
          <w:tcPr>
            <w:tcW w:w="5420" w:type="dxa"/>
            <w:shd w:val="clear" w:color="auto" w:fill="F4973F"/>
            <w:vAlign w:val="center"/>
          </w:tcPr>
          <w:p w:rsidR="00A05FF3" w:rsidRDefault="00A05FF3" w:rsidP="00881855">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A05FF3" w:rsidRDefault="00A05FF3" w:rsidP="00881855">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A05FF3" w:rsidRDefault="00A05FF3" w:rsidP="0088185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A05FF3" w:rsidRDefault="00A05FF3" w:rsidP="00881855">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A05FF3" w:rsidRDefault="00A05FF3" w:rsidP="0088185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A05FF3" w:rsidRPr="00C9038C" w:rsidTr="00881855">
        <w:trPr>
          <w:trHeight w:hRule="exact" w:val="525"/>
        </w:trPr>
        <w:tc>
          <w:tcPr>
            <w:tcW w:w="5420" w:type="dxa"/>
            <w:shd w:val="clear" w:color="auto" w:fill="auto"/>
            <w:vAlign w:val="center"/>
          </w:tcPr>
          <w:p w:rsidR="00A05FF3" w:rsidRPr="00C9038C" w:rsidRDefault="00A05FF3" w:rsidP="00A05FF3">
            <w:pPr>
              <w:pStyle w:val="TableParagraph"/>
              <w:kinsoku w:val="0"/>
              <w:overflowPunct w:val="0"/>
              <w:spacing w:before="54" w:line="254" w:lineRule="auto"/>
              <w:ind w:left="170" w:right="102"/>
              <w:rPr>
                <w:rFonts w:ascii="Arial" w:hAnsi="Arial" w:cs="Arial"/>
                <w:spacing w:val="-3"/>
                <w:sz w:val="18"/>
                <w:szCs w:val="18"/>
              </w:rPr>
            </w:pPr>
            <w:r w:rsidRPr="00C9038C">
              <w:rPr>
                <w:rFonts w:ascii="Arial" w:hAnsi="Arial" w:cs="Arial"/>
                <w:spacing w:val="-3"/>
                <w:sz w:val="18"/>
                <w:szCs w:val="18"/>
              </w:rPr>
              <w:t>Future status of super trawlers</w:t>
            </w:r>
          </w:p>
        </w:tc>
        <w:tc>
          <w:tcPr>
            <w:tcW w:w="1245" w:type="dxa"/>
            <w:shd w:val="clear" w:color="auto" w:fill="auto"/>
            <w:vAlign w:val="center"/>
          </w:tcPr>
          <w:p w:rsidR="00A05FF3" w:rsidRPr="00C9038C" w:rsidRDefault="00A05FF3" w:rsidP="00881855">
            <w:pPr>
              <w:pStyle w:val="TableParagraph"/>
              <w:kinsoku w:val="0"/>
              <w:overflowPunct w:val="0"/>
              <w:spacing w:before="54"/>
              <w:jc w:val="center"/>
              <w:rPr>
                <w:rFonts w:ascii="Arial" w:hAnsi="Arial" w:cs="Arial"/>
                <w:spacing w:val="-2"/>
                <w:w w:val="90"/>
                <w:sz w:val="18"/>
                <w:szCs w:val="18"/>
              </w:rPr>
            </w:pPr>
            <w:r w:rsidRPr="00C9038C">
              <w:rPr>
                <w:rFonts w:ascii="Arial" w:hAnsi="Arial" w:cs="Arial"/>
                <w:spacing w:val="-3"/>
                <w:sz w:val="18"/>
                <w:szCs w:val="18"/>
              </w:rPr>
              <w:t>Compliant</w:t>
            </w:r>
          </w:p>
        </w:tc>
        <w:tc>
          <w:tcPr>
            <w:tcW w:w="1105" w:type="dxa"/>
            <w:shd w:val="clear" w:color="auto" w:fill="auto"/>
            <w:vAlign w:val="center"/>
          </w:tcPr>
          <w:p w:rsidR="00A05FF3" w:rsidRPr="00C9038C" w:rsidRDefault="00A05FF3" w:rsidP="00881855">
            <w:pPr>
              <w:pStyle w:val="TableParagraph"/>
              <w:kinsoku w:val="0"/>
              <w:overflowPunct w:val="0"/>
              <w:spacing w:before="54"/>
              <w:jc w:val="center"/>
              <w:rPr>
                <w:rFonts w:ascii="Arial" w:hAnsi="Arial" w:cs="Arial"/>
                <w:w w:val="85"/>
                <w:sz w:val="18"/>
                <w:szCs w:val="18"/>
              </w:rPr>
            </w:pPr>
            <w:r w:rsidRPr="00C9038C">
              <w:rPr>
                <w:rFonts w:ascii="Arial" w:hAnsi="Arial" w:cs="Arial"/>
                <w:spacing w:val="-3"/>
                <w:sz w:val="18"/>
                <w:szCs w:val="18"/>
              </w:rPr>
              <w:t>No</w:t>
            </w:r>
          </w:p>
        </w:tc>
        <w:tc>
          <w:tcPr>
            <w:tcW w:w="1104" w:type="dxa"/>
            <w:shd w:val="clear" w:color="auto" w:fill="auto"/>
            <w:vAlign w:val="center"/>
          </w:tcPr>
          <w:p w:rsidR="00A05FF3" w:rsidRPr="00C9038C" w:rsidRDefault="00A05FF3" w:rsidP="00881855">
            <w:pPr>
              <w:pStyle w:val="TableParagraph"/>
              <w:kinsoku w:val="0"/>
              <w:overflowPunct w:val="0"/>
              <w:spacing w:before="54"/>
              <w:jc w:val="center"/>
              <w:rPr>
                <w:rFonts w:ascii="Arial" w:hAnsi="Arial" w:cs="Arial"/>
                <w:w w:val="85"/>
                <w:sz w:val="18"/>
                <w:szCs w:val="18"/>
              </w:rPr>
            </w:pPr>
            <w:r w:rsidRPr="00C9038C">
              <w:rPr>
                <w:rFonts w:ascii="Arial" w:hAnsi="Arial" w:cs="Arial"/>
                <w:spacing w:val="-3"/>
                <w:sz w:val="18"/>
                <w:szCs w:val="18"/>
              </w:rPr>
              <w:t>No</w:t>
            </w:r>
          </w:p>
        </w:tc>
        <w:tc>
          <w:tcPr>
            <w:tcW w:w="1105" w:type="dxa"/>
            <w:vAlign w:val="center"/>
          </w:tcPr>
          <w:p w:rsidR="00A05FF3" w:rsidRPr="00C9038C" w:rsidRDefault="00A05FF3" w:rsidP="00881855">
            <w:pPr>
              <w:pStyle w:val="TableParagraph"/>
              <w:kinsoku w:val="0"/>
              <w:overflowPunct w:val="0"/>
              <w:spacing w:before="54"/>
              <w:ind w:right="227"/>
              <w:jc w:val="right"/>
              <w:rPr>
                <w:rFonts w:ascii="Arial" w:hAnsi="Arial" w:cs="Arial"/>
                <w:spacing w:val="-3"/>
                <w:sz w:val="18"/>
                <w:szCs w:val="18"/>
              </w:rPr>
            </w:pPr>
            <w:r w:rsidRPr="00C9038C">
              <w:rPr>
                <w:rFonts w:ascii="Arial" w:hAnsi="Arial" w:cs="Arial"/>
                <w:spacing w:val="-3"/>
                <w:sz w:val="18"/>
                <w:szCs w:val="18"/>
              </w:rPr>
              <w:t>$0.0</w:t>
            </w:r>
          </w:p>
        </w:tc>
      </w:tr>
    </w:tbl>
    <w:p w:rsidR="00A05FF3" w:rsidRPr="00C9038C" w:rsidRDefault="00A05FF3" w:rsidP="00596A8C">
      <w:pPr>
        <w:pStyle w:val="BodyText1"/>
        <w:spacing w:before="240"/>
        <w:rPr>
          <w:sz w:val="20"/>
          <w:szCs w:val="20"/>
        </w:rPr>
      </w:pPr>
      <w:r w:rsidRPr="00C9038C">
        <w:rPr>
          <w:sz w:val="20"/>
          <w:szCs w:val="20"/>
        </w:rPr>
        <w:t>The proposal is to introduce a permanent ban on commercial fishing in Commonwealth waters by vessels more than 130 metres in length. The ban seeks to avoid irreversible damage to the marine environment (especially protected species) associated with the operation of very large vessels which have not been used previously in Australian waters. The RIS was not consistent with best practice because it did not provide sufficient evidence and clarity on the extent of the problem and the analysis of the preferred option.</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6040B4" w:rsidTr="008960F5">
        <w:trPr>
          <w:tblHeader/>
        </w:trPr>
        <w:tc>
          <w:tcPr>
            <w:tcW w:w="5420" w:type="dxa"/>
            <w:shd w:val="clear" w:color="auto" w:fill="F4973F"/>
            <w:vAlign w:val="center"/>
          </w:tcPr>
          <w:p w:rsidR="006040B4" w:rsidRDefault="006040B4" w:rsidP="008960F5">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6040B4" w:rsidRDefault="006040B4" w:rsidP="008960F5">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6040B4" w:rsidRDefault="006040B4" w:rsidP="008960F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6040B4" w:rsidRDefault="006040B4" w:rsidP="008960F5">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6040B4" w:rsidRDefault="00F96E4B" w:rsidP="008960F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w:t>
            </w:r>
            <w:r w:rsidR="006040B4">
              <w:rPr>
                <w:rFonts w:ascii="Arial" w:hAnsi="Arial" w:cs="Arial"/>
                <w:color w:val="FFFFFF"/>
                <w:w w:val="105"/>
                <w:sz w:val="18"/>
                <w:szCs w:val="18"/>
              </w:rPr>
              <w:t xml:space="preserve"> ($m)</w:t>
            </w:r>
          </w:p>
        </w:tc>
      </w:tr>
      <w:tr w:rsidR="006040B4" w:rsidTr="008960F5">
        <w:trPr>
          <w:trHeight w:hRule="exact" w:val="525"/>
        </w:trPr>
        <w:tc>
          <w:tcPr>
            <w:tcW w:w="5420" w:type="dxa"/>
            <w:shd w:val="clear" w:color="auto" w:fill="auto"/>
            <w:vAlign w:val="center"/>
          </w:tcPr>
          <w:p w:rsidR="006040B4" w:rsidRDefault="006040B4" w:rsidP="008960F5">
            <w:pPr>
              <w:pStyle w:val="TableParagraph"/>
              <w:kinsoku w:val="0"/>
              <w:overflowPunct w:val="0"/>
              <w:spacing w:before="54" w:line="254" w:lineRule="auto"/>
              <w:ind w:left="170" w:right="102"/>
              <w:rPr>
                <w:rFonts w:ascii="Arial" w:hAnsi="Arial" w:cs="Arial"/>
                <w:spacing w:val="-3"/>
                <w:sz w:val="18"/>
                <w:szCs w:val="18"/>
              </w:rPr>
            </w:pPr>
            <w:r w:rsidRPr="00551A9F">
              <w:rPr>
                <w:rFonts w:ascii="Arial" w:hAnsi="Arial" w:cs="Arial"/>
                <w:spacing w:val="-3"/>
                <w:sz w:val="18"/>
                <w:szCs w:val="18"/>
              </w:rPr>
              <w:t>Mandatory Code of Conduct for Grain Export Terminals</w:t>
            </w:r>
          </w:p>
        </w:tc>
        <w:tc>
          <w:tcPr>
            <w:tcW w:w="1245"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6040B4" w:rsidRDefault="006040B4"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-$0.6</w:t>
            </w:r>
          </w:p>
        </w:tc>
      </w:tr>
    </w:tbl>
    <w:p w:rsidR="006040B4" w:rsidRPr="00987990" w:rsidRDefault="006040B4" w:rsidP="006040B4">
      <w:pPr>
        <w:pStyle w:val="BodyText1"/>
        <w:rPr>
          <w:sz w:val="20"/>
          <w:szCs w:val="20"/>
        </w:rPr>
      </w:pPr>
      <w:r w:rsidRPr="00987990">
        <w:rPr>
          <w:sz w:val="20"/>
          <w:szCs w:val="20"/>
        </w:rPr>
        <w:t>The Minister for Agriculture and the Minister for Small Bu</w:t>
      </w:r>
      <w:r w:rsidR="00A36D3E" w:rsidRPr="00987990">
        <w:rPr>
          <w:sz w:val="20"/>
          <w:szCs w:val="20"/>
        </w:rPr>
        <w:t xml:space="preserve">siness have jointly released </w:t>
      </w:r>
      <w:r w:rsidRPr="00987990">
        <w:rPr>
          <w:sz w:val="20"/>
          <w:szCs w:val="20"/>
        </w:rPr>
        <w:t xml:space="preserve">a mandatory code of conduct designed to give bulk wheat exporters fair and transparent access to port terminal services, regardless of who owns the infrastructure. The previous regulation was seen to impose an unnecessarily high burden on a small number of port operators. The new Code applies to all port terminal service providers, including some operators who were not subject to the previous </w:t>
      </w:r>
      <w:r w:rsidRPr="00987990">
        <w:rPr>
          <w:sz w:val="20"/>
          <w:szCs w:val="20"/>
        </w:rPr>
        <w:lastRenderedPageBreak/>
        <w:t>arrangements. The Australian Competition and Consumer Commission has powers to monitor and enforce compliance with the Code.</w:t>
      </w:r>
    </w:p>
    <w:p w:rsidR="00987990" w:rsidRPr="00987990" w:rsidRDefault="006040B4" w:rsidP="006040B4">
      <w:pPr>
        <w:pStyle w:val="BodyText1"/>
        <w:rPr>
          <w:sz w:val="20"/>
          <w:szCs w:val="20"/>
        </w:rPr>
      </w:pPr>
      <w:r w:rsidRPr="00987990">
        <w:rPr>
          <w:sz w:val="20"/>
          <w:szCs w:val="20"/>
        </w:rPr>
        <w:t>The proposal has been assessed as likely to have a measurable but contained impact on the economy with significant impacts on competition.</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AB3B19" w:rsidTr="00060131">
        <w:trPr>
          <w:tblHeader/>
        </w:trPr>
        <w:tc>
          <w:tcPr>
            <w:tcW w:w="5420" w:type="dxa"/>
            <w:shd w:val="clear" w:color="auto" w:fill="F4973F"/>
            <w:vAlign w:val="center"/>
          </w:tcPr>
          <w:p w:rsidR="00AB3B19" w:rsidRDefault="00AB3B19" w:rsidP="00060131">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AB3B19" w:rsidRDefault="00AB3B19" w:rsidP="00060131">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AB3B19" w:rsidRDefault="00AB3B19" w:rsidP="00060131">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AB3B19" w:rsidRDefault="00AB3B19" w:rsidP="00060131">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AB3B19" w:rsidRDefault="00AB3B19" w:rsidP="00060131">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AB3B19" w:rsidTr="00060131">
        <w:trPr>
          <w:trHeight w:hRule="exact" w:val="525"/>
        </w:trPr>
        <w:tc>
          <w:tcPr>
            <w:tcW w:w="5420" w:type="dxa"/>
            <w:shd w:val="clear" w:color="auto" w:fill="auto"/>
            <w:vAlign w:val="center"/>
          </w:tcPr>
          <w:p w:rsidR="00AB3B19" w:rsidRDefault="00AB3B19" w:rsidP="00060131">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Reducing the Regulation of Stock Food and Pet Food</w:t>
            </w:r>
          </w:p>
        </w:tc>
        <w:tc>
          <w:tcPr>
            <w:tcW w:w="1245" w:type="dxa"/>
            <w:shd w:val="clear" w:color="auto" w:fill="auto"/>
            <w:vAlign w:val="center"/>
          </w:tcPr>
          <w:p w:rsidR="00AB3B19" w:rsidRDefault="00AB3B19" w:rsidP="0006013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AB3B19" w:rsidRDefault="00AB3B19" w:rsidP="0006013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AB3B19" w:rsidRDefault="00AB3B19" w:rsidP="0006013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AB3B19" w:rsidRDefault="00AB3B19" w:rsidP="00060131">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-$7.8</w:t>
            </w:r>
          </w:p>
        </w:tc>
      </w:tr>
    </w:tbl>
    <w:p w:rsidR="007173D3" w:rsidRDefault="00AB3B19" w:rsidP="00AB3B19">
      <w:pPr>
        <w:spacing w:before="150" w:after="150"/>
        <w:rPr>
          <w:rFonts w:cs="Arial"/>
          <w:iCs/>
          <w:sz w:val="20"/>
          <w:szCs w:val="20"/>
        </w:rPr>
      </w:pPr>
      <w:r w:rsidRPr="00987990">
        <w:rPr>
          <w:rFonts w:cs="Arial"/>
          <w:iCs/>
          <w:sz w:val="20"/>
          <w:szCs w:val="20"/>
        </w:rPr>
        <w:t>The Australian Government announced amendments to</w:t>
      </w:r>
      <w:r w:rsidRPr="00987990">
        <w:rPr>
          <w:sz w:val="20"/>
          <w:szCs w:val="20"/>
        </w:rPr>
        <w:t xml:space="preserve"> </w:t>
      </w:r>
      <w:r w:rsidRPr="00987990">
        <w:rPr>
          <w:rFonts w:cs="Arial"/>
          <w:iCs/>
          <w:sz w:val="20"/>
          <w:szCs w:val="20"/>
        </w:rPr>
        <w:t>the</w:t>
      </w:r>
      <w:r w:rsidRPr="00987990">
        <w:rPr>
          <w:rFonts w:cs="Arial"/>
          <w:i/>
          <w:iCs/>
          <w:sz w:val="20"/>
          <w:szCs w:val="20"/>
        </w:rPr>
        <w:t xml:space="preserve"> Agricultural and Veterinary Chemicals Code Regulations 1995 </w:t>
      </w:r>
      <w:r w:rsidRPr="00987990">
        <w:rPr>
          <w:rFonts w:cs="Arial"/>
          <w:iCs/>
          <w:sz w:val="20"/>
          <w:szCs w:val="20"/>
        </w:rPr>
        <w:t>to simplify existing regulations relating to whether animal feed products are declared to be, or not to be, veterinary chemical products, provide that animal feeds that meet certain requirements for labelling, claims, ingredients and manufacture are not veterinary chemical products, and make other amendments consequential to the amendments.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CE130D" w:rsidTr="0089398A">
        <w:trPr>
          <w:tblHeader/>
        </w:trPr>
        <w:tc>
          <w:tcPr>
            <w:tcW w:w="5420" w:type="dxa"/>
            <w:shd w:val="clear" w:color="auto" w:fill="F4973F"/>
            <w:vAlign w:val="center"/>
          </w:tcPr>
          <w:p w:rsidR="00CE130D" w:rsidRDefault="00CE130D" w:rsidP="0089398A">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CE130D" w:rsidRDefault="00CE130D" w:rsidP="0089398A">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CE130D" w:rsidRDefault="00CE130D" w:rsidP="0089398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CE130D" w:rsidRDefault="00CE130D" w:rsidP="0089398A">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CE130D" w:rsidRDefault="00CE130D" w:rsidP="0089398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CE130D" w:rsidTr="0089398A">
        <w:trPr>
          <w:trHeight w:hRule="exact" w:val="525"/>
        </w:trPr>
        <w:tc>
          <w:tcPr>
            <w:tcW w:w="5420" w:type="dxa"/>
            <w:shd w:val="clear" w:color="auto" w:fill="auto"/>
            <w:vAlign w:val="center"/>
          </w:tcPr>
          <w:p w:rsidR="00CE130D" w:rsidRDefault="00CE130D" w:rsidP="0089398A">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Regulations for Honey Levy Reforms</w:t>
            </w:r>
          </w:p>
        </w:tc>
        <w:tc>
          <w:tcPr>
            <w:tcW w:w="1245" w:type="dxa"/>
            <w:shd w:val="clear" w:color="auto" w:fill="auto"/>
            <w:vAlign w:val="center"/>
          </w:tcPr>
          <w:p w:rsidR="00CE130D" w:rsidRDefault="00CE130D" w:rsidP="0089398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CE130D" w:rsidRDefault="00CE130D" w:rsidP="0089398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CE130D" w:rsidRDefault="00CE130D" w:rsidP="0089398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CE130D" w:rsidRDefault="00CE130D" w:rsidP="0089398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bl>
    <w:p w:rsidR="00CE130D" w:rsidRPr="00CE130D" w:rsidRDefault="00CE130D" w:rsidP="00CE130D">
      <w:pPr>
        <w:spacing w:before="150" w:after="150"/>
        <w:rPr>
          <w:rFonts w:cs="Arial"/>
          <w:iCs/>
          <w:sz w:val="20"/>
          <w:szCs w:val="20"/>
        </w:rPr>
      </w:pPr>
      <w:r w:rsidRPr="00CE130D">
        <w:rPr>
          <w:rFonts w:cs="Arial"/>
          <w:iCs/>
          <w:sz w:val="20"/>
          <w:szCs w:val="20"/>
        </w:rPr>
        <w:t xml:space="preserve">The Australian Government announced changes to the honey levy and export charge to provide for the industry’s ongoing biosecurity obligations and priorities. </w:t>
      </w:r>
    </w:p>
    <w:p w:rsidR="00CE130D" w:rsidRPr="00987990" w:rsidRDefault="00CE130D" w:rsidP="00CE130D">
      <w:pPr>
        <w:spacing w:before="150" w:after="150"/>
        <w:rPr>
          <w:rFonts w:cs="Arial"/>
          <w:iCs/>
          <w:sz w:val="20"/>
          <w:szCs w:val="20"/>
        </w:rPr>
      </w:pPr>
      <w:r w:rsidRPr="00CE130D">
        <w:rPr>
          <w:rFonts w:cs="Arial"/>
          <w:iCs/>
          <w:sz w:val="20"/>
          <w:szCs w:val="20"/>
        </w:rPr>
        <w:t>The changes aim to reform the honey industry levy to address inefficiencies in the collection and disbursement of levy revenue and to align the levy with other levies in the plant sector. In addition, the proposed changes will provide a more effective revenue stream for the industry to manage its biosecurity activities.</w:t>
      </w:r>
    </w:p>
    <w:p w:rsidR="00730ADC" w:rsidRDefault="004A54EB" w:rsidP="00730ADC">
      <w:pPr>
        <w:pStyle w:val="Heading3"/>
      </w:pPr>
      <w:bookmarkStart w:id="157" w:name="_Toc428965506"/>
      <w:r w:rsidRPr="004A54EB">
        <w:t>Attorney-General’s Department</w:t>
      </w:r>
      <w:bookmarkEnd w:id="157"/>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730ADC" w:rsidTr="00631829">
        <w:trPr>
          <w:tblHeader/>
        </w:trPr>
        <w:tc>
          <w:tcPr>
            <w:tcW w:w="5420" w:type="dxa"/>
            <w:shd w:val="clear" w:color="auto" w:fill="F4973F"/>
            <w:vAlign w:val="center"/>
          </w:tcPr>
          <w:p w:rsidR="00730ADC" w:rsidRDefault="00C25C33" w:rsidP="00631829">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730ADC" w:rsidRDefault="00730ADC" w:rsidP="0063182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730ADC" w:rsidRDefault="00730ADC" w:rsidP="0063182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Regulatory </w:t>
            </w:r>
            <w:r w:rsidR="00F96E4B">
              <w:rPr>
                <w:rFonts w:ascii="Arial" w:hAnsi="Arial" w:cs="Arial"/>
                <w:color w:val="FFFFFF"/>
                <w:w w:val="105"/>
                <w:sz w:val="18"/>
                <w:szCs w:val="18"/>
              </w:rPr>
              <w:t>Burden</w:t>
            </w:r>
            <w:r>
              <w:rPr>
                <w:rFonts w:ascii="Arial" w:hAnsi="Arial" w:cs="Arial"/>
                <w:color w:val="FFFFFF"/>
                <w:w w:val="105"/>
                <w:sz w:val="18"/>
                <w:szCs w:val="18"/>
              </w:rPr>
              <w:t xml:space="preserve"> ($m)</w:t>
            </w:r>
          </w:p>
        </w:tc>
      </w:tr>
      <w:tr w:rsidR="00730ADC" w:rsidTr="00631829">
        <w:trPr>
          <w:trHeight w:hRule="exact" w:val="525"/>
        </w:trPr>
        <w:tc>
          <w:tcPr>
            <w:tcW w:w="5420" w:type="dxa"/>
            <w:shd w:val="clear" w:color="auto" w:fill="auto"/>
            <w:vAlign w:val="center"/>
          </w:tcPr>
          <w:p w:rsidR="00730ADC" w:rsidRDefault="00392413" w:rsidP="00631829">
            <w:pPr>
              <w:pStyle w:val="TableParagraph"/>
              <w:kinsoku w:val="0"/>
              <w:overflowPunct w:val="0"/>
              <w:spacing w:before="54" w:line="254" w:lineRule="auto"/>
              <w:ind w:left="170" w:right="102"/>
              <w:rPr>
                <w:rFonts w:ascii="Arial" w:hAnsi="Arial" w:cs="Arial"/>
                <w:spacing w:val="-3"/>
                <w:sz w:val="18"/>
                <w:szCs w:val="18"/>
              </w:rPr>
            </w:pPr>
            <w:r w:rsidRPr="00392413">
              <w:rPr>
                <w:rFonts w:ascii="Arial" w:hAnsi="Arial" w:cs="Arial"/>
                <w:spacing w:val="-3"/>
                <w:sz w:val="18"/>
                <w:szCs w:val="18"/>
              </w:rPr>
              <w:t>Ban on importation of new psychoactive substances</w:t>
            </w:r>
          </w:p>
        </w:tc>
        <w:tc>
          <w:tcPr>
            <w:tcW w:w="1245" w:type="dxa"/>
            <w:shd w:val="clear" w:color="auto" w:fill="auto"/>
            <w:vAlign w:val="center"/>
          </w:tcPr>
          <w:p w:rsidR="00730ADC" w:rsidRDefault="00730ADC"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730ADC" w:rsidRDefault="004A54EB"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730ADC" w:rsidRDefault="00730ADC"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730ADC" w:rsidRPr="0018185B" w:rsidRDefault="00D20582" w:rsidP="00631829">
            <w:pPr>
              <w:pStyle w:val="TableParagraph"/>
              <w:kinsoku w:val="0"/>
              <w:overflowPunct w:val="0"/>
              <w:spacing w:before="54"/>
              <w:ind w:right="227"/>
              <w:jc w:val="right"/>
              <w:rPr>
                <w:rFonts w:ascii="Arial" w:hAnsi="Arial" w:cs="Arial"/>
                <w:spacing w:val="-3"/>
                <w:sz w:val="18"/>
                <w:szCs w:val="18"/>
              </w:rPr>
            </w:pPr>
            <w:r w:rsidRPr="0018185B">
              <w:rPr>
                <w:rFonts w:ascii="Arial" w:hAnsi="Arial" w:cs="Arial"/>
                <w:spacing w:val="-3"/>
                <w:sz w:val="18"/>
                <w:szCs w:val="18"/>
              </w:rPr>
              <w:t>$0.0</w:t>
            </w:r>
          </w:p>
        </w:tc>
      </w:tr>
    </w:tbl>
    <w:p w:rsidR="004A54EB" w:rsidRPr="00987990" w:rsidRDefault="004A54EB" w:rsidP="004A54EB">
      <w:pPr>
        <w:pStyle w:val="BodyText1"/>
        <w:rPr>
          <w:rFonts w:eastAsia="Calibri"/>
          <w:sz w:val="20"/>
          <w:szCs w:val="20"/>
          <w:lang w:eastAsia="en-AU"/>
        </w:rPr>
      </w:pPr>
      <w:r w:rsidRPr="00987990">
        <w:rPr>
          <w:rFonts w:eastAsia="Calibri"/>
          <w:sz w:val="20"/>
          <w:szCs w:val="20"/>
          <w:lang w:eastAsia="en-AU"/>
        </w:rPr>
        <w:t xml:space="preserve">The Minister for Justice has introduced a Bill to ban the importation of all substances that have a psychoactive effect that are not otherwise regulated. The amendments criminalise the importation of new psychoactive substances and permit Australian Customs and Border Protection Service officers to seize unknown substances that are not existing illicit drugs or do not have a regulated legitimate use. The proposed ban would complement state and territory government actions to control the manufacture, sale and advertisement of these substances. </w:t>
      </w:r>
    </w:p>
    <w:p w:rsidR="00730ADC" w:rsidRDefault="004A54EB" w:rsidP="004A54EB">
      <w:pPr>
        <w:pStyle w:val="BodyText1"/>
        <w:rPr>
          <w:rFonts w:eastAsia="Calibri"/>
          <w:sz w:val="20"/>
          <w:szCs w:val="20"/>
          <w:lang w:eastAsia="en-AU"/>
        </w:rPr>
      </w:pPr>
      <w:r w:rsidRPr="00987990">
        <w:rPr>
          <w:rFonts w:eastAsia="Calibri"/>
          <w:sz w:val="20"/>
          <w:szCs w:val="20"/>
          <w:lang w:eastAsia="en-AU"/>
        </w:rPr>
        <w:t xml:space="preserve">The OBPR found the Attorney-General’s Department to be compliant with the RIS requirements. The RIS was not consistent with best practice because the RIS was not consulted on for at least 30 days. </w:t>
      </w:r>
    </w:p>
    <w:p w:rsidR="003E6DFC" w:rsidRDefault="003E6DFC" w:rsidP="004A54EB">
      <w:pPr>
        <w:pStyle w:val="BodyText1"/>
        <w:rPr>
          <w:rFonts w:eastAsia="Calibri"/>
          <w:sz w:val="20"/>
          <w:szCs w:val="20"/>
          <w:lang w:eastAsia="en-AU"/>
        </w:rPr>
      </w:pPr>
    </w:p>
    <w:p w:rsidR="003E6DFC" w:rsidRDefault="003E6DFC" w:rsidP="004A54EB">
      <w:pPr>
        <w:pStyle w:val="BodyText1"/>
        <w:rPr>
          <w:rFonts w:eastAsia="Calibri"/>
          <w:sz w:val="20"/>
          <w:szCs w:val="20"/>
          <w:lang w:eastAsia="en-AU"/>
        </w:rPr>
      </w:pPr>
    </w:p>
    <w:p w:rsidR="003E6DFC" w:rsidRDefault="003E6DFC" w:rsidP="004A54EB">
      <w:pPr>
        <w:pStyle w:val="BodyText1"/>
        <w:rPr>
          <w:rFonts w:eastAsia="Calibri"/>
          <w:sz w:val="20"/>
          <w:szCs w:val="20"/>
          <w:lang w:eastAsia="en-AU"/>
        </w:rPr>
      </w:pP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853DD9" w:rsidTr="001312EF">
        <w:trPr>
          <w:tblHeader/>
        </w:trPr>
        <w:tc>
          <w:tcPr>
            <w:tcW w:w="5420" w:type="dxa"/>
            <w:shd w:val="clear" w:color="auto" w:fill="F4973F"/>
            <w:vAlign w:val="center"/>
          </w:tcPr>
          <w:p w:rsidR="00853DD9" w:rsidRDefault="00853DD9" w:rsidP="001312EF">
            <w:pPr>
              <w:pStyle w:val="TableParagraph"/>
              <w:kinsoku w:val="0"/>
              <w:overflowPunct w:val="0"/>
              <w:spacing w:beforeLines="60" w:before="144" w:after="60"/>
              <w:ind w:left="85"/>
            </w:pPr>
            <w:r w:rsidRPr="00C25C33">
              <w:rPr>
                <w:rFonts w:ascii="Arial" w:hAnsi="Arial" w:cs="Arial"/>
                <w:color w:val="FFFFFF"/>
                <w:w w:val="105"/>
                <w:sz w:val="18"/>
                <w:szCs w:val="18"/>
              </w:rPr>
              <w:lastRenderedPageBreak/>
              <w:t>Proposal</w:t>
            </w:r>
          </w:p>
        </w:tc>
        <w:tc>
          <w:tcPr>
            <w:tcW w:w="1245" w:type="dxa"/>
            <w:shd w:val="clear" w:color="auto" w:fill="F4973F"/>
            <w:vAlign w:val="center"/>
          </w:tcPr>
          <w:p w:rsidR="00853DD9" w:rsidRDefault="00853DD9" w:rsidP="001312EF">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853DD9" w:rsidRDefault="00853DD9" w:rsidP="001312EF">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853DD9" w:rsidRDefault="00853DD9" w:rsidP="001312EF">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853DD9" w:rsidRDefault="00853DD9" w:rsidP="001312EF">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853DD9" w:rsidTr="001312EF">
        <w:trPr>
          <w:trHeight w:hRule="exact" w:val="525"/>
        </w:trPr>
        <w:tc>
          <w:tcPr>
            <w:tcW w:w="5420" w:type="dxa"/>
            <w:shd w:val="clear" w:color="auto" w:fill="auto"/>
            <w:vAlign w:val="center"/>
          </w:tcPr>
          <w:p w:rsidR="00853DD9" w:rsidRDefault="00853DD9" w:rsidP="001312EF">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Extending the Legal Deposit Regime to Digital Material </w:t>
            </w:r>
          </w:p>
        </w:tc>
        <w:tc>
          <w:tcPr>
            <w:tcW w:w="1245" w:type="dxa"/>
            <w:shd w:val="clear" w:color="auto" w:fill="auto"/>
            <w:vAlign w:val="center"/>
          </w:tcPr>
          <w:p w:rsidR="00853DD9" w:rsidRDefault="00853DD9" w:rsidP="001312E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853DD9" w:rsidRDefault="00853DD9" w:rsidP="001312E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853DD9" w:rsidRDefault="00853DD9" w:rsidP="001312EF">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853DD9" w:rsidRPr="0018185B" w:rsidRDefault="00853DD9" w:rsidP="001312EF">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-$0.1</w:t>
            </w:r>
          </w:p>
        </w:tc>
      </w:tr>
    </w:tbl>
    <w:p w:rsidR="006021FA" w:rsidRPr="006021FA" w:rsidRDefault="006021FA" w:rsidP="006021FA">
      <w:pPr>
        <w:pStyle w:val="BodyText1"/>
        <w:rPr>
          <w:rFonts w:eastAsia="Calibri"/>
          <w:sz w:val="20"/>
          <w:szCs w:val="20"/>
          <w:lang w:eastAsia="en-AU"/>
        </w:rPr>
      </w:pPr>
      <w:r w:rsidRPr="006021FA">
        <w:rPr>
          <w:rFonts w:eastAsia="Calibri"/>
          <w:sz w:val="20"/>
          <w:szCs w:val="20"/>
          <w:lang w:eastAsia="en-AU"/>
        </w:rPr>
        <w:t xml:space="preserve">Legal deposit is a requirement under section 201 of the Copyright Act 1968 that publishers deposit a copy of library material to the National Library of Australia (NLA).  This requirement currently applies to material that is in print form, published in Australia, and in which copyright subsists.  </w:t>
      </w:r>
    </w:p>
    <w:p w:rsidR="00C940E4" w:rsidRDefault="006021FA" w:rsidP="006021FA">
      <w:pPr>
        <w:pStyle w:val="BodyText1"/>
        <w:rPr>
          <w:rFonts w:eastAsia="Calibri"/>
          <w:sz w:val="20"/>
          <w:szCs w:val="20"/>
          <w:lang w:eastAsia="en-AU"/>
        </w:rPr>
      </w:pPr>
      <w:r w:rsidRPr="006021FA">
        <w:rPr>
          <w:rFonts w:eastAsia="Calibri"/>
          <w:sz w:val="20"/>
          <w:szCs w:val="20"/>
          <w:lang w:eastAsia="en-AU"/>
        </w:rPr>
        <w:t>The proposal enables the NLA to meet its statutory function of providing a comprehensive collection of publications relating to Australia and the Australian people. Currently if a publisher publishes relevant documents in digital-only form they do not need to deposit that material with the NLA. Given the increase in digital-only publications over recent years there is concern that the record of Australia’s cultural heritage held by the NLA is being eroded.</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E9089C" w:rsidTr="002F594A">
        <w:trPr>
          <w:tblHeader/>
        </w:trPr>
        <w:tc>
          <w:tcPr>
            <w:tcW w:w="5420" w:type="dxa"/>
            <w:shd w:val="clear" w:color="auto" w:fill="F4973F"/>
            <w:vAlign w:val="center"/>
          </w:tcPr>
          <w:p w:rsidR="00E9089C" w:rsidRDefault="00E9089C" w:rsidP="002F594A">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E9089C" w:rsidRDefault="00E9089C" w:rsidP="002F594A">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E9089C" w:rsidRDefault="00E9089C" w:rsidP="002F594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E9089C" w:rsidRDefault="00E9089C" w:rsidP="002F594A">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E9089C" w:rsidRDefault="00E9089C" w:rsidP="002F594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E9089C" w:rsidTr="002F594A">
        <w:trPr>
          <w:trHeight w:hRule="exact" w:val="525"/>
        </w:trPr>
        <w:tc>
          <w:tcPr>
            <w:tcW w:w="5420" w:type="dxa"/>
            <w:shd w:val="clear" w:color="auto" w:fill="auto"/>
            <w:vAlign w:val="center"/>
          </w:tcPr>
          <w:p w:rsidR="00E9089C" w:rsidRDefault="00E9089C" w:rsidP="002F594A">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Telecommunications Sector Security Reforms</w:t>
            </w:r>
          </w:p>
        </w:tc>
        <w:tc>
          <w:tcPr>
            <w:tcW w:w="1245" w:type="dxa"/>
            <w:shd w:val="clear" w:color="auto" w:fill="auto"/>
            <w:vAlign w:val="center"/>
          </w:tcPr>
          <w:p w:rsidR="00E9089C" w:rsidRDefault="00E9089C" w:rsidP="002F594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E9089C" w:rsidRDefault="00E9089C" w:rsidP="002F594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E9089C" w:rsidRDefault="00E9089C" w:rsidP="002F594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E9089C" w:rsidRPr="0018185B" w:rsidRDefault="00E9089C" w:rsidP="002F594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$0.2</w:t>
            </w:r>
          </w:p>
        </w:tc>
      </w:tr>
    </w:tbl>
    <w:p w:rsidR="00A05FF3" w:rsidRPr="00987990" w:rsidRDefault="00344AB5" w:rsidP="006021FA">
      <w:pPr>
        <w:pStyle w:val="BodyText1"/>
        <w:rPr>
          <w:rFonts w:eastAsia="Calibri"/>
          <w:sz w:val="20"/>
          <w:szCs w:val="20"/>
          <w:lang w:eastAsia="en-AU"/>
        </w:rPr>
      </w:pPr>
      <w:r w:rsidRPr="00344AB5">
        <w:rPr>
          <w:rFonts w:eastAsia="Calibri"/>
          <w:sz w:val="20"/>
          <w:szCs w:val="20"/>
          <w:lang w:eastAsia="en-AU"/>
        </w:rPr>
        <w:t>The Australian Government announced amendments to the Telecommunications Act 1997 to require telecommunications carriers and carriage service providers (CSPs) to protect their networks from unauthorised access and interference, and to provide government with new regulatory powers to request information and issue directions to help promote compliance.</w:t>
      </w:r>
      <w:r w:rsidR="00C940E4">
        <w:rPr>
          <w:rFonts w:eastAsia="Calibri"/>
          <w:sz w:val="20"/>
          <w:szCs w:val="20"/>
          <w:lang w:eastAsia="en-AU"/>
        </w:rPr>
        <w:t xml:space="preserve">  </w:t>
      </w:r>
    </w:p>
    <w:p w:rsidR="001D512F" w:rsidRDefault="003A4F3E" w:rsidP="001D512F">
      <w:pPr>
        <w:pStyle w:val="Heading3"/>
      </w:pPr>
      <w:bookmarkStart w:id="158" w:name="_Toc428965507"/>
      <w:r>
        <w:t>Department of Communications</w:t>
      </w:r>
      <w:bookmarkEnd w:id="158"/>
      <w: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A234C0" w:rsidRPr="0084580D" w:rsidTr="001E5905">
        <w:trPr>
          <w:tblHeader/>
        </w:trPr>
        <w:tc>
          <w:tcPr>
            <w:tcW w:w="5420" w:type="dxa"/>
            <w:shd w:val="clear" w:color="auto" w:fill="F4973F"/>
            <w:vAlign w:val="center"/>
          </w:tcPr>
          <w:p w:rsidR="00A234C0" w:rsidRPr="0084580D" w:rsidRDefault="00A234C0" w:rsidP="001E5905">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A234C0" w:rsidRPr="0084580D" w:rsidRDefault="00A234C0" w:rsidP="001E5905">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A234C0" w:rsidRPr="0084580D" w:rsidRDefault="00A234C0" w:rsidP="001E5905">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A234C0" w:rsidRPr="0084580D" w:rsidRDefault="00A234C0" w:rsidP="001E5905">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A234C0" w:rsidRPr="0084580D" w:rsidRDefault="00A234C0" w:rsidP="001E5905">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A234C0" w:rsidRPr="0084580D" w:rsidTr="00AF2951">
        <w:trPr>
          <w:trHeight w:hRule="exact" w:val="667"/>
        </w:trPr>
        <w:tc>
          <w:tcPr>
            <w:tcW w:w="5420" w:type="dxa"/>
            <w:shd w:val="clear" w:color="auto" w:fill="auto"/>
            <w:vAlign w:val="center"/>
          </w:tcPr>
          <w:p w:rsidR="00A234C0" w:rsidRPr="00987990" w:rsidRDefault="00A234C0" w:rsidP="001E5905">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A234C0">
              <w:rPr>
                <w:rFonts w:eastAsia="MS Mincho" w:cs="Arial"/>
                <w:spacing w:val="-3"/>
                <w:sz w:val="18"/>
                <w:szCs w:val="18"/>
              </w:rPr>
              <w:t>Carrier Licence Conditions (Networks supplying Superfast Carriage Services to Residential Customers)  Declaration 2014</w:t>
            </w:r>
          </w:p>
        </w:tc>
        <w:tc>
          <w:tcPr>
            <w:tcW w:w="1245" w:type="dxa"/>
            <w:shd w:val="clear" w:color="auto" w:fill="auto"/>
            <w:vAlign w:val="center"/>
          </w:tcPr>
          <w:p w:rsidR="00A234C0" w:rsidRPr="00987990" w:rsidRDefault="00A234C0" w:rsidP="001E5905">
            <w:pPr>
              <w:widowControl w:val="0"/>
              <w:kinsoku w:val="0"/>
              <w:overflowPunct w:val="0"/>
              <w:autoSpaceDE w:val="0"/>
              <w:autoSpaceDN w:val="0"/>
              <w:adjustRightInd w:val="0"/>
              <w:spacing w:before="54"/>
              <w:jc w:val="center"/>
              <w:rPr>
                <w:rFonts w:eastAsia="MS Mincho" w:cs="Arial"/>
                <w:spacing w:val="-2"/>
                <w:w w:val="90"/>
                <w:sz w:val="18"/>
                <w:szCs w:val="18"/>
              </w:rPr>
            </w:pPr>
            <w:r w:rsidRPr="00987990">
              <w:rPr>
                <w:rFonts w:eastAsia="MS Mincho" w:cs="Arial"/>
                <w:spacing w:val="-3"/>
                <w:sz w:val="18"/>
                <w:szCs w:val="18"/>
              </w:rPr>
              <w:t>Compliant</w:t>
            </w:r>
          </w:p>
        </w:tc>
        <w:tc>
          <w:tcPr>
            <w:tcW w:w="1105" w:type="dxa"/>
            <w:shd w:val="clear" w:color="auto" w:fill="auto"/>
            <w:vAlign w:val="center"/>
          </w:tcPr>
          <w:p w:rsidR="00A234C0" w:rsidRPr="00987990" w:rsidRDefault="00A234C0" w:rsidP="001E5905">
            <w:pPr>
              <w:widowControl w:val="0"/>
              <w:kinsoku w:val="0"/>
              <w:overflowPunct w:val="0"/>
              <w:autoSpaceDE w:val="0"/>
              <w:autoSpaceDN w:val="0"/>
              <w:adjustRightInd w:val="0"/>
              <w:spacing w:before="54"/>
              <w:jc w:val="center"/>
              <w:rPr>
                <w:rFonts w:eastAsia="MS Mincho" w:cs="Arial"/>
                <w:w w:val="85"/>
                <w:sz w:val="18"/>
                <w:szCs w:val="18"/>
              </w:rPr>
            </w:pPr>
            <w:r w:rsidRPr="00987990">
              <w:rPr>
                <w:rFonts w:eastAsia="MS Mincho" w:cs="Arial"/>
                <w:spacing w:val="-3"/>
                <w:sz w:val="18"/>
                <w:szCs w:val="18"/>
              </w:rPr>
              <w:t>Yes</w:t>
            </w:r>
          </w:p>
        </w:tc>
        <w:tc>
          <w:tcPr>
            <w:tcW w:w="1104" w:type="dxa"/>
            <w:shd w:val="clear" w:color="auto" w:fill="auto"/>
            <w:vAlign w:val="center"/>
          </w:tcPr>
          <w:p w:rsidR="00A234C0" w:rsidRPr="00987990" w:rsidRDefault="00A234C0" w:rsidP="001E5905">
            <w:pPr>
              <w:widowControl w:val="0"/>
              <w:kinsoku w:val="0"/>
              <w:overflowPunct w:val="0"/>
              <w:autoSpaceDE w:val="0"/>
              <w:autoSpaceDN w:val="0"/>
              <w:adjustRightInd w:val="0"/>
              <w:spacing w:before="54"/>
              <w:jc w:val="center"/>
              <w:rPr>
                <w:rFonts w:eastAsia="MS Mincho" w:cs="Arial"/>
                <w:w w:val="85"/>
                <w:sz w:val="18"/>
                <w:szCs w:val="18"/>
              </w:rPr>
            </w:pPr>
            <w:r w:rsidRPr="00987990">
              <w:rPr>
                <w:rFonts w:eastAsia="MS Mincho" w:cs="Arial"/>
                <w:spacing w:val="-3"/>
                <w:sz w:val="18"/>
                <w:szCs w:val="18"/>
              </w:rPr>
              <w:t>No</w:t>
            </w:r>
          </w:p>
        </w:tc>
        <w:tc>
          <w:tcPr>
            <w:tcW w:w="1105" w:type="dxa"/>
            <w:vAlign w:val="center"/>
          </w:tcPr>
          <w:p w:rsidR="00A234C0" w:rsidRPr="00987990" w:rsidRDefault="00A234C0" w:rsidP="001E5905">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$1.8</w:t>
            </w:r>
          </w:p>
        </w:tc>
      </w:tr>
    </w:tbl>
    <w:p w:rsidR="00A234C0" w:rsidRPr="00A234C0" w:rsidRDefault="00A234C0" w:rsidP="00A234C0">
      <w:pPr>
        <w:pStyle w:val="BodyText1"/>
      </w:pPr>
      <w:r w:rsidRPr="00A234C0">
        <w:rPr>
          <w:rFonts w:eastAsia="Calibri"/>
          <w:sz w:val="20"/>
          <w:szCs w:val="20"/>
        </w:rPr>
        <w:t>Imposes new obligations on carriers operating designated telecommunications networks supplying superfast carriage services or specified broadband services to residential customers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1D512F" w:rsidRPr="0084580D" w:rsidTr="002D016A">
        <w:trPr>
          <w:tblHeader/>
        </w:trPr>
        <w:tc>
          <w:tcPr>
            <w:tcW w:w="5420" w:type="dxa"/>
            <w:shd w:val="clear" w:color="auto" w:fill="F4973F"/>
            <w:vAlign w:val="center"/>
          </w:tcPr>
          <w:p w:rsidR="001D512F" w:rsidRPr="0084580D" w:rsidRDefault="001D512F" w:rsidP="002D016A">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1D512F" w:rsidRPr="0084580D" w:rsidRDefault="001D512F" w:rsidP="002D016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1D512F" w:rsidRPr="0084580D" w:rsidRDefault="001D512F" w:rsidP="002D016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1D512F" w:rsidRPr="0084580D" w:rsidRDefault="001D512F" w:rsidP="002D016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1D512F" w:rsidRPr="0084580D" w:rsidRDefault="001D512F" w:rsidP="002D016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1D512F" w:rsidRPr="0084580D" w:rsidTr="002D016A">
        <w:trPr>
          <w:trHeight w:hRule="exact" w:val="525"/>
        </w:trPr>
        <w:tc>
          <w:tcPr>
            <w:tcW w:w="5420" w:type="dxa"/>
            <w:shd w:val="clear" w:color="auto" w:fill="auto"/>
            <w:vAlign w:val="center"/>
          </w:tcPr>
          <w:p w:rsidR="001D512F" w:rsidRPr="00987990" w:rsidRDefault="001D512F" w:rsidP="002D016A">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987990">
              <w:rPr>
                <w:rFonts w:eastAsia="Calibri" w:cs="Arial"/>
                <w:sz w:val="18"/>
                <w:szCs w:val="18"/>
              </w:rPr>
              <w:t>Enhancing Online Safety for Children</w:t>
            </w:r>
          </w:p>
        </w:tc>
        <w:tc>
          <w:tcPr>
            <w:tcW w:w="1245" w:type="dxa"/>
            <w:shd w:val="clear" w:color="auto" w:fill="auto"/>
            <w:vAlign w:val="center"/>
          </w:tcPr>
          <w:p w:rsidR="001D512F" w:rsidRPr="00987990" w:rsidRDefault="001D512F" w:rsidP="002D016A">
            <w:pPr>
              <w:widowControl w:val="0"/>
              <w:kinsoku w:val="0"/>
              <w:overflowPunct w:val="0"/>
              <w:autoSpaceDE w:val="0"/>
              <w:autoSpaceDN w:val="0"/>
              <w:adjustRightInd w:val="0"/>
              <w:spacing w:before="54"/>
              <w:jc w:val="center"/>
              <w:rPr>
                <w:rFonts w:eastAsia="MS Mincho" w:cs="Arial"/>
                <w:spacing w:val="-2"/>
                <w:w w:val="90"/>
                <w:sz w:val="18"/>
                <w:szCs w:val="18"/>
              </w:rPr>
            </w:pPr>
            <w:r w:rsidRPr="00987990">
              <w:rPr>
                <w:rFonts w:eastAsia="MS Mincho" w:cs="Arial"/>
                <w:spacing w:val="-3"/>
                <w:sz w:val="18"/>
                <w:szCs w:val="18"/>
              </w:rPr>
              <w:t>Compliant</w:t>
            </w:r>
          </w:p>
        </w:tc>
        <w:tc>
          <w:tcPr>
            <w:tcW w:w="1105" w:type="dxa"/>
            <w:shd w:val="clear" w:color="auto" w:fill="auto"/>
            <w:vAlign w:val="center"/>
          </w:tcPr>
          <w:p w:rsidR="001D512F" w:rsidRPr="00987990" w:rsidRDefault="001D512F" w:rsidP="002D016A">
            <w:pPr>
              <w:widowControl w:val="0"/>
              <w:kinsoku w:val="0"/>
              <w:overflowPunct w:val="0"/>
              <w:autoSpaceDE w:val="0"/>
              <w:autoSpaceDN w:val="0"/>
              <w:adjustRightInd w:val="0"/>
              <w:spacing w:before="54"/>
              <w:jc w:val="center"/>
              <w:rPr>
                <w:rFonts w:eastAsia="MS Mincho" w:cs="Arial"/>
                <w:w w:val="85"/>
                <w:sz w:val="18"/>
                <w:szCs w:val="18"/>
              </w:rPr>
            </w:pPr>
            <w:r w:rsidRPr="00987990">
              <w:rPr>
                <w:rFonts w:eastAsia="MS Mincho" w:cs="Arial"/>
                <w:spacing w:val="-3"/>
                <w:sz w:val="18"/>
                <w:szCs w:val="18"/>
              </w:rPr>
              <w:t>Yes</w:t>
            </w:r>
          </w:p>
        </w:tc>
        <w:tc>
          <w:tcPr>
            <w:tcW w:w="1104" w:type="dxa"/>
            <w:shd w:val="clear" w:color="auto" w:fill="auto"/>
            <w:vAlign w:val="center"/>
          </w:tcPr>
          <w:p w:rsidR="001D512F" w:rsidRPr="00987990" w:rsidRDefault="001D512F" w:rsidP="002D016A">
            <w:pPr>
              <w:widowControl w:val="0"/>
              <w:kinsoku w:val="0"/>
              <w:overflowPunct w:val="0"/>
              <w:autoSpaceDE w:val="0"/>
              <w:autoSpaceDN w:val="0"/>
              <w:adjustRightInd w:val="0"/>
              <w:spacing w:before="54"/>
              <w:jc w:val="center"/>
              <w:rPr>
                <w:rFonts w:eastAsia="MS Mincho" w:cs="Arial"/>
                <w:w w:val="85"/>
                <w:sz w:val="18"/>
                <w:szCs w:val="18"/>
              </w:rPr>
            </w:pPr>
            <w:r w:rsidRPr="00987990">
              <w:rPr>
                <w:rFonts w:eastAsia="MS Mincho" w:cs="Arial"/>
                <w:spacing w:val="-3"/>
                <w:sz w:val="18"/>
                <w:szCs w:val="18"/>
              </w:rPr>
              <w:t>No</w:t>
            </w:r>
          </w:p>
        </w:tc>
        <w:tc>
          <w:tcPr>
            <w:tcW w:w="1105" w:type="dxa"/>
            <w:vAlign w:val="center"/>
          </w:tcPr>
          <w:p w:rsidR="001D512F" w:rsidRPr="00987990" w:rsidRDefault="001D512F" w:rsidP="002D016A">
            <w:pPr>
              <w:widowControl w:val="0"/>
              <w:kinsoku w:val="0"/>
              <w:overflowPunct w:val="0"/>
              <w:autoSpaceDE w:val="0"/>
              <w:autoSpaceDN w:val="0"/>
              <w:adjustRightInd w:val="0"/>
              <w:spacing w:before="54"/>
              <w:ind w:right="227"/>
              <w:jc w:val="right"/>
              <w:rPr>
                <w:rFonts w:eastAsia="MS Mincho" w:cs="Arial"/>
                <w:spacing w:val="-3"/>
                <w:sz w:val="18"/>
                <w:szCs w:val="18"/>
              </w:rPr>
            </w:pPr>
            <w:r w:rsidRPr="00987990">
              <w:rPr>
                <w:rFonts w:eastAsia="MS Mincho" w:cs="Arial"/>
                <w:spacing w:val="-3"/>
                <w:sz w:val="18"/>
                <w:szCs w:val="18"/>
              </w:rPr>
              <w:t>$0.4</w:t>
            </w:r>
          </w:p>
        </w:tc>
      </w:tr>
    </w:tbl>
    <w:p w:rsidR="001D512F" w:rsidRPr="00987990" w:rsidRDefault="001D512F" w:rsidP="001D512F">
      <w:pPr>
        <w:spacing w:after="240"/>
        <w:rPr>
          <w:rFonts w:eastAsia="Calibri"/>
          <w:sz w:val="20"/>
          <w:szCs w:val="20"/>
        </w:rPr>
      </w:pPr>
      <w:r w:rsidRPr="00987990">
        <w:rPr>
          <w:rFonts w:eastAsia="Calibri"/>
          <w:sz w:val="20"/>
          <w:szCs w:val="20"/>
        </w:rPr>
        <w:t>On 3 December 2014, the Parliamentary Secretary to the Minister for Communications introduced legislation containing a range of proposals to combat cyber-bullying and provide a safer online environment for children. These included the establishment of the Children’s e</w:t>
      </w:r>
      <w:r w:rsidRPr="00987990">
        <w:rPr>
          <w:rFonts w:eastAsia="Calibri"/>
          <w:sz w:val="20"/>
          <w:szCs w:val="20"/>
        </w:rPr>
        <w:noBreakHyphen/>
        <w:t>Safety Commissioner and setting out the Commissioner’s functions and powers, and are supported by a range of non</w:t>
      </w:r>
      <w:r w:rsidRPr="00987990">
        <w:rPr>
          <w:rFonts w:eastAsia="Calibri"/>
          <w:sz w:val="20"/>
          <w:szCs w:val="20"/>
        </w:rPr>
        <w:noBreakHyphen/>
        <w:t>regulatory actions including an education and awareness raising campaign. The proposals were informed by public and industry consultation conducted throughout 2014.</w:t>
      </w:r>
    </w:p>
    <w:p w:rsidR="00987990" w:rsidRDefault="001D512F" w:rsidP="001D512F">
      <w:pPr>
        <w:spacing w:after="240"/>
        <w:rPr>
          <w:rFonts w:cs="Calibri"/>
          <w:color w:val="000000"/>
          <w:sz w:val="20"/>
          <w:szCs w:val="20"/>
        </w:rPr>
      </w:pPr>
      <w:r w:rsidRPr="00987990">
        <w:rPr>
          <w:rFonts w:eastAsia="Calibri"/>
          <w:sz w:val="20"/>
          <w:szCs w:val="20"/>
        </w:rPr>
        <w:t xml:space="preserve">The proposals have been assessed </w:t>
      </w:r>
      <w:r w:rsidRPr="00987990">
        <w:rPr>
          <w:rFonts w:cs="Calibri"/>
          <w:color w:val="000000"/>
          <w:sz w:val="20"/>
          <w:szCs w:val="20"/>
        </w:rPr>
        <w:t>as likely to have a measurable but contained impact on the economy.</w:t>
      </w:r>
    </w:p>
    <w:p w:rsidR="00DC21E1" w:rsidRPr="00987990" w:rsidRDefault="00DC21E1" w:rsidP="001D512F">
      <w:pPr>
        <w:spacing w:after="240"/>
        <w:rPr>
          <w:rFonts w:cs="Calibri"/>
          <w:color w:val="000000"/>
          <w:sz w:val="20"/>
          <w:szCs w:val="20"/>
        </w:rPr>
      </w:pP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3A4F3E" w:rsidTr="003A4F3E">
        <w:trPr>
          <w:tblHeader/>
        </w:trPr>
        <w:tc>
          <w:tcPr>
            <w:tcW w:w="5420" w:type="dxa"/>
            <w:shd w:val="clear" w:color="auto" w:fill="F4973F"/>
            <w:vAlign w:val="center"/>
          </w:tcPr>
          <w:p w:rsidR="003A4F3E" w:rsidRDefault="003A4F3E" w:rsidP="003A4F3E">
            <w:pPr>
              <w:pStyle w:val="TableParagraph"/>
              <w:kinsoku w:val="0"/>
              <w:overflowPunct w:val="0"/>
              <w:spacing w:beforeLines="60" w:before="144" w:after="60"/>
              <w:ind w:left="85"/>
            </w:pPr>
            <w:r w:rsidRPr="00C25C33">
              <w:rPr>
                <w:rFonts w:ascii="Arial" w:hAnsi="Arial" w:cs="Arial"/>
                <w:color w:val="FFFFFF"/>
                <w:w w:val="105"/>
                <w:sz w:val="18"/>
                <w:szCs w:val="18"/>
              </w:rPr>
              <w:lastRenderedPageBreak/>
              <w:t>Proposal</w:t>
            </w:r>
          </w:p>
        </w:tc>
        <w:tc>
          <w:tcPr>
            <w:tcW w:w="1245" w:type="dxa"/>
            <w:shd w:val="clear" w:color="auto" w:fill="F4973F"/>
            <w:vAlign w:val="center"/>
          </w:tcPr>
          <w:p w:rsidR="003A4F3E" w:rsidRDefault="003A4F3E" w:rsidP="003A4F3E">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3A4F3E" w:rsidRDefault="003A4F3E" w:rsidP="003A4F3E">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3A4F3E" w:rsidRDefault="003A4F3E" w:rsidP="003A4F3E">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3A4F3E" w:rsidRDefault="00F96E4B" w:rsidP="003A4F3E">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w:t>
            </w:r>
            <w:r w:rsidR="003A4F3E">
              <w:rPr>
                <w:rFonts w:ascii="Arial" w:hAnsi="Arial" w:cs="Arial"/>
                <w:color w:val="FFFFFF"/>
                <w:w w:val="105"/>
                <w:sz w:val="18"/>
                <w:szCs w:val="18"/>
              </w:rPr>
              <w:t xml:space="preserve"> ($m)</w:t>
            </w:r>
          </w:p>
        </w:tc>
      </w:tr>
      <w:tr w:rsidR="003A4F3E" w:rsidTr="003A4F3E">
        <w:trPr>
          <w:trHeight w:hRule="exact" w:val="525"/>
        </w:trPr>
        <w:tc>
          <w:tcPr>
            <w:tcW w:w="5420" w:type="dxa"/>
            <w:shd w:val="clear" w:color="auto" w:fill="auto"/>
            <w:vAlign w:val="center"/>
          </w:tcPr>
          <w:p w:rsidR="003A4F3E" w:rsidRDefault="003A4F3E" w:rsidP="003A4F3E">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Optimal Period of Registration for the Do Not Call Register </w:t>
            </w:r>
          </w:p>
        </w:tc>
        <w:tc>
          <w:tcPr>
            <w:tcW w:w="1245" w:type="dxa"/>
            <w:shd w:val="clear" w:color="auto" w:fill="auto"/>
            <w:vAlign w:val="center"/>
          </w:tcPr>
          <w:p w:rsidR="003A4F3E" w:rsidRDefault="003A4F3E" w:rsidP="003A4F3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3A4F3E" w:rsidRDefault="003A4F3E" w:rsidP="003A4F3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3A4F3E" w:rsidRDefault="003A4F3E" w:rsidP="003A4F3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3A4F3E" w:rsidRDefault="003A67F2" w:rsidP="003A4F3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-$3.5</w:t>
            </w:r>
          </w:p>
        </w:tc>
      </w:tr>
    </w:tbl>
    <w:p w:rsidR="003A4F3E" w:rsidRDefault="003A4F3E" w:rsidP="003A4F3E">
      <w:pPr>
        <w:pStyle w:val="note"/>
        <w:rPr>
          <w:rFonts w:cs="Arial"/>
          <w:color w:val="auto"/>
        </w:rPr>
      </w:pPr>
    </w:p>
    <w:p w:rsidR="003E6DFC" w:rsidRDefault="003A4F3E" w:rsidP="00361DDC">
      <w:pPr>
        <w:pStyle w:val="BodyText1"/>
        <w:rPr>
          <w:rFonts w:eastAsia="Calibri"/>
          <w:sz w:val="20"/>
          <w:szCs w:val="20"/>
          <w:lang w:eastAsia="en-AU"/>
        </w:rPr>
      </w:pPr>
      <w:r w:rsidRPr="00987990">
        <w:rPr>
          <w:rFonts w:eastAsia="Calibri"/>
          <w:sz w:val="20"/>
          <w:szCs w:val="20"/>
          <w:lang w:eastAsia="en-AU"/>
        </w:rPr>
        <w:t xml:space="preserve">The Minister </w:t>
      </w:r>
      <w:r w:rsidR="003E599E" w:rsidRPr="00987990">
        <w:rPr>
          <w:rFonts w:eastAsia="Calibri"/>
          <w:sz w:val="20"/>
          <w:szCs w:val="20"/>
          <w:lang w:eastAsia="en-AU"/>
        </w:rPr>
        <w:t xml:space="preserve">for Communications introduced legislation to make the registration period for numbers on the Do Not Call Register indefinite. This will allow consumers to avoid having to periodically re-register their telephone and fax numbers.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11360" w:rsidTr="000B7919">
        <w:trPr>
          <w:tblHeader/>
        </w:trPr>
        <w:tc>
          <w:tcPr>
            <w:tcW w:w="5420" w:type="dxa"/>
            <w:shd w:val="clear" w:color="auto" w:fill="F4973F"/>
            <w:vAlign w:val="center"/>
          </w:tcPr>
          <w:p w:rsidR="00011360" w:rsidRDefault="00011360" w:rsidP="000B7919">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011360" w:rsidRDefault="00011360" w:rsidP="000B7919">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011360" w:rsidRDefault="00011360" w:rsidP="000B791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011360" w:rsidRDefault="00011360" w:rsidP="000B791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011360" w:rsidRDefault="00011360" w:rsidP="000B791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011360" w:rsidRPr="0035617B" w:rsidTr="000B7919">
        <w:trPr>
          <w:trHeight w:hRule="exact" w:val="525"/>
        </w:trPr>
        <w:tc>
          <w:tcPr>
            <w:tcW w:w="5420" w:type="dxa"/>
            <w:shd w:val="clear" w:color="auto" w:fill="auto"/>
            <w:vAlign w:val="center"/>
          </w:tcPr>
          <w:p w:rsidR="00011360" w:rsidRPr="0035617B" w:rsidRDefault="00011360" w:rsidP="000B7919">
            <w:pPr>
              <w:pStyle w:val="TableParagraph"/>
              <w:kinsoku w:val="0"/>
              <w:overflowPunct w:val="0"/>
              <w:spacing w:before="54" w:line="254" w:lineRule="auto"/>
              <w:ind w:left="170" w:right="102"/>
              <w:rPr>
                <w:rFonts w:ascii="Arial" w:hAnsi="Arial" w:cs="Arial"/>
                <w:spacing w:val="-3"/>
                <w:sz w:val="18"/>
                <w:szCs w:val="18"/>
              </w:rPr>
            </w:pPr>
            <w:r w:rsidRPr="0035617B">
              <w:rPr>
                <w:rFonts w:ascii="Arial" w:hAnsi="Arial" w:cs="Arial"/>
                <w:spacing w:val="-3"/>
                <w:sz w:val="18"/>
                <w:szCs w:val="18"/>
              </w:rPr>
              <w:t xml:space="preserve">SBS Advertising  Flexibility </w:t>
            </w:r>
          </w:p>
        </w:tc>
        <w:tc>
          <w:tcPr>
            <w:tcW w:w="1245" w:type="dxa"/>
            <w:shd w:val="clear" w:color="auto" w:fill="auto"/>
            <w:vAlign w:val="center"/>
          </w:tcPr>
          <w:p w:rsidR="00011360" w:rsidRPr="0035617B" w:rsidRDefault="00011360" w:rsidP="000B7919">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Compliant</w:t>
            </w:r>
          </w:p>
        </w:tc>
        <w:tc>
          <w:tcPr>
            <w:tcW w:w="1105" w:type="dxa"/>
            <w:shd w:val="clear" w:color="auto" w:fill="auto"/>
            <w:vAlign w:val="center"/>
          </w:tcPr>
          <w:p w:rsidR="00011360" w:rsidRPr="0035617B" w:rsidRDefault="00011360" w:rsidP="000B7919">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Yes</w:t>
            </w:r>
          </w:p>
        </w:tc>
        <w:tc>
          <w:tcPr>
            <w:tcW w:w="1104" w:type="dxa"/>
            <w:shd w:val="clear" w:color="auto" w:fill="auto"/>
            <w:vAlign w:val="center"/>
          </w:tcPr>
          <w:p w:rsidR="00011360" w:rsidRPr="0035617B" w:rsidRDefault="00011360" w:rsidP="000B7919">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No</w:t>
            </w:r>
          </w:p>
        </w:tc>
        <w:tc>
          <w:tcPr>
            <w:tcW w:w="1105" w:type="dxa"/>
            <w:vAlign w:val="center"/>
          </w:tcPr>
          <w:p w:rsidR="00011360" w:rsidRPr="0035617B" w:rsidRDefault="00011360" w:rsidP="000B7919">
            <w:pPr>
              <w:pStyle w:val="TableParagraph"/>
              <w:kinsoku w:val="0"/>
              <w:overflowPunct w:val="0"/>
              <w:spacing w:before="54"/>
              <w:ind w:right="227"/>
              <w:jc w:val="right"/>
              <w:rPr>
                <w:rFonts w:ascii="Arial" w:hAnsi="Arial" w:cs="Arial"/>
                <w:spacing w:val="-3"/>
                <w:sz w:val="18"/>
                <w:szCs w:val="18"/>
              </w:rPr>
            </w:pPr>
            <w:r w:rsidRPr="0035617B">
              <w:rPr>
                <w:rFonts w:ascii="Arial" w:hAnsi="Arial" w:cs="Arial"/>
                <w:spacing w:val="-3"/>
                <w:sz w:val="18"/>
                <w:szCs w:val="18"/>
              </w:rPr>
              <w:t>$0.0</w:t>
            </w:r>
          </w:p>
        </w:tc>
      </w:tr>
    </w:tbl>
    <w:p w:rsidR="00011360" w:rsidRPr="0035617B" w:rsidRDefault="00011360" w:rsidP="00011360">
      <w:pPr>
        <w:pStyle w:val="note"/>
        <w:rPr>
          <w:rFonts w:cs="Arial"/>
          <w:color w:val="auto"/>
        </w:rPr>
      </w:pPr>
    </w:p>
    <w:p w:rsidR="00011360" w:rsidRPr="0035617B" w:rsidRDefault="00011360" w:rsidP="00011360">
      <w:pPr>
        <w:pStyle w:val="BodyText1"/>
        <w:rPr>
          <w:rFonts w:eastAsia="Calibri"/>
          <w:sz w:val="20"/>
          <w:szCs w:val="20"/>
          <w:lang w:eastAsia="en-AU"/>
        </w:rPr>
      </w:pPr>
      <w:r w:rsidRPr="0035617B">
        <w:rPr>
          <w:rFonts w:eastAsia="Calibri"/>
          <w:sz w:val="20"/>
          <w:szCs w:val="20"/>
          <w:lang w:eastAsia="en-AU"/>
        </w:rPr>
        <w:t xml:space="preserve">On 25 March 2015, the Minister for Communications introduced the Communications Legislation Amendment (SBS Advertising Flexibility and Other Measures) Bill 2015. </w:t>
      </w:r>
    </w:p>
    <w:p w:rsidR="00011360" w:rsidRPr="0035617B" w:rsidRDefault="00011360" w:rsidP="00011360">
      <w:pPr>
        <w:pStyle w:val="BodyText1"/>
        <w:rPr>
          <w:rFonts w:eastAsia="Calibri"/>
          <w:sz w:val="20"/>
          <w:szCs w:val="20"/>
          <w:lang w:eastAsia="en-AU"/>
        </w:rPr>
      </w:pPr>
      <w:r w:rsidRPr="0035617B">
        <w:rPr>
          <w:rFonts w:eastAsia="Calibri"/>
          <w:sz w:val="20"/>
          <w:szCs w:val="20"/>
          <w:lang w:eastAsia="en-AU"/>
        </w:rPr>
        <w:t>The Bill contains a range of measures, including a proposal to increase SBS’s hourly advertising limit from 5 minutes to 10 minutes, but maintain SBS’s daily advertising cap of 120 minutes. The amendments also clarify that SBS is allowed to earn revenue through the use of product placement in its programming.</w:t>
      </w:r>
    </w:p>
    <w:p w:rsidR="00011360" w:rsidRDefault="00011360" w:rsidP="00011360">
      <w:pPr>
        <w:pStyle w:val="BodyText1"/>
        <w:rPr>
          <w:rFonts w:eastAsia="Calibri"/>
          <w:sz w:val="20"/>
          <w:szCs w:val="20"/>
          <w:lang w:eastAsia="en-AU"/>
        </w:rPr>
      </w:pPr>
      <w:r w:rsidRPr="0035617B">
        <w:rPr>
          <w:rFonts w:eastAsia="Calibri"/>
          <w:sz w:val="20"/>
          <w:szCs w:val="20"/>
          <w:lang w:eastAsia="en-AU"/>
        </w:rPr>
        <w:t>The proposal aims to allow SBS to earn additional advertising revenue which will lessen its dependence on government funding and could be directed towards producing new content or services in the future.</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4A6DF0" w:rsidTr="002F594A">
        <w:trPr>
          <w:tblHeader/>
        </w:trPr>
        <w:tc>
          <w:tcPr>
            <w:tcW w:w="5420" w:type="dxa"/>
            <w:shd w:val="clear" w:color="auto" w:fill="F4973F"/>
            <w:vAlign w:val="center"/>
          </w:tcPr>
          <w:p w:rsidR="004A6DF0" w:rsidRDefault="004A6DF0" w:rsidP="002F594A">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4A6DF0" w:rsidRDefault="004A6DF0" w:rsidP="002F594A">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4A6DF0" w:rsidRDefault="004A6DF0" w:rsidP="002F594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4A6DF0" w:rsidRDefault="004A6DF0" w:rsidP="002F594A">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4A6DF0" w:rsidRDefault="004A6DF0" w:rsidP="002F594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4A6DF0" w:rsidRPr="0035617B" w:rsidTr="002F594A">
        <w:trPr>
          <w:trHeight w:hRule="exact" w:val="525"/>
        </w:trPr>
        <w:tc>
          <w:tcPr>
            <w:tcW w:w="5420" w:type="dxa"/>
            <w:shd w:val="clear" w:color="auto" w:fill="auto"/>
            <w:vAlign w:val="center"/>
          </w:tcPr>
          <w:p w:rsidR="004A6DF0" w:rsidRPr="0035617B" w:rsidRDefault="004A6DF0" w:rsidP="002F594A">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Telecommunications Infrastructure in New Developments </w:t>
            </w:r>
          </w:p>
        </w:tc>
        <w:tc>
          <w:tcPr>
            <w:tcW w:w="1245" w:type="dxa"/>
            <w:shd w:val="clear" w:color="auto" w:fill="auto"/>
            <w:vAlign w:val="center"/>
          </w:tcPr>
          <w:p w:rsidR="004A6DF0" w:rsidRPr="0035617B" w:rsidRDefault="004A6DF0" w:rsidP="002F594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4A6DF0" w:rsidRPr="0035617B" w:rsidRDefault="004A6DF0" w:rsidP="002F594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4A6DF0" w:rsidRPr="0035617B" w:rsidRDefault="004A6DF0" w:rsidP="002F594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4A6DF0" w:rsidRPr="0035617B" w:rsidRDefault="004A6DF0" w:rsidP="002F594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-$61.3</w:t>
            </w:r>
          </w:p>
        </w:tc>
      </w:tr>
    </w:tbl>
    <w:p w:rsidR="004A6DF0" w:rsidRPr="0035617B" w:rsidRDefault="004A6DF0" w:rsidP="00011360">
      <w:pPr>
        <w:pStyle w:val="BodyText1"/>
        <w:rPr>
          <w:rFonts w:eastAsia="Calibri"/>
          <w:sz w:val="20"/>
          <w:szCs w:val="20"/>
          <w:lang w:eastAsia="en-AU"/>
        </w:rPr>
      </w:pPr>
      <w:r w:rsidRPr="004A6DF0">
        <w:rPr>
          <w:rFonts w:eastAsia="Calibri"/>
          <w:sz w:val="20"/>
          <w:szCs w:val="20"/>
          <w:lang w:eastAsia="en-AU"/>
        </w:rPr>
        <w:t>Encourages sustainable competition in the provision of telecommunications infrastructure for new developments by having NBN Co charge developers to build infrastructure on a partial upfront cost recovery basis.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2A1EAB" w:rsidTr="000B7919">
        <w:trPr>
          <w:tblHeader/>
        </w:trPr>
        <w:tc>
          <w:tcPr>
            <w:tcW w:w="5420" w:type="dxa"/>
            <w:shd w:val="clear" w:color="auto" w:fill="F4973F"/>
            <w:vAlign w:val="center"/>
          </w:tcPr>
          <w:p w:rsidR="002A1EAB" w:rsidRDefault="002A1EAB" w:rsidP="000B7919">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2A1EAB" w:rsidRDefault="002A1EAB" w:rsidP="000B7919">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2A1EAB" w:rsidRDefault="002A1EAB" w:rsidP="000B791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2A1EAB" w:rsidRDefault="002A1EAB" w:rsidP="000B791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2A1EAB" w:rsidRDefault="002A1EAB" w:rsidP="000B791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6A2A8D" w:rsidRPr="0035617B" w:rsidTr="000B7919">
        <w:trPr>
          <w:trHeight w:hRule="exact" w:val="525"/>
        </w:trPr>
        <w:tc>
          <w:tcPr>
            <w:tcW w:w="5420" w:type="dxa"/>
            <w:shd w:val="clear" w:color="auto" w:fill="auto"/>
            <w:vAlign w:val="center"/>
          </w:tcPr>
          <w:p w:rsidR="002A1EAB" w:rsidRPr="0035617B" w:rsidRDefault="002A1EAB" w:rsidP="000B7919">
            <w:pPr>
              <w:pStyle w:val="TableParagraph"/>
              <w:kinsoku w:val="0"/>
              <w:overflowPunct w:val="0"/>
              <w:spacing w:before="54" w:line="254" w:lineRule="auto"/>
              <w:ind w:left="170" w:right="102"/>
              <w:rPr>
                <w:rFonts w:ascii="Arial" w:hAnsi="Arial" w:cs="Arial"/>
                <w:spacing w:val="-3"/>
                <w:sz w:val="18"/>
                <w:szCs w:val="18"/>
              </w:rPr>
            </w:pPr>
            <w:r w:rsidRPr="0035617B">
              <w:rPr>
                <w:rFonts w:ascii="Arial" w:hAnsi="Arial" w:cs="Arial"/>
                <w:spacing w:val="-3"/>
                <w:sz w:val="18"/>
                <w:szCs w:val="18"/>
              </w:rPr>
              <w:t>Telstra Retail Price Controls</w:t>
            </w:r>
          </w:p>
        </w:tc>
        <w:tc>
          <w:tcPr>
            <w:tcW w:w="1245" w:type="dxa"/>
            <w:shd w:val="clear" w:color="auto" w:fill="auto"/>
            <w:vAlign w:val="center"/>
          </w:tcPr>
          <w:p w:rsidR="002A1EAB" w:rsidRPr="0035617B" w:rsidRDefault="002A1EAB" w:rsidP="000B7919">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Compliant</w:t>
            </w:r>
          </w:p>
        </w:tc>
        <w:tc>
          <w:tcPr>
            <w:tcW w:w="1105" w:type="dxa"/>
            <w:shd w:val="clear" w:color="auto" w:fill="auto"/>
            <w:vAlign w:val="center"/>
          </w:tcPr>
          <w:p w:rsidR="002A1EAB" w:rsidRPr="0035617B" w:rsidRDefault="002A1EAB" w:rsidP="000B7919">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Yes</w:t>
            </w:r>
          </w:p>
        </w:tc>
        <w:tc>
          <w:tcPr>
            <w:tcW w:w="1104" w:type="dxa"/>
            <w:shd w:val="clear" w:color="auto" w:fill="auto"/>
            <w:vAlign w:val="center"/>
          </w:tcPr>
          <w:p w:rsidR="002A1EAB" w:rsidRPr="0035617B" w:rsidRDefault="002A1EAB" w:rsidP="000B7919">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No</w:t>
            </w:r>
          </w:p>
        </w:tc>
        <w:tc>
          <w:tcPr>
            <w:tcW w:w="1105" w:type="dxa"/>
            <w:vAlign w:val="center"/>
          </w:tcPr>
          <w:p w:rsidR="002A1EAB" w:rsidRPr="0035617B" w:rsidRDefault="002A1EAB" w:rsidP="000B7919">
            <w:pPr>
              <w:pStyle w:val="TableParagraph"/>
              <w:kinsoku w:val="0"/>
              <w:overflowPunct w:val="0"/>
              <w:spacing w:before="54"/>
              <w:ind w:right="227"/>
              <w:jc w:val="right"/>
              <w:rPr>
                <w:rFonts w:ascii="Arial" w:hAnsi="Arial" w:cs="Arial"/>
                <w:spacing w:val="-3"/>
                <w:sz w:val="18"/>
                <w:szCs w:val="18"/>
              </w:rPr>
            </w:pPr>
            <w:r w:rsidRPr="0035617B">
              <w:rPr>
                <w:rFonts w:ascii="Arial" w:hAnsi="Arial" w:cs="Arial"/>
                <w:spacing w:val="-3"/>
                <w:sz w:val="18"/>
                <w:szCs w:val="18"/>
              </w:rPr>
              <w:t>-$0.3</w:t>
            </w:r>
          </w:p>
        </w:tc>
      </w:tr>
    </w:tbl>
    <w:p w:rsidR="00F64D5C" w:rsidRPr="0035617B" w:rsidRDefault="00F64D5C" w:rsidP="008A2CDE">
      <w:pPr>
        <w:pStyle w:val="BodyText1"/>
        <w:spacing w:line="240" w:lineRule="auto"/>
        <w:rPr>
          <w:rFonts w:eastAsia="Calibri"/>
          <w:sz w:val="20"/>
          <w:szCs w:val="20"/>
          <w:lang w:eastAsia="en-AU"/>
        </w:rPr>
      </w:pPr>
      <w:r w:rsidRPr="0035617B">
        <w:rPr>
          <w:rFonts w:eastAsia="Calibri"/>
          <w:sz w:val="20"/>
          <w:szCs w:val="20"/>
          <w:lang w:eastAsia="en-AU"/>
        </w:rPr>
        <w:t>Retail price controls that currently apply to Telstra include price caps and other restrictions to the price of certain services offered by Telstra at the retail level such as fixed telephone services.</w:t>
      </w:r>
    </w:p>
    <w:p w:rsidR="00F64D5C" w:rsidRPr="0035617B" w:rsidRDefault="00F64D5C" w:rsidP="008A2CDE">
      <w:pPr>
        <w:pStyle w:val="BodyText1"/>
        <w:spacing w:line="240" w:lineRule="auto"/>
        <w:rPr>
          <w:rFonts w:eastAsia="Calibri"/>
          <w:sz w:val="20"/>
          <w:szCs w:val="20"/>
          <w:lang w:eastAsia="en-AU"/>
        </w:rPr>
      </w:pPr>
      <w:r w:rsidRPr="0035617B">
        <w:rPr>
          <w:rFonts w:eastAsia="Calibri"/>
          <w:sz w:val="20"/>
          <w:szCs w:val="20"/>
          <w:lang w:eastAsia="en-AU"/>
        </w:rPr>
        <w:t>On 18 March 2015, the Minister for Communications announced the Australian Government’s decision to repe</w:t>
      </w:r>
      <w:r w:rsidR="008A2CDE" w:rsidRPr="0035617B">
        <w:rPr>
          <w:rFonts w:eastAsia="Calibri"/>
          <w:sz w:val="20"/>
          <w:szCs w:val="20"/>
          <w:lang w:eastAsia="en-AU"/>
        </w:rPr>
        <w:t>al these retail price controls.</w:t>
      </w:r>
    </w:p>
    <w:p w:rsidR="00F64D5C" w:rsidRPr="0035617B" w:rsidRDefault="00F64D5C" w:rsidP="008A2CDE">
      <w:pPr>
        <w:pStyle w:val="BodyText1"/>
        <w:spacing w:line="240" w:lineRule="auto"/>
        <w:rPr>
          <w:rFonts w:eastAsia="Calibri"/>
          <w:sz w:val="20"/>
          <w:szCs w:val="20"/>
          <w:lang w:eastAsia="en-AU"/>
        </w:rPr>
      </w:pPr>
      <w:r w:rsidRPr="0035617B">
        <w:rPr>
          <w:rFonts w:eastAsia="Calibri"/>
          <w:sz w:val="20"/>
          <w:szCs w:val="20"/>
          <w:lang w:eastAsia="en-AU"/>
        </w:rPr>
        <w:t>The decision was informed by an independent review which found that retail price controls were redundant and no longer have an impact on the p</w:t>
      </w:r>
      <w:r w:rsidR="008A2CDE" w:rsidRPr="0035617B">
        <w:rPr>
          <w:rFonts w:eastAsia="Calibri"/>
          <w:sz w:val="20"/>
          <w:szCs w:val="20"/>
          <w:lang w:eastAsia="en-AU"/>
        </w:rPr>
        <w:t>rices Telstra actually charges.</w:t>
      </w:r>
    </w:p>
    <w:p w:rsidR="00011360" w:rsidRPr="0035617B" w:rsidRDefault="00F64D5C" w:rsidP="008A2CDE">
      <w:pPr>
        <w:pStyle w:val="BodyText1"/>
        <w:spacing w:line="240" w:lineRule="auto"/>
        <w:rPr>
          <w:rFonts w:eastAsia="Calibri"/>
          <w:sz w:val="20"/>
          <w:szCs w:val="20"/>
          <w:lang w:eastAsia="en-AU"/>
        </w:rPr>
      </w:pPr>
      <w:r w:rsidRPr="0035617B">
        <w:rPr>
          <w:rFonts w:eastAsia="Calibri"/>
          <w:sz w:val="20"/>
          <w:szCs w:val="20"/>
          <w:lang w:eastAsia="en-AU"/>
        </w:rPr>
        <w:t>The process was certified by the Department of Communications as meeting the requirements of a Regulation Impact Statement (RIS). The Office of Best Practice Regulation (OBPR) does not assess</w:t>
      </w:r>
      <w:r w:rsidRPr="006A2A8D">
        <w:rPr>
          <w:rFonts w:eastAsia="Calibri"/>
          <w:color w:val="FF0000"/>
          <w:sz w:val="20"/>
          <w:szCs w:val="20"/>
          <w:lang w:eastAsia="en-AU"/>
        </w:rPr>
        <w:t xml:space="preserve"> </w:t>
      </w:r>
      <w:r w:rsidRPr="0035617B">
        <w:rPr>
          <w:rFonts w:eastAsia="Calibri"/>
          <w:sz w:val="20"/>
          <w:szCs w:val="20"/>
          <w:lang w:eastAsia="en-AU"/>
        </w:rPr>
        <w:t>independent reviews.</w:t>
      </w:r>
    </w:p>
    <w:p w:rsidR="004A54EB" w:rsidRDefault="004A54EB" w:rsidP="004A54EB">
      <w:pPr>
        <w:pStyle w:val="Heading3"/>
      </w:pPr>
      <w:bookmarkStart w:id="159" w:name="_Toc428965508"/>
      <w:r w:rsidRPr="007B70F0">
        <w:rPr>
          <w:rFonts w:eastAsia="Calibri"/>
          <w:lang w:eastAsia="en-AU"/>
        </w:rPr>
        <w:lastRenderedPageBreak/>
        <w:t>Australian</w:t>
      </w:r>
      <w:r>
        <w:rPr>
          <w:rFonts w:eastAsia="Calibri"/>
          <w:lang w:eastAsia="en-AU"/>
        </w:rPr>
        <w:t xml:space="preserve"> </w:t>
      </w:r>
      <w:r w:rsidRPr="007B70F0">
        <w:rPr>
          <w:rFonts w:eastAsia="Calibri"/>
          <w:lang w:eastAsia="en-AU"/>
        </w:rPr>
        <w:t>Communications and Media Authority</w:t>
      </w:r>
      <w:bookmarkEnd w:id="159"/>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730ADC" w:rsidTr="00631829">
        <w:trPr>
          <w:tblHeader/>
        </w:trPr>
        <w:tc>
          <w:tcPr>
            <w:tcW w:w="5420" w:type="dxa"/>
            <w:shd w:val="clear" w:color="auto" w:fill="F4973F"/>
            <w:vAlign w:val="center"/>
          </w:tcPr>
          <w:p w:rsidR="00730ADC" w:rsidRDefault="00C25C33" w:rsidP="00631829">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730ADC" w:rsidRDefault="00730ADC" w:rsidP="0063182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730ADC" w:rsidRDefault="00730ADC" w:rsidP="0063182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Regulatory </w:t>
            </w:r>
            <w:r w:rsidR="00F96E4B">
              <w:rPr>
                <w:rFonts w:ascii="Arial" w:hAnsi="Arial" w:cs="Arial"/>
                <w:color w:val="FFFFFF"/>
                <w:w w:val="105"/>
                <w:sz w:val="18"/>
                <w:szCs w:val="18"/>
              </w:rPr>
              <w:t>Burden</w:t>
            </w:r>
            <w:r>
              <w:rPr>
                <w:rFonts w:ascii="Arial" w:hAnsi="Arial" w:cs="Arial"/>
                <w:color w:val="FFFFFF"/>
                <w:w w:val="105"/>
                <w:sz w:val="18"/>
                <w:szCs w:val="18"/>
              </w:rPr>
              <w:t xml:space="preserve"> ($m)</w:t>
            </w:r>
          </w:p>
        </w:tc>
      </w:tr>
      <w:tr w:rsidR="00730ADC" w:rsidTr="00631829">
        <w:trPr>
          <w:trHeight w:hRule="exact" w:val="525"/>
        </w:trPr>
        <w:tc>
          <w:tcPr>
            <w:tcW w:w="5420" w:type="dxa"/>
            <w:shd w:val="clear" w:color="auto" w:fill="auto"/>
            <w:vAlign w:val="center"/>
          </w:tcPr>
          <w:p w:rsidR="00730ADC" w:rsidRDefault="004A54EB" w:rsidP="00631829">
            <w:pPr>
              <w:pStyle w:val="TableParagraph"/>
              <w:kinsoku w:val="0"/>
              <w:overflowPunct w:val="0"/>
              <w:spacing w:before="54" w:line="254" w:lineRule="auto"/>
              <w:ind w:left="170" w:right="102"/>
              <w:rPr>
                <w:rFonts w:ascii="Arial" w:hAnsi="Arial" w:cs="Arial"/>
                <w:spacing w:val="-3"/>
                <w:sz w:val="18"/>
                <w:szCs w:val="18"/>
              </w:rPr>
            </w:pPr>
            <w:r w:rsidRPr="004A54EB">
              <w:rPr>
                <w:rFonts w:ascii="Arial" w:hAnsi="Arial" w:cs="Arial"/>
                <w:spacing w:val="-3"/>
                <w:sz w:val="18"/>
                <w:szCs w:val="18"/>
              </w:rPr>
              <w:t>Informed Decisions for Backup Power Supply Arrangements</w:t>
            </w:r>
          </w:p>
        </w:tc>
        <w:tc>
          <w:tcPr>
            <w:tcW w:w="1245" w:type="dxa"/>
            <w:shd w:val="clear" w:color="auto" w:fill="auto"/>
            <w:vAlign w:val="center"/>
          </w:tcPr>
          <w:p w:rsidR="00730ADC" w:rsidRDefault="004A54EB"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730ADC" w:rsidRDefault="004A54EB"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730ADC" w:rsidRDefault="004A54EB"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730ADC" w:rsidRDefault="00950C25" w:rsidP="00631829">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4A54EB">
              <w:rPr>
                <w:rFonts w:ascii="Arial" w:hAnsi="Arial" w:cs="Arial"/>
                <w:spacing w:val="-3"/>
                <w:sz w:val="18"/>
                <w:szCs w:val="18"/>
              </w:rPr>
              <w:t>0.2</w:t>
            </w:r>
          </w:p>
        </w:tc>
      </w:tr>
    </w:tbl>
    <w:p w:rsidR="004A54EB" w:rsidRPr="00987990" w:rsidRDefault="004A54EB" w:rsidP="004A54EB">
      <w:pPr>
        <w:pStyle w:val="BodyText1"/>
        <w:rPr>
          <w:rFonts w:eastAsia="Calibri"/>
          <w:sz w:val="20"/>
          <w:szCs w:val="20"/>
          <w:lang w:eastAsia="en-AU"/>
        </w:rPr>
      </w:pPr>
      <w:r w:rsidRPr="00987990">
        <w:rPr>
          <w:rFonts w:eastAsia="Calibri"/>
          <w:sz w:val="20"/>
          <w:szCs w:val="20"/>
          <w:lang w:eastAsia="en-AU"/>
        </w:rPr>
        <w:t>The Australian Communications and Media Authority (ACMA) announced that telecommunications service providers must inform customers connecting to the NBN fibre network about how a mains power failure could affect their voice service. A backup battery supply ensures continued access to fixed-line telephone services</w:t>
      </w:r>
      <w:r w:rsidRPr="00987990">
        <w:rPr>
          <w:sz w:val="20"/>
          <w:szCs w:val="20"/>
        </w:rPr>
        <w:t xml:space="preserve"> d</w:t>
      </w:r>
      <w:r w:rsidRPr="00987990">
        <w:rPr>
          <w:rFonts w:eastAsia="Calibri"/>
          <w:sz w:val="20"/>
          <w:szCs w:val="20"/>
          <w:lang w:eastAsia="en-AU"/>
        </w:rPr>
        <w:t>uring a power outage. Under the previous rules, telecommunication service providers may have had an incentive to minimise the amount of information provided to consumers regarding the backup battery supply. The new requirement will help to ensure consumers are adequately informed while keeping the costs to providers of maintaining records of informed consent reasonable. The proposed regulation has been assessed as likely to have a limited impact on the economy with minor impacts on competition.</w:t>
      </w:r>
    </w:p>
    <w:p w:rsidR="006040B4" w:rsidRDefault="006040B4" w:rsidP="006040B4">
      <w:pPr>
        <w:pStyle w:val="Heading3"/>
      </w:pPr>
      <w:bookmarkStart w:id="160" w:name="_Toc428965509"/>
      <w:r w:rsidRPr="00AF6F6A">
        <w:t xml:space="preserve">Department of </w:t>
      </w:r>
      <w:r>
        <w:t>Education</w:t>
      </w:r>
      <w:bookmarkEnd w:id="160"/>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6040B4" w:rsidTr="008960F5">
        <w:trPr>
          <w:tblHeader/>
        </w:trPr>
        <w:tc>
          <w:tcPr>
            <w:tcW w:w="5420" w:type="dxa"/>
            <w:shd w:val="clear" w:color="auto" w:fill="F4973F"/>
            <w:vAlign w:val="center"/>
          </w:tcPr>
          <w:p w:rsidR="006040B4" w:rsidRDefault="006040B4" w:rsidP="008960F5">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6040B4" w:rsidRDefault="006040B4" w:rsidP="008960F5">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6040B4" w:rsidRDefault="006040B4" w:rsidP="008960F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6040B4" w:rsidRDefault="006040B4" w:rsidP="008960F5">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6040B4" w:rsidRDefault="00F96E4B" w:rsidP="008960F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w:t>
            </w:r>
            <w:r w:rsidR="006040B4">
              <w:rPr>
                <w:rFonts w:ascii="Arial" w:hAnsi="Arial" w:cs="Arial"/>
                <w:color w:val="FFFFFF"/>
                <w:w w:val="105"/>
                <w:sz w:val="18"/>
                <w:szCs w:val="18"/>
              </w:rPr>
              <w:t xml:space="preserve"> ($m)</w:t>
            </w:r>
          </w:p>
        </w:tc>
      </w:tr>
      <w:tr w:rsidR="006040B4" w:rsidRPr="00987990" w:rsidTr="008960F5">
        <w:trPr>
          <w:trHeight w:hRule="exact" w:val="525"/>
        </w:trPr>
        <w:tc>
          <w:tcPr>
            <w:tcW w:w="5420" w:type="dxa"/>
            <w:shd w:val="clear" w:color="auto" w:fill="auto"/>
            <w:vAlign w:val="center"/>
          </w:tcPr>
          <w:p w:rsidR="006040B4" w:rsidRPr="00987990" w:rsidRDefault="006040B4" w:rsidP="008960F5">
            <w:pPr>
              <w:pStyle w:val="TableParagraph"/>
              <w:kinsoku w:val="0"/>
              <w:overflowPunct w:val="0"/>
              <w:spacing w:before="54" w:line="254" w:lineRule="auto"/>
              <w:ind w:left="170" w:right="102"/>
              <w:rPr>
                <w:rFonts w:ascii="Arial" w:hAnsi="Arial" w:cs="Arial"/>
                <w:spacing w:val="-3"/>
                <w:sz w:val="18"/>
                <w:szCs w:val="18"/>
              </w:rPr>
            </w:pPr>
            <w:r w:rsidRPr="00987990">
              <w:rPr>
                <w:rFonts w:ascii="Arial" w:hAnsi="Arial" w:cs="Arial"/>
                <w:spacing w:val="-3"/>
                <w:sz w:val="18"/>
                <w:szCs w:val="18"/>
              </w:rPr>
              <w:t>Higher Education Reforms</w:t>
            </w:r>
          </w:p>
        </w:tc>
        <w:tc>
          <w:tcPr>
            <w:tcW w:w="1245" w:type="dxa"/>
            <w:shd w:val="clear" w:color="auto" w:fill="auto"/>
            <w:vAlign w:val="center"/>
          </w:tcPr>
          <w:p w:rsidR="006040B4" w:rsidRPr="00987990" w:rsidRDefault="006040B4" w:rsidP="008960F5">
            <w:pPr>
              <w:pStyle w:val="TableParagraph"/>
              <w:kinsoku w:val="0"/>
              <w:overflowPunct w:val="0"/>
              <w:spacing w:before="54"/>
              <w:jc w:val="center"/>
              <w:rPr>
                <w:rFonts w:ascii="Arial" w:hAnsi="Arial" w:cs="Arial"/>
                <w:spacing w:val="-3"/>
                <w:sz w:val="18"/>
                <w:szCs w:val="18"/>
              </w:rPr>
            </w:pPr>
            <w:r w:rsidRPr="00987990">
              <w:rPr>
                <w:rFonts w:ascii="Arial" w:hAnsi="Arial" w:cs="Arial"/>
                <w:spacing w:val="-3"/>
                <w:sz w:val="18"/>
                <w:szCs w:val="18"/>
              </w:rPr>
              <w:t>Compliant</w:t>
            </w:r>
          </w:p>
        </w:tc>
        <w:tc>
          <w:tcPr>
            <w:tcW w:w="1105" w:type="dxa"/>
            <w:shd w:val="clear" w:color="auto" w:fill="auto"/>
            <w:vAlign w:val="center"/>
          </w:tcPr>
          <w:p w:rsidR="006040B4" w:rsidRPr="00987990" w:rsidRDefault="006040B4" w:rsidP="008960F5">
            <w:pPr>
              <w:pStyle w:val="TableParagraph"/>
              <w:kinsoku w:val="0"/>
              <w:overflowPunct w:val="0"/>
              <w:spacing w:before="54"/>
              <w:jc w:val="center"/>
              <w:rPr>
                <w:rFonts w:ascii="Arial" w:hAnsi="Arial" w:cs="Arial"/>
                <w:spacing w:val="-3"/>
                <w:sz w:val="18"/>
                <w:szCs w:val="18"/>
              </w:rPr>
            </w:pPr>
            <w:r w:rsidRPr="00987990">
              <w:rPr>
                <w:rFonts w:ascii="Arial" w:hAnsi="Arial" w:cs="Arial"/>
                <w:spacing w:val="-3"/>
                <w:sz w:val="18"/>
                <w:szCs w:val="18"/>
              </w:rPr>
              <w:t>No</w:t>
            </w:r>
          </w:p>
        </w:tc>
        <w:tc>
          <w:tcPr>
            <w:tcW w:w="1104" w:type="dxa"/>
            <w:shd w:val="clear" w:color="auto" w:fill="auto"/>
            <w:vAlign w:val="center"/>
          </w:tcPr>
          <w:p w:rsidR="006040B4" w:rsidRPr="00987990" w:rsidRDefault="006040B4" w:rsidP="008960F5">
            <w:pPr>
              <w:pStyle w:val="TableParagraph"/>
              <w:kinsoku w:val="0"/>
              <w:overflowPunct w:val="0"/>
              <w:spacing w:before="54"/>
              <w:jc w:val="center"/>
              <w:rPr>
                <w:rFonts w:ascii="Arial" w:hAnsi="Arial" w:cs="Arial"/>
                <w:spacing w:val="-3"/>
                <w:sz w:val="18"/>
                <w:szCs w:val="18"/>
              </w:rPr>
            </w:pPr>
            <w:r w:rsidRPr="00987990">
              <w:rPr>
                <w:rFonts w:ascii="Arial" w:hAnsi="Arial" w:cs="Arial"/>
                <w:spacing w:val="-3"/>
                <w:sz w:val="18"/>
                <w:szCs w:val="18"/>
              </w:rPr>
              <w:t>within five years</w:t>
            </w:r>
          </w:p>
        </w:tc>
        <w:tc>
          <w:tcPr>
            <w:tcW w:w="1105" w:type="dxa"/>
            <w:vAlign w:val="center"/>
          </w:tcPr>
          <w:p w:rsidR="006040B4" w:rsidRPr="00987990" w:rsidRDefault="006040B4" w:rsidP="008960F5">
            <w:pPr>
              <w:pStyle w:val="TableParagraph"/>
              <w:kinsoku w:val="0"/>
              <w:overflowPunct w:val="0"/>
              <w:spacing w:before="54"/>
              <w:ind w:right="227"/>
              <w:jc w:val="right"/>
              <w:rPr>
                <w:rFonts w:ascii="Arial" w:hAnsi="Arial" w:cs="Arial"/>
                <w:spacing w:val="-3"/>
                <w:sz w:val="18"/>
                <w:szCs w:val="18"/>
              </w:rPr>
            </w:pPr>
            <w:r w:rsidRPr="00987990">
              <w:rPr>
                <w:rFonts w:ascii="Arial" w:hAnsi="Arial" w:cs="Arial"/>
                <w:spacing w:val="-3"/>
                <w:sz w:val="18"/>
                <w:szCs w:val="18"/>
              </w:rPr>
              <w:t>-$9.8</w:t>
            </w:r>
          </w:p>
        </w:tc>
      </w:tr>
    </w:tbl>
    <w:p w:rsidR="006040B4" w:rsidRPr="00987990" w:rsidRDefault="0055460E" w:rsidP="00987990">
      <w:pPr>
        <w:pStyle w:val="BodyText1"/>
        <w:spacing w:before="240"/>
        <w:rPr>
          <w:sz w:val="20"/>
          <w:szCs w:val="20"/>
          <w:lang w:eastAsia="en-AU"/>
        </w:rPr>
      </w:pPr>
      <w:r w:rsidRPr="00987990">
        <w:rPr>
          <w:sz w:val="20"/>
          <w:szCs w:val="20"/>
          <w:lang w:eastAsia="en-AU"/>
        </w:rPr>
        <w:t>Existing price controls can</w:t>
      </w:r>
      <w:r w:rsidR="006040B4" w:rsidRPr="00987990">
        <w:rPr>
          <w:sz w:val="20"/>
          <w:szCs w:val="20"/>
          <w:lang w:eastAsia="en-AU"/>
        </w:rPr>
        <w:t xml:space="preserve"> distort the efficient functioning of the higher education market by limiting which institutions can deliver subsidised higher education, constraining competition within the market. </w:t>
      </w:r>
    </w:p>
    <w:p w:rsidR="006040B4" w:rsidRPr="00987990" w:rsidRDefault="00F34BC9" w:rsidP="006040B4">
      <w:pPr>
        <w:pStyle w:val="BodyText1"/>
        <w:rPr>
          <w:sz w:val="20"/>
          <w:szCs w:val="20"/>
          <w:lang w:eastAsia="en-AU"/>
        </w:rPr>
      </w:pPr>
      <w:r w:rsidRPr="00987990">
        <w:rPr>
          <w:sz w:val="20"/>
          <w:szCs w:val="20"/>
          <w:lang w:eastAsia="en-AU"/>
        </w:rPr>
        <w:t>T</w:t>
      </w:r>
      <w:r w:rsidR="006040B4" w:rsidRPr="00987990">
        <w:rPr>
          <w:sz w:val="20"/>
          <w:szCs w:val="20"/>
          <w:lang w:eastAsia="en-AU"/>
        </w:rPr>
        <w:t xml:space="preserve">he </w:t>
      </w:r>
      <w:r w:rsidR="006040B4" w:rsidRPr="00987990">
        <w:rPr>
          <w:i/>
          <w:sz w:val="20"/>
          <w:szCs w:val="20"/>
          <w:lang w:eastAsia="en-AU"/>
        </w:rPr>
        <w:t xml:space="preserve">Higher Education and Research Reform Amendment Bill 2014 </w:t>
      </w:r>
      <w:r w:rsidR="006040B4" w:rsidRPr="00987990">
        <w:rPr>
          <w:sz w:val="20"/>
          <w:szCs w:val="20"/>
          <w:lang w:eastAsia="en-AU"/>
        </w:rPr>
        <w:t>would allow registered higher education institutions (including public and private universities, and non</w:t>
      </w:r>
      <w:r w:rsidR="006040B4" w:rsidRPr="00987990">
        <w:rPr>
          <w:rFonts w:ascii="MS Gothic" w:eastAsia="MS Gothic" w:hAnsi="MS Gothic" w:cs="MS Gothic" w:hint="eastAsia"/>
          <w:sz w:val="20"/>
          <w:szCs w:val="20"/>
          <w:lang w:eastAsia="en-AU"/>
        </w:rPr>
        <w:t>‑</w:t>
      </w:r>
      <w:r w:rsidR="006040B4" w:rsidRPr="00987990">
        <w:rPr>
          <w:sz w:val="20"/>
          <w:szCs w:val="20"/>
          <w:lang w:eastAsia="en-AU"/>
        </w:rPr>
        <w:t xml:space="preserve">university higher education institutions) to set their own tuition fees for Commonwealth supported students. The changes will give institutions additional flexibility to structure their fees to suit their strategic goals and offer services at prices and in quantities that reflect their specific circumstances and the preferences of their students. </w:t>
      </w:r>
    </w:p>
    <w:p w:rsidR="006040B4" w:rsidRPr="00987990" w:rsidRDefault="006040B4" w:rsidP="006040B4">
      <w:pPr>
        <w:pStyle w:val="BodyText1"/>
        <w:rPr>
          <w:sz w:val="20"/>
          <w:szCs w:val="20"/>
          <w:lang w:eastAsia="en-AU"/>
        </w:rPr>
      </w:pPr>
      <w:r w:rsidRPr="00987990">
        <w:rPr>
          <w:sz w:val="20"/>
          <w:szCs w:val="20"/>
          <w:lang w:eastAsia="en-AU"/>
        </w:rPr>
        <w:t xml:space="preserve">The OBPR did not consider that the RIS represented best practice, given the scale and significance of the higher education reforms and the likely impacts on the higher education market. In particular, the OBPR considered that the impact analysis was not sufficiently accessible to a range of stakeholders. </w:t>
      </w:r>
    </w:p>
    <w:p w:rsidR="0035617B" w:rsidRPr="006B1F8E" w:rsidRDefault="006040B4" w:rsidP="006B1F8E">
      <w:pPr>
        <w:pStyle w:val="BodyText1"/>
        <w:rPr>
          <w:sz w:val="20"/>
          <w:szCs w:val="20"/>
          <w:lang w:eastAsia="en-AU"/>
        </w:rPr>
      </w:pPr>
      <w:r w:rsidRPr="00987990">
        <w:rPr>
          <w:sz w:val="20"/>
          <w:szCs w:val="20"/>
          <w:lang w:eastAsia="en-AU"/>
        </w:rPr>
        <w:t xml:space="preserve">As the reforms have been assessed by the OBPR as having a substantial impact on the sector and the economy, </w:t>
      </w:r>
      <w:r w:rsidRPr="00987990">
        <w:rPr>
          <w:sz w:val="20"/>
          <w:szCs w:val="20"/>
        </w:rPr>
        <w:t>the Government requires a Post</w:t>
      </w:r>
      <w:r w:rsidRPr="00987990">
        <w:rPr>
          <w:sz w:val="20"/>
          <w:szCs w:val="20"/>
        </w:rPr>
        <w:noBreakHyphen/>
        <w:t xml:space="preserve">implementation Review to be completed </w:t>
      </w:r>
      <w:r w:rsidRPr="00987990">
        <w:rPr>
          <w:sz w:val="20"/>
          <w:szCs w:val="20"/>
          <w:lang w:eastAsia="en-AU"/>
        </w:rPr>
        <w:t>for the higher education reforms within five y</w:t>
      </w:r>
      <w:r w:rsidR="00643E5E">
        <w:rPr>
          <w:sz w:val="20"/>
          <w:szCs w:val="20"/>
          <w:lang w:eastAsia="en-AU"/>
        </w:rPr>
        <w:t>ears of them being implemented.</w:t>
      </w:r>
    </w:p>
    <w:p w:rsidR="00C2325C" w:rsidRDefault="00C2325C" w:rsidP="00C2325C">
      <w:pPr>
        <w:pStyle w:val="Heading3"/>
      </w:pPr>
      <w:bookmarkStart w:id="161" w:name="_Toc428965510"/>
      <w:r w:rsidRPr="00AF6F6A">
        <w:t xml:space="preserve">Department of </w:t>
      </w:r>
      <w:r>
        <w:t>Employment</w:t>
      </w:r>
      <w:bookmarkEnd w:id="161"/>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C2325C" w:rsidTr="001905D6">
        <w:trPr>
          <w:tblHeader/>
        </w:trPr>
        <w:tc>
          <w:tcPr>
            <w:tcW w:w="5420" w:type="dxa"/>
            <w:shd w:val="clear" w:color="auto" w:fill="F4973F"/>
            <w:vAlign w:val="center"/>
          </w:tcPr>
          <w:p w:rsidR="00C2325C" w:rsidRDefault="00C2325C" w:rsidP="001905D6">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C2325C" w:rsidRDefault="00C2325C" w:rsidP="001905D6">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C2325C" w:rsidRDefault="00C2325C" w:rsidP="001905D6">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C2325C" w:rsidRDefault="00C2325C" w:rsidP="001905D6">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C2325C" w:rsidRDefault="00C2325C" w:rsidP="001905D6">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Regulatory </w:t>
            </w:r>
            <w:r w:rsidR="00F96E4B">
              <w:rPr>
                <w:rFonts w:ascii="Arial" w:hAnsi="Arial" w:cs="Arial"/>
                <w:color w:val="FFFFFF"/>
                <w:w w:val="105"/>
                <w:sz w:val="18"/>
                <w:szCs w:val="18"/>
              </w:rPr>
              <w:t>Burden</w:t>
            </w:r>
            <w:r>
              <w:rPr>
                <w:rFonts w:ascii="Arial" w:hAnsi="Arial" w:cs="Arial"/>
                <w:color w:val="FFFFFF"/>
                <w:w w:val="105"/>
                <w:sz w:val="18"/>
                <w:szCs w:val="18"/>
              </w:rPr>
              <w:t xml:space="preserve"> ($m)</w:t>
            </w:r>
          </w:p>
        </w:tc>
      </w:tr>
      <w:tr w:rsidR="00C2325C" w:rsidTr="001905D6">
        <w:trPr>
          <w:trHeight w:hRule="exact" w:val="525"/>
        </w:trPr>
        <w:tc>
          <w:tcPr>
            <w:tcW w:w="5420" w:type="dxa"/>
            <w:shd w:val="clear" w:color="auto" w:fill="auto"/>
            <w:vAlign w:val="center"/>
          </w:tcPr>
          <w:p w:rsidR="00C2325C" w:rsidRDefault="00C2325C" w:rsidP="001F0A65">
            <w:pPr>
              <w:pStyle w:val="TableParagraph"/>
              <w:kinsoku w:val="0"/>
              <w:overflowPunct w:val="0"/>
              <w:spacing w:before="54" w:line="254" w:lineRule="auto"/>
              <w:ind w:left="170" w:right="102"/>
              <w:rPr>
                <w:rFonts w:ascii="Arial" w:hAnsi="Arial" w:cs="Arial"/>
                <w:spacing w:val="-3"/>
                <w:sz w:val="18"/>
                <w:szCs w:val="18"/>
              </w:rPr>
            </w:pPr>
            <w:r w:rsidRPr="00C2325C">
              <w:rPr>
                <w:rFonts w:ascii="Arial" w:hAnsi="Arial" w:cs="Arial"/>
                <w:spacing w:val="-3"/>
                <w:sz w:val="18"/>
                <w:szCs w:val="18"/>
              </w:rPr>
              <w:t>Building Code</w:t>
            </w:r>
            <w:r w:rsidR="001F0A65">
              <w:rPr>
                <w:rFonts w:ascii="Arial" w:hAnsi="Arial" w:cs="Arial"/>
                <w:spacing w:val="-3"/>
                <w:sz w:val="18"/>
                <w:szCs w:val="18"/>
              </w:rPr>
              <w:t xml:space="preserve"> 2014 </w:t>
            </w:r>
            <w:r w:rsidR="001D4DD0">
              <w:rPr>
                <w:rFonts w:ascii="Arial" w:hAnsi="Arial" w:cs="Arial"/>
                <w:spacing w:val="-3"/>
                <w:sz w:val="18"/>
                <w:szCs w:val="18"/>
              </w:rPr>
              <w:t xml:space="preserve">further </w:t>
            </w:r>
            <w:r w:rsidRPr="00C2325C">
              <w:rPr>
                <w:rFonts w:ascii="Arial" w:hAnsi="Arial" w:cs="Arial"/>
                <w:spacing w:val="-3"/>
                <w:sz w:val="18"/>
                <w:szCs w:val="18"/>
              </w:rPr>
              <w:t>advance release</w:t>
            </w:r>
          </w:p>
        </w:tc>
        <w:tc>
          <w:tcPr>
            <w:tcW w:w="1245" w:type="dxa"/>
            <w:shd w:val="clear" w:color="auto" w:fill="auto"/>
            <w:vAlign w:val="center"/>
          </w:tcPr>
          <w:p w:rsidR="00C2325C" w:rsidRDefault="00C2325C"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C2325C" w:rsidRDefault="004E6198"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C2325C" w:rsidRDefault="00C2325C"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C2325C" w:rsidRPr="00FE226A" w:rsidRDefault="00FE226A" w:rsidP="001905D6">
            <w:pPr>
              <w:pStyle w:val="TableParagraph"/>
              <w:kinsoku w:val="0"/>
              <w:overflowPunct w:val="0"/>
              <w:spacing w:before="54"/>
              <w:ind w:right="227"/>
              <w:jc w:val="right"/>
              <w:rPr>
                <w:rFonts w:ascii="Arial" w:hAnsi="Arial" w:cs="Arial"/>
                <w:spacing w:val="-3"/>
                <w:sz w:val="18"/>
                <w:szCs w:val="18"/>
              </w:rPr>
            </w:pPr>
            <w:r w:rsidRPr="00FE226A">
              <w:rPr>
                <w:rFonts w:ascii="Arial" w:hAnsi="Arial" w:cs="Arial"/>
                <w:spacing w:val="-3"/>
                <w:sz w:val="18"/>
                <w:szCs w:val="18"/>
              </w:rPr>
              <w:t>$0.0</w:t>
            </w:r>
          </w:p>
        </w:tc>
      </w:tr>
    </w:tbl>
    <w:p w:rsidR="00C2325C" w:rsidRPr="00987990" w:rsidRDefault="004E6198" w:rsidP="00310EF8">
      <w:pPr>
        <w:pStyle w:val="BodyText1"/>
        <w:rPr>
          <w:sz w:val="20"/>
          <w:szCs w:val="20"/>
          <w:lang w:eastAsia="en-AU"/>
        </w:rPr>
      </w:pPr>
      <w:bookmarkStart w:id="162" w:name="_Toc409075890"/>
      <w:bookmarkStart w:id="163" w:name="_Toc409083627"/>
      <w:r w:rsidRPr="00987990">
        <w:rPr>
          <w:sz w:val="20"/>
          <w:szCs w:val="20"/>
          <w:lang w:eastAsia="en-AU"/>
        </w:rPr>
        <w:t xml:space="preserve">On 28 November 2014 </w:t>
      </w:r>
      <w:r w:rsidR="002C3DAF" w:rsidRPr="00987990">
        <w:rPr>
          <w:sz w:val="20"/>
          <w:szCs w:val="20"/>
          <w:lang w:eastAsia="en-AU"/>
        </w:rPr>
        <w:t>the Government</w:t>
      </w:r>
      <w:r w:rsidR="00C2325C" w:rsidRPr="00987990">
        <w:rPr>
          <w:sz w:val="20"/>
          <w:szCs w:val="20"/>
          <w:lang w:eastAsia="en-AU"/>
        </w:rPr>
        <w:t xml:space="preserve"> published a further advance release</w:t>
      </w:r>
      <w:bookmarkEnd w:id="162"/>
      <w:bookmarkEnd w:id="163"/>
      <w:r w:rsidR="00493773" w:rsidRPr="00987990">
        <w:rPr>
          <w:sz w:val="20"/>
          <w:szCs w:val="20"/>
          <w:lang w:eastAsia="en-AU"/>
        </w:rPr>
        <w:t xml:space="preserve"> of the Building and Construction Industry (Fair and Lawful Building Sites) Code 2014 (‘the Building Code’)</w:t>
      </w:r>
      <w:r w:rsidRPr="00987990">
        <w:rPr>
          <w:sz w:val="20"/>
          <w:szCs w:val="20"/>
          <w:lang w:eastAsia="en-AU"/>
        </w:rPr>
        <w:t>.</w:t>
      </w:r>
      <w:r w:rsidR="00CD4D6C" w:rsidRPr="00987990">
        <w:rPr>
          <w:sz w:val="20"/>
          <w:szCs w:val="20"/>
          <w:lang w:eastAsia="en-AU"/>
        </w:rPr>
        <w:t xml:space="preserve"> </w:t>
      </w:r>
    </w:p>
    <w:p w:rsidR="00C2325C" w:rsidRPr="00987990" w:rsidRDefault="00C2325C" w:rsidP="00310EF8">
      <w:pPr>
        <w:pStyle w:val="BodyText1"/>
        <w:rPr>
          <w:sz w:val="20"/>
          <w:szCs w:val="20"/>
          <w:lang w:eastAsia="en-AU"/>
        </w:rPr>
      </w:pPr>
      <w:bookmarkStart w:id="164" w:name="_Toc409075891"/>
      <w:bookmarkStart w:id="165" w:name="_Toc409083628"/>
      <w:r w:rsidRPr="00987990">
        <w:rPr>
          <w:sz w:val="20"/>
          <w:szCs w:val="20"/>
          <w:lang w:eastAsia="en-AU"/>
        </w:rPr>
        <w:t xml:space="preserve">The Building Code sets out the standard of workplace relations conduct expected from those contractors that want to perform work funded by the Commonwealth Government. The advance release of the Code notes that the provisions will apply in respect of enterprise agreements made after 24 April 2014, or that were varied in accordance with the </w:t>
      </w:r>
      <w:r w:rsidRPr="00987990">
        <w:rPr>
          <w:i/>
          <w:sz w:val="20"/>
          <w:szCs w:val="20"/>
          <w:lang w:eastAsia="en-AU"/>
        </w:rPr>
        <w:t>Fair Work Act 2009</w:t>
      </w:r>
      <w:r w:rsidRPr="00987990">
        <w:rPr>
          <w:sz w:val="20"/>
          <w:szCs w:val="20"/>
          <w:lang w:eastAsia="en-AU"/>
        </w:rPr>
        <w:t xml:space="preserve">. These clauses are likely </w:t>
      </w:r>
      <w:r w:rsidRPr="00987990">
        <w:rPr>
          <w:sz w:val="20"/>
          <w:szCs w:val="20"/>
          <w:lang w:eastAsia="en-AU"/>
        </w:rPr>
        <w:lastRenderedPageBreak/>
        <w:t>to have influenced enterprise agreements negotiated in the building and construction industry since that date.</w:t>
      </w:r>
      <w:bookmarkEnd w:id="164"/>
      <w:bookmarkEnd w:id="165"/>
    </w:p>
    <w:p w:rsidR="00881C4F" w:rsidRPr="00987990" w:rsidRDefault="004E6198" w:rsidP="00310EF8">
      <w:pPr>
        <w:pStyle w:val="BodyText1"/>
        <w:rPr>
          <w:sz w:val="20"/>
          <w:szCs w:val="20"/>
          <w:lang w:eastAsia="en-AU"/>
        </w:rPr>
      </w:pPr>
      <w:bookmarkStart w:id="166" w:name="_Toc409075892"/>
      <w:bookmarkStart w:id="167" w:name="_Toc409083629"/>
      <w:r w:rsidRPr="00987990">
        <w:rPr>
          <w:sz w:val="20"/>
          <w:szCs w:val="20"/>
          <w:lang w:eastAsia="en-AU"/>
        </w:rPr>
        <w:t xml:space="preserve">The </w:t>
      </w:r>
      <w:r w:rsidR="00493773" w:rsidRPr="00987990">
        <w:rPr>
          <w:sz w:val="20"/>
          <w:szCs w:val="20"/>
          <w:lang w:eastAsia="en-AU"/>
        </w:rPr>
        <w:t>decision to make a further advance release of the Building Code was</w:t>
      </w:r>
      <w:r w:rsidR="008766A1" w:rsidRPr="00987990">
        <w:rPr>
          <w:sz w:val="20"/>
          <w:szCs w:val="20"/>
          <w:lang w:eastAsia="en-AU"/>
        </w:rPr>
        <w:t xml:space="preserve"> </w:t>
      </w:r>
      <w:r w:rsidR="00C2325C" w:rsidRPr="00987990">
        <w:rPr>
          <w:sz w:val="20"/>
          <w:szCs w:val="20"/>
          <w:lang w:eastAsia="en-AU"/>
        </w:rPr>
        <w:t>informed by analysis and consultations undertaken by the Coalition Taskforce on Re-establishing the Australian Building and Construction Commission prior to the 2013 Federal election, and by the Department of Employment subsequently.</w:t>
      </w:r>
      <w:bookmarkStart w:id="168" w:name="_Toc409075893"/>
      <w:bookmarkStart w:id="169" w:name="_Toc409083630"/>
      <w:bookmarkEnd w:id="166"/>
      <w:bookmarkEnd w:id="167"/>
      <w:r w:rsidRPr="00987990">
        <w:rPr>
          <w:sz w:val="20"/>
          <w:szCs w:val="20"/>
          <w:lang w:eastAsia="en-AU"/>
        </w:rPr>
        <w:t xml:space="preserve"> </w:t>
      </w:r>
    </w:p>
    <w:p w:rsidR="004476E7" w:rsidRDefault="00C2325C" w:rsidP="004476E7">
      <w:pPr>
        <w:pStyle w:val="BodyText1"/>
        <w:rPr>
          <w:sz w:val="20"/>
          <w:szCs w:val="20"/>
          <w:lang w:eastAsia="en-AU"/>
        </w:rPr>
      </w:pPr>
      <w:r w:rsidRPr="00987990">
        <w:rPr>
          <w:sz w:val="20"/>
          <w:szCs w:val="20"/>
          <w:lang w:eastAsia="en-AU"/>
        </w:rPr>
        <w:t>This process was certified by the Department of Employment as mee</w:t>
      </w:r>
      <w:r w:rsidR="00CB0C3D" w:rsidRPr="00987990">
        <w:rPr>
          <w:sz w:val="20"/>
          <w:szCs w:val="20"/>
          <w:lang w:eastAsia="en-AU"/>
        </w:rPr>
        <w:t>ting the requirements of a RIS</w:t>
      </w:r>
      <w:r w:rsidR="004D11B8" w:rsidRPr="00987990">
        <w:rPr>
          <w:sz w:val="20"/>
          <w:szCs w:val="20"/>
          <w:lang w:eastAsia="en-AU"/>
        </w:rPr>
        <w:t>. The OBPR</w:t>
      </w:r>
      <w:r w:rsidRPr="00987990">
        <w:rPr>
          <w:sz w:val="20"/>
          <w:szCs w:val="20"/>
          <w:lang w:eastAsia="en-AU"/>
        </w:rPr>
        <w:t xml:space="preserve"> does not assess independent reviews. </w:t>
      </w:r>
      <w:bookmarkEnd w:id="168"/>
      <w:bookmarkEnd w:id="169"/>
      <w:r w:rsidR="00881C4F" w:rsidRPr="00987990">
        <w:rPr>
          <w:sz w:val="20"/>
          <w:szCs w:val="20"/>
          <w:lang w:eastAsia="en-AU"/>
        </w:rPr>
        <w:t>T</w:t>
      </w:r>
      <w:r w:rsidR="00DE0F73" w:rsidRPr="00987990">
        <w:rPr>
          <w:sz w:val="20"/>
          <w:szCs w:val="20"/>
          <w:lang w:eastAsia="en-AU"/>
        </w:rPr>
        <w:t>he Department of Em</w:t>
      </w:r>
      <w:r w:rsidR="005C0C39" w:rsidRPr="00987990">
        <w:rPr>
          <w:sz w:val="20"/>
          <w:szCs w:val="20"/>
          <w:lang w:eastAsia="en-AU"/>
        </w:rPr>
        <w:t>ployment followed best practice</w:t>
      </w:r>
      <w:r w:rsidR="00881C4F" w:rsidRPr="00987990">
        <w:rPr>
          <w:sz w:val="20"/>
          <w:szCs w:val="20"/>
          <w:lang w:eastAsia="en-AU"/>
        </w:rPr>
        <w:t xml:space="preserve"> process</w:t>
      </w:r>
      <w:r w:rsidR="005C0C39" w:rsidRPr="00987990">
        <w:rPr>
          <w:sz w:val="20"/>
          <w:szCs w:val="20"/>
          <w:lang w:eastAsia="en-AU"/>
        </w:rPr>
        <w:t xml:space="preserve"> in relation to the decision to publish </w:t>
      </w:r>
      <w:r w:rsidR="00E91D7F" w:rsidRPr="00987990">
        <w:rPr>
          <w:sz w:val="20"/>
          <w:szCs w:val="20"/>
          <w:lang w:eastAsia="en-AU"/>
        </w:rPr>
        <w:t>the further advance release.</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CC2A48" w:rsidTr="00D5353A">
        <w:trPr>
          <w:tblHeader/>
        </w:trPr>
        <w:tc>
          <w:tcPr>
            <w:tcW w:w="5420" w:type="dxa"/>
            <w:shd w:val="clear" w:color="auto" w:fill="F4973F"/>
            <w:vAlign w:val="center"/>
          </w:tcPr>
          <w:p w:rsidR="00CC2A48" w:rsidRDefault="00CC2A48" w:rsidP="00D5353A">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CC2A48" w:rsidRDefault="00CC2A48" w:rsidP="00D5353A">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CC2A48" w:rsidRDefault="00CC2A48" w:rsidP="00D5353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CC2A48" w:rsidRDefault="00CC2A48" w:rsidP="00D5353A">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CC2A48" w:rsidRDefault="00CC2A48" w:rsidP="00D5353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CC2A48" w:rsidRPr="0035617B" w:rsidTr="00D5353A">
        <w:trPr>
          <w:trHeight w:hRule="exact" w:val="737"/>
        </w:trPr>
        <w:tc>
          <w:tcPr>
            <w:tcW w:w="5420" w:type="dxa"/>
            <w:shd w:val="clear" w:color="auto" w:fill="auto"/>
            <w:vAlign w:val="center"/>
          </w:tcPr>
          <w:p w:rsidR="00CC2A48" w:rsidRPr="0035617B" w:rsidRDefault="00CC2A48" w:rsidP="00D5353A">
            <w:pPr>
              <w:pStyle w:val="TableParagraph"/>
              <w:kinsoku w:val="0"/>
              <w:overflowPunct w:val="0"/>
              <w:spacing w:before="54" w:line="254" w:lineRule="auto"/>
              <w:ind w:left="170" w:right="102"/>
              <w:rPr>
                <w:rFonts w:ascii="Arial" w:hAnsi="Arial" w:cs="Arial"/>
                <w:spacing w:val="-3"/>
                <w:sz w:val="18"/>
                <w:szCs w:val="18"/>
              </w:rPr>
            </w:pPr>
            <w:r w:rsidRPr="00CC2A48">
              <w:rPr>
                <w:rFonts w:ascii="Arial" w:hAnsi="Arial" w:cs="Arial"/>
                <w:spacing w:val="-3"/>
                <w:sz w:val="18"/>
                <w:szCs w:val="18"/>
              </w:rPr>
              <w:t>Office of the Federal Safety Commissioner and the Building and Construction Work Health and Safety Accreditation Scheme</w:t>
            </w:r>
          </w:p>
        </w:tc>
        <w:tc>
          <w:tcPr>
            <w:tcW w:w="1245" w:type="dxa"/>
            <w:shd w:val="clear" w:color="auto" w:fill="auto"/>
            <w:vAlign w:val="center"/>
          </w:tcPr>
          <w:p w:rsidR="00CC2A48" w:rsidRPr="0035617B" w:rsidRDefault="00CC2A48" w:rsidP="00D5353A">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Compliant</w:t>
            </w:r>
          </w:p>
        </w:tc>
        <w:tc>
          <w:tcPr>
            <w:tcW w:w="1105" w:type="dxa"/>
            <w:shd w:val="clear" w:color="auto" w:fill="auto"/>
            <w:vAlign w:val="center"/>
          </w:tcPr>
          <w:p w:rsidR="00CC2A48" w:rsidRPr="0035617B" w:rsidRDefault="00CC2A48" w:rsidP="00D5353A">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Yes</w:t>
            </w:r>
          </w:p>
        </w:tc>
        <w:tc>
          <w:tcPr>
            <w:tcW w:w="1104" w:type="dxa"/>
            <w:shd w:val="clear" w:color="auto" w:fill="auto"/>
            <w:vAlign w:val="center"/>
          </w:tcPr>
          <w:p w:rsidR="00CC2A48" w:rsidRPr="0035617B" w:rsidRDefault="00CC2A48" w:rsidP="00D5353A">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No</w:t>
            </w:r>
          </w:p>
        </w:tc>
        <w:tc>
          <w:tcPr>
            <w:tcW w:w="1105" w:type="dxa"/>
            <w:vAlign w:val="center"/>
          </w:tcPr>
          <w:p w:rsidR="00CC2A48" w:rsidRPr="0035617B" w:rsidRDefault="00CC2A48" w:rsidP="00D5353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-$9.7</w:t>
            </w:r>
          </w:p>
        </w:tc>
      </w:tr>
    </w:tbl>
    <w:p w:rsidR="00CC2A48" w:rsidRPr="00CC2A48" w:rsidRDefault="00CC2A48" w:rsidP="00CC2A48">
      <w:pPr>
        <w:pStyle w:val="BodyText1"/>
        <w:rPr>
          <w:sz w:val="20"/>
          <w:szCs w:val="20"/>
          <w:lang w:eastAsia="en-AU"/>
        </w:rPr>
      </w:pPr>
      <w:r w:rsidRPr="00CC2A48">
        <w:rPr>
          <w:sz w:val="20"/>
          <w:szCs w:val="20"/>
          <w:lang w:eastAsia="en-AU"/>
        </w:rPr>
        <w:t xml:space="preserve">The Australian Government announced changes to safety accreditation arrangements for builders working on Commonwealth-funded construction projects in response to a review of the Australian Government Building and Construction WHS Accreditation Scheme.  </w:t>
      </w:r>
    </w:p>
    <w:p w:rsidR="00CC2A48" w:rsidRDefault="00CC2A48" w:rsidP="00CC2A48">
      <w:pPr>
        <w:pStyle w:val="BodyText1"/>
        <w:rPr>
          <w:sz w:val="20"/>
          <w:szCs w:val="20"/>
          <w:lang w:eastAsia="en-AU"/>
        </w:rPr>
      </w:pPr>
      <w:r w:rsidRPr="00CC2A48">
        <w:rPr>
          <w:sz w:val="20"/>
          <w:szCs w:val="20"/>
          <w:lang w:eastAsia="en-AU"/>
        </w:rPr>
        <w:t>Changes to the Scheme included adopting measures as recommended in the review to modernise the Office of the Federal Safety Commissioner and the Scheme, including amending the scope of the Scheme to exclude coverage of singe dwelling domestic housing, and increasing the current maximum re-accreditation period from three to up to six years.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4476E7" w:rsidTr="000B7919">
        <w:trPr>
          <w:tblHeader/>
        </w:trPr>
        <w:tc>
          <w:tcPr>
            <w:tcW w:w="5420" w:type="dxa"/>
            <w:shd w:val="clear" w:color="auto" w:fill="F4973F"/>
            <w:vAlign w:val="center"/>
          </w:tcPr>
          <w:p w:rsidR="004476E7" w:rsidRDefault="004476E7" w:rsidP="000B7919">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4476E7" w:rsidRDefault="004476E7" w:rsidP="000B7919">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4476E7" w:rsidRDefault="004476E7" w:rsidP="000B791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4476E7" w:rsidRDefault="004476E7" w:rsidP="000B791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4476E7" w:rsidRDefault="004476E7" w:rsidP="000B791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4476E7" w:rsidRPr="0035617B" w:rsidTr="008A2CDE">
        <w:trPr>
          <w:trHeight w:hRule="exact" w:val="737"/>
        </w:trPr>
        <w:tc>
          <w:tcPr>
            <w:tcW w:w="5420" w:type="dxa"/>
            <w:shd w:val="clear" w:color="auto" w:fill="auto"/>
            <w:vAlign w:val="center"/>
          </w:tcPr>
          <w:p w:rsidR="004476E7" w:rsidRPr="0035617B" w:rsidRDefault="004476E7" w:rsidP="000B7919">
            <w:pPr>
              <w:pStyle w:val="TableParagraph"/>
              <w:kinsoku w:val="0"/>
              <w:overflowPunct w:val="0"/>
              <w:spacing w:before="54" w:line="254" w:lineRule="auto"/>
              <w:ind w:left="170" w:right="102"/>
              <w:rPr>
                <w:rFonts w:ascii="Arial" w:hAnsi="Arial" w:cs="Arial"/>
                <w:spacing w:val="-3"/>
                <w:sz w:val="18"/>
                <w:szCs w:val="18"/>
              </w:rPr>
            </w:pPr>
            <w:r w:rsidRPr="0035617B">
              <w:rPr>
                <w:rFonts w:ascii="Arial" w:hAnsi="Arial" w:cs="Arial"/>
                <w:spacing w:val="-3"/>
                <w:sz w:val="18"/>
                <w:szCs w:val="18"/>
              </w:rPr>
              <w:t>Safety, Rehabilitation and Compensation Amendments (Improving the Comcare Scheme) Bill 2015</w:t>
            </w:r>
          </w:p>
        </w:tc>
        <w:tc>
          <w:tcPr>
            <w:tcW w:w="1245" w:type="dxa"/>
            <w:shd w:val="clear" w:color="auto" w:fill="auto"/>
            <w:vAlign w:val="center"/>
          </w:tcPr>
          <w:p w:rsidR="004476E7" w:rsidRPr="0035617B" w:rsidRDefault="004476E7" w:rsidP="000B7919">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Compliant</w:t>
            </w:r>
          </w:p>
        </w:tc>
        <w:tc>
          <w:tcPr>
            <w:tcW w:w="1105" w:type="dxa"/>
            <w:shd w:val="clear" w:color="auto" w:fill="auto"/>
            <w:vAlign w:val="center"/>
          </w:tcPr>
          <w:p w:rsidR="004476E7" w:rsidRPr="0035617B" w:rsidRDefault="004476E7" w:rsidP="000B7919">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Yes</w:t>
            </w:r>
          </w:p>
        </w:tc>
        <w:tc>
          <w:tcPr>
            <w:tcW w:w="1104" w:type="dxa"/>
            <w:shd w:val="clear" w:color="auto" w:fill="auto"/>
            <w:vAlign w:val="center"/>
          </w:tcPr>
          <w:p w:rsidR="004476E7" w:rsidRPr="0035617B" w:rsidRDefault="004476E7" w:rsidP="000B7919">
            <w:pPr>
              <w:pStyle w:val="TableParagraph"/>
              <w:kinsoku w:val="0"/>
              <w:overflowPunct w:val="0"/>
              <w:spacing w:before="54"/>
              <w:jc w:val="center"/>
              <w:rPr>
                <w:rFonts w:ascii="Arial" w:hAnsi="Arial" w:cs="Arial"/>
                <w:spacing w:val="-3"/>
                <w:sz w:val="18"/>
                <w:szCs w:val="18"/>
              </w:rPr>
            </w:pPr>
            <w:r w:rsidRPr="0035617B">
              <w:rPr>
                <w:rFonts w:ascii="Arial" w:hAnsi="Arial" w:cs="Arial"/>
                <w:spacing w:val="-3"/>
                <w:sz w:val="18"/>
                <w:szCs w:val="18"/>
              </w:rPr>
              <w:t>No</w:t>
            </w:r>
          </w:p>
        </w:tc>
        <w:tc>
          <w:tcPr>
            <w:tcW w:w="1105" w:type="dxa"/>
            <w:vAlign w:val="center"/>
          </w:tcPr>
          <w:p w:rsidR="004476E7" w:rsidRPr="0035617B" w:rsidRDefault="004476E7" w:rsidP="000B7919">
            <w:pPr>
              <w:pStyle w:val="TableParagraph"/>
              <w:kinsoku w:val="0"/>
              <w:overflowPunct w:val="0"/>
              <w:spacing w:before="54"/>
              <w:ind w:right="227"/>
              <w:jc w:val="right"/>
              <w:rPr>
                <w:rFonts w:ascii="Arial" w:hAnsi="Arial" w:cs="Arial"/>
                <w:spacing w:val="-3"/>
                <w:sz w:val="18"/>
                <w:szCs w:val="18"/>
              </w:rPr>
            </w:pPr>
            <w:r w:rsidRPr="0035617B">
              <w:rPr>
                <w:rFonts w:ascii="Arial" w:hAnsi="Arial" w:cs="Arial"/>
                <w:spacing w:val="-3"/>
                <w:sz w:val="18"/>
                <w:szCs w:val="18"/>
              </w:rPr>
              <w:t>-$0.1</w:t>
            </w:r>
          </w:p>
        </w:tc>
      </w:tr>
    </w:tbl>
    <w:p w:rsidR="004476E7" w:rsidRPr="0035617B" w:rsidRDefault="004476E7" w:rsidP="00310EF8">
      <w:pPr>
        <w:pStyle w:val="BodyText1"/>
        <w:rPr>
          <w:sz w:val="20"/>
          <w:szCs w:val="20"/>
          <w:lang w:eastAsia="en-AU"/>
        </w:rPr>
      </w:pPr>
      <w:r w:rsidRPr="0035617B">
        <w:rPr>
          <w:sz w:val="20"/>
          <w:szCs w:val="20"/>
          <w:lang w:eastAsia="en-AU"/>
        </w:rPr>
        <w:t xml:space="preserve">Worker’s compensation and rehabilitation arrangements for most Commonwealth and Australian Capital Territory (ACT) Government employees are governed by the Safety, Rehabilitation and Compensation Act 1988 (SRC Act).  This scheme is administered by Comcare. This proposal outlines changes to the SRC Act aimed at improving return-to-work outcomes for injured workers; improving the focus on early intervention and health outcomes of injured workers; and improving administration of the scheme.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A05FF3" w:rsidTr="00881855">
        <w:trPr>
          <w:tblHeader/>
        </w:trPr>
        <w:tc>
          <w:tcPr>
            <w:tcW w:w="5420" w:type="dxa"/>
            <w:shd w:val="clear" w:color="auto" w:fill="F4973F"/>
            <w:vAlign w:val="center"/>
          </w:tcPr>
          <w:p w:rsidR="00A05FF3" w:rsidRDefault="00A05FF3" w:rsidP="00881855">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A05FF3" w:rsidRDefault="00A05FF3" w:rsidP="00881855">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A05FF3" w:rsidRDefault="00A05FF3" w:rsidP="0088185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A05FF3" w:rsidRDefault="00A05FF3" w:rsidP="00881855">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A05FF3" w:rsidRDefault="00A05FF3" w:rsidP="0088185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A05FF3" w:rsidRPr="00483B4F" w:rsidTr="00881855">
        <w:trPr>
          <w:trHeight w:hRule="exact" w:val="525"/>
        </w:trPr>
        <w:tc>
          <w:tcPr>
            <w:tcW w:w="5420" w:type="dxa"/>
            <w:shd w:val="clear" w:color="auto" w:fill="auto"/>
            <w:vAlign w:val="center"/>
          </w:tcPr>
          <w:p w:rsidR="00A05FF3" w:rsidRPr="00483B4F" w:rsidRDefault="00A05FF3" w:rsidP="00881855">
            <w:pPr>
              <w:pStyle w:val="TableParagraph"/>
              <w:kinsoku w:val="0"/>
              <w:overflowPunct w:val="0"/>
              <w:spacing w:before="54" w:line="254" w:lineRule="auto"/>
              <w:ind w:left="170" w:right="102"/>
              <w:rPr>
                <w:rFonts w:ascii="Arial" w:hAnsi="Arial" w:cs="Arial"/>
                <w:spacing w:val="-3"/>
                <w:sz w:val="18"/>
                <w:szCs w:val="18"/>
              </w:rPr>
            </w:pPr>
            <w:r w:rsidRPr="00483B4F">
              <w:rPr>
                <w:rFonts w:ascii="Arial" w:hAnsi="Arial" w:cs="Arial"/>
                <w:spacing w:val="-3"/>
                <w:sz w:val="18"/>
                <w:szCs w:val="18"/>
              </w:rPr>
              <w:t xml:space="preserve">Workplace Gender Equality Reporting </w:t>
            </w:r>
          </w:p>
        </w:tc>
        <w:tc>
          <w:tcPr>
            <w:tcW w:w="1245" w:type="dxa"/>
            <w:shd w:val="clear" w:color="auto" w:fill="auto"/>
            <w:vAlign w:val="center"/>
          </w:tcPr>
          <w:p w:rsidR="00A05FF3" w:rsidRPr="00483B4F" w:rsidRDefault="00A05FF3" w:rsidP="00881855">
            <w:pPr>
              <w:pStyle w:val="TableParagraph"/>
              <w:kinsoku w:val="0"/>
              <w:overflowPunct w:val="0"/>
              <w:spacing w:before="54"/>
              <w:jc w:val="center"/>
              <w:rPr>
                <w:rFonts w:ascii="Arial" w:hAnsi="Arial" w:cs="Arial"/>
                <w:spacing w:val="-3"/>
                <w:sz w:val="18"/>
                <w:szCs w:val="18"/>
              </w:rPr>
            </w:pPr>
            <w:r w:rsidRPr="00483B4F">
              <w:rPr>
                <w:rFonts w:ascii="Arial" w:hAnsi="Arial" w:cs="Arial"/>
                <w:spacing w:val="-3"/>
                <w:sz w:val="18"/>
                <w:szCs w:val="18"/>
              </w:rPr>
              <w:t>Compliant</w:t>
            </w:r>
          </w:p>
        </w:tc>
        <w:tc>
          <w:tcPr>
            <w:tcW w:w="1105" w:type="dxa"/>
            <w:shd w:val="clear" w:color="auto" w:fill="auto"/>
            <w:vAlign w:val="center"/>
          </w:tcPr>
          <w:p w:rsidR="00A05FF3" w:rsidRPr="00483B4F" w:rsidRDefault="00A05FF3" w:rsidP="00881855">
            <w:pPr>
              <w:pStyle w:val="TableParagraph"/>
              <w:kinsoku w:val="0"/>
              <w:overflowPunct w:val="0"/>
              <w:spacing w:before="54"/>
              <w:jc w:val="center"/>
              <w:rPr>
                <w:rFonts w:ascii="Arial" w:hAnsi="Arial" w:cs="Arial"/>
                <w:spacing w:val="-3"/>
                <w:sz w:val="18"/>
                <w:szCs w:val="18"/>
              </w:rPr>
            </w:pPr>
            <w:r w:rsidRPr="00483B4F">
              <w:rPr>
                <w:rFonts w:ascii="Arial" w:hAnsi="Arial" w:cs="Arial"/>
                <w:spacing w:val="-3"/>
                <w:sz w:val="18"/>
                <w:szCs w:val="18"/>
              </w:rPr>
              <w:t>Yes</w:t>
            </w:r>
          </w:p>
        </w:tc>
        <w:tc>
          <w:tcPr>
            <w:tcW w:w="1104" w:type="dxa"/>
            <w:shd w:val="clear" w:color="auto" w:fill="auto"/>
            <w:vAlign w:val="center"/>
          </w:tcPr>
          <w:p w:rsidR="00A05FF3" w:rsidRPr="00483B4F" w:rsidRDefault="00A05FF3" w:rsidP="00881855">
            <w:pPr>
              <w:pStyle w:val="TableParagraph"/>
              <w:kinsoku w:val="0"/>
              <w:overflowPunct w:val="0"/>
              <w:spacing w:before="54"/>
              <w:jc w:val="center"/>
              <w:rPr>
                <w:rFonts w:ascii="Arial" w:hAnsi="Arial" w:cs="Arial"/>
                <w:spacing w:val="-3"/>
                <w:sz w:val="18"/>
                <w:szCs w:val="18"/>
              </w:rPr>
            </w:pPr>
            <w:r w:rsidRPr="00483B4F">
              <w:rPr>
                <w:rFonts w:ascii="Arial" w:hAnsi="Arial" w:cs="Arial"/>
                <w:spacing w:val="-3"/>
                <w:sz w:val="18"/>
                <w:szCs w:val="18"/>
              </w:rPr>
              <w:t>No</w:t>
            </w:r>
          </w:p>
        </w:tc>
        <w:tc>
          <w:tcPr>
            <w:tcW w:w="1105" w:type="dxa"/>
            <w:vAlign w:val="center"/>
          </w:tcPr>
          <w:p w:rsidR="00A05FF3" w:rsidRPr="00483B4F" w:rsidRDefault="00A05FF3" w:rsidP="00881855">
            <w:pPr>
              <w:pStyle w:val="TableParagraph"/>
              <w:kinsoku w:val="0"/>
              <w:overflowPunct w:val="0"/>
              <w:spacing w:before="54"/>
              <w:ind w:right="227"/>
              <w:jc w:val="right"/>
              <w:rPr>
                <w:rFonts w:ascii="Arial" w:hAnsi="Arial" w:cs="Arial"/>
                <w:spacing w:val="-3"/>
                <w:sz w:val="18"/>
                <w:szCs w:val="18"/>
              </w:rPr>
            </w:pPr>
            <w:r w:rsidRPr="00483B4F">
              <w:rPr>
                <w:rFonts w:ascii="Arial" w:hAnsi="Arial" w:cs="Arial"/>
                <w:spacing w:val="-3"/>
                <w:sz w:val="18"/>
                <w:szCs w:val="18"/>
              </w:rPr>
              <w:t>-$6.9</w:t>
            </w:r>
          </w:p>
        </w:tc>
      </w:tr>
    </w:tbl>
    <w:p w:rsidR="00A05FF3" w:rsidRPr="00483B4F" w:rsidRDefault="00A05FF3" w:rsidP="00A05FF3">
      <w:pPr>
        <w:pStyle w:val="BodyText1"/>
        <w:rPr>
          <w:sz w:val="20"/>
          <w:szCs w:val="20"/>
          <w:lang w:eastAsia="en-AU"/>
        </w:rPr>
      </w:pPr>
      <w:r w:rsidRPr="00483B4F">
        <w:rPr>
          <w:sz w:val="20"/>
          <w:szCs w:val="20"/>
          <w:lang w:eastAsia="en-AU"/>
        </w:rPr>
        <w:t>The proposal removes some of the requirements in relation to reporting by organisations such as providing data on remuneration of Chief Executive Officers or equivalent and workers engaged on a contract for services basis.</w:t>
      </w:r>
    </w:p>
    <w:p w:rsidR="00A05FF3" w:rsidRPr="006B1F8E" w:rsidRDefault="00A05FF3" w:rsidP="006B1F8E">
      <w:pPr>
        <w:pStyle w:val="BodyText1"/>
        <w:rPr>
          <w:sz w:val="20"/>
          <w:szCs w:val="20"/>
          <w:lang w:eastAsia="en-AU"/>
        </w:rPr>
      </w:pPr>
      <w:r w:rsidRPr="00483B4F">
        <w:rPr>
          <w:sz w:val="20"/>
          <w:szCs w:val="20"/>
          <w:lang w:eastAsia="en-AU"/>
        </w:rPr>
        <w:t>The proposal seeks to strike a balance between the effort of reporting and the benefits to be gained by individual businesses using the data to analyse gender e</w:t>
      </w:r>
      <w:r w:rsidR="006B1F8E">
        <w:rPr>
          <w:sz w:val="20"/>
          <w:szCs w:val="20"/>
          <w:lang w:eastAsia="en-AU"/>
        </w:rPr>
        <w:t>quality in their organisations.</w:t>
      </w:r>
    </w:p>
    <w:p w:rsidR="00A47978" w:rsidRDefault="00A47978" w:rsidP="00795531">
      <w:pPr>
        <w:pStyle w:val="Heading3"/>
      </w:pPr>
      <w:bookmarkStart w:id="170" w:name="_Toc428965511"/>
    </w:p>
    <w:p w:rsidR="00795531" w:rsidRDefault="00795531" w:rsidP="00795531">
      <w:pPr>
        <w:pStyle w:val="Heading3"/>
      </w:pPr>
      <w:r w:rsidRPr="00907F71">
        <w:lastRenderedPageBreak/>
        <w:t>Department</w:t>
      </w:r>
      <w:r>
        <w:t xml:space="preserve"> of Environment</w:t>
      </w:r>
      <w:bookmarkEnd w:id="170"/>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F45CB9" w:rsidRPr="0084580D" w:rsidTr="002E029E">
        <w:trPr>
          <w:tblHeader/>
        </w:trPr>
        <w:tc>
          <w:tcPr>
            <w:tcW w:w="5420" w:type="dxa"/>
            <w:shd w:val="clear" w:color="auto" w:fill="F4973F"/>
            <w:vAlign w:val="center"/>
          </w:tcPr>
          <w:p w:rsidR="00F45CB9" w:rsidRPr="0084580D" w:rsidRDefault="00F45CB9" w:rsidP="002E029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F45CB9" w:rsidRPr="0084580D" w:rsidRDefault="00F45CB9" w:rsidP="002E029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F45CB9" w:rsidRPr="0084580D" w:rsidRDefault="00F45CB9" w:rsidP="002E029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F45CB9" w:rsidRPr="0084580D" w:rsidRDefault="00F45CB9" w:rsidP="002E029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F45CB9" w:rsidRPr="0084580D" w:rsidRDefault="00F45CB9" w:rsidP="002E029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F45CB9" w:rsidRPr="0084580D" w:rsidTr="002E029E">
        <w:trPr>
          <w:trHeight w:hRule="exact" w:val="525"/>
        </w:trPr>
        <w:tc>
          <w:tcPr>
            <w:tcW w:w="5420" w:type="dxa"/>
            <w:shd w:val="clear" w:color="auto" w:fill="auto"/>
            <w:vAlign w:val="center"/>
          </w:tcPr>
          <w:p w:rsidR="00F45CB9" w:rsidRPr="0084580D" w:rsidRDefault="00F45CB9" w:rsidP="00F45CB9">
            <w:pPr>
              <w:widowControl w:val="0"/>
              <w:kinsoku w:val="0"/>
              <w:overflowPunct w:val="0"/>
              <w:autoSpaceDE w:val="0"/>
              <w:autoSpaceDN w:val="0"/>
              <w:adjustRightInd w:val="0"/>
              <w:spacing w:before="54" w:after="0" w:line="254" w:lineRule="auto"/>
              <w:ind w:left="170" w:right="102"/>
              <w:rPr>
                <w:rFonts w:eastAsia="MS Mincho" w:cs="Arial"/>
                <w:spacing w:val="-3"/>
                <w:sz w:val="18"/>
                <w:szCs w:val="18"/>
              </w:rPr>
            </w:pPr>
            <w:r>
              <w:rPr>
                <w:rFonts w:eastAsia="MS Mincho" w:cs="Arial"/>
                <w:spacing w:val="-3"/>
                <w:sz w:val="18"/>
                <w:szCs w:val="18"/>
              </w:rPr>
              <w:t xml:space="preserve">Renewable Energy (Electricity) Amendment Bill 2015 </w:t>
            </w:r>
          </w:p>
        </w:tc>
        <w:tc>
          <w:tcPr>
            <w:tcW w:w="1245" w:type="dxa"/>
            <w:shd w:val="clear" w:color="auto" w:fill="auto"/>
            <w:vAlign w:val="center"/>
          </w:tcPr>
          <w:p w:rsidR="00F45CB9" w:rsidRPr="0084580D" w:rsidRDefault="00F45CB9" w:rsidP="002E029E">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rsidR="00F45CB9" w:rsidRPr="0084580D" w:rsidRDefault="00F45CB9" w:rsidP="002E029E">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rsidR="00F45CB9" w:rsidRPr="0084580D" w:rsidRDefault="00F45CB9" w:rsidP="002E029E">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5" w:type="dxa"/>
            <w:vAlign w:val="center"/>
          </w:tcPr>
          <w:p w:rsidR="00F45CB9" w:rsidRPr="0084580D" w:rsidRDefault="00F45CB9" w:rsidP="002E029E">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-$519.6</w:t>
            </w:r>
          </w:p>
        </w:tc>
      </w:tr>
    </w:tbl>
    <w:p w:rsidR="00F45CB9" w:rsidRPr="00F45CB9" w:rsidRDefault="00F45CB9" w:rsidP="00F45CB9">
      <w:pPr>
        <w:spacing w:before="150" w:after="150"/>
        <w:rPr>
          <w:rFonts w:eastAsia="MS Mincho" w:cs="Arial"/>
          <w:spacing w:val="-3"/>
          <w:sz w:val="20"/>
          <w:szCs w:val="18"/>
        </w:rPr>
      </w:pPr>
      <w:r w:rsidRPr="00F45CB9">
        <w:rPr>
          <w:rFonts w:cs="Arial"/>
          <w:sz w:val="20"/>
          <w:szCs w:val="18"/>
        </w:rPr>
        <w:t>Reduces the profile of annual targets under the Large scale Renewable Energy Target (LRET) so that the 2020 target becomes 33,000 GWh of renewable electricity; introduces a full exemption for the electricity used in emissions-intensive trade-exposed (EITE) activities to replace the current partial exemption; and reinstates biomass from native forest wood waste as an eligible source of renewable energy.</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795531" w:rsidTr="00FD3D86">
        <w:trPr>
          <w:tblHeader/>
        </w:trPr>
        <w:tc>
          <w:tcPr>
            <w:tcW w:w="5420" w:type="dxa"/>
            <w:shd w:val="clear" w:color="auto" w:fill="F4973F"/>
            <w:vAlign w:val="center"/>
          </w:tcPr>
          <w:p w:rsidR="00795531" w:rsidRDefault="00795531" w:rsidP="00FD3D86">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795531" w:rsidRDefault="00795531" w:rsidP="00FD3D86">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795531" w:rsidRDefault="00795531" w:rsidP="00FD3D86">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795531" w:rsidRDefault="00795531" w:rsidP="00FD3D86">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795531" w:rsidRDefault="00795531" w:rsidP="00FD3D86">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795531" w:rsidTr="00FD3D86">
        <w:trPr>
          <w:trHeight w:hRule="exact" w:val="525"/>
        </w:trPr>
        <w:tc>
          <w:tcPr>
            <w:tcW w:w="5420" w:type="dxa"/>
            <w:shd w:val="clear" w:color="auto" w:fill="auto"/>
            <w:vAlign w:val="center"/>
          </w:tcPr>
          <w:p w:rsidR="00795531" w:rsidRDefault="00795531" w:rsidP="00E93350">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Ban on </w:t>
            </w:r>
            <w:r w:rsidR="00E14C08">
              <w:rPr>
                <w:rFonts w:ascii="Arial" w:hAnsi="Arial" w:cs="Arial"/>
                <w:spacing w:val="-3"/>
                <w:sz w:val="18"/>
                <w:szCs w:val="18"/>
              </w:rPr>
              <w:t xml:space="preserve">the </w:t>
            </w:r>
            <w:r>
              <w:rPr>
                <w:rFonts w:ascii="Arial" w:hAnsi="Arial" w:cs="Arial"/>
                <w:spacing w:val="-3"/>
                <w:sz w:val="18"/>
                <w:szCs w:val="18"/>
              </w:rPr>
              <w:t xml:space="preserve">disposal of capital dredge spoil material </w:t>
            </w:r>
          </w:p>
        </w:tc>
        <w:tc>
          <w:tcPr>
            <w:tcW w:w="1245" w:type="dxa"/>
            <w:shd w:val="clear" w:color="auto" w:fill="auto"/>
            <w:vAlign w:val="center"/>
          </w:tcPr>
          <w:p w:rsidR="00795531" w:rsidRDefault="00795531" w:rsidP="00FD3D8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795531" w:rsidRDefault="00795531" w:rsidP="00FD3D8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795531" w:rsidRDefault="00795531" w:rsidP="00FD3D8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795531" w:rsidRPr="00A25DDA" w:rsidRDefault="00795531" w:rsidP="00FD3D86">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$4.2</w:t>
            </w:r>
          </w:p>
        </w:tc>
      </w:tr>
    </w:tbl>
    <w:p w:rsidR="00795531" w:rsidRPr="00795531" w:rsidRDefault="00795531" w:rsidP="00795531">
      <w:pPr>
        <w:pStyle w:val="BodyText1"/>
        <w:spacing w:before="240"/>
        <w:rPr>
          <w:sz w:val="20"/>
          <w:szCs w:val="20"/>
        </w:rPr>
      </w:pPr>
      <w:r w:rsidRPr="00795531">
        <w:rPr>
          <w:sz w:val="20"/>
          <w:szCs w:val="20"/>
        </w:rPr>
        <w:t>This proposal aims to improve water quality in the Great Barrier Reef Marine Park (Marine Park) by banning the disposal of materials such as gravel, sands, silts and clays in the Marine Park that are displaced during major capital dredging projects. The ban will primarily affect major capital dredging projects in the Marine Park relati</w:t>
      </w:r>
      <w:r>
        <w:rPr>
          <w:sz w:val="20"/>
          <w:szCs w:val="20"/>
        </w:rPr>
        <w:t>ng to the development of ports.</w:t>
      </w:r>
    </w:p>
    <w:p w:rsidR="00795531" w:rsidRDefault="00795531" w:rsidP="00795531">
      <w:pPr>
        <w:pStyle w:val="BodyText1"/>
        <w:spacing w:before="240"/>
        <w:rPr>
          <w:sz w:val="20"/>
          <w:szCs w:val="20"/>
        </w:rPr>
      </w:pPr>
      <w:r w:rsidRPr="00795531">
        <w:rPr>
          <w:sz w:val="20"/>
          <w:szCs w:val="20"/>
        </w:rPr>
        <w:t>The Regulation Impact Statement (RIS) and associated process departed from best practice in relation to the problem definition, consultation and timing of preparing the RIS.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A2D2C" w:rsidRPr="0084580D" w:rsidTr="00A84AC4">
        <w:trPr>
          <w:tblHeader/>
        </w:trPr>
        <w:tc>
          <w:tcPr>
            <w:tcW w:w="5420" w:type="dxa"/>
            <w:shd w:val="clear" w:color="auto" w:fill="F4973F"/>
            <w:vAlign w:val="center"/>
          </w:tcPr>
          <w:p w:rsidR="000A2D2C" w:rsidRPr="0084580D" w:rsidRDefault="000A2D2C" w:rsidP="00A84AC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0A2D2C" w:rsidRPr="0084580D" w:rsidRDefault="000A2D2C" w:rsidP="00A84AC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0A2D2C" w:rsidRPr="0084580D" w:rsidRDefault="000A2D2C" w:rsidP="00A84AC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0A2D2C" w:rsidRPr="0084580D" w:rsidRDefault="000A2D2C" w:rsidP="00A84AC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0A2D2C" w:rsidRPr="0084580D" w:rsidRDefault="000A2D2C" w:rsidP="00A84AC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0A2D2C" w:rsidRPr="0084580D" w:rsidTr="00A84AC4">
        <w:trPr>
          <w:trHeight w:hRule="exact" w:val="525"/>
        </w:trPr>
        <w:tc>
          <w:tcPr>
            <w:tcW w:w="5420" w:type="dxa"/>
            <w:shd w:val="clear" w:color="auto" w:fill="auto"/>
            <w:vAlign w:val="center"/>
          </w:tcPr>
          <w:p w:rsidR="000A2D2C" w:rsidRPr="0084580D" w:rsidRDefault="000A2D2C" w:rsidP="00A84AC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D119BE">
              <w:rPr>
                <w:rFonts w:eastAsia="MS Mincho" w:cs="Arial"/>
                <w:spacing w:val="-3"/>
                <w:sz w:val="18"/>
                <w:szCs w:val="18"/>
              </w:rPr>
              <w:t>Changes to the National Television and Computer Recycling Scheme</w:t>
            </w:r>
          </w:p>
        </w:tc>
        <w:tc>
          <w:tcPr>
            <w:tcW w:w="1245" w:type="dxa"/>
            <w:shd w:val="clear" w:color="auto" w:fill="auto"/>
            <w:vAlign w:val="center"/>
          </w:tcPr>
          <w:p w:rsidR="000A2D2C" w:rsidRPr="0084580D" w:rsidRDefault="000A2D2C" w:rsidP="00A84AC4">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rsidR="000A2D2C" w:rsidRPr="0084580D" w:rsidRDefault="000A2D2C" w:rsidP="00A84AC4">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rsidR="000A2D2C" w:rsidRPr="0084580D" w:rsidRDefault="000A2D2C" w:rsidP="00A84AC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rsidR="000A2D2C" w:rsidRPr="0084580D" w:rsidRDefault="000A2D2C" w:rsidP="00A84AC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$7.1</w:t>
            </w:r>
          </w:p>
        </w:tc>
      </w:tr>
    </w:tbl>
    <w:p w:rsidR="000A2D2C" w:rsidRPr="000A2D2C" w:rsidRDefault="000A2D2C" w:rsidP="000A2D2C">
      <w:pPr>
        <w:rPr>
          <w:sz w:val="20"/>
          <w:szCs w:val="20"/>
        </w:rPr>
      </w:pPr>
      <w:r w:rsidRPr="000A2D2C">
        <w:rPr>
          <w:sz w:val="20"/>
          <w:szCs w:val="20"/>
        </w:rPr>
        <w:t xml:space="preserve">Makes changes to the National Television and Computer Recycling Scheme to improve the operation of the scheme, including by providing stability to the recycling industry and maintaining employment of disadvantaged workers. </w:t>
      </w:r>
    </w:p>
    <w:p w:rsidR="00873A41" w:rsidRPr="00873A41" w:rsidRDefault="006040B4" w:rsidP="00873A41">
      <w:pPr>
        <w:pStyle w:val="Heading3"/>
      </w:pPr>
      <w:bookmarkStart w:id="171" w:name="_Toc428965512"/>
      <w:r w:rsidRPr="00907F71">
        <w:t>Department of Foreign Affairs and Trade</w:t>
      </w:r>
      <w:bookmarkEnd w:id="171"/>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873A41" w:rsidRPr="0084580D" w:rsidTr="00A84AC4">
        <w:trPr>
          <w:tblHeader/>
        </w:trPr>
        <w:tc>
          <w:tcPr>
            <w:tcW w:w="5420" w:type="dxa"/>
            <w:shd w:val="clear" w:color="auto" w:fill="F4973F"/>
            <w:vAlign w:val="center"/>
          </w:tcPr>
          <w:p w:rsidR="00873A41" w:rsidRPr="0084580D" w:rsidRDefault="00873A41" w:rsidP="00A84AC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873A41" w:rsidRPr="0084580D" w:rsidRDefault="00873A41" w:rsidP="00A84AC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873A41" w:rsidRPr="0084580D" w:rsidRDefault="00873A41" w:rsidP="00A84AC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873A41" w:rsidRPr="0084580D" w:rsidRDefault="00873A41" w:rsidP="00A84AC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873A41" w:rsidRPr="0084580D" w:rsidRDefault="00873A41" w:rsidP="00A84AC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873A41" w:rsidRPr="0084580D" w:rsidTr="00A84AC4">
        <w:trPr>
          <w:trHeight w:hRule="exact" w:val="525"/>
        </w:trPr>
        <w:tc>
          <w:tcPr>
            <w:tcW w:w="5420" w:type="dxa"/>
            <w:shd w:val="clear" w:color="auto" w:fill="auto"/>
            <w:vAlign w:val="center"/>
          </w:tcPr>
          <w:p w:rsidR="00873A41" w:rsidRPr="0084580D" w:rsidRDefault="00873A41" w:rsidP="00A84AC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 xml:space="preserve">China Australia Free Trade Agreement </w:t>
            </w:r>
          </w:p>
        </w:tc>
        <w:tc>
          <w:tcPr>
            <w:tcW w:w="1245" w:type="dxa"/>
            <w:shd w:val="clear" w:color="auto" w:fill="auto"/>
            <w:vAlign w:val="center"/>
          </w:tcPr>
          <w:p w:rsidR="00873A41" w:rsidRPr="0084580D" w:rsidRDefault="00873A41" w:rsidP="00A84AC4">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rsidR="00873A41" w:rsidRPr="0084580D" w:rsidRDefault="00873A41" w:rsidP="00A84AC4">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rsidR="00873A41" w:rsidRPr="0084580D" w:rsidRDefault="00873A41" w:rsidP="00A84AC4">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5" w:type="dxa"/>
            <w:vAlign w:val="center"/>
          </w:tcPr>
          <w:p w:rsidR="00873A41" w:rsidRPr="0084580D" w:rsidRDefault="00873A41" w:rsidP="00A84AC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$0.0</w:t>
            </w:r>
          </w:p>
        </w:tc>
      </w:tr>
    </w:tbl>
    <w:p w:rsidR="00873A41" w:rsidRPr="00E55F4A" w:rsidRDefault="00873A41" w:rsidP="00873A41">
      <w:pPr>
        <w:spacing w:before="150" w:after="150"/>
        <w:rPr>
          <w:rFonts w:eastAsia="MS Mincho" w:cs="Arial"/>
          <w:spacing w:val="-3"/>
          <w:sz w:val="20"/>
          <w:szCs w:val="20"/>
        </w:rPr>
      </w:pPr>
      <w:r w:rsidRPr="00E55F4A">
        <w:rPr>
          <w:rFonts w:eastAsia="MS Mincho" w:cs="Arial"/>
          <w:spacing w:val="-3"/>
          <w:sz w:val="20"/>
          <w:szCs w:val="20"/>
        </w:rPr>
        <w:t xml:space="preserve">On 17 June 2015, Australia’s Trade and Investment Minister and the Chinese Commerce Minister </w:t>
      </w:r>
      <w:hyperlink r:id="rId10" w:history="1">
        <w:r w:rsidRPr="00E55F4A">
          <w:rPr>
            <w:rFonts w:eastAsia="MS Mincho" w:cs="Arial"/>
            <w:spacing w:val="-3"/>
            <w:sz w:val="20"/>
            <w:szCs w:val="20"/>
          </w:rPr>
          <w:t>signed</w:t>
        </w:r>
      </w:hyperlink>
      <w:r w:rsidRPr="00E55F4A">
        <w:rPr>
          <w:rFonts w:eastAsia="MS Mincho" w:cs="Arial"/>
          <w:spacing w:val="-3"/>
          <w:sz w:val="20"/>
          <w:szCs w:val="20"/>
        </w:rPr>
        <w:t xml:space="preserve"> the China-Australia Free Trade Agreement (ChAFTA). The reduction or elimination of tariffs on Australian exports to China under ChAFTA is expected to increase demand in China for goods produced in Australia. </w:t>
      </w:r>
    </w:p>
    <w:p w:rsidR="00873A41" w:rsidRPr="00E55F4A" w:rsidRDefault="00873A41" w:rsidP="00E55F4A">
      <w:pPr>
        <w:spacing w:before="150" w:after="150"/>
        <w:rPr>
          <w:rFonts w:eastAsia="MS Mincho" w:cs="Arial"/>
          <w:spacing w:val="-3"/>
          <w:sz w:val="20"/>
          <w:szCs w:val="20"/>
        </w:rPr>
      </w:pPr>
      <w:r w:rsidRPr="00E55F4A">
        <w:rPr>
          <w:rFonts w:eastAsia="MS Mincho" w:cs="Arial"/>
          <w:spacing w:val="-3"/>
          <w:sz w:val="20"/>
          <w:szCs w:val="20"/>
        </w:rPr>
        <w:t>The OBPR considers that the Regulation Impact Statement prepared by the Department of Foreign Affairs and Trade is not consistent with best practice because it does not contain a degree of detail and a depth of analysis that is commensurate with the potential impacts of the proposal. As the free trade agreement has been assessed by the OBPR as having a substantial impact on the economy, the Australian Government RIS process requires a post</w:t>
      </w:r>
      <w:r w:rsidRPr="00E55F4A">
        <w:rPr>
          <w:rFonts w:eastAsia="MS Mincho" w:cs="Arial"/>
          <w:spacing w:val="-3"/>
          <w:sz w:val="20"/>
          <w:szCs w:val="20"/>
        </w:rPr>
        <w:noBreakHyphen/>
        <w:t xml:space="preserve">implementation review to be completed within five years of the ChAFTA being implemented.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6040B4" w:rsidTr="008960F5">
        <w:trPr>
          <w:tblHeader/>
        </w:trPr>
        <w:tc>
          <w:tcPr>
            <w:tcW w:w="5420" w:type="dxa"/>
            <w:shd w:val="clear" w:color="auto" w:fill="F4973F"/>
            <w:vAlign w:val="center"/>
          </w:tcPr>
          <w:p w:rsidR="006040B4" w:rsidRDefault="006040B4" w:rsidP="008960F5">
            <w:pPr>
              <w:pStyle w:val="TableParagraph"/>
              <w:kinsoku w:val="0"/>
              <w:overflowPunct w:val="0"/>
              <w:spacing w:beforeLines="60" w:before="144" w:after="60"/>
              <w:ind w:left="85"/>
            </w:pPr>
            <w:r w:rsidRPr="00C25C33">
              <w:rPr>
                <w:rFonts w:ascii="Arial" w:hAnsi="Arial" w:cs="Arial"/>
                <w:color w:val="FFFFFF"/>
                <w:w w:val="105"/>
                <w:sz w:val="18"/>
                <w:szCs w:val="18"/>
              </w:rPr>
              <w:lastRenderedPageBreak/>
              <w:t>Proposal</w:t>
            </w:r>
          </w:p>
        </w:tc>
        <w:tc>
          <w:tcPr>
            <w:tcW w:w="1245" w:type="dxa"/>
            <w:shd w:val="clear" w:color="auto" w:fill="F4973F"/>
            <w:vAlign w:val="center"/>
          </w:tcPr>
          <w:p w:rsidR="006040B4" w:rsidRDefault="006040B4" w:rsidP="008960F5">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6040B4" w:rsidRDefault="006040B4" w:rsidP="008960F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6040B4" w:rsidRDefault="006040B4" w:rsidP="008960F5">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6040B4" w:rsidRDefault="00F96E4B" w:rsidP="008960F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w:t>
            </w:r>
            <w:r w:rsidR="006040B4">
              <w:rPr>
                <w:rFonts w:ascii="Arial" w:hAnsi="Arial" w:cs="Arial"/>
                <w:color w:val="FFFFFF"/>
                <w:w w:val="105"/>
                <w:sz w:val="18"/>
                <w:szCs w:val="18"/>
              </w:rPr>
              <w:t xml:space="preserve"> ($m)</w:t>
            </w:r>
          </w:p>
        </w:tc>
      </w:tr>
      <w:tr w:rsidR="006040B4" w:rsidTr="008960F5">
        <w:trPr>
          <w:trHeight w:hRule="exact" w:val="525"/>
        </w:trPr>
        <w:tc>
          <w:tcPr>
            <w:tcW w:w="5420" w:type="dxa"/>
            <w:shd w:val="clear" w:color="auto" w:fill="auto"/>
            <w:vAlign w:val="center"/>
          </w:tcPr>
          <w:p w:rsidR="006040B4" w:rsidRDefault="006040B4" w:rsidP="008960F5">
            <w:pPr>
              <w:pStyle w:val="TableParagraph"/>
              <w:kinsoku w:val="0"/>
              <w:overflowPunct w:val="0"/>
              <w:spacing w:before="54" w:line="254" w:lineRule="auto"/>
              <w:ind w:left="170" w:right="102"/>
              <w:rPr>
                <w:rFonts w:ascii="Arial" w:hAnsi="Arial" w:cs="Arial"/>
                <w:spacing w:val="-3"/>
                <w:sz w:val="18"/>
                <w:szCs w:val="18"/>
              </w:rPr>
            </w:pPr>
            <w:r w:rsidRPr="00D2740F">
              <w:rPr>
                <w:rFonts w:ascii="Arial" w:hAnsi="Arial" w:cs="Arial"/>
                <w:spacing w:val="-3"/>
                <w:sz w:val="18"/>
                <w:szCs w:val="18"/>
              </w:rPr>
              <w:t>Japan-Australia Economic Partnership Agreement (JAEPA)</w:t>
            </w:r>
          </w:p>
        </w:tc>
        <w:tc>
          <w:tcPr>
            <w:tcW w:w="1245" w:type="dxa"/>
            <w:shd w:val="clear" w:color="auto" w:fill="auto"/>
            <w:vAlign w:val="center"/>
          </w:tcPr>
          <w:p w:rsidR="006040B4" w:rsidRDefault="00CD4D6C"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6040B4" w:rsidRDefault="006040B4"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within five years</w:t>
            </w:r>
          </w:p>
        </w:tc>
        <w:tc>
          <w:tcPr>
            <w:tcW w:w="1105" w:type="dxa"/>
            <w:vAlign w:val="center"/>
          </w:tcPr>
          <w:p w:rsidR="006040B4" w:rsidRPr="00A25DDA" w:rsidRDefault="00C5146E"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bl>
    <w:p w:rsidR="006040B4" w:rsidRPr="008B3ECF" w:rsidRDefault="006040B4" w:rsidP="00965A00">
      <w:pPr>
        <w:pStyle w:val="BodyText1"/>
        <w:spacing w:before="240"/>
        <w:rPr>
          <w:sz w:val="20"/>
          <w:szCs w:val="20"/>
        </w:rPr>
      </w:pPr>
      <w:r w:rsidRPr="008B3ECF">
        <w:rPr>
          <w:sz w:val="20"/>
          <w:szCs w:val="20"/>
        </w:rPr>
        <w:t xml:space="preserve">The Prime Ministers of Australia and Japan signed the </w:t>
      </w:r>
      <w:r w:rsidRPr="008B3ECF">
        <w:rPr>
          <w:i/>
          <w:sz w:val="20"/>
          <w:szCs w:val="20"/>
        </w:rPr>
        <w:t>Japan-Australia Economic Partnership Agreement</w:t>
      </w:r>
      <w:r w:rsidRPr="008B3ECF">
        <w:rPr>
          <w:sz w:val="20"/>
          <w:szCs w:val="20"/>
        </w:rPr>
        <w:t xml:space="preserve"> on 8 July 2014.</w:t>
      </w:r>
      <w:r w:rsidR="00F00555" w:rsidRPr="008B3ECF">
        <w:rPr>
          <w:sz w:val="20"/>
          <w:szCs w:val="20"/>
        </w:rPr>
        <w:t xml:space="preserve"> </w:t>
      </w:r>
      <w:r w:rsidRPr="008B3ECF">
        <w:rPr>
          <w:sz w:val="20"/>
          <w:szCs w:val="20"/>
        </w:rPr>
        <w:t>The implementation of the Agreement will reduce tariffs on a number of Australian exports and improve access for Australian workers in some professional services markets. It will also see tariff reductions on some Japanese products imported into Australia, notably consumer electronics, white goods and motor vehicles.</w:t>
      </w:r>
    </w:p>
    <w:p w:rsidR="006040B4" w:rsidRPr="008B3ECF" w:rsidRDefault="00E862AC" w:rsidP="00F34BC9">
      <w:pPr>
        <w:rPr>
          <w:sz w:val="20"/>
          <w:szCs w:val="20"/>
        </w:rPr>
      </w:pPr>
      <w:r w:rsidRPr="008B3ECF">
        <w:rPr>
          <w:sz w:val="20"/>
          <w:szCs w:val="20"/>
        </w:rPr>
        <w:t>The OBPR</w:t>
      </w:r>
      <w:r w:rsidR="006040B4" w:rsidRPr="008B3ECF">
        <w:rPr>
          <w:sz w:val="20"/>
          <w:szCs w:val="20"/>
        </w:rPr>
        <w:t xml:space="preserve"> final assessment was that the Department of Foreign Affairs and Trade (DFAT) was compliant with the Australian Government’s requirements at the final decision point. However, the OBPR did not consider that the RIS prepared represents best practice</w:t>
      </w:r>
      <w:r w:rsidR="00F34BC9" w:rsidRPr="008B3ECF">
        <w:rPr>
          <w:sz w:val="20"/>
          <w:szCs w:val="20"/>
        </w:rPr>
        <w:t xml:space="preserve"> having regard to the significance of the agreement; the RIS did not provide a depth of analysis of the likely scale and scope of its impacts of key sectors of the Australian economy. DFAT is non-compliant </w:t>
      </w:r>
      <w:r w:rsidR="00207A81" w:rsidRPr="008B3ECF">
        <w:rPr>
          <w:sz w:val="20"/>
          <w:szCs w:val="20"/>
        </w:rPr>
        <w:t xml:space="preserve">with the RIS requirements because a </w:t>
      </w:r>
      <w:r w:rsidR="006040B4" w:rsidRPr="008B3ECF">
        <w:rPr>
          <w:sz w:val="20"/>
          <w:szCs w:val="20"/>
        </w:rPr>
        <w:t xml:space="preserve">RIS </w:t>
      </w:r>
      <w:r w:rsidR="00F34BC9" w:rsidRPr="008B3ECF">
        <w:rPr>
          <w:sz w:val="20"/>
          <w:szCs w:val="20"/>
        </w:rPr>
        <w:t>to enter into negotiations was not prepared in 2006-07</w:t>
      </w:r>
      <w:r w:rsidR="006040B4" w:rsidRPr="008B3ECF">
        <w:rPr>
          <w:sz w:val="20"/>
          <w:szCs w:val="20"/>
        </w:rPr>
        <w:t xml:space="preserve">. </w:t>
      </w:r>
    </w:p>
    <w:p w:rsidR="00065BA0" w:rsidRPr="008B3ECF" w:rsidRDefault="006040B4" w:rsidP="006040B4">
      <w:pPr>
        <w:pStyle w:val="BodyText1"/>
        <w:rPr>
          <w:sz w:val="20"/>
          <w:szCs w:val="20"/>
        </w:rPr>
      </w:pPr>
      <w:r w:rsidRPr="008B3ECF">
        <w:rPr>
          <w:sz w:val="20"/>
          <w:szCs w:val="20"/>
        </w:rPr>
        <w:t>As this regulatory change has been assessed as being likely to have widespread and significant impacts on the Australian economy, the Government requires a Post</w:t>
      </w:r>
      <w:r w:rsidRPr="008B3ECF">
        <w:rPr>
          <w:sz w:val="20"/>
          <w:szCs w:val="20"/>
        </w:rPr>
        <w:noBreakHyphen/>
        <w:t>implementation Review to be completed within five years of the agreement being implemented.</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DC13B8" w:rsidTr="001905D6">
        <w:trPr>
          <w:tblHeader/>
        </w:trPr>
        <w:tc>
          <w:tcPr>
            <w:tcW w:w="5420" w:type="dxa"/>
            <w:shd w:val="clear" w:color="auto" w:fill="F4973F"/>
            <w:vAlign w:val="center"/>
          </w:tcPr>
          <w:p w:rsidR="00DC13B8" w:rsidRDefault="00DC13B8" w:rsidP="001905D6">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DC13B8" w:rsidRDefault="00DC13B8" w:rsidP="001905D6">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DC13B8" w:rsidRDefault="00DC13B8" w:rsidP="001905D6">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DC13B8" w:rsidRDefault="00DC13B8" w:rsidP="001905D6">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DC13B8" w:rsidRDefault="00F96E4B" w:rsidP="001905D6">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w:t>
            </w:r>
            <w:r w:rsidR="00DC13B8">
              <w:rPr>
                <w:rFonts w:ascii="Arial" w:hAnsi="Arial" w:cs="Arial"/>
                <w:color w:val="FFFFFF"/>
                <w:w w:val="105"/>
                <w:sz w:val="18"/>
                <w:szCs w:val="18"/>
              </w:rPr>
              <w:t xml:space="preserve"> ($m)</w:t>
            </w:r>
          </w:p>
        </w:tc>
      </w:tr>
      <w:tr w:rsidR="00DC13B8" w:rsidTr="001905D6">
        <w:trPr>
          <w:trHeight w:hRule="exact" w:val="525"/>
        </w:trPr>
        <w:tc>
          <w:tcPr>
            <w:tcW w:w="5420" w:type="dxa"/>
            <w:shd w:val="clear" w:color="auto" w:fill="auto"/>
            <w:vAlign w:val="center"/>
          </w:tcPr>
          <w:p w:rsidR="00DC13B8" w:rsidRPr="00D2740F" w:rsidRDefault="00DC13B8" w:rsidP="001905D6">
            <w:pPr>
              <w:pStyle w:val="TableParagraph"/>
              <w:kinsoku w:val="0"/>
              <w:overflowPunct w:val="0"/>
              <w:spacing w:before="54" w:line="254" w:lineRule="auto"/>
              <w:ind w:left="170" w:right="102"/>
              <w:rPr>
                <w:rFonts w:ascii="Arial" w:hAnsi="Arial" w:cs="Arial"/>
                <w:spacing w:val="-3"/>
                <w:sz w:val="18"/>
                <w:szCs w:val="18"/>
              </w:rPr>
            </w:pPr>
            <w:r w:rsidRPr="00FC4551">
              <w:rPr>
                <w:rFonts w:ascii="Arial" w:hAnsi="Arial" w:cs="Arial"/>
                <w:spacing w:val="-3"/>
                <w:sz w:val="18"/>
                <w:szCs w:val="18"/>
              </w:rPr>
              <w:t>First Protocol to amend the Agreement Establishing the ASEAN-Australia-New Zealand Free Trade Area</w:t>
            </w:r>
          </w:p>
        </w:tc>
        <w:tc>
          <w:tcPr>
            <w:tcW w:w="1245" w:type="dxa"/>
            <w:shd w:val="clear" w:color="auto" w:fill="auto"/>
            <w:vAlign w:val="center"/>
          </w:tcPr>
          <w:p w:rsidR="00DC13B8" w:rsidRDefault="00DC13B8"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DC13B8" w:rsidRDefault="00DC13B8"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DC13B8" w:rsidRDefault="00DC13B8" w:rsidP="001905D6">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DC13B8" w:rsidRDefault="00DC13B8" w:rsidP="001905D6">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-$0.6</w:t>
            </w:r>
          </w:p>
        </w:tc>
      </w:tr>
    </w:tbl>
    <w:p w:rsidR="007C591C" w:rsidRPr="006B1F8E" w:rsidRDefault="00DC13B8" w:rsidP="006B1F8E">
      <w:pPr>
        <w:pStyle w:val="BodyText1"/>
        <w:spacing w:before="240"/>
        <w:rPr>
          <w:sz w:val="20"/>
          <w:szCs w:val="20"/>
        </w:rPr>
      </w:pPr>
      <w:bookmarkStart w:id="172" w:name="_Toc409075895"/>
      <w:bookmarkStart w:id="173" w:name="_Toc409083632"/>
      <w:r w:rsidRPr="008B3ECF">
        <w:rPr>
          <w:sz w:val="20"/>
          <w:szCs w:val="20"/>
        </w:rPr>
        <w:t>The First Protocol amends the Agreement establishing the ASEAN-Australia-New Zealand Free Trade Area (AANZFTA) to remove regulatory impediments that have been identified as hindering business use of the Agreement. It will reduce the information requirements imposed on business when completing certificates of origin, simplify the presentation of the Agreement's Rules of Origin, and provide for the use of HS 2012 nomenclature.</w:t>
      </w:r>
      <w:bookmarkEnd w:id="172"/>
      <w:bookmarkEnd w:id="173"/>
      <w:r w:rsidR="006B1F8E">
        <w:rPr>
          <w:sz w:val="20"/>
          <w:szCs w:val="20"/>
        </w:rPr>
        <w:t xml:space="preserve"> </w:t>
      </w:r>
    </w:p>
    <w:p w:rsidR="004D057D" w:rsidRDefault="004D057D" w:rsidP="004D057D">
      <w:pPr>
        <w:pStyle w:val="Heading3"/>
      </w:pPr>
      <w:bookmarkStart w:id="174" w:name="_Toc428965513"/>
      <w:r w:rsidRPr="00907F71">
        <w:t>Departm</w:t>
      </w:r>
      <w:r>
        <w:t>ent of Health</w:t>
      </w:r>
      <w:bookmarkEnd w:id="174"/>
      <w: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B03B41" w:rsidTr="00060131">
        <w:trPr>
          <w:tblHeader/>
        </w:trPr>
        <w:tc>
          <w:tcPr>
            <w:tcW w:w="5420" w:type="dxa"/>
            <w:shd w:val="clear" w:color="auto" w:fill="F4973F"/>
            <w:vAlign w:val="center"/>
          </w:tcPr>
          <w:p w:rsidR="00B03B41" w:rsidRDefault="00B03B41" w:rsidP="00060131">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B03B41" w:rsidRDefault="00B03B41" w:rsidP="00060131">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B03B41" w:rsidRDefault="00B03B41" w:rsidP="00060131">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B03B41" w:rsidRDefault="00B03B41" w:rsidP="00060131">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B03B41" w:rsidRDefault="00B03B41" w:rsidP="00060131">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B03B41" w:rsidTr="00060131">
        <w:trPr>
          <w:trHeight w:hRule="exact" w:val="525"/>
        </w:trPr>
        <w:tc>
          <w:tcPr>
            <w:tcW w:w="5420" w:type="dxa"/>
            <w:shd w:val="clear" w:color="auto" w:fill="auto"/>
            <w:vAlign w:val="center"/>
          </w:tcPr>
          <w:p w:rsidR="00B03B41" w:rsidRDefault="00723DAF" w:rsidP="00060131">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Amendments the new regulatory framework for in-vitro diagnostic medical devices</w:t>
            </w:r>
          </w:p>
          <w:p w:rsidR="00723DAF" w:rsidRDefault="00723DAF" w:rsidP="00060131">
            <w:pPr>
              <w:pStyle w:val="TableParagraph"/>
              <w:kinsoku w:val="0"/>
              <w:overflowPunct w:val="0"/>
              <w:spacing w:before="54" w:line="254" w:lineRule="auto"/>
              <w:ind w:left="170" w:right="102"/>
              <w:rPr>
                <w:rFonts w:ascii="Arial" w:hAnsi="Arial" w:cs="Arial"/>
                <w:spacing w:val="-3"/>
                <w:sz w:val="18"/>
                <w:szCs w:val="18"/>
              </w:rPr>
            </w:pPr>
          </w:p>
        </w:tc>
        <w:tc>
          <w:tcPr>
            <w:tcW w:w="1245" w:type="dxa"/>
            <w:shd w:val="clear" w:color="auto" w:fill="auto"/>
            <w:vAlign w:val="center"/>
          </w:tcPr>
          <w:p w:rsidR="00B03B41" w:rsidRDefault="00B03B41" w:rsidP="0006013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B03B41" w:rsidRDefault="00B03B41" w:rsidP="0006013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B03B41" w:rsidRDefault="00B03B41" w:rsidP="00060131">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B03B41" w:rsidRDefault="00B03B41" w:rsidP="00060131">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$0.1</w:t>
            </w:r>
          </w:p>
        </w:tc>
      </w:tr>
    </w:tbl>
    <w:p w:rsidR="00B03B41" w:rsidRDefault="00B03B41" w:rsidP="00723DAF">
      <w:pPr>
        <w:pStyle w:val="BodyText1"/>
        <w:spacing w:before="120"/>
        <w:rPr>
          <w:rFonts w:eastAsia="Calibri"/>
          <w:sz w:val="20"/>
          <w:szCs w:val="20"/>
          <w:lang w:eastAsia="en-AU"/>
        </w:rPr>
      </w:pPr>
      <w:r w:rsidRPr="008B3ECF">
        <w:rPr>
          <w:rFonts w:eastAsia="Calibri"/>
          <w:sz w:val="20"/>
          <w:szCs w:val="20"/>
          <w:lang w:eastAsia="en-AU"/>
        </w:rPr>
        <w:t>The Australian Government announced amendments to the regulatory framework for in-vitro diagnostic medical devices (IVDs) to overcome previously unanticipated problems when previous regulatory changes were introduced in 2010. IVDs are pathology tests and related instrumentation used to carry out testing on human samples.</w:t>
      </w:r>
      <w:r w:rsidRPr="008B3ECF">
        <w:rPr>
          <w:sz w:val="20"/>
          <w:szCs w:val="20"/>
        </w:rPr>
        <w:t xml:space="preserve"> </w:t>
      </w:r>
      <w:r w:rsidRPr="008B3ECF">
        <w:rPr>
          <w:rFonts w:eastAsia="Calibri"/>
          <w:sz w:val="20"/>
          <w:szCs w:val="20"/>
          <w:lang w:eastAsia="en-AU"/>
        </w:rPr>
        <w:t>Changes to the regulatory framework were introduced in 2010 that require all IVDs to undergo a level of regulatory scrutiny that is commensurate with the risks associated with their use. Prior to its full implementation, however, a number of previously unanticipated issues with the new framework were identified.</w:t>
      </w:r>
      <w:r w:rsidRPr="008B3ECF">
        <w:rPr>
          <w:sz w:val="20"/>
          <w:szCs w:val="20"/>
        </w:rPr>
        <w:t xml:space="preserve"> </w:t>
      </w:r>
      <w:r w:rsidRPr="008B3ECF">
        <w:rPr>
          <w:rFonts w:eastAsia="Calibri"/>
          <w:sz w:val="20"/>
          <w:szCs w:val="20"/>
          <w:lang w:eastAsia="en-AU"/>
        </w:rPr>
        <w:t>The proposed changes address these problems. In particular, the proposed changes to the regulation of Class 4 in-house IVDs are expected to allow for the continued supply of these IVDs, which was not assured under the July 2010 changes.</w:t>
      </w:r>
      <w:r w:rsidRPr="008B3ECF">
        <w:rPr>
          <w:sz w:val="20"/>
          <w:szCs w:val="20"/>
        </w:rPr>
        <w:t xml:space="preserve"> </w:t>
      </w:r>
      <w:r w:rsidRPr="008B3ECF">
        <w:rPr>
          <w:rFonts w:eastAsia="Calibri"/>
          <w:sz w:val="20"/>
          <w:szCs w:val="20"/>
          <w:lang w:eastAsia="en-AU"/>
        </w:rPr>
        <w:t>The proposed rule changes have been assessed as likely to have a measurable but contained impact on the economy with minor impacts on competition.</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653C30" w:rsidTr="004D143F">
        <w:trPr>
          <w:tblHeader/>
        </w:trPr>
        <w:tc>
          <w:tcPr>
            <w:tcW w:w="5420" w:type="dxa"/>
            <w:shd w:val="clear" w:color="auto" w:fill="F4973F"/>
            <w:vAlign w:val="center"/>
          </w:tcPr>
          <w:p w:rsidR="00653C30" w:rsidRDefault="00653C30" w:rsidP="004D143F">
            <w:pPr>
              <w:pStyle w:val="TableParagraph"/>
              <w:kinsoku w:val="0"/>
              <w:overflowPunct w:val="0"/>
              <w:spacing w:beforeLines="60" w:before="144" w:after="60"/>
              <w:ind w:left="85"/>
            </w:pPr>
            <w:r w:rsidRPr="00C25C33">
              <w:rPr>
                <w:rFonts w:ascii="Arial" w:hAnsi="Arial" w:cs="Arial"/>
                <w:color w:val="FFFFFF"/>
                <w:w w:val="105"/>
                <w:sz w:val="18"/>
                <w:szCs w:val="18"/>
              </w:rPr>
              <w:lastRenderedPageBreak/>
              <w:t>Proposal</w:t>
            </w:r>
          </w:p>
        </w:tc>
        <w:tc>
          <w:tcPr>
            <w:tcW w:w="1245" w:type="dxa"/>
            <w:shd w:val="clear" w:color="auto" w:fill="F4973F"/>
            <w:vAlign w:val="center"/>
          </w:tcPr>
          <w:p w:rsidR="00653C30" w:rsidRDefault="00653C30" w:rsidP="004D143F">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653C30" w:rsidRDefault="00653C30" w:rsidP="004D143F">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653C30" w:rsidRDefault="00653C30" w:rsidP="004D143F">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653C30" w:rsidRDefault="00653C30" w:rsidP="004D143F">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675DD8" w:rsidRPr="009C05E2" w:rsidTr="004D143F">
        <w:trPr>
          <w:trHeight w:hRule="exact" w:val="525"/>
        </w:trPr>
        <w:tc>
          <w:tcPr>
            <w:tcW w:w="5420" w:type="dxa"/>
            <w:shd w:val="clear" w:color="auto" w:fill="auto"/>
            <w:vAlign w:val="center"/>
          </w:tcPr>
          <w:p w:rsidR="00653C30" w:rsidRPr="009C05E2" w:rsidRDefault="00653C30" w:rsidP="00653C30">
            <w:pPr>
              <w:pStyle w:val="TableParagraph"/>
              <w:kinsoku w:val="0"/>
              <w:overflowPunct w:val="0"/>
              <w:spacing w:before="54" w:line="254" w:lineRule="auto"/>
              <w:ind w:left="170" w:right="102"/>
              <w:rPr>
                <w:rFonts w:ascii="Arial" w:hAnsi="Arial" w:cs="Arial"/>
                <w:spacing w:val="-3"/>
                <w:sz w:val="18"/>
                <w:szCs w:val="18"/>
              </w:rPr>
            </w:pPr>
            <w:r w:rsidRPr="009C05E2">
              <w:rPr>
                <w:rFonts w:ascii="Arial" w:hAnsi="Arial" w:cs="Arial"/>
                <w:spacing w:val="-3"/>
                <w:sz w:val="18"/>
                <w:szCs w:val="18"/>
              </w:rPr>
              <w:t>Industrial chemicals assessment reforms</w:t>
            </w:r>
          </w:p>
        </w:tc>
        <w:tc>
          <w:tcPr>
            <w:tcW w:w="1245" w:type="dxa"/>
            <w:shd w:val="clear" w:color="auto" w:fill="auto"/>
            <w:vAlign w:val="center"/>
          </w:tcPr>
          <w:p w:rsidR="00653C30" w:rsidRPr="009C05E2" w:rsidRDefault="00653C30" w:rsidP="004D143F">
            <w:pPr>
              <w:pStyle w:val="TableParagraph"/>
              <w:kinsoku w:val="0"/>
              <w:overflowPunct w:val="0"/>
              <w:spacing w:before="54"/>
              <w:jc w:val="center"/>
              <w:rPr>
                <w:rFonts w:ascii="Arial" w:hAnsi="Arial" w:cs="Arial"/>
                <w:spacing w:val="-3"/>
                <w:sz w:val="18"/>
                <w:szCs w:val="18"/>
              </w:rPr>
            </w:pPr>
            <w:r w:rsidRPr="009C05E2">
              <w:rPr>
                <w:rFonts w:ascii="Arial" w:hAnsi="Arial" w:cs="Arial"/>
                <w:spacing w:val="-3"/>
                <w:sz w:val="18"/>
                <w:szCs w:val="18"/>
              </w:rPr>
              <w:t>Compliant</w:t>
            </w:r>
          </w:p>
        </w:tc>
        <w:tc>
          <w:tcPr>
            <w:tcW w:w="1105" w:type="dxa"/>
            <w:shd w:val="clear" w:color="auto" w:fill="auto"/>
            <w:vAlign w:val="center"/>
          </w:tcPr>
          <w:p w:rsidR="00653C30" w:rsidRPr="009C05E2" w:rsidRDefault="00653C30" w:rsidP="004D143F">
            <w:pPr>
              <w:pStyle w:val="TableParagraph"/>
              <w:kinsoku w:val="0"/>
              <w:overflowPunct w:val="0"/>
              <w:spacing w:before="54"/>
              <w:jc w:val="center"/>
              <w:rPr>
                <w:rFonts w:ascii="Arial" w:hAnsi="Arial" w:cs="Arial"/>
                <w:spacing w:val="-3"/>
                <w:sz w:val="18"/>
                <w:szCs w:val="18"/>
              </w:rPr>
            </w:pPr>
            <w:r w:rsidRPr="009C05E2">
              <w:rPr>
                <w:rFonts w:ascii="Arial" w:hAnsi="Arial" w:cs="Arial"/>
                <w:spacing w:val="-3"/>
                <w:sz w:val="18"/>
                <w:szCs w:val="18"/>
              </w:rPr>
              <w:t>Yes</w:t>
            </w:r>
          </w:p>
        </w:tc>
        <w:tc>
          <w:tcPr>
            <w:tcW w:w="1104" w:type="dxa"/>
            <w:shd w:val="clear" w:color="auto" w:fill="auto"/>
            <w:vAlign w:val="center"/>
          </w:tcPr>
          <w:p w:rsidR="00653C30" w:rsidRPr="009C05E2" w:rsidRDefault="00653C30" w:rsidP="004D143F">
            <w:pPr>
              <w:pStyle w:val="TableParagraph"/>
              <w:kinsoku w:val="0"/>
              <w:overflowPunct w:val="0"/>
              <w:spacing w:before="54"/>
              <w:jc w:val="center"/>
              <w:rPr>
                <w:rFonts w:ascii="Arial" w:hAnsi="Arial" w:cs="Arial"/>
                <w:spacing w:val="-3"/>
                <w:sz w:val="18"/>
                <w:szCs w:val="18"/>
              </w:rPr>
            </w:pPr>
            <w:r w:rsidRPr="009C05E2">
              <w:rPr>
                <w:rFonts w:ascii="Arial" w:hAnsi="Arial" w:cs="Arial"/>
                <w:spacing w:val="-3"/>
                <w:sz w:val="18"/>
                <w:szCs w:val="18"/>
              </w:rPr>
              <w:t>No</w:t>
            </w:r>
          </w:p>
        </w:tc>
        <w:tc>
          <w:tcPr>
            <w:tcW w:w="1105" w:type="dxa"/>
            <w:vAlign w:val="center"/>
          </w:tcPr>
          <w:p w:rsidR="00653C30" w:rsidRPr="009C05E2" w:rsidRDefault="00653C30" w:rsidP="004D143F">
            <w:pPr>
              <w:pStyle w:val="TableParagraph"/>
              <w:kinsoku w:val="0"/>
              <w:overflowPunct w:val="0"/>
              <w:spacing w:before="54"/>
              <w:ind w:right="227"/>
              <w:jc w:val="right"/>
              <w:rPr>
                <w:rFonts w:ascii="Arial" w:hAnsi="Arial" w:cs="Arial"/>
                <w:spacing w:val="-3"/>
                <w:sz w:val="18"/>
                <w:szCs w:val="18"/>
              </w:rPr>
            </w:pPr>
            <w:r w:rsidRPr="009C05E2">
              <w:rPr>
                <w:rFonts w:ascii="Arial" w:hAnsi="Arial" w:cs="Arial"/>
                <w:spacing w:val="-3"/>
                <w:sz w:val="18"/>
                <w:szCs w:val="18"/>
              </w:rPr>
              <w:t>-$22.7</w:t>
            </w:r>
          </w:p>
        </w:tc>
      </w:tr>
    </w:tbl>
    <w:p w:rsidR="00653C30" w:rsidRPr="008B3ECF" w:rsidRDefault="00653C30" w:rsidP="00723DAF">
      <w:pPr>
        <w:pStyle w:val="BodyText1"/>
        <w:spacing w:before="120"/>
        <w:rPr>
          <w:rFonts w:eastAsia="Calibri"/>
          <w:sz w:val="20"/>
          <w:szCs w:val="20"/>
          <w:lang w:eastAsia="en-AU"/>
        </w:rPr>
      </w:pPr>
      <w:r w:rsidRPr="009C05E2">
        <w:rPr>
          <w:rFonts w:eastAsia="Calibri"/>
          <w:sz w:val="20"/>
          <w:szCs w:val="20"/>
          <w:lang w:eastAsia="en-AU"/>
        </w:rPr>
        <w:t>The Australian Government announced amendments to the National Industrial Chemicals Notification and Assessment Scheme new chemicals assessment process to introduce a more proportionate risk-based framework. Most significantly, the new arrangements streamline the process for introducing new lower-risk chemicals and make greater use of information from overseas regulatory agencies. At the same time more flexible arrangements are to be introduced for post-market as</w:t>
      </w:r>
      <w:r w:rsidR="009C05E2">
        <w:rPr>
          <w:rFonts w:eastAsia="Calibri"/>
          <w:sz w:val="20"/>
          <w:szCs w:val="20"/>
          <w:lang w:eastAsia="en-AU"/>
        </w:rPr>
        <w:t>sessment of existing chemicals.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4D057D" w:rsidTr="004D057D">
        <w:trPr>
          <w:tblHeader/>
        </w:trPr>
        <w:tc>
          <w:tcPr>
            <w:tcW w:w="5420" w:type="dxa"/>
            <w:shd w:val="clear" w:color="auto" w:fill="F4973F"/>
            <w:vAlign w:val="center"/>
          </w:tcPr>
          <w:p w:rsidR="004D057D" w:rsidRDefault="004D057D" w:rsidP="004D057D">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4D057D" w:rsidRDefault="004D057D" w:rsidP="004D057D">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4D057D" w:rsidRDefault="004D057D" w:rsidP="004D057D">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4D057D" w:rsidRDefault="004D057D" w:rsidP="004D057D">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4D057D" w:rsidRDefault="00F96E4B" w:rsidP="004D057D">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w:t>
            </w:r>
            <w:r w:rsidR="004D057D">
              <w:rPr>
                <w:rFonts w:ascii="Arial" w:hAnsi="Arial" w:cs="Arial"/>
                <w:color w:val="FFFFFF"/>
                <w:w w:val="105"/>
                <w:sz w:val="18"/>
                <w:szCs w:val="18"/>
              </w:rPr>
              <w:t xml:space="preserve"> ($m)</w:t>
            </w:r>
          </w:p>
        </w:tc>
      </w:tr>
      <w:tr w:rsidR="004D057D" w:rsidTr="004D057D">
        <w:trPr>
          <w:trHeight w:hRule="exact" w:val="525"/>
        </w:trPr>
        <w:tc>
          <w:tcPr>
            <w:tcW w:w="5420" w:type="dxa"/>
            <w:shd w:val="clear" w:color="auto" w:fill="auto"/>
            <w:vAlign w:val="center"/>
          </w:tcPr>
          <w:p w:rsidR="004D057D" w:rsidRDefault="003A4F3E" w:rsidP="004D057D">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Pre-market assessment of Australian-manufactured medical devices</w:t>
            </w:r>
          </w:p>
        </w:tc>
        <w:tc>
          <w:tcPr>
            <w:tcW w:w="1245" w:type="dxa"/>
            <w:shd w:val="clear" w:color="auto" w:fill="auto"/>
            <w:vAlign w:val="center"/>
          </w:tcPr>
          <w:p w:rsidR="004D057D" w:rsidRDefault="003A4F3E" w:rsidP="004D057D">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4D057D" w:rsidRDefault="003A4F3E" w:rsidP="004D057D">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4D057D" w:rsidRDefault="003A4F3E" w:rsidP="004D057D">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4D057D" w:rsidRDefault="00EB7C53" w:rsidP="004D057D">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-$6.1</w:t>
            </w:r>
          </w:p>
        </w:tc>
      </w:tr>
    </w:tbl>
    <w:p w:rsidR="004F47CF" w:rsidRDefault="00FF14EB" w:rsidP="00965A00">
      <w:pPr>
        <w:pStyle w:val="BodyText1"/>
        <w:spacing w:before="240"/>
        <w:rPr>
          <w:rFonts w:eastAsia="Calibri"/>
          <w:sz w:val="20"/>
          <w:szCs w:val="20"/>
        </w:rPr>
      </w:pPr>
      <w:bookmarkStart w:id="175" w:name="_Toc409075897"/>
      <w:bookmarkStart w:id="176" w:name="_Toc409083634"/>
      <w:r w:rsidRPr="008B3ECF">
        <w:rPr>
          <w:rFonts w:eastAsia="Calibri"/>
          <w:sz w:val="20"/>
          <w:szCs w:val="20"/>
        </w:rPr>
        <w:t>On 15 October 2014, the Australian Government announced changes to the regulation of therapeutic goods that will allow Australian manufacturers of medical devices to obtain market approval for most of their products using conformity assessment certification from European notified bodie</w:t>
      </w:r>
      <w:r w:rsidR="00D1276E" w:rsidRPr="008B3ECF">
        <w:rPr>
          <w:rFonts w:eastAsia="Calibri"/>
          <w:sz w:val="20"/>
          <w:szCs w:val="20"/>
        </w:rPr>
        <w:t>s.</w:t>
      </w:r>
      <w:r w:rsidR="00EB7C53" w:rsidRPr="008B3ECF">
        <w:rPr>
          <w:rFonts w:eastAsia="Calibri"/>
          <w:sz w:val="20"/>
          <w:szCs w:val="20"/>
        </w:rPr>
        <w:t xml:space="preserve"> </w:t>
      </w:r>
      <w:r w:rsidRPr="008B3ECF">
        <w:rPr>
          <w:rFonts w:eastAsia="Calibri"/>
          <w:sz w:val="20"/>
          <w:szCs w:val="20"/>
        </w:rPr>
        <w:t>Conform</w:t>
      </w:r>
      <w:r w:rsidR="00F5394A" w:rsidRPr="008B3ECF">
        <w:rPr>
          <w:rFonts w:eastAsia="Calibri"/>
          <w:sz w:val="20"/>
          <w:szCs w:val="20"/>
        </w:rPr>
        <w:t xml:space="preserve">ity assessment </w:t>
      </w:r>
      <w:r w:rsidRPr="008B3ECF">
        <w:rPr>
          <w:rFonts w:eastAsia="Calibri"/>
          <w:sz w:val="20"/>
          <w:szCs w:val="20"/>
        </w:rPr>
        <w:t>ensure</w:t>
      </w:r>
      <w:r w:rsidR="00F5394A" w:rsidRPr="008B3ECF">
        <w:rPr>
          <w:rFonts w:eastAsia="Calibri"/>
          <w:sz w:val="20"/>
          <w:szCs w:val="20"/>
        </w:rPr>
        <w:t>s</w:t>
      </w:r>
      <w:r w:rsidRPr="008B3ECF">
        <w:rPr>
          <w:rFonts w:eastAsia="Calibri"/>
          <w:sz w:val="20"/>
          <w:szCs w:val="20"/>
        </w:rPr>
        <w:t xml:space="preserve"> that both the medical device and the process used to make the device</w:t>
      </w:r>
      <w:r w:rsidR="00D1276E" w:rsidRPr="008B3ECF">
        <w:rPr>
          <w:rFonts w:eastAsia="Calibri"/>
          <w:sz w:val="20"/>
          <w:szCs w:val="20"/>
        </w:rPr>
        <w:t xml:space="preserve"> comply with</w:t>
      </w:r>
      <w:r w:rsidRPr="008B3ECF">
        <w:rPr>
          <w:rFonts w:eastAsia="Calibri"/>
          <w:sz w:val="20"/>
          <w:szCs w:val="20"/>
        </w:rPr>
        <w:t xml:space="preserve"> the therapeutic goods legislation. </w:t>
      </w:r>
      <w:r w:rsidR="005B2FC0" w:rsidRPr="008B3ECF">
        <w:rPr>
          <w:rFonts w:eastAsia="Calibri"/>
          <w:sz w:val="20"/>
          <w:szCs w:val="20"/>
        </w:rPr>
        <w:t xml:space="preserve">The proposed changes </w:t>
      </w:r>
      <w:r w:rsidR="00EB7C53" w:rsidRPr="008B3ECF">
        <w:rPr>
          <w:rFonts w:eastAsia="Calibri"/>
          <w:sz w:val="20"/>
          <w:szCs w:val="20"/>
        </w:rPr>
        <w:t>allow Australian manufacturers the choice of having a</w:t>
      </w:r>
      <w:r w:rsidRPr="008B3ECF">
        <w:rPr>
          <w:rFonts w:eastAsia="Calibri"/>
          <w:sz w:val="20"/>
          <w:szCs w:val="20"/>
        </w:rPr>
        <w:t xml:space="preserve"> conformity ass</w:t>
      </w:r>
      <w:r w:rsidR="00EB7C53" w:rsidRPr="008B3ECF">
        <w:rPr>
          <w:rFonts w:eastAsia="Calibri"/>
          <w:sz w:val="20"/>
          <w:szCs w:val="20"/>
        </w:rPr>
        <w:t xml:space="preserve">essment conducted </w:t>
      </w:r>
      <w:r w:rsidR="00D1276E" w:rsidRPr="008B3ECF">
        <w:rPr>
          <w:rFonts w:eastAsia="Calibri"/>
          <w:sz w:val="20"/>
          <w:szCs w:val="20"/>
        </w:rPr>
        <w:t xml:space="preserve">by </w:t>
      </w:r>
      <w:r w:rsidRPr="008B3ECF">
        <w:rPr>
          <w:rFonts w:eastAsia="Calibri"/>
          <w:sz w:val="20"/>
          <w:szCs w:val="20"/>
        </w:rPr>
        <w:t xml:space="preserve">an alternative conformity assessment body, such as a European notified body. </w:t>
      </w:r>
      <w:r w:rsidR="00EB7C53" w:rsidRPr="008B3ECF">
        <w:rPr>
          <w:rFonts w:eastAsia="Calibri"/>
          <w:sz w:val="20"/>
          <w:szCs w:val="20"/>
        </w:rPr>
        <w:t xml:space="preserve">This will allow </w:t>
      </w:r>
      <w:r w:rsidR="00546F4B" w:rsidRPr="008B3ECF">
        <w:rPr>
          <w:rFonts w:eastAsia="Calibri"/>
          <w:sz w:val="20"/>
          <w:szCs w:val="20"/>
        </w:rPr>
        <w:t>manufacturers</w:t>
      </w:r>
      <w:r w:rsidR="00ED48BB" w:rsidRPr="008B3ECF">
        <w:rPr>
          <w:rFonts w:eastAsia="Calibri"/>
          <w:sz w:val="20"/>
          <w:szCs w:val="20"/>
        </w:rPr>
        <w:t xml:space="preserve"> to export their products whilst </w:t>
      </w:r>
      <w:r w:rsidRPr="008B3ECF">
        <w:rPr>
          <w:rFonts w:eastAsia="Calibri"/>
          <w:sz w:val="20"/>
          <w:szCs w:val="20"/>
        </w:rPr>
        <w:t>avoiding the need for duplicate conformity assessments.</w:t>
      </w:r>
      <w:bookmarkEnd w:id="175"/>
      <w:bookmarkEnd w:id="176"/>
      <w:r w:rsidR="009818C0" w:rsidRPr="008B3ECF">
        <w:rPr>
          <w:rFonts w:eastAsia="Calibri"/>
          <w:sz w:val="20"/>
          <w:szCs w:val="20"/>
        </w:rP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DA4F34" w:rsidTr="00D413B7">
        <w:trPr>
          <w:tblHeader/>
        </w:trPr>
        <w:tc>
          <w:tcPr>
            <w:tcW w:w="5420" w:type="dxa"/>
            <w:shd w:val="clear" w:color="auto" w:fill="F4973F"/>
            <w:vAlign w:val="center"/>
          </w:tcPr>
          <w:p w:rsidR="00DA4F34" w:rsidRDefault="00DA4F34" w:rsidP="00D413B7">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DA4F34" w:rsidRDefault="00DA4F34" w:rsidP="00D413B7">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DA4F34" w:rsidRDefault="00DA4F34" w:rsidP="00D413B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DA4F34" w:rsidRDefault="00DA4F34" w:rsidP="00D413B7">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DA4F34" w:rsidRDefault="00DA4F34" w:rsidP="00D413B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DA4F34" w:rsidTr="00D413B7">
        <w:trPr>
          <w:trHeight w:hRule="exact" w:val="525"/>
        </w:trPr>
        <w:tc>
          <w:tcPr>
            <w:tcW w:w="5420" w:type="dxa"/>
            <w:shd w:val="clear" w:color="auto" w:fill="auto"/>
            <w:vAlign w:val="center"/>
          </w:tcPr>
          <w:p w:rsidR="00DA4F34" w:rsidRDefault="008E1138" w:rsidP="00D413B7">
            <w:pPr>
              <w:pStyle w:val="TableParagraph"/>
              <w:kinsoku w:val="0"/>
              <w:overflowPunct w:val="0"/>
              <w:spacing w:before="54" w:line="254" w:lineRule="auto"/>
              <w:ind w:left="170" w:right="102"/>
              <w:rPr>
                <w:rFonts w:ascii="Arial" w:hAnsi="Arial" w:cs="Arial"/>
                <w:spacing w:val="-3"/>
                <w:sz w:val="18"/>
                <w:szCs w:val="18"/>
              </w:rPr>
            </w:pPr>
            <w:r w:rsidRPr="008E1138">
              <w:rPr>
                <w:rFonts w:ascii="Arial" w:hAnsi="Arial" w:cs="Arial"/>
                <w:spacing w:val="-3"/>
                <w:sz w:val="18"/>
                <w:szCs w:val="18"/>
              </w:rPr>
              <w:t xml:space="preserve">Proposed changes to the </w:t>
            </w:r>
            <w:r>
              <w:rPr>
                <w:rFonts w:ascii="Arial" w:hAnsi="Arial" w:cs="Arial"/>
                <w:spacing w:val="-3"/>
                <w:sz w:val="18"/>
                <w:szCs w:val="18"/>
              </w:rPr>
              <w:t>p</w:t>
            </w:r>
            <w:r w:rsidR="00DA4F34" w:rsidRPr="00DA4F34">
              <w:rPr>
                <w:rFonts w:ascii="Arial" w:hAnsi="Arial" w:cs="Arial"/>
                <w:spacing w:val="-3"/>
                <w:sz w:val="18"/>
                <w:szCs w:val="18"/>
              </w:rPr>
              <w:t>ersonally controlled electronic health record system</w:t>
            </w:r>
          </w:p>
        </w:tc>
        <w:tc>
          <w:tcPr>
            <w:tcW w:w="1245" w:type="dxa"/>
            <w:shd w:val="clear" w:color="auto" w:fill="auto"/>
            <w:vAlign w:val="center"/>
          </w:tcPr>
          <w:p w:rsidR="00DA4F34" w:rsidRDefault="00DA4F34" w:rsidP="00D413B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DA4F34" w:rsidRDefault="00DA4F34" w:rsidP="00D413B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DA4F34" w:rsidRDefault="00DA4F34" w:rsidP="00D413B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DA4F34" w:rsidRDefault="00DA4F34" w:rsidP="00D413B7">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$0.4</w:t>
            </w:r>
          </w:p>
        </w:tc>
      </w:tr>
    </w:tbl>
    <w:p w:rsidR="00DA4F34" w:rsidRDefault="00DA4F34" w:rsidP="00965A00">
      <w:pPr>
        <w:pStyle w:val="BodyText1"/>
        <w:spacing w:before="240"/>
        <w:rPr>
          <w:rFonts w:eastAsia="Calibri"/>
          <w:sz w:val="20"/>
          <w:szCs w:val="20"/>
        </w:rPr>
      </w:pPr>
      <w:r w:rsidRPr="00DA4F34">
        <w:rPr>
          <w:rFonts w:eastAsia="Calibri"/>
          <w:sz w:val="20"/>
          <w:szCs w:val="20"/>
        </w:rPr>
        <w:t>The proposal will implement opt-out participation trials with targeted communications in the trial regions and introduce new governance arrangements to develop the existing national electronic health record system.</w:t>
      </w:r>
    </w:p>
    <w:p w:rsidR="00A06277" w:rsidRDefault="00A06277" w:rsidP="00A06277">
      <w:pPr>
        <w:pStyle w:val="Heading3"/>
      </w:pPr>
      <w:bookmarkStart w:id="177" w:name="_Toc428965514"/>
      <w:r w:rsidRPr="00907F71">
        <w:t>Departm</w:t>
      </w:r>
      <w:r>
        <w:t>ent of Immigration and Border Protection</w:t>
      </w:r>
      <w:bookmarkEnd w:id="177"/>
      <w: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A06277" w:rsidTr="000B7919">
        <w:trPr>
          <w:tblHeader/>
        </w:trPr>
        <w:tc>
          <w:tcPr>
            <w:tcW w:w="5420" w:type="dxa"/>
            <w:shd w:val="clear" w:color="auto" w:fill="F4973F"/>
            <w:vAlign w:val="center"/>
          </w:tcPr>
          <w:p w:rsidR="00A06277" w:rsidRDefault="00A06277" w:rsidP="000B7919">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A06277" w:rsidRDefault="00A06277" w:rsidP="000B7919">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A06277" w:rsidRDefault="00A06277" w:rsidP="000B791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A06277" w:rsidRDefault="00A06277" w:rsidP="000B791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A06277" w:rsidRDefault="00A06277" w:rsidP="000B791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6A2A8D" w:rsidRPr="0091682C" w:rsidTr="000B7919">
        <w:trPr>
          <w:trHeight w:hRule="exact" w:val="525"/>
        </w:trPr>
        <w:tc>
          <w:tcPr>
            <w:tcW w:w="5420" w:type="dxa"/>
            <w:shd w:val="clear" w:color="auto" w:fill="auto"/>
            <w:vAlign w:val="center"/>
          </w:tcPr>
          <w:p w:rsidR="00A06277" w:rsidRPr="0091682C" w:rsidRDefault="00A06277" w:rsidP="000B7919">
            <w:pPr>
              <w:pStyle w:val="TableParagraph"/>
              <w:kinsoku w:val="0"/>
              <w:overflowPunct w:val="0"/>
              <w:spacing w:before="54" w:line="254" w:lineRule="auto"/>
              <w:ind w:left="170" w:right="102"/>
              <w:rPr>
                <w:rFonts w:ascii="Arial" w:hAnsi="Arial" w:cs="Arial"/>
                <w:spacing w:val="-3"/>
                <w:sz w:val="18"/>
                <w:szCs w:val="18"/>
              </w:rPr>
            </w:pPr>
            <w:r w:rsidRPr="0091682C">
              <w:rPr>
                <w:rFonts w:ascii="Arial" w:hAnsi="Arial" w:cs="Arial"/>
                <w:spacing w:val="-3"/>
                <w:sz w:val="18"/>
                <w:szCs w:val="18"/>
              </w:rPr>
              <w:t>Subclass 457 Visa Reforms</w:t>
            </w:r>
          </w:p>
          <w:p w:rsidR="00A06277" w:rsidRPr="0091682C" w:rsidRDefault="00A06277" w:rsidP="000B7919">
            <w:pPr>
              <w:pStyle w:val="TableParagraph"/>
              <w:kinsoku w:val="0"/>
              <w:overflowPunct w:val="0"/>
              <w:spacing w:before="54" w:line="254" w:lineRule="auto"/>
              <w:ind w:left="170" w:right="102"/>
              <w:rPr>
                <w:rFonts w:ascii="Arial" w:hAnsi="Arial" w:cs="Arial"/>
                <w:spacing w:val="-3"/>
                <w:sz w:val="18"/>
                <w:szCs w:val="18"/>
              </w:rPr>
            </w:pPr>
          </w:p>
        </w:tc>
        <w:tc>
          <w:tcPr>
            <w:tcW w:w="1245" w:type="dxa"/>
            <w:shd w:val="clear" w:color="auto" w:fill="auto"/>
            <w:vAlign w:val="center"/>
          </w:tcPr>
          <w:p w:rsidR="00A06277" w:rsidRPr="0091682C" w:rsidRDefault="00A06277" w:rsidP="000B7919">
            <w:pPr>
              <w:pStyle w:val="TableParagraph"/>
              <w:kinsoku w:val="0"/>
              <w:overflowPunct w:val="0"/>
              <w:spacing w:before="54"/>
              <w:jc w:val="center"/>
              <w:rPr>
                <w:rFonts w:ascii="Arial" w:hAnsi="Arial" w:cs="Arial"/>
                <w:spacing w:val="-3"/>
                <w:sz w:val="18"/>
                <w:szCs w:val="18"/>
              </w:rPr>
            </w:pPr>
            <w:r w:rsidRPr="0091682C">
              <w:rPr>
                <w:rFonts w:ascii="Arial" w:hAnsi="Arial" w:cs="Arial"/>
                <w:spacing w:val="-3"/>
                <w:sz w:val="18"/>
                <w:szCs w:val="18"/>
              </w:rPr>
              <w:t>Compliant</w:t>
            </w:r>
          </w:p>
        </w:tc>
        <w:tc>
          <w:tcPr>
            <w:tcW w:w="1105" w:type="dxa"/>
            <w:shd w:val="clear" w:color="auto" w:fill="auto"/>
            <w:vAlign w:val="center"/>
          </w:tcPr>
          <w:p w:rsidR="00A06277" w:rsidRPr="0091682C" w:rsidRDefault="00A06277" w:rsidP="000B7919">
            <w:pPr>
              <w:pStyle w:val="TableParagraph"/>
              <w:kinsoku w:val="0"/>
              <w:overflowPunct w:val="0"/>
              <w:spacing w:before="54"/>
              <w:jc w:val="center"/>
              <w:rPr>
                <w:rFonts w:ascii="Arial" w:hAnsi="Arial" w:cs="Arial"/>
                <w:spacing w:val="-3"/>
                <w:sz w:val="18"/>
                <w:szCs w:val="18"/>
              </w:rPr>
            </w:pPr>
            <w:r w:rsidRPr="0091682C">
              <w:rPr>
                <w:rFonts w:ascii="Arial" w:hAnsi="Arial" w:cs="Arial"/>
                <w:spacing w:val="-3"/>
                <w:sz w:val="18"/>
                <w:szCs w:val="18"/>
              </w:rPr>
              <w:t>Yes</w:t>
            </w:r>
          </w:p>
        </w:tc>
        <w:tc>
          <w:tcPr>
            <w:tcW w:w="1104" w:type="dxa"/>
            <w:shd w:val="clear" w:color="auto" w:fill="auto"/>
            <w:vAlign w:val="center"/>
          </w:tcPr>
          <w:p w:rsidR="00A06277" w:rsidRPr="0091682C" w:rsidRDefault="00A06277" w:rsidP="000B7919">
            <w:pPr>
              <w:pStyle w:val="TableParagraph"/>
              <w:kinsoku w:val="0"/>
              <w:overflowPunct w:val="0"/>
              <w:spacing w:before="54"/>
              <w:jc w:val="center"/>
              <w:rPr>
                <w:rFonts w:ascii="Arial" w:hAnsi="Arial" w:cs="Arial"/>
                <w:spacing w:val="-3"/>
                <w:sz w:val="18"/>
                <w:szCs w:val="18"/>
              </w:rPr>
            </w:pPr>
            <w:r w:rsidRPr="0091682C">
              <w:rPr>
                <w:rFonts w:ascii="Arial" w:hAnsi="Arial" w:cs="Arial"/>
                <w:spacing w:val="-3"/>
                <w:sz w:val="18"/>
                <w:szCs w:val="18"/>
              </w:rPr>
              <w:t>No</w:t>
            </w:r>
          </w:p>
        </w:tc>
        <w:tc>
          <w:tcPr>
            <w:tcW w:w="1105" w:type="dxa"/>
            <w:vAlign w:val="center"/>
          </w:tcPr>
          <w:p w:rsidR="00A06277" w:rsidRPr="0091682C" w:rsidRDefault="00A06277" w:rsidP="000B7919">
            <w:pPr>
              <w:pStyle w:val="TableParagraph"/>
              <w:kinsoku w:val="0"/>
              <w:overflowPunct w:val="0"/>
              <w:spacing w:before="54"/>
              <w:ind w:right="227"/>
              <w:jc w:val="right"/>
              <w:rPr>
                <w:rFonts w:ascii="Arial" w:hAnsi="Arial" w:cs="Arial"/>
                <w:spacing w:val="-3"/>
                <w:sz w:val="18"/>
                <w:szCs w:val="18"/>
              </w:rPr>
            </w:pPr>
            <w:r w:rsidRPr="0091682C">
              <w:rPr>
                <w:rFonts w:ascii="Arial" w:hAnsi="Arial" w:cs="Arial"/>
                <w:spacing w:val="-3"/>
                <w:sz w:val="18"/>
                <w:szCs w:val="18"/>
              </w:rPr>
              <w:t>-$29.9</w:t>
            </w:r>
          </w:p>
        </w:tc>
      </w:tr>
    </w:tbl>
    <w:p w:rsidR="00A06277" w:rsidRPr="0091682C" w:rsidRDefault="00A06277" w:rsidP="00A06277">
      <w:pPr>
        <w:spacing w:line="276" w:lineRule="auto"/>
        <w:rPr>
          <w:rFonts w:eastAsia="Calibri" w:cs="Arial"/>
          <w:sz w:val="20"/>
          <w:szCs w:val="20"/>
          <w:lang w:eastAsia="en-AU"/>
        </w:rPr>
      </w:pPr>
      <w:r w:rsidRPr="0091682C">
        <w:rPr>
          <w:rFonts w:eastAsia="Calibri" w:cs="Arial"/>
          <w:sz w:val="20"/>
          <w:szCs w:val="20"/>
          <w:lang w:eastAsia="en-AU"/>
        </w:rPr>
        <w:t xml:space="preserve">The 457 visa programme is a temporary visa programme aimed at meeting skills shortages. It allows businesses to address labour shortages by sponsoring genuinely skilled overseas workers. </w:t>
      </w:r>
    </w:p>
    <w:p w:rsidR="00A06277" w:rsidRDefault="00A06277" w:rsidP="00A06277">
      <w:pPr>
        <w:spacing w:before="150" w:after="150" w:line="240" w:lineRule="auto"/>
        <w:rPr>
          <w:rFonts w:eastAsia="Calibri" w:cs="Arial"/>
          <w:sz w:val="20"/>
          <w:szCs w:val="20"/>
          <w:lang w:eastAsia="en-AU"/>
        </w:rPr>
      </w:pPr>
      <w:r w:rsidRPr="0091682C">
        <w:rPr>
          <w:rFonts w:eastAsia="Calibri" w:cs="Arial"/>
          <w:sz w:val="20"/>
          <w:szCs w:val="20"/>
          <w:lang w:eastAsia="en-AU"/>
        </w:rPr>
        <w:t>The proposal seeks to strike a balance between strengthening necessary integrity measures whilst reducing cost of compliance to businesses and individuals.</w:t>
      </w:r>
    </w:p>
    <w:p w:rsidR="004B5504" w:rsidRDefault="004B5504" w:rsidP="00A06277">
      <w:pPr>
        <w:spacing w:before="150" w:after="150" w:line="240" w:lineRule="auto"/>
        <w:rPr>
          <w:rFonts w:eastAsia="Calibri" w:cs="Arial"/>
          <w:sz w:val="20"/>
          <w:szCs w:val="20"/>
          <w:lang w:eastAsia="en-AU"/>
        </w:rPr>
      </w:pPr>
    </w:p>
    <w:p w:rsidR="004B5504" w:rsidRDefault="004B5504" w:rsidP="00A06277">
      <w:pPr>
        <w:spacing w:before="150" w:after="150" w:line="240" w:lineRule="auto"/>
        <w:rPr>
          <w:rFonts w:eastAsia="Calibri" w:cs="Arial"/>
          <w:sz w:val="20"/>
          <w:szCs w:val="20"/>
          <w:lang w:eastAsia="en-AU"/>
        </w:rPr>
      </w:pPr>
    </w:p>
    <w:p w:rsidR="004B5504" w:rsidRDefault="004B5504" w:rsidP="00A06277">
      <w:pPr>
        <w:spacing w:before="150" w:after="150" w:line="240" w:lineRule="auto"/>
        <w:rPr>
          <w:rFonts w:eastAsia="Calibri" w:cs="Arial"/>
          <w:sz w:val="20"/>
          <w:szCs w:val="20"/>
          <w:lang w:eastAsia="en-AU"/>
        </w:rPr>
      </w:pP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3E7268" w:rsidRPr="006B4B68" w:rsidTr="000D206F">
        <w:trPr>
          <w:tblHeader/>
        </w:trPr>
        <w:tc>
          <w:tcPr>
            <w:tcW w:w="5420" w:type="dxa"/>
            <w:shd w:val="clear" w:color="auto" w:fill="F4973F"/>
            <w:vAlign w:val="center"/>
          </w:tcPr>
          <w:p w:rsidR="003E7268" w:rsidRPr="006B4B68" w:rsidRDefault="003E7268" w:rsidP="000D206F">
            <w:pPr>
              <w:widowControl w:val="0"/>
              <w:kinsoku w:val="0"/>
              <w:overflowPunct w:val="0"/>
              <w:autoSpaceDE w:val="0"/>
              <w:autoSpaceDN w:val="0"/>
              <w:adjustRightInd w:val="0"/>
              <w:spacing w:beforeLines="60" w:before="144" w:after="60" w:line="240" w:lineRule="auto"/>
              <w:ind w:left="85"/>
              <w:rPr>
                <w:rFonts w:ascii="Times New Roman" w:eastAsia="MS Mincho" w:hAnsi="Times New Roman"/>
                <w:sz w:val="24"/>
                <w:lang w:eastAsia="en-AU"/>
              </w:rPr>
            </w:pPr>
            <w:r w:rsidRPr="006B4B68">
              <w:rPr>
                <w:rFonts w:eastAsia="MS Mincho" w:cs="Arial"/>
                <w:color w:val="FFFFFF"/>
                <w:w w:val="105"/>
                <w:sz w:val="18"/>
                <w:szCs w:val="18"/>
                <w:lang w:eastAsia="en-AU"/>
              </w:rPr>
              <w:lastRenderedPageBreak/>
              <w:t>Proposal</w:t>
            </w:r>
          </w:p>
        </w:tc>
        <w:tc>
          <w:tcPr>
            <w:tcW w:w="1245" w:type="dxa"/>
            <w:shd w:val="clear" w:color="auto" w:fill="F4973F"/>
            <w:vAlign w:val="center"/>
          </w:tcPr>
          <w:p w:rsidR="003E7268" w:rsidRPr="006B4B68" w:rsidRDefault="003E7268" w:rsidP="000D206F">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6B4B68">
              <w:rPr>
                <w:rFonts w:eastAsia="MS Mincho" w:cs="Arial"/>
                <w:color w:val="FFFFFF"/>
                <w:w w:val="105"/>
                <w:sz w:val="18"/>
                <w:szCs w:val="18"/>
                <w:lang w:eastAsia="en-AU"/>
              </w:rPr>
              <w:t>RIS Status</w:t>
            </w:r>
          </w:p>
        </w:tc>
        <w:tc>
          <w:tcPr>
            <w:tcW w:w="1105" w:type="dxa"/>
            <w:shd w:val="clear" w:color="auto" w:fill="F4973F"/>
            <w:vAlign w:val="center"/>
          </w:tcPr>
          <w:p w:rsidR="003E7268" w:rsidRPr="006B4B68" w:rsidRDefault="003E7268" w:rsidP="000D206F">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6B4B68">
              <w:rPr>
                <w:rFonts w:eastAsia="MS Mincho" w:cs="Arial"/>
                <w:color w:val="FFFFFF"/>
                <w:w w:val="105"/>
                <w:sz w:val="18"/>
                <w:szCs w:val="18"/>
                <w:lang w:eastAsia="en-AU"/>
              </w:rPr>
              <w:t xml:space="preserve">Best </w:t>
            </w:r>
            <w:r w:rsidRPr="006B4B68">
              <w:rPr>
                <w:rFonts w:eastAsia="MS Mincho" w:cs="Arial"/>
                <w:color w:val="FFFFFF"/>
                <w:w w:val="105"/>
                <w:sz w:val="18"/>
                <w:szCs w:val="18"/>
                <w:lang w:eastAsia="en-AU"/>
              </w:rPr>
              <w:br/>
              <w:t>practice</w:t>
            </w:r>
          </w:p>
        </w:tc>
        <w:tc>
          <w:tcPr>
            <w:tcW w:w="1104" w:type="dxa"/>
            <w:shd w:val="clear" w:color="auto" w:fill="F4973F"/>
            <w:vAlign w:val="center"/>
          </w:tcPr>
          <w:p w:rsidR="003E7268" w:rsidRPr="006B4B68" w:rsidRDefault="003E7268" w:rsidP="000D206F">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6B4B68">
              <w:rPr>
                <w:rFonts w:eastAsia="MS Mincho" w:cs="Arial"/>
                <w:color w:val="FFFFFF"/>
                <w:w w:val="105"/>
                <w:sz w:val="18"/>
                <w:szCs w:val="18"/>
                <w:lang w:eastAsia="en-AU"/>
              </w:rPr>
              <w:t xml:space="preserve">PIR </w:t>
            </w:r>
            <w:r w:rsidRPr="006B4B68">
              <w:rPr>
                <w:rFonts w:eastAsia="MS Mincho" w:cs="Arial"/>
                <w:color w:val="FFFFFF"/>
                <w:w w:val="105"/>
                <w:sz w:val="18"/>
                <w:szCs w:val="18"/>
                <w:lang w:eastAsia="en-AU"/>
              </w:rPr>
              <w:br/>
              <w:t>required</w:t>
            </w:r>
          </w:p>
        </w:tc>
        <w:tc>
          <w:tcPr>
            <w:tcW w:w="1105" w:type="dxa"/>
            <w:shd w:val="clear" w:color="auto" w:fill="F4973F"/>
            <w:vAlign w:val="center"/>
          </w:tcPr>
          <w:p w:rsidR="003E7268" w:rsidRPr="006B4B68" w:rsidRDefault="003E7268" w:rsidP="000D206F">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6B4B68">
              <w:rPr>
                <w:rFonts w:eastAsia="MS Mincho" w:cs="Arial"/>
                <w:color w:val="FFFFFF"/>
                <w:w w:val="105"/>
                <w:sz w:val="18"/>
                <w:szCs w:val="18"/>
                <w:lang w:eastAsia="en-AU"/>
              </w:rPr>
              <w:t>Regulatory Burden ($m)</w:t>
            </w:r>
          </w:p>
        </w:tc>
      </w:tr>
      <w:tr w:rsidR="003E7268" w:rsidRPr="006B4B68" w:rsidTr="000D206F">
        <w:trPr>
          <w:trHeight w:hRule="exact" w:val="525"/>
        </w:trPr>
        <w:tc>
          <w:tcPr>
            <w:tcW w:w="5420" w:type="dxa"/>
            <w:shd w:val="clear" w:color="auto" w:fill="auto"/>
            <w:vAlign w:val="center"/>
          </w:tcPr>
          <w:p w:rsidR="003E7268" w:rsidRPr="006B4B68" w:rsidRDefault="003E7268" w:rsidP="000D206F">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Pr>
                <w:rFonts w:eastAsia="MS Mincho" w:cs="Arial"/>
                <w:spacing w:val="-3"/>
                <w:sz w:val="18"/>
                <w:szCs w:val="18"/>
                <w:lang w:eastAsia="en-AU"/>
              </w:rPr>
              <w:t>Office of the Migration Agents Registration Authority Review</w:t>
            </w:r>
          </w:p>
        </w:tc>
        <w:tc>
          <w:tcPr>
            <w:tcW w:w="1245" w:type="dxa"/>
            <w:shd w:val="clear" w:color="auto" w:fill="auto"/>
            <w:vAlign w:val="center"/>
          </w:tcPr>
          <w:p w:rsidR="003E7268" w:rsidRPr="006B4B68" w:rsidRDefault="003E7268" w:rsidP="000D206F">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6B4B68">
              <w:rPr>
                <w:rFonts w:eastAsia="MS Mincho" w:cs="Arial"/>
                <w:spacing w:val="-3"/>
                <w:sz w:val="18"/>
                <w:szCs w:val="18"/>
                <w:lang w:eastAsia="en-AU"/>
              </w:rPr>
              <w:t>Compliant</w:t>
            </w:r>
          </w:p>
        </w:tc>
        <w:tc>
          <w:tcPr>
            <w:tcW w:w="1105" w:type="dxa"/>
            <w:shd w:val="clear" w:color="auto" w:fill="auto"/>
            <w:vAlign w:val="center"/>
          </w:tcPr>
          <w:p w:rsidR="003E7268" w:rsidRPr="006B4B68" w:rsidRDefault="003E7268" w:rsidP="000D206F">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Pr>
                <w:rFonts w:eastAsia="MS Mincho" w:cs="Arial"/>
                <w:spacing w:val="-3"/>
                <w:sz w:val="18"/>
                <w:szCs w:val="18"/>
                <w:lang w:eastAsia="en-AU"/>
              </w:rPr>
              <w:t>Yes</w:t>
            </w:r>
          </w:p>
        </w:tc>
        <w:tc>
          <w:tcPr>
            <w:tcW w:w="1104" w:type="dxa"/>
            <w:shd w:val="clear" w:color="auto" w:fill="auto"/>
            <w:vAlign w:val="center"/>
          </w:tcPr>
          <w:p w:rsidR="003E7268" w:rsidRPr="006B4B68" w:rsidRDefault="003E7268" w:rsidP="000D206F">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6B4B68">
              <w:rPr>
                <w:rFonts w:eastAsia="MS Mincho" w:cs="Arial"/>
                <w:spacing w:val="-3"/>
                <w:sz w:val="18"/>
                <w:szCs w:val="18"/>
                <w:lang w:eastAsia="en-AU"/>
              </w:rPr>
              <w:t>No</w:t>
            </w:r>
          </w:p>
        </w:tc>
        <w:tc>
          <w:tcPr>
            <w:tcW w:w="1105" w:type="dxa"/>
            <w:vAlign w:val="center"/>
          </w:tcPr>
          <w:p w:rsidR="003E7268" w:rsidRPr="006B4B68" w:rsidRDefault="003E7268" w:rsidP="000D206F">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$3.3</w:t>
            </w:r>
          </w:p>
        </w:tc>
      </w:tr>
    </w:tbl>
    <w:p w:rsidR="003E7268" w:rsidRDefault="003E7268" w:rsidP="003E7268">
      <w:pPr>
        <w:spacing w:after="0"/>
        <w:rPr>
          <w:sz w:val="20"/>
        </w:rPr>
      </w:pPr>
      <w:r>
        <w:rPr>
          <w:sz w:val="20"/>
        </w:rPr>
        <w:t xml:space="preserve">The 2014 Independent Review of the Office of the Migration Agents Registration Authority examined the regulatory framework and powers for the OMARA to assess if the powers are still appropriate nd identify opportunities to reduce regulatory burden. </w:t>
      </w:r>
    </w:p>
    <w:p w:rsidR="003E7268" w:rsidRPr="003E7268" w:rsidRDefault="003E7268" w:rsidP="003E7268">
      <w:pPr>
        <w:spacing w:before="240" w:after="0"/>
        <w:rPr>
          <w:sz w:val="20"/>
        </w:rPr>
      </w:pPr>
      <w:r>
        <w:rPr>
          <w:sz w:val="20"/>
        </w:rPr>
        <w:t xml:space="preserve">The 2014 Independent Review of the Office of the Migration Agents Registration Authority has been certified as a Regulation Impact statement by the Department of Immigration and Border Protection. The OBPR does not assess independent reviews. The OBPR agreed to the regulatory cost estimates and offsets.  </w:t>
      </w:r>
    </w:p>
    <w:p w:rsidR="003A4F3E" w:rsidRDefault="003A4F3E" w:rsidP="003A4F3E">
      <w:pPr>
        <w:pStyle w:val="Heading3"/>
      </w:pPr>
      <w:bookmarkStart w:id="178" w:name="_Toc428965515"/>
      <w:r w:rsidRPr="00907F71">
        <w:t>Departm</w:t>
      </w:r>
      <w:r>
        <w:t>ent of Industry</w:t>
      </w:r>
      <w:bookmarkEnd w:id="178"/>
      <w: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DA6EEC" w:rsidTr="000B7919">
        <w:trPr>
          <w:tblHeader/>
        </w:trPr>
        <w:tc>
          <w:tcPr>
            <w:tcW w:w="5420" w:type="dxa"/>
            <w:shd w:val="clear" w:color="auto" w:fill="F4973F"/>
            <w:vAlign w:val="center"/>
          </w:tcPr>
          <w:p w:rsidR="00DA6EEC" w:rsidRDefault="00DA6EEC" w:rsidP="000B7919">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DA6EEC" w:rsidRDefault="00DA6EEC" w:rsidP="000B7919">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DA6EEC" w:rsidRDefault="00DA6EEC" w:rsidP="000B791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DA6EEC" w:rsidRDefault="00DA6EEC" w:rsidP="000B791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DA6EEC" w:rsidRDefault="00DA6EEC" w:rsidP="000B791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DA6EEC" w:rsidRPr="0091682C" w:rsidTr="000B7919">
        <w:trPr>
          <w:trHeight w:hRule="exact" w:val="525"/>
        </w:trPr>
        <w:tc>
          <w:tcPr>
            <w:tcW w:w="5420" w:type="dxa"/>
            <w:shd w:val="clear" w:color="auto" w:fill="auto"/>
            <w:vAlign w:val="center"/>
          </w:tcPr>
          <w:p w:rsidR="00DA6EEC" w:rsidRPr="0091682C" w:rsidRDefault="00DA6EEC" w:rsidP="000B7919">
            <w:pPr>
              <w:pStyle w:val="TableParagraph"/>
              <w:kinsoku w:val="0"/>
              <w:overflowPunct w:val="0"/>
              <w:spacing w:before="54" w:line="254" w:lineRule="auto"/>
              <w:ind w:left="170" w:right="102"/>
              <w:rPr>
                <w:rFonts w:ascii="Arial" w:hAnsi="Arial" w:cs="Arial"/>
                <w:spacing w:val="-3"/>
                <w:sz w:val="18"/>
                <w:szCs w:val="18"/>
              </w:rPr>
            </w:pPr>
            <w:r w:rsidRPr="0091682C">
              <w:rPr>
                <w:rFonts w:ascii="Arial" w:hAnsi="Arial" w:cs="Arial"/>
                <w:spacing w:val="-3"/>
                <w:sz w:val="18"/>
                <w:szCs w:val="18"/>
              </w:rPr>
              <w:t xml:space="preserve">Energy White Paper </w:t>
            </w:r>
          </w:p>
        </w:tc>
        <w:tc>
          <w:tcPr>
            <w:tcW w:w="1245" w:type="dxa"/>
            <w:shd w:val="clear" w:color="auto" w:fill="auto"/>
            <w:vAlign w:val="center"/>
          </w:tcPr>
          <w:p w:rsidR="00DA6EEC" w:rsidRPr="0091682C" w:rsidRDefault="00DA6EEC" w:rsidP="000B7919">
            <w:pPr>
              <w:pStyle w:val="TableParagraph"/>
              <w:kinsoku w:val="0"/>
              <w:overflowPunct w:val="0"/>
              <w:spacing w:before="54"/>
              <w:jc w:val="center"/>
              <w:rPr>
                <w:rFonts w:ascii="Arial" w:hAnsi="Arial" w:cs="Arial"/>
                <w:spacing w:val="-3"/>
                <w:sz w:val="18"/>
                <w:szCs w:val="18"/>
              </w:rPr>
            </w:pPr>
            <w:r w:rsidRPr="0091682C">
              <w:rPr>
                <w:rFonts w:ascii="Arial" w:hAnsi="Arial" w:cs="Arial"/>
                <w:spacing w:val="-3"/>
                <w:sz w:val="18"/>
                <w:szCs w:val="18"/>
              </w:rPr>
              <w:t>Compliant</w:t>
            </w:r>
          </w:p>
        </w:tc>
        <w:tc>
          <w:tcPr>
            <w:tcW w:w="1105" w:type="dxa"/>
            <w:shd w:val="clear" w:color="auto" w:fill="auto"/>
            <w:vAlign w:val="center"/>
          </w:tcPr>
          <w:p w:rsidR="00DA6EEC" w:rsidRPr="0091682C" w:rsidRDefault="00DA6EEC" w:rsidP="000B7919">
            <w:pPr>
              <w:pStyle w:val="TableParagraph"/>
              <w:kinsoku w:val="0"/>
              <w:overflowPunct w:val="0"/>
              <w:spacing w:before="54"/>
              <w:jc w:val="center"/>
              <w:rPr>
                <w:rFonts w:ascii="Arial" w:hAnsi="Arial" w:cs="Arial"/>
                <w:spacing w:val="-3"/>
                <w:sz w:val="18"/>
                <w:szCs w:val="18"/>
              </w:rPr>
            </w:pPr>
            <w:r w:rsidRPr="0091682C">
              <w:rPr>
                <w:rFonts w:ascii="Arial" w:hAnsi="Arial" w:cs="Arial"/>
                <w:spacing w:val="-3"/>
                <w:sz w:val="18"/>
                <w:szCs w:val="18"/>
              </w:rPr>
              <w:t>Yes</w:t>
            </w:r>
          </w:p>
        </w:tc>
        <w:tc>
          <w:tcPr>
            <w:tcW w:w="1104" w:type="dxa"/>
            <w:shd w:val="clear" w:color="auto" w:fill="auto"/>
            <w:vAlign w:val="center"/>
          </w:tcPr>
          <w:p w:rsidR="00DA6EEC" w:rsidRPr="0091682C" w:rsidRDefault="00DA6EEC" w:rsidP="000B7919">
            <w:pPr>
              <w:pStyle w:val="TableParagraph"/>
              <w:kinsoku w:val="0"/>
              <w:overflowPunct w:val="0"/>
              <w:spacing w:before="54"/>
              <w:jc w:val="center"/>
              <w:rPr>
                <w:rFonts w:ascii="Arial" w:hAnsi="Arial" w:cs="Arial"/>
                <w:spacing w:val="-3"/>
                <w:sz w:val="18"/>
                <w:szCs w:val="18"/>
              </w:rPr>
            </w:pPr>
            <w:r w:rsidRPr="0091682C">
              <w:rPr>
                <w:rFonts w:ascii="Arial" w:hAnsi="Arial" w:cs="Arial"/>
                <w:spacing w:val="-3"/>
                <w:sz w:val="18"/>
                <w:szCs w:val="18"/>
              </w:rPr>
              <w:t>No</w:t>
            </w:r>
          </w:p>
        </w:tc>
        <w:tc>
          <w:tcPr>
            <w:tcW w:w="1105" w:type="dxa"/>
            <w:vAlign w:val="center"/>
          </w:tcPr>
          <w:p w:rsidR="00DA6EEC" w:rsidRPr="0091682C" w:rsidRDefault="00DA6EEC" w:rsidP="000B7919">
            <w:pPr>
              <w:pStyle w:val="TableParagraph"/>
              <w:kinsoku w:val="0"/>
              <w:overflowPunct w:val="0"/>
              <w:spacing w:before="54"/>
              <w:ind w:right="227"/>
              <w:jc w:val="right"/>
              <w:rPr>
                <w:rFonts w:ascii="Arial" w:hAnsi="Arial" w:cs="Arial"/>
                <w:spacing w:val="-3"/>
                <w:sz w:val="18"/>
                <w:szCs w:val="18"/>
              </w:rPr>
            </w:pPr>
            <w:r w:rsidRPr="0091682C">
              <w:rPr>
                <w:rFonts w:ascii="Arial" w:hAnsi="Arial" w:cs="Arial"/>
                <w:spacing w:val="-3"/>
                <w:sz w:val="18"/>
                <w:szCs w:val="18"/>
              </w:rPr>
              <w:t>$0.0</w:t>
            </w:r>
          </w:p>
        </w:tc>
      </w:tr>
    </w:tbl>
    <w:p w:rsidR="00DA6EEC" w:rsidRPr="0091682C" w:rsidRDefault="00DA6EEC" w:rsidP="00DA6EEC">
      <w:pPr>
        <w:pStyle w:val="BodyText1"/>
        <w:rPr>
          <w:rFonts w:eastAsia="Calibri"/>
          <w:sz w:val="20"/>
          <w:szCs w:val="20"/>
        </w:rPr>
      </w:pPr>
      <w:r w:rsidRPr="0091682C">
        <w:rPr>
          <w:rFonts w:eastAsia="Calibri"/>
          <w:sz w:val="20"/>
          <w:szCs w:val="20"/>
        </w:rPr>
        <w:t xml:space="preserve">On 8 April 2015, the Minister for Industry and Science announced the release of the Government’s Energy White Paper that sets a policy framework to give industry and consumers certainty in energy policy. </w:t>
      </w:r>
    </w:p>
    <w:p w:rsidR="00DA6EEC" w:rsidRPr="0091682C" w:rsidRDefault="00DA6EEC" w:rsidP="00DA6EEC">
      <w:pPr>
        <w:pStyle w:val="BodyText1"/>
        <w:rPr>
          <w:rFonts w:eastAsia="Calibri"/>
          <w:sz w:val="20"/>
          <w:szCs w:val="20"/>
        </w:rPr>
      </w:pPr>
      <w:r w:rsidRPr="0091682C">
        <w:rPr>
          <w:rFonts w:eastAsia="Calibri"/>
          <w:sz w:val="20"/>
          <w:szCs w:val="20"/>
        </w:rPr>
        <w:t>The objectives of the framework include increasing competition and energy productivity and encouraging investment. The Energy White Paper outlines a number of Government priorities, one of which is to improve national energy productivity by up to 40 per cent by 2030.</w:t>
      </w:r>
    </w:p>
    <w:p w:rsidR="00DA6EEC" w:rsidRPr="0091682C" w:rsidRDefault="00DA6EEC" w:rsidP="00DA6EEC">
      <w:pPr>
        <w:pStyle w:val="BodyText1"/>
        <w:rPr>
          <w:rFonts w:eastAsia="Calibri"/>
          <w:sz w:val="20"/>
          <w:szCs w:val="20"/>
        </w:rPr>
      </w:pPr>
      <w:r w:rsidRPr="0091682C">
        <w:rPr>
          <w:rFonts w:eastAsia="Calibri"/>
          <w:sz w:val="20"/>
          <w:szCs w:val="20"/>
        </w:rPr>
        <w:t>The proposal has been assessed by the Office of Best Practice Regulation (OBPR) as likely to have a widespread impact on the economy.</w:t>
      </w:r>
    </w:p>
    <w:p w:rsidR="00DA6EEC" w:rsidRDefault="00DA6EEC" w:rsidP="00DA6EEC">
      <w:pPr>
        <w:pStyle w:val="BodyText1"/>
        <w:rPr>
          <w:rFonts w:eastAsia="Calibri"/>
          <w:sz w:val="20"/>
          <w:szCs w:val="20"/>
        </w:rPr>
      </w:pPr>
      <w:r w:rsidRPr="0091682C">
        <w:rPr>
          <w:rFonts w:eastAsia="Calibri"/>
          <w:sz w:val="20"/>
          <w:szCs w:val="20"/>
        </w:rPr>
        <w:t xml:space="preserve">The Energy White Paper was developed by the Department of Industry and Science.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35A9E" w:rsidTr="00EA4F27">
        <w:trPr>
          <w:tblHeader/>
        </w:trPr>
        <w:tc>
          <w:tcPr>
            <w:tcW w:w="5420" w:type="dxa"/>
            <w:shd w:val="clear" w:color="auto" w:fill="F4973F"/>
            <w:vAlign w:val="center"/>
          </w:tcPr>
          <w:p w:rsidR="00035A9E" w:rsidRDefault="00035A9E" w:rsidP="00EA4F27">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035A9E" w:rsidRDefault="00035A9E" w:rsidP="00EA4F27">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035A9E" w:rsidRDefault="00035A9E" w:rsidP="00EA4F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035A9E" w:rsidRDefault="00035A9E" w:rsidP="00EA4F27">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035A9E" w:rsidRDefault="00035A9E" w:rsidP="00EA4F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035A9E" w:rsidTr="00EA4F27">
        <w:trPr>
          <w:trHeight w:hRule="exact" w:val="525"/>
        </w:trPr>
        <w:tc>
          <w:tcPr>
            <w:tcW w:w="5420" w:type="dxa"/>
            <w:shd w:val="clear" w:color="auto" w:fill="auto"/>
            <w:vAlign w:val="center"/>
          </w:tcPr>
          <w:p w:rsidR="00035A9E" w:rsidRDefault="00035A9E" w:rsidP="00EA4F27">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Exploration Development Incentive</w:t>
            </w:r>
          </w:p>
        </w:tc>
        <w:tc>
          <w:tcPr>
            <w:tcW w:w="1245" w:type="dxa"/>
            <w:shd w:val="clear" w:color="auto" w:fill="auto"/>
            <w:vAlign w:val="center"/>
          </w:tcPr>
          <w:p w:rsidR="00035A9E" w:rsidRDefault="00035A9E" w:rsidP="00EA4F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035A9E" w:rsidRDefault="00035A9E" w:rsidP="00EA4F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035A9E" w:rsidRDefault="00035A9E" w:rsidP="00EA4F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035A9E" w:rsidRDefault="00035A9E" w:rsidP="00EA4F27">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$0.7</w:t>
            </w:r>
          </w:p>
        </w:tc>
      </w:tr>
    </w:tbl>
    <w:p w:rsidR="00035A9E" w:rsidRPr="0091682C" w:rsidRDefault="00035A9E" w:rsidP="00DA6EEC">
      <w:pPr>
        <w:pStyle w:val="BodyText1"/>
      </w:pPr>
      <w:r>
        <w:rPr>
          <w:rFonts w:eastAsia="Calibri"/>
          <w:sz w:val="20"/>
          <w:szCs w:val="20"/>
        </w:rPr>
        <w:t xml:space="preserve">Establishes a </w:t>
      </w:r>
      <w:r w:rsidRPr="00035A9E">
        <w:rPr>
          <w:rFonts w:eastAsia="Calibri"/>
          <w:sz w:val="20"/>
          <w:szCs w:val="20"/>
        </w:rPr>
        <w:t>refundable tax offset to encourage investment in small mineral exploration companies undertaking ‘greenfields’ mineral exploration in Australia</w:t>
      </w:r>
      <w:r>
        <w:rPr>
          <w:rFonts w:eastAsia="Calibri"/>
          <w:sz w:val="20"/>
          <w:szCs w:val="20"/>
        </w:rPr>
        <w:t>.</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3A4F3E" w:rsidTr="003A4F3E">
        <w:trPr>
          <w:tblHeader/>
        </w:trPr>
        <w:tc>
          <w:tcPr>
            <w:tcW w:w="5420" w:type="dxa"/>
            <w:shd w:val="clear" w:color="auto" w:fill="F4973F"/>
            <w:vAlign w:val="center"/>
          </w:tcPr>
          <w:p w:rsidR="003A4F3E" w:rsidRDefault="003A4F3E" w:rsidP="003A4F3E">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3A4F3E" w:rsidRDefault="003A4F3E" w:rsidP="003A4F3E">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3A4F3E" w:rsidRDefault="003A4F3E" w:rsidP="003A4F3E">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3A4F3E" w:rsidRDefault="003A4F3E" w:rsidP="003A4F3E">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3A4F3E" w:rsidRDefault="00F96E4B" w:rsidP="003A4F3E">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w:t>
            </w:r>
            <w:r w:rsidR="003A4F3E">
              <w:rPr>
                <w:rFonts w:ascii="Arial" w:hAnsi="Arial" w:cs="Arial"/>
                <w:color w:val="FFFFFF"/>
                <w:w w:val="105"/>
                <w:sz w:val="18"/>
                <w:szCs w:val="18"/>
              </w:rPr>
              <w:t xml:space="preserve"> ($m)</w:t>
            </w:r>
          </w:p>
        </w:tc>
      </w:tr>
      <w:tr w:rsidR="003A4F3E" w:rsidTr="003A4F3E">
        <w:trPr>
          <w:trHeight w:hRule="exact" w:val="525"/>
        </w:trPr>
        <w:tc>
          <w:tcPr>
            <w:tcW w:w="5420" w:type="dxa"/>
            <w:shd w:val="clear" w:color="auto" w:fill="auto"/>
            <w:vAlign w:val="center"/>
          </w:tcPr>
          <w:p w:rsidR="003A4F3E" w:rsidRDefault="00711B04" w:rsidP="004440A2">
            <w:pPr>
              <w:pStyle w:val="TableParagraph"/>
              <w:kinsoku w:val="0"/>
              <w:overflowPunct w:val="0"/>
              <w:spacing w:before="54" w:line="254" w:lineRule="auto"/>
              <w:ind w:left="170" w:right="102"/>
              <w:rPr>
                <w:rFonts w:ascii="Arial" w:hAnsi="Arial" w:cs="Arial"/>
                <w:spacing w:val="-3"/>
                <w:sz w:val="18"/>
                <w:szCs w:val="18"/>
              </w:rPr>
            </w:pPr>
            <w:r w:rsidRPr="00711B04">
              <w:rPr>
                <w:rFonts w:ascii="Arial" w:hAnsi="Arial" w:cs="Arial"/>
                <w:spacing w:val="-3"/>
                <w:sz w:val="18"/>
                <w:szCs w:val="18"/>
              </w:rPr>
              <w:t>Revised regulation of ‘scope of registration’ applications in VET sector</w:t>
            </w:r>
          </w:p>
        </w:tc>
        <w:tc>
          <w:tcPr>
            <w:tcW w:w="1245" w:type="dxa"/>
            <w:shd w:val="clear" w:color="auto" w:fill="auto"/>
            <w:vAlign w:val="center"/>
          </w:tcPr>
          <w:p w:rsidR="003A4F3E" w:rsidRDefault="003A4F3E" w:rsidP="003A4F3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3A4F3E" w:rsidRDefault="003A4F3E" w:rsidP="003A4F3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3A4F3E" w:rsidRDefault="003A4F3E" w:rsidP="003A4F3E">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3A4F3E" w:rsidRDefault="00ED48BB" w:rsidP="003A4F3E">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-$3.3</w:t>
            </w:r>
          </w:p>
        </w:tc>
      </w:tr>
    </w:tbl>
    <w:p w:rsidR="006B1F8E" w:rsidRPr="00ED48BB" w:rsidRDefault="00ED48BB" w:rsidP="00965A00">
      <w:pPr>
        <w:pStyle w:val="BodyText1"/>
        <w:spacing w:before="240"/>
        <w:rPr>
          <w:rFonts w:eastAsia="Calibri"/>
        </w:rPr>
      </w:pPr>
      <w:r w:rsidRPr="008B3ECF">
        <w:rPr>
          <w:rFonts w:eastAsia="Calibri"/>
          <w:sz w:val="20"/>
          <w:szCs w:val="20"/>
        </w:rPr>
        <w:t>On 11 September 2014, the Minister for Industry announced that the Australian Skills Quality Authority (ASQA) will expand the delegation for registered training providers (RTOs) to make decisions about changing the scope of their registration. The new approach will reduce red tape for highly compliant RTOs, by addressing the need for training providers to seek approval from ASQA before they offer new courses or make changes to the courses they are already delivering.</w:t>
      </w:r>
      <w:r w:rsidR="00E22781" w:rsidRPr="008B3ECF">
        <w:rPr>
          <w:rFonts w:eastAsia="Calibri"/>
          <w:sz w:val="20"/>
          <w:szCs w:val="20"/>
        </w:rPr>
        <w:t xml:space="preserve"> </w:t>
      </w:r>
      <w:r w:rsidRPr="008B3ECF">
        <w:rPr>
          <w:rFonts w:eastAsia="Calibri"/>
          <w:sz w:val="20"/>
          <w:szCs w:val="20"/>
        </w:rPr>
        <w:t xml:space="preserve">The change is expected to reduce the compliance costs for those RTOs who no longer need to prepare change of scope </w:t>
      </w:r>
      <w:r w:rsidRPr="008B3ECF">
        <w:rPr>
          <w:rFonts w:eastAsia="Calibri"/>
          <w:sz w:val="20"/>
          <w:szCs w:val="20"/>
        </w:rPr>
        <w:lastRenderedPageBreak/>
        <w:t>applications, reduces their delay costs from waiting for approvals, and avoids the need for them to pay application fees</w:t>
      </w:r>
      <w:r w:rsidRPr="00ED48BB">
        <w:rPr>
          <w:rFonts w:eastAsia="Calibri"/>
        </w:rPr>
        <w:t xml:space="preserve">. </w:t>
      </w:r>
    </w:p>
    <w:p w:rsidR="001E52BB" w:rsidRPr="001E52BB" w:rsidRDefault="001E52BB" w:rsidP="009C26D2">
      <w:pPr>
        <w:pStyle w:val="Heading3"/>
      </w:pPr>
      <w:bookmarkStart w:id="179" w:name="_Toc428965516"/>
      <w:r w:rsidRPr="001E52BB">
        <w:t>Department of Infrastructure and Regional Development</w:t>
      </w:r>
      <w:bookmarkEnd w:id="179"/>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1E52BB" w:rsidRPr="001E52BB" w:rsidTr="00AE54A0">
        <w:trPr>
          <w:tblHeader/>
        </w:trPr>
        <w:tc>
          <w:tcPr>
            <w:tcW w:w="5420" w:type="dxa"/>
            <w:shd w:val="clear" w:color="auto" w:fill="F4973F"/>
            <w:vAlign w:val="center"/>
          </w:tcPr>
          <w:p w:rsidR="001E52BB" w:rsidRPr="001E52BB" w:rsidRDefault="001E52BB" w:rsidP="001E52BB">
            <w:pPr>
              <w:widowControl w:val="0"/>
              <w:kinsoku w:val="0"/>
              <w:overflowPunct w:val="0"/>
              <w:autoSpaceDE w:val="0"/>
              <w:autoSpaceDN w:val="0"/>
              <w:adjustRightInd w:val="0"/>
              <w:spacing w:beforeLines="60" w:before="144" w:after="60" w:line="240" w:lineRule="auto"/>
              <w:ind w:left="85"/>
              <w:rPr>
                <w:rFonts w:ascii="Times New Roman" w:eastAsia="MS Mincho" w:hAnsi="Times New Roman"/>
                <w:sz w:val="24"/>
                <w:lang w:eastAsia="en-AU"/>
              </w:rPr>
            </w:pPr>
            <w:r w:rsidRPr="001E52BB">
              <w:rPr>
                <w:rFonts w:eastAsia="MS Mincho" w:cs="Arial"/>
                <w:color w:val="FFFFFF"/>
                <w:w w:val="105"/>
                <w:sz w:val="18"/>
                <w:szCs w:val="18"/>
                <w:lang w:eastAsia="en-AU"/>
              </w:rPr>
              <w:t>Proposal</w:t>
            </w:r>
          </w:p>
        </w:tc>
        <w:tc>
          <w:tcPr>
            <w:tcW w:w="1245" w:type="dxa"/>
            <w:shd w:val="clear" w:color="auto" w:fill="F4973F"/>
            <w:vAlign w:val="center"/>
          </w:tcPr>
          <w:p w:rsidR="001E52BB" w:rsidRPr="001E52BB" w:rsidRDefault="001E52BB" w:rsidP="001E52BB">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1E52BB">
              <w:rPr>
                <w:rFonts w:eastAsia="MS Mincho" w:cs="Arial"/>
                <w:color w:val="FFFFFF"/>
                <w:w w:val="105"/>
                <w:sz w:val="18"/>
                <w:szCs w:val="18"/>
                <w:lang w:eastAsia="en-AU"/>
              </w:rPr>
              <w:t>RIS Status</w:t>
            </w:r>
          </w:p>
        </w:tc>
        <w:tc>
          <w:tcPr>
            <w:tcW w:w="1105" w:type="dxa"/>
            <w:shd w:val="clear" w:color="auto" w:fill="F4973F"/>
            <w:vAlign w:val="center"/>
          </w:tcPr>
          <w:p w:rsidR="001E52BB" w:rsidRPr="001E52BB" w:rsidRDefault="001E52BB" w:rsidP="001E52BB">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1E52BB">
              <w:rPr>
                <w:rFonts w:eastAsia="MS Mincho" w:cs="Arial"/>
                <w:color w:val="FFFFFF"/>
                <w:w w:val="105"/>
                <w:sz w:val="18"/>
                <w:szCs w:val="18"/>
                <w:lang w:eastAsia="en-AU"/>
              </w:rPr>
              <w:t xml:space="preserve">Best </w:t>
            </w:r>
            <w:r w:rsidRPr="001E52BB">
              <w:rPr>
                <w:rFonts w:eastAsia="MS Mincho" w:cs="Arial"/>
                <w:color w:val="FFFFFF"/>
                <w:w w:val="105"/>
                <w:sz w:val="18"/>
                <w:szCs w:val="18"/>
                <w:lang w:eastAsia="en-AU"/>
              </w:rPr>
              <w:br/>
              <w:t>practice</w:t>
            </w:r>
          </w:p>
        </w:tc>
        <w:tc>
          <w:tcPr>
            <w:tcW w:w="1104" w:type="dxa"/>
            <w:shd w:val="clear" w:color="auto" w:fill="F4973F"/>
            <w:vAlign w:val="center"/>
          </w:tcPr>
          <w:p w:rsidR="001E52BB" w:rsidRPr="001E52BB" w:rsidRDefault="001E52BB" w:rsidP="001E52BB">
            <w:pPr>
              <w:widowControl w:val="0"/>
              <w:kinsoku w:val="0"/>
              <w:overflowPunct w:val="0"/>
              <w:autoSpaceDE w:val="0"/>
              <w:autoSpaceDN w:val="0"/>
              <w:adjustRightInd w:val="0"/>
              <w:spacing w:beforeLines="60" w:before="144" w:after="60" w:line="240" w:lineRule="auto"/>
              <w:jc w:val="center"/>
              <w:rPr>
                <w:rFonts w:ascii="Times New Roman" w:eastAsia="MS Mincho" w:hAnsi="Times New Roman"/>
                <w:sz w:val="24"/>
                <w:lang w:eastAsia="en-AU"/>
              </w:rPr>
            </w:pPr>
            <w:r w:rsidRPr="001E52BB">
              <w:rPr>
                <w:rFonts w:eastAsia="MS Mincho" w:cs="Arial"/>
                <w:color w:val="FFFFFF"/>
                <w:w w:val="105"/>
                <w:sz w:val="18"/>
                <w:szCs w:val="18"/>
                <w:lang w:eastAsia="en-AU"/>
              </w:rPr>
              <w:t xml:space="preserve">PIR </w:t>
            </w:r>
            <w:r w:rsidRPr="001E52BB">
              <w:rPr>
                <w:rFonts w:eastAsia="MS Mincho" w:cs="Arial"/>
                <w:color w:val="FFFFFF"/>
                <w:w w:val="105"/>
                <w:sz w:val="18"/>
                <w:szCs w:val="18"/>
                <w:lang w:eastAsia="en-AU"/>
              </w:rPr>
              <w:br/>
              <w:t>required</w:t>
            </w:r>
          </w:p>
        </w:tc>
        <w:tc>
          <w:tcPr>
            <w:tcW w:w="1105" w:type="dxa"/>
            <w:shd w:val="clear" w:color="auto" w:fill="F4973F"/>
            <w:vAlign w:val="center"/>
          </w:tcPr>
          <w:p w:rsidR="001E52BB" w:rsidRPr="001E52BB" w:rsidRDefault="001E52BB" w:rsidP="001E52BB">
            <w:pPr>
              <w:widowControl w:val="0"/>
              <w:kinsoku w:val="0"/>
              <w:overflowPunct w:val="0"/>
              <w:autoSpaceDE w:val="0"/>
              <w:autoSpaceDN w:val="0"/>
              <w:adjustRightInd w:val="0"/>
              <w:spacing w:beforeLines="60" w:before="144" w:after="60" w:line="240" w:lineRule="auto"/>
              <w:jc w:val="center"/>
              <w:rPr>
                <w:rFonts w:eastAsia="MS Mincho" w:cs="Arial"/>
                <w:color w:val="FFFFFF"/>
                <w:w w:val="105"/>
                <w:sz w:val="18"/>
                <w:szCs w:val="18"/>
                <w:lang w:eastAsia="en-AU"/>
              </w:rPr>
            </w:pPr>
            <w:r w:rsidRPr="001E52BB">
              <w:rPr>
                <w:rFonts w:eastAsia="MS Mincho" w:cs="Arial"/>
                <w:color w:val="FFFFFF"/>
                <w:w w:val="105"/>
                <w:sz w:val="18"/>
                <w:szCs w:val="18"/>
                <w:lang w:eastAsia="en-AU"/>
              </w:rPr>
              <w:t>Regulatory Burden ($m)</w:t>
            </w:r>
          </w:p>
        </w:tc>
      </w:tr>
      <w:tr w:rsidR="001E52BB" w:rsidRPr="001E52BB" w:rsidTr="00AE54A0">
        <w:trPr>
          <w:trHeight w:hRule="exact" w:val="525"/>
          <w:tblHeader/>
        </w:trPr>
        <w:tc>
          <w:tcPr>
            <w:tcW w:w="5420" w:type="dxa"/>
            <w:shd w:val="clear" w:color="auto" w:fill="auto"/>
            <w:vAlign w:val="center"/>
          </w:tcPr>
          <w:p w:rsidR="001E52BB" w:rsidRPr="001E52BB" w:rsidRDefault="001E52BB" w:rsidP="001E52BB">
            <w:pPr>
              <w:widowControl w:val="0"/>
              <w:kinsoku w:val="0"/>
              <w:overflowPunct w:val="0"/>
              <w:autoSpaceDE w:val="0"/>
              <w:autoSpaceDN w:val="0"/>
              <w:adjustRightInd w:val="0"/>
              <w:spacing w:before="54" w:after="0" w:line="254" w:lineRule="auto"/>
              <w:ind w:left="170" w:right="102"/>
              <w:rPr>
                <w:rFonts w:eastAsia="MS Mincho" w:cs="Arial"/>
                <w:spacing w:val="-3"/>
                <w:sz w:val="18"/>
                <w:szCs w:val="18"/>
                <w:lang w:eastAsia="en-AU"/>
              </w:rPr>
            </w:pPr>
            <w:r w:rsidRPr="001E52BB">
              <w:rPr>
                <w:rFonts w:eastAsia="MS Mincho" w:cs="Arial"/>
                <w:spacing w:val="-3"/>
                <w:sz w:val="18"/>
                <w:szCs w:val="18"/>
                <w:lang w:eastAsia="en-AU"/>
              </w:rPr>
              <w:t>Coastal Shipping Reform</w:t>
            </w:r>
          </w:p>
        </w:tc>
        <w:tc>
          <w:tcPr>
            <w:tcW w:w="1245" w:type="dxa"/>
            <w:shd w:val="clear" w:color="auto" w:fill="auto"/>
            <w:vAlign w:val="center"/>
          </w:tcPr>
          <w:p w:rsidR="001E52BB" w:rsidRPr="001E52BB" w:rsidRDefault="001E52BB" w:rsidP="001E52BB">
            <w:pPr>
              <w:widowControl w:val="0"/>
              <w:kinsoku w:val="0"/>
              <w:overflowPunct w:val="0"/>
              <w:autoSpaceDE w:val="0"/>
              <w:autoSpaceDN w:val="0"/>
              <w:adjustRightInd w:val="0"/>
              <w:spacing w:before="54" w:after="0" w:line="240" w:lineRule="auto"/>
              <w:jc w:val="center"/>
              <w:rPr>
                <w:rFonts w:eastAsia="MS Mincho" w:cs="Arial"/>
                <w:spacing w:val="-2"/>
                <w:w w:val="90"/>
                <w:sz w:val="18"/>
                <w:szCs w:val="18"/>
                <w:lang w:eastAsia="en-AU"/>
              </w:rPr>
            </w:pPr>
            <w:r w:rsidRPr="001E52BB">
              <w:rPr>
                <w:rFonts w:eastAsia="MS Mincho" w:cs="Arial"/>
                <w:spacing w:val="-3"/>
                <w:sz w:val="18"/>
                <w:szCs w:val="18"/>
                <w:lang w:eastAsia="en-AU"/>
              </w:rPr>
              <w:t>Compliant</w:t>
            </w:r>
          </w:p>
        </w:tc>
        <w:tc>
          <w:tcPr>
            <w:tcW w:w="1105" w:type="dxa"/>
            <w:shd w:val="clear" w:color="auto" w:fill="auto"/>
            <w:vAlign w:val="center"/>
          </w:tcPr>
          <w:p w:rsidR="001E52BB" w:rsidRPr="001E52BB" w:rsidRDefault="001E52BB" w:rsidP="001E52BB">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1E52BB">
              <w:rPr>
                <w:rFonts w:eastAsia="MS Mincho" w:cs="Arial"/>
                <w:spacing w:val="-3"/>
                <w:sz w:val="18"/>
                <w:szCs w:val="18"/>
                <w:lang w:eastAsia="en-AU"/>
              </w:rPr>
              <w:t>Yes</w:t>
            </w:r>
          </w:p>
        </w:tc>
        <w:tc>
          <w:tcPr>
            <w:tcW w:w="1104" w:type="dxa"/>
            <w:shd w:val="clear" w:color="auto" w:fill="auto"/>
            <w:vAlign w:val="center"/>
          </w:tcPr>
          <w:p w:rsidR="001E52BB" w:rsidRPr="001E52BB" w:rsidRDefault="001E52BB" w:rsidP="001E52BB">
            <w:pPr>
              <w:widowControl w:val="0"/>
              <w:kinsoku w:val="0"/>
              <w:overflowPunct w:val="0"/>
              <w:autoSpaceDE w:val="0"/>
              <w:autoSpaceDN w:val="0"/>
              <w:adjustRightInd w:val="0"/>
              <w:spacing w:before="54" w:after="0" w:line="240" w:lineRule="auto"/>
              <w:jc w:val="center"/>
              <w:rPr>
                <w:rFonts w:eastAsia="MS Mincho" w:cs="Arial"/>
                <w:w w:val="85"/>
                <w:sz w:val="18"/>
                <w:szCs w:val="18"/>
                <w:lang w:eastAsia="en-AU"/>
              </w:rPr>
            </w:pPr>
            <w:r w:rsidRPr="001E52BB">
              <w:rPr>
                <w:rFonts w:eastAsia="MS Mincho" w:cs="Arial"/>
                <w:spacing w:val="-3"/>
                <w:sz w:val="18"/>
                <w:szCs w:val="18"/>
                <w:lang w:eastAsia="en-AU"/>
              </w:rPr>
              <w:t>Yes</w:t>
            </w:r>
          </w:p>
        </w:tc>
        <w:tc>
          <w:tcPr>
            <w:tcW w:w="1105" w:type="dxa"/>
            <w:vAlign w:val="center"/>
          </w:tcPr>
          <w:p w:rsidR="001E52BB" w:rsidRPr="001E52BB" w:rsidRDefault="00152ED5" w:rsidP="001E52BB">
            <w:pPr>
              <w:widowControl w:val="0"/>
              <w:kinsoku w:val="0"/>
              <w:overflowPunct w:val="0"/>
              <w:autoSpaceDE w:val="0"/>
              <w:autoSpaceDN w:val="0"/>
              <w:adjustRightInd w:val="0"/>
              <w:spacing w:before="54" w:after="0" w:line="240" w:lineRule="auto"/>
              <w:ind w:right="227"/>
              <w:jc w:val="right"/>
              <w:rPr>
                <w:rFonts w:eastAsia="MS Mincho" w:cs="Arial"/>
                <w:spacing w:val="-3"/>
                <w:sz w:val="18"/>
                <w:szCs w:val="18"/>
                <w:lang w:eastAsia="en-AU"/>
              </w:rPr>
            </w:pPr>
            <w:r>
              <w:rPr>
                <w:rFonts w:eastAsia="MS Mincho" w:cs="Arial"/>
                <w:spacing w:val="-3"/>
                <w:sz w:val="18"/>
                <w:szCs w:val="18"/>
                <w:lang w:eastAsia="en-AU"/>
              </w:rPr>
              <w:t>-$</w:t>
            </w:r>
            <w:r w:rsidR="001E52BB" w:rsidRPr="001E52BB">
              <w:rPr>
                <w:rFonts w:eastAsia="MS Mincho" w:cs="Arial"/>
                <w:spacing w:val="-3"/>
                <w:sz w:val="18"/>
                <w:szCs w:val="18"/>
                <w:lang w:eastAsia="en-AU"/>
              </w:rPr>
              <w:t>21.4</w:t>
            </w:r>
          </w:p>
        </w:tc>
      </w:tr>
    </w:tbl>
    <w:p w:rsidR="001E52BB" w:rsidRPr="00AB0DB3" w:rsidRDefault="001E52BB" w:rsidP="001E52BB">
      <w:pPr>
        <w:spacing w:before="150" w:after="150" w:line="240" w:lineRule="auto"/>
        <w:rPr>
          <w:rFonts w:eastAsia="MS Mincho" w:cs="Arial"/>
          <w:spacing w:val="-3"/>
          <w:sz w:val="20"/>
          <w:szCs w:val="20"/>
          <w:lang w:eastAsia="en-AU"/>
        </w:rPr>
      </w:pPr>
      <w:r w:rsidRPr="00AB0DB3">
        <w:rPr>
          <w:rFonts w:eastAsia="MS Mincho" w:cs="Arial"/>
          <w:spacing w:val="-3"/>
          <w:sz w:val="20"/>
          <w:szCs w:val="20"/>
          <w:lang w:eastAsia="en-AU"/>
        </w:rPr>
        <w:t xml:space="preserve">The reforms introduce a simplified permit system to give foreign and Australian flagged vessels access to coastal shipping. They are estimated to deliver a net economic benefit of $667.4 million to the economy. </w:t>
      </w:r>
    </w:p>
    <w:p w:rsidR="001E52BB" w:rsidRDefault="001E52BB" w:rsidP="001E52BB">
      <w:pPr>
        <w:widowControl w:val="0"/>
        <w:kinsoku w:val="0"/>
        <w:overflowPunct w:val="0"/>
        <w:autoSpaceDE w:val="0"/>
        <w:autoSpaceDN w:val="0"/>
        <w:adjustRightInd w:val="0"/>
        <w:spacing w:before="54" w:after="0" w:line="254" w:lineRule="auto"/>
        <w:ind w:right="102"/>
        <w:rPr>
          <w:rFonts w:eastAsia="MS Mincho" w:cs="Arial"/>
          <w:spacing w:val="-3"/>
          <w:sz w:val="20"/>
          <w:szCs w:val="20"/>
          <w:lang w:eastAsia="en-AU"/>
        </w:rPr>
      </w:pPr>
      <w:r w:rsidRPr="00AB0DB3">
        <w:rPr>
          <w:rFonts w:eastAsia="MS Mincho" w:cs="Arial"/>
          <w:spacing w:val="-3"/>
          <w:sz w:val="20"/>
          <w:szCs w:val="20"/>
          <w:lang w:eastAsia="en-AU"/>
        </w:rPr>
        <w:t xml:space="preserve">As the reforms have been assessed by the OBPR as having a substantial impact on the sector and the economy, the Australian Government’s RIS process requires a post implementation review to be completed for the coastal shipping reforms within five years of being implemented.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E772EE" w:rsidRPr="0084580D" w:rsidTr="00A84AC4">
        <w:trPr>
          <w:tblHeader/>
        </w:trPr>
        <w:tc>
          <w:tcPr>
            <w:tcW w:w="5420" w:type="dxa"/>
            <w:shd w:val="clear" w:color="auto" w:fill="F4973F"/>
            <w:vAlign w:val="center"/>
          </w:tcPr>
          <w:p w:rsidR="00E772EE" w:rsidRPr="0084580D" w:rsidRDefault="00E772EE" w:rsidP="00A84AC4">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E772EE" w:rsidRPr="0084580D" w:rsidRDefault="00E772EE" w:rsidP="00A84AC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E772EE" w:rsidRPr="0084580D" w:rsidRDefault="00E772EE" w:rsidP="00A84AC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E772EE" w:rsidRPr="0084580D" w:rsidRDefault="00E772EE" w:rsidP="00A84AC4">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E772EE" w:rsidRPr="0084580D" w:rsidRDefault="00E772EE" w:rsidP="00A84AC4">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E772EE" w:rsidRPr="0084580D" w:rsidTr="00A84AC4">
        <w:trPr>
          <w:trHeight w:hRule="exact" w:val="525"/>
        </w:trPr>
        <w:tc>
          <w:tcPr>
            <w:tcW w:w="5420" w:type="dxa"/>
            <w:shd w:val="clear" w:color="auto" w:fill="auto"/>
            <w:vAlign w:val="center"/>
          </w:tcPr>
          <w:p w:rsidR="00E772EE" w:rsidRPr="00E772EE" w:rsidRDefault="00E772EE" w:rsidP="00A84AC4">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E772EE">
              <w:rPr>
                <w:rFonts w:eastAsia="MS Mincho" w:cs="Arial"/>
                <w:spacing w:val="-3"/>
                <w:sz w:val="18"/>
                <w:szCs w:val="18"/>
              </w:rPr>
              <w:t>Western Sydney Airport Market Access Facilitation</w:t>
            </w:r>
          </w:p>
        </w:tc>
        <w:tc>
          <w:tcPr>
            <w:tcW w:w="1245" w:type="dxa"/>
            <w:shd w:val="clear" w:color="auto" w:fill="auto"/>
            <w:vAlign w:val="center"/>
          </w:tcPr>
          <w:p w:rsidR="00E772EE" w:rsidRPr="0084580D" w:rsidRDefault="00E772EE" w:rsidP="00A84AC4">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rsidR="00E772EE" w:rsidRPr="0084580D" w:rsidRDefault="00E772EE" w:rsidP="00A84AC4">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rsidR="00E772EE" w:rsidRPr="0084580D" w:rsidRDefault="00E772EE" w:rsidP="00A84AC4">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rsidR="00E772EE" w:rsidRPr="0084580D" w:rsidRDefault="00E772EE" w:rsidP="00A84AC4">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$0.0</w:t>
            </w:r>
          </w:p>
        </w:tc>
      </w:tr>
    </w:tbl>
    <w:p w:rsidR="00E772EE" w:rsidRPr="00E772EE" w:rsidRDefault="00E772EE" w:rsidP="00E772EE">
      <w:pPr>
        <w:rPr>
          <w:sz w:val="20"/>
          <w:szCs w:val="20"/>
        </w:rPr>
      </w:pPr>
      <w:r w:rsidRPr="00E772EE">
        <w:rPr>
          <w:sz w:val="20"/>
          <w:szCs w:val="20"/>
        </w:rPr>
        <w:t xml:space="preserve">The Airports Amendment Bill 2015 removes the airport cross-ownership restrictions placed on Sydney West Airport. The Office of Best Practice Regulation considers that the Regulation Impact Statement required a higher level of analysis to be considered best practice. In particular, the RIS does not explain the purpose of the cross-ownership restrictions, or the competition problem that they seek to address. </w:t>
      </w:r>
    </w:p>
    <w:p w:rsidR="006A2867" w:rsidRPr="006A2867" w:rsidRDefault="001C693E" w:rsidP="006A2867">
      <w:pPr>
        <w:pStyle w:val="Heading3"/>
        <w:rPr>
          <w:rFonts w:eastAsia="Calibri"/>
        </w:rPr>
      </w:pPr>
      <w:bookmarkStart w:id="180" w:name="_Toc428965517"/>
      <w:r>
        <w:rPr>
          <w:rFonts w:eastAsia="Calibri"/>
        </w:rPr>
        <w:t>Australian Accounting Standards Board</w:t>
      </w:r>
      <w:bookmarkEnd w:id="180"/>
      <w:r>
        <w:rPr>
          <w:rFonts w:eastAsia="Calibri"/>
        </w:rPr>
        <w:t xml:space="preserve"> </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6A2867" w:rsidTr="00810457">
        <w:trPr>
          <w:tblHeader/>
        </w:trPr>
        <w:tc>
          <w:tcPr>
            <w:tcW w:w="5420" w:type="dxa"/>
            <w:shd w:val="clear" w:color="auto" w:fill="F4973F"/>
            <w:vAlign w:val="center"/>
          </w:tcPr>
          <w:p w:rsidR="006A2867" w:rsidRDefault="006A2867" w:rsidP="00810457">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6A2867" w:rsidRDefault="006A2867" w:rsidP="00810457">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6A2867" w:rsidRDefault="006A2867" w:rsidP="0081045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6A2867" w:rsidRDefault="006A2867" w:rsidP="00810457">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6A2867" w:rsidRDefault="006A2867" w:rsidP="0081045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6A2867" w:rsidTr="00810457">
        <w:trPr>
          <w:trHeight w:hRule="exact" w:val="525"/>
        </w:trPr>
        <w:tc>
          <w:tcPr>
            <w:tcW w:w="5420" w:type="dxa"/>
            <w:shd w:val="clear" w:color="auto" w:fill="auto"/>
            <w:vAlign w:val="center"/>
          </w:tcPr>
          <w:p w:rsidR="006A2867" w:rsidRDefault="006A2867" w:rsidP="00810457">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Revised Accounting Standard for Financial Instruments</w:t>
            </w:r>
          </w:p>
        </w:tc>
        <w:tc>
          <w:tcPr>
            <w:tcW w:w="1245" w:type="dxa"/>
            <w:shd w:val="clear" w:color="auto" w:fill="auto"/>
            <w:vAlign w:val="center"/>
          </w:tcPr>
          <w:p w:rsidR="006A2867" w:rsidRDefault="006A2867" w:rsidP="0081045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6A2867" w:rsidRDefault="006A2867" w:rsidP="0081045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6A2867" w:rsidRDefault="006A2867" w:rsidP="0081045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6A2867" w:rsidRDefault="006A2867" w:rsidP="00810457">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$32.2</w:t>
            </w:r>
          </w:p>
        </w:tc>
      </w:tr>
    </w:tbl>
    <w:p w:rsidR="006A2867" w:rsidRPr="008B3ECF" w:rsidRDefault="006A2867" w:rsidP="008B3ECF">
      <w:pPr>
        <w:pStyle w:val="BodyText1"/>
        <w:rPr>
          <w:sz w:val="20"/>
          <w:szCs w:val="20"/>
          <w:lang w:eastAsia="en-AU"/>
        </w:rPr>
      </w:pPr>
      <w:r w:rsidRPr="008B3ECF">
        <w:rPr>
          <w:sz w:val="20"/>
          <w:szCs w:val="20"/>
          <w:lang w:eastAsia="en-AU"/>
        </w:rPr>
        <w:t>The Australian Accou</w:t>
      </w:r>
      <w:r w:rsidR="006023BA" w:rsidRPr="008B3ECF">
        <w:rPr>
          <w:sz w:val="20"/>
          <w:szCs w:val="20"/>
          <w:lang w:eastAsia="en-AU"/>
        </w:rPr>
        <w:t>nting Standards Board (AASB)</w:t>
      </w:r>
      <w:r w:rsidRPr="008B3ECF">
        <w:rPr>
          <w:sz w:val="20"/>
          <w:szCs w:val="20"/>
          <w:lang w:eastAsia="en-AU"/>
        </w:rPr>
        <w:t xml:space="preserve"> </w:t>
      </w:r>
      <w:r w:rsidR="00D34F24" w:rsidRPr="008B3ECF">
        <w:rPr>
          <w:sz w:val="20"/>
          <w:szCs w:val="20"/>
          <w:lang w:eastAsia="en-AU"/>
        </w:rPr>
        <w:t xml:space="preserve">announced that it had </w:t>
      </w:r>
      <w:r w:rsidRPr="008B3ECF">
        <w:rPr>
          <w:sz w:val="20"/>
          <w:szCs w:val="20"/>
          <w:lang w:eastAsia="en-AU"/>
        </w:rPr>
        <w:t xml:space="preserve">approved a new standard for accounting for financial instruments. The standard </w:t>
      </w:r>
      <w:r w:rsidR="004A2AEF" w:rsidRPr="008B3ECF">
        <w:rPr>
          <w:sz w:val="20"/>
          <w:szCs w:val="20"/>
          <w:lang w:eastAsia="en-AU"/>
        </w:rPr>
        <w:t>incorporates the international financial reporting standard IFRS 9 which made changes in relation to: reporting impairment of financial assets; and classification and measurement of fi</w:t>
      </w:r>
      <w:r w:rsidR="006023BA" w:rsidRPr="008B3ECF">
        <w:rPr>
          <w:sz w:val="20"/>
          <w:szCs w:val="20"/>
          <w:lang w:eastAsia="en-AU"/>
        </w:rPr>
        <w:t>nancial assets, i</w:t>
      </w:r>
      <w:r w:rsidRPr="008B3ECF">
        <w:rPr>
          <w:sz w:val="20"/>
          <w:szCs w:val="20"/>
          <w:lang w:eastAsia="en-AU"/>
        </w:rPr>
        <w:t xml:space="preserve">ncluding the introduction of a measurement category of ‘fair value through other comprehensive income’ for debt instruments. </w:t>
      </w:r>
      <w:r w:rsidR="006023BA" w:rsidRPr="008B3ECF">
        <w:rPr>
          <w:sz w:val="20"/>
          <w:szCs w:val="20"/>
          <w:lang w:eastAsia="en-AU"/>
        </w:rPr>
        <w:t>By incorporating the requirements</w:t>
      </w:r>
      <w:r w:rsidR="00396547" w:rsidRPr="008B3ECF">
        <w:rPr>
          <w:sz w:val="20"/>
          <w:szCs w:val="20"/>
          <w:lang w:eastAsia="en-AU"/>
        </w:rPr>
        <w:t xml:space="preserve"> of IFRS 9</w:t>
      </w:r>
      <w:r w:rsidR="006023BA" w:rsidRPr="008B3ECF">
        <w:rPr>
          <w:sz w:val="20"/>
          <w:szCs w:val="20"/>
          <w:lang w:eastAsia="en-AU"/>
        </w:rPr>
        <w:t xml:space="preserve">, the new </w:t>
      </w:r>
      <w:r w:rsidRPr="008B3ECF">
        <w:rPr>
          <w:sz w:val="20"/>
          <w:szCs w:val="20"/>
          <w:lang w:eastAsia="en-AU"/>
        </w:rPr>
        <w:t>Australia</w:t>
      </w:r>
      <w:r w:rsidR="006023BA" w:rsidRPr="008B3ECF">
        <w:rPr>
          <w:sz w:val="20"/>
          <w:szCs w:val="20"/>
          <w:lang w:eastAsia="en-AU"/>
        </w:rPr>
        <w:t xml:space="preserve">n standard both addresses </w:t>
      </w:r>
      <w:r w:rsidRPr="008B3ECF">
        <w:rPr>
          <w:sz w:val="20"/>
          <w:szCs w:val="20"/>
          <w:lang w:eastAsia="en-AU"/>
        </w:rPr>
        <w:t>concerns in Australia and ensures that</w:t>
      </w:r>
      <w:r w:rsidR="00396547" w:rsidRPr="008B3ECF">
        <w:rPr>
          <w:sz w:val="20"/>
          <w:szCs w:val="20"/>
          <w:lang w:eastAsia="en-AU"/>
        </w:rPr>
        <w:t xml:space="preserve"> financial statements prepared</w:t>
      </w:r>
      <w:r w:rsidR="00976D2A" w:rsidRPr="008B3ECF">
        <w:rPr>
          <w:sz w:val="20"/>
          <w:szCs w:val="20"/>
          <w:lang w:eastAsia="en-AU"/>
        </w:rPr>
        <w:t xml:space="preserve"> b</w:t>
      </w:r>
      <w:r w:rsidRPr="008B3ECF">
        <w:rPr>
          <w:sz w:val="20"/>
          <w:szCs w:val="20"/>
          <w:lang w:eastAsia="en-AU"/>
        </w:rPr>
        <w:t>y Australian entities</w:t>
      </w:r>
      <w:r w:rsidR="00396547" w:rsidRPr="008B3ECF">
        <w:rPr>
          <w:sz w:val="20"/>
          <w:szCs w:val="20"/>
          <w:lang w:eastAsia="en-AU"/>
        </w:rPr>
        <w:t xml:space="preserve"> in accordance with Australian accounting standards will remain</w:t>
      </w:r>
      <w:r w:rsidRPr="008B3ECF">
        <w:rPr>
          <w:sz w:val="20"/>
          <w:szCs w:val="20"/>
          <w:lang w:eastAsia="en-AU"/>
        </w:rPr>
        <w:t xml:space="preserve"> compliant with international </w:t>
      </w:r>
      <w:r w:rsidR="00976D2A" w:rsidRPr="008B3ECF">
        <w:rPr>
          <w:sz w:val="20"/>
          <w:szCs w:val="20"/>
          <w:lang w:eastAsia="en-AU"/>
        </w:rPr>
        <w:t xml:space="preserve">financial reporting </w:t>
      </w:r>
      <w:r w:rsidRPr="008B3ECF">
        <w:rPr>
          <w:sz w:val="20"/>
          <w:szCs w:val="20"/>
          <w:lang w:eastAsia="en-AU"/>
        </w:rPr>
        <w:t xml:space="preserve">standards. </w:t>
      </w:r>
    </w:p>
    <w:p w:rsidR="005C6F9D" w:rsidRDefault="006A2867" w:rsidP="008B3ECF">
      <w:pPr>
        <w:pStyle w:val="BodyText1"/>
        <w:rPr>
          <w:sz w:val="20"/>
          <w:szCs w:val="20"/>
          <w:lang w:eastAsia="en-AU"/>
        </w:rPr>
      </w:pPr>
      <w:r w:rsidRPr="008B3ECF">
        <w:rPr>
          <w:sz w:val="20"/>
          <w:szCs w:val="20"/>
          <w:lang w:eastAsia="en-AU"/>
        </w:rPr>
        <w:t>The proposal has been assessed as likely to have a measurable but contained impact on the economy with no impacts on competition. The OBPR notes that the preparation of the RIS was not consistent with best practice because of the limited depth of analysis of the benefits to business of maintaining harmonisation with international standards and the full economic costs of adopting the new standard.</w:t>
      </w:r>
    </w:p>
    <w:p w:rsidR="0080527D" w:rsidRDefault="0080527D" w:rsidP="008B3ECF">
      <w:pPr>
        <w:pStyle w:val="BodyText1"/>
        <w:rPr>
          <w:sz w:val="20"/>
          <w:szCs w:val="20"/>
          <w:lang w:eastAsia="en-AU"/>
        </w:rPr>
      </w:pPr>
    </w:p>
    <w:p w:rsidR="0080527D" w:rsidRDefault="0080527D" w:rsidP="008B3ECF">
      <w:pPr>
        <w:pStyle w:val="BodyText1"/>
        <w:rPr>
          <w:sz w:val="20"/>
          <w:szCs w:val="20"/>
          <w:lang w:eastAsia="en-AU"/>
        </w:rPr>
      </w:pPr>
    </w:p>
    <w:p w:rsidR="0080527D" w:rsidRPr="008B3ECF" w:rsidRDefault="0080527D" w:rsidP="008B3ECF">
      <w:pPr>
        <w:pStyle w:val="BodyText1"/>
        <w:rPr>
          <w:sz w:val="20"/>
          <w:szCs w:val="20"/>
          <w:lang w:eastAsia="en-AU"/>
        </w:rPr>
      </w:pP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1C693E" w:rsidTr="00CD6005">
        <w:trPr>
          <w:tblHeader/>
        </w:trPr>
        <w:tc>
          <w:tcPr>
            <w:tcW w:w="5420" w:type="dxa"/>
            <w:shd w:val="clear" w:color="auto" w:fill="F4973F"/>
            <w:vAlign w:val="center"/>
          </w:tcPr>
          <w:p w:rsidR="001C693E" w:rsidRDefault="001C693E" w:rsidP="00CD6005">
            <w:pPr>
              <w:pStyle w:val="TableParagraph"/>
              <w:kinsoku w:val="0"/>
              <w:overflowPunct w:val="0"/>
              <w:spacing w:beforeLines="60" w:before="144" w:after="60"/>
              <w:ind w:left="85"/>
            </w:pPr>
            <w:r w:rsidRPr="00C25C33">
              <w:rPr>
                <w:rFonts w:ascii="Arial" w:hAnsi="Arial" w:cs="Arial"/>
                <w:color w:val="FFFFFF"/>
                <w:w w:val="105"/>
                <w:sz w:val="18"/>
                <w:szCs w:val="18"/>
              </w:rPr>
              <w:lastRenderedPageBreak/>
              <w:t>Proposal</w:t>
            </w:r>
          </w:p>
        </w:tc>
        <w:tc>
          <w:tcPr>
            <w:tcW w:w="1245" w:type="dxa"/>
            <w:shd w:val="clear" w:color="auto" w:fill="F4973F"/>
            <w:vAlign w:val="center"/>
          </w:tcPr>
          <w:p w:rsidR="001C693E" w:rsidRDefault="001C693E" w:rsidP="00CD6005">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1C693E" w:rsidRDefault="001C693E" w:rsidP="00CD600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1C693E" w:rsidRDefault="001C693E" w:rsidP="00CD6005">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1C693E" w:rsidRDefault="001C693E" w:rsidP="00CD600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1C693E" w:rsidTr="00CD6005">
        <w:trPr>
          <w:trHeight w:hRule="exact" w:val="525"/>
        </w:trPr>
        <w:tc>
          <w:tcPr>
            <w:tcW w:w="5420" w:type="dxa"/>
            <w:shd w:val="clear" w:color="auto" w:fill="auto"/>
            <w:vAlign w:val="center"/>
          </w:tcPr>
          <w:p w:rsidR="001C693E" w:rsidRDefault="001C693E" w:rsidP="00CD6005">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Revised Accounting Standard for Revenue from Contracts with Customers</w:t>
            </w:r>
          </w:p>
        </w:tc>
        <w:tc>
          <w:tcPr>
            <w:tcW w:w="1245" w:type="dxa"/>
            <w:shd w:val="clear" w:color="auto" w:fill="auto"/>
            <w:vAlign w:val="center"/>
          </w:tcPr>
          <w:p w:rsidR="001C693E" w:rsidRDefault="001C693E" w:rsidP="00CD600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1C693E" w:rsidRDefault="001C693E" w:rsidP="00CD600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1C693E" w:rsidRDefault="001C693E" w:rsidP="00CD600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1C693E" w:rsidRDefault="001C693E" w:rsidP="00CD600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$15.1</w:t>
            </w:r>
          </w:p>
        </w:tc>
      </w:tr>
    </w:tbl>
    <w:p w:rsidR="001C693E" w:rsidRPr="008B3ECF" w:rsidRDefault="001C693E" w:rsidP="00965A00">
      <w:pPr>
        <w:spacing w:before="240"/>
        <w:rPr>
          <w:sz w:val="20"/>
          <w:szCs w:val="20"/>
        </w:rPr>
      </w:pPr>
      <w:r w:rsidRPr="008B3ECF">
        <w:rPr>
          <w:rFonts w:cs="Arial"/>
          <w:color w:val="000000"/>
          <w:sz w:val="20"/>
          <w:szCs w:val="20"/>
          <w:lang w:eastAsia="en-AU"/>
        </w:rPr>
        <w:t>The Australian Accounting Standards Board (AASB) announced that it had approved a new</w:t>
      </w:r>
      <w:r w:rsidRPr="008B3ECF">
        <w:rPr>
          <w:sz w:val="20"/>
          <w:szCs w:val="20"/>
        </w:rPr>
        <w:t xml:space="preserve"> standard, </w:t>
      </w:r>
      <w:r w:rsidRPr="008B3ECF">
        <w:rPr>
          <w:i/>
          <w:sz w:val="20"/>
          <w:szCs w:val="20"/>
        </w:rPr>
        <w:t>Revenue from Contracts with Customers</w:t>
      </w:r>
      <w:r w:rsidR="009E49F0" w:rsidRPr="008B3ECF">
        <w:rPr>
          <w:sz w:val="20"/>
          <w:szCs w:val="20"/>
        </w:rPr>
        <w:t xml:space="preserve">, </w:t>
      </w:r>
      <w:r w:rsidRPr="008B3ECF">
        <w:rPr>
          <w:sz w:val="20"/>
          <w:szCs w:val="20"/>
        </w:rPr>
        <w:t>which addresses the financial reporting of revenue and cash flows arising from an entity’s contracts with customers. The new standard establishes principles, and includes disclosure requirements, for reporting information about the nature, amount, timing and uncertainty of revenue and cash flows arising from contracts with customers, based on the international financial reporting standard</w:t>
      </w:r>
      <w:r w:rsidR="00D34F24" w:rsidRPr="008B3ECF">
        <w:rPr>
          <w:sz w:val="20"/>
          <w:szCs w:val="20"/>
        </w:rPr>
        <w:t>, IFRS 15</w:t>
      </w:r>
      <w:r w:rsidRPr="008B3ECF">
        <w:rPr>
          <w:sz w:val="20"/>
          <w:szCs w:val="20"/>
        </w:rPr>
        <w:t>.</w:t>
      </w:r>
    </w:p>
    <w:p w:rsidR="001C693E" w:rsidRPr="008B3ECF" w:rsidRDefault="00D34F24" w:rsidP="00965A00">
      <w:pPr>
        <w:spacing w:before="240"/>
        <w:rPr>
          <w:rFonts w:cs="Arial"/>
          <w:color w:val="000000"/>
          <w:sz w:val="20"/>
          <w:szCs w:val="20"/>
          <w:lang w:eastAsia="en-AU"/>
        </w:rPr>
      </w:pPr>
      <w:r w:rsidRPr="008B3ECF">
        <w:rPr>
          <w:rFonts w:cs="Arial"/>
          <w:color w:val="000000"/>
          <w:sz w:val="20"/>
          <w:szCs w:val="20"/>
          <w:lang w:eastAsia="en-AU"/>
        </w:rPr>
        <w:t>IFRS</w:t>
      </w:r>
      <w:r w:rsidR="009E49F0" w:rsidRPr="008B3ECF">
        <w:rPr>
          <w:rFonts w:cs="Arial"/>
          <w:color w:val="000000"/>
          <w:sz w:val="20"/>
          <w:szCs w:val="20"/>
          <w:lang w:eastAsia="en-AU"/>
        </w:rPr>
        <w:t xml:space="preserve"> </w:t>
      </w:r>
      <w:r w:rsidRPr="008B3ECF">
        <w:rPr>
          <w:rFonts w:cs="Arial"/>
          <w:color w:val="000000"/>
          <w:sz w:val="20"/>
          <w:szCs w:val="20"/>
          <w:lang w:eastAsia="en-AU"/>
        </w:rPr>
        <w:t xml:space="preserve">15 </w:t>
      </w:r>
      <w:r w:rsidR="001C693E" w:rsidRPr="008B3ECF">
        <w:rPr>
          <w:rFonts w:cs="Arial"/>
          <w:color w:val="000000"/>
          <w:sz w:val="20"/>
          <w:szCs w:val="20"/>
          <w:lang w:eastAsia="en-AU"/>
        </w:rPr>
        <w:t>addressed concerns by users of financial statements that existing revenue standards have led to inconsistencies between entities’ reported revenues, principally in relation to when an entity recognises revenue under some long term contracts (e.g. some construction contracts) and contracts that bundle together goods and services (e.g. contracts that bundle a telephone handset with network services). By incorporating the requ</w:t>
      </w:r>
      <w:r w:rsidR="002016D7" w:rsidRPr="008B3ECF">
        <w:rPr>
          <w:rFonts w:cs="Arial"/>
          <w:color w:val="000000"/>
          <w:sz w:val="20"/>
          <w:szCs w:val="20"/>
          <w:lang w:eastAsia="en-AU"/>
        </w:rPr>
        <w:t>irements of IFRS 15</w:t>
      </w:r>
      <w:r w:rsidR="001C693E" w:rsidRPr="008B3ECF">
        <w:rPr>
          <w:rFonts w:cs="Arial"/>
          <w:color w:val="000000"/>
          <w:sz w:val="20"/>
          <w:szCs w:val="20"/>
          <w:lang w:eastAsia="en-AU"/>
        </w:rPr>
        <w:t xml:space="preserve">, the new Australian standard addresses these issues as they apply to Australia and ensures that financial statements prepared by Australian entities in accordance with Australian accounting standards will remain compliant with international financial reporting standards. </w:t>
      </w:r>
    </w:p>
    <w:p w:rsidR="004A54EB" w:rsidRDefault="004A54EB" w:rsidP="00DC13B8">
      <w:pPr>
        <w:pStyle w:val="Heading3"/>
      </w:pPr>
      <w:bookmarkStart w:id="181" w:name="_Toc428965518"/>
      <w:r w:rsidRPr="004A54EB">
        <w:rPr>
          <w:rFonts w:eastAsia="Calibri"/>
        </w:rPr>
        <w:t>Australian Competition and Consumer Commission</w:t>
      </w:r>
      <w:bookmarkEnd w:id="181"/>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730ADC" w:rsidTr="00631829">
        <w:trPr>
          <w:tblHeader/>
        </w:trPr>
        <w:tc>
          <w:tcPr>
            <w:tcW w:w="5420" w:type="dxa"/>
            <w:shd w:val="clear" w:color="auto" w:fill="F4973F"/>
            <w:vAlign w:val="center"/>
          </w:tcPr>
          <w:p w:rsidR="00730ADC" w:rsidRDefault="00C25C33" w:rsidP="00631829">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730ADC" w:rsidRDefault="00730ADC" w:rsidP="0063182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730ADC" w:rsidRDefault="00730ADC" w:rsidP="0063182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Regulatory </w:t>
            </w:r>
            <w:r w:rsidR="00F96E4B">
              <w:rPr>
                <w:rFonts w:ascii="Arial" w:hAnsi="Arial" w:cs="Arial"/>
                <w:color w:val="FFFFFF"/>
                <w:w w:val="105"/>
                <w:sz w:val="18"/>
                <w:szCs w:val="18"/>
              </w:rPr>
              <w:t>Burden</w:t>
            </w:r>
            <w:r>
              <w:rPr>
                <w:rFonts w:ascii="Arial" w:hAnsi="Arial" w:cs="Arial"/>
                <w:color w:val="FFFFFF"/>
                <w:w w:val="105"/>
                <w:sz w:val="18"/>
                <w:szCs w:val="18"/>
              </w:rPr>
              <w:t xml:space="preserve"> ($m)</w:t>
            </w:r>
          </w:p>
        </w:tc>
      </w:tr>
      <w:tr w:rsidR="003B757A" w:rsidTr="00631829">
        <w:trPr>
          <w:trHeight w:hRule="exact" w:val="525"/>
        </w:trPr>
        <w:tc>
          <w:tcPr>
            <w:tcW w:w="5420" w:type="dxa"/>
            <w:shd w:val="clear" w:color="auto" w:fill="auto"/>
            <w:vAlign w:val="center"/>
          </w:tcPr>
          <w:p w:rsidR="003B757A" w:rsidRDefault="00D330AB" w:rsidP="00D330AB">
            <w:pPr>
              <w:pStyle w:val="TableParagraph"/>
              <w:kinsoku w:val="0"/>
              <w:overflowPunct w:val="0"/>
              <w:spacing w:before="54" w:line="254" w:lineRule="auto"/>
              <w:ind w:left="170" w:right="102"/>
              <w:rPr>
                <w:rFonts w:ascii="Arial" w:hAnsi="Arial" w:cs="Arial"/>
                <w:spacing w:val="-3"/>
                <w:sz w:val="18"/>
                <w:szCs w:val="18"/>
              </w:rPr>
            </w:pPr>
            <w:r w:rsidRPr="00D330AB">
              <w:rPr>
                <w:rFonts w:ascii="Arial" w:hAnsi="Arial" w:cs="Arial"/>
                <w:spacing w:val="-3"/>
                <w:sz w:val="18"/>
                <w:szCs w:val="18"/>
              </w:rPr>
              <w:t>Domestic Mobile Termina</w:t>
            </w:r>
            <w:r>
              <w:rPr>
                <w:rFonts w:ascii="Arial" w:hAnsi="Arial" w:cs="Arial"/>
                <w:spacing w:val="-3"/>
                <w:sz w:val="18"/>
                <w:szCs w:val="18"/>
              </w:rPr>
              <w:t>ting Access Service Declaration</w:t>
            </w:r>
          </w:p>
        </w:tc>
        <w:tc>
          <w:tcPr>
            <w:tcW w:w="1245" w:type="dxa"/>
            <w:shd w:val="clear" w:color="auto" w:fill="auto"/>
            <w:vAlign w:val="center"/>
          </w:tcPr>
          <w:p w:rsidR="003B757A" w:rsidRDefault="003B757A"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3B757A" w:rsidRDefault="003B757A"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4" w:type="dxa"/>
            <w:shd w:val="clear" w:color="auto" w:fill="auto"/>
            <w:vAlign w:val="center"/>
          </w:tcPr>
          <w:p w:rsidR="003B757A" w:rsidRDefault="003B757A"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3B757A" w:rsidRPr="00C97A5A" w:rsidRDefault="00265376" w:rsidP="00631829">
            <w:pPr>
              <w:pStyle w:val="TableParagraph"/>
              <w:kinsoku w:val="0"/>
              <w:overflowPunct w:val="0"/>
              <w:spacing w:before="54"/>
              <w:ind w:right="227"/>
              <w:jc w:val="right"/>
              <w:rPr>
                <w:rFonts w:ascii="Arial" w:hAnsi="Arial" w:cs="Arial"/>
                <w:spacing w:val="-3"/>
                <w:sz w:val="18"/>
                <w:szCs w:val="18"/>
              </w:rPr>
            </w:pPr>
            <w:r w:rsidRPr="00C97A5A">
              <w:rPr>
                <w:rFonts w:ascii="Arial" w:hAnsi="Arial" w:cs="Arial"/>
                <w:spacing w:val="-3"/>
                <w:sz w:val="18"/>
                <w:szCs w:val="18"/>
              </w:rPr>
              <w:t>$0.0</w:t>
            </w:r>
          </w:p>
        </w:tc>
      </w:tr>
    </w:tbl>
    <w:p w:rsidR="00D330AB" w:rsidRPr="008B3ECF" w:rsidRDefault="004A54EB" w:rsidP="00965A00">
      <w:pPr>
        <w:pStyle w:val="BodyText1"/>
        <w:spacing w:before="240"/>
        <w:rPr>
          <w:rFonts w:eastAsia="Calibri"/>
          <w:sz w:val="20"/>
          <w:szCs w:val="20"/>
        </w:rPr>
      </w:pPr>
      <w:r w:rsidRPr="008B3ECF">
        <w:rPr>
          <w:rFonts w:eastAsia="Calibri"/>
          <w:sz w:val="20"/>
          <w:szCs w:val="20"/>
        </w:rPr>
        <w:t xml:space="preserve">The Australian Competition and Consumer Commission (ACCC) have made a declaration </w:t>
      </w:r>
      <w:r w:rsidR="00D330AB" w:rsidRPr="008B3ECF">
        <w:rPr>
          <w:rFonts w:eastAsia="Calibri"/>
          <w:sz w:val="20"/>
          <w:szCs w:val="20"/>
        </w:rPr>
        <w:t xml:space="preserve">that </w:t>
      </w:r>
      <w:r w:rsidRPr="008B3ECF">
        <w:rPr>
          <w:rFonts w:eastAsia="Calibri"/>
          <w:sz w:val="20"/>
          <w:szCs w:val="20"/>
        </w:rPr>
        <w:t>regulate</w:t>
      </w:r>
      <w:r w:rsidR="00D330AB" w:rsidRPr="008B3ECF">
        <w:rPr>
          <w:rFonts w:eastAsia="Calibri"/>
          <w:sz w:val="20"/>
          <w:szCs w:val="20"/>
        </w:rPr>
        <w:t>s</w:t>
      </w:r>
      <w:r w:rsidRPr="008B3ECF">
        <w:rPr>
          <w:rFonts w:eastAsia="Calibri"/>
          <w:sz w:val="20"/>
          <w:szCs w:val="20"/>
        </w:rPr>
        <w:t xml:space="preserve"> the price mobile phone network operators can charge each other for connecting calls and text messages on their networks. There is currently no effective substitute for mobile phone calls and text messages which gives mobile networks the ability and incentive to set unreasonable terms with other networks. This could cause detriment to consumers in the long run if left unregulated. This regulation should ensure that the prices that networks charge each other will be cost</w:t>
      </w:r>
      <w:r w:rsidRPr="008B3ECF">
        <w:rPr>
          <w:rFonts w:eastAsia="Calibri"/>
          <w:sz w:val="20"/>
          <w:szCs w:val="20"/>
        </w:rPr>
        <w:noBreakHyphen/>
        <w:t xml:space="preserve">based, and should </w:t>
      </w:r>
      <w:r w:rsidR="00D330AB" w:rsidRPr="008B3ECF">
        <w:rPr>
          <w:rFonts w:eastAsia="Calibri"/>
          <w:sz w:val="20"/>
          <w:szCs w:val="20"/>
        </w:rPr>
        <w:t xml:space="preserve">also </w:t>
      </w:r>
      <w:r w:rsidRPr="008B3ECF">
        <w:rPr>
          <w:rFonts w:eastAsia="Calibri"/>
          <w:sz w:val="20"/>
          <w:szCs w:val="20"/>
        </w:rPr>
        <w:t xml:space="preserve">promote connectivity between networks. The decision does not </w:t>
      </w:r>
      <w:r w:rsidR="00D330AB" w:rsidRPr="008B3ECF">
        <w:rPr>
          <w:rFonts w:eastAsia="Calibri"/>
          <w:sz w:val="20"/>
          <w:szCs w:val="20"/>
        </w:rPr>
        <w:t xml:space="preserve">affect </w:t>
      </w:r>
      <w:r w:rsidRPr="008B3ECF">
        <w:rPr>
          <w:rFonts w:eastAsia="Calibri"/>
          <w:sz w:val="20"/>
          <w:szCs w:val="20"/>
        </w:rPr>
        <w:t>the price</w:t>
      </w:r>
      <w:r w:rsidR="00D330AB" w:rsidRPr="008B3ECF">
        <w:rPr>
          <w:rFonts w:eastAsia="Calibri"/>
          <w:sz w:val="20"/>
          <w:szCs w:val="20"/>
        </w:rPr>
        <w:t>s</w:t>
      </w:r>
      <w:r w:rsidRPr="008B3ECF">
        <w:rPr>
          <w:rFonts w:eastAsia="Calibri"/>
          <w:sz w:val="20"/>
          <w:szCs w:val="20"/>
        </w:rPr>
        <w:t xml:space="preserve"> that mobile phone networks can charge consumers.</w:t>
      </w:r>
      <w:r w:rsidR="00D330AB" w:rsidRPr="008B3ECF">
        <w:rPr>
          <w:rFonts w:eastAsia="Calibri"/>
          <w:sz w:val="20"/>
          <w:szCs w:val="20"/>
        </w:rPr>
        <w:t xml:space="preserve"> </w:t>
      </w:r>
    </w:p>
    <w:p w:rsidR="00AC53EC" w:rsidRPr="00874FB2" w:rsidRDefault="00D330AB" w:rsidP="00874FB2">
      <w:pPr>
        <w:pStyle w:val="BodyText1"/>
        <w:spacing w:before="240"/>
        <w:rPr>
          <w:rFonts w:eastAsia="Calibri"/>
          <w:sz w:val="20"/>
          <w:szCs w:val="20"/>
        </w:rPr>
      </w:pPr>
      <w:r w:rsidRPr="008B3ECF">
        <w:rPr>
          <w:rFonts w:eastAsia="Calibri"/>
          <w:sz w:val="20"/>
          <w:szCs w:val="20"/>
        </w:rPr>
        <w:t>The RIS was not consistent with best practice because the self-assessment of the independent review and agreement to regulatory costs occurred after the final decision.</w:t>
      </w:r>
    </w:p>
    <w:p w:rsidR="00EB755B" w:rsidRPr="0084580D" w:rsidRDefault="00EB755B" w:rsidP="00833408">
      <w:pPr>
        <w:spacing w:before="200" w:after="0"/>
        <w:outlineLvl w:val="2"/>
        <w:rPr>
          <w:b/>
          <w:bCs/>
          <w:color w:val="F79646"/>
          <w:spacing w:val="-6"/>
        </w:rPr>
      </w:pPr>
      <w:bookmarkStart w:id="182" w:name="_Toc428965519"/>
      <w:r>
        <w:rPr>
          <w:b/>
          <w:bCs/>
          <w:color w:val="F79646"/>
          <w:spacing w:val="-6"/>
        </w:rPr>
        <w:t>Australian Prudential Regulation Authority</w:t>
      </w:r>
      <w:bookmarkEnd w:id="182"/>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EB755B" w:rsidRPr="0084580D" w:rsidTr="00D1118E">
        <w:trPr>
          <w:tblHeader/>
        </w:trPr>
        <w:tc>
          <w:tcPr>
            <w:tcW w:w="5420" w:type="dxa"/>
            <w:shd w:val="clear" w:color="auto" w:fill="F4973F"/>
            <w:vAlign w:val="center"/>
          </w:tcPr>
          <w:p w:rsidR="00EB755B" w:rsidRPr="0084580D" w:rsidRDefault="00EB755B" w:rsidP="00D1118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EB755B" w:rsidRPr="0084580D" w:rsidRDefault="00EB755B" w:rsidP="00D1118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EB755B" w:rsidRPr="0084580D" w:rsidRDefault="00EB755B" w:rsidP="00D1118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EB755B" w:rsidRPr="0084580D" w:rsidRDefault="00EB755B" w:rsidP="00D1118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EB755B" w:rsidRPr="0084580D" w:rsidRDefault="00EB755B" w:rsidP="00D1118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EB755B" w:rsidRPr="0084580D" w:rsidTr="00D1118E">
        <w:trPr>
          <w:trHeight w:hRule="exact" w:val="1255"/>
        </w:trPr>
        <w:tc>
          <w:tcPr>
            <w:tcW w:w="5420" w:type="dxa"/>
            <w:shd w:val="clear" w:color="auto" w:fill="auto"/>
            <w:vAlign w:val="center"/>
          </w:tcPr>
          <w:p w:rsidR="00EB755B" w:rsidRPr="0084580D" w:rsidRDefault="00EB755B" w:rsidP="00D1118E">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 xml:space="preserve">Basel III Disclosure Requirements: leverage ratio; liquidity coverage ratio; the identification of potential global systemically important banks; and other minor amendments </w:t>
            </w:r>
          </w:p>
        </w:tc>
        <w:tc>
          <w:tcPr>
            <w:tcW w:w="1245" w:type="dxa"/>
            <w:shd w:val="clear" w:color="auto" w:fill="auto"/>
            <w:vAlign w:val="center"/>
          </w:tcPr>
          <w:p w:rsidR="00EB755B" w:rsidRPr="0084580D" w:rsidRDefault="00EB755B" w:rsidP="00D1118E">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rsidR="00EB755B" w:rsidRPr="0084580D" w:rsidRDefault="00EB755B" w:rsidP="00D1118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rsidR="00EB755B" w:rsidRPr="0084580D" w:rsidRDefault="00EB755B" w:rsidP="00D1118E">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rsidR="00EB755B" w:rsidRPr="0084580D" w:rsidRDefault="00EB755B" w:rsidP="00D1118E">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$1.0</w:t>
            </w:r>
          </w:p>
        </w:tc>
      </w:tr>
    </w:tbl>
    <w:p w:rsidR="00EB755B" w:rsidRPr="004A6D56" w:rsidRDefault="00EB755B" w:rsidP="00EB755B">
      <w:pPr>
        <w:spacing w:after="120"/>
        <w:rPr>
          <w:sz w:val="20"/>
          <w:szCs w:val="20"/>
        </w:rPr>
      </w:pPr>
      <w:r w:rsidRPr="004A6D56">
        <w:rPr>
          <w:sz w:val="20"/>
          <w:szCs w:val="20"/>
        </w:rPr>
        <w:t xml:space="preserve">On 4 May 2015, the Chairman of the Australian Prudential Regulation Authority (APRA) made two determinations (APS 110 and APS 330) which incorporate new disclosure requirements for specified authorised deposit-taking institutions. </w:t>
      </w:r>
    </w:p>
    <w:p w:rsidR="00B475A4" w:rsidRPr="004A6D56" w:rsidRDefault="00EB755B" w:rsidP="00EB755B">
      <w:pPr>
        <w:spacing w:after="120"/>
        <w:rPr>
          <w:sz w:val="20"/>
          <w:szCs w:val="20"/>
        </w:rPr>
      </w:pPr>
      <w:r w:rsidRPr="004A6D56">
        <w:rPr>
          <w:sz w:val="20"/>
          <w:szCs w:val="20"/>
        </w:rPr>
        <w:lastRenderedPageBreak/>
        <w:t>These requirements are based on additions to the Basel Committee on Banking Supervision’s disclosure framework. They aim to improve the comparability of banking institutions’ risk profiles and facilitate market discipline by providing consistent information about key risk metrics to market participants and other interested parties. The disclosure requirements are in relation to the leverage ratio, the liquidity coverage ratio and the identification of potential global systemically important banks.</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25F73" w:rsidRPr="0084580D" w:rsidTr="00B41258">
        <w:trPr>
          <w:tblHeader/>
        </w:trPr>
        <w:tc>
          <w:tcPr>
            <w:tcW w:w="5420" w:type="dxa"/>
            <w:shd w:val="clear" w:color="auto" w:fill="F4973F"/>
            <w:vAlign w:val="center"/>
          </w:tcPr>
          <w:p w:rsidR="00025F73" w:rsidRPr="0084580D" w:rsidRDefault="00025F73" w:rsidP="00B41258">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025F73" w:rsidRPr="0084580D" w:rsidRDefault="00025F73" w:rsidP="00B41258">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025F73" w:rsidRPr="0084580D" w:rsidRDefault="00025F73" w:rsidP="00B41258">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025F73" w:rsidRPr="0084580D" w:rsidRDefault="00025F73" w:rsidP="00B41258">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025F73" w:rsidRPr="0084580D" w:rsidRDefault="00025F73" w:rsidP="00B41258">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025F73" w:rsidRPr="0084580D" w:rsidTr="000B1FFF">
        <w:trPr>
          <w:trHeight w:hRule="exact" w:val="258"/>
        </w:trPr>
        <w:tc>
          <w:tcPr>
            <w:tcW w:w="5420" w:type="dxa"/>
            <w:shd w:val="clear" w:color="auto" w:fill="auto"/>
            <w:vAlign w:val="center"/>
          </w:tcPr>
          <w:p w:rsidR="00025F73" w:rsidRPr="00025F73" w:rsidRDefault="00F46DEB" w:rsidP="00B41258">
            <w:pPr>
              <w:widowControl w:val="0"/>
              <w:kinsoku w:val="0"/>
              <w:overflowPunct w:val="0"/>
              <w:autoSpaceDE w:val="0"/>
              <w:autoSpaceDN w:val="0"/>
              <w:adjustRightInd w:val="0"/>
              <w:spacing w:before="54" w:line="254" w:lineRule="auto"/>
              <w:ind w:left="170" w:right="102"/>
              <w:rPr>
                <w:rFonts w:eastAsia="MS Mincho" w:cs="Arial"/>
                <w:spacing w:val="-3"/>
                <w:sz w:val="18"/>
                <w:szCs w:val="18"/>
              </w:rPr>
            </w:pPr>
            <w:hyperlink r:id="rId11" w:history="1">
              <w:r w:rsidR="00025F73" w:rsidRPr="00025F73">
                <w:rPr>
                  <w:color w:val="000000"/>
                  <w:sz w:val="18"/>
                  <w:szCs w:val="18"/>
                </w:rPr>
                <w:t>Regulation of Registered Financial Corporations</w:t>
              </w:r>
            </w:hyperlink>
          </w:p>
        </w:tc>
        <w:tc>
          <w:tcPr>
            <w:tcW w:w="1245" w:type="dxa"/>
            <w:shd w:val="clear" w:color="auto" w:fill="auto"/>
            <w:vAlign w:val="center"/>
          </w:tcPr>
          <w:p w:rsidR="00025F73" w:rsidRPr="0084580D" w:rsidRDefault="00025F73" w:rsidP="00B41258">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rsidR="00025F73" w:rsidRPr="0084580D" w:rsidRDefault="00025F73" w:rsidP="00B41258">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rsidR="00025F73" w:rsidRPr="0084580D" w:rsidRDefault="00025F73" w:rsidP="00B41258">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rsidR="00025F73" w:rsidRPr="0084580D" w:rsidRDefault="00025F73" w:rsidP="00B41258">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$0.05</w:t>
            </w:r>
          </w:p>
        </w:tc>
      </w:tr>
    </w:tbl>
    <w:p w:rsidR="004647C9" w:rsidRPr="00B475A4" w:rsidRDefault="00025F73" w:rsidP="00B475A4">
      <w:pPr>
        <w:pStyle w:val="Heading3"/>
        <w:rPr>
          <w:rFonts w:cs="Arial"/>
          <w:b w:val="0"/>
          <w:color w:val="auto"/>
          <w:sz w:val="20"/>
          <w:szCs w:val="20"/>
          <w:lang w:val="en"/>
        </w:rPr>
      </w:pPr>
      <w:bookmarkStart w:id="183" w:name="_Toc428965520"/>
      <w:r w:rsidRPr="004A6D56">
        <w:rPr>
          <w:rFonts w:cs="Arial"/>
          <w:b w:val="0"/>
          <w:color w:val="auto"/>
          <w:sz w:val="20"/>
          <w:szCs w:val="20"/>
        </w:rPr>
        <w:t>Removes the ability of registered financial corporations to offer at-call deposit accounts and imposes stricter conditions on certain terminology and marketing practices RFCs can use. The RIS was not consistent with best practice because consultation was inadequate and feasible options provided to APRA by stakeholders were not analysed in sufficient depth.</w:t>
      </w:r>
      <w:bookmarkEnd w:id="183"/>
    </w:p>
    <w:p w:rsidR="004A54EB" w:rsidRDefault="00D330AB" w:rsidP="00D330AB">
      <w:pPr>
        <w:pStyle w:val="Heading3"/>
        <w:rPr>
          <w:rFonts w:eastAsia="Calibri"/>
        </w:rPr>
      </w:pPr>
      <w:bookmarkStart w:id="184" w:name="_Toc428965521"/>
      <w:r w:rsidRPr="004015C2">
        <w:rPr>
          <w:rFonts w:eastAsia="Calibri"/>
        </w:rPr>
        <w:t>Australian Securities and Investments Commission</w:t>
      </w:r>
      <w:bookmarkEnd w:id="184"/>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3D3081" w:rsidRPr="0084580D" w:rsidTr="00E74A51">
        <w:trPr>
          <w:tblHeader/>
        </w:trPr>
        <w:tc>
          <w:tcPr>
            <w:tcW w:w="5420" w:type="dxa"/>
            <w:shd w:val="clear" w:color="auto" w:fill="F4973F"/>
            <w:vAlign w:val="center"/>
          </w:tcPr>
          <w:p w:rsidR="003D3081" w:rsidRPr="0084580D" w:rsidRDefault="003D3081" w:rsidP="00E74A51">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3D3081" w:rsidRPr="0084580D" w:rsidRDefault="003D3081" w:rsidP="00E74A51">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3D3081" w:rsidRPr="0084580D" w:rsidRDefault="003D3081" w:rsidP="00E74A51">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3D3081" w:rsidRPr="0084580D" w:rsidRDefault="003D3081" w:rsidP="00E74A51">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3D3081" w:rsidRPr="0084580D" w:rsidRDefault="003D3081" w:rsidP="00E74A51">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3D3081" w:rsidRPr="0084580D" w:rsidTr="00E74A51">
        <w:trPr>
          <w:trHeight w:hRule="exact" w:val="525"/>
        </w:trPr>
        <w:tc>
          <w:tcPr>
            <w:tcW w:w="5420" w:type="dxa"/>
            <w:shd w:val="clear" w:color="auto" w:fill="auto"/>
            <w:vAlign w:val="center"/>
          </w:tcPr>
          <w:p w:rsidR="003D3081" w:rsidRPr="0000304A" w:rsidRDefault="003D3081" w:rsidP="00E74A51">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cs="Arial"/>
                <w:sz w:val="18"/>
                <w:szCs w:val="18"/>
              </w:rPr>
              <w:t>Over</w:t>
            </w:r>
            <w:r>
              <w:rPr>
                <w:rFonts w:cs="Arial"/>
                <w:sz w:val="18"/>
                <w:szCs w:val="18"/>
              </w:rPr>
              <w:noBreakHyphen/>
              <w:t>The</w:t>
            </w:r>
            <w:r>
              <w:rPr>
                <w:rFonts w:cs="Arial"/>
                <w:sz w:val="18"/>
                <w:szCs w:val="18"/>
              </w:rPr>
              <w:noBreakHyphen/>
              <w:t>Counter Derivatives Reform: Amendments to ASIC Derivative Transaction Rules (Reporting) 2013</w:t>
            </w:r>
          </w:p>
        </w:tc>
        <w:tc>
          <w:tcPr>
            <w:tcW w:w="1245" w:type="dxa"/>
            <w:shd w:val="clear" w:color="auto" w:fill="auto"/>
            <w:vAlign w:val="center"/>
          </w:tcPr>
          <w:p w:rsidR="003D3081" w:rsidRPr="0084580D" w:rsidRDefault="003D3081" w:rsidP="00E74A51">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rsidR="003D3081" w:rsidRPr="0084580D" w:rsidRDefault="003D3081" w:rsidP="00E74A51">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Yes</w:t>
            </w:r>
          </w:p>
        </w:tc>
        <w:tc>
          <w:tcPr>
            <w:tcW w:w="1104" w:type="dxa"/>
            <w:shd w:val="clear" w:color="auto" w:fill="auto"/>
            <w:vAlign w:val="center"/>
          </w:tcPr>
          <w:p w:rsidR="003D3081" w:rsidRPr="0084580D" w:rsidRDefault="003D3081" w:rsidP="00E74A51">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rsidR="003D3081" w:rsidRPr="0084580D" w:rsidRDefault="003D3081" w:rsidP="00E74A51">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-$4.9</w:t>
            </w:r>
          </w:p>
        </w:tc>
      </w:tr>
    </w:tbl>
    <w:p w:rsidR="003D3081" w:rsidRPr="003D3081" w:rsidRDefault="006E00F4" w:rsidP="003D3081">
      <w:pPr>
        <w:pStyle w:val="Heading3"/>
        <w:spacing w:after="120"/>
        <w:rPr>
          <w:rFonts w:cs="Arial"/>
          <w:b w:val="0"/>
          <w:color w:val="auto"/>
          <w:sz w:val="20"/>
          <w:szCs w:val="20"/>
          <w:lang w:val="en"/>
        </w:rPr>
      </w:pPr>
      <w:r w:rsidRPr="006E00F4">
        <w:rPr>
          <w:rFonts w:cs="Arial"/>
          <w:b w:val="0"/>
          <w:color w:val="auto"/>
          <w:sz w:val="20"/>
          <w:szCs w:val="20"/>
          <w:lang w:val="en"/>
        </w:rPr>
        <w:t>Reduces compliance costs for reporting entities while ensuring that regulators continue to obtain comprehensive and complete derivative trade data</w:t>
      </w:r>
      <w:r w:rsidR="00592AE6">
        <w:rPr>
          <w:rFonts w:cs="Arial"/>
          <w:b w:val="0"/>
          <w:color w:val="auto"/>
          <w:sz w:val="20"/>
          <w:szCs w:val="20"/>
          <w:lang w:val="en"/>
        </w:rPr>
        <w:t>.</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00304A" w:rsidRPr="0084580D" w:rsidTr="00B41258">
        <w:trPr>
          <w:tblHeader/>
        </w:trPr>
        <w:tc>
          <w:tcPr>
            <w:tcW w:w="5420" w:type="dxa"/>
            <w:shd w:val="clear" w:color="auto" w:fill="F4973F"/>
            <w:vAlign w:val="center"/>
          </w:tcPr>
          <w:p w:rsidR="0000304A" w:rsidRPr="0084580D" w:rsidRDefault="0000304A" w:rsidP="00B41258">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00304A" w:rsidRPr="0084580D" w:rsidRDefault="0000304A" w:rsidP="00B41258">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00304A" w:rsidRPr="0084580D" w:rsidRDefault="0000304A" w:rsidP="00B41258">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00304A" w:rsidRPr="0084580D" w:rsidRDefault="0000304A" w:rsidP="00B41258">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00304A" w:rsidRPr="0084580D" w:rsidRDefault="0000304A" w:rsidP="00B41258">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00304A" w:rsidRPr="0084580D" w:rsidTr="000B1FFF">
        <w:trPr>
          <w:trHeight w:hRule="exact" w:val="330"/>
        </w:trPr>
        <w:tc>
          <w:tcPr>
            <w:tcW w:w="5420" w:type="dxa"/>
            <w:shd w:val="clear" w:color="auto" w:fill="auto"/>
            <w:vAlign w:val="center"/>
          </w:tcPr>
          <w:p w:rsidR="0000304A" w:rsidRPr="0000304A" w:rsidRDefault="00F46DEB" w:rsidP="00B41258">
            <w:pPr>
              <w:widowControl w:val="0"/>
              <w:kinsoku w:val="0"/>
              <w:overflowPunct w:val="0"/>
              <w:autoSpaceDE w:val="0"/>
              <w:autoSpaceDN w:val="0"/>
              <w:adjustRightInd w:val="0"/>
              <w:spacing w:before="54" w:line="254" w:lineRule="auto"/>
              <w:ind w:left="170" w:right="102"/>
              <w:rPr>
                <w:rFonts w:eastAsia="MS Mincho" w:cs="Arial"/>
                <w:spacing w:val="-3"/>
                <w:sz w:val="18"/>
                <w:szCs w:val="18"/>
              </w:rPr>
            </w:pPr>
            <w:hyperlink r:id="rId12" w:history="1">
              <w:r w:rsidR="0000304A" w:rsidRPr="0000304A">
                <w:rPr>
                  <w:rFonts w:cs="Arial"/>
                  <w:color w:val="000000"/>
                  <w:sz w:val="18"/>
                  <w:szCs w:val="18"/>
                </w:rPr>
                <w:t>Relief for 31 day notice term deposits</w:t>
              </w:r>
            </w:hyperlink>
          </w:p>
        </w:tc>
        <w:tc>
          <w:tcPr>
            <w:tcW w:w="1245" w:type="dxa"/>
            <w:shd w:val="clear" w:color="auto" w:fill="auto"/>
            <w:vAlign w:val="center"/>
          </w:tcPr>
          <w:p w:rsidR="0000304A" w:rsidRPr="0084580D" w:rsidRDefault="0000304A" w:rsidP="00B41258">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rsidR="0000304A" w:rsidRPr="0084580D" w:rsidRDefault="0000304A" w:rsidP="00B41258">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rsidR="0000304A" w:rsidRPr="0084580D" w:rsidRDefault="0000304A" w:rsidP="00B41258">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rsidR="0000304A" w:rsidRPr="0084580D" w:rsidRDefault="0000304A" w:rsidP="00B41258">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-$77.3</w:t>
            </w:r>
          </w:p>
        </w:tc>
      </w:tr>
    </w:tbl>
    <w:p w:rsidR="00D5410F" w:rsidRPr="00D5410F" w:rsidRDefault="0000304A" w:rsidP="00D5410F">
      <w:pPr>
        <w:pStyle w:val="Heading3"/>
        <w:spacing w:after="120"/>
        <w:rPr>
          <w:rFonts w:cs="Arial"/>
          <w:b w:val="0"/>
          <w:color w:val="auto"/>
          <w:sz w:val="20"/>
          <w:szCs w:val="20"/>
          <w:lang w:val="en"/>
        </w:rPr>
      </w:pPr>
      <w:bookmarkStart w:id="185" w:name="_Toc428965522"/>
      <w:r w:rsidRPr="004A6D56">
        <w:rPr>
          <w:rFonts w:cs="Arial"/>
          <w:b w:val="0"/>
          <w:color w:val="auto"/>
          <w:sz w:val="20"/>
          <w:szCs w:val="20"/>
        </w:rPr>
        <w:t>Provides</w:t>
      </w:r>
      <w:r w:rsidRPr="004A6D56">
        <w:rPr>
          <w:rFonts w:cs="Arial"/>
          <w:b w:val="0"/>
          <w:color w:val="auto"/>
          <w:sz w:val="20"/>
          <w:szCs w:val="20"/>
          <w:lang w:val="en"/>
        </w:rPr>
        <w:t xml:space="preserve"> relief for 18 months to enable 31-day notice term deposits of up to five years to be given concessional regulatory treatment as basic deposit products under the Corporations Act</w:t>
      </w:r>
      <w:bookmarkEnd w:id="185"/>
      <w:r w:rsidR="00592AE6">
        <w:rPr>
          <w:rFonts w:cs="Arial"/>
          <w:b w:val="0"/>
          <w:color w:val="auto"/>
          <w:sz w:val="20"/>
          <w:szCs w:val="20"/>
          <w:lang w:val="en"/>
        </w:rPr>
        <w:t>.</w:t>
      </w: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730ADC" w:rsidTr="00631829">
        <w:trPr>
          <w:tblHeader/>
        </w:trPr>
        <w:tc>
          <w:tcPr>
            <w:tcW w:w="5420" w:type="dxa"/>
            <w:shd w:val="clear" w:color="auto" w:fill="F4973F"/>
            <w:vAlign w:val="center"/>
          </w:tcPr>
          <w:p w:rsidR="00730ADC" w:rsidRDefault="00C25C33" w:rsidP="00631829">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730ADC" w:rsidRDefault="00730ADC" w:rsidP="0063182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730ADC" w:rsidRDefault="00730ADC" w:rsidP="00631829">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730ADC" w:rsidRDefault="00730ADC" w:rsidP="00631829">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Regulatory </w:t>
            </w:r>
            <w:r w:rsidR="00F96E4B">
              <w:rPr>
                <w:rFonts w:ascii="Arial" w:hAnsi="Arial" w:cs="Arial"/>
                <w:color w:val="FFFFFF"/>
                <w:w w:val="105"/>
                <w:sz w:val="18"/>
                <w:szCs w:val="18"/>
              </w:rPr>
              <w:t>Burden</w:t>
            </w:r>
            <w:r>
              <w:rPr>
                <w:rFonts w:ascii="Arial" w:hAnsi="Arial" w:cs="Arial"/>
                <w:color w:val="FFFFFF"/>
                <w:w w:val="105"/>
                <w:sz w:val="18"/>
                <w:szCs w:val="18"/>
              </w:rPr>
              <w:t xml:space="preserve"> ($m)</w:t>
            </w:r>
          </w:p>
        </w:tc>
      </w:tr>
      <w:tr w:rsidR="003B757A" w:rsidTr="0065306F">
        <w:trPr>
          <w:trHeight w:hRule="exact" w:val="366"/>
        </w:trPr>
        <w:tc>
          <w:tcPr>
            <w:tcW w:w="5420" w:type="dxa"/>
            <w:shd w:val="clear" w:color="auto" w:fill="auto"/>
            <w:vAlign w:val="center"/>
          </w:tcPr>
          <w:p w:rsidR="003B757A" w:rsidRDefault="00D330AB" w:rsidP="00631829">
            <w:pPr>
              <w:pStyle w:val="TableParagraph"/>
              <w:kinsoku w:val="0"/>
              <w:overflowPunct w:val="0"/>
              <w:spacing w:before="54" w:line="254" w:lineRule="auto"/>
              <w:ind w:left="170" w:right="102"/>
              <w:rPr>
                <w:rFonts w:ascii="Arial" w:hAnsi="Arial" w:cs="Arial"/>
                <w:spacing w:val="-3"/>
                <w:sz w:val="18"/>
                <w:szCs w:val="18"/>
              </w:rPr>
            </w:pPr>
            <w:r w:rsidRPr="00D330AB">
              <w:rPr>
                <w:rFonts w:ascii="Arial" w:hAnsi="Arial" w:cs="Arial"/>
                <w:spacing w:val="-3"/>
                <w:sz w:val="18"/>
                <w:szCs w:val="18"/>
              </w:rPr>
              <w:t>Removal of short sale tagging obligation</w:t>
            </w:r>
          </w:p>
        </w:tc>
        <w:tc>
          <w:tcPr>
            <w:tcW w:w="1245" w:type="dxa"/>
            <w:shd w:val="clear" w:color="auto" w:fill="auto"/>
            <w:vAlign w:val="center"/>
          </w:tcPr>
          <w:p w:rsidR="003B757A" w:rsidRDefault="003B757A"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3B757A" w:rsidRDefault="003B757A"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3B757A" w:rsidRDefault="00D330AB" w:rsidP="00631829">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3B757A" w:rsidRDefault="003B757A" w:rsidP="00D330AB">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w:t>
            </w:r>
            <w:r w:rsidR="00950C25">
              <w:rPr>
                <w:rFonts w:ascii="Arial" w:hAnsi="Arial" w:cs="Arial"/>
                <w:spacing w:val="-3"/>
                <w:sz w:val="18"/>
                <w:szCs w:val="18"/>
              </w:rPr>
              <w:t>$</w:t>
            </w:r>
            <w:r w:rsidR="00531ED5">
              <w:rPr>
                <w:rFonts w:ascii="Arial" w:hAnsi="Arial" w:cs="Arial"/>
                <w:spacing w:val="-3"/>
                <w:sz w:val="18"/>
                <w:szCs w:val="18"/>
              </w:rPr>
              <w:t>13.1</w:t>
            </w:r>
          </w:p>
        </w:tc>
      </w:tr>
    </w:tbl>
    <w:p w:rsidR="00D330AB" w:rsidRPr="008B3ECF" w:rsidRDefault="00D330AB" w:rsidP="00965A00">
      <w:pPr>
        <w:pStyle w:val="BodyText1"/>
        <w:spacing w:before="240"/>
        <w:rPr>
          <w:sz w:val="20"/>
          <w:szCs w:val="20"/>
        </w:rPr>
      </w:pPr>
      <w:r w:rsidRPr="008B3ECF">
        <w:rPr>
          <w:sz w:val="20"/>
          <w:szCs w:val="20"/>
        </w:rPr>
        <w:t>On 27 July 2014, the Australian Securities and Investments Commission (ASIC) repealed the</w:t>
      </w:r>
      <w:r w:rsidR="007F4E73" w:rsidRPr="008B3ECF">
        <w:rPr>
          <w:sz w:val="20"/>
          <w:szCs w:val="20"/>
        </w:rPr>
        <w:t xml:space="preserve"> short sale tagging obligation. </w:t>
      </w:r>
      <w:r w:rsidRPr="008B3ECF">
        <w:rPr>
          <w:sz w:val="20"/>
          <w:szCs w:val="20"/>
        </w:rPr>
        <w:t>The obligat</w:t>
      </w:r>
      <w:r w:rsidR="007F4E73" w:rsidRPr="008B3ECF">
        <w:rPr>
          <w:sz w:val="20"/>
          <w:szCs w:val="20"/>
        </w:rPr>
        <w:t xml:space="preserve">ion was introduced in July 2012, </w:t>
      </w:r>
      <w:r w:rsidRPr="008B3ECF">
        <w:rPr>
          <w:sz w:val="20"/>
          <w:szCs w:val="20"/>
        </w:rPr>
        <w:t>to commence in July 2014</w:t>
      </w:r>
      <w:r w:rsidR="007F4E73" w:rsidRPr="008B3ECF">
        <w:rPr>
          <w:sz w:val="20"/>
          <w:szCs w:val="20"/>
        </w:rPr>
        <w:t>,</w:t>
      </w:r>
      <w:r w:rsidRPr="008B3ECF">
        <w:rPr>
          <w:sz w:val="20"/>
          <w:szCs w:val="20"/>
        </w:rPr>
        <w:t xml:space="preserve"> </w:t>
      </w:r>
      <w:r w:rsidR="007F4E73" w:rsidRPr="008B3ECF">
        <w:rPr>
          <w:sz w:val="20"/>
          <w:szCs w:val="20"/>
        </w:rPr>
        <w:t xml:space="preserve">and its aim was </w:t>
      </w:r>
      <w:r w:rsidRPr="008B3ECF">
        <w:rPr>
          <w:sz w:val="20"/>
          <w:szCs w:val="20"/>
        </w:rPr>
        <w:t>to improve data available to the market and regulators about short selling.</w:t>
      </w:r>
    </w:p>
    <w:p w:rsidR="00D330AB" w:rsidRPr="008B3ECF" w:rsidRDefault="00D330AB" w:rsidP="00965A00">
      <w:pPr>
        <w:pStyle w:val="BodyText1"/>
        <w:spacing w:before="240"/>
        <w:rPr>
          <w:sz w:val="20"/>
          <w:szCs w:val="20"/>
        </w:rPr>
      </w:pPr>
      <w:r w:rsidRPr="008B3ECF">
        <w:rPr>
          <w:sz w:val="20"/>
          <w:szCs w:val="20"/>
        </w:rPr>
        <w:t xml:space="preserve">Consultation since July 2012 has revealed significant implementation issues with tagging. Many stakeholders submitted that it was difficult for them to know if, at a given point in time, they were short or long on a particular asset given they could have multiple trading desks taking either position. It was also noted that there have been regulatory and market developments since 2012 that </w:t>
      </w:r>
      <w:r w:rsidR="007F4E73" w:rsidRPr="008B3ECF">
        <w:rPr>
          <w:sz w:val="20"/>
          <w:szCs w:val="20"/>
        </w:rPr>
        <w:t xml:space="preserve">have </w:t>
      </w:r>
      <w:r w:rsidRPr="008B3ECF">
        <w:rPr>
          <w:sz w:val="20"/>
          <w:szCs w:val="20"/>
        </w:rPr>
        <w:t xml:space="preserve">improved the effectiveness of the </w:t>
      </w:r>
      <w:r w:rsidR="007F4E73" w:rsidRPr="008B3ECF">
        <w:rPr>
          <w:sz w:val="20"/>
          <w:szCs w:val="20"/>
        </w:rPr>
        <w:t>existing end</w:t>
      </w:r>
      <w:r w:rsidR="007F4E73" w:rsidRPr="008B3ECF">
        <w:rPr>
          <w:sz w:val="20"/>
          <w:szCs w:val="20"/>
        </w:rPr>
        <w:noBreakHyphen/>
        <w:t>of</w:t>
      </w:r>
      <w:r w:rsidR="007F4E73" w:rsidRPr="008B3ECF">
        <w:rPr>
          <w:sz w:val="20"/>
          <w:szCs w:val="20"/>
        </w:rPr>
        <w:noBreakHyphen/>
      </w:r>
      <w:r w:rsidRPr="008B3ECF">
        <w:rPr>
          <w:sz w:val="20"/>
          <w:szCs w:val="20"/>
        </w:rPr>
        <w:t>day reporting regime.</w:t>
      </w:r>
    </w:p>
    <w:p w:rsidR="00D330AB" w:rsidRDefault="00D330AB" w:rsidP="00965A00">
      <w:pPr>
        <w:pStyle w:val="BodyText1"/>
        <w:spacing w:before="240"/>
        <w:rPr>
          <w:sz w:val="20"/>
          <w:szCs w:val="20"/>
        </w:rPr>
      </w:pPr>
      <w:r w:rsidRPr="008B3ECF">
        <w:rPr>
          <w:sz w:val="20"/>
          <w:szCs w:val="20"/>
        </w:rPr>
        <w:t>Removing this obligation was estimated to reduce industry compliance costs by approximately $13 million per year. These savings are mostly the result of avoided implementation costs, such as in relation to IT systems.</w:t>
      </w:r>
      <w:r w:rsidR="007F4E73" w:rsidRPr="008B3ECF">
        <w:rPr>
          <w:sz w:val="20"/>
          <w:szCs w:val="20"/>
        </w:rPr>
        <w:t xml:space="preserve"> </w:t>
      </w:r>
      <w:r w:rsidRPr="008B3ECF">
        <w:rPr>
          <w:sz w:val="20"/>
          <w:szCs w:val="20"/>
        </w:rPr>
        <w:t>The proposal has been assessed as likely to have a measurable but limited impact on the economy.</w:t>
      </w:r>
    </w:p>
    <w:p w:rsidR="00D1118E" w:rsidRPr="0084580D" w:rsidRDefault="00D1118E" w:rsidP="00833408">
      <w:pPr>
        <w:spacing w:before="200" w:after="0"/>
        <w:outlineLvl w:val="2"/>
        <w:rPr>
          <w:b/>
          <w:bCs/>
          <w:color w:val="F79646"/>
          <w:spacing w:val="-6"/>
        </w:rPr>
      </w:pPr>
      <w:bookmarkStart w:id="186" w:name="_Toc428965523"/>
      <w:r>
        <w:rPr>
          <w:b/>
          <w:bCs/>
          <w:color w:val="F79646"/>
          <w:spacing w:val="-6"/>
        </w:rPr>
        <w:lastRenderedPageBreak/>
        <w:t>Australian Taxation Office</w:t>
      </w:r>
      <w:bookmarkEnd w:id="186"/>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D1118E" w:rsidRPr="0084580D" w:rsidTr="00D1118E">
        <w:trPr>
          <w:tblHeader/>
        </w:trPr>
        <w:tc>
          <w:tcPr>
            <w:tcW w:w="5420" w:type="dxa"/>
            <w:shd w:val="clear" w:color="auto" w:fill="F4973F"/>
            <w:vAlign w:val="center"/>
          </w:tcPr>
          <w:p w:rsidR="00D1118E" w:rsidRPr="0084580D" w:rsidRDefault="00D1118E" w:rsidP="00D1118E">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D1118E" w:rsidRPr="0084580D" w:rsidRDefault="00D1118E" w:rsidP="00D1118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D1118E" w:rsidRPr="0084580D" w:rsidRDefault="00D1118E" w:rsidP="00D1118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D1118E" w:rsidRPr="0084580D" w:rsidRDefault="00D1118E" w:rsidP="00D1118E">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D1118E" w:rsidRPr="0084580D" w:rsidRDefault="00D1118E" w:rsidP="00D1118E">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D1118E" w:rsidRPr="0084580D" w:rsidTr="00D1118E">
        <w:trPr>
          <w:trHeight w:hRule="exact" w:val="525"/>
        </w:trPr>
        <w:tc>
          <w:tcPr>
            <w:tcW w:w="5420" w:type="dxa"/>
            <w:shd w:val="clear" w:color="auto" w:fill="auto"/>
            <w:vAlign w:val="center"/>
          </w:tcPr>
          <w:p w:rsidR="00D1118E" w:rsidRPr="0084580D" w:rsidRDefault="00D1118E" w:rsidP="00D1118E">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Simplified Transfer Pricing Record Keeping</w:t>
            </w:r>
          </w:p>
        </w:tc>
        <w:tc>
          <w:tcPr>
            <w:tcW w:w="1245" w:type="dxa"/>
            <w:shd w:val="clear" w:color="auto" w:fill="auto"/>
            <w:vAlign w:val="center"/>
          </w:tcPr>
          <w:p w:rsidR="00D1118E" w:rsidRPr="0084580D" w:rsidRDefault="00D1118E" w:rsidP="00D1118E">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rsidR="00D1118E" w:rsidRPr="0084580D" w:rsidRDefault="00D1118E" w:rsidP="00D1118E">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4" w:type="dxa"/>
            <w:shd w:val="clear" w:color="auto" w:fill="auto"/>
            <w:vAlign w:val="center"/>
          </w:tcPr>
          <w:p w:rsidR="00D1118E" w:rsidRPr="0084580D" w:rsidRDefault="00D1118E" w:rsidP="00D1118E">
            <w:pPr>
              <w:widowControl w:val="0"/>
              <w:kinsoku w:val="0"/>
              <w:overflowPunct w:val="0"/>
              <w:autoSpaceDE w:val="0"/>
              <w:autoSpaceDN w:val="0"/>
              <w:adjustRightInd w:val="0"/>
              <w:spacing w:before="54"/>
              <w:jc w:val="center"/>
              <w:rPr>
                <w:rFonts w:eastAsia="MS Mincho" w:cs="Arial"/>
                <w:w w:val="85"/>
                <w:sz w:val="18"/>
                <w:szCs w:val="18"/>
              </w:rPr>
            </w:pPr>
            <w:r>
              <w:rPr>
                <w:rFonts w:eastAsia="MS Mincho" w:cs="Arial"/>
                <w:spacing w:val="-3"/>
                <w:sz w:val="18"/>
                <w:szCs w:val="18"/>
              </w:rPr>
              <w:t>No</w:t>
            </w:r>
          </w:p>
        </w:tc>
        <w:tc>
          <w:tcPr>
            <w:tcW w:w="1105" w:type="dxa"/>
            <w:vAlign w:val="center"/>
          </w:tcPr>
          <w:p w:rsidR="00D1118E" w:rsidRPr="0084580D" w:rsidRDefault="00D1118E" w:rsidP="00D1118E">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-$80.9</w:t>
            </w:r>
          </w:p>
        </w:tc>
      </w:tr>
    </w:tbl>
    <w:p w:rsidR="00B130F8" w:rsidRPr="004B5504" w:rsidRDefault="00D1118E" w:rsidP="004B5504">
      <w:pPr>
        <w:rPr>
          <w:rFonts w:eastAsia="MS Mincho" w:cs="Arial"/>
          <w:spacing w:val="-3"/>
          <w:sz w:val="20"/>
          <w:szCs w:val="20"/>
        </w:rPr>
      </w:pPr>
      <w:r w:rsidRPr="004A6D56">
        <w:rPr>
          <w:rFonts w:eastAsia="MS Mincho" w:cs="Arial"/>
          <w:spacing w:val="-3"/>
          <w:sz w:val="20"/>
          <w:szCs w:val="20"/>
        </w:rPr>
        <w:t>Simplifies transfer pricing reporting requirements for small business taxpayers, distributors, intra-group services and low level loans. The ATO’s certification of the Division 815 Implementation Project means they are compliant with the Government’s RIS requirements. However, by certifying after the final decision had been made, the ATO did not follow best practice.</w:t>
      </w:r>
      <w:bookmarkStart w:id="187" w:name="_Toc428965524"/>
    </w:p>
    <w:p w:rsidR="00267F37" w:rsidRDefault="00267F37" w:rsidP="00267F37">
      <w:pPr>
        <w:pStyle w:val="Heading3"/>
        <w:rPr>
          <w:rFonts w:eastAsia="Calibri"/>
        </w:rPr>
      </w:pPr>
      <w:r>
        <w:rPr>
          <w:rFonts w:eastAsia="Calibri"/>
        </w:rPr>
        <w:t>The Treasury</w:t>
      </w:r>
      <w:bookmarkEnd w:id="187"/>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7C7385" w:rsidRPr="0084580D" w:rsidTr="00B41258">
        <w:trPr>
          <w:tblHeader/>
        </w:trPr>
        <w:tc>
          <w:tcPr>
            <w:tcW w:w="5420" w:type="dxa"/>
            <w:shd w:val="clear" w:color="auto" w:fill="F4973F"/>
            <w:vAlign w:val="center"/>
          </w:tcPr>
          <w:p w:rsidR="007C7385" w:rsidRPr="0084580D" w:rsidRDefault="007C7385" w:rsidP="00B41258">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7C7385" w:rsidRPr="0084580D" w:rsidRDefault="007C7385" w:rsidP="00B41258">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7C7385" w:rsidRPr="0084580D" w:rsidRDefault="007C7385" w:rsidP="00B41258">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7C7385" w:rsidRPr="0084580D" w:rsidRDefault="007C7385" w:rsidP="00B41258">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7C7385" w:rsidRPr="0084580D" w:rsidRDefault="007C7385" w:rsidP="00B41258">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7C7385" w:rsidRPr="0084580D" w:rsidTr="00B41258">
        <w:trPr>
          <w:trHeight w:hRule="exact" w:val="525"/>
        </w:trPr>
        <w:tc>
          <w:tcPr>
            <w:tcW w:w="5420" w:type="dxa"/>
            <w:shd w:val="clear" w:color="auto" w:fill="auto"/>
            <w:vAlign w:val="center"/>
          </w:tcPr>
          <w:p w:rsidR="007C7385" w:rsidRPr="007C7385" w:rsidRDefault="00F46DEB" w:rsidP="00B41258">
            <w:pPr>
              <w:widowControl w:val="0"/>
              <w:kinsoku w:val="0"/>
              <w:overflowPunct w:val="0"/>
              <w:autoSpaceDE w:val="0"/>
              <w:autoSpaceDN w:val="0"/>
              <w:adjustRightInd w:val="0"/>
              <w:spacing w:before="54" w:line="254" w:lineRule="auto"/>
              <w:ind w:left="170" w:right="102"/>
              <w:rPr>
                <w:rFonts w:eastAsia="MS Mincho" w:cs="Arial"/>
                <w:spacing w:val="-3"/>
                <w:sz w:val="18"/>
                <w:szCs w:val="18"/>
              </w:rPr>
            </w:pPr>
            <w:hyperlink r:id="rId13" w:history="1">
              <w:r w:rsidR="007C7385" w:rsidRPr="007C7385">
                <w:rPr>
                  <w:sz w:val="18"/>
                  <w:szCs w:val="18"/>
                </w:rPr>
                <w:t xml:space="preserve"> </w:t>
              </w:r>
              <w:r w:rsidR="007C7385" w:rsidRPr="007C7385">
                <w:rPr>
                  <w:color w:val="000000"/>
                  <w:sz w:val="18"/>
                  <w:szCs w:val="18"/>
                </w:rPr>
                <w:t xml:space="preserve">Accelerated depreciation for primary producers </w:t>
              </w:r>
            </w:hyperlink>
          </w:p>
        </w:tc>
        <w:tc>
          <w:tcPr>
            <w:tcW w:w="1245" w:type="dxa"/>
            <w:shd w:val="clear" w:color="auto" w:fill="auto"/>
            <w:vAlign w:val="center"/>
          </w:tcPr>
          <w:p w:rsidR="007C7385" w:rsidRPr="0084580D" w:rsidRDefault="007C7385" w:rsidP="00B41258">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rsidR="007C7385" w:rsidRPr="0084580D" w:rsidRDefault="007C7385" w:rsidP="00B41258">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rsidR="007C7385" w:rsidRPr="0084580D" w:rsidRDefault="007C7385" w:rsidP="00B41258">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rsidR="007C7385" w:rsidRPr="0084580D" w:rsidRDefault="007C7385" w:rsidP="00B41258">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-$1.4</w:t>
            </w:r>
          </w:p>
        </w:tc>
      </w:tr>
    </w:tbl>
    <w:p w:rsidR="00DF4B62" w:rsidRPr="00DF4B62" w:rsidRDefault="007C7385" w:rsidP="00DF4B62">
      <w:pPr>
        <w:pStyle w:val="Heading3"/>
        <w:spacing w:after="240"/>
        <w:rPr>
          <w:rFonts w:cs="Arial"/>
          <w:b w:val="0"/>
          <w:color w:val="000000"/>
          <w:sz w:val="20"/>
          <w:szCs w:val="20"/>
        </w:rPr>
      </w:pPr>
      <w:bookmarkStart w:id="188" w:name="_Toc428965525"/>
      <w:r w:rsidRPr="004A6D56">
        <w:rPr>
          <w:rFonts w:cs="Arial"/>
          <w:b w:val="0"/>
          <w:color w:val="000000"/>
          <w:sz w:val="20"/>
          <w:szCs w:val="20"/>
        </w:rPr>
        <w:t>Allows primary producers to immediately depreciate water and fencing assets, and depreciate fodder assets over three years, for those assets purchased after 12 May 2015. The measure will provide farmers an incentive to invest in their businesses, and more effectively store and use water and fodder to better manage periods of drought.</w:t>
      </w:r>
      <w:bookmarkEnd w:id="188"/>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267F37" w:rsidTr="00AE54A0">
        <w:trPr>
          <w:tblHeader/>
        </w:trPr>
        <w:tc>
          <w:tcPr>
            <w:tcW w:w="5420" w:type="dxa"/>
            <w:shd w:val="clear" w:color="auto" w:fill="F4973F"/>
            <w:vAlign w:val="center"/>
          </w:tcPr>
          <w:p w:rsidR="00267F37" w:rsidRDefault="00267F37" w:rsidP="00AE54A0">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267F37" w:rsidRDefault="00267F37" w:rsidP="00AE54A0">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267F37" w:rsidRDefault="00267F37" w:rsidP="00AE54A0">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267F37" w:rsidRDefault="00267F37" w:rsidP="00AE54A0">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267F37" w:rsidRDefault="00267F37" w:rsidP="00AE54A0">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267F37" w:rsidTr="00AE54A0">
        <w:trPr>
          <w:trHeight w:hRule="exact" w:val="525"/>
        </w:trPr>
        <w:tc>
          <w:tcPr>
            <w:tcW w:w="5420" w:type="dxa"/>
            <w:shd w:val="clear" w:color="auto" w:fill="auto"/>
            <w:vAlign w:val="center"/>
          </w:tcPr>
          <w:p w:rsidR="00267F37" w:rsidRDefault="00267F37" w:rsidP="00AE54A0">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Australian Small Business and Family Enterprise Ombudsman </w:t>
            </w:r>
          </w:p>
        </w:tc>
        <w:tc>
          <w:tcPr>
            <w:tcW w:w="1245" w:type="dxa"/>
            <w:shd w:val="clear" w:color="auto" w:fill="auto"/>
            <w:vAlign w:val="center"/>
          </w:tcPr>
          <w:p w:rsidR="00267F37" w:rsidRDefault="00267F37" w:rsidP="00AE54A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267F37" w:rsidRDefault="00267F37" w:rsidP="00AE54A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267F37" w:rsidRDefault="00267F37" w:rsidP="00AE54A0">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267F37" w:rsidRDefault="00267F37" w:rsidP="00AE54A0">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bl>
    <w:p w:rsidR="00152A33" w:rsidRPr="00E46CE6" w:rsidRDefault="00267F37" w:rsidP="00E46CE6">
      <w:pPr>
        <w:pStyle w:val="Heading2"/>
        <w:spacing w:after="360"/>
        <w:ind w:left="0" w:firstLine="0"/>
        <w:rPr>
          <w:b w:val="0"/>
          <w:sz w:val="20"/>
          <w:szCs w:val="20"/>
          <w:lang w:eastAsia="en-AU"/>
        </w:rPr>
      </w:pPr>
      <w:bookmarkStart w:id="189" w:name="_Toc426374320"/>
      <w:bookmarkStart w:id="190" w:name="_Toc426536151"/>
      <w:bookmarkStart w:id="191" w:name="_Toc428965526"/>
      <w:r w:rsidRPr="00267F37">
        <w:rPr>
          <w:b w:val="0"/>
          <w:sz w:val="20"/>
          <w:szCs w:val="20"/>
          <w:lang w:eastAsia="en-AU"/>
        </w:rPr>
        <w:t>Creates the position of the Australian Small Business and Family Enterprise Ombudsman to advocate for and assist small business, including a dispute resolution role.</w:t>
      </w:r>
      <w:bookmarkEnd w:id="189"/>
      <w:bookmarkEnd w:id="190"/>
      <w:bookmarkEnd w:id="191"/>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CA1D2D" w:rsidTr="0089398A">
        <w:trPr>
          <w:tblHeader/>
        </w:trPr>
        <w:tc>
          <w:tcPr>
            <w:tcW w:w="5420" w:type="dxa"/>
            <w:shd w:val="clear" w:color="auto" w:fill="F4973F"/>
            <w:vAlign w:val="center"/>
          </w:tcPr>
          <w:p w:rsidR="00CA1D2D" w:rsidRDefault="00CA1D2D" w:rsidP="0089398A">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CA1D2D" w:rsidRDefault="00CA1D2D" w:rsidP="0089398A">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CA1D2D" w:rsidRDefault="00CA1D2D" w:rsidP="0089398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CA1D2D" w:rsidRDefault="00CA1D2D" w:rsidP="0089398A">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CA1D2D" w:rsidRDefault="00CA1D2D" w:rsidP="0089398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CA1D2D" w:rsidTr="0089398A">
        <w:trPr>
          <w:trHeight w:hRule="exact" w:val="525"/>
        </w:trPr>
        <w:tc>
          <w:tcPr>
            <w:tcW w:w="5420" w:type="dxa"/>
            <w:shd w:val="clear" w:color="auto" w:fill="auto"/>
            <w:vAlign w:val="center"/>
          </w:tcPr>
          <w:p w:rsidR="00CA1D2D" w:rsidRDefault="00CA1D2D" w:rsidP="0089398A">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 xml:space="preserve">Expanding accelerated depreciation for small businesses </w:t>
            </w:r>
          </w:p>
        </w:tc>
        <w:tc>
          <w:tcPr>
            <w:tcW w:w="1245" w:type="dxa"/>
            <w:shd w:val="clear" w:color="auto" w:fill="auto"/>
            <w:vAlign w:val="center"/>
          </w:tcPr>
          <w:p w:rsidR="00CA1D2D" w:rsidRDefault="00CA1D2D" w:rsidP="0089398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CA1D2D" w:rsidRDefault="00CA1D2D" w:rsidP="0089398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CA1D2D" w:rsidRDefault="00CA1D2D" w:rsidP="0089398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CA1D2D" w:rsidRDefault="00CA1D2D" w:rsidP="0089398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-$6.1</w:t>
            </w:r>
          </w:p>
        </w:tc>
      </w:tr>
    </w:tbl>
    <w:p w:rsidR="00AB0DB3" w:rsidRDefault="00CA1D2D" w:rsidP="00EB755B">
      <w:pPr>
        <w:pStyle w:val="Heading2"/>
        <w:spacing w:after="360"/>
        <w:ind w:left="0" w:firstLine="0"/>
        <w:rPr>
          <w:b w:val="0"/>
          <w:sz w:val="20"/>
          <w:szCs w:val="20"/>
          <w:lang w:eastAsia="en-AU"/>
        </w:rPr>
      </w:pPr>
      <w:bookmarkStart w:id="192" w:name="_Toc428965527"/>
      <w:r w:rsidRPr="00CA1D2D">
        <w:rPr>
          <w:b w:val="0"/>
          <w:sz w:val="20"/>
          <w:szCs w:val="20"/>
          <w:lang w:eastAsia="en-AU"/>
        </w:rPr>
        <w:t>Allows small businesses to immediately depreciate any assets of up to $20,000 in value between 7.30pm (AEST) 12 May 2015 and 30 June 2017.</w:t>
      </w:r>
      <w:bookmarkEnd w:id="192"/>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3B59EF" w:rsidTr="00916E83">
        <w:trPr>
          <w:tblHeader/>
        </w:trPr>
        <w:tc>
          <w:tcPr>
            <w:tcW w:w="5420" w:type="dxa"/>
            <w:shd w:val="clear" w:color="auto" w:fill="F4973F"/>
            <w:vAlign w:val="center"/>
          </w:tcPr>
          <w:p w:rsidR="003B59EF" w:rsidRDefault="003B59EF" w:rsidP="00916E83">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3B59EF" w:rsidRDefault="003B59EF" w:rsidP="00916E83">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3B59EF" w:rsidRDefault="003B59EF" w:rsidP="00916E83">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3B59EF" w:rsidRDefault="003B59EF" w:rsidP="00916E83">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3B59EF" w:rsidRDefault="003B59EF" w:rsidP="00916E83">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3B59EF" w:rsidTr="00916E83">
        <w:trPr>
          <w:trHeight w:hRule="exact" w:val="525"/>
        </w:trPr>
        <w:tc>
          <w:tcPr>
            <w:tcW w:w="5420" w:type="dxa"/>
            <w:shd w:val="clear" w:color="auto" w:fill="auto"/>
            <w:vAlign w:val="center"/>
          </w:tcPr>
          <w:p w:rsidR="003B59EF" w:rsidRDefault="003B59EF" w:rsidP="00916E83">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Fuel Excise Indexation</w:t>
            </w:r>
          </w:p>
        </w:tc>
        <w:tc>
          <w:tcPr>
            <w:tcW w:w="1245" w:type="dxa"/>
            <w:shd w:val="clear" w:color="auto" w:fill="auto"/>
            <w:vAlign w:val="center"/>
          </w:tcPr>
          <w:p w:rsidR="003B59EF" w:rsidRDefault="003B59EF" w:rsidP="00916E83">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3B59EF" w:rsidRDefault="003B59EF" w:rsidP="00916E83">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3B59EF" w:rsidRDefault="003B59EF" w:rsidP="00916E83">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3B59EF" w:rsidRDefault="003B59EF" w:rsidP="00916E83">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$5.0</w:t>
            </w:r>
          </w:p>
        </w:tc>
      </w:tr>
    </w:tbl>
    <w:p w:rsidR="00CA222B" w:rsidRDefault="003B59EF" w:rsidP="00BF71FB">
      <w:pPr>
        <w:pStyle w:val="Heading2"/>
        <w:spacing w:after="360"/>
        <w:ind w:left="0" w:firstLine="0"/>
        <w:rPr>
          <w:b w:val="0"/>
          <w:sz w:val="20"/>
          <w:szCs w:val="20"/>
          <w:lang w:eastAsia="en-AU"/>
        </w:rPr>
      </w:pPr>
      <w:r>
        <w:rPr>
          <w:b w:val="0"/>
          <w:sz w:val="20"/>
          <w:szCs w:val="20"/>
          <w:lang w:eastAsia="en-AU"/>
        </w:rPr>
        <w:t xml:space="preserve">Reintroduces </w:t>
      </w:r>
      <w:r w:rsidR="00D6776E">
        <w:rPr>
          <w:b w:val="0"/>
          <w:sz w:val="20"/>
          <w:szCs w:val="20"/>
          <w:lang w:eastAsia="en-AU"/>
        </w:rPr>
        <w:t xml:space="preserve">the bi-annual indexation of fuel duty. </w:t>
      </w:r>
      <w:r w:rsidR="00FB402F">
        <w:rPr>
          <w:b w:val="0"/>
          <w:sz w:val="20"/>
          <w:szCs w:val="20"/>
          <w:lang w:eastAsia="en-AU"/>
        </w:rPr>
        <w:t>The RIS notes that due to the inelasticity of demand for most fuel products the effect on demand of an increase in the fuel</w:t>
      </w:r>
      <w:r w:rsidR="00BF71FB">
        <w:rPr>
          <w:b w:val="0"/>
          <w:sz w:val="20"/>
          <w:szCs w:val="20"/>
          <w:lang w:eastAsia="en-AU"/>
        </w:rPr>
        <w:t xml:space="preserve"> tax is expected to be minimal.</w:t>
      </w:r>
    </w:p>
    <w:p w:rsidR="00BF71FB" w:rsidRDefault="00BF71FB" w:rsidP="00BF71FB">
      <w:pPr>
        <w:pStyle w:val="BodyText1"/>
        <w:rPr>
          <w:lang w:eastAsia="en-AU"/>
        </w:rPr>
      </w:pPr>
    </w:p>
    <w:p w:rsidR="00BF71FB" w:rsidRPr="00BF71FB" w:rsidRDefault="00BF71FB" w:rsidP="00BF71FB">
      <w:pPr>
        <w:pStyle w:val="BodyText1"/>
        <w:rPr>
          <w:lang w:eastAsia="en-AU"/>
        </w:rPr>
      </w:pP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601C73" w:rsidTr="0089398A">
        <w:trPr>
          <w:tblHeader/>
        </w:trPr>
        <w:tc>
          <w:tcPr>
            <w:tcW w:w="5420" w:type="dxa"/>
            <w:shd w:val="clear" w:color="auto" w:fill="F4973F"/>
            <w:vAlign w:val="center"/>
          </w:tcPr>
          <w:p w:rsidR="00601C73" w:rsidRDefault="00601C73" w:rsidP="0089398A">
            <w:pPr>
              <w:pStyle w:val="TableParagraph"/>
              <w:kinsoku w:val="0"/>
              <w:overflowPunct w:val="0"/>
              <w:spacing w:beforeLines="60" w:before="144" w:after="60"/>
              <w:ind w:left="85"/>
            </w:pPr>
            <w:r w:rsidRPr="00C25C33">
              <w:rPr>
                <w:rFonts w:ascii="Arial" w:hAnsi="Arial" w:cs="Arial"/>
                <w:color w:val="FFFFFF"/>
                <w:w w:val="105"/>
                <w:sz w:val="18"/>
                <w:szCs w:val="18"/>
              </w:rPr>
              <w:lastRenderedPageBreak/>
              <w:t>Proposal</w:t>
            </w:r>
          </w:p>
        </w:tc>
        <w:tc>
          <w:tcPr>
            <w:tcW w:w="1245" w:type="dxa"/>
            <w:shd w:val="clear" w:color="auto" w:fill="F4973F"/>
            <w:vAlign w:val="center"/>
          </w:tcPr>
          <w:p w:rsidR="00601C73" w:rsidRDefault="00601C73" w:rsidP="0089398A">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601C73" w:rsidRDefault="00601C73" w:rsidP="0089398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601C73" w:rsidRDefault="00601C73" w:rsidP="0089398A">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601C73" w:rsidRDefault="00601C73" w:rsidP="0089398A">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601C73" w:rsidTr="0089398A">
        <w:trPr>
          <w:trHeight w:hRule="exact" w:val="525"/>
        </w:trPr>
        <w:tc>
          <w:tcPr>
            <w:tcW w:w="5420" w:type="dxa"/>
            <w:shd w:val="clear" w:color="auto" w:fill="auto"/>
            <w:vAlign w:val="center"/>
          </w:tcPr>
          <w:p w:rsidR="00601C73" w:rsidRDefault="00601C73" w:rsidP="0089398A">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Incorporated Small Business Tax Cut</w:t>
            </w:r>
          </w:p>
        </w:tc>
        <w:tc>
          <w:tcPr>
            <w:tcW w:w="1245" w:type="dxa"/>
            <w:shd w:val="clear" w:color="auto" w:fill="auto"/>
            <w:vAlign w:val="center"/>
          </w:tcPr>
          <w:p w:rsidR="00601C73" w:rsidRDefault="00601C73" w:rsidP="0089398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601C73" w:rsidRDefault="00601C73" w:rsidP="0089398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601C73" w:rsidRDefault="00601C73" w:rsidP="0089398A">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601C73" w:rsidRDefault="00601C73" w:rsidP="0089398A">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$3.2</w:t>
            </w:r>
          </w:p>
        </w:tc>
      </w:tr>
    </w:tbl>
    <w:p w:rsidR="00545485" w:rsidRPr="000004AA" w:rsidRDefault="00601C73" w:rsidP="000004AA">
      <w:pPr>
        <w:pStyle w:val="Heading2"/>
        <w:spacing w:after="360"/>
        <w:ind w:left="0" w:firstLine="0"/>
        <w:rPr>
          <w:b w:val="0"/>
          <w:sz w:val="20"/>
          <w:szCs w:val="20"/>
          <w:lang w:eastAsia="en-AU"/>
        </w:rPr>
      </w:pPr>
      <w:bookmarkStart w:id="193" w:name="_Toc428965528"/>
      <w:r w:rsidRPr="00601C73">
        <w:rPr>
          <w:b w:val="0"/>
          <w:sz w:val="20"/>
          <w:szCs w:val="20"/>
          <w:lang w:eastAsia="en-AU"/>
        </w:rPr>
        <w:t>Reduces corporate tax rates for small companies with annual turnover of less than $2 million from 30 per cent to 28.5 per cent starting from the 2015-16 financial year.</w:t>
      </w:r>
      <w:bookmarkEnd w:id="193"/>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EB577F" w:rsidTr="00EA4F27">
        <w:trPr>
          <w:tblHeader/>
        </w:trPr>
        <w:tc>
          <w:tcPr>
            <w:tcW w:w="5420" w:type="dxa"/>
            <w:shd w:val="clear" w:color="auto" w:fill="F4973F"/>
            <w:vAlign w:val="center"/>
          </w:tcPr>
          <w:p w:rsidR="00EB577F" w:rsidRDefault="00EB577F" w:rsidP="00EA4F27">
            <w:pPr>
              <w:pStyle w:val="TableParagraph"/>
              <w:kinsoku w:val="0"/>
              <w:overflowPunct w:val="0"/>
              <w:spacing w:beforeLines="60" w:before="144" w:after="60"/>
              <w:ind w:left="85"/>
            </w:pPr>
            <w:r w:rsidRPr="00C25C33">
              <w:rPr>
                <w:rFonts w:ascii="Arial" w:hAnsi="Arial" w:cs="Arial"/>
                <w:color w:val="FFFFFF"/>
                <w:w w:val="105"/>
                <w:sz w:val="18"/>
                <w:szCs w:val="18"/>
              </w:rPr>
              <w:t>Proposal</w:t>
            </w:r>
          </w:p>
        </w:tc>
        <w:tc>
          <w:tcPr>
            <w:tcW w:w="1245" w:type="dxa"/>
            <w:shd w:val="clear" w:color="auto" w:fill="F4973F"/>
            <w:vAlign w:val="center"/>
          </w:tcPr>
          <w:p w:rsidR="00EB577F" w:rsidRDefault="00EB577F" w:rsidP="00EA4F27">
            <w:pPr>
              <w:pStyle w:val="TableParagraph"/>
              <w:kinsoku w:val="0"/>
              <w:overflowPunct w:val="0"/>
              <w:spacing w:beforeLines="60" w:before="144" w:after="60"/>
              <w:jc w:val="center"/>
            </w:pPr>
            <w:r>
              <w:rPr>
                <w:rFonts w:ascii="Arial" w:hAnsi="Arial" w:cs="Arial"/>
                <w:color w:val="FFFFFF"/>
                <w:w w:val="105"/>
                <w:sz w:val="18"/>
                <w:szCs w:val="18"/>
              </w:rPr>
              <w:t>RIS Status</w:t>
            </w:r>
          </w:p>
        </w:tc>
        <w:tc>
          <w:tcPr>
            <w:tcW w:w="1105" w:type="dxa"/>
            <w:shd w:val="clear" w:color="auto" w:fill="F4973F"/>
            <w:vAlign w:val="center"/>
          </w:tcPr>
          <w:p w:rsidR="00EB577F" w:rsidRDefault="00EB577F" w:rsidP="00EA4F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 xml:space="preserve">Best </w:t>
            </w:r>
            <w:r>
              <w:rPr>
                <w:rFonts w:ascii="Arial" w:hAnsi="Arial" w:cs="Arial"/>
                <w:color w:val="FFFFFF"/>
                <w:w w:val="105"/>
                <w:sz w:val="18"/>
                <w:szCs w:val="18"/>
              </w:rPr>
              <w:br/>
              <w:t>practice</w:t>
            </w:r>
          </w:p>
        </w:tc>
        <w:tc>
          <w:tcPr>
            <w:tcW w:w="1104" w:type="dxa"/>
            <w:shd w:val="clear" w:color="auto" w:fill="F4973F"/>
            <w:vAlign w:val="center"/>
          </w:tcPr>
          <w:p w:rsidR="00EB577F" w:rsidRDefault="00EB577F" w:rsidP="00EA4F27">
            <w:pPr>
              <w:pStyle w:val="TableParagraph"/>
              <w:kinsoku w:val="0"/>
              <w:overflowPunct w:val="0"/>
              <w:spacing w:beforeLines="60" w:before="144" w:after="60"/>
              <w:jc w:val="center"/>
            </w:pPr>
            <w:r>
              <w:rPr>
                <w:rFonts w:ascii="Arial" w:hAnsi="Arial" w:cs="Arial"/>
                <w:color w:val="FFFFFF"/>
                <w:w w:val="105"/>
                <w:sz w:val="18"/>
                <w:szCs w:val="18"/>
              </w:rPr>
              <w:t xml:space="preserve">PIR </w:t>
            </w:r>
            <w:r>
              <w:rPr>
                <w:rFonts w:ascii="Arial" w:hAnsi="Arial" w:cs="Arial"/>
                <w:color w:val="FFFFFF"/>
                <w:w w:val="105"/>
                <w:sz w:val="18"/>
                <w:szCs w:val="18"/>
              </w:rPr>
              <w:br/>
              <w:t>required</w:t>
            </w:r>
          </w:p>
        </w:tc>
        <w:tc>
          <w:tcPr>
            <w:tcW w:w="1105" w:type="dxa"/>
            <w:shd w:val="clear" w:color="auto" w:fill="F4973F"/>
            <w:vAlign w:val="center"/>
          </w:tcPr>
          <w:p w:rsidR="00EB577F" w:rsidRDefault="00EB577F" w:rsidP="00EA4F27">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Regulatory Burden ($m)</w:t>
            </w:r>
          </w:p>
        </w:tc>
      </w:tr>
      <w:tr w:rsidR="00EB577F" w:rsidTr="00EA4F27">
        <w:trPr>
          <w:trHeight w:hRule="exact" w:val="525"/>
        </w:trPr>
        <w:tc>
          <w:tcPr>
            <w:tcW w:w="5420" w:type="dxa"/>
            <w:shd w:val="clear" w:color="auto" w:fill="auto"/>
            <w:vAlign w:val="center"/>
          </w:tcPr>
          <w:p w:rsidR="00EB577F" w:rsidRDefault="00EB577F" w:rsidP="00EA4F27">
            <w:pPr>
              <w:pStyle w:val="TableParagraph"/>
              <w:kinsoku w:val="0"/>
              <w:overflowPunct w:val="0"/>
              <w:spacing w:before="54" w:line="254" w:lineRule="auto"/>
              <w:ind w:left="170" w:right="102"/>
              <w:rPr>
                <w:rFonts w:ascii="Arial" w:hAnsi="Arial" w:cs="Arial"/>
                <w:spacing w:val="-3"/>
                <w:sz w:val="18"/>
                <w:szCs w:val="18"/>
              </w:rPr>
            </w:pPr>
            <w:r>
              <w:rPr>
                <w:rFonts w:ascii="Arial" w:hAnsi="Arial" w:cs="Arial"/>
                <w:spacing w:val="-3"/>
                <w:sz w:val="18"/>
                <w:szCs w:val="18"/>
              </w:rPr>
              <w:t>Increase in Tobacco Excise</w:t>
            </w:r>
            <w:r w:rsidR="008577C7" w:rsidRPr="008577C7">
              <w:rPr>
                <w:rFonts w:ascii="Arial" w:hAnsi="Arial" w:cs="Arial"/>
                <w:spacing w:val="-3"/>
                <w:sz w:val="18"/>
                <w:szCs w:val="18"/>
                <w:vertAlign w:val="superscript"/>
              </w:rPr>
              <w:t>a</w:t>
            </w:r>
          </w:p>
        </w:tc>
        <w:tc>
          <w:tcPr>
            <w:tcW w:w="1245" w:type="dxa"/>
            <w:shd w:val="clear" w:color="auto" w:fill="auto"/>
            <w:vAlign w:val="center"/>
          </w:tcPr>
          <w:p w:rsidR="00EB577F" w:rsidRDefault="00EB577F" w:rsidP="00EA4F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Compliant</w:t>
            </w:r>
          </w:p>
        </w:tc>
        <w:tc>
          <w:tcPr>
            <w:tcW w:w="1105" w:type="dxa"/>
            <w:shd w:val="clear" w:color="auto" w:fill="auto"/>
            <w:vAlign w:val="center"/>
          </w:tcPr>
          <w:p w:rsidR="00EB577F" w:rsidRDefault="00EB577F" w:rsidP="00EA4F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Yes</w:t>
            </w:r>
          </w:p>
        </w:tc>
        <w:tc>
          <w:tcPr>
            <w:tcW w:w="1104" w:type="dxa"/>
            <w:shd w:val="clear" w:color="auto" w:fill="auto"/>
            <w:vAlign w:val="center"/>
          </w:tcPr>
          <w:p w:rsidR="00EB577F" w:rsidRDefault="00EB577F" w:rsidP="00EA4F27">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No</w:t>
            </w:r>
          </w:p>
        </w:tc>
        <w:tc>
          <w:tcPr>
            <w:tcW w:w="1105" w:type="dxa"/>
            <w:vAlign w:val="center"/>
          </w:tcPr>
          <w:p w:rsidR="00EB577F" w:rsidRDefault="00EB577F" w:rsidP="00EA4F27">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$0.0</w:t>
            </w:r>
          </w:p>
        </w:tc>
      </w:tr>
    </w:tbl>
    <w:p w:rsidR="00152A33" w:rsidRDefault="00EB577F" w:rsidP="00952DB6">
      <w:pPr>
        <w:pStyle w:val="Heading2"/>
        <w:spacing w:after="360"/>
        <w:ind w:left="0" w:firstLine="0"/>
        <w:rPr>
          <w:b w:val="0"/>
          <w:sz w:val="20"/>
          <w:szCs w:val="20"/>
          <w:lang w:eastAsia="en-AU"/>
        </w:rPr>
      </w:pPr>
      <w:r w:rsidRPr="00EB577F">
        <w:rPr>
          <w:b w:val="0"/>
          <w:sz w:val="20"/>
          <w:szCs w:val="20"/>
          <w:lang w:eastAsia="en-AU"/>
        </w:rPr>
        <w:t>The proposals increase the rates of excise on tobacco and tobacco products through a series of four staged increases of 12.5 per cent, commencing on 1 December 2013 with subsequent increases on 1 September each year until the last of the staged increases on 1 September 2016. The proposal also changes the basis of indexation of excise duty on tobacco and tobacco products from the consumer price index (CPI) to average weekly ordinary time earnings (AWOTE).</w:t>
      </w:r>
    </w:p>
    <w:p w:rsidR="008577C7" w:rsidRPr="008577C7" w:rsidRDefault="008577C7" w:rsidP="008577C7">
      <w:pPr>
        <w:pStyle w:val="BodyText1"/>
        <w:numPr>
          <w:ilvl w:val="0"/>
          <w:numId w:val="31"/>
        </w:numPr>
        <w:rPr>
          <w:sz w:val="16"/>
          <w:szCs w:val="16"/>
          <w:lang w:eastAsia="en-AU"/>
        </w:rPr>
      </w:pPr>
      <w:r w:rsidRPr="008577C7">
        <w:rPr>
          <w:sz w:val="16"/>
          <w:szCs w:val="16"/>
          <w:lang w:eastAsia="en-AU"/>
        </w:rPr>
        <w:t>This proposal was implemented in March 2014</w:t>
      </w:r>
    </w:p>
    <w:tbl>
      <w:tblPr>
        <w:tblW w:w="9962" w:type="dxa"/>
        <w:tblInd w:w="-142" w:type="dxa"/>
        <w:tblLayout w:type="fixed"/>
        <w:tblCellMar>
          <w:left w:w="0" w:type="dxa"/>
          <w:right w:w="0" w:type="dxa"/>
        </w:tblCellMar>
        <w:tblLook w:val="0000" w:firstRow="0" w:lastRow="0" w:firstColumn="0" w:lastColumn="0" w:noHBand="0" w:noVBand="0"/>
      </w:tblPr>
      <w:tblGrid>
        <w:gridCol w:w="5411"/>
        <w:gridCol w:w="1243"/>
        <w:gridCol w:w="1103"/>
        <w:gridCol w:w="1102"/>
        <w:gridCol w:w="1103"/>
      </w:tblGrid>
      <w:tr w:rsidR="002931A1" w:rsidRPr="0084580D" w:rsidTr="00E61D7A">
        <w:trPr>
          <w:trHeight w:val="621"/>
          <w:tblHeader/>
        </w:trPr>
        <w:tc>
          <w:tcPr>
            <w:tcW w:w="5411" w:type="dxa"/>
            <w:shd w:val="clear" w:color="auto" w:fill="F4973F"/>
            <w:vAlign w:val="center"/>
          </w:tcPr>
          <w:p w:rsidR="002931A1" w:rsidRPr="0084580D" w:rsidRDefault="002931A1" w:rsidP="00AE54A0">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3" w:type="dxa"/>
            <w:shd w:val="clear" w:color="auto" w:fill="F4973F"/>
            <w:vAlign w:val="center"/>
          </w:tcPr>
          <w:p w:rsidR="002931A1" w:rsidRPr="0084580D" w:rsidRDefault="002931A1" w:rsidP="00AE54A0">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3" w:type="dxa"/>
            <w:shd w:val="clear" w:color="auto" w:fill="F4973F"/>
            <w:vAlign w:val="center"/>
          </w:tcPr>
          <w:p w:rsidR="002931A1" w:rsidRPr="0084580D" w:rsidRDefault="002931A1" w:rsidP="00AE54A0">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2" w:type="dxa"/>
            <w:shd w:val="clear" w:color="auto" w:fill="F4973F"/>
            <w:vAlign w:val="center"/>
          </w:tcPr>
          <w:p w:rsidR="002931A1" w:rsidRPr="0084580D" w:rsidRDefault="002931A1" w:rsidP="00AE54A0">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3" w:type="dxa"/>
            <w:shd w:val="clear" w:color="auto" w:fill="F4973F"/>
            <w:vAlign w:val="center"/>
          </w:tcPr>
          <w:p w:rsidR="002931A1" w:rsidRPr="0084580D" w:rsidRDefault="002931A1" w:rsidP="00AE54A0">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2931A1" w:rsidRPr="0084580D" w:rsidTr="00E61D7A">
        <w:trPr>
          <w:trHeight w:hRule="exact" w:val="453"/>
        </w:trPr>
        <w:tc>
          <w:tcPr>
            <w:tcW w:w="5411" w:type="dxa"/>
            <w:shd w:val="clear" w:color="auto" w:fill="auto"/>
            <w:vAlign w:val="center"/>
          </w:tcPr>
          <w:p w:rsidR="002931A1" w:rsidRPr="002931A1" w:rsidRDefault="002931A1" w:rsidP="00AE54A0">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sidRPr="002931A1">
              <w:rPr>
                <w:rFonts w:eastAsia="MS Mincho" w:cs="Arial"/>
                <w:spacing w:val="-3"/>
                <w:sz w:val="18"/>
                <w:szCs w:val="18"/>
              </w:rPr>
              <w:t>Reducing Superannuation Compliance Costs for Small Business</w:t>
            </w:r>
          </w:p>
        </w:tc>
        <w:tc>
          <w:tcPr>
            <w:tcW w:w="1243" w:type="dxa"/>
            <w:shd w:val="clear" w:color="auto" w:fill="auto"/>
            <w:vAlign w:val="center"/>
          </w:tcPr>
          <w:p w:rsidR="002931A1" w:rsidRPr="0084580D" w:rsidRDefault="002931A1" w:rsidP="00AE54A0">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3" w:type="dxa"/>
            <w:shd w:val="clear" w:color="auto" w:fill="auto"/>
            <w:vAlign w:val="center"/>
          </w:tcPr>
          <w:p w:rsidR="002931A1" w:rsidRPr="0084580D" w:rsidRDefault="002931A1" w:rsidP="00AE54A0">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2" w:type="dxa"/>
            <w:shd w:val="clear" w:color="auto" w:fill="auto"/>
            <w:vAlign w:val="center"/>
          </w:tcPr>
          <w:p w:rsidR="002931A1" w:rsidRPr="0084580D" w:rsidRDefault="002931A1" w:rsidP="00AE54A0">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3" w:type="dxa"/>
            <w:vAlign w:val="center"/>
          </w:tcPr>
          <w:p w:rsidR="002931A1" w:rsidRPr="0084580D" w:rsidRDefault="002931A1" w:rsidP="00AE54A0">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-$46.4</w:t>
            </w:r>
          </w:p>
        </w:tc>
      </w:tr>
    </w:tbl>
    <w:p w:rsidR="00E46CE6" w:rsidRPr="00125507" w:rsidRDefault="002931A1" w:rsidP="00125507">
      <w:pPr>
        <w:pStyle w:val="Heading3"/>
        <w:rPr>
          <w:rFonts w:cs="Arial"/>
          <w:b w:val="0"/>
          <w:color w:val="000000"/>
          <w:sz w:val="20"/>
          <w:szCs w:val="20"/>
        </w:rPr>
      </w:pPr>
      <w:bookmarkStart w:id="194" w:name="_Toc426374321"/>
      <w:bookmarkStart w:id="195" w:name="_Toc426536152"/>
      <w:bookmarkStart w:id="196" w:name="_Toc428965529"/>
      <w:r w:rsidRPr="005F2106">
        <w:rPr>
          <w:rFonts w:cs="Arial"/>
          <w:b w:val="0"/>
          <w:color w:val="000000"/>
          <w:sz w:val="20"/>
          <w:szCs w:val="20"/>
        </w:rPr>
        <w:t>Reduces the compliance costs of the superannuation system on small businesses by amending choice of fund obligations so that employers are no longer required to offer choice of fund to temporary resident employees and in circumstances when superannuation funds merge</w:t>
      </w:r>
      <w:bookmarkEnd w:id="194"/>
      <w:bookmarkEnd w:id="195"/>
      <w:bookmarkEnd w:id="196"/>
      <w:r w:rsidR="00E46CE6">
        <w:rPr>
          <w:rFonts w:cs="Arial"/>
          <w:b w:val="0"/>
          <w:color w:val="000000"/>
          <w:sz w:val="20"/>
          <w:szCs w:val="20"/>
        </w:rPr>
        <w:t>.</w:t>
      </w:r>
    </w:p>
    <w:p w:rsidR="00B63505" w:rsidRDefault="00B63505" w:rsidP="00267F37">
      <w:pPr>
        <w:pStyle w:val="Heading2"/>
        <w:ind w:left="0" w:firstLine="0"/>
      </w:pPr>
    </w:p>
    <w:tbl>
      <w:tblPr>
        <w:tblW w:w="9979" w:type="dxa"/>
        <w:tblInd w:w="-142" w:type="dxa"/>
        <w:tblLayout w:type="fixed"/>
        <w:tblCellMar>
          <w:left w:w="0" w:type="dxa"/>
          <w:right w:w="0" w:type="dxa"/>
        </w:tblCellMar>
        <w:tblLook w:val="0000" w:firstRow="0" w:lastRow="0" w:firstColumn="0" w:lastColumn="0" w:noHBand="0" w:noVBand="0"/>
      </w:tblPr>
      <w:tblGrid>
        <w:gridCol w:w="5420"/>
        <w:gridCol w:w="1245"/>
        <w:gridCol w:w="1105"/>
        <w:gridCol w:w="1104"/>
        <w:gridCol w:w="1105"/>
      </w:tblGrid>
      <w:tr w:rsidR="00B63505" w:rsidRPr="0084580D" w:rsidTr="0089398A">
        <w:trPr>
          <w:tblHeader/>
        </w:trPr>
        <w:tc>
          <w:tcPr>
            <w:tcW w:w="5420" w:type="dxa"/>
            <w:shd w:val="clear" w:color="auto" w:fill="F4973F"/>
            <w:vAlign w:val="center"/>
          </w:tcPr>
          <w:p w:rsidR="00B63505" w:rsidRPr="0084580D" w:rsidRDefault="00B63505" w:rsidP="0089398A">
            <w:pPr>
              <w:widowControl w:val="0"/>
              <w:kinsoku w:val="0"/>
              <w:overflowPunct w:val="0"/>
              <w:autoSpaceDE w:val="0"/>
              <w:autoSpaceDN w:val="0"/>
              <w:adjustRightInd w:val="0"/>
              <w:spacing w:beforeLines="60" w:before="144" w:after="60"/>
              <w:ind w:left="85"/>
              <w:rPr>
                <w:rFonts w:ascii="Times New Roman" w:eastAsia="MS Mincho" w:hAnsi="Times New Roman"/>
                <w:sz w:val="24"/>
              </w:rPr>
            </w:pPr>
            <w:r w:rsidRPr="0084580D">
              <w:rPr>
                <w:rFonts w:eastAsia="MS Mincho" w:cs="Arial"/>
                <w:color w:val="FFFFFF"/>
                <w:w w:val="105"/>
                <w:sz w:val="18"/>
                <w:szCs w:val="18"/>
              </w:rPr>
              <w:t>Proposal</w:t>
            </w:r>
          </w:p>
        </w:tc>
        <w:tc>
          <w:tcPr>
            <w:tcW w:w="1245" w:type="dxa"/>
            <w:shd w:val="clear" w:color="auto" w:fill="F4973F"/>
            <w:vAlign w:val="center"/>
          </w:tcPr>
          <w:p w:rsidR="00B63505" w:rsidRPr="0084580D" w:rsidRDefault="00B63505" w:rsidP="0089398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RIS Status</w:t>
            </w:r>
          </w:p>
        </w:tc>
        <w:tc>
          <w:tcPr>
            <w:tcW w:w="1105" w:type="dxa"/>
            <w:shd w:val="clear" w:color="auto" w:fill="F4973F"/>
            <w:vAlign w:val="center"/>
          </w:tcPr>
          <w:p w:rsidR="00B63505" w:rsidRPr="0084580D" w:rsidRDefault="00B63505" w:rsidP="0089398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sidRPr="0084580D">
              <w:rPr>
                <w:rFonts w:eastAsia="MS Mincho" w:cs="Arial"/>
                <w:color w:val="FFFFFF"/>
                <w:w w:val="105"/>
                <w:sz w:val="18"/>
                <w:szCs w:val="18"/>
              </w:rPr>
              <w:t xml:space="preserve">Best </w:t>
            </w:r>
            <w:r w:rsidRPr="0084580D">
              <w:rPr>
                <w:rFonts w:eastAsia="MS Mincho" w:cs="Arial"/>
                <w:color w:val="FFFFFF"/>
                <w:w w:val="105"/>
                <w:sz w:val="18"/>
                <w:szCs w:val="18"/>
              </w:rPr>
              <w:br/>
              <w:t>practice</w:t>
            </w:r>
          </w:p>
        </w:tc>
        <w:tc>
          <w:tcPr>
            <w:tcW w:w="1104" w:type="dxa"/>
            <w:shd w:val="clear" w:color="auto" w:fill="F4973F"/>
            <w:vAlign w:val="center"/>
          </w:tcPr>
          <w:p w:rsidR="00B63505" w:rsidRPr="0084580D" w:rsidRDefault="00B63505" w:rsidP="0089398A">
            <w:pPr>
              <w:widowControl w:val="0"/>
              <w:kinsoku w:val="0"/>
              <w:overflowPunct w:val="0"/>
              <w:autoSpaceDE w:val="0"/>
              <w:autoSpaceDN w:val="0"/>
              <w:adjustRightInd w:val="0"/>
              <w:spacing w:beforeLines="60" w:before="144" w:after="60"/>
              <w:jc w:val="center"/>
              <w:rPr>
                <w:rFonts w:ascii="Times New Roman" w:eastAsia="MS Mincho" w:hAnsi="Times New Roman"/>
                <w:sz w:val="24"/>
              </w:rPr>
            </w:pPr>
            <w:r w:rsidRPr="0084580D">
              <w:rPr>
                <w:rFonts w:eastAsia="MS Mincho" w:cs="Arial"/>
                <w:color w:val="FFFFFF"/>
                <w:w w:val="105"/>
                <w:sz w:val="18"/>
                <w:szCs w:val="18"/>
              </w:rPr>
              <w:t xml:space="preserve">PIR </w:t>
            </w:r>
            <w:r w:rsidRPr="0084580D">
              <w:rPr>
                <w:rFonts w:eastAsia="MS Mincho" w:cs="Arial"/>
                <w:color w:val="FFFFFF"/>
                <w:w w:val="105"/>
                <w:sz w:val="18"/>
                <w:szCs w:val="18"/>
              </w:rPr>
              <w:br/>
              <w:t>required</w:t>
            </w:r>
          </w:p>
        </w:tc>
        <w:tc>
          <w:tcPr>
            <w:tcW w:w="1105" w:type="dxa"/>
            <w:shd w:val="clear" w:color="auto" w:fill="F4973F"/>
            <w:vAlign w:val="center"/>
          </w:tcPr>
          <w:p w:rsidR="00B63505" w:rsidRPr="0084580D" w:rsidRDefault="00B63505" w:rsidP="0089398A">
            <w:pPr>
              <w:widowControl w:val="0"/>
              <w:kinsoku w:val="0"/>
              <w:overflowPunct w:val="0"/>
              <w:autoSpaceDE w:val="0"/>
              <w:autoSpaceDN w:val="0"/>
              <w:adjustRightInd w:val="0"/>
              <w:spacing w:beforeLines="60" w:before="144" w:after="60"/>
              <w:jc w:val="center"/>
              <w:rPr>
                <w:rFonts w:eastAsia="MS Mincho" w:cs="Arial"/>
                <w:color w:val="FFFFFF"/>
                <w:w w:val="105"/>
                <w:sz w:val="18"/>
                <w:szCs w:val="18"/>
              </w:rPr>
            </w:pPr>
            <w:r>
              <w:rPr>
                <w:rFonts w:eastAsia="MS Mincho" w:cs="Arial"/>
                <w:color w:val="FFFFFF"/>
                <w:w w:val="105"/>
                <w:sz w:val="18"/>
                <w:szCs w:val="18"/>
              </w:rPr>
              <w:t>Regulatory Burden</w:t>
            </w:r>
            <w:r w:rsidRPr="0084580D">
              <w:rPr>
                <w:rFonts w:eastAsia="MS Mincho" w:cs="Arial"/>
                <w:color w:val="FFFFFF"/>
                <w:w w:val="105"/>
                <w:sz w:val="18"/>
                <w:szCs w:val="18"/>
              </w:rPr>
              <w:t xml:space="preserve"> ($m)</w:t>
            </w:r>
          </w:p>
        </w:tc>
      </w:tr>
      <w:tr w:rsidR="00B63505" w:rsidRPr="0084580D" w:rsidTr="0089398A">
        <w:trPr>
          <w:trHeight w:hRule="exact" w:val="525"/>
        </w:trPr>
        <w:tc>
          <w:tcPr>
            <w:tcW w:w="5420" w:type="dxa"/>
            <w:shd w:val="clear" w:color="auto" w:fill="auto"/>
            <w:vAlign w:val="center"/>
          </w:tcPr>
          <w:p w:rsidR="00B63505" w:rsidRPr="002931A1" w:rsidRDefault="00B63505" w:rsidP="0089398A">
            <w:pPr>
              <w:widowControl w:val="0"/>
              <w:kinsoku w:val="0"/>
              <w:overflowPunct w:val="0"/>
              <w:autoSpaceDE w:val="0"/>
              <w:autoSpaceDN w:val="0"/>
              <w:adjustRightInd w:val="0"/>
              <w:spacing w:before="54" w:line="254" w:lineRule="auto"/>
              <w:ind w:left="170" w:right="102"/>
              <w:rPr>
                <w:rFonts w:eastAsia="MS Mincho" w:cs="Arial"/>
                <w:spacing w:val="-3"/>
                <w:sz w:val="18"/>
                <w:szCs w:val="18"/>
              </w:rPr>
            </w:pPr>
            <w:r>
              <w:rPr>
                <w:rFonts w:eastAsia="MS Mincho" w:cs="Arial"/>
                <w:spacing w:val="-3"/>
                <w:sz w:val="18"/>
                <w:szCs w:val="18"/>
              </w:rPr>
              <w:t>Unincorporated small business tax discount</w:t>
            </w:r>
          </w:p>
        </w:tc>
        <w:tc>
          <w:tcPr>
            <w:tcW w:w="1245" w:type="dxa"/>
            <w:shd w:val="clear" w:color="auto" w:fill="auto"/>
            <w:vAlign w:val="center"/>
          </w:tcPr>
          <w:p w:rsidR="00B63505" w:rsidRPr="0084580D" w:rsidRDefault="00B63505" w:rsidP="0089398A">
            <w:pPr>
              <w:widowControl w:val="0"/>
              <w:kinsoku w:val="0"/>
              <w:overflowPunct w:val="0"/>
              <w:autoSpaceDE w:val="0"/>
              <w:autoSpaceDN w:val="0"/>
              <w:adjustRightInd w:val="0"/>
              <w:spacing w:before="54"/>
              <w:jc w:val="center"/>
              <w:rPr>
                <w:rFonts w:eastAsia="MS Mincho" w:cs="Arial"/>
                <w:spacing w:val="-2"/>
                <w:w w:val="90"/>
                <w:sz w:val="18"/>
                <w:szCs w:val="18"/>
              </w:rPr>
            </w:pPr>
            <w:r w:rsidRPr="0084580D">
              <w:rPr>
                <w:rFonts w:eastAsia="MS Mincho" w:cs="Arial"/>
                <w:spacing w:val="-3"/>
                <w:sz w:val="18"/>
                <w:szCs w:val="18"/>
              </w:rPr>
              <w:t>Compliant</w:t>
            </w:r>
          </w:p>
        </w:tc>
        <w:tc>
          <w:tcPr>
            <w:tcW w:w="1105" w:type="dxa"/>
            <w:shd w:val="clear" w:color="auto" w:fill="auto"/>
            <w:vAlign w:val="center"/>
          </w:tcPr>
          <w:p w:rsidR="00B63505" w:rsidRPr="0084580D" w:rsidRDefault="00B63505" w:rsidP="0089398A">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Yes</w:t>
            </w:r>
          </w:p>
        </w:tc>
        <w:tc>
          <w:tcPr>
            <w:tcW w:w="1104" w:type="dxa"/>
            <w:shd w:val="clear" w:color="auto" w:fill="auto"/>
            <w:vAlign w:val="center"/>
          </w:tcPr>
          <w:p w:rsidR="00B63505" w:rsidRPr="0084580D" w:rsidRDefault="00B63505" w:rsidP="0089398A">
            <w:pPr>
              <w:widowControl w:val="0"/>
              <w:kinsoku w:val="0"/>
              <w:overflowPunct w:val="0"/>
              <w:autoSpaceDE w:val="0"/>
              <w:autoSpaceDN w:val="0"/>
              <w:adjustRightInd w:val="0"/>
              <w:spacing w:before="54"/>
              <w:jc w:val="center"/>
              <w:rPr>
                <w:rFonts w:eastAsia="MS Mincho" w:cs="Arial"/>
                <w:w w:val="85"/>
                <w:sz w:val="18"/>
                <w:szCs w:val="18"/>
              </w:rPr>
            </w:pPr>
            <w:r w:rsidRPr="0084580D">
              <w:rPr>
                <w:rFonts w:eastAsia="MS Mincho" w:cs="Arial"/>
                <w:spacing w:val="-3"/>
                <w:sz w:val="18"/>
                <w:szCs w:val="18"/>
              </w:rPr>
              <w:t>No</w:t>
            </w:r>
          </w:p>
        </w:tc>
        <w:tc>
          <w:tcPr>
            <w:tcW w:w="1105" w:type="dxa"/>
            <w:vAlign w:val="center"/>
          </w:tcPr>
          <w:p w:rsidR="00B63505" w:rsidRPr="0084580D" w:rsidRDefault="00B63505" w:rsidP="0089398A">
            <w:pPr>
              <w:widowControl w:val="0"/>
              <w:kinsoku w:val="0"/>
              <w:overflowPunct w:val="0"/>
              <w:autoSpaceDE w:val="0"/>
              <w:autoSpaceDN w:val="0"/>
              <w:adjustRightInd w:val="0"/>
              <w:spacing w:before="54"/>
              <w:ind w:right="227"/>
              <w:jc w:val="right"/>
              <w:rPr>
                <w:rFonts w:eastAsia="MS Mincho" w:cs="Arial"/>
                <w:spacing w:val="-3"/>
                <w:sz w:val="18"/>
                <w:szCs w:val="18"/>
              </w:rPr>
            </w:pPr>
            <w:r>
              <w:rPr>
                <w:rFonts w:eastAsia="MS Mincho" w:cs="Arial"/>
                <w:spacing w:val="-3"/>
                <w:sz w:val="18"/>
                <w:szCs w:val="18"/>
              </w:rPr>
              <w:t>$14.8</w:t>
            </w:r>
          </w:p>
        </w:tc>
      </w:tr>
    </w:tbl>
    <w:p w:rsidR="00B63505" w:rsidRPr="005F2106" w:rsidRDefault="00B63505" w:rsidP="00B63505">
      <w:pPr>
        <w:pStyle w:val="Heading3"/>
        <w:rPr>
          <w:rFonts w:eastAsia="Calibri" w:cs="Arial"/>
          <w:b w:val="0"/>
          <w:color w:val="000000"/>
          <w:sz w:val="20"/>
          <w:szCs w:val="20"/>
        </w:rPr>
      </w:pPr>
      <w:bookmarkStart w:id="197" w:name="_Toc428965530"/>
      <w:r w:rsidRPr="00B63505">
        <w:rPr>
          <w:rFonts w:cs="Arial"/>
          <w:b w:val="0"/>
          <w:color w:val="000000"/>
          <w:sz w:val="20"/>
          <w:szCs w:val="20"/>
        </w:rPr>
        <w:t>Provides an annual 5 per cent tax discount capped at $1000 for individual taxpayers with business income from an unincorporated small business from 1 July 2015.</w:t>
      </w:r>
      <w:bookmarkEnd w:id="197"/>
    </w:p>
    <w:p w:rsidR="00730ADC" w:rsidRDefault="008D0950" w:rsidP="00267F37">
      <w:pPr>
        <w:pStyle w:val="Heading2"/>
        <w:ind w:left="0" w:firstLine="0"/>
      </w:pPr>
      <w:r>
        <w:br w:type="page"/>
      </w:r>
      <w:bookmarkStart w:id="198" w:name="_Toc428965531"/>
      <w:r>
        <w:lastRenderedPageBreak/>
        <w:t>Appendix</w:t>
      </w:r>
      <w:r w:rsidR="00C5340F">
        <w:t xml:space="preserve"> A – RISs used</w:t>
      </w:r>
      <w:r>
        <w:t xml:space="preserve"> for consultation</w:t>
      </w:r>
      <w:r w:rsidR="00C5340F">
        <w:t xml:space="preserve"> during 2014-2015</w:t>
      </w:r>
      <w:bookmarkEnd w:id="198"/>
    </w:p>
    <w:p w:rsidR="007B70F0" w:rsidRDefault="008D0950" w:rsidP="00B91444">
      <w:pPr>
        <w:pStyle w:val="BodyText1"/>
      </w:pPr>
      <w:r>
        <w:t>T</w:t>
      </w:r>
      <w:r w:rsidRPr="0032750F">
        <w:t xml:space="preserve">he </w:t>
      </w:r>
      <w:r>
        <w:t>RISs listed below have been</w:t>
      </w:r>
      <w:r w:rsidR="00B91444" w:rsidRPr="00B91444">
        <w:t xml:space="preserve"> </w:t>
      </w:r>
      <w:r w:rsidR="00B91444">
        <w:t>certified by the authoring agencies, subject to an early assessment by the OBPR</w:t>
      </w:r>
      <w:r>
        <w:t xml:space="preserve"> </w:t>
      </w:r>
      <w:r w:rsidR="00B91444">
        <w:t xml:space="preserve">and </w:t>
      </w:r>
      <w:r>
        <w:t>published for consultation</w:t>
      </w:r>
      <w:r w:rsidR="00B91444">
        <w:t xml:space="preserve"> during the current financial year.</w:t>
      </w:r>
      <w:r w:rsidR="00916898">
        <w:t xml:space="preserve">  </w:t>
      </w:r>
    </w:p>
    <w:p w:rsidR="008423A0" w:rsidRDefault="008423A0" w:rsidP="008423A0">
      <w:pPr>
        <w:pStyle w:val="Heading3"/>
      </w:pPr>
    </w:p>
    <w:tbl>
      <w:tblPr>
        <w:tblW w:w="9979" w:type="dxa"/>
        <w:tblInd w:w="-142" w:type="dxa"/>
        <w:tblLayout w:type="fixed"/>
        <w:tblCellMar>
          <w:left w:w="0" w:type="dxa"/>
          <w:right w:w="0" w:type="dxa"/>
        </w:tblCellMar>
        <w:tblLook w:val="0000" w:firstRow="0" w:lastRow="0" w:firstColumn="0" w:lastColumn="0" w:noHBand="0" w:noVBand="0"/>
      </w:tblPr>
      <w:tblGrid>
        <w:gridCol w:w="6379"/>
        <w:gridCol w:w="1843"/>
        <w:gridCol w:w="1757"/>
      </w:tblGrid>
      <w:tr w:rsidR="008423A0" w:rsidTr="00501051">
        <w:trPr>
          <w:tblHeader/>
        </w:trPr>
        <w:tc>
          <w:tcPr>
            <w:tcW w:w="6379" w:type="dxa"/>
            <w:shd w:val="clear" w:color="auto" w:fill="F4973F"/>
            <w:vAlign w:val="center"/>
          </w:tcPr>
          <w:p w:rsidR="008423A0" w:rsidRDefault="008423A0" w:rsidP="008423A0">
            <w:pPr>
              <w:pStyle w:val="TableParagraph"/>
              <w:kinsoku w:val="0"/>
              <w:overflowPunct w:val="0"/>
              <w:spacing w:beforeLines="60" w:before="144" w:after="60"/>
              <w:ind w:left="79"/>
              <w:rPr>
                <w:rFonts w:ascii="Arial" w:hAnsi="Arial" w:cs="Arial"/>
                <w:color w:val="FFFFFF"/>
                <w:w w:val="105"/>
                <w:sz w:val="18"/>
                <w:szCs w:val="18"/>
              </w:rPr>
            </w:pPr>
            <w:r w:rsidRPr="00C25C33">
              <w:rPr>
                <w:rFonts w:ascii="Arial" w:hAnsi="Arial" w:cs="Arial"/>
                <w:color w:val="FFFFFF"/>
                <w:w w:val="105"/>
                <w:sz w:val="18"/>
                <w:szCs w:val="18"/>
              </w:rPr>
              <w:t>Proposal</w:t>
            </w:r>
          </w:p>
        </w:tc>
        <w:tc>
          <w:tcPr>
            <w:tcW w:w="1843" w:type="dxa"/>
            <w:shd w:val="clear" w:color="auto" w:fill="F4973F"/>
            <w:vAlign w:val="center"/>
          </w:tcPr>
          <w:p w:rsidR="008423A0" w:rsidRDefault="008423A0" w:rsidP="008960F5">
            <w:pPr>
              <w:pStyle w:val="TableParagraph"/>
              <w:kinsoku w:val="0"/>
              <w:overflowPunct w:val="0"/>
              <w:spacing w:beforeLines="60" w:before="144" w:after="60"/>
              <w:jc w:val="center"/>
            </w:pPr>
            <w:r>
              <w:rPr>
                <w:rFonts w:ascii="Arial" w:hAnsi="Arial" w:cs="Arial"/>
                <w:color w:val="FFFFFF"/>
                <w:w w:val="105"/>
                <w:sz w:val="18"/>
                <w:szCs w:val="18"/>
              </w:rPr>
              <w:t>Agency</w:t>
            </w:r>
          </w:p>
        </w:tc>
        <w:tc>
          <w:tcPr>
            <w:tcW w:w="1757" w:type="dxa"/>
            <w:shd w:val="clear" w:color="auto" w:fill="F4973F"/>
            <w:vAlign w:val="center"/>
          </w:tcPr>
          <w:p w:rsidR="008423A0" w:rsidRDefault="008423A0" w:rsidP="008960F5">
            <w:pPr>
              <w:pStyle w:val="TableParagraph"/>
              <w:kinsoku w:val="0"/>
              <w:overflowPunct w:val="0"/>
              <w:spacing w:beforeLines="60" w:before="144" w:after="60"/>
              <w:jc w:val="center"/>
              <w:rPr>
                <w:rFonts w:ascii="Arial" w:hAnsi="Arial" w:cs="Arial"/>
                <w:color w:val="FFFFFF"/>
                <w:w w:val="105"/>
                <w:sz w:val="18"/>
                <w:szCs w:val="18"/>
              </w:rPr>
            </w:pPr>
            <w:r>
              <w:rPr>
                <w:rFonts w:ascii="Arial" w:hAnsi="Arial" w:cs="Arial"/>
                <w:color w:val="FFFFFF"/>
                <w:w w:val="105"/>
                <w:sz w:val="18"/>
                <w:szCs w:val="18"/>
              </w:rPr>
              <w:t>Closing date</w:t>
            </w:r>
          </w:p>
        </w:tc>
      </w:tr>
      <w:tr w:rsidR="00A825F8" w:rsidTr="00A825F8">
        <w:trPr>
          <w:trHeight w:hRule="exact" w:val="792"/>
        </w:trPr>
        <w:tc>
          <w:tcPr>
            <w:tcW w:w="6379" w:type="dxa"/>
            <w:shd w:val="clear" w:color="auto" w:fill="auto"/>
            <w:vAlign w:val="center"/>
          </w:tcPr>
          <w:p w:rsidR="00A825F8" w:rsidRPr="00A825F8" w:rsidRDefault="00A825F8" w:rsidP="00E93350">
            <w:pPr>
              <w:pStyle w:val="TableParagraph"/>
              <w:kinsoku w:val="0"/>
              <w:overflowPunct w:val="0"/>
              <w:spacing w:before="54"/>
              <w:ind w:left="170"/>
              <w:rPr>
                <w:rFonts w:ascii="Arial" w:hAnsi="Arial" w:cs="Arial"/>
                <w:spacing w:val="-3"/>
                <w:sz w:val="18"/>
                <w:szCs w:val="18"/>
              </w:rPr>
            </w:pPr>
            <w:r w:rsidRPr="00A825F8">
              <w:rPr>
                <w:rFonts w:ascii="Arial" w:hAnsi="Arial" w:cs="Arial"/>
                <w:spacing w:val="-3"/>
                <w:sz w:val="18"/>
                <w:szCs w:val="18"/>
              </w:rPr>
              <w:t>Improved Protection of Vehicle Occupants in Side Impact Crashes</w:t>
            </w:r>
          </w:p>
        </w:tc>
        <w:tc>
          <w:tcPr>
            <w:tcW w:w="1843" w:type="dxa"/>
            <w:shd w:val="clear" w:color="auto" w:fill="auto"/>
            <w:vAlign w:val="center"/>
          </w:tcPr>
          <w:p w:rsidR="00A825F8" w:rsidRDefault="00A825F8" w:rsidP="008960F5">
            <w:pPr>
              <w:pStyle w:val="TableParagraph"/>
              <w:kinsoku w:val="0"/>
              <w:overflowPunct w:val="0"/>
              <w:spacing w:before="54"/>
              <w:jc w:val="center"/>
              <w:rPr>
                <w:rFonts w:ascii="Arial" w:hAnsi="Arial" w:cs="Arial"/>
                <w:spacing w:val="-3"/>
                <w:sz w:val="18"/>
                <w:szCs w:val="18"/>
              </w:rPr>
            </w:pPr>
            <w:r w:rsidRPr="00A825F8">
              <w:rPr>
                <w:rFonts w:ascii="Arial" w:hAnsi="Arial" w:cs="Arial"/>
                <w:spacing w:val="-3"/>
                <w:sz w:val="18"/>
                <w:szCs w:val="18"/>
              </w:rPr>
              <w:t>Department of Infrastructure and Regional Development</w:t>
            </w:r>
          </w:p>
        </w:tc>
        <w:tc>
          <w:tcPr>
            <w:tcW w:w="1757" w:type="dxa"/>
            <w:vAlign w:val="center"/>
          </w:tcPr>
          <w:p w:rsidR="00A825F8" w:rsidRDefault="00A825F8" w:rsidP="008960F5">
            <w:pPr>
              <w:pStyle w:val="TableParagraph"/>
              <w:kinsoku w:val="0"/>
              <w:overflowPunct w:val="0"/>
              <w:spacing w:before="54"/>
              <w:ind w:right="227"/>
              <w:jc w:val="right"/>
              <w:rPr>
                <w:rFonts w:ascii="Arial" w:hAnsi="Arial" w:cs="Arial"/>
                <w:spacing w:val="-3"/>
                <w:sz w:val="18"/>
                <w:szCs w:val="18"/>
              </w:rPr>
            </w:pPr>
            <w:r w:rsidRPr="00A825F8">
              <w:rPr>
                <w:rFonts w:ascii="Arial" w:hAnsi="Arial" w:cs="Arial"/>
                <w:spacing w:val="-3"/>
                <w:sz w:val="18"/>
                <w:szCs w:val="18"/>
              </w:rPr>
              <w:t>31 July 2015</w:t>
            </w:r>
          </w:p>
        </w:tc>
      </w:tr>
      <w:tr w:rsidR="00A825F8" w:rsidTr="00501051">
        <w:trPr>
          <w:trHeight w:hRule="exact" w:val="525"/>
        </w:trPr>
        <w:tc>
          <w:tcPr>
            <w:tcW w:w="6379" w:type="dxa"/>
            <w:shd w:val="clear" w:color="auto" w:fill="auto"/>
            <w:vAlign w:val="center"/>
          </w:tcPr>
          <w:p w:rsidR="00A825F8" w:rsidRPr="00501051" w:rsidRDefault="00A825F8" w:rsidP="00E93350">
            <w:pPr>
              <w:pStyle w:val="TableParagraph"/>
              <w:kinsoku w:val="0"/>
              <w:overflowPunct w:val="0"/>
              <w:spacing w:before="54"/>
              <w:ind w:left="170"/>
              <w:rPr>
                <w:rFonts w:ascii="Arial" w:hAnsi="Arial" w:cs="Arial"/>
                <w:spacing w:val="-3"/>
                <w:sz w:val="18"/>
                <w:szCs w:val="18"/>
              </w:rPr>
            </w:pPr>
            <w:r w:rsidRPr="00A825F8">
              <w:rPr>
                <w:rFonts w:ascii="Arial" w:hAnsi="Arial" w:cs="Arial"/>
                <w:spacing w:val="-3"/>
                <w:sz w:val="18"/>
                <w:szCs w:val="18"/>
              </w:rPr>
              <w:t>Child Care Assistance Package</w:t>
            </w:r>
          </w:p>
        </w:tc>
        <w:tc>
          <w:tcPr>
            <w:tcW w:w="1843" w:type="dxa"/>
            <w:shd w:val="clear" w:color="auto" w:fill="auto"/>
            <w:vAlign w:val="center"/>
          </w:tcPr>
          <w:p w:rsidR="00A825F8" w:rsidRDefault="00A825F8" w:rsidP="008960F5">
            <w:pPr>
              <w:pStyle w:val="TableParagraph"/>
              <w:kinsoku w:val="0"/>
              <w:overflowPunct w:val="0"/>
              <w:spacing w:before="54"/>
              <w:jc w:val="center"/>
              <w:rPr>
                <w:rFonts w:ascii="Arial" w:hAnsi="Arial" w:cs="Arial"/>
                <w:spacing w:val="-3"/>
                <w:sz w:val="18"/>
                <w:szCs w:val="18"/>
              </w:rPr>
            </w:pPr>
            <w:r w:rsidRPr="00A825F8">
              <w:rPr>
                <w:rFonts w:ascii="Arial" w:hAnsi="Arial" w:cs="Arial"/>
                <w:spacing w:val="-3"/>
                <w:sz w:val="18"/>
                <w:szCs w:val="18"/>
              </w:rPr>
              <w:t>Department of Social Services</w:t>
            </w:r>
          </w:p>
        </w:tc>
        <w:tc>
          <w:tcPr>
            <w:tcW w:w="1757" w:type="dxa"/>
            <w:vAlign w:val="center"/>
          </w:tcPr>
          <w:p w:rsidR="00A825F8" w:rsidRDefault="00A825F8" w:rsidP="008960F5">
            <w:pPr>
              <w:pStyle w:val="TableParagraph"/>
              <w:kinsoku w:val="0"/>
              <w:overflowPunct w:val="0"/>
              <w:spacing w:before="54"/>
              <w:ind w:right="227"/>
              <w:jc w:val="right"/>
              <w:rPr>
                <w:rFonts w:ascii="Arial" w:hAnsi="Arial" w:cs="Arial"/>
                <w:spacing w:val="-3"/>
                <w:sz w:val="18"/>
                <w:szCs w:val="18"/>
              </w:rPr>
            </w:pPr>
            <w:r w:rsidRPr="00A825F8">
              <w:rPr>
                <w:rFonts w:ascii="Arial" w:hAnsi="Arial" w:cs="Arial"/>
                <w:spacing w:val="-3"/>
                <w:sz w:val="18"/>
                <w:szCs w:val="18"/>
              </w:rPr>
              <w:t>31 July 2015</w:t>
            </w:r>
          </w:p>
        </w:tc>
      </w:tr>
      <w:tr w:rsidR="00501051" w:rsidTr="00501051">
        <w:trPr>
          <w:trHeight w:hRule="exact" w:val="525"/>
        </w:trPr>
        <w:tc>
          <w:tcPr>
            <w:tcW w:w="6379" w:type="dxa"/>
            <w:shd w:val="clear" w:color="auto" w:fill="auto"/>
            <w:vAlign w:val="center"/>
          </w:tcPr>
          <w:p w:rsidR="00501051" w:rsidRPr="008423A0" w:rsidRDefault="00501051" w:rsidP="00E93350">
            <w:pPr>
              <w:pStyle w:val="TableParagraph"/>
              <w:kinsoku w:val="0"/>
              <w:overflowPunct w:val="0"/>
              <w:spacing w:before="54"/>
              <w:ind w:left="170"/>
              <w:rPr>
                <w:rFonts w:ascii="Arial" w:hAnsi="Arial" w:cs="Arial"/>
                <w:spacing w:val="-3"/>
                <w:sz w:val="18"/>
                <w:szCs w:val="18"/>
              </w:rPr>
            </w:pPr>
            <w:r w:rsidRPr="00501051">
              <w:rPr>
                <w:rFonts w:ascii="Arial" w:hAnsi="Arial" w:cs="Arial"/>
                <w:spacing w:val="-3"/>
                <w:sz w:val="18"/>
                <w:szCs w:val="18"/>
              </w:rPr>
              <w:t>Improving Medicare funded diagnostic imaging services</w:t>
            </w:r>
          </w:p>
        </w:tc>
        <w:tc>
          <w:tcPr>
            <w:tcW w:w="1843" w:type="dxa"/>
            <w:shd w:val="clear" w:color="auto" w:fill="auto"/>
            <w:vAlign w:val="center"/>
          </w:tcPr>
          <w:p w:rsidR="00501051" w:rsidRDefault="00501051"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Department of Health</w:t>
            </w:r>
          </w:p>
        </w:tc>
        <w:tc>
          <w:tcPr>
            <w:tcW w:w="1757" w:type="dxa"/>
            <w:vAlign w:val="center"/>
          </w:tcPr>
          <w:p w:rsidR="00501051" w:rsidRDefault="00501051"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 xml:space="preserve">25 June 2015 </w:t>
            </w:r>
          </w:p>
        </w:tc>
      </w:tr>
      <w:tr w:rsidR="008423A0" w:rsidTr="00501051">
        <w:trPr>
          <w:trHeight w:hRule="exact" w:val="525"/>
        </w:trPr>
        <w:tc>
          <w:tcPr>
            <w:tcW w:w="6379" w:type="dxa"/>
            <w:shd w:val="clear" w:color="auto" w:fill="auto"/>
            <w:vAlign w:val="center"/>
          </w:tcPr>
          <w:p w:rsidR="008423A0" w:rsidRDefault="008423A0" w:rsidP="008423A0">
            <w:pPr>
              <w:pStyle w:val="TableParagraph"/>
              <w:kinsoku w:val="0"/>
              <w:overflowPunct w:val="0"/>
              <w:spacing w:before="54"/>
              <w:ind w:left="170"/>
              <w:rPr>
                <w:rFonts w:ascii="Arial" w:hAnsi="Arial" w:cs="Arial"/>
                <w:spacing w:val="-3"/>
                <w:sz w:val="18"/>
                <w:szCs w:val="18"/>
              </w:rPr>
            </w:pPr>
            <w:r w:rsidRPr="008423A0">
              <w:rPr>
                <w:rFonts w:ascii="Arial" w:hAnsi="Arial" w:cs="Arial"/>
                <w:spacing w:val="-3"/>
                <w:sz w:val="18"/>
                <w:szCs w:val="18"/>
              </w:rPr>
              <w:t>Superstream: Pass Through of Employee Details</w:t>
            </w:r>
          </w:p>
        </w:tc>
        <w:tc>
          <w:tcPr>
            <w:tcW w:w="1843" w:type="dxa"/>
            <w:shd w:val="clear" w:color="auto" w:fill="auto"/>
            <w:vAlign w:val="center"/>
          </w:tcPr>
          <w:p w:rsidR="008423A0" w:rsidRDefault="008423A0"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Treasury</w:t>
            </w:r>
          </w:p>
        </w:tc>
        <w:tc>
          <w:tcPr>
            <w:tcW w:w="1757" w:type="dxa"/>
            <w:vAlign w:val="center"/>
          </w:tcPr>
          <w:p w:rsidR="008423A0" w:rsidRDefault="008423A0"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 Sep 2014</w:t>
            </w:r>
          </w:p>
        </w:tc>
      </w:tr>
      <w:tr w:rsidR="008423A0" w:rsidTr="00501051">
        <w:trPr>
          <w:trHeight w:hRule="exact" w:val="525"/>
        </w:trPr>
        <w:tc>
          <w:tcPr>
            <w:tcW w:w="6379" w:type="dxa"/>
            <w:shd w:val="clear" w:color="auto" w:fill="auto"/>
            <w:vAlign w:val="center"/>
          </w:tcPr>
          <w:p w:rsidR="008423A0" w:rsidRPr="00D330AB" w:rsidRDefault="008423A0" w:rsidP="008423A0">
            <w:pPr>
              <w:pStyle w:val="TableParagraph"/>
              <w:kinsoku w:val="0"/>
              <w:overflowPunct w:val="0"/>
              <w:spacing w:before="54"/>
              <w:ind w:left="170"/>
              <w:rPr>
                <w:rFonts w:ascii="Arial" w:hAnsi="Arial" w:cs="Arial"/>
                <w:spacing w:val="-3"/>
                <w:sz w:val="18"/>
                <w:szCs w:val="18"/>
              </w:rPr>
            </w:pPr>
            <w:r w:rsidRPr="008423A0">
              <w:rPr>
                <w:rFonts w:ascii="Arial" w:hAnsi="Arial" w:cs="Arial"/>
                <w:spacing w:val="-3"/>
                <w:sz w:val="18"/>
                <w:szCs w:val="18"/>
              </w:rPr>
              <w:t>Grocery Code of Conduct</w:t>
            </w:r>
          </w:p>
        </w:tc>
        <w:tc>
          <w:tcPr>
            <w:tcW w:w="1843" w:type="dxa"/>
            <w:shd w:val="clear" w:color="auto" w:fill="auto"/>
            <w:vAlign w:val="center"/>
          </w:tcPr>
          <w:p w:rsidR="008423A0" w:rsidRDefault="008423A0"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Treasury</w:t>
            </w:r>
          </w:p>
        </w:tc>
        <w:tc>
          <w:tcPr>
            <w:tcW w:w="1757" w:type="dxa"/>
            <w:vAlign w:val="center"/>
          </w:tcPr>
          <w:p w:rsidR="008423A0" w:rsidRDefault="008423A0"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12 Sep 2014</w:t>
            </w:r>
          </w:p>
        </w:tc>
      </w:tr>
      <w:tr w:rsidR="00C5340F" w:rsidTr="00501051">
        <w:trPr>
          <w:trHeight w:hRule="exact" w:val="525"/>
        </w:trPr>
        <w:tc>
          <w:tcPr>
            <w:tcW w:w="6379" w:type="dxa"/>
            <w:shd w:val="clear" w:color="auto" w:fill="auto"/>
            <w:vAlign w:val="center"/>
          </w:tcPr>
          <w:p w:rsidR="00C5340F" w:rsidRPr="008423A0" w:rsidRDefault="00C5340F" w:rsidP="008423A0">
            <w:pPr>
              <w:pStyle w:val="TableParagraph"/>
              <w:kinsoku w:val="0"/>
              <w:overflowPunct w:val="0"/>
              <w:spacing w:before="54"/>
              <w:ind w:left="170"/>
              <w:rPr>
                <w:rFonts w:ascii="Arial" w:hAnsi="Arial" w:cs="Arial"/>
                <w:spacing w:val="-3"/>
                <w:sz w:val="18"/>
                <w:szCs w:val="18"/>
              </w:rPr>
            </w:pPr>
            <w:r w:rsidRPr="00C5340F">
              <w:rPr>
                <w:rFonts w:ascii="Arial" w:hAnsi="Arial" w:cs="Arial"/>
                <w:spacing w:val="-3"/>
                <w:sz w:val="18"/>
                <w:szCs w:val="18"/>
              </w:rPr>
              <w:t>R</w:t>
            </w:r>
            <w:r w:rsidR="00CA0132">
              <w:rPr>
                <w:rFonts w:ascii="Arial" w:hAnsi="Arial" w:cs="Arial"/>
                <w:spacing w:val="-3"/>
                <w:sz w:val="18"/>
                <w:szCs w:val="18"/>
              </w:rPr>
              <w:t xml:space="preserve">educing the Regulation of Stock Food and </w:t>
            </w:r>
            <w:r w:rsidRPr="00C5340F">
              <w:rPr>
                <w:rFonts w:ascii="Arial" w:hAnsi="Arial" w:cs="Arial"/>
                <w:spacing w:val="-3"/>
                <w:sz w:val="18"/>
                <w:szCs w:val="18"/>
              </w:rPr>
              <w:t>Pet Food</w:t>
            </w:r>
          </w:p>
        </w:tc>
        <w:tc>
          <w:tcPr>
            <w:tcW w:w="1843" w:type="dxa"/>
            <w:shd w:val="clear" w:color="auto" w:fill="auto"/>
            <w:vAlign w:val="center"/>
          </w:tcPr>
          <w:p w:rsidR="00C5340F" w:rsidRDefault="00C5340F" w:rsidP="008960F5">
            <w:pPr>
              <w:pStyle w:val="TableParagraph"/>
              <w:kinsoku w:val="0"/>
              <w:overflowPunct w:val="0"/>
              <w:spacing w:before="54"/>
              <w:jc w:val="center"/>
              <w:rPr>
                <w:rFonts w:ascii="Arial" w:hAnsi="Arial" w:cs="Arial"/>
                <w:spacing w:val="-3"/>
                <w:sz w:val="18"/>
                <w:szCs w:val="18"/>
              </w:rPr>
            </w:pPr>
            <w:r w:rsidRPr="00C5340F">
              <w:rPr>
                <w:rFonts w:ascii="Arial" w:hAnsi="Arial" w:cs="Arial"/>
                <w:spacing w:val="-3"/>
                <w:sz w:val="18"/>
                <w:szCs w:val="18"/>
              </w:rPr>
              <w:t>Department of Agriculture</w:t>
            </w:r>
          </w:p>
        </w:tc>
        <w:tc>
          <w:tcPr>
            <w:tcW w:w="1757" w:type="dxa"/>
            <w:vAlign w:val="center"/>
          </w:tcPr>
          <w:p w:rsidR="00C5340F" w:rsidRDefault="00C5340F" w:rsidP="008960F5">
            <w:pPr>
              <w:pStyle w:val="TableParagraph"/>
              <w:kinsoku w:val="0"/>
              <w:overflowPunct w:val="0"/>
              <w:spacing w:before="54"/>
              <w:ind w:right="227"/>
              <w:jc w:val="right"/>
              <w:rPr>
                <w:rFonts w:ascii="Arial" w:hAnsi="Arial" w:cs="Arial"/>
                <w:spacing w:val="-3"/>
                <w:sz w:val="18"/>
                <w:szCs w:val="18"/>
              </w:rPr>
            </w:pPr>
            <w:r w:rsidRPr="00C5340F">
              <w:rPr>
                <w:rFonts w:ascii="Arial" w:hAnsi="Arial" w:cs="Arial"/>
                <w:spacing w:val="-3"/>
                <w:sz w:val="18"/>
                <w:szCs w:val="18"/>
              </w:rPr>
              <w:t>7 Nov 2014</w:t>
            </w:r>
          </w:p>
        </w:tc>
      </w:tr>
      <w:tr w:rsidR="00207CBE" w:rsidTr="00501051">
        <w:trPr>
          <w:trHeight w:hRule="exact" w:val="647"/>
        </w:trPr>
        <w:tc>
          <w:tcPr>
            <w:tcW w:w="6379" w:type="dxa"/>
            <w:shd w:val="clear" w:color="auto" w:fill="auto"/>
            <w:vAlign w:val="center"/>
          </w:tcPr>
          <w:p w:rsidR="00207CBE" w:rsidRDefault="00207CBE" w:rsidP="008423A0">
            <w:pPr>
              <w:pStyle w:val="TableParagraph"/>
              <w:kinsoku w:val="0"/>
              <w:overflowPunct w:val="0"/>
              <w:spacing w:before="54"/>
              <w:ind w:left="170"/>
              <w:rPr>
                <w:rFonts w:ascii="Arial" w:hAnsi="Arial" w:cs="Arial"/>
                <w:spacing w:val="-3"/>
                <w:sz w:val="18"/>
                <w:szCs w:val="18"/>
              </w:rPr>
            </w:pPr>
            <w:r w:rsidRPr="00207CBE">
              <w:rPr>
                <w:rFonts w:ascii="Arial" w:hAnsi="Arial" w:cs="Arial"/>
                <w:spacing w:val="-3"/>
                <w:sz w:val="18"/>
                <w:szCs w:val="18"/>
              </w:rPr>
              <w:t>Proposed Changes to the Annual Compliance Report</w:t>
            </w:r>
          </w:p>
        </w:tc>
        <w:tc>
          <w:tcPr>
            <w:tcW w:w="1843" w:type="dxa"/>
            <w:shd w:val="clear" w:color="auto" w:fill="auto"/>
            <w:vAlign w:val="center"/>
          </w:tcPr>
          <w:p w:rsidR="00207CBE" w:rsidRDefault="00207CBE" w:rsidP="008960F5">
            <w:pPr>
              <w:pStyle w:val="TableParagraph"/>
              <w:kinsoku w:val="0"/>
              <w:overflowPunct w:val="0"/>
              <w:spacing w:before="54"/>
              <w:jc w:val="center"/>
              <w:rPr>
                <w:rFonts w:ascii="Arial" w:hAnsi="Arial" w:cs="Arial"/>
                <w:spacing w:val="-3"/>
                <w:sz w:val="18"/>
                <w:szCs w:val="18"/>
              </w:rPr>
            </w:pPr>
            <w:r w:rsidRPr="00207CBE">
              <w:rPr>
                <w:rFonts w:ascii="Arial" w:hAnsi="Arial" w:cs="Arial"/>
                <w:spacing w:val="-3"/>
                <w:sz w:val="18"/>
                <w:szCs w:val="18"/>
              </w:rPr>
              <w:t>Australian Transactions Reports and Analysis Centre</w:t>
            </w:r>
          </w:p>
        </w:tc>
        <w:tc>
          <w:tcPr>
            <w:tcW w:w="1757" w:type="dxa"/>
            <w:vAlign w:val="center"/>
          </w:tcPr>
          <w:p w:rsidR="00207CBE" w:rsidRDefault="00207CBE" w:rsidP="008960F5">
            <w:pPr>
              <w:pStyle w:val="TableParagraph"/>
              <w:kinsoku w:val="0"/>
              <w:overflowPunct w:val="0"/>
              <w:spacing w:before="54"/>
              <w:ind w:right="227"/>
              <w:jc w:val="right"/>
              <w:rPr>
                <w:rFonts w:ascii="Arial" w:hAnsi="Arial" w:cs="Arial"/>
                <w:spacing w:val="-3"/>
                <w:sz w:val="18"/>
                <w:szCs w:val="18"/>
              </w:rPr>
            </w:pPr>
            <w:r w:rsidRPr="00207CBE">
              <w:rPr>
                <w:rFonts w:ascii="Arial" w:hAnsi="Arial" w:cs="Arial"/>
                <w:spacing w:val="-3"/>
                <w:sz w:val="18"/>
                <w:szCs w:val="18"/>
              </w:rPr>
              <w:t>2</w:t>
            </w:r>
            <w:r>
              <w:rPr>
                <w:rFonts w:ascii="Arial" w:hAnsi="Arial" w:cs="Arial"/>
                <w:spacing w:val="-3"/>
                <w:sz w:val="18"/>
                <w:szCs w:val="18"/>
              </w:rPr>
              <w:t>8</w:t>
            </w:r>
            <w:r w:rsidRPr="00207CBE">
              <w:rPr>
                <w:rFonts w:ascii="Arial" w:hAnsi="Arial" w:cs="Arial"/>
                <w:spacing w:val="-3"/>
                <w:sz w:val="18"/>
                <w:szCs w:val="18"/>
              </w:rPr>
              <w:t xml:space="preserve"> Nov 2014</w:t>
            </w:r>
          </w:p>
        </w:tc>
      </w:tr>
      <w:tr w:rsidR="00607A02" w:rsidTr="00501051">
        <w:trPr>
          <w:trHeight w:hRule="exact" w:val="525"/>
        </w:trPr>
        <w:tc>
          <w:tcPr>
            <w:tcW w:w="6379" w:type="dxa"/>
            <w:shd w:val="clear" w:color="auto" w:fill="auto"/>
            <w:vAlign w:val="center"/>
          </w:tcPr>
          <w:p w:rsidR="00607A02" w:rsidRDefault="00607A02" w:rsidP="008423A0">
            <w:pPr>
              <w:pStyle w:val="TableParagraph"/>
              <w:kinsoku w:val="0"/>
              <w:overflowPunct w:val="0"/>
              <w:spacing w:before="54"/>
              <w:ind w:left="170"/>
              <w:rPr>
                <w:rFonts w:ascii="Arial" w:hAnsi="Arial" w:cs="Arial"/>
                <w:spacing w:val="-3"/>
                <w:sz w:val="18"/>
                <w:szCs w:val="18"/>
              </w:rPr>
            </w:pPr>
            <w:r w:rsidRPr="00607A02">
              <w:rPr>
                <w:rFonts w:ascii="Arial" w:hAnsi="Arial" w:cs="Arial"/>
                <w:spacing w:val="-3"/>
                <w:sz w:val="18"/>
                <w:szCs w:val="18"/>
              </w:rPr>
              <w:t>Employee Share Schemes and Start-ups</w:t>
            </w:r>
          </w:p>
        </w:tc>
        <w:tc>
          <w:tcPr>
            <w:tcW w:w="1843" w:type="dxa"/>
            <w:shd w:val="clear" w:color="auto" w:fill="auto"/>
            <w:vAlign w:val="center"/>
          </w:tcPr>
          <w:p w:rsidR="00607A02" w:rsidRDefault="00607A02" w:rsidP="008960F5">
            <w:pPr>
              <w:pStyle w:val="TableParagraph"/>
              <w:kinsoku w:val="0"/>
              <w:overflowPunct w:val="0"/>
              <w:spacing w:before="54"/>
              <w:jc w:val="center"/>
              <w:rPr>
                <w:rFonts w:ascii="Arial" w:hAnsi="Arial" w:cs="Arial"/>
                <w:spacing w:val="-3"/>
                <w:sz w:val="18"/>
                <w:szCs w:val="18"/>
              </w:rPr>
            </w:pPr>
            <w:r w:rsidRPr="00607A02">
              <w:rPr>
                <w:rFonts w:ascii="Arial" w:hAnsi="Arial" w:cs="Arial"/>
                <w:spacing w:val="-3"/>
                <w:sz w:val="18"/>
                <w:szCs w:val="18"/>
              </w:rPr>
              <w:t>Treasury</w:t>
            </w:r>
          </w:p>
        </w:tc>
        <w:tc>
          <w:tcPr>
            <w:tcW w:w="1757" w:type="dxa"/>
            <w:vAlign w:val="center"/>
          </w:tcPr>
          <w:p w:rsidR="00607A02" w:rsidRDefault="00607A02" w:rsidP="008960F5">
            <w:pPr>
              <w:pStyle w:val="TableParagraph"/>
              <w:kinsoku w:val="0"/>
              <w:overflowPunct w:val="0"/>
              <w:spacing w:before="54"/>
              <w:ind w:right="227"/>
              <w:jc w:val="right"/>
              <w:rPr>
                <w:rFonts w:ascii="Arial" w:hAnsi="Arial" w:cs="Arial"/>
                <w:spacing w:val="-3"/>
                <w:sz w:val="18"/>
                <w:szCs w:val="18"/>
              </w:rPr>
            </w:pPr>
            <w:r w:rsidRPr="00607A02">
              <w:rPr>
                <w:rFonts w:ascii="Arial" w:hAnsi="Arial" w:cs="Arial"/>
                <w:spacing w:val="-3"/>
                <w:sz w:val="18"/>
                <w:szCs w:val="18"/>
              </w:rPr>
              <w:t>6 Feb 2014</w:t>
            </w:r>
          </w:p>
        </w:tc>
      </w:tr>
      <w:tr w:rsidR="004D5D32" w:rsidTr="00501051">
        <w:trPr>
          <w:trHeight w:hRule="exact" w:val="775"/>
        </w:trPr>
        <w:tc>
          <w:tcPr>
            <w:tcW w:w="6379" w:type="dxa"/>
            <w:shd w:val="clear" w:color="auto" w:fill="auto"/>
            <w:vAlign w:val="center"/>
          </w:tcPr>
          <w:p w:rsidR="004D5D32" w:rsidRDefault="004D5D32" w:rsidP="008423A0">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 xml:space="preserve">International Standards and Risk Assessments </w:t>
            </w:r>
          </w:p>
        </w:tc>
        <w:tc>
          <w:tcPr>
            <w:tcW w:w="1843" w:type="dxa"/>
            <w:shd w:val="clear" w:color="auto" w:fill="auto"/>
            <w:vAlign w:val="center"/>
          </w:tcPr>
          <w:p w:rsidR="004D5D32" w:rsidRPr="00831AA6" w:rsidRDefault="004D5D32"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 xml:space="preserve">Department of Prime Minister and Cabinet </w:t>
            </w:r>
          </w:p>
        </w:tc>
        <w:tc>
          <w:tcPr>
            <w:tcW w:w="1757" w:type="dxa"/>
            <w:vAlign w:val="center"/>
          </w:tcPr>
          <w:p w:rsidR="004D5D32" w:rsidRDefault="003842A7"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Ongoing</w:t>
            </w:r>
          </w:p>
        </w:tc>
      </w:tr>
      <w:tr w:rsidR="003842A7" w:rsidTr="00501051">
        <w:trPr>
          <w:trHeight w:hRule="exact" w:val="775"/>
        </w:trPr>
        <w:tc>
          <w:tcPr>
            <w:tcW w:w="6379" w:type="dxa"/>
            <w:shd w:val="clear" w:color="auto" w:fill="auto"/>
            <w:vAlign w:val="center"/>
          </w:tcPr>
          <w:p w:rsidR="003842A7" w:rsidRDefault="003842A7" w:rsidP="008423A0">
            <w:pPr>
              <w:pStyle w:val="TableParagraph"/>
              <w:kinsoku w:val="0"/>
              <w:overflowPunct w:val="0"/>
              <w:spacing w:before="54"/>
              <w:ind w:left="170"/>
              <w:rPr>
                <w:rFonts w:ascii="Arial" w:hAnsi="Arial" w:cs="Arial"/>
                <w:spacing w:val="-3"/>
                <w:sz w:val="18"/>
                <w:szCs w:val="18"/>
              </w:rPr>
            </w:pPr>
            <w:r>
              <w:rPr>
                <w:rFonts w:ascii="Arial" w:hAnsi="Arial" w:cs="Arial"/>
                <w:spacing w:val="-3"/>
                <w:sz w:val="18"/>
                <w:szCs w:val="18"/>
              </w:rPr>
              <w:t>Section 457 Visa Reforms</w:t>
            </w:r>
          </w:p>
        </w:tc>
        <w:tc>
          <w:tcPr>
            <w:tcW w:w="1843" w:type="dxa"/>
            <w:shd w:val="clear" w:color="auto" w:fill="auto"/>
            <w:vAlign w:val="center"/>
          </w:tcPr>
          <w:p w:rsidR="003842A7" w:rsidRDefault="003842A7" w:rsidP="008960F5">
            <w:pPr>
              <w:pStyle w:val="TableParagraph"/>
              <w:kinsoku w:val="0"/>
              <w:overflowPunct w:val="0"/>
              <w:spacing w:before="54"/>
              <w:jc w:val="center"/>
              <w:rPr>
                <w:rFonts w:ascii="Arial" w:hAnsi="Arial" w:cs="Arial"/>
                <w:spacing w:val="-3"/>
                <w:sz w:val="18"/>
                <w:szCs w:val="18"/>
              </w:rPr>
            </w:pPr>
            <w:r>
              <w:rPr>
                <w:rFonts w:ascii="Arial" w:hAnsi="Arial" w:cs="Arial"/>
                <w:spacing w:val="-3"/>
                <w:sz w:val="18"/>
                <w:szCs w:val="18"/>
              </w:rPr>
              <w:t>Depa</w:t>
            </w:r>
            <w:r w:rsidR="005240FE">
              <w:rPr>
                <w:rFonts w:ascii="Arial" w:hAnsi="Arial" w:cs="Arial"/>
                <w:spacing w:val="-3"/>
                <w:sz w:val="18"/>
                <w:szCs w:val="18"/>
              </w:rPr>
              <w:t>rtment of Immigration</w:t>
            </w:r>
            <w:r w:rsidR="00D94949">
              <w:rPr>
                <w:rFonts w:ascii="Arial" w:hAnsi="Arial" w:cs="Arial"/>
                <w:spacing w:val="-3"/>
                <w:sz w:val="18"/>
                <w:szCs w:val="18"/>
              </w:rPr>
              <w:t xml:space="preserve"> and Border Protection</w:t>
            </w:r>
          </w:p>
        </w:tc>
        <w:tc>
          <w:tcPr>
            <w:tcW w:w="1757" w:type="dxa"/>
            <w:vAlign w:val="center"/>
          </w:tcPr>
          <w:p w:rsidR="003842A7" w:rsidRDefault="00173B8C" w:rsidP="008960F5">
            <w:pPr>
              <w:pStyle w:val="TableParagraph"/>
              <w:kinsoku w:val="0"/>
              <w:overflowPunct w:val="0"/>
              <w:spacing w:before="54"/>
              <w:ind w:right="227"/>
              <w:jc w:val="right"/>
              <w:rPr>
                <w:rFonts w:ascii="Arial" w:hAnsi="Arial" w:cs="Arial"/>
                <w:spacing w:val="-3"/>
                <w:sz w:val="18"/>
                <w:szCs w:val="18"/>
              </w:rPr>
            </w:pPr>
            <w:r>
              <w:rPr>
                <w:rFonts w:ascii="Arial" w:hAnsi="Arial" w:cs="Arial"/>
                <w:spacing w:val="-3"/>
                <w:sz w:val="18"/>
                <w:szCs w:val="18"/>
              </w:rPr>
              <w:t>NA</w:t>
            </w:r>
          </w:p>
        </w:tc>
      </w:tr>
    </w:tbl>
    <w:p w:rsidR="0025152E" w:rsidRDefault="0025152E" w:rsidP="00501051">
      <w:pPr>
        <w:rPr>
          <w:b/>
        </w:rPr>
      </w:pPr>
    </w:p>
    <w:p w:rsidR="00A825F8" w:rsidRDefault="00A825F8" w:rsidP="00A825F8">
      <w:pPr>
        <w:pStyle w:val="BodyText1"/>
      </w:pPr>
      <w:r w:rsidRPr="00CB01D0">
        <w:rPr>
          <w:b/>
        </w:rPr>
        <w:t>Improved Protection of Vehicle Occupants in Side Impact Crashes</w:t>
      </w:r>
      <w:r>
        <w:t xml:space="preserve"> (</w:t>
      </w:r>
      <w:r w:rsidRPr="00F628E0">
        <w:rPr>
          <w:i/>
        </w:rPr>
        <w:t>Department of Infrastructure and Regional Development</w:t>
      </w:r>
      <w:r>
        <w:t>)</w:t>
      </w:r>
    </w:p>
    <w:p w:rsidR="00A825F8" w:rsidRDefault="00A825F8" w:rsidP="00A825F8">
      <w:pPr>
        <w:pStyle w:val="BodyText1"/>
      </w:pPr>
      <w:r w:rsidRPr="00EB3FE5">
        <w:t xml:space="preserve">Side impact crashes are one of the largest causes of road crash trauma in Australia. Side impact crashes with narrow objects such as poles and trees (referred to as pole side impacts) can be particularly dangerous because the point of impact is often very close to the vehicle occupant(s). </w:t>
      </w:r>
      <w:r>
        <w:t xml:space="preserve"> </w:t>
      </w:r>
    </w:p>
    <w:p w:rsidR="00A825F8" w:rsidRDefault="00A825F8" w:rsidP="00A825F8">
      <w:pPr>
        <w:pStyle w:val="BodyText1"/>
      </w:pPr>
      <w:r>
        <w:t>The proposal aims to improve the safety of vehicle occupants by regulating the pole side impact performance of light passenger vehicles and light commercial vehicles through the Australian Design Rules.</w:t>
      </w:r>
    </w:p>
    <w:p w:rsidR="00A825F8" w:rsidRPr="00CB01D0" w:rsidRDefault="00A825F8" w:rsidP="00A825F8">
      <w:pPr>
        <w:pStyle w:val="BodyText1"/>
      </w:pPr>
      <w:r w:rsidRPr="00CB01D0">
        <w:t>The proposal has been assessed by the Office of Best Practice Regulation (OBPR) as likely to have a measurable but contained impact on the economy.</w:t>
      </w:r>
    </w:p>
    <w:p w:rsidR="00A825F8" w:rsidRDefault="00A825F8" w:rsidP="00A825F8">
      <w:pPr>
        <w:pStyle w:val="BodyText1"/>
      </w:pPr>
      <w:r>
        <w:t>Published: 19 June 2015</w:t>
      </w:r>
    </w:p>
    <w:p w:rsidR="006673F8" w:rsidRDefault="006673F8" w:rsidP="00A825F8">
      <w:pPr>
        <w:rPr>
          <w:b/>
        </w:rPr>
      </w:pPr>
    </w:p>
    <w:p w:rsidR="00A825F8" w:rsidRPr="00F42D6C" w:rsidRDefault="00A825F8" w:rsidP="00A825F8">
      <w:r w:rsidRPr="00F42D6C">
        <w:rPr>
          <w:b/>
        </w:rPr>
        <w:lastRenderedPageBreak/>
        <w:t>Child Care Assistance Package</w:t>
      </w:r>
      <w:r w:rsidRPr="00F42D6C">
        <w:t xml:space="preserve"> (</w:t>
      </w:r>
      <w:r w:rsidRPr="00F42D6C">
        <w:rPr>
          <w:i/>
        </w:rPr>
        <w:t>Department of Social Services</w:t>
      </w:r>
      <w:r w:rsidRPr="00F42D6C">
        <w:t>)</w:t>
      </w:r>
    </w:p>
    <w:p w:rsidR="00A825F8" w:rsidRPr="00F42D6C" w:rsidRDefault="00A825F8" w:rsidP="00A825F8">
      <w:r w:rsidRPr="00F42D6C">
        <w:t>The proposal considers new child care subsidy and assistance arrangements. The proposal includes the introduction of smart technology to ensure better monitoring of the system, more efficient payment processes, and reduced red tape for both families and service providers.</w:t>
      </w:r>
    </w:p>
    <w:p w:rsidR="00A825F8" w:rsidRPr="00A825F8" w:rsidRDefault="00A825F8" w:rsidP="00501051">
      <w:r w:rsidRPr="00F42D6C">
        <w:t xml:space="preserve">Published: </w:t>
      </w:r>
      <w:r>
        <w:t>29 June 2015</w:t>
      </w:r>
    </w:p>
    <w:p w:rsidR="00501051" w:rsidRPr="008C1566" w:rsidRDefault="00501051" w:rsidP="00501051">
      <w:r w:rsidRPr="008C1566">
        <w:rPr>
          <w:b/>
        </w:rPr>
        <w:t>Improving Medicare funded diagnostic imaging services</w:t>
      </w:r>
      <w:r w:rsidRPr="008C1566">
        <w:t xml:space="preserve"> (</w:t>
      </w:r>
      <w:r w:rsidRPr="008C1566">
        <w:rPr>
          <w:i/>
        </w:rPr>
        <w:t>Department of Health</w:t>
      </w:r>
      <w:r w:rsidRPr="008C1566">
        <w:t>)</w:t>
      </w:r>
    </w:p>
    <w:p w:rsidR="00501051" w:rsidRPr="008C1566" w:rsidRDefault="00501051" w:rsidP="00501051">
      <w:r w:rsidRPr="008C1566">
        <w:t>The proposal seeks to strengthen regulatory and accreditation requirements for Medicare-funded diagnostic imaging services to improve quality and safety. More rigorous supervision requirements, among other changes, are proposed to reduce inappropriate, unnecessary and poor quality diagnostic imaging services.</w:t>
      </w:r>
    </w:p>
    <w:p w:rsidR="00501051" w:rsidRPr="008C1566" w:rsidRDefault="00501051" w:rsidP="00501051">
      <w:r w:rsidRPr="008C1566">
        <w:t>Published: 14 May 2015</w:t>
      </w:r>
    </w:p>
    <w:p w:rsidR="008D0950" w:rsidRDefault="00B91444" w:rsidP="008D0950">
      <w:pPr>
        <w:pStyle w:val="BodyText1"/>
      </w:pPr>
      <w:r w:rsidRPr="00B91444">
        <w:rPr>
          <w:b/>
        </w:rPr>
        <w:t>Superstream: Pass Through of Employee Details</w:t>
      </w:r>
      <w:r w:rsidR="008D0950">
        <w:t xml:space="preserve"> (</w:t>
      </w:r>
      <w:r>
        <w:rPr>
          <w:i/>
        </w:rPr>
        <w:t>Treasury</w:t>
      </w:r>
      <w:r w:rsidR="008D0950">
        <w:t>)</w:t>
      </w:r>
    </w:p>
    <w:p w:rsidR="00B91444" w:rsidRDefault="00B91444" w:rsidP="008D0950">
      <w:pPr>
        <w:pStyle w:val="BodyText1"/>
      </w:pPr>
      <w:r w:rsidRPr="00B91444">
        <w:t>The proposed regulation would require any superannuation fund that receives data relating to a contribution being made to another fund to on-forw</w:t>
      </w:r>
      <w:r>
        <w:t>ard that data to the other fund.</w:t>
      </w:r>
    </w:p>
    <w:p w:rsidR="008D0950" w:rsidRDefault="008D0950" w:rsidP="008D0950">
      <w:pPr>
        <w:pStyle w:val="BodyText1"/>
      </w:pPr>
      <w:r>
        <w:t xml:space="preserve">Published: </w:t>
      </w:r>
      <w:r w:rsidR="00B91444">
        <w:t>1 August 2014</w:t>
      </w:r>
    </w:p>
    <w:p w:rsidR="008D0950" w:rsidRDefault="00B91444" w:rsidP="008D0950">
      <w:pPr>
        <w:pStyle w:val="BodyText1"/>
      </w:pPr>
      <w:r w:rsidRPr="00B91444">
        <w:rPr>
          <w:b/>
        </w:rPr>
        <w:t>Grocery Code of Conduct</w:t>
      </w:r>
      <w:r w:rsidR="008D0950">
        <w:t xml:space="preserve"> (</w:t>
      </w:r>
      <w:r>
        <w:rPr>
          <w:i/>
        </w:rPr>
        <w:t>Treasury</w:t>
      </w:r>
      <w:r w:rsidR="008D0950">
        <w:t>)</w:t>
      </w:r>
    </w:p>
    <w:p w:rsidR="00B91444" w:rsidRDefault="00B91444" w:rsidP="008D0950">
      <w:pPr>
        <w:pStyle w:val="BodyText1"/>
      </w:pPr>
      <w:r>
        <w:t xml:space="preserve">The proposal considers </w:t>
      </w:r>
      <w:r w:rsidRPr="00B91444">
        <w:t>whether the activities of the major supermarket chains are harming Australian suppliers.</w:t>
      </w:r>
      <w:r>
        <w:t xml:space="preserve"> The proposal examines whether there is an imbalance </w:t>
      </w:r>
      <w:r w:rsidRPr="00B91444">
        <w:t xml:space="preserve">in bargaining power between supermarkets and suppliers </w:t>
      </w:r>
      <w:r>
        <w:t xml:space="preserve">that result in </w:t>
      </w:r>
      <w:r w:rsidRPr="00B91444">
        <w:t xml:space="preserve">contractual arrangements </w:t>
      </w:r>
      <w:r>
        <w:t xml:space="preserve">significantly different to </w:t>
      </w:r>
      <w:r w:rsidRPr="00B91444">
        <w:t xml:space="preserve">what </w:t>
      </w:r>
      <w:r>
        <w:t>c</w:t>
      </w:r>
      <w:r w:rsidRPr="00B91444">
        <w:t>ould be realised in a competitive market.</w:t>
      </w:r>
    </w:p>
    <w:p w:rsidR="00B91444" w:rsidRDefault="00B91444" w:rsidP="008D0950">
      <w:pPr>
        <w:pStyle w:val="BodyText1"/>
      </w:pPr>
      <w:r>
        <w:t xml:space="preserve">One option discussed in-depth is </w:t>
      </w:r>
      <w:r w:rsidRPr="00B91444">
        <w:t xml:space="preserve">an ‘opt-in prescribed’ code of conduct that makes certain elements of their contractual undertakings with suppliers transparent, and regulates </w:t>
      </w:r>
      <w:r>
        <w:t xml:space="preserve">whether </w:t>
      </w:r>
      <w:r w:rsidRPr="00B91444">
        <w:t>certain things that can be contracted.</w:t>
      </w:r>
      <w:r>
        <w:t xml:space="preserve"> </w:t>
      </w:r>
    </w:p>
    <w:p w:rsidR="008D0950" w:rsidRDefault="008D0950" w:rsidP="008D0950">
      <w:pPr>
        <w:pStyle w:val="BodyText1"/>
      </w:pPr>
      <w:r>
        <w:t xml:space="preserve">Published: </w:t>
      </w:r>
      <w:r w:rsidR="00B91444">
        <w:t>6 August 2014</w:t>
      </w:r>
    </w:p>
    <w:p w:rsidR="00916898" w:rsidRDefault="00916898" w:rsidP="00916898">
      <w:pPr>
        <w:pStyle w:val="BodyText1"/>
      </w:pPr>
      <w:r>
        <w:rPr>
          <w:b/>
        </w:rPr>
        <w:t>Reducing the Regulation of Stock Food and Pet Food</w:t>
      </w:r>
      <w:r>
        <w:t xml:space="preserve"> (</w:t>
      </w:r>
      <w:r>
        <w:rPr>
          <w:i/>
        </w:rPr>
        <w:t>Department of Agriculture</w:t>
      </w:r>
      <w:r>
        <w:t>)</w:t>
      </w:r>
    </w:p>
    <w:p w:rsidR="00916898" w:rsidRDefault="00916898" w:rsidP="00916898">
      <w:pPr>
        <w:pStyle w:val="BodyText1"/>
      </w:pPr>
      <w:r>
        <w:t>The Australian Pesticides and Veterinary Medicines Authority regulate supply aspects of foods for livestock, pets, working animals, show animals and for any product that meets the definition of a Veterinary Chemical Product.</w:t>
      </w:r>
      <w:r w:rsidRPr="0063795B">
        <w:t xml:space="preserve"> </w:t>
      </w:r>
      <w:r>
        <w:t>The proposal discusses the case for reform to achieve greater alignment of regulatory effort and burden associated with stock foods given the risks posed by these products.</w:t>
      </w:r>
    </w:p>
    <w:p w:rsidR="00916898" w:rsidRDefault="00916898" w:rsidP="008D0950">
      <w:pPr>
        <w:pStyle w:val="BodyText1"/>
      </w:pPr>
      <w:r>
        <w:t>Published: 9 October 2014</w:t>
      </w:r>
    </w:p>
    <w:p w:rsidR="0039776F" w:rsidRDefault="0039776F" w:rsidP="0039776F">
      <w:pPr>
        <w:pStyle w:val="BodyText1"/>
      </w:pPr>
      <w:r>
        <w:rPr>
          <w:b/>
        </w:rPr>
        <w:t>Proposed Changes to Annual Compliance Report</w:t>
      </w:r>
      <w:r>
        <w:t xml:space="preserve"> (</w:t>
      </w:r>
      <w:r>
        <w:rPr>
          <w:i/>
        </w:rPr>
        <w:t>Department of Attorney General – Australian Transactions Reports and Analysis Centre</w:t>
      </w:r>
      <w:r>
        <w:t>)</w:t>
      </w:r>
    </w:p>
    <w:p w:rsidR="0039776F" w:rsidRDefault="0039776F" w:rsidP="0039776F">
      <w:pPr>
        <w:pStyle w:val="BodyText1"/>
      </w:pPr>
      <w:r>
        <w:t>The proposal outlines changes to the annual compliance report to ensure that the report remains relevant to the appropriate stakeholders. The proposal advocates that the current re</w:t>
      </w:r>
      <w:r w:rsidR="0038500F">
        <w:t>port should be replaced with an</w:t>
      </w:r>
      <w:r>
        <w:t xml:space="preserve"> enhanced compliance report and an</w:t>
      </w:r>
      <w:r w:rsidR="0038500F">
        <w:t xml:space="preserve"> annual return. This </w:t>
      </w:r>
      <w:r w:rsidR="0038500F">
        <w:lastRenderedPageBreak/>
        <w:t>will allow</w:t>
      </w:r>
      <w:r>
        <w:t xml:space="preserve"> businesses to provide more relevant information whilst at the same time reducing regulatory burden. </w:t>
      </w:r>
    </w:p>
    <w:p w:rsidR="0051077D" w:rsidRDefault="0039776F" w:rsidP="008D0950">
      <w:pPr>
        <w:pStyle w:val="BodyText1"/>
      </w:pPr>
      <w:r>
        <w:t>Published: 2 October 2014</w:t>
      </w:r>
    </w:p>
    <w:p w:rsidR="00607A02" w:rsidRDefault="00607A02" w:rsidP="00607A02">
      <w:pPr>
        <w:pStyle w:val="BodyText1"/>
      </w:pPr>
      <w:r>
        <w:rPr>
          <w:b/>
        </w:rPr>
        <w:t>Employee Share Schemes and Start-ups</w:t>
      </w:r>
      <w:r>
        <w:t xml:space="preserve"> (</w:t>
      </w:r>
      <w:r>
        <w:rPr>
          <w:i/>
        </w:rPr>
        <w:t>Treasury</w:t>
      </w:r>
      <w:r>
        <w:t>)</w:t>
      </w:r>
    </w:p>
    <w:p w:rsidR="00607A02" w:rsidRDefault="00DE634E" w:rsidP="00607A02">
      <w:pPr>
        <w:pStyle w:val="BodyText1"/>
      </w:pPr>
      <w:r>
        <w:t xml:space="preserve">The proposal outlines possible </w:t>
      </w:r>
      <w:r w:rsidR="00607A02">
        <w:t>improve</w:t>
      </w:r>
      <w:r>
        <w:t>ments to the</w:t>
      </w:r>
      <w:r w:rsidR="00607A02">
        <w:t xml:space="preserve"> taxation arrangements for Em</w:t>
      </w:r>
      <w:r>
        <w:t>ployee Share Schemes</w:t>
      </w:r>
      <w:r w:rsidR="00607A02">
        <w:t xml:space="preserve">. </w:t>
      </w:r>
      <w:r w:rsidRPr="00DE634E">
        <w:rPr>
          <w:rFonts w:cs="Arial"/>
          <w:color w:val="000000"/>
          <w:szCs w:val="22"/>
        </w:rPr>
        <w:t>The proposal considers changing the taxation point for options in employee share schemes and allowing start-ups to offer options and shares at a small discount that will generally be exempt from up-front taxation.</w:t>
      </w:r>
    </w:p>
    <w:p w:rsidR="00607A02" w:rsidRDefault="00A222C1" w:rsidP="00607A02">
      <w:pPr>
        <w:pStyle w:val="BodyText1"/>
      </w:pPr>
      <w:r>
        <w:t>Published: 14 October</w:t>
      </w:r>
      <w:r w:rsidR="00607A02">
        <w:t xml:space="preserve"> 2014 </w:t>
      </w:r>
    </w:p>
    <w:bookmarkEnd w:id="154"/>
    <w:p w:rsidR="00AA3C82" w:rsidRDefault="004004A1" w:rsidP="00AA3C82">
      <w:pPr>
        <w:pStyle w:val="BodyText1"/>
      </w:pPr>
      <w:r>
        <w:rPr>
          <w:b/>
        </w:rPr>
        <w:t>International Standards and Risk Assessments</w:t>
      </w:r>
      <w:r w:rsidR="00AA3C82">
        <w:t xml:space="preserve"> (</w:t>
      </w:r>
      <w:r w:rsidR="00AA3C82">
        <w:rPr>
          <w:i/>
        </w:rPr>
        <w:t>Department of Prime Minister and Cabinet</w:t>
      </w:r>
      <w:r w:rsidR="00AA3C82">
        <w:t>)</w:t>
      </w:r>
    </w:p>
    <w:p w:rsidR="00AA3C82" w:rsidRDefault="00A21412" w:rsidP="00AA3C82">
      <w:pPr>
        <w:pStyle w:val="BodyText1"/>
      </w:pPr>
      <w:r>
        <w:t>The proposal</w:t>
      </w:r>
      <w:r w:rsidR="004004A1">
        <w:t xml:space="preserve"> seeks to strengthen Australia’s competitiveness specifically targeting job creation and higher livi</w:t>
      </w:r>
      <w:r>
        <w:t>ng standards. This will build on</w:t>
      </w:r>
      <w:r w:rsidR="004004A1">
        <w:t xml:space="preserve"> the Government’s deregulation agen</w:t>
      </w:r>
      <w:r w:rsidR="0063795B">
        <w:t>da by</w:t>
      </w:r>
      <w:r w:rsidR="004004A1">
        <w:t xml:space="preserve"> not imposing any additional requirements under international regulation unless there is </w:t>
      </w:r>
      <w:r>
        <w:t xml:space="preserve">a </w:t>
      </w:r>
      <w:r w:rsidR="004004A1">
        <w:t xml:space="preserve">good reason to do so. </w:t>
      </w:r>
    </w:p>
    <w:p w:rsidR="00AA3C82" w:rsidRDefault="00AA3C82" w:rsidP="00AA3C82">
      <w:pPr>
        <w:pStyle w:val="BodyText1"/>
      </w:pPr>
      <w:r>
        <w:t>Publis</w:t>
      </w:r>
      <w:r w:rsidR="004004A1">
        <w:t>hed: 14 October 2014</w:t>
      </w:r>
    </w:p>
    <w:p w:rsidR="00AA3C82" w:rsidRDefault="00AA3C82" w:rsidP="00AA3C82">
      <w:pPr>
        <w:pStyle w:val="BodyText1"/>
      </w:pPr>
      <w:r>
        <w:t>Closing date for submissions:</w:t>
      </w:r>
      <w:r w:rsidR="00F119C0">
        <w:t xml:space="preserve"> Submissions take</w:t>
      </w:r>
      <w:r w:rsidR="00DD13E7">
        <w:t>n</w:t>
      </w:r>
      <w:r w:rsidR="00F119C0">
        <w:t xml:space="preserve"> on th</w:t>
      </w:r>
      <w:r w:rsidR="008A40B3">
        <w:t>e “Cutting the Red Tape” Website</w:t>
      </w:r>
    </w:p>
    <w:p w:rsidR="00F96E4B" w:rsidRDefault="00F96E4B" w:rsidP="00F96E4B">
      <w:pPr>
        <w:pStyle w:val="BodyText1"/>
      </w:pPr>
      <w:r>
        <w:rPr>
          <w:b/>
        </w:rPr>
        <w:t>Section 457 Visa Reforms</w:t>
      </w:r>
      <w:r>
        <w:t xml:space="preserve"> (</w:t>
      </w:r>
      <w:r>
        <w:rPr>
          <w:i/>
        </w:rPr>
        <w:t>Department of Immigration</w:t>
      </w:r>
      <w:r w:rsidR="00D94949">
        <w:rPr>
          <w:i/>
        </w:rPr>
        <w:t xml:space="preserve"> and Border Protection</w:t>
      </w:r>
      <w:r>
        <w:t>)</w:t>
      </w:r>
    </w:p>
    <w:p w:rsidR="0025152E" w:rsidRDefault="00F96E4B" w:rsidP="00F96E4B">
      <w:pPr>
        <w:pStyle w:val="BodyText1"/>
      </w:pPr>
      <w:r>
        <w:t xml:space="preserve">The proposal is regarding a temporary programme aimed at meeting skills shortages. It allows businesses to address labour shortages by sponsoring genuinely skilled overseas workers. </w:t>
      </w:r>
    </w:p>
    <w:p w:rsidR="00F96E4B" w:rsidRDefault="00F96E4B" w:rsidP="00F96E4B">
      <w:pPr>
        <w:pStyle w:val="BodyText1"/>
      </w:pPr>
      <w:r>
        <w:t>Published: 14 October 2014</w:t>
      </w:r>
    </w:p>
    <w:p w:rsidR="00F96E4B" w:rsidRDefault="00F96E4B" w:rsidP="00AA3C82">
      <w:pPr>
        <w:pStyle w:val="BodyText1"/>
      </w:pPr>
    </w:p>
    <w:p w:rsidR="00907F71" w:rsidRDefault="00907F71" w:rsidP="00B91444">
      <w:pPr>
        <w:pStyle w:val="BodyText1"/>
      </w:pPr>
    </w:p>
    <w:p w:rsidR="004A54EB" w:rsidRDefault="004A54EB" w:rsidP="008D0950">
      <w:pPr>
        <w:pStyle w:val="BodyText1"/>
      </w:pPr>
    </w:p>
    <w:p w:rsidR="00C5340F" w:rsidRDefault="00C5340F" w:rsidP="008D0950">
      <w:pPr>
        <w:pStyle w:val="BodyText1"/>
      </w:pPr>
    </w:p>
    <w:p w:rsidR="00C5340F" w:rsidRDefault="00C5340F" w:rsidP="008D0950">
      <w:pPr>
        <w:pStyle w:val="BodyText1"/>
      </w:pPr>
    </w:p>
    <w:p w:rsidR="00BC037A" w:rsidRPr="00A73144" w:rsidRDefault="00BC037A" w:rsidP="00A73144">
      <w:pPr>
        <w:pStyle w:val="BodyText1"/>
      </w:pPr>
    </w:p>
    <w:p w:rsidR="00C626D9" w:rsidRPr="008C1566" w:rsidRDefault="00603958" w:rsidP="00603958">
      <w:pPr>
        <w:pStyle w:val="Heading2"/>
        <w:ind w:left="0" w:firstLine="0"/>
        <w:rPr>
          <w:b w:val="0"/>
        </w:rPr>
      </w:pPr>
      <w:r w:rsidRPr="008C1566">
        <w:rPr>
          <w:b w:val="0"/>
        </w:rPr>
        <w:t xml:space="preserve"> </w:t>
      </w:r>
    </w:p>
    <w:p w:rsidR="00C626D9" w:rsidRPr="00C5340F" w:rsidRDefault="00C626D9" w:rsidP="008D0950">
      <w:pPr>
        <w:pStyle w:val="BodyText1"/>
      </w:pPr>
    </w:p>
    <w:sectPr w:rsidR="00C626D9" w:rsidRPr="00C5340F" w:rsidSect="004210FB">
      <w:headerReference w:type="even" r:id="rId14"/>
      <w:headerReference w:type="default" r:id="rId15"/>
      <w:footerReference w:type="even" r:id="rId16"/>
      <w:footerReference w:type="default" r:id="rId17"/>
      <w:headerReference w:type="first" r:id="rId18"/>
      <w:footerReference w:type="first" r:id="rId19"/>
      <w:type w:val="continuous"/>
      <w:pgSz w:w="11900" w:h="16840" w:code="9"/>
      <w:pgMar w:top="1956" w:right="1418" w:bottom="1701" w:left="1418" w:header="510" w:footer="0"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D13" w:rsidRDefault="00680D13" w:rsidP="003B52FC">
      <w:r>
        <w:separator/>
      </w:r>
    </w:p>
  </w:endnote>
  <w:endnote w:type="continuationSeparator" w:id="0">
    <w:p w:rsidR="00680D13" w:rsidRDefault="00680D13" w:rsidP="003B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otham Rounded Book">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TheSansSemiBold-Plain">
    <w:altName w:val="Arial"/>
    <w:panose1 w:val="00000000000000000000"/>
    <w:charset w:val="00"/>
    <w:family w:val="swiss"/>
    <w:notTrueType/>
    <w:pitch w:val="variable"/>
    <w:sig w:usb0="00000001" w:usb1="00000000" w:usb2="00000000" w:usb3="00000000" w:csb0="00000009" w:csb1="00000000"/>
  </w:font>
  <w:font w:name="Interstate-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Bold">
    <w:panose1 w:val="020B07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972" w:rsidRDefault="00B109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A33" w:rsidRDefault="00152A33" w:rsidP="00C86A41">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974AA8">
      <w:rPr>
        <w:rFonts w:cs="Arial"/>
        <w:noProof/>
        <w:color w:val="808080"/>
        <w:sz w:val="16"/>
        <w:szCs w:val="16"/>
      </w:rPr>
      <w:t>2</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974AA8">
      <w:rPr>
        <w:rFonts w:cs="Arial"/>
        <w:noProof/>
        <w:color w:val="808080"/>
        <w:sz w:val="16"/>
        <w:szCs w:val="16"/>
      </w:rPr>
      <w:t>24</w:t>
    </w:r>
    <w:r w:rsidRPr="00C86A41">
      <w:rPr>
        <w:rFonts w:cs="Arial"/>
        <w:color w:val="808080"/>
        <w:sz w:val="16"/>
        <w:szCs w:val="16"/>
      </w:rPr>
      <w:fldChar w:fldCharType="end"/>
    </w:r>
  </w:p>
  <w:p w:rsidR="00152A33" w:rsidRDefault="00152A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A33" w:rsidRDefault="00152A33" w:rsidP="00A373F3">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F46DEB">
      <w:rPr>
        <w:rFonts w:cs="Arial"/>
        <w:noProof/>
        <w:color w:val="808080"/>
        <w:sz w:val="16"/>
        <w:szCs w:val="16"/>
      </w:rPr>
      <w:t>1</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F46DEB">
      <w:rPr>
        <w:rFonts w:cs="Arial"/>
        <w:noProof/>
        <w:color w:val="808080"/>
        <w:sz w:val="16"/>
        <w:szCs w:val="16"/>
      </w:rPr>
      <w:t>24</w:t>
    </w:r>
    <w:r w:rsidRPr="00C86A41">
      <w:rPr>
        <w:rFonts w:cs="Arial"/>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D13" w:rsidRDefault="00680D13" w:rsidP="003B52FC"/>
  </w:footnote>
  <w:footnote w:type="continuationSeparator" w:id="0">
    <w:p w:rsidR="00680D13" w:rsidRDefault="00680D13" w:rsidP="003B52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972" w:rsidRDefault="00B109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A33" w:rsidRPr="008A1645" w:rsidRDefault="00CA4B1F" w:rsidP="008A1645">
    <w:pPr>
      <w:pStyle w:val="Header"/>
    </w:pPr>
    <w:r>
      <w:rPr>
        <w:noProof/>
        <w:lang w:eastAsia="en-AU"/>
      </w:rPr>
      <w:drawing>
        <wp:inline distT="0" distB="0" distL="0" distR="0">
          <wp:extent cx="6905625" cy="436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5625" cy="43688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A33" w:rsidRDefault="00CA4B1F" w:rsidP="00D95828">
    <w:pPr>
      <w:pStyle w:val="Header"/>
      <w:tabs>
        <w:tab w:val="clear" w:pos="4680"/>
        <w:tab w:val="clear" w:pos="9360"/>
        <w:tab w:val="left" w:pos="8102"/>
        <w:tab w:val="right" w:pos="9064"/>
      </w:tabs>
    </w:pPr>
    <w:r>
      <w:rPr>
        <w:noProof/>
        <w:lang w:eastAsia="en-AU"/>
      </w:rPr>
      <w:drawing>
        <wp:anchor distT="0" distB="0" distL="114300" distR="114300" simplePos="0" relativeHeight="251657728" behindDoc="1" locked="0" layoutInCell="1" allowOverlap="1">
          <wp:simplePos x="0" y="0"/>
          <wp:positionH relativeFrom="column">
            <wp:posOffset>-908050</wp:posOffset>
          </wp:positionH>
          <wp:positionV relativeFrom="paragraph">
            <wp:posOffset>-442595</wp:posOffset>
          </wp:positionV>
          <wp:extent cx="7560310" cy="1645285"/>
          <wp:effectExtent l="0" t="0" r="0" b="0"/>
          <wp:wrapNone/>
          <wp:docPr id="2" name="Picture 13" descr="g_server:WORK IN PROGRESS:14010 PM&amp;C Best Practice Regulation Report 2012-13:Word templates:cover.pd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g_server:WORK IN PROGRESS:14010 PM&amp;C Best Practice Regulation Report 2012-13:Word templates:cover.pdf"/>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60310" cy="16452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8EC9C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A186FB8E"/>
    <w:lvl w:ilvl="0">
      <w:start w:val="1"/>
      <w:numFmt w:val="decimal"/>
      <w:pStyle w:val="ListNumber"/>
      <w:lvlText w:val="%1."/>
      <w:lvlJc w:val="left"/>
      <w:pPr>
        <w:tabs>
          <w:tab w:val="num" w:pos="360"/>
        </w:tabs>
        <w:ind w:left="360" w:hanging="360"/>
      </w:pPr>
    </w:lvl>
  </w:abstractNum>
  <w:abstractNum w:abstractNumId="2">
    <w:nsid w:val="FFFFFF89"/>
    <w:multiLevelType w:val="singleLevel"/>
    <w:tmpl w:val="E3722D7E"/>
    <w:lvl w:ilvl="0">
      <w:start w:val="1"/>
      <w:numFmt w:val="bullet"/>
      <w:lvlText w:val=""/>
      <w:lvlJc w:val="left"/>
      <w:pPr>
        <w:ind w:left="360" w:hanging="360"/>
      </w:pPr>
      <w:rPr>
        <w:rFonts w:ascii="Symbol" w:hAnsi="Symbol" w:hint="default"/>
        <w:color w:val="14708E"/>
      </w:rPr>
    </w:lvl>
  </w:abstractNum>
  <w:abstractNum w:abstractNumId="3">
    <w:nsid w:val="00D04AC9"/>
    <w:multiLevelType w:val="hybridMultilevel"/>
    <w:tmpl w:val="90DCC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013048DF"/>
    <w:multiLevelType w:val="hybridMultilevel"/>
    <w:tmpl w:val="BD26DBF0"/>
    <w:lvl w:ilvl="0" w:tplc="8A9AC692">
      <w:numFmt w:val="bullet"/>
      <w:lvlText w:val="-"/>
      <w:lvlJc w:val="left"/>
      <w:pPr>
        <w:ind w:left="720" w:hanging="360"/>
      </w:pPr>
      <w:rPr>
        <w:rFonts w:ascii="Calibri" w:eastAsia="Cambria"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7242F55"/>
    <w:multiLevelType w:val="hybridMultilevel"/>
    <w:tmpl w:val="286635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F52470"/>
    <w:multiLevelType w:val="hybridMultilevel"/>
    <w:tmpl w:val="0882CC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A8A0836"/>
    <w:multiLevelType w:val="hybridMultilevel"/>
    <w:tmpl w:val="7FF45B4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0D6C2D64"/>
    <w:multiLevelType w:val="hybridMultilevel"/>
    <w:tmpl w:val="5B983AE0"/>
    <w:lvl w:ilvl="0" w:tplc="DAC0ADA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9410C09"/>
    <w:multiLevelType w:val="hybridMultilevel"/>
    <w:tmpl w:val="28CED3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1B606A51"/>
    <w:multiLevelType w:val="hybridMultilevel"/>
    <w:tmpl w:val="AC1C6272"/>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1DC83FB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2DA2EF1"/>
    <w:multiLevelType w:val="singleLevel"/>
    <w:tmpl w:val="DEA86906"/>
    <w:lvl w:ilvl="0">
      <w:start w:val="1"/>
      <w:numFmt w:val="bullet"/>
      <w:pStyle w:val="Tablebullets1stindent"/>
      <w:lvlText w:val=""/>
      <w:lvlJc w:val="left"/>
      <w:pPr>
        <w:ind w:left="644" w:hanging="360"/>
      </w:pPr>
      <w:rPr>
        <w:rFonts w:ascii="Symbol" w:hAnsi="Symbol" w:hint="default"/>
        <w:color w:val="F79646"/>
      </w:rPr>
    </w:lvl>
  </w:abstractNum>
  <w:abstractNum w:abstractNumId="14">
    <w:nsid w:val="2340781B"/>
    <w:multiLevelType w:val="hybridMultilevel"/>
    <w:tmpl w:val="726AC41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294214C9"/>
    <w:multiLevelType w:val="multilevel"/>
    <w:tmpl w:val="47504E52"/>
    <w:styleLink w:val="Bullets"/>
    <w:lvl w:ilvl="0">
      <w:start w:val="1"/>
      <w:numFmt w:val="bullet"/>
      <w:lvlText w:val=""/>
      <w:lvlJc w:val="left"/>
      <w:pPr>
        <w:ind w:left="360" w:hanging="360"/>
      </w:pPr>
      <w:rPr>
        <w:rFonts w:ascii="Symbol" w:hAnsi="Symbol" w:hint="default"/>
        <w:color w:val="E36C0A"/>
      </w:rPr>
    </w:lvl>
    <w:lvl w:ilvl="1">
      <w:start w:val="1"/>
      <w:numFmt w:val="bullet"/>
      <w:lvlText w:val=""/>
      <w:lvlJc w:val="left"/>
      <w:pPr>
        <w:tabs>
          <w:tab w:val="num" w:pos="567"/>
        </w:tabs>
        <w:ind w:left="567" w:hanging="283"/>
      </w:pPr>
      <w:rPr>
        <w:rFonts w:ascii="Symbol" w:hAnsi="Symbol" w:hint="default"/>
        <w:color w:val="0D6F8B"/>
      </w:rPr>
    </w:lvl>
    <w:lvl w:ilvl="2">
      <w:start w:val="1"/>
      <w:numFmt w:val="bullet"/>
      <w:lvlText w:val="•"/>
      <w:lvlJc w:val="left"/>
      <w:pPr>
        <w:tabs>
          <w:tab w:val="num" w:pos="284"/>
        </w:tabs>
        <w:ind w:left="284" w:hanging="284"/>
      </w:pPr>
      <w:rPr>
        <w:rFonts w:ascii="Cambria" w:hAnsi="Cambria" w:hint="default"/>
        <w:color w:val="45C7ED"/>
      </w:rPr>
    </w:lvl>
    <w:lvl w:ilvl="3">
      <w:start w:val="1"/>
      <w:numFmt w:val="bullet"/>
      <w:lvlText w:val="•"/>
      <w:lvlJc w:val="left"/>
      <w:pPr>
        <w:tabs>
          <w:tab w:val="num" w:pos="567"/>
        </w:tabs>
        <w:ind w:left="567" w:hanging="283"/>
      </w:pPr>
      <w:rPr>
        <w:rFonts w:ascii="Cambria" w:hAnsi="Cambria" w:hint="default"/>
        <w:color w:val="45C7ED"/>
      </w:rPr>
    </w:lvl>
    <w:lvl w:ilvl="4">
      <w:start w:val="1"/>
      <w:numFmt w:val="none"/>
      <w:lvlText w:val=""/>
      <w:lvlJc w:val="left"/>
      <w:pPr>
        <w:ind w:left="0" w:firstLine="0"/>
      </w:pPr>
      <w:rPr>
        <w:rFonts w:hint="default"/>
      </w:rPr>
    </w:lvl>
    <w:lvl w:ilvl="5">
      <w:start w:val="1"/>
      <w:numFmt w:val="bullet"/>
      <w:lvlText w:val="•"/>
      <w:lvlJc w:val="left"/>
      <w:pPr>
        <w:tabs>
          <w:tab w:val="num" w:pos="266"/>
        </w:tabs>
        <w:ind w:left="266" w:hanging="170"/>
      </w:pPr>
      <w:rPr>
        <w:rFonts w:ascii="Cambria" w:hAnsi="Cambria" w:hint="default"/>
        <w:color w:val="45C7ED"/>
      </w:rPr>
    </w:lvl>
    <w:lvl w:ilvl="6">
      <w:start w:val="1"/>
      <w:numFmt w:val="bullet"/>
      <w:lvlText w:val="•"/>
      <w:lvlJc w:val="left"/>
      <w:pPr>
        <w:tabs>
          <w:tab w:val="num" w:pos="437"/>
        </w:tabs>
        <w:ind w:left="437" w:hanging="171"/>
      </w:pPr>
      <w:rPr>
        <w:rFonts w:ascii="Cambria" w:hAnsi="Cambria" w:hint="default"/>
        <w:color w:val="45C7ED"/>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6">
    <w:nsid w:val="31275190"/>
    <w:multiLevelType w:val="hybridMultilevel"/>
    <w:tmpl w:val="AE06C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7AA32B9"/>
    <w:multiLevelType w:val="hybridMultilevel"/>
    <w:tmpl w:val="4C4099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39610248"/>
    <w:multiLevelType w:val="hybridMultilevel"/>
    <w:tmpl w:val="D2E0898C"/>
    <w:lvl w:ilvl="0" w:tplc="0E9A8272">
      <w:start w:val="1"/>
      <w:numFmt w:val="bullet"/>
      <w:pStyle w:val="ListBullet"/>
      <w:lvlText w:val=""/>
      <w:lvlJc w:val="left"/>
      <w:pPr>
        <w:ind w:left="360" w:hanging="360"/>
      </w:pPr>
      <w:rPr>
        <w:rFonts w:ascii="Symbol" w:hAnsi="Symbol" w:hint="default"/>
        <w:color w:val="F7964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5F4DEC"/>
    <w:multiLevelType w:val="hybridMultilevel"/>
    <w:tmpl w:val="3794B07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475E1D6E"/>
    <w:multiLevelType w:val="multilevel"/>
    <w:tmpl w:val="D52A2368"/>
    <w:lvl w:ilvl="0">
      <w:start w:val="1"/>
      <w:numFmt w:val="bullet"/>
      <w:lvlText w:val="•"/>
      <w:lvlJc w:val="left"/>
      <w:pPr>
        <w:ind w:left="360" w:hanging="360"/>
      </w:pPr>
      <w:rPr>
        <w:rFonts w:ascii="Cambria" w:hAnsi="Cambria" w:hint="default"/>
        <w:color w:val="45C7ED"/>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21">
    <w:nsid w:val="4F1523F7"/>
    <w:multiLevelType w:val="multilevel"/>
    <w:tmpl w:val="6BC6F2D0"/>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22">
    <w:nsid w:val="612D3CAE"/>
    <w:multiLevelType w:val="hybridMultilevel"/>
    <w:tmpl w:val="6F743EA6"/>
    <w:lvl w:ilvl="0" w:tplc="0C090019">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nsid w:val="63E45D09"/>
    <w:multiLevelType w:val="hybridMultilevel"/>
    <w:tmpl w:val="14685D3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BC66B1B"/>
    <w:multiLevelType w:val="hybridMultilevel"/>
    <w:tmpl w:val="791E0EC8"/>
    <w:lvl w:ilvl="0" w:tplc="86CA608C">
      <w:start w:val="1"/>
      <w:numFmt w:val="bullet"/>
      <w:lvlText w:val=""/>
      <w:lvlJc w:val="left"/>
      <w:pPr>
        <w:ind w:left="360" w:hanging="360"/>
      </w:pPr>
      <w:rPr>
        <w:rFonts w:ascii="Symbol" w:hAnsi="Symbol" w:hint="default"/>
      </w:rPr>
    </w:lvl>
    <w:lvl w:ilvl="1" w:tplc="60702C44" w:tentative="1">
      <w:start w:val="1"/>
      <w:numFmt w:val="bullet"/>
      <w:lvlText w:val="o"/>
      <w:lvlJc w:val="left"/>
      <w:pPr>
        <w:ind w:left="1080" w:hanging="360"/>
      </w:pPr>
      <w:rPr>
        <w:rFonts w:ascii="Courier New" w:hAnsi="Courier New" w:cs="Courier New" w:hint="default"/>
      </w:rPr>
    </w:lvl>
    <w:lvl w:ilvl="2" w:tplc="AB44D55E" w:tentative="1">
      <w:start w:val="1"/>
      <w:numFmt w:val="bullet"/>
      <w:lvlText w:val=""/>
      <w:lvlJc w:val="left"/>
      <w:pPr>
        <w:ind w:left="1800" w:hanging="360"/>
      </w:pPr>
      <w:rPr>
        <w:rFonts w:ascii="Wingdings" w:hAnsi="Wingdings" w:hint="default"/>
      </w:rPr>
    </w:lvl>
    <w:lvl w:ilvl="3" w:tplc="27568406" w:tentative="1">
      <w:start w:val="1"/>
      <w:numFmt w:val="bullet"/>
      <w:lvlText w:val=""/>
      <w:lvlJc w:val="left"/>
      <w:pPr>
        <w:ind w:left="2520" w:hanging="360"/>
      </w:pPr>
      <w:rPr>
        <w:rFonts w:ascii="Symbol" w:hAnsi="Symbol" w:hint="default"/>
      </w:rPr>
    </w:lvl>
    <w:lvl w:ilvl="4" w:tplc="6A887900" w:tentative="1">
      <w:start w:val="1"/>
      <w:numFmt w:val="bullet"/>
      <w:lvlText w:val="o"/>
      <w:lvlJc w:val="left"/>
      <w:pPr>
        <w:ind w:left="3240" w:hanging="360"/>
      </w:pPr>
      <w:rPr>
        <w:rFonts w:ascii="Courier New" w:hAnsi="Courier New" w:cs="Courier New" w:hint="default"/>
      </w:rPr>
    </w:lvl>
    <w:lvl w:ilvl="5" w:tplc="5C56B852" w:tentative="1">
      <w:start w:val="1"/>
      <w:numFmt w:val="bullet"/>
      <w:lvlText w:val=""/>
      <w:lvlJc w:val="left"/>
      <w:pPr>
        <w:ind w:left="3960" w:hanging="360"/>
      </w:pPr>
      <w:rPr>
        <w:rFonts w:ascii="Wingdings" w:hAnsi="Wingdings" w:hint="default"/>
      </w:rPr>
    </w:lvl>
    <w:lvl w:ilvl="6" w:tplc="9A8675E4" w:tentative="1">
      <w:start w:val="1"/>
      <w:numFmt w:val="bullet"/>
      <w:lvlText w:val=""/>
      <w:lvlJc w:val="left"/>
      <w:pPr>
        <w:ind w:left="4680" w:hanging="360"/>
      </w:pPr>
      <w:rPr>
        <w:rFonts w:ascii="Symbol" w:hAnsi="Symbol" w:hint="default"/>
      </w:rPr>
    </w:lvl>
    <w:lvl w:ilvl="7" w:tplc="16CABE5E" w:tentative="1">
      <w:start w:val="1"/>
      <w:numFmt w:val="bullet"/>
      <w:lvlText w:val="o"/>
      <w:lvlJc w:val="left"/>
      <w:pPr>
        <w:ind w:left="5400" w:hanging="360"/>
      </w:pPr>
      <w:rPr>
        <w:rFonts w:ascii="Courier New" w:hAnsi="Courier New" w:cs="Courier New" w:hint="default"/>
      </w:rPr>
    </w:lvl>
    <w:lvl w:ilvl="8" w:tplc="A6F0BD08" w:tentative="1">
      <w:start w:val="1"/>
      <w:numFmt w:val="bullet"/>
      <w:lvlText w:val=""/>
      <w:lvlJc w:val="left"/>
      <w:pPr>
        <w:ind w:left="6120" w:hanging="360"/>
      </w:pPr>
      <w:rPr>
        <w:rFonts w:ascii="Wingdings" w:hAnsi="Wingdings" w:hint="default"/>
      </w:rPr>
    </w:lvl>
  </w:abstractNum>
  <w:abstractNum w:abstractNumId="25">
    <w:nsid w:val="70107864"/>
    <w:multiLevelType w:val="hybridMultilevel"/>
    <w:tmpl w:val="4A5AC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72D11BEF"/>
    <w:multiLevelType w:val="hybridMultilevel"/>
    <w:tmpl w:val="A94C45EC"/>
    <w:lvl w:ilvl="0" w:tplc="0C090001">
      <w:start w:val="1"/>
      <w:numFmt w:val="decimal"/>
      <w:pStyle w:val="Chapternumber"/>
      <w:lvlText w:val="%1"/>
      <w:lvlJc w:val="left"/>
      <w:pPr>
        <w:ind w:left="360" w:hanging="360"/>
      </w:pPr>
      <w:rPr>
        <w:rFonts w:hint="default"/>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27">
    <w:nsid w:val="74D55861"/>
    <w:multiLevelType w:val="hybridMultilevel"/>
    <w:tmpl w:val="103AECF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7A561065"/>
    <w:multiLevelType w:val="hybridMultilevel"/>
    <w:tmpl w:val="52A279E6"/>
    <w:lvl w:ilvl="0" w:tplc="0C09000F">
      <w:start w:val="1"/>
      <w:numFmt w:val="decimal"/>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21"/>
    <w:lvlOverride w:ilvl="0">
      <w:lvl w:ilvl="0">
        <w:numFmt w:val="decimal"/>
        <w:lvlText w:val=""/>
        <w:lvlJc w:val="left"/>
      </w:lvl>
    </w:lvlOverride>
    <w:lvlOverride w:ilvl="1">
      <w:lvl w:ilvl="1">
        <w:start w:val="1"/>
        <w:numFmt w:val="decimal"/>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20"/>
  </w:num>
  <w:num w:numId="3">
    <w:abstractNumId w:val="6"/>
  </w:num>
  <w:num w:numId="4">
    <w:abstractNumId w:val="21"/>
  </w:num>
  <w:num w:numId="5">
    <w:abstractNumId w:val="26"/>
  </w:num>
  <w:num w:numId="6">
    <w:abstractNumId w:val="15"/>
  </w:num>
  <w:num w:numId="7">
    <w:abstractNumId w:val="4"/>
  </w:num>
  <w:num w:numId="8">
    <w:abstractNumId w:val="25"/>
  </w:num>
  <w:num w:numId="9">
    <w:abstractNumId w:val="7"/>
  </w:num>
  <w:num w:numId="10">
    <w:abstractNumId w:val="17"/>
  </w:num>
  <w:num w:numId="11">
    <w:abstractNumId w:val="24"/>
  </w:num>
  <w:num w:numId="12">
    <w:abstractNumId w:val="3"/>
  </w:num>
  <w:num w:numId="13">
    <w:abstractNumId w:val="16"/>
  </w:num>
  <w:num w:numId="14">
    <w:abstractNumId w:val="10"/>
  </w:num>
  <w:num w:numId="15">
    <w:abstractNumId w:val="5"/>
  </w:num>
  <w:num w:numId="16">
    <w:abstractNumId w:val="9"/>
  </w:num>
  <w:num w:numId="17">
    <w:abstractNumId w:val="2"/>
  </w:num>
  <w:num w:numId="18">
    <w:abstractNumId w:val="1"/>
  </w:num>
  <w:num w:numId="19">
    <w:abstractNumId w:val="1"/>
    <w:lvlOverride w:ilvl="0">
      <w:startOverride w:val="1"/>
    </w:lvlOverride>
  </w:num>
  <w:num w:numId="20">
    <w:abstractNumId w:val="18"/>
  </w:num>
  <w:num w:numId="21">
    <w:abstractNumId w:val="13"/>
  </w:num>
  <w:num w:numId="22">
    <w:abstractNumId w:val="0"/>
  </w:num>
  <w:num w:numId="23">
    <w:abstractNumId w:val="12"/>
  </w:num>
  <w:num w:numId="24">
    <w:abstractNumId w:val="28"/>
    <w:lvlOverride w:ilvl="0">
      <w:startOverride w:val="1"/>
    </w:lvlOverride>
    <w:lvlOverride w:ilvl="1"/>
    <w:lvlOverride w:ilvl="2"/>
    <w:lvlOverride w:ilvl="3"/>
    <w:lvlOverride w:ilvl="4"/>
    <w:lvlOverride w:ilvl="5"/>
    <w:lvlOverride w:ilvl="6"/>
    <w:lvlOverride w:ilvl="7"/>
    <w:lvlOverride w:ilvl="8"/>
  </w:num>
  <w:num w:numId="25">
    <w:abstractNumId w:val="19"/>
  </w:num>
  <w:num w:numId="26">
    <w:abstractNumId w:val="27"/>
  </w:num>
  <w:num w:numId="27">
    <w:abstractNumId w:val="23"/>
  </w:num>
  <w:num w:numId="28">
    <w:abstractNumId w:val="11"/>
  </w:num>
  <w:num w:numId="29">
    <w:abstractNumId w:val="14"/>
  </w:num>
  <w:num w:numId="30">
    <w:abstractNumId w:val="8"/>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embedSystemFonts/>
  <w:defaultTabStop w:val="720"/>
  <w:drawingGridHorizontalSpacing w:val="110"/>
  <w:displayHorizontalDrawingGridEvery w:val="0"/>
  <w:displayVerticalDrawingGridEvery w:val="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69D"/>
    <w:rsid w:val="000004AA"/>
    <w:rsid w:val="0000212A"/>
    <w:rsid w:val="0000304A"/>
    <w:rsid w:val="000043FB"/>
    <w:rsid w:val="000066BC"/>
    <w:rsid w:val="000072FD"/>
    <w:rsid w:val="00007FD1"/>
    <w:rsid w:val="00010776"/>
    <w:rsid w:val="00010B24"/>
    <w:rsid w:val="00011360"/>
    <w:rsid w:val="00012925"/>
    <w:rsid w:val="00012E1A"/>
    <w:rsid w:val="00013C05"/>
    <w:rsid w:val="00014FEC"/>
    <w:rsid w:val="00015A86"/>
    <w:rsid w:val="00016298"/>
    <w:rsid w:val="00016C3A"/>
    <w:rsid w:val="000177A0"/>
    <w:rsid w:val="0002179E"/>
    <w:rsid w:val="00025493"/>
    <w:rsid w:val="00025D52"/>
    <w:rsid w:val="00025F73"/>
    <w:rsid w:val="0002632B"/>
    <w:rsid w:val="000272BD"/>
    <w:rsid w:val="00031F0C"/>
    <w:rsid w:val="00033027"/>
    <w:rsid w:val="00035A9E"/>
    <w:rsid w:val="00035C8C"/>
    <w:rsid w:val="00036708"/>
    <w:rsid w:val="00037010"/>
    <w:rsid w:val="000403F1"/>
    <w:rsid w:val="000418F6"/>
    <w:rsid w:val="0004563F"/>
    <w:rsid w:val="00045B03"/>
    <w:rsid w:val="00045CD2"/>
    <w:rsid w:val="0004669A"/>
    <w:rsid w:val="000467DD"/>
    <w:rsid w:val="00046DAA"/>
    <w:rsid w:val="0004738C"/>
    <w:rsid w:val="00051189"/>
    <w:rsid w:val="00051B61"/>
    <w:rsid w:val="00055B66"/>
    <w:rsid w:val="000571F4"/>
    <w:rsid w:val="00060131"/>
    <w:rsid w:val="00060262"/>
    <w:rsid w:val="00061FA9"/>
    <w:rsid w:val="00062FCD"/>
    <w:rsid w:val="00065BA0"/>
    <w:rsid w:val="00066664"/>
    <w:rsid w:val="00066FF8"/>
    <w:rsid w:val="0007280F"/>
    <w:rsid w:val="000775EB"/>
    <w:rsid w:val="0007764A"/>
    <w:rsid w:val="000851E5"/>
    <w:rsid w:val="000859C5"/>
    <w:rsid w:val="0009015D"/>
    <w:rsid w:val="00092724"/>
    <w:rsid w:val="00094D49"/>
    <w:rsid w:val="00095546"/>
    <w:rsid w:val="00096C17"/>
    <w:rsid w:val="000972C5"/>
    <w:rsid w:val="000A0882"/>
    <w:rsid w:val="000A2997"/>
    <w:rsid w:val="000A2D2C"/>
    <w:rsid w:val="000A62E0"/>
    <w:rsid w:val="000B0472"/>
    <w:rsid w:val="000B1FFF"/>
    <w:rsid w:val="000B50AA"/>
    <w:rsid w:val="000B59D5"/>
    <w:rsid w:val="000B65A5"/>
    <w:rsid w:val="000B7919"/>
    <w:rsid w:val="000C1F16"/>
    <w:rsid w:val="000C4EA8"/>
    <w:rsid w:val="000C6452"/>
    <w:rsid w:val="000D1206"/>
    <w:rsid w:val="000D280B"/>
    <w:rsid w:val="000D5C03"/>
    <w:rsid w:val="000D61F3"/>
    <w:rsid w:val="000D7181"/>
    <w:rsid w:val="000D7237"/>
    <w:rsid w:val="000E034A"/>
    <w:rsid w:val="000E13A5"/>
    <w:rsid w:val="000E21F5"/>
    <w:rsid w:val="000E2F53"/>
    <w:rsid w:val="000E3475"/>
    <w:rsid w:val="000E7A72"/>
    <w:rsid w:val="000F0534"/>
    <w:rsid w:val="000F0A64"/>
    <w:rsid w:val="000F2364"/>
    <w:rsid w:val="000F2C5A"/>
    <w:rsid w:val="000F3017"/>
    <w:rsid w:val="000F358D"/>
    <w:rsid w:val="001012A2"/>
    <w:rsid w:val="00105F30"/>
    <w:rsid w:val="001105DF"/>
    <w:rsid w:val="0011221D"/>
    <w:rsid w:val="00112B10"/>
    <w:rsid w:val="00113501"/>
    <w:rsid w:val="00115BE2"/>
    <w:rsid w:val="00120110"/>
    <w:rsid w:val="00120790"/>
    <w:rsid w:val="00123197"/>
    <w:rsid w:val="00125507"/>
    <w:rsid w:val="00127EDB"/>
    <w:rsid w:val="00130ADC"/>
    <w:rsid w:val="001312EF"/>
    <w:rsid w:val="0013206B"/>
    <w:rsid w:val="00132476"/>
    <w:rsid w:val="00133DE8"/>
    <w:rsid w:val="001345DB"/>
    <w:rsid w:val="00140218"/>
    <w:rsid w:val="00146B1C"/>
    <w:rsid w:val="00146BB7"/>
    <w:rsid w:val="00147059"/>
    <w:rsid w:val="001523CB"/>
    <w:rsid w:val="00152A33"/>
    <w:rsid w:val="00152ED5"/>
    <w:rsid w:val="00160BA3"/>
    <w:rsid w:val="00162E9F"/>
    <w:rsid w:val="0016375A"/>
    <w:rsid w:val="001637F3"/>
    <w:rsid w:val="0016573B"/>
    <w:rsid w:val="00165AB5"/>
    <w:rsid w:val="00165DDE"/>
    <w:rsid w:val="0016796C"/>
    <w:rsid w:val="00171549"/>
    <w:rsid w:val="0017225F"/>
    <w:rsid w:val="00173B8C"/>
    <w:rsid w:val="00177399"/>
    <w:rsid w:val="0018185B"/>
    <w:rsid w:val="00181E7C"/>
    <w:rsid w:val="001832F6"/>
    <w:rsid w:val="001836AF"/>
    <w:rsid w:val="001843AF"/>
    <w:rsid w:val="00186A7A"/>
    <w:rsid w:val="001874A0"/>
    <w:rsid w:val="001905D6"/>
    <w:rsid w:val="001934B1"/>
    <w:rsid w:val="00197074"/>
    <w:rsid w:val="001A0954"/>
    <w:rsid w:val="001A2271"/>
    <w:rsid w:val="001A7F84"/>
    <w:rsid w:val="001B0475"/>
    <w:rsid w:val="001B497A"/>
    <w:rsid w:val="001B6618"/>
    <w:rsid w:val="001C4768"/>
    <w:rsid w:val="001C5D88"/>
    <w:rsid w:val="001C6412"/>
    <w:rsid w:val="001C693E"/>
    <w:rsid w:val="001C7542"/>
    <w:rsid w:val="001C7CCD"/>
    <w:rsid w:val="001D14EA"/>
    <w:rsid w:val="001D2B3F"/>
    <w:rsid w:val="001D4148"/>
    <w:rsid w:val="001D4DD0"/>
    <w:rsid w:val="001D512F"/>
    <w:rsid w:val="001D7E0D"/>
    <w:rsid w:val="001E17AD"/>
    <w:rsid w:val="001E46CC"/>
    <w:rsid w:val="001E516E"/>
    <w:rsid w:val="001E52BB"/>
    <w:rsid w:val="001E5905"/>
    <w:rsid w:val="001E6266"/>
    <w:rsid w:val="001E64F0"/>
    <w:rsid w:val="001E6EFB"/>
    <w:rsid w:val="001F0A65"/>
    <w:rsid w:val="001F0A85"/>
    <w:rsid w:val="001F0F5A"/>
    <w:rsid w:val="001F13DC"/>
    <w:rsid w:val="001F1A00"/>
    <w:rsid w:val="001F2751"/>
    <w:rsid w:val="001F29B4"/>
    <w:rsid w:val="001F392F"/>
    <w:rsid w:val="001F5A01"/>
    <w:rsid w:val="002016D7"/>
    <w:rsid w:val="00201922"/>
    <w:rsid w:val="00202058"/>
    <w:rsid w:val="00202A37"/>
    <w:rsid w:val="00202AE0"/>
    <w:rsid w:val="00207A81"/>
    <w:rsid w:val="00207ADC"/>
    <w:rsid w:val="00207CBE"/>
    <w:rsid w:val="00213BF9"/>
    <w:rsid w:val="00214E63"/>
    <w:rsid w:val="00216C27"/>
    <w:rsid w:val="00220271"/>
    <w:rsid w:val="002230CE"/>
    <w:rsid w:val="00224FFD"/>
    <w:rsid w:val="00225559"/>
    <w:rsid w:val="00233957"/>
    <w:rsid w:val="00233EF2"/>
    <w:rsid w:val="00234BC8"/>
    <w:rsid w:val="00235FC7"/>
    <w:rsid w:val="0023720B"/>
    <w:rsid w:val="00237A7C"/>
    <w:rsid w:val="002406DF"/>
    <w:rsid w:val="00240CA9"/>
    <w:rsid w:val="00240FE8"/>
    <w:rsid w:val="00243569"/>
    <w:rsid w:val="002435D1"/>
    <w:rsid w:val="002475C4"/>
    <w:rsid w:val="0024780E"/>
    <w:rsid w:val="0025152E"/>
    <w:rsid w:val="00252FF5"/>
    <w:rsid w:val="00253BA3"/>
    <w:rsid w:val="00253D26"/>
    <w:rsid w:val="00254CD2"/>
    <w:rsid w:val="00254DEF"/>
    <w:rsid w:val="00254E63"/>
    <w:rsid w:val="00254F70"/>
    <w:rsid w:val="00257182"/>
    <w:rsid w:val="00257CEE"/>
    <w:rsid w:val="00261442"/>
    <w:rsid w:val="0026204A"/>
    <w:rsid w:val="00265376"/>
    <w:rsid w:val="00266115"/>
    <w:rsid w:val="00267F37"/>
    <w:rsid w:val="0027084F"/>
    <w:rsid w:val="00270BA5"/>
    <w:rsid w:val="00273208"/>
    <w:rsid w:val="00276859"/>
    <w:rsid w:val="00277194"/>
    <w:rsid w:val="002774FE"/>
    <w:rsid w:val="00277808"/>
    <w:rsid w:val="002826A9"/>
    <w:rsid w:val="0028518D"/>
    <w:rsid w:val="00287175"/>
    <w:rsid w:val="002907DB"/>
    <w:rsid w:val="002931A1"/>
    <w:rsid w:val="00296DF2"/>
    <w:rsid w:val="002A1EAB"/>
    <w:rsid w:val="002A22D0"/>
    <w:rsid w:val="002A5A8C"/>
    <w:rsid w:val="002A6293"/>
    <w:rsid w:val="002B25F3"/>
    <w:rsid w:val="002B3D3F"/>
    <w:rsid w:val="002C29F9"/>
    <w:rsid w:val="002C3DAF"/>
    <w:rsid w:val="002C691F"/>
    <w:rsid w:val="002D0080"/>
    <w:rsid w:val="002D016A"/>
    <w:rsid w:val="002D3885"/>
    <w:rsid w:val="002D4A6C"/>
    <w:rsid w:val="002D536F"/>
    <w:rsid w:val="002D5FBA"/>
    <w:rsid w:val="002D6A79"/>
    <w:rsid w:val="002D78FC"/>
    <w:rsid w:val="002D7E5A"/>
    <w:rsid w:val="002E029E"/>
    <w:rsid w:val="002E3062"/>
    <w:rsid w:val="002E37DF"/>
    <w:rsid w:val="002E482E"/>
    <w:rsid w:val="002E6351"/>
    <w:rsid w:val="002F3056"/>
    <w:rsid w:val="002F594A"/>
    <w:rsid w:val="002F70CC"/>
    <w:rsid w:val="00302D6A"/>
    <w:rsid w:val="003049C6"/>
    <w:rsid w:val="00310EF8"/>
    <w:rsid w:val="003114F0"/>
    <w:rsid w:val="00311D3B"/>
    <w:rsid w:val="0031239E"/>
    <w:rsid w:val="00316D11"/>
    <w:rsid w:val="003205EC"/>
    <w:rsid w:val="00323FB3"/>
    <w:rsid w:val="0032750F"/>
    <w:rsid w:val="00327EFB"/>
    <w:rsid w:val="00330DA3"/>
    <w:rsid w:val="003321B1"/>
    <w:rsid w:val="003377BD"/>
    <w:rsid w:val="003377ED"/>
    <w:rsid w:val="0034101C"/>
    <w:rsid w:val="003414F8"/>
    <w:rsid w:val="0034402A"/>
    <w:rsid w:val="00344AB5"/>
    <w:rsid w:val="00344C17"/>
    <w:rsid w:val="00345846"/>
    <w:rsid w:val="00345ADC"/>
    <w:rsid w:val="00355048"/>
    <w:rsid w:val="0035512F"/>
    <w:rsid w:val="00355282"/>
    <w:rsid w:val="0035617B"/>
    <w:rsid w:val="0035695C"/>
    <w:rsid w:val="003605CA"/>
    <w:rsid w:val="00360B79"/>
    <w:rsid w:val="003612BB"/>
    <w:rsid w:val="003613EC"/>
    <w:rsid w:val="00361DDC"/>
    <w:rsid w:val="0036299D"/>
    <w:rsid w:val="003643B3"/>
    <w:rsid w:val="003652D9"/>
    <w:rsid w:val="00370955"/>
    <w:rsid w:val="003711FC"/>
    <w:rsid w:val="00372B74"/>
    <w:rsid w:val="00374D1C"/>
    <w:rsid w:val="0037567A"/>
    <w:rsid w:val="00375B3E"/>
    <w:rsid w:val="00376B7A"/>
    <w:rsid w:val="003800CE"/>
    <w:rsid w:val="003809B5"/>
    <w:rsid w:val="003810B5"/>
    <w:rsid w:val="003842A7"/>
    <w:rsid w:val="0038500F"/>
    <w:rsid w:val="00386C17"/>
    <w:rsid w:val="00391ADB"/>
    <w:rsid w:val="00392413"/>
    <w:rsid w:val="00393B4F"/>
    <w:rsid w:val="00396547"/>
    <w:rsid w:val="00397016"/>
    <w:rsid w:val="0039755B"/>
    <w:rsid w:val="0039776F"/>
    <w:rsid w:val="003A4F3E"/>
    <w:rsid w:val="003A508C"/>
    <w:rsid w:val="003A5D7B"/>
    <w:rsid w:val="003A67F2"/>
    <w:rsid w:val="003A6C80"/>
    <w:rsid w:val="003B12E4"/>
    <w:rsid w:val="003B52FC"/>
    <w:rsid w:val="003B59EF"/>
    <w:rsid w:val="003B5DEE"/>
    <w:rsid w:val="003B6B6C"/>
    <w:rsid w:val="003B757A"/>
    <w:rsid w:val="003C07C6"/>
    <w:rsid w:val="003C223C"/>
    <w:rsid w:val="003C4402"/>
    <w:rsid w:val="003C4683"/>
    <w:rsid w:val="003C4983"/>
    <w:rsid w:val="003C6FED"/>
    <w:rsid w:val="003D11C0"/>
    <w:rsid w:val="003D1A83"/>
    <w:rsid w:val="003D3081"/>
    <w:rsid w:val="003D40D2"/>
    <w:rsid w:val="003E190D"/>
    <w:rsid w:val="003E551D"/>
    <w:rsid w:val="003E599E"/>
    <w:rsid w:val="003E5DAB"/>
    <w:rsid w:val="003E6B34"/>
    <w:rsid w:val="003E6DFC"/>
    <w:rsid w:val="003E7268"/>
    <w:rsid w:val="003F6264"/>
    <w:rsid w:val="003F7B06"/>
    <w:rsid w:val="003F7EE9"/>
    <w:rsid w:val="004004A1"/>
    <w:rsid w:val="004015C2"/>
    <w:rsid w:val="0040246E"/>
    <w:rsid w:val="0040260B"/>
    <w:rsid w:val="004043E2"/>
    <w:rsid w:val="00406326"/>
    <w:rsid w:val="004139EE"/>
    <w:rsid w:val="004159B7"/>
    <w:rsid w:val="00416BE5"/>
    <w:rsid w:val="00416F42"/>
    <w:rsid w:val="004210FB"/>
    <w:rsid w:val="00426032"/>
    <w:rsid w:val="00430BE6"/>
    <w:rsid w:val="00432676"/>
    <w:rsid w:val="00433C43"/>
    <w:rsid w:val="00435671"/>
    <w:rsid w:val="00435BCD"/>
    <w:rsid w:val="00435E75"/>
    <w:rsid w:val="00444037"/>
    <w:rsid w:val="004440A2"/>
    <w:rsid w:val="004476E7"/>
    <w:rsid w:val="00447D68"/>
    <w:rsid w:val="00451884"/>
    <w:rsid w:val="0045211D"/>
    <w:rsid w:val="0045585F"/>
    <w:rsid w:val="00456BD2"/>
    <w:rsid w:val="00456BF3"/>
    <w:rsid w:val="00463FF8"/>
    <w:rsid w:val="004647C9"/>
    <w:rsid w:val="00465BCB"/>
    <w:rsid w:val="004674F7"/>
    <w:rsid w:val="00474E81"/>
    <w:rsid w:val="004758DC"/>
    <w:rsid w:val="00476FA2"/>
    <w:rsid w:val="00482C62"/>
    <w:rsid w:val="0048329A"/>
    <w:rsid w:val="00483B4F"/>
    <w:rsid w:val="00484444"/>
    <w:rsid w:val="00485BF2"/>
    <w:rsid w:val="00491485"/>
    <w:rsid w:val="00491C06"/>
    <w:rsid w:val="00491FE6"/>
    <w:rsid w:val="00493773"/>
    <w:rsid w:val="00495364"/>
    <w:rsid w:val="00497236"/>
    <w:rsid w:val="004A086B"/>
    <w:rsid w:val="004A0A15"/>
    <w:rsid w:val="004A2AEF"/>
    <w:rsid w:val="004A2B5D"/>
    <w:rsid w:val="004A2EFD"/>
    <w:rsid w:val="004A30A6"/>
    <w:rsid w:val="004A5381"/>
    <w:rsid w:val="004A54EB"/>
    <w:rsid w:val="004A5BE6"/>
    <w:rsid w:val="004A5C90"/>
    <w:rsid w:val="004A67C3"/>
    <w:rsid w:val="004A6D56"/>
    <w:rsid w:val="004A6DF0"/>
    <w:rsid w:val="004B04C8"/>
    <w:rsid w:val="004B1185"/>
    <w:rsid w:val="004B1948"/>
    <w:rsid w:val="004B1A34"/>
    <w:rsid w:val="004B23CE"/>
    <w:rsid w:val="004B315B"/>
    <w:rsid w:val="004B5504"/>
    <w:rsid w:val="004B6287"/>
    <w:rsid w:val="004B731C"/>
    <w:rsid w:val="004C069D"/>
    <w:rsid w:val="004C0D30"/>
    <w:rsid w:val="004C3CBF"/>
    <w:rsid w:val="004C3DBE"/>
    <w:rsid w:val="004C6635"/>
    <w:rsid w:val="004D057D"/>
    <w:rsid w:val="004D11B8"/>
    <w:rsid w:val="004D1293"/>
    <w:rsid w:val="004D143F"/>
    <w:rsid w:val="004D2223"/>
    <w:rsid w:val="004D3320"/>
    <w:rsid w:val="004D4A1C"/>
    <w:rsid w:val="004D4FEF"/>
    <w:rsid w:val="004D53A1"/>
    <w:rsid w:val="004D5D32"/>
    <w:rsid w:val="004D6730"/>
    <w:rsid w:val="004D71E4"/>
    <w:rsid w:val="004E3FFE"/>
    <w:rsid w:val="004E6198"/>
    <w:rsid w:val="004E64A9"/>
    <w:rsid w:val="004E764F"/>
    <w:rsid w:val="004F0395"/>
    <w:rsid w:val="004F3D01"/>
    <w:rsid w:val="004F3ED2"/>
    <w:rsid w:val="004F44C5"/>
    <w:rsid w:val="004F47CF"/>
    <w:rsid w:val="004F5439"/>
    <w:rsid w:val="004F79D7"/>
    <w:rsid w:val="004F7C8F"/>
    <w:rsid w:val="00501051"/>
    <w:rsid w:val="00501AC0"/>
    <w:rsid w:val="00503017"/>
    <w:rsid w:val="005048D7"/>
    <w:rsid w:val="005059AD"/>
    <w:rsid w:val="00507D2D"/>
    <w:rsid w:val="005101CE"/>
    <w:rsid w:val="0051077D"/>
    <w:rsid w:val="005131EC"/>
    <w:rsid w:val="005162BB"/>
    <w:rsid w:val="0051695E"/>
    <w:rsid w:val="0052165C"/>
    <w:rsid w:val="0052236E"/>
    <w:rsid w:val="005240FE"/>
    <w:rsid w:val="005310D4"/>
    <w:rsid w:val="00531ED5"/>
    <w:rsid w:val="00532874"/>
    <w:rsid w:val="00534ADF"/>
    <w:rsid w:val="005368F5"/>
    <w:rsid w:val="00541E54"/>
    <w:rsid w:val="0054233A"/>
    <w:rsid w:val="00545485"/>
    <w:rsid w:val="00546F4B"/>
    <w:rsid w:val="00551A9F"/>
    <w:rsid w:val="00552DEB"/>
    <w:rsid w:val="00552FE1"/>
    <w:rsid w:val="0055460E"/>
    <w:rsid w:val="0055567A"/>
    <w:rsid w:val="00560F00"/>
    <w:rsid w:val="005611C1"/>
    <w:rsid w:val="00563843"/>
    <w:rsid w:val="0056568D"/>
    <w:rsid w:val="00567DC8"/>
    <w:rsid w:val="005701FB"/>
    <w:rsid w:val="005765A5"/>
    <w:rsid w:val="00580B3A"/>
    <w:rsid w:val="005853B8"/>
    <w:rsid w:val="00590336"/>
    <w:rsid w:val="0059118C"/>
    <w:rsid w:val="00592806"/>
    <w:rsid w:val="00592AE6"/>
    <w:rsid w:val="00594501"/>
    <w:rsid w:val="00595366"/>
    <w:rsid w:val="00595649"/>
    <w:rsid w:val="005959D4"/>
    <w:rsid w:val="00596053"/>
    <w:rsid w:val="00596A8C"/>
    <w:rsid w:val="005A128E"/>
    <w:rsid w:val="005A2269"/>
    <w:rsid w:val="005A3502"/>
    <w:rsid w:val="005A436D"/>
    <w:rsid w:val="005A6507"/>
    <w:rsid w:val="005B07AE"/>
    <w:rsid w:val="005B07EC"/>
    <w:rsid w:val="005B1403"/>
    <w:rsid w:val="005B1E04"/>
    <w:rsid w:val="005B2D21"/>
    <w:rsid w:val="005B2FC0"/>
    <w:rsid w:val="005B33B3"/>
    <w:rsid w:val="005B4C95"/>
    <w:rsid w:val="005B69AF"/>
    <w:rsid w:val="005C0C39"/>
    <w:rsid w:val="005C661F"/>
    <w:rsid w:val="005C6DA3"/>
    <w:rsid w:val="005C6F9D"/>
    <w:rsid w:val="005D0496"/>
    <w:rsid w:val="005D12B7"/>
    <w:rsid w:val="005D1DA9"/>
    <w:rsid w:val="005D2CB4"/>
    <w:rsid w:val="005D3DBC"/>
    <w:rsid w:val="005D4CB4"/>
    <w:rsid w:val="005E0C11"/>
    <w:rsid w:val="005E3E81"/>
    <w:rsid w:val="005E70BA"/>
    <w:rsid w:val="005F2106"/>
    <w:rsid w:val="005F23B2"/>
    <w:rsid w:val="005F4220"/>
    <w:rsid w:val="0060171E"/>
    <w:rsid w:val="00601C73"/>
    <w:rsid w:val="006021FA"/>
    <w:rsid w:val="006023BA"/>
    <w:rsid w:val="00602AAE"/>
    <w:rsid w:val="00603958"/>
    <w:rsid w:val="006040B4"/>
    <w:rsid w:val="00607A02"/>
    <w:rsid w:val="00607F7F"/>
    <w:rsid w:val="0061026F"/>
    <w:rsid w:val="00610377"/>
    <w:rsid w:val="00610693"/>
    <w:rsid w:val="00610A55"/>
    <w:rsid w:val="00610C52"/>
    <w:rsid w:val="006117E5"/>
    <w:rsid w:val="00611BFC"/>
    <w:rsid w:val="006124EF"/>
    <w:rsid w:val="00612FDC"/>
    <w:rsid w:val="00617C1C"/>
    <w:rsid w:val="00625BC0"/>
    <w:rsid w:val="00627AA6"/>
    <w:rsid w:val="00630675"/>
    <w:rsid w:val="0063080B"/>
    <w:rsid w:val="00631829"/>
    <w:rsid w:val="00634BF8"/>
    <w:rsid w:val="0063795B"/>
    <w:rsid w:val="006407B1"/>
    <w:rsid w:val="0064113A"/>
    <w:rsid w:val="006425E2"/>
    <w:rsid w:val="00642D66"/>
    <w:rsid w:val="0064310D"/>
    <w:rsid w:val="00643E5E"/>
    <w:rsid w:val="006456F6"/>
    <w:rsid w:val="006466A4"/>
    <w:rsid w:val="00651388"/>
    <w:rsid w:val="00651E39"/>
    <w:rsid w:val="00651F5B"/>
    <w:rsid w:val="00652584"/>
    <w:rsid w:val="0065306F"/>
    <w:rsid w:val="00653C30"/>
    <w:rsid w:val="00660536"/>
    <w:rsid w:val="00660901"/>
    <w:rsid w:val="00660D25"/>
    <w:rsid w:val="006621DD"/>
    <w:rsid w:val="00662539"/>
    <w:rsid w:val="00663BBE"/>
    <w:rsid w:val="00666740"/>
    <w:rsid w:val="006669E1"/>
    <w:rsid w:val="00666ECF"/>
    <w:rsid w:val="006673F8"/>
    <w:rsid w:val="006730CC"/>
    <w:rsid w:val="006754E5"/>
    <w:rsid w:val="00675A7C"/>
    <w:rsid w:val="00675DD8"/>
    <w:rsid w:val="006778B3"/>
    <w:rsid w:val="00680D13"/>
    <w:rsid w:val="00681B51"/>
    <w:rsid w:val="00683A75"/>
    <w:rsid w:val="00686906"/>
    <w:rsid w:val="00691804"/>
    <w:rsid w:val="0069262A"/>
    <w:rsid w:val="006A155A"/>
    <w:rsid w:val="006A2867"/>
    <w:rsid w:val="006A2A8D"/>
    <w:rsid w:val="006A2DAB"/>
    <w:rsid w:val="006A3F86"/>
    <w:rsid w:val="006A5277"/>
    <w:rsid w:val="006A63F0"/>
    <w:rsid w:val="006B1F8E"/>
    <w:rsid w:val="006B21FC"/>
    <w:rsid w:val="006B2A49"/>
    <w:rsid w:val="006B357E"/>
    <w:rsid w:val="006B41F4"/>
    <w:rsid w:val="006B513F"/>
    <w:rsid w:val="006B78E1"/>
    <w:rsid w:val="006C0AC1"/>
    <w:rsid w:val="006C2FFA"/>
    <w:rsid w:val="006C51DC"/>
    <w:rsid w:val="006C7702"/>
    <w:rsid w:val="006C7BE0"/>
    <w:rsid w:val="006D09AB"/>
    <w:rsid w:val="006D3185"/>
    <w:rsid w:val="006D4238"/>
    <w:rsid w:val="006D488C"/>
    <w:rsid w:val="006D71A1"/>
    <w:rsid w:val="006E00F4"/>
    <w:rsid w:val="006E025B"/>
    <w:rsid w:val="006E18AA"/>
    <w:rsid w:val="006E3C2F"/>
    <w:rsid w:val="006E3C3D"/>
    <w:rsid w:val="006E5565"/>
    <w:rsid w:val="006E5B35"/>
    <w:rsid w:val="006E5E79"/>
    <w:rsid w:val="006E6937"/>
    <w:rsid w:val="006E6C23"/>
    <w:rsid w:val="006E72EA"/>
    <w:rsid w:val="006E76AF"/>
    <w:rsid w:val="006F73A7"/>
    <w:rsid w:val="00700BDE"/>
    <w:rsid w:val="00702861"/>
    <w:rsid w:val="007055D4"/>
    <w:rsid w:val="00705D66"/>
    <w:rsid w:val="00707C33"/>
    <w:rsid w:val="00707EE3"/>
    <w:rsid w:val="00707F42"/>
    <w:rsid w:val="00710887"/>
    <w:rsid w:val="00711B04"/>
    <w:rsid w:val="00716731"/>
    <w:rsid w:val="00716DB9"/>
    <w:rsid w:val="007173D3"/>
    <w:rsid w:val="007231F2"/>
    <w:rsid w:val="00723AD9"/>
    <w:rsid w:val="00723DAF"/>
    <w:rsid w:val="00726034"/>
    <w:rsid w:val="00730ADC"/>
    <w:rsid w:val="007319E6"/>
    <w:rsid w:val="007329D9"/>
    <w:rsid w:val="00732A67"/>
    <w:rsid w:val="00733A95"/>
    <w:rsid w:val="00737379"/>
    <w:rsid w:val="00740E86"/>
    <w:rsid w:val="00742824"/>
    <w:rsid w:val="00743078"/>
    <w:rsid w:val="007441EB"/>
    <w:rsid w:val="007449B6"/>
    <w:rsid w:val="00745C5F"/>
    <w:rsid w:val="00747569"/>
    <w:rsid w:val="00754299"/>
    <w:rsid w:val="00760CAD"/>
    <w:rsid w:val="0076232F"/>
    <w:rsid w:val="007643F4"/>
    <w:rsid w:val="00764D8B"/>
    <w:rsid w:val="00765EE9"/>
    <w:rsid w:val="00771307"/>
    <w:rsid w:val="00771702"/>
    <w:rsid w:val="007732FF"/>
    <w:rsid w:val="00774169"/>
    <w:rsid w:val="00774A1E"/>
    <w:rsid w:val="00777443"/>
    <w:rsid w:val="007778A2"/>
    <w:rsid w:val="00782507"/>
    <w:rsid w:val="00782541"/>
    <w:rsid w:val="007837BA"/>
    <w:rsid w:val="007856FD"/>
    <w:rsid w:val="00790177"/>
    <w:rsid w:val="0079028B"/>
    <w:rsid w:val="007903EE"/>
    <w:rsid w:val="00791A03"/>
    <w:rsid w:val="00794B22"/>
    <w:rsid w:val="00795531"/>
    <w:rsid w:val="007976F4"/>
    <w:rsid w:val="007978A4"/>
    <w:rsid w:val="007A0ACF"/>
    <w:rsid w:val="007A0D70"/>
    <w:rsid w:val="007A5B84"/>
    <w:rsid w:val="007A5BD8"/>
    <w:rsid w:val="007A7229"/>
    <w:rsid w:val="007A7720"/>
    <w:rsid w:val="007A7E3C"/>
    <w:rsid w:val="007B007B"/>
    <w:rsid w:val="007B0627"/>
    <w:rsid w:val="007B21FA"/>
    <w:rsid w:val="007B5BC0"/>
    <w:rsid w:val="007B70F0"/>
    <w:rsid w:val="007C106F"/>
    <w:rsid w:val="007C2E37"/>
    <w:rsid w:val="007C591C"/>
    <w:rsid w:val="007C69DF"/>
    <w:rsid w:val="007C7385"/>
    <w:rsid w:val="007D27CE"/>
    <w:rsid w:val="007D4BC3"/>
    <w:rsid w:val="007E07DB"/>
    <w:rsid w:val="007E24AE"/>
    <w:rsid w:val="007E33D9"/>
    <w:rsid w:val="007E47F7"/>
    <w:rsid w:val="007E498E"/>
    <w:rsid w:val="007E5F78"/>
    <w:rsid w:val="007E5F7C"/>
    <w:rsid w:val="007E6883"/>
    <w:rsid w:val="007E6F3B"/>
    <w:rsid w:val="007E7D8B"/>
    <w:rsid w:val="007F251A"/>
    <w:rsid w:val="007F2F40"/>
    <w:rsid w:val="007F4E73"/>
    <w:rsid w:val="007F6478"/>
    <w:rsid w:val="007F69B7"/>
    <w:rsid w:val="0080193F"/>
    <w:rsid w:val="00804E4D"/>
    <w:rsid w:val="0080527D"/>
    <w:rsid w:val="008055B0"/>
    <w:rsid w:val="00807A9A"/>
    <w:rsid w:val="00810457"/>
    <w:rsid w:val="0082135C"/>
    <w:rsid w:val="008222F1"/>
    <w:rsid w:val="0082240B"/>
    <w:rsid w:val="0082408D"/>
    <w:rsid w:val="0083007F"/>
    <w:rsid w:val="0083079C"/>
    <w:rsid w:val="008313E2"/>
    <w:rsid w:val="00831AA6"/>
    <w:rsid w:val="008330EC"/>
    <w:rsid w:val="00833408"/>
    <w:rsid w:val="00834428"/>
    <w:rsid w:val="008355AA"/>
    <w:rsid w:val="00835A93"/>
    <w:rsid w:val="00836ADF"/>
    <w:rsid w:val="00840BD9"/>
    <w:rsid w:val="00840C76"/>
    <w:rsid w:val="008423A0"/>
    <w:rsid w:val="00846709"/>
    <w:rsid w:val="00847DA7"/>
    <w:rsid w:val="00847F40"/>
    <w:rsid w:val="0085179F"/>
    <w:rsid w:val="008517A0"/>
    <w:rsid w:val="00851B40"/>
    <w:rsid w:val="008529A3"/>
    <w:rsid w:val="00852BCA"/>
    <w:rsid w:val="008536BF"/>
    <w:rsid w:val="00853DD9"/>
    <w:rsid w:val="008541FA"/>
    <w:rsid w:val="00854D68"/>
    <w:rsid w:val="008577C7"/>
    <w:rsid w:val="00861C26"/>
    <w:rsid w:val="00862897"/>
    <w:rsid w:val="00864F59"/>
    <w:rsid w:val="00873A41"/>
    <w:rsid w:val="00874FB2"/>
    <w:rsid w:val="008764D6"/>
    <w:rsid w:val="008766A1"/>
    <w:rsid w:val="00876C83"/>
    <w:rsid w:val="0087768A"/>
    <w:rsid w:val="00877D62"/>
    <w:rsid w:val="008803AA"/>
    <w:rsid w:val="00881855"/>
    <w:rsid w:val="00881C4F"/>
    <w:rsid w:val="00882B0C"/>
    <w:rsid w:val="00882B2F"/>
    <w:rsid w:val="0088765D"/>
    <w:rsid w:val="0089398A"/>
    <w:rsid w:val="00893A67"/>
    <w:rsid w:val="00894012"/>
    <w:rsid w:val="00894A00"/>
    <w:rsid w:val="00894C65"/>
    <w:rsid w:val="008960F5"/>
    <w:rsid w:val="0089752C"/>
    <w:rsid w:val="008A13AE"/>
    <w:rsid w:val="008A1645"/>
    <w:rsid w:val="008A2CDE"/>
    <w:rsid w:val="008A32CA"/>
    <w:rsid w:val="008A40B3"/>
    <w:rsid w:val="008A4363"/>
    <w:rsid w:val="008A68FD"/>
    <w:rsid w:val="008B00B5"/>
    <w:rsid w:val="008B1668"/>
    <w:rsid w:val="008B1A45"/>
    <w:rsid w:val="008B2B3B"/>
    <w:rsid w:val="008B2F2F"/>
    <w:rsid w:val="008B3ECF"/>
    <w:rsid w:val="008B470E"/>
    <w:rsid w:val="008B6C63"/>
    <w:rsid w:val="008C0F17"/>
    <w:rsid w:val="008C1566"/>
    <w:rsid w:val="008C1C1D"/>
    <w:rsid w:val="008C27BB"/>
    <w:rsid w:val="008C34BB"/>
    <w:rsid w:val="008C4568"/>
    <w:rsid w:val="008C4852"/>
    <w:rsid w:val="008C685D"/>
    <w:rsid w:val="008C7C72"/>
    <w:rsid w:val="008D0950"/>
    <w:rsid w:val="008D0AE0"/>
    <w:rsid w:val="008D1639"/>
    <w:rsid w:val="008D1C9A"/>
    <w:rsid w:val="008D28FD"/>
    <w:rsid w:val="008E09D7"/>
    <w:rsid w:val="008E1138"/>
    <w:rsid w:val="008E2381"/>
    <w:rsid w:val="008E2C63"/>
    <w:rsid w:val="008E32CC"/>
    <w:rsid w:val="008E369D"/>
    <w:rsid w:val="008E36A3"/>
    <w:rsid w:val="008E632E"/>
    <w:rsid w:val="008F07DF"/>
    <w:rsid w:val="008F1C8A"/>
    <w:rsid w:val="008F1EE5"/>
    <w:rsid w:val="008F3213"/>
    <w:rsid w:val="00901524"/>
    <w:rsid w:val="00901B56"/>
    <w:rsid w:val="00902394"/>
    <w:rsid w:val="0090622C"/>
    <w:rsid w:val="00906F9A"/>
    <w:rsid w:val="00907C3D"/>
    <w:rsid w:val="00907F71"/>
    <w:rsid w:val="00913F09"/>
    <w:rsid w:val="00914DBD"/>
    <w:rsid w:val="0091682C"/>
    <w:rsid w:val="00916898"/>
    <w:rsid w:val="0092079F"/>
    <w:rsid w:val="00920E82"/>
    <w:rsid w:val="00921546"/>
    <w:rsid w:val="00922654"/>
    <w:rsid w:val="00922E2A"/>
    <w:rsid w:val="00923840"/>
    <w:rsid w:val="0092531B"/>
    <w:rsid w:val="00926613"/>
    <w:rsid w:val="0092669A"/>
    <w:rsid w:val="00927FF3"/>
    <w:rsid w:val="009307CC"/>
    <w:rsid w:val="00931660"/>
    <w:rsid w:val="00932CA4"/>
    <w:rsid w:val="00933E43"/>
    <w:rsid w:val="00934515"/>
    <w:rsid w:val="0093558A"/>
    <w:rsid w:val="009356A4"/>
    <w:rsid w:val="00940CD3"/>
    <w:rsid w:val="009410DD"/>
    <w:rsid w:val="00941A58"/>
    <w:rsid w:val="00942364"/>
    <w:rsid w:val="00944F8F"/>
    <w:rsid w:val="00950C25"/>
    <w:rsid w:val="0095237F"/>
    <w:rsid w:val="00952392"/>
    <w:rsid w:val="0095262B"/>
    <w:rsid w:val="00952DB6"/>
    <w:rsid w:val="00954309"/>
    <w:rsid w:val="00956D09"/>
    <w:rsid w:val="00960DD9"/>
    <w:rsid w:val="00961E86"/>
    <w:rsid w:val="00961FFD"/>
    <w:rsid w:val="00962549"/>
    <w:rsid w:val="00963A77"/>
    <w:rsid w:val="00964513"/>
    <w:rsid w:val="00965A00"/>
    <w:rsid w:val="0097078B"/>
    <w:rsid w:val="00974AA8"/>
    <w:rsid w:val="00974B71"/>
    <w:rsid w:val="00975811"/>
    <w:rsid w:val="00976D2A"/>
    <w:rsid w:val="009803F9"/>
    <w:rsid w:val="0098052A"/>
    <w:rsid w:val="009818C0"/>
    <w:rsid w:val="00983C44"/>
    <w:rsid w:val="009848CC"/>
    <w:rsid w:val="00987049"/>
    <w:rsid w:val="0098778C"/>
    <w:rsid w:val="00987990"/>
    <w:rsid w:val="0099073D"/>
    <w:rsid w:val="00991B37"/>
    <w:rsid w:val="0099223F"/>
    <w:rsid w:val="00994015"/>
    <w:rsid w:val="00994C3B"/>
    <w:rsid w:val="00995253"/>
    <w:rsid w:val="00995618"/>
    <w:rsid w:val="0099570C"/>
    <w:rsid w:val="009A34EA"/>
    <w:rsid w:val="009A4A5D"/>
    <w:rsid w:val="009A573E"/>
    <w:rsid w:val="009A5791"/>
    <w:rsid w:val="009A6A8C"/>
    <w:rsid w:val="009A70D7"/>
    <w:rsid w:val="009B1E2D"/>
    <w:rsid w:val="009B300F"/>
    <w:rsid w:val="009B3445"/>
    <w:rsid w:val="009B5647"/>
    <w:rsid w:val="009B690E"/>
    <w:rsid w:val="009B7777"/>
    <w:rsid w:val="009C05E2"/>
    <w:rsid w:val="009C18C1"/>
    <w:rsid w:val="009C1FC4"/>
    <w:rsid w:val="009C26D2"/>
    <w:rsid w:val="009C41A4"/>
    <w:rsid w:val="009C5A83"/>
    <w:rsid w:val="009C7AB7"/>
    <w:rsid w:val="009C7CCA"/>
    <w:rsid w:val="009D0E6A"/>
    <w:rsid w:val="009D19E6"/>
    <w:rsid w:val="009D49B6"/>
    <w:rsid w:val="009E1B78"/>
    <w:rsid w:val="009E1F00"/>
    <w:rsid w:val="009E250E"/>
    <w:rsid w:val="009E4317"/>
    <w:rsid w:val="009E49F0"/>
    <w:rsid w:val="009E5101"/>
    <w:rsid w:val="009E5C20"/>
    <w:rsid w:val="009F069D"/>
    <w:rsid w:val="009F138C"/>
    <w:rsid w:val="009F626D"/>
    <w:rsid w:val="009F7FCC"/>
    <w:rsid w:val="00A00E5C"/>
    <w:rsid w:val="00A010B2"/>
    <w:rsid w:val="00A01FF4"/>
    <w:rsid w:val="00A02386"/>
    <w:rsid w:val="00A02998"/>
    <w:rsid w:val="00A05CF6"/>
    <w:rsid w:val="00A05FF3"/>
    <w:rsid w:val="00A06277"/>
    <w:rsid w:val="00A06413"/>
    <w:rsid w:val="00A06FBD"/>
    <w:rsid w:val="00A0789D"/>
    <w:rsid w:val="00A10916"/>
    <w:rsid w:val="00A10E4E"/>
    <w:rsid w:val="00A15237"/>
    <w:rsid w:val="00A167C9"/>
    <w:rsid w:val="00A170FD"/>
    <w:rsid w:val="00A21412"/>
    <w:rsid w:val="00A21DFC"/>
    <w:rsid w:val="00A222C1"/>
    <w:rsid w:val="00A224D7"/>
    <w:rsid w:val="00A2338E"/>
    <w:rsid w:val="00A234C0"/>
    <w:rsid w:val="00A2457C"/>
    <w:rsid w:val="00A25DDA"/>
    <w:rsid w:val="00A32747"/>
    <w:rsid w:val="00A36135"/>
    <w:rsid w:val="00A36D3E"/>
    <w:rsid w:val="00A373F3"/>
    <w:rsid w:val="00A4119F"/>
    <w:rsid w:val="00A44A06"/>
    <w:rsid w:val="00A46055"/>
    <w:rsid w:val="00A47978"/>
    <w:rsid w:val="00A51DC8"/>
    <w:rsid w:val="00A566A3"/>
    <w:rsid w:val="00A56F92"/>
    <w:rsid w:val="00A676BC"/>
    <w:rsid w:val="00A67D0F"/>
    <w:rsid w:val="00A70104"/>
    <w:rsid w:val="00A72E8A"/>
    <w:rsid w:val="00A73144"/>
    <w:rsid w:val="00A772E4"/>
    <w:rsid w:val="00A825F8"/>
    <w:rsid w:val="00A84AC4"/>
    <w:rsid w:val="00A86644"/>
    <w:rsid w:val="00A8741C"/>
    <w:rsid w:val="00A875C3"/>
    <w:rsid w:val="00A91B7E"/>
    <w:rsid w:val="00A92D1C"/>
    <w:rsid w:val="00A94566"/>
    <w:rsid w:val="00AA3C82"/>
    <w:rsid w:val="00AA416C"/>
    <w:rsid w:val="00AA480E"/>
    <w:rsid w:val="00AA7E77"/>
    <w:rsid w:val="00AB0DB3"/>
    <w:rsid w:val="00AB143D"/>
    <w:rsid w:val="00AB1AC2"/>
    <w:rsid w:val="00AB34DF"/>
    <w:rsid w:val="00AB3B19"/>
    <w:rsid w:val="00AB3F79"/>
    <w:rsid w:val="00AB462B"/>
    <w:rsid w:val="00AB73A6"/>
    <w:rsid w:val="00AC1A0B"/>
    <w:rsid w:val="00AC212D"/>
    <w:rsid w:val="00AC2262"/>
    <w:rsid w:val="00AC3070"/>
    <w:rsid w:val="00AC53EC"/>
    <w:rsid w:val="00AC769F"/>
    <w:rsid w:val="00AD0B0A"/>
    <w:rsid w:val="00AD1297"/>
    <w:rsid w:val="00AD2A77"/>
    <w:rsid w:val="00AD32B7"/>
    <w:rsid w:val="00AD4B92"/>
    <w:rsid w:val="00AD68CD"/>
    <w:rsid w:val="00AE10E0"/>
    <w:rsid w:val="00AE2858"/>
    <w:rsid w:val="00AE2B03"/>
    <w:rsid w:val="00AE3C7A"/>
    <w:rsid w:val="00AE3F62"/>
    <w:rsid w:val="00AE54A0"/>
    <w:rsid w:val="00AE5946"/>
    <w:rsid w:val="00AE6B19"/>
    <w:rsid w:val="00AF2376"/>
    <w:rsid w:val="00AF2951"/>
    <w:rsid w:val="00AF6F6A"/>
    <w:rsid w:val="00B00DBD"/>
    <w:rsid w:val="00B029BF"/>
    <w:rsid w:val="00B02AAE"/>
    <w:rsid w:val="00B03B41"/>
    <w:rsid w:val="00B04BAC"/>
    <w:rsid w:val="00B05677"/>
    <w:rsid w:val="00B05F21"/>
    <w:rsid w:val="00B100C6"/>
    <w:rsid w:val="00B10972"/>
    <w:rsid w:val="00B1278D"/>
    <w:rsid w:val="00B12A7C"/>
    <w:rsid w:val="00B12E83"/>
    <w:rsid w:val="00B13032"/>
    <w:rsid w:val="00B130F8"/>
    <w:rsid w:val="00B13810"/>
    <w:rsid w:val="00B14D42"/>
    <w:rsid w:val="00B14DF9"/>
    <w:rsid w:val="00B15BF6"/>
    <w:rsid w:val="00B15E2E"/>
    <w:rsid w:val="00B16ED2"/>
    <w:rsid w:val="00B20365"/>
    <w:rsid w:val="00B2162F"/>
    <w:rsid w:val="00B22DD2"/>
    <w:rsid w:val="00B27C3B"/>
    <w:rsid w:val="00B32DDF"/>
    <w:rsid w:val="00B350E4"/>
    <w:rsid w:val="00B355F7"/>
    <w:rsid w:val="00B35B37"/>
    <w:rsid w:val="00B41258"/>
    <w:rsid w:val="00B41669"/>
    <w:rsid w:val="00B42E5D"/>
    <w:rsid w:val="00B43746"/>
    <w:rsid w:val="00B44CFD"/>
    <w:rsid w:val="00B451BB"/>
    <w:rsid w:val="00B475A4"/>
    <w:rsid w:val="00B50389"/>
    <w:rsid w:val="00B5193C"/>
    <w:rsid w:val="00B5295D"/>
    <w:rsid w:val="00B52E93"/>
    <w:rsid w:val="00B54D8F"/>
    <w:rsid w:val="00B557DB"/>
    <w:rsid w:val="00B5777D"/>
    <w:rsid w:val="00B609D8"/>
    <w:rsid w:val="00B61935"/>
    <w:rsid w:val="00B63505"/>
    <w:rsid w:val="00B642C1"/>
    <w:rsid w:val="00B707BA"/>
    <w:rsid w:val="00B754BA"/>
    <w:rsid w:val="00B75D21"/>
    <w:rsid w:val="00B75D80"/>
    <w:rsid w:val="00B76938"/>
    <w:rsid w:val="00B77A99"/>
    <w:rsid w:val="00B82D7B"/>
    <w:rsid w:val="00B83964"/>
    <w:rsid w:val="00B9064C"/>
    <w:rsid w:val="00B91444"/>
    <w:rsid w:val="00B940D2"/>
    <w:rsid w:val="00B94C6C"/>
    <w:rsid w:val="00B97C98"/>
    <w:rsid w:val="00BA2359"/>
    <w:rsid w:val="00BA2562"/>
    <w:rsid w:val="00BA4955"/>
    <w:rsid w:val="00BA4A2A"/>
    <w:rsid w:val="00BA4B4B"/>
    <w:rsid w:val="00BB2D37"/>
    <w:rsid w:val="00BB2EAA"/>
    <w:rsid w:val="00BC037A"/>
    <w:rsid w:val="00BC0F1A"/>
    <w:rsid w:val="00BC2C81"/>
    <w:rsid w:val="00BC536F"/>
    <w:rsid w:val="00BC61EE"/>
    <w:rsid w:val="00BC6AC9"/>
    <w:rsid w:val="00BD1A56"/>
    <w:rsid w:val="00BD2D04"/>
    <w:rsid w:val="00BE395D"/>
    <w:rsid w:val="00BF399E"/>
    <w:rsid w:val="00BF7016"/>
    <w:rsid w:val="00BF71FB"/>
    <w:rsid w:val="00BF76AE"/>
    <w:rsid w:val="00C02075"/>
    <w:rsid w:val="00C0390E"/>
    <w:rsid w:val="00C1271B"/>
    <w:rsid w:val="00C14A05"/>
    <w:rsid w:val="00C14ECB"/>
    <w:rsid w:val="00C164F8"/>
    <w:rsid w:val="00C16E5D"/>
    <w:rsid w:val="00C222B9"/>
    <w:rsid w:val="00C222D2"/>
    <w:rsid w:val="00C2302C"/>
    <w:rsid w:val="00C2325C"/>
    <w:rsid w:val="00C24076"/>
    <w:rsid w:val="00C25C33"/>
    <w:rsid w:val="00C32097"/>
    <w:rsid w:val="00C34F57"/>
    <w:rsid w:val="00C367D0"/>
    <w:rsid w:val="00C40D38"/>
    <w:rsid w:val="00C41D9F"/>
    <w:rsid w:val="00C441EE"/>
    <w:rsid w:val="00C45CF7"/>
    <w:rsid w:val="00C47D99"/>
    <w:rsid w:val="00C5146E"/>
    <w:rsid w:val="00C5213E"/>
    <w:rsid w:val="00C5340F"/>
    <w:rsid w:val="00C53782"/>
    <w:rsid w:val="00C55D88"/>
    <w:rsid w:val="00C60B19"/>
    <w:rsid w:val="00C60C1C"/>
    <w:rsid w:val="00C626D9"/>
    <w:rsid w:val="00C6316C"/>
    <w:rsid w:val="00C63BF4"/>
    <w:rsid w:val="00C650A1"/>
    <w:rsid w:val="00C66832"/>
    <w:rsid w:val="00C71565"/>
    <w:rsid w:val="00C715BA"/>
    <w:rsid w:val="00C71862"/>
    <w:rsid w:val="00C747EA"/>
    <w:rsid w:val="00C75FBF"/>
    <w:rsid w:val="00C7792A"/>
    <w:rsid w:val="00C8116E"/>
    <w:rsid w:val="00C82389"/>
    <w:rsid w:val="00C86A41"/>
    <w:rsid w:val="00C86B49"/>
    <w:rsid w:val="00C90030"/>
    <w:rsid w:val="00C902F8"/>
    <w:rsid w:val="00C9038C"/>
    <w:rsid w:val="00C9108D"/>
    <w:rsid w:val="00C940E4"/>
    <w:rsid w:val="00C94DB3"/>
    <w:rsid w:val="00C97A5A"/>
    <w:rsid w:val="00C97C9B"/>
    <w:rsid w:val="00CA0132"/>
    <w:rsid w:val="00CA10CD"/>
    <w:rsid w:val="00CA1D2D"/>
    <w:rsid w:val="00CA222B"/>
    <w:rsid w:val="00CA2837"/>
    <w:rsid w:val="00CA4B1F"/>
    <w:rsid w:val="00CA5462"/>
    <w:rsid w:val="00CA6611"/>
    <w:rsid w:val="00CA69BB"/>
    <w:rsid w:val="00CA766C"/>
    <w:rsid w:val="00CB0744"/>
    <w:rsid w:val="00CB0C3D"/>
    <w:rsid w:val="00CB1B7E"/>
    <w:rsid w:val="00CB51B5"/>
    <w:rsid w:val="00CB7D38"/>
    <w:rsid w:val="00CB7F0E"/>
    <w:rsid w:val="00CC0D3D"/>
    <w:rsid w:val="00CC29D1"/>
    <w:rsid w:val="00CC2A48"/>
    <w:rsid w:val="00CC43FC"/>
    <w:rsid w:val="00CC58F1"/>
    <w:rsid w:val="00CC5994"/>
    <w:rsid w:val="00CC5C94"/>
    <w:rsid w:val="00CC5F24"/>
    <w:rsid w:val="00CC6834"/>
    <w:rsid w:val="00CD0584"/>
    <w:rsid w:val="00CD14ED"/>
    <w:rsid w:val="00CD4D6C"/>
    <w:rsid w:val="00CD6005"/>
    <w:rsid w:val="00CD688C"/>
    <w:rsid w:val="00CD7162"/>
    <w:rsid w:val="00CE130D"/>
    <w:rsid w:val="00CE1B56"/>
    <w:rsid w:val="00CE3DFA"/>
    <w:rsid w:val="00CE40C7"/>
    <w:rsid w:val="00CE5DBD"/>
    <w:rsid w:val="00CE7947"/>
    <w:rsid w:val="00CF1A40"/>
    <w:rsid w:val="00CF377A"/>
    <w:rsid w:val="00CF3E5C"/>
    <w:rsid w:val="00CF3EB9"/>
    <w:rsid w:val="00CF5512"/>
    <w:rsid w:val="00CF5EF2"/>
    <w:rsid w:val="00CF606D"/>
    <w:rsid w:val="00D01EA2"/>
    <w:rsid w:val="00D0298F"/>
    <w:rsid w:val="00D044F4"/>
    <w:rsid w:val="00D05DE7"/>
    <w:rsid w:val="00D0728F"/>
    <w:rsid w:val="00D11024"/>
    <w:rsid w:val="00D1118E"/>
    <w:rsid w:val="00D111AA"/>
    <w:rsid w:val="00D1276E"/>
    <w:rsid w:val="00D13C14"/>
    <w:rsid w:val="00D142B7"/>
    <w:rsid w:val="00D144B5"/>
    <w:rsid w:val="00D1499F"/>
    <w:rsid w:val="00D14A72"/>
    <w:rsid w:val="00D14C7F"/>
    <w:rsid w:val="00D16107"/>
    <w:rsid w:val="00D16649"/>
    <w:rsid w:val="00D16882"/>
    <w:rsid w:val="00D17EA3"/>
    <w:rsid w:val="00D20582"/>
    <w:rsid w:val="00D251D0"/>
    <w:rsid w:val="00D26AF2"/>
    <w:rsid w:val="00D272DE"/>
    <w:rsid w:val="00D2740F"/>
    <w:rsid w:val="00D3006D"/>
    <w:rsid w:val="00D317B8"/>
    <w:rsid w:val="00D32990"/>
    <w:rsid w:val="00D330AB"/>
    <w:rsid w:val="00D3351B"/>
    <w:rsid w:val="00D33A28"/>
    <w:rsid w:val="00D34DAE"/>
    <w:rsid w:val="00D34F24"/>
    <w:rsid w:val="00D36862"/>
    <w:rsid w:val="00D36929"/>
    <w:rsid w:val="00D37A63"/>
    <w:rsid w:val="00D413B7"/>
    <w:rsid w:val="00D41929"/>
    <w:rsid w:val="00D41FB7"/>
    <w:rsid w:val="00D424F7"/>
    <w:rsid w:val="00D46678"/>
    <w:rsid w:val="00D5047A"/>
    <w:rsid w:val="00D5353A"/>
    <w:rsid w:val="00D53A91"/>
    <w:rsid w:val="00D5410F"/>
    <w:rsid w:val="00D6055A"/>
    <w:rsid w:val="00D63FF9"/>
    <w:rsid w:val="00D654ED"/>
    <w:rsid w:val="00D65A13"/>
    <w:rsid w:val="00D6776E"/>
    <w:rsid w:val="00D73580"/>
    <w:rsid w:val="00D7680B"/>
    <w:rsid w:val="00D80384"/>
    <w:rsid w:val="00D804C2"/>
    <w:rsid w:val="00D80990"/>
    <w:rsid w:val="00D81033"/>
    <w:rsid w:val="00D82026"/>
    <w:rsid w:val="00D83423"/>
    <w:rsid w:val="00D85333"/>
    <w:rsid w:val="00D85DC6"/>
    <w:rsid w:val="00D86C90"/>
    <w:rsid w:val="00D94949"/>
    <w:rsid w:val="00D95828"/>
    <w:rsid w:val="00D961AD"/>
    <w:rsid w:val="00DA03FC"/>
    <w:rsid w:val="00DA1EA1"/>
    <w:rsid w:val="00DA4F34"/>
    <w:rsid w:val="00DA5F10"/>
    <w:rsid w:val="00DA62AB"/>
    <w:rsid w:val="00DA6EEC"/>
    <w:rsid w:val="00DA760C"/>
    <w:rsid w:val="00DB196D"/>
    <w:rsid w:val="00DB630B"/>
    <w:rsid w:val="00DB72B2"/>
    <w:rsid w:val="00DC009C"/>
    <w:rsid w:val="00DC13B8"/>
    <w:rsid w:val="00DC21E1"/>
    <w:rsid w:val="00DC2C23"/>
    <w:rsid w:val="00DC323E"/>
    <w:rsid w:val="00DC36DA"/>
    <w:rsid w:val="00DC3D96"/>
    <w:rsid w:val="00DC44D4"/>
    <w:rsid w:val="00DC61B7"/>
    <w:rsid w:val="00DD13E7"/>
    <w:rsid w:val="00DD2019"/>
    <w:rsid w:val="00DD282E"/>
    <w:rsid w:val="00DD354B"/>
    <w:rsid w:val="00DD42C6"/>
    <w:rsid w:val="00DD43EB"/>
    <w:rsid w:val="00DD4B8F"/>
    <w:rsid w:val="00DE0F73"/>
    <w:rsid w:val="00DE13D9"/>
    <w:rsid w:val="00DE1DCD"/>
    <w:rsid w:val="00DE4442"/>
    <w:rsid w:val="00DE4ED9"/>
    <w:rsid w:val="00DE5E8E"/>
    <w:rsid w:val="00DE634E"/>
    <w:rsid w:val="00DF4A09"/>
    <w:rsid w:val="00DF4B62"/>
    <w:rsid w:val="00DF5CE4"/>
    <w:rsid w:val="00DF6B9C"/>
    <w:rsid w:val="00DF6BE3"/>
    <w:rsid w:val="00DF760D"/>
    <w:rsid w:val="00E112D2"/>
    <w:rsid w:val="00E11300"/>
    <w:rsid w:val="00E12238"/>
    <w:rsid w:val="00E12CC7"/>
    <w:rsid w:val="00E14C08"/>
    <w:rsid w:val="00E14F58"/>
    <w:rsid w:val="00E1528F"/>
    <w:rsid w:val="00E158CA"/>
    <w:rsid w:val="00E15B52"/>
    <w:rsid w:val="00E16372"/>
    <w:rsid w:val="00E22781"/>
    <w:rsid w:val="00E25F60"/>
    <w:rsid w:val="00E27759"/>
    <w:rsid w:val="00E31571"/>
    <w:rsid w:val="00E32E6C"/>
    <w:rsid w:val="00E362DE"/>
    <w:rsid w:val="00E36554"/>
    <w:rsid w:val="00E36D2C"/>
    <w:rsid w:val="00E4177B"/>
    <w:rsid w:val="00E455FB"/>
    <w:rsid w:val="00E4667C"/>
    <w:rsid w:val="00E46CE6"/>
    <w:rsid w:val="00E475EB"/>
    <w:rsid w:val="00E52107"/>
    <w:rsid w:val="00E55F4A"/>
    <w:rsid w:val="00E55F75"/>
    <w:rsid w:val="00E56392"/>
    <w:rsid w:val="00E5788B"/>
    <w:rsid w:val="00E60070"/>
    <w:rsid w:val="00E61D7A"/>
    <w:rsid w:val="00E6301B"/>
    <w:rsid w:val="00E65B67"/>
    <w:rsid w:val="00E668FE"/>
    <w:rsid w:val="00E67214"/>
    <w:rsid w:val="00E710F0"/>
    <w:rsid w:val="00E73162"/>
    <w:rsid w:val="00E74A51"/>
    <w:rsid w:val="00E75244"/>
    <w:rsid w:val="00E7554F"/>
    <w:rsid w:val="00E75D08"/>
    <w:rsid w:val="00E76009"/>
    <w:rsid w:val="00E76BD0"/>
    <w:rsid w:val="00E772EE"/>
    <w:rsid w:val="00E84075"/>
    <w:rsid w:val="00E858C4"/>
    <w:rsid w:val="00E862AC"/>
    <w:rsid w:val="00E871D4"/>
    <w:rsid w:val="00E90486"/>
    <w:rsid w:val="00E9089C"/>
    <w:rsid w:val="00E9092C"/>
    <w:rsid w:val="00E90ED3"/>
    <w:rsid w:val="00E91D7F"/>
    <w:rsid w:val="00E92502"/>
    <w:rsid w:val="00E9314C"/>
    <w:rsid w:val="00E93350"/>
    <w:rsid w:val="00E935A2"/>
    <w:rsid w:val="00E936E9"/>
    <w:rsid w:val="00E93C12"/>
    <w:rsid w:val="00E94E9C"/>
    <w:rsid w:val="00E96835"/>
    <w:rsid w:val="00E975AA"/>
    <w:rsid w:val="00EA0915"/>
    <w:rsid w:val="00EA0B73"/>
    <w:rsid w:val="00EA2F1A"/>
    <w:rsid w:val="00EA3AD0"/>
    <w:rsid w:val="00EA3B0F"/>
    <w:rsid w:val="00EA3DB8"/>
    <w:rsid w:val="00EA4F27"/>
    <w:rsid w:val="00EA6F4D"/>
    <w:rsid w:val="00EB073E"/>
    <w:rsid w:val="00EB2632"/>
    <w:rsid w:val="00EB27ED"/>
    <w:rsid w:val="00EB577F"/>
    <w:rsid w:val="00EB755B"/>
    <w:rsid w:val="00EB7C53"/>
    <w:rsid w:val="00EC4423"/>
    <w:rsid w:val="00EC4B23"/>
    <w:rsid w:val="00ED15AE"/>
    <w:rsid w:val="00ED48BB"/>
    <w:rsid w:val="00ED527F"/>
    <w:rsid w:val="00ED6185"/>
    <w:rsid w:val="00EE00DE"/>
    <w:rsid w:val="00EE2673"/>
    <w:rsid w:val="00EF28CF"/>
    <w:rsid w:val="00EF299E"/>
    <w:rsid w:val="00EF6D6D"/>
    <w:rsid w:val="00EF7C54"/>
    <w:rsid w:val="00F00555"/>
    <w:rsid w:val="00F01C11"/>
    <w:rsid w:val="00F020BE"/>
    <w:rsid w:val="00F025D5"/>
    <w:rsid w:val="00F03C1F"/>
    <w:rsid w:val="00F03D6C"/>
    <w:rsid w:val="00F041B1"/>
    <w:rsid w:val="00F05868"/>
    <w:rsid w:val="00F119C0"/>
    <w:rsid w:val="00F1392D"/>
    <w:rsid w:val="00F227B8"/>
    <w:rsid w:val="00F2301B"/>
    <w:rsid w:val="00F24039"/>
    <w:rsid w:val="00F24F19"/>
    <w:rsid w:val="00F26B16"/>
    <w:rsid w:val="00F30A48"/>
    <w:rsid w:val="00F33515"/>
    <w:rsid w:val="00F34BC9"/>
    <w:rsid w:val="00F34D33"/>
    <w:rsid w:val="00F370CD"/>
    <w:rsid w:val="00F3727C"/>
    <w:rsid w:val="00F37C2D"/>
    <w:rsid w:val="00F4145A"/>
    <w:rsid w:val="00F41A7F"/>
    <w:rsid w:val="00F41F9C"/>
    <w:rsid w:val="00F42D6C"/>
    <w:rsid w:val="00F44E22"/>
    <w:rsid w:val="00F450EF"/>
    <w:rsid w:val="00F45B16"/>
    <w:rsid w:val="00F45CB9"/>
    <w:rsid w:val="00F4658B"/>
    <w:rsid w:val="00F46C04"/>
    <w:rsid w:val="00F46DEB"/>
    <w:rsid w:val="00F47CF3"/>
    <w:rsid w:val="00F50393"/>
    <w:rsid w:val="00F5323E"/>
    <w:rsid w:val="00F5394A"/>
    <w:rsid w:val="00F5403F"/>
    <w:rsid w:val="00F60568"/>
    <w:rsid w:val="00F628E0"/>
    <w:rsid w:val="00F63B36"/>
    <w:rsid w:val="00F649C9"/>
    <w:rsid w:val="00F64D5C"/>
    <w:rsid w:val="00F740B4"/>
    <w:rsid w:val="00F83F45"/>
    <w:rsid w:val="00F8611C"/>
    <w:rsid w:val="00F86CBB"/>
    <w:rsid w:val="00F9024A"/>
    <w:rsid w:val="00F93EFA"/>
    <w:rsid w:val="00F960CE"/>
    <w:rsid w:val="00F961CF"/>
    <w:rsid w:val="00F96E4B"/>
    <w:rsid w:val="00FA0424"/>
    <w:rsid w:val="00FA0DF0"/>
    <w:rsid w:val="00FA179B"/>
    <w:rsid w:val="00FA28CF"/>
    <w:rsid w:val="00FA3821"/>
    <w:rsid w:val="00FB00C1"/>
    <w:rsid w:val="00FB1CF6"/>
    <w:rsid w:val="00FB402F"/>
    <w:rsid w:val="00FB4BC4"/>
    <w:rsid w:val="00FB4E22"/>
    <w:rsid w:val="00FB69A0"/>
    <w:rsid w:val="00FB7969"/>
    <w:rsid w:val="00FC0D81"/>
    <w:rsid w:val="00FC36B3"/>
    <w:rsid w:val="00FC39B2"/>
    <w:rsid w:val="00FC3DD0"/>
    <w:rsid w:val="00FC4551"/>
    <w:rsid w:val="00FC5064"/>
    <w:rsid w:val="00FC5925"/>
    <w:rsid w:val="00FC59ED"/>
    <w:rsid w:val="00FC6588"/>
    <w:rsid w:val="00FC6664"/>
    <w:rsid w:val="00FC6C6E"/>
    <w:rsid w:val="00FD0852"/>
    <w:rsid w:val="00FD0C2E"/>
    <w:rsid w:val="00FD3D86"/>
    <w:rsid w:val="00FD5F3B"/>
    <w:rsid w:val="00FD66D9"/>
    <w:rsid w:val="00FD7BDF"/>
    <w:rsid w:val="00FE226A"/>
    <w:rsid w:val="00FE3A00"/>
    <w:rsid w:val="00FE4360"/>
    <w:rsid w:val="00FF14EB"/>
    <w:rsid w:val="00FF285A"/>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nhideWhenUsed="1"/>
    <w:lsdException w:name="caption" w:uiPriority="35" w:unhideWhenUsed="1" w:qFormat="1"/>
    <w:lsdException w:name="page number" w:semiHidden="0" w:qFormat="1"/>
    <w:lsdException w:name="List Bullet" w:uiPriority="0" w:qFormat="1"/>
    <w:lsdException w:name="List Number" w:uiPriority="0" w:qFormat="1"/>
    <w:lsdException w:name="Title" w:semiHidden="0" w:uiPriority="2" w:qFormat="1"/>
    <w:lsdException w:name="Default Paragraph Font" w:uiPriority="1" w:unhideWhenUsed="1"/>
    <w:lsdException w:name="Body Text" w:uiPriority="0"/>
    <w:lsdException w:name="Subtitle" w:semiHidden="0" w:uiPriority="2" w:qFormat="1"/>
    <w:lsdException w:name="Strong" w:semiHidden="0" w:uiPriority="22" w:qFormat="1"/>
    <w:lsdException w:name="Emphasis" w:semiHidden="0"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0"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unhideWhenUsed="1" w:qFormat="1"/>
  </w:latentStyles>
  <w:style w:type="paragraph" w:default="1" w:styleId="Normal">
    <w:name w:val="Normal"/>
    <w:qFormat/>
    <w:rsid w:val="007319E6"/>
    <w:pPr>
      <w:spacing w:after="200" w:line="260" w:lineRule="exact"/>
    </w:pPr>
    <w:rPr>
      <w:rFonts w:ascii="Arial" w:hAnsi="Arial"/>
      <w:sz w:val="22"/>
      <w:szCs w:val="24"/>
      <w:lang w:eastAsia="en-US"/>
    </w:rPr>
  </w:style>
  <w:style w:type="paragraph" w:styleId="Heading1">
    <w:name w:val="heading 1"/>
    <w:basedOn w:val="Heading3"/>
    <w:next w:val="BodyText1"/>
    <w:qFormat/>
    <w:rsid w:val="00010B24"/>
    <w:pPr>
      <w:outlineLvl w:val="0"/>
    </w:pPr>
  </w:style>
  <w:style w:type="paragraph" w:styleId="Heading2">
    <w:name w:val="heading 2"/>
    <w:next w:val="BodyText1"/>
    <w:link w:val="Heading2Char"/>
    <w:qFormat/>
    <w:rsid w:val="008F1C8A"/>
    <w:pPr>
      <w:spacing w:after="120" w:line="260" w:lineRule="exact"/>
      <w:ind w:left="284" w:hanging="284"/>
      <w:outlineLvl w:val="1"/>
    </w:pPr>
    <w:rPr>
      <w:rFonts w:ascii="Arial" w:hAnsi="Arial"/>
      <w:b/>
      <w:spacing w:val="-6"/>
      <w:sz w:val="26"/>
      <w:szCs w:val="26"/>
      <w:lang w:eastAsia="en-US"/>
    </w:rPr>
  </w:style>
  <w:style w:type="paragraph" w:styleId="Heading3">
    <w:name w:val="heading 3"/>
    <w:next w:val="BodyText1"/>
    <w:link w:val="Heading3Char"/>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basedOn w:val="Heading1"/>
    <w:uiPriority w:val="2"/>
    <w:qFormat/>
    <w:rsid w:val="00010B24"/>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CellMar>
        <w:left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Cambria" w:hAnsi="Cambria"/>
      <w:b w:val="0"/>
      <w:bCs w:val="0"/>
      <w:color w:val="365F91"/>
      <w:spacing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220271"/>
    <w:pPr>
      <w:spacing w:after="100"/>
      <w:ind w:left="440"/>
    </w:p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styleId="ListParagraph">
    <w:name w:val="List Paragraph"/>
    <w:basedOn w:val="Normal"/>
    <w:uiPriority w:val="34"/>
    <w:qFormat/>
    <w:rsid w:val="00B52E93"/>
    <w:pPr>
      <w:spacing w:after="0" w:line="240" w:lineRule="auto"/>
      <w:ind w:left="720"/>
    </w:pPr>
    <w:rPr>
      <w:rFonts w:ascii="Calibri" w:eastAsia="Calibri" w:hAnsi="Calibri" w:cs="Calibri"/>
      <w:szCs w:val="22"/>
    </w:rPr>
  </w:style>
  <w:style w:type="paragraph" w:customStyle="1" w:styleId="Proposaltitle">
    <w:name w:val="Proposal title"/>
    <w:basedOn w:val="Tablebodytext"/>
    <w:link w:val="ProposaltitleChar"/>
    <w:qFormat/>
    <w:rsid w:val="00B52E93"/>
    <w:pPr>
      <w:spacing w:line="240" w:lineRule="auto"/>
    </w:pPr>
    <w:rPr>
      <w:b/>
    </w:rPr>
  </w:style>
  <w:style w:type="character" w:customStyle="1" w:styleId="ProposaltitleChar">
    <w:name w:val="Proposal title Char"/>
    <w:link w:val="Proposaltitle"/>
    <w:locked/>
    <w:rsid w:val="00B52E93"/>
    <w:rPr>
      <w:rFonts w:ascii="Arial" w:hAnsi="Arial"/>
      <w:b/>
      <w:sz w:val="17"/>
      <w:szCs w:val="24"/>
      <w:lang w:eastAsia="en-US"/>
    </w:rPr>
  </w:style>
  <w:style w:type="paragraph" w:customStyle="1" w:styleId="TableUnitsRow">
    <w:name w:val="Table Units Row"/>
    <w:basedOn w:val="Normal"/>
    <w:rsid w:val="00B52E93"/>
    <w:pPr>
      <w:keepNext/>
      <w:keepLines/>
      <w:spacing w:before="80" w:after="80" w:line="220" w:lineRule="atLeast"/>
      <w:ind w:left="6" w:right="113"/>
      <w:jc w:val="right"/>
    </w:pPr>
    <w:rPr>
      <w:sz w:val="20"/>
      <w:szCs w:val="20"/>
      <w:lang w:val="en-US"/>
    </w:rPr>
  </w:style>
  <w:style w:type="paragraph" w:customStyle="1" w:styleId="TableColumnHeading0">
    <w:name w:val="Table Column Heading"/>
    <w:basedOn w:val="Normal"/>
    <w:rsid w:val="00B52E93"/>
    <w:pPr>
      <w:keepNext/>
      <w:keepLines/>
      <w:spacing w:before="80" w:after="80" w:line="220" w:lineRule="atLeast"/>
      <w:ind w:left="6" w:right="113"/>
      <w:jc w:val="right"/>
    </w:pPr>
    <w:rPr>
      <w:i/>
      <w:sz w:val="20"/>
      <w:szCs w:val="20"/>
      <w:lang w:val="en-US"/>
    </w:rPr>
  </w:style>
  <w:style w:type="character" w:customStyle="1" w:styleId="Heading2Char">
    <w:name w:val="Heading 2 Char"/>
    <w:link w:val="Heading2"/>
    <w:rsid w:val="00D16882"/>
    <w:rPr>
      <w:rFonts w:ascii="Arial" w:hAnsi="Arial"/>
      <w:b/>
      <w:spacing w:val="-6"/>
      <w:sz w:val="26"/>
      <w:szCs w:val="26"/>
      <w:lang w:eastAsia="en-US"/>
    </w:rPr>
  </w:style>
  <w:style w:type="table" w:styleId="MediumGrid1-Accent6">
    <w:name w:val="Medium Grid 1 Accent 6"/>
    <w:basedOn w:val="TableNormal"/>
    <w:uiPriority w:val="67"/>
    <w:rsid w:val="0088765D"/>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
    <w:name w:val="Medium Grid 1 - Accent 61"/>
    <w:basedOn w:val="TableNormal"/>
    <w:next w:val="MediumGrid1-Accent6"/>
    <w:uiPriority w:val="67"/>
    <w:rsid w:val="00DC36DA"/>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2">
    <w:name w:val="Medium Grid 1 - Accent 62"/>
    <w:basedOn w:val="TableNormal"/>
    <w:next w:val="MediumGrid1-Accent6"/>
    <w:uiPriority w:val="67"/>
    <w:rsid w:val="001934B1"/>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3">
    <w:name w:val="Medium Grid 1 - Accent 63"/>
    <w:basedOn w:val="TableNormal"/>
    <w:next w:val="MediumGrid1-Accent6"/>
    <w:uiPriority w:val="67"/>
    <w:rsid w:val="00202058"/>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4">
    <w:name w:val="Medium Grid 1 - Accent 64"/>
    <w:basedOn w:val="TableNormal"/>
    <w:next w:val="MediumGrid1-Accent6"/>
    <w:uiPriority w:val="67"/>
    <w:rsid w:val="00607F7F"/>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CommentReference">
    <w:name w:val="annotation reference"/>
    <w:uiPriority w:val="99"/>
    <w:semiHidden/>
    <w:rsid w:val="0004563F"/>
    <w:rPr>
      <w:sz w:val="16"/>
      <w:szCs w:val="16"/>
    </w:rPr>
  </w:style>
  <w:style w:type="paragraph" w:styleId="CommentText">
    <w:name w:val="annotation text"/>
    <w:basedOn w:val="Normal"/>
    <w:link w:val="CommentTextChar"/>
    <w:uiPriority w:val="99"/>
    <w:semiHidden/>
    <w:rsid w:val="0004563F"/>
    <w:pPr>
      <w:spacing w:line="240" w:lineRule="auto"/>
    </w:pPr>
    <w:rPr>
      <w:sz w:val="20"/>
      <w:szCs w:val="20"/>
    </w:rPr>
  </w:style>
  <w:style w:type="character" w:customStyle="1" w:styleId="CommentTextChar">
    <w:name w:val="Comment Text Char"/>
    <w:link w:val="CommentText"/>
    <w:uiPriority w:val="99"/>
    <w:semiHidden/>
    <w:rsid w:val="0004563F"/>
    <w:rPr>
      <w:rFonts w:ascii="Arial" w:hAnsi="Arial"/>
      <w:lang w:eastAsia="en-US"/>
    </w:rPr>
  </w:style>
  <w:style w:type="paragraph" w:styleId="CommentSubject">
    <w:name w:val="annotation subject"/>
    <w:basedOn w:val="CommentText"/>
    <w:next w:val="CommentText"/>
    <w:link w:val="CommentSubjectChar"/>
    <w:uiPriority w:val="99"/>
    <w:semiHidden/>
    <w:rsid w:val="0004563F"/>
    <w:rPr>
      <w:b/>
      <w:bCs/>
    </w:rPr>
  </w:style>
  <w:style w:type="character" w:customStyle="1" w:styleId="CommentSubjectChar">
    <w:name w:val="Comment Subject Char"/>
    <w:link w:val="CommentSubject"/>
    <w:uiPriority w:val="99"/>
    <w:semiHidden/>
    <w:rsid w:val="0004563F"/>
    <w:rPr>
      <w:rFonts w:ascii="Arial" w:hAnsi="Arial"/>
      <w:b/>
      <w:bCs/>
      <w:lang w:eastAsia="en-US"/>
    </w:rPr>
  </w:style>
  <w:style w:type="table" w:customStyle="1" w:styleId="MediumGrid1-Accent65">
    <w:name w:val="Medium Grid 1 - Accent 65"/>
    <w:basedOn w:val="TableNormal"/>
    <w:next w:val="MediumGrid1-Accent6"/>
    <w:uiPriority w:val="67"/>
    <w:rsid w:val="00AC2262"/>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6">
    <w:name w:val="Medium Grid 1 - Accent 66"/>
    <w:basedOn w:val="TableNormal"/>
    <w:next w:val="MediumGrid1-Accent6"/>
    <w:uiPriority w:val="67"/>
    <w:rsid w:val="00456BF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7">
    <w:name w:val="Medium Grid 1 - Accent 67"/>
    <w:basedOn w:val="TableNormal"/>
    <w:next w:val="MediumGrid1-Accent6"/>
    <w:uiPriority w:val="67"/>
    <w:rsid w:val="00C97C9B"/>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8">
    <w:name w:val="Medium Grid 1 - Accent 68"/>
    <w:basedOn w:val="TableNormal"/>
    <w:next w:val="MediumGrid1-Accent6"/>
    <w:uiPriority w:val="67"/>
    <w:rsid w:val="009C41A4"/>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customStyle="1" w:styleId="Heading3Char">
    <w:name w:val="Heading 3 Char"/>
    <w:link w:val="Heading3"/>
    <w:rsid w:val="00AF6F6A"/>
    <w:rPr>
      <w:rFonts w:ascii="Arial" w:hAnsi="Arial"/>
      <w:b/>
      <w:bCs/>
      <w:color w:val="F79646"/>
      <w:spacing w:val="-6"/>
      <w:sz w:val="22"/>
      <w:szCs w:val="22"/>
      <w:lang w:eastAsia="en-US"/>
    </w:rPr>
  </w:style>
  <w:style w:type="table" w:customStyle="1" w:styleId="MediumGrid1-Accent69">
    <w:name w:val="Medium Grid 1 - Accent 69"/>
    <w:basedOn w:val="TableNormal"/>
    <w:next w:val="MediumGrid1-Accent6"/>
    <w:uiPriority w:val="67"/>
    <w:rsid w:val="00747569"/>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1">
    <w:name w:val="Medium Grid 1 - Accent 611"/>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0">
    <w:name w:val="Medium Grid 1 - Accent 610"/>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2">
    <w:name w:val="Medium Grid 1 - Accent 612"/>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3">
    <w:name w:val="Medium Grid 1 - Accent 613"/>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4">
    <w:name w:val="Medium Grid 1 - Accent 614"/>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5">
    <w:name w:val="Medium Grid 1 - Accent 615"/>
    <w:basedOn w:val="TableNormal"/>
    <w:next w:val="MediumGrid1-Accent6"/>
    <w:uiPriority w:val="67"/>
    <w:rsid w:val="00686906"/>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FollowedHyperlink">
    <w:name w:val="FollowedHyperlink"/>
    <w:uiPriority w:val="99"/>
    <w:semiHidden/>
    <w:rsid w:val="00FB7969"/>
    <w:rPr>
      <w:color w:val="800080"/>
      <w:u w:val="single"/>
    </w:rPr>
  </w:style>
  <w:style w:type="paragraph" w:customStyle="1" w:styleId="note">
    <w:name w:val="note"/>
    <w:basedOn w:val="Normal"/>
    <w:uiPriority w:val="99"/>
    <w:rsid w:val="00730ADC"/>
    <w:pPr>
      <w:widowControl w:val="0"/>
      <w:suppressAutoHyphens/>
      <w:autoSpaceDE w:val="0"/>
      <w:autoSpaceDN w:val="0"/>
      <w:adjustRightInd w:val="0"/>
      <w:spacing w:after="113" w:line="200" w:lineRule="atLeast"/>
      <w:textAlignment w:val="center"/>
    </w:pPr>
    <w:rPr>
      <w:rFonts w:cs="Interstate-Light"/>
      <w:color w:val="000000"/>
      <w:sz w:val="18"/>
      <w:szCs w:val="16"/>
      <w:lang w:val="en-GB"/>
    </w:rPr>
  </w:style>
  <w:style w:type="paragraph" w:customStyle="1" w:styleId="TableParagraph">
    <w:name w:val="Table Paragraph"/>
    <w:basedOn w:val="Normal"/>
    <w:uiPriority w:val="1"/>
    <w:qFormat/>
    <w:rsid w:val="00730ADC"/>
    <w:pPr>
      <w:widowControl w:val="0"/>
      <w:autoSpaceDE w:val="0"/>
      <w:autoSpaceDN w:val="0"/>
      <w:adjustRightInd w:val="0"/>
      <w:spacing w:after="0" w:line="240" w:lineRule="auto"/>
    </w:pPr>
    <w:rPr>
      <w:rFonts w:ascii="Times New Roman" w:eastAsia="MS Mincho" w:hAnsi="Times New Roman"/>
      <w:sz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9"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nhideWhenUsed="1"/>
    <w:lsdException w:name="caption" w:uiPriority="35" w:unhideWhenUsed="1" w:qFormat="1"/>
    <w:lsdException w:name="page number" w:semiHidden="0" w:qFormat="1"/>
    <w:lsdException w:name="List Bullet" w:uiPriority="0" w:qFormat="1"/>
    <w:lsdException w:name="List Number" w:uiPriority="0" w:qFormat="1"/>
    <w:lsdException w:name="Title" w:semiHidden="0" w:uiPriority="2" w:qFormat="1"/>
    <w:lsdException w:name="Default Paragraph Font" w:uiPriority="1" w:unhideWhenUsed="1"/>
    <w:lsdException w:name="Body Text" w:uiPriority="0"/>
    <w:lsdException w:name="Subtitle" w:semiHidden="0" w:uiPriority="2" w:qFormat="1"/>
    <w:lsdException w:name="Strong" w:semiHidden="0" w:uiPriority="22" w:qFormat="1"/>
    <w:lsdException w:name="Emphasis" w:semiHidden="0" w:uiPriority="20"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0"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lsdException w:name="TOC Heading" w:uiPriority="39" w:unhideWhenUsed="1" w:qFormat="1"/>
  </w:latentStyles>
  <w:style w:type="paragraph" w:default="1" w:styleId="Normal">
    <w:name w:val="Normal"/>
    <w:qFormat/>
    <w:rsid w:val="007319E6"/>
    <w:pPr>
      <w:spacing w:after="200" w:line="260" w:lineRule="exact"/>
    </w:pPr>
    <w:rPr>
      <w:rFonts w:ascii="Arial" w:hAnsi="Arial"/>
      <w:sz w:val="22"/>
      <w:szCs w:val="24"/>
      <w:lang w:eastAsia="en-US"/>
    </w:rPr>
  </w:style>
  <w:style w:type="paragraph" w:styleId="Heading1">
    <w:name w:val="heading 1"/>
    <w:basedOn w:val="Heading3"/>
    <w:next w:val="BodyText1"/>
    <w:qFormat/>
    <w:rsid w:val="00010B24"/>
    <w:pPr>
      <w:outlineLvl w:val="0"/>
    </w:pPr>
  </w:style>
  <w:style w:type="paragraph" w:styleId="Heading2">
    <w:name w:val="heading 2"/>
    <w:next w:val="BodyText1"/>
    <w:link w:val="Heading2Char"/>
    <w:qFormat/>
    <w:rsid w:val="008F1C8A"/>
    <w:pPr>
      <w:spacing w:after="120" w:line="260" w:lineRule="exact"/>
      <w:ind w:left="284" w:hanging="284"/>
      <w:outlineLvl w:val="1"/>
    </w:pPr>
    <w:rPr>
      <w:rFonts w:ascii="Arial" w:hAnsi="Arial"/>
      <w:b/>
      <w:spacing w:val="-6"/>
      <w:sz w:val="26"/>
      <w:szCs w:val="26"/>
      <w:lang w:eastAsia="en-US"/>
    </w:rPr>
  </w:style>
  <w:style w:type="paragraph" w:styleId="Heading3">
    <w:name w:val="heading 3"/>
    <w:next w:val="BodyText1"/>
    <w:link w:val="Heading3Char"/>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basedOn w:val="Heading1"/>
    <w:uiPriority w:val="2"/>
    <w:qFormat/>
    <w:rsid w:val="00010B24"/>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CellMar>
        <w:left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Cambria" w:hAnsi="Cambria"/>
      <w:b w:val="0"/>
      <w:bCs w:val="0"/>
      <w:color w:val="365F91"/>
      <w:spacing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220271"/>
    <w:pPr>
      <w:spacing w:after="100"/>
      <w:ind w:left="440"/>
    </w:p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styleId="ListParagraph">
    <w:name w:val="List Paragraph"/>
    <w:basedOn w:val="Normal"/>
    <w:uiPriority w:val="34"/>
    <w:qFormat/>
    <w:rsid w:val="00B52E93"/>
    <w:pPr>
      <w:spacing w:after="0" w:line="240" w:lineRule="auto"/>
      <w:ind w:left="720"/>
    </w:pPr>
    <w:rPr>
      <w:rFonts w:ascii="Calibri" w:eastAsia="Calibri" w:hAnsi="Calibri" w:cs="Calibri"/>
      <w:szCs w:val="22"/>
    </w:rPr>
  </w:style>
  <w:style w:type="paragraph" w:customStyle="1" w:styleId="Proposaltitle">
    <w:name w:val="Proposal title"/>
    <w:basedOn w:val="Tablebodytext"/>
    <w:link w:val="ProposaltitleChar"/>
    <w:qFormat/>
    <w:rsid w:val="00B52E93"/>
    <w:pPr>
      <w:spacing w:line="240" w:lineRule="auto"/>
    </w:pPr>
    <w:rPr>
      <w:b/>
    </w:rPr>
  </w:style>
  <w:style w:type="character" w:customStyle="1" w:styleId="ProposaltitleChar">
    <w:name w:val="Proposal title Char"/>
    <w:link w:val="Proposaltitle"/>
    <w:locked/>
    <w:rsid w:val="00B52E93"/>
    <w:rPr>
      <w:rFonts w:ascii="Arial" w:hAnsi="Arial"/>
      <w:b/>
      <w:sz w:val="17"/>
      <w:szCs w:val="24"/>
      <w:lang w:eastAsia="en-US"/>
    </w:rPr>
  </w:style>
  <w:style w:type="paragraph" w:customStyle="1" w:styleId="TableUnitsRow">
    <w:name w:val="Table Units Row"/>
    <w:basedOn w:val="Normal"/>
    <w:rsid w:val="00B52E93"/>
    <w:pPr>
      <w:keepNext/>
      <w:keepLines/>
      <w:spacing w:before="80" w:after="80" w:line="220" w:lineRule="atLeast"/>
      <w:ind w:left="6" w:right="113"/>
      <w:jc w:val="right"/>
    </w:pPr>
    <w:rPr>
      <w:sz w:val="20"/>
      <w:szCs w:val="20"/>
      <w:lang w:val="en-US"/>
    </w:rPr>
  </w:style>
  <w:style w:type="paragraph" w:customStyle="1" w:styleId="TableColumnHeading0">
    <w:name w:val="Table Column Heading"/>
    <w:basedOn w:val="Normal"/>
    <w:rsid w:val="00B52E93"/>
    <w:pPr>
      <w:keepNext/>
      <w:keepLines/>
      <w:spacing w:before="80" w:after="80" w:line="220" w:lineRule="atLeast"/>
      <w:ind w:left="6" w:right="113"/>
      <w:jc w:val="right"/>
    </w:pPr>
    <w:rPr>
      <w:i/>
      <w:sz w:val="20"/>
      <w:szCs w:val="20"/>
      <w:lang w:val="en-US"/>
    </w:rPr>
  </w:style>
  <w:style w:type="character" w:customStyle="1" w:styleId="Heading2Char">
    <w:name w:val="Heading 2 Char"/>
    <w:link w:val="Heading2"/>
    <w:rsid w:val="00D16882"/>
    <w:rPr>
      <w:rFonts w:ascii="Arial" w:hAnsi="Arial"/>
      <w:b/>
      <w:spacing w:val="-6"/>
      <w:sz w:val="26"/>
      <w:szCs w:val="26"/>
      <w:lang w:eastAsia="en-US"/>
    </w:rPr>
  </w:style>
  <w:style w:type="table" w:styleId="MediumGrid1-Accent6">
    <w:name w:val="Medium Grid 1 Accent 6"/>
    <w:basedOn w:val="TableNormal"/>
    <w:uiPriority w:val="67"/>
    <w:rsid w:val="0088765D"/>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
    <w:name w:val="Medium Grid 1 - Accent 61"/>
    <w:basedOn w:val="TableNormal"/>
    <w:next w:val="MediumGrid1-Accent6"/>
    <w:uiPriority w:val="67"/>
    <w:rsid w:val="00DC36DA"/>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2">
    <w:name w:val="Medium Grid 1 - Accent 62"/>
    <w:basedOn w:val="TableNormal"/>
    <w:next w:val="MediumGrid1-Accent6"/>
    <w:uiPriority w:val="67"/>
    <w:rsid w:val="001934B1"/>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3">
    <w:name w:val="Medium Grid 1 - Accent 63"/>
    <w:basedOn w:val="TableNormal"/>
    <w:next w:val="MediumGrid1-Accent6"/>
    <w:uiPriority w:val="67"/>
    <w:rsid w:val="00202058"/>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4">
    <w:name w:val="Medium Grid 1 - Accent 64"/>
    <w:basedOn w:val="TableNormal"/>
    <w:next w:val="MediumGrid1-Accent6"/>
    <w:uiPriority w:val="67"/>
    <w:rsid w:val="00607F7F"/>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CommentReference">
    <w:name w:val="annotation reference"/>
    <w:uiPriority w:val="99"/>
    <w:semiHidden/>
    <w:rsid w:val="0004563F"/>
    <w:rPr>
      <w:sz w:val="16"/>
      <w:szCs w:val="16"/>
    </w:rPr>
  </w:style>
  <w:style w:type="paragraph" w:styleId="CommentText">
    <w:name w:val="annotation text"/>
    <w:basedOn w:val="Normal"/>
    <w:link w:val="CommentTextChar"/>
    <w:uiPriority w:val="99"/>
    <w:semiHidden/>
    <w:rsid w:val="0004563F"/>
    <w:pPr>
      <w:spacing w:line="240" w:lineRule="auto"/>
    </w:pPr>
    <w:rPr>
      <w:sz w:val="20"/>
      <w:szCs w:val="20"/>
    </w:rPr>
  </w:style>
  <w:style w:type="character" w:customStyle="1" w:styleId="CommentTextChar">
    <w:name w:val="Comment Text Char"/>
    <w:link w:val="CommentText"/>
    <w:uiPriority w:val="99"/>
    <w:semiHidden/>
    <w:rsid w:val="0004563F"/>
    <w:rPr>
      <w:rFonts w:ascii="Arial" w:hAnsi="Arial"/>
      <w:lang w:eastAsia="en-US"/>
    </w:rPr>
  </w:style>
  <w:style w:type="paragraph" w:styleId="CommentSubject">
    <w:name w:val="annotation subject"/>
    <w:basedOn w:val="CommentText"/>
    <w:next w:val="CommentText"/>
    <w:link w:val="CommentSubjectChar"/>
    <w:uiPriority w:val="99"/>
    <w:semiHidden/>
    <w:rsid w:val="0004563F"/>
    <w:rPr>
      <w:b/>
      <w:bCs/>
    </w:rPr>
  </w:style>
  <w:style w:type="character" w:customStyle="1" w:styleId="CommentSubjectChar">
    <w:name w:val="Comment Subject Char"/>
    <w:link w:val="CommentSubject"/>
    <w:uiPriority w:val="99"/>
    <w:semiHidden/>
    <w:rsid w:val="0004563F"/>
    <w:rPr>
      <w:rFonts w:ascii="Arial" w:hAnsi="Arial"/>
      <w:b/>
      <w:bCs/>
      <w:lang w:eastAsia="en-US"/>
    </w:rPr>
  </w:style>
  <w:style w:type="table" w:customStyle="1" w:styleId="MediumGrid1-Accent65">
    <w:name w:val="Medium Grid 1 - Accent 65"/>
    <w:basedOn w:val="TableNormal"/>
    <w:next w:val="MediumGrid1-Accent6"/>
    <w:uiPriority w:val="67"/>
    <w:rsid w:val="00AC2262"/>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6">
    <w:name w:val="Medium Grid 1 - Accent 66"/>
    <w:basedOn w:val="TableNormal"/>
    <w:next w:val="MediumGrid1-Accent6"/>
    <w:uiPriority w:val="67"/>
    <w:rsid w:val="00456BF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7">
    <w:name w:val="Medium Grid 1 - Accent 67"/>
    <w:basedOn w:val="TableNormal"/>
    <w:next w:val="MediumGrid1-Accent6"/>
    <w:uiPriority w:val="67"/>
    <w:rsid w:val="00C97C9B"/>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8">
    <w:name w:val="Medium Grid 1 - Accent 68"/>
    <w:basedOn w:val="TableNormal"/>
    <w:next w:val="MediumGrid1-Accent6"/>
    <w:uiPriority w:val="67"/>
    <w:rsid w:val="009C41A4"/>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customStyle="1" w:styleId="Heading3Char">
    <w:name w:val="Heading 3 Char"/>
    <w:link w:val="Heading3"/>
    <w:rsid w:val="00AF6F6A"/>
    <w:rPr>
      <w:rFonts w:ascii="Arial" w:hAnsi="Arial"/>
      <w:b/>
      <w:bCs/>
      <w:color w:val="F79646"/>
      <w:spacing w:val="-6"/>
      <w:sz w:val="22"/>
      <w:szCs w:val="22"/>
      <w:lang w:eastAsia="en-US"/>
    </w:rPr>
  </w:style>
  <w:style w:type="table" w:customStyle="1" w:styleId="MediumGrid1-Accent69">
    <w:name w:val="Medium Grid 1 - Accent 69"/>
    <w:basedOn w:val="TableNormal"/>
    <w:next w:val="MediumGrid1-Accent6"/>
    <w:uiPriority w:val="67"/>
    <w:rsid w:val="00747569"/>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1">
    <w:name w:val="Medium Grid 1 - Accent 611"/>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0">
    <w:name w:val="Medium Grid 1 - Accent 610"/>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2">
    <w:name w:val="Medium Grid 1 - Accent 612"/>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3">
    <w:name w:val="Medium Grid 1 - Accent 613"/>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4">
    <w:name w:val="Medium Grid 1 - Accent 614"/>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5">
    <w:name w:val="Medium Grid 1 - Accent 615"/>
    <w:basedOn w:val="TableNormal"/>
    <w:next w:val="MediumGrid1-Accent6"/>
    <w:uiPriority w:val="67"/>
    <w:rsid w:val="00686906"/>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FollowedHyperlink">
    <w:name w:val="FollowedHyperlink"/>
    <w:uiPriority w:val="99"/>
    <w:semiHidden/>
    <w:rsid w:val="00FB7969"/>
    <w:rPr>
      <w:color w:val="800080"/>
      <w:u w:val="single"/>
    </w:rPr>
  </w:style>
  <w:style w:type="paragraph" w:customStyle="1" w:styleId="note">
    <w:name w:val="note"/>
    <w:basedOn w:val="Normal"/>
    <w:uiPriority w:val="99"/>
    <w:rsid w:val="00730ADC"/>
    <w:pPr>
      <w:widowControl w:val="0"/>
      <w:suppressAutoHyphens/>
      <w:autoSpaceDE w:val="0"/>
      <w:autoSpaceDN w:val="0"/>
      <w:adjustRightInd w:val="0"/>
      <w:spacing w:after="113" w:line="200" w:lineRule="atLeast"/>
      <w:textAlignment w:val="center"/>
    </w:pPr>
    <w:rPr>
      <w:rFonts w:cs="Interstate-Light"/>
      <w:color w:val="000000"/>
      <w:sz w:val="18"/>
      <w:szCs w:val="16"/>
      <w:lang w:val="en-GB"/>
    </w:rPr>
  </w:style>
  <w:style w:type="paragraph" w:customStyle="1" w:styleId="TableParagraph">
    <w:name w:val="Table Paragraph"/>
    <w:basedOn w:val="Normal"/>
    <w:uiPriority w:val="1"/>
    <w:qFormat/>
    <w:rsid w:val="00730ADC"/>
    <w:pPr>
      <w:widowControl w:val="0"/>
      <w:autoSpaceDE w:val="0"/>
      <w:autoSpaceDN w:val="0"/>
      <w:adjustRightInd w:val="0"/>
      <w:spacing w:after="0" w:line="240" w:lineRule="auto"/>
    </w:pPr>
    <w:rPr>
      <w:rFonts w:ascii="Times New Roman" w:eastAsia="MS Mincho" w:hAnsi="Times New Roman"/>
      <w:sz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669072">
      <w:bodyDiv w:val="1"/>
      <w:marLeft w:val="0"/>
      <w:marRight w:val="0"/>
      <w:marTop w:val="0"/>
      <w:marBottom w:val="0"/>
      <w:divBdr>
        <w:top w:val="none" w:sz="0" w:space="0" w:color="auto"/>
        <w:left w:val="none" w:sz="0" w:space="0" w:color="auto"/>
        <w:bottom w:val="none" w:sz="0" w:space="0" w:color="auto"/>
        <w:right w:val="none" w:sz="0" w:space="0" w:color="auto"/>
      </w:divBdr>
    </w:div>
    <w:div w:id="747701220">
      <w:bodyDiv w:val="1"/>
      <w:marLeft w:val="0"/>
      <w:marRight w:val="0"/>
      <w:marTop w:val="0"/>
      <w:marBottom w:val="0"/>
      <w:divBdr>
        <w:top w:val="none" w:sz="0" w:space="0" w:color="auto"/>
        <w:left w:val="none" w:sz="0" w:space="0" w:color="auto"/>
        <w:bottom w:val="none" w:sz="0" w:space="0" w:color="auto"/>
        <w:right w:val="none" w:sz="0" w:space="0" w:color="auto"/>
      </w:divBdr>
      <w:divsChild>
        <w:div w:id="354238530">
          <w:marLeft w:val="0"/>
          <w:marRight w:val="0"/>
          <w:marTop w:val="0"/>
          <w:marBottom w:val="0"/>
          <w:divBdr>
            <w:top w:val="none" w:sz="0" w:space="0" w:color="auto"/>
            <w:left w:val="none" w:sz="0" w:space="0" w:color="auto"/>
            <w:bottom w:val="none" w:sz="0" w:space="0" w:color="auto"/>
            <w:right w:val="none" w:sz="0" w:space="0" w:color="auto"/>
          </w:divBdr>
          <w:divsChild>
            <w:div w:id="207087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557980">
      <w:bodyDiv w:val="1"/>
      <w:marLeft w:val="0"/>
      <w:marRight w:val="0"/>
      <w:marTop w:val="0"/>
      <w:marBottom w:val="0"/>
      <w:divBdr>
        <w:top w:val="none" w:sz="0" w:space="0" w:color="auto"/>
        <w:left w:val="none" w:sz="0" w:space="0" w:color="auto"/>
        <w:bottom w:val="none" w:sz="0" w:space="0" w:color="auto"/>
        <w:right w:val="none" w:sz="0" w:space="0" w:color="auto"/>
      </w:divBdr>
    </w:div>
    <w:div w:id="845245656">
      <w:bodyDiv w:val="1"/>
      <w:marLeft w:val="0"/>
      <w:marRight w:val="0"/>
      <w:marTop w:val="0"/>
      <w:marBottom w:val="0"/>
      <w:divBdr>
        <w:top w:val="none" w:sz="0" w:space="0" w:color="auto"/>
        <w:left w:val="none" w:sz="0" w:space="0" w:color="auto"/>
        <w:bottom w:val="none" w:sz="0" w:space="0" w:color="auto"/>
        <w:right w:val="none" w:sz="0" w:space="0" w:color="auto"/>
      </w:divBdr>
    </w:div>
    <w:div w:id="898367767">
      <w:bodyDiv w:val="1"/>
      <w:marLeft w:val="0"/>
      <w:marRight w:val="0"/>
      <w:marTop w:val="0"/>
      <w:marBottom w:val="0"/>
      <w:divBdr>
        <w:top w:val="none" w:sz="0" w:space="0" w:color="auto"/>
        <w:left w:val="none" w:sz="0" w:space="0" w:color="auto"/>
        <w:bottom w:val="none" w:sz="0" w:space="0" w:color="auto"/>
        <w:right w:val="none" w:sz="0" w:space="0" w:color="auto"/>
      </w:divBdr>
    </w:div>
    <w:div w:id="1032342318">
      <w:bodyDiv w:val="1"/>
      <w:marLeft w:val="0"/>
      <w:marRight w:val="0"/>
      <w:marTop w:val="0"/>
      <w:marBottom w:val="0"/>
      <w:divBdr>
        <w:top w:val="none" w:sz="0" w:space="0" w:color="auto"/>
        <w:left w:val="none" w:sz="0" w:space="0" w:color="auto"/>
        <w:bottom w:val="none" w:sz="0" w:space="0" w:color="auto"/>
        <w:right w:val="none" w:sz="0" w:space="0" w:color="auto"/>
      </w:divBdr>
      <w:divsChild>
        <w:div w:id="42144752">
          <w:marLeft w:val="0"/>
          <w:marRight w:val="0"/>
          <w:marTop w:val="0"/>
          <w:marBottom w:val="0"/>
          <w:divBdr>
            <w:top w:val="none" w:sz="0" w:space="0" w:color="auto"/>
            <w:left w:val="none" w:sz="0" w:space="0" w:color="auto"/>
            <w:bottom w:val="none" w:sz="0" w:space="0" w:color="auto"/>
            <w:right w:val="none" w:sz="0" w:space="0" w:color="auto"/>
          </w:divBdr>
          <w:divsChild>
            <w:div w:id="41840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660130">
      <w:bodyDiv w:val="1"/>
      <w:marLeft w:val="0"/>
      <w:marRight w:val="0"/>
      <w:marTop w:val="0"/>
      <w:marBottom w:val="0"/>
      <w:divBdr>
        <w:top w:val="none" w:sz="0" w:space="0" w:color="auto"/>
        <w:left w:val="none" w:sz="0" w:space="0" w:color="auto"/>
        <w:bottom w:val="none" w:sz="0" w:space="0" w:color="auto"/>
        <w:right w:val="none" w:sz="0" w:space="0" w:color="auto"/>
      </w:divBdr>
    </w:div>
    <w:div w:id="1355039787">
      <w:bodyDiv w:val="1"/>
      <w:marLeft w:val="0"/>
      <w:marRight w:val="0"/>
      <w:marTop w:val="0"/>
      <w:marBottom w:val="0"/>
      <w:divBdr>
        <w:top w:val="none" w:sz="0" w:space="0" w:color="auto"/>
        <w:left w:val="none" w:sz="0" w:space="0" w:color="auto"/>
        <w:bottom w:val="none" w:sz="0" w:space="0" w:color="auto"/>
        <w:right w:val="none" w:sz="0" w:space="0" w:color="auto"/>
      </w:divBdr>
    </w:div>
    <w:div w:id="1405638864">
      <w:bodyDiv w:val="1"/>
      <w:marLeft w:val="0"/>
      <w:marRight w:val="0"/>
      <w:marTop w:val="0"/>
      <w:marBottom w:val="0"/>
      <w:divBdr>
        <w:top w:val="none" w:sz="0" w:space="0" w:color="auto"/>
        <w:left w:val="none" w:sz="0" w:space="0" w:color="auto"/>
        <w:bottom w:val="none" w:sz="0" w:space="0" w:color="auto"/>
        <w:right w:val="none" w:sz="0" w:space="0" w:color="auto"/>
      </w:divBdr>
      <w:divsChild>
        <w:div w:id="1163858866">
          <w:marLeft w:val="0"/>
          <w:marRight w:val="0"/>
          <w:marTop w:val="0"/>
          <w:marBottom w:val="0"/>
          <w:divBdr>
            <w:top w:val="none" w:sz="0" w:space="0" w:color="auto"/>
            <w:left w:val="none" w:sz="0" w:space="0" w:color="auto"/>
            <w:bottom w:val="none" w:sz="0" w:space="0" w:color="auto"/>
            <w:right w:val="none" w:sz="0" w:space="0" w:color="auto"/>
          </w:divBdr>
          <w:divsChild>
            <w:div w:id="25645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410848">
      <w:bodyDiv w:val="1"/>
      <w:marLeft w:val="0"/>
      <w:marRight w:val="0"/>
      <w:marTop w:val="0"/>
      <w:marBottom w:val="0"/>
      <w:divBdr>
        <w:top w:val="none" w:sz="0" w:space="0" w:color="auto"/>
        <w:left w:val="none" w:sz="0" w:space="0" w:color="auto"/>
        <w:bottom w:val="none" w:sz="0" w:space="0" w:color="auto"/>
        <w:right w:val="none" w:sz="0" w:space="0" w:color="auto"/>
      </w:divBdr>
    </w:div>
    <w:div w:id="1596982388">
      <w:bodyDiv w:val="1"/>
      <w:marLeft w:val="0"/>
      <w:marRight w:val="0"/>
      <w:marTop w:val="0"/>
      <w:marBottom w:val="0"/>
      <w:divBdr>
        <w:top w:val="none" w:sz="0" w:space="0" w:color="auto"/>
        <w:left w:val="none" w:sz="0" w:space="0" w:color="auto"/>
        <w:bottom w:val="none" w:sz="0" w:space="0" w:color="auto"/>
        <w:right w:val="none" w:sz="0" w:space="0" w:color="auto"/>
      </w:divBdr>
    </w:div>
    <w:div w:id="1830633963">
      <w:bodyDiv w:val="1"/>
      <w:marLeft w:val="0"/>
      <w:marRight w:val="0"/>
      <w:marTop w:val="0"/>
      <w:marBottom w:val="0"/>
      <w:divBdr>
        <w:top w:val="none" w:sz="0" w:space="0" w:color="auto"/>
        <w:left w:val="none" w:sz="0" w:space="0" w:color="auto"/>
        <w:bottom w:val="none" w:sz="0" w:space="0" w:color="auto"/>
        <w:right w:val="none" w:sz="0" w:space="0" w:color="auto"/>
      </w:divBdr>
    </w:div>
    <w:div w:id="1851288663">
      <w:bodyDiv w:val="1"/>
      <w:marLeft w:val="0"/>
      <w:marRight w:val="0"/>
      <w:marTop w:val="0"/>
      <w:marBottom w:val="0"/>
      <w:divBdr>
        <w:top w:val="none" w:sz="0" w:space="0" w:color="auto"/>
        <w:left w:val="none" w:sz="0" w:space="0" w:color="auto"/>
        <w:bottom w:val="none" w:sz="0" w:space="0" w:color="auto"/>
        <w:right w:val="none" w:sz="0" w:space="0" w:color="auto"/>
      </w:divBdr>
    </w:div>
    <w:div w:id="1937707869">
      <w:bodyDiv w:val="1"/>
      <w:marLeft w:val="0"/>
      <w:marRight w:val="0"/>
      <w:marTop w:val="0"/>
      <w:marBottom w:val="0"/>
      <w:divBdr>
        <w:top w:val="none" w:sz="0" w:space="0" w:color="auto"/>
        <w:left w:val="none" w:sz="0" w:space="0" w:color="auto"/>
        <w:bottom w:val="none" w:sz="0" w:space="0" w:color="auto"/>
        <w:right w:val="none" w:sz="0" w:space="0" w:color="auto"/>
      </w:divBdr>
    </w:div>
    <w:div w:id="2027755354">
      <w:bodyDiv w:val="1"/>
      <w:marLeft w:val="0"/>
      <w:marRight w:val="0"/>
      <w:marTop w:val="0"/>
      <w:marBottom w:val="0"/>
      <w:divBdr>
        <w:top w:val="none" w:sz="0" w:space="0" w:color="auto"/>
        <w:left w:val="none" w:sz="0" w:space="0" w:color="auto"/>
        <w:bottom w:val="none" w:sz="0" w:space="0" w:color="auto"/>
        <w:right w:val="none" w:sz="0" w:space="0" w:color="auto"/>
      </w:divBdr>
    </w:div>
    <w:div w:id="205738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is.finance.gov.au/files/2011/10/02-Livestock-Exports-RIS.rt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ris.finance.gov.au/files/2011/10/02-Livestock-Exports-RIS.rt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is.finance.gov.au/files/2011/10/02-Livestock-Exports-RIS.rt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dfat.gov.au/trade/agreements/chafta/Pages/australia-china-fta.aspx"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ris.dpmc.gov.au/summary-compliance-reporting/australian-government/"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file:///H:\web%20posts\g_server:WORK%20IN%20PROGRESS:14010%20PM&amp;C%20Best%20Practice%20Regulation%20Report%202012-13:Word%20templates:cover.pdf" TargetMode="External"/><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B9A27-8ECF-480A-B012-AFF219765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C8B999BE</Template>
  <TotalTime>0</TotalTime>
  <Pages>24</Pages>
  <Words>7756</Words>
  <Characters>47643</Characters>
  <Application>Microsoft Office Word</Application>
  <DocSecurity>0</DocSecurity>
  <Lines>397</Lines>
  <Paragraphs>110</Paragraphs>
  <ScaleCrop>false</ScaleCrop>
  <HeadingPairs>
    <vt:vector size="2" baseType="variant">
      <vt:variant>
        <vt:lpstr>Title</vt:lpstr>
      </vt:variant>
      <vt:variant>
        <vt:i4>1</vt:i4>
      </vt:variant>
    </vt:vector>
  </HeadingPairs>
  <TitlesOfParts>
    <vt:vector size="1" baseType="lpstr">
      <vt:lpstr>Australian Government Regulation Impact Statement status – by agency 2014–15</vt:lpstr>
    </vt:vector>
  </TitlesOfParts>
  <LinksUpToDate>false</LinksUpToDate>
  <CharactersWithSpaces>55289</CharactersWithSpaces>
  <SharedDoc>false</SharedDoc>
  <HLinks>
    <vt:vector size="150" baseType="variant">
      <vt:variant>
        <vt:i4>1310732</vt:i4>
      </vt:variant>
      <vt:variant>
        <vt:i4>129</vt:i4>
      </vt:variant>
      <vt:variant>
        <vt:i4>0</vt:i4>
      </vt:variant>
      <vt:variant>
        <vt:i4>5</vt:i4>
      </vt:variant>
      <vt:variant>
        <vt:lpwstr>http://ris.finance.gov.au/files/2011/10/02-Livestock-Exports-RIS.rtf</vt:lpwstr>
      </vt:variant>
      <vt:variant>
        <vt:lpwstr/>
      </vt:variant>
      <vt:variant>
        <vt:i4>1310732</vt:i4>
      </vt:variant>
      <vt:variant>
        <vt:i4>126</vt:i4>
      </vt:variant>
      <vt:variant>
        <vt:i4>0</vt:i4>
      </vt:variant>
      <vt:variant>
        <vt:i4>5</vt:i4>
      </vt:variant>
      <vt:variant>
        <vt:lpwstr>http://ris.finance.gov.au/files/2011/10/02-Livestock-Exports-RIS.rtf</vt:lpwstr>
      </vt:variant>
      <vt:variant>
        <vt:lpwstr/>
      </vt:variant>
      <vt:variant>
        <vt:i4>1310732</vt:i4>
      </vt:variant>
      <vt:variant>
        <vt:i4>123</vt:i4>
      </vt:variant>
      <vt:variant>
        <vt:i4>0</vt:i4>
      </vt:variant>
      <vt:variant>
        <vt:i4>5</vt:i4>
      </vt:variant>
      <vt:variant>
        <vt:lpwstr>http://ris.finance.gov.au/files/2011/10/02-Livestock-Exports-RIS.rtf</vt:lpwstr>
      </vt:variant>
      <vt:variant>
        <vt:lpwstr/>
      </vt:variant>
      <vt:variant>
        <vt:i4>1507419</vt:i4>
      </vt:variant>
      <vt:variant>
        <vt:i4>120</vt:i4>
      </vt:variant>
      <vt:variant>
        <vt:i4>0</vt:i4>
      </vt:variant>
      <vt:variant>
        <vt:i4>5</vt:i4>
      </vt:variant>
      <vt:variant>
        <vt:lpwstr>http://dfat.gov.au/trade/agreements/chafta/Pages/australia-china-fta.aspx</vt:lpwstr>
      </vt:variant>
      <vt:variant>
        <vt:lpwstr/>
      </vt:variant>
      <vt:variant>
        <vt:i4>1703999</vt:i4>
      </vt:variant>
      <vt:variant>
        <vt:i4>113</vt:i4>
      </vt:variant>
      <vt:variant>
        <vt:i4>0</vt:i4>
      </vt:variant>
      <vt:variant>
        <vt:i4>5</vt:i4>
      </vt:variant>
      <vt:variant>
        <vt:lpwstr/>
      </vt:variant>
      <vt:variant>
        <vt:lpwstr>_Toc428965531</vt:lpwstr>
      </vt:variant>
      <vt:variant>
        <vt:i4>1769535</vt:i4>
      </vt:variant>
      <vt:variant>
        <vt:i4>107</vt:i4>
      </vt:variant>
      <vt:variant>
        <vt:i4>0</vt:i4>
      </vt:variant>
      <vt:variant>
        <vt:i4>5</vt:i4>
      </vt:variant>
      <vt:variant>
        <vt:lpwstr/>
      </vt:variant>
      <vt:variant>
        <vt:lpwstr>_Toc428965524</vt:lpwstr>
      </vt:variant>
      <vt:variant>
        <vt:i4>1769535</vt:i4>
      </vt:variant>
      <vt:variant>
        <vt:i4>101</vt:i4>
      </vt:variant>
      <vt:variant>
        <vt:i4>0</vt:i4>
      </vt:variant>
      <vt:variant>
        <vt:i4>5</vt:i4>
      </vt:variant>
      <vt:variant>
        <vt:lpwstr/>
      </vt:variant>
      <vt:variant>
        <vt:lpwstr>_Toc428965523</vt:lpwstr>
      </vt:variant>
      <vt:variant>
        <vt:i4>1769535</vt:i4>
      </vt:variant>
      <vt:variant>
        <vt:i4>95</vt:i4>
      </vt:variant>
      <vt:variant>
        <vt:i4>0</vt:i4>
      </vt:variant>
      <vt:variant>
        <vt:i4>5</vt:i4>
      </vt:variant>
      <vt:variant>
        <vt:lpwstr/>
      </vt:variant>
      <vt:variant>
        <vt:lpwstr>_Toc428965521</vt:lpwstr>
      </vt:variant>
      <vt:variant>
        <vt:i4>1572927</vt:i4>
      </vt:variant>
      <vt:variant>
        <vt:i4>89</vt:i4>
      </vt:variant>
      <vt:variant>
        <vt:i4>0</vt:i4>
      </vt:variant>
      <vt:variant>
        <vt:i4>5</vt:i4>
      </vt:variant>
      <vt:variant>
        <vt:lpwstr/>
      </vt:variant>
      <vt:variant>
        <vt:lpwstr>_Toc428965519</vt:lpwstr>
      </vt:variant>
      <vt:variant>
        <vt:i4>1572927</vt:i4>
      </vt:variant>
      <vt:variant>
        <vt:i4>83</vt:i4>
      </vt:variant>
      <vt:variant>
        <vt:i4>0</vt:i4>
      </vt:variant>
      <vt:variant>
        <vt:i4>5</vt:i4>
      </vt:variant>
      <vt:variant>
        <vt:lpwstr/>
      </vt:variant>
      <vt:variant>
        <vt:lpwstr>_Toc428965518</vt:lpwstr>
      </vt:variant>
      <vt:variant>
        <vt:i4>1572927</vt:i4>
      </vt:variant>
      <vt:variant>
        <vt:i4>77</vt:i4>
      </vt:variant>
      <vt:variant>
        <vt:i4>0</vt:i4>
      </vt:variant>
      <vt:variant>
        <vt:i4>5</vt:i4>
      </vt:variant>
      <vt:variant>
        <vt:lpwstr/>
      </vt:variant>
      <vt:variant>
        <vt:lpwstr>_Toc428965517</vt:lpwstr>
      </vt:variant>
      <vt:variant>
        <vt:i4>1572927</vt:i4>
      </vt:variant>
      <vt:variant>
        <vt:i4>71</vt:i4>
      </vt:variant>
      <vt:variant>
        <vt:i4>0</vt:i4>
      </vt:variant>
      <vt:variant>
        <vt:i4>5</vt:i4>
      </vt:variant>
      <vt:variant>
        <vt:lpwstr/>
      </vt:variant>
      <vt:variant>
        <vt:lpwstr>_Toc428965516</vt:lpwstr>
      </vt:variant>
      <vt:variant>
        <vt:i4>1572927</vt:i4>
      </vt:variant>
      <vt:variant>
        <vt:i4>65</vt:i4>
      </vt:variant>
      <vt:variant>
        <vt:i4>0</vt:i4>
      </vt:variant>
      <vt:variant>
        <vt:i4>5</vt:i4>
      </vt:variant>
      <vt:variant>
        <vt:lpwstr/>
      </vt:variant>
      <vt:variant>
        <vt:lpwstr>_Toc428965515</vt:lpwstr>
      </vt:variant>
      <vt:variant>
        <vt:i4>1572927</vt:i4>
      </vt:variant>
      <vt:variant>
        <vt:i4>59</vt:i4>
      </vt:variant>
      <vt:variant>
        <vt:i4>0</vt:i4>
      </vt:variant>
      <vt:variant>
        <vt:i4>5</vt:i4>
      </vt:variant>
      <vt:variant>
        <vt:lpwstr/>
      </vt:variant>
      <vt:variant>
        <vt:lpwstr>_Toc428965514</vt:lpwstr>
      </vt:variant>
      <vt:variant>
        <vt:i4>1572927</vt:i4>
      </vt:variant>
      <vt:variant>
        <vt:i4>53</vt:i4>
      </vt:variant>
      <vt:variant>
        <vt:i4>0</vt:i4>
      </vt:variant>
      <vt:variant>
        <vt:i4>5</vt:i4>
      </vt:variant>
      <vt:variant>
        <vt:lpwstr/>
      </vt:variant>
      <vt:variant>
        <vt:lpwstr>_Toc428965513</vt:lpwstr>
      </vt:variant>
      <vt:variant>
        <vt:i4>1572927</vt:i4>
      </vt:variant>
      <vt:variant>
        <vt:i4>47</vt:i4>
      </vt:variant>
      <vt:variant>
        <vt:i4>0</vt:i4>
      </vt:variant>
      <vt:variant>
        <vt:i4>5</vt:i4>
      </vt:variant>
      <vt:variant>
        <vt:lpwstr/>
      </vt:variant>
      <vt:variant>
        <vt:lpwstr>_Toc428965512</vt:lpwstr>
      </vt:variant>
      <vt:variant>
        <vt:i4>1572927</vt:i4>
      </vt:variant>
      <vt:variant>
        <vt:i4>41</vt:i4>
      </vt:variant>
      <vt:variant>
        <vt:i4>0</vt:i4>
      </vt:variant>
      <vt:variant>
        <vt:i4>5</vt:i4>
      </vt:variant>
      <vt:variant>
        <vt:lpwstr/>
      </vt:variant>
      <vt:variant>
        <vt:lpwstr>_Toc428965511</vt:lpwstr>
      </vt:variant>
      <vt:variant>
        <vt:i4>1572927</vt:i4>
      </vt:variant>
      <vt:variant>
        <vt:i4>35</vt:i4>
      </vt:variant>
      <vt:variant>
        <vt:i4>0</vt:i4>
      </vt:variant>
      <vt:variant>
        <vt:i4>5</vt:i4>
      </vt:variant>
      <vt:variant>
        <vt:lpwstr/>
      </vt:variant>
      <vt:variant>
        <vt:lpwstr>_Toc428965510</vt:lpwstr>
      </vt:variant>
      <vt:variant>
        <vt:i4>1638463</vt:i4>
      </vt:variant>
      <vt:variant>
        <vt:i4>29</vt:i4>
      </vt:variant>
      <vt:variant>
        <vt:i4>0</vt:i4>
      </vt:variant>
      <vt:variant>
        <vt:i4>5</vt:i4>
      </vt:variant>
      <vt:variant>
        <vt:lpwstr/>
      </vt:variant>
      <vt:variant>
        <vt:lpwstr>_Toc428965509</vt:lpwstr>
      </vt:variant>
      <vt:variant>
        <vt:i4>1638463</vt:i4>
      </vt:variant>
      <vt:variant>
        <vt:i4>23</vt:i4>
      </vt:variant>
      <vt:variant>
        <vt:i4>0</vt:i4>
      </vt:variant>
      <vt:variant>
        <vt:i4>5</vt:i4>
      </vt:variant>
      <vt:variant>
        <vt:lpwstr/>
      </vt:variant>
      <vt:variant>
        <vt:lpwstr>_Toc428965508</vt:lpwstr>
      </vt:variant>
      <vt:variant>
        <vt:i4>1638463</vt:i4>
      </vt:variant>
      <vt:variant>
        <vt:i4>17</vt:i4>
      </vt:variant>
      <vt:variant>
        <vt:i4>0</vt:i4>
      </vt:variant>
      <vt:variant>
        <vt:i4>5</vt:i4>
      </vt:variant>
      <vt:variant>
        <vt:lpwstr/>
      </vt:variant>
      <vt:variant>
        <vt:lpwstr>_Toc428965507</vt:lpwstr>
      </vt:variant>
      <vt:variant>
        <vt:i4>1638463</vt:i4>
      </vt:variant>
      <vt:variant>
        <vt:i4>11</vt:i4>
      </vt:variant>
      <vt:variant>
        <vt:i4>0</vt:i4>
      </vt:variant>
      <vt:variant>
        <vt:i4>5</vt:i4>
      </vt:variant>
      <vt:variant>
        <vt:lpwstr/>
      </vt:variant>
      <vt:variant>
        <vt:lpwstr>_Toc428965506</vt:lpwstr>
      </vt:variant>
      <vt:variant>
        <vt:i4>1638463</vt:i4>
      </vt:variant>
      <vt:variant>
        <vt:i4>5</vt:i4>
      </vt:variant>
      <vt:variant>
        <vt:i4>0</vt:i4>
      </vt:variant>
      <vt:variant>
        <vt:i4>5</vt:i4>
      </vt:variant>
      <vt:variant>
        <vt:lpwstr/>
      </vt:variant>
      <vt:variant>
        <vt:lpwstr>_Toc428965505</vt:lpwstr>
      </vt:variant>
      <vt:variant>
        <vt:i4>6619251</vt:i4>
      </vt:variant>
      <vt:variant>
        <vt:i4>0</vt:i4>
      </vt:variant>
      <vt:variant>
        <vt:i4>0</vt:i4>
      </vt:variant>
      <vt:variant>
        <vt:i4>5</vt:i4>
      </vt:variant>
      <vt:variant>
        <vt:lpwstr>http://ris.dpmc.gov.au/summary-compliance-reporting/australian-government/</vt:lpwstr>
      </vt:variant>
      <vt:variant>
        <vt:lpwstr/>
      </vt:variant>
      <vt:variant>
        <vt:i4>3735622</vt:i4>
      </vt:variant>
      <vt:variant>
        <vt:i4>-1</vt:i4>
      </vt:variant>
      <vt:variant>
        <vt:i4>2049</vt:i4>
      </vt:variant>
      <vt:variant>
        <vt:i4>1</vt:i4>
      </vt:variant>
      <vt:variant>
        <vt:lpwstr>g_server:WORK IN PROGRESS:14010 PM&amp;C Best Practice Regulation Report 2012-13:Word templates:cover.pdf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Government Regulation Impact Statement status – by agency 2014–15</dc:title>
  <dc:creator/>
  <cp:lastModifiedBy/>
  <cp:revision>1</cp:revision>
  <dcterms:created xsi:type="dcterms:W3CDTF">2016-01-28T22:09:00Z</dcterms:created>
  <dcterms:modified xsi:type="dcterms:W3CDTF">2016-01-28T22:09:00Z</dcterms:modified>
</cp:coreProperties>
</file>