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B024C" w14:textId="2D20321D" w:rsidR="00130ADC" w:rsidRDefault="00995146" w:rsidP="00D044F4">
      <w:pPr>
        <w:pStyle w:val="Heading1"/>
      </w:pPr>
      <w:bookmarkStart w:id="0" w:name="_Toc329769812"/>
      <w:bookmarkStart w:id="1" w:name="_Toc329769939"/>
      <w:bookmarkStart w:id="2" w:name="_Toc330371011"/>
      <w:bookmarkStart w:id="3" w:name="_Toc330371850"/>
      <w:bookmarkStart w:id="4" w:name="_Toc331423696"/>
      <w:bookmarkStart w:id="5" w:name="_Toc331665802"/>
      <w:bookmarkStart w:id="6" w:name="_Toc334085936"/>
      <w:bookmarkStart w:id="7" w:name="_Toc334106934"/>
      <w:bookmarkStart w:id="8" w:name="_Toc334776865"/>
      <w:bookmarkStart w:id="9" w:name="_Toc334790438"/>
      <w:bookmarkStart w:id="10" w:name="_Toc336505282"/>
      <w:bookmarkStart w:id="11" w:name="_Toc336938929"/>
      <w:bookmarkStart w:id="12" w:name="_Toc337210529"/>
      <w:bookmarkStart w:id="13" w:name="_Toc338412891"/>
      <w:bookmarkStart w:id="14" w:name="_Toc338419100"/>
      <w:bookmarkStart w:id="15" w:name="_Toc338419164"/>
      <w:bookmarkStart w:id="16" w:name="_Toc339440854"/>
      <w:bookmarkStart w:id="17" w:name="_Toc339440925"/>
      <w:bookmarkStart w:id="18" w:name="_Toc340562848"/>
      <w:bookmarkStart w:id="19" w:name="_Toc340741195"/>
      <w:bookmarkStart w:id="20" w:name="_Toc340742525"/>
      <w:bookmarkStart w:id="21" w:name="_Toc340816904"/>
      <w:bookmarkStart w:id="22" w:name="_Toc341255148"/>
      <w:bookmarkStart w:id="23" w:name="_Toc341347250"/>
      <w:bookmarkStart w:id="24" w:name="_Toc341429725"/>
      <w:bookmarkStart w:id="25" w:name="_Toc341946134"/>
      <w:bookmarkStart w:id="26" w:name="_Toc342032033"/>
      <w:bookmarkStart w:id="27" w:name="_Toc343066832"/>
      <w:bookmarkStart w:id="28" w:name="_Toc343261518"/>
      <w:bookmarkStart w:id="29" w:name="_Toc343607087"/>
      <w:bookmarkStart w:id="30" w:name="_Toc347485396"/>
      <w:bookmarkStart w:id="31" w:name="_Toc348950634"/>
      <w:bookmarkStart w:id="32" w:name="_Toc348952778"/>
      <w:bookmarkStart w:id="33" w:name="_Toc349652165"/>
      <w:bookmarkStart w:id="34" w:name="_Toc349652265"/>
      <w:bookmarkStart w:id="35" w:name="_Toc349741803"/>
      <w:bookmarkStart w:id="36" w:name="_Toc351033510"/>
      <w:bookmarkStart w:id="37" w:name="_Toc351040429"/>
      <w:bookmarkStart w:id="38" w:name="_Toc351109336"/>
      <w:bookmarkStart w:id="39" w:name="_Toc351115091"/>
      <w:bookmarkStart w:id="40" w:name="_Toc353287152"/>
      <w:bookmarkStart w:id="41" w:name="_Toc353287308"/>
      <w:bookmarkStart w:id="42" w:name="_Toc353371044"/>
      <w:bookmarkStart w:id="43" w:name="_Toc353374429"/>
      <w:bookmarkStart w:id="44" w:name="_Toc353444646"/>
      <w:bookmarkStart w:id="45" w:name="_Toc353525859"/>
      <w:bookmarkStart w:id="46" w:name="_Toc355010386"/>
      <w:bookmarkStart w:id="47" w:name="_Toc356307524"/>
      <w:bookmarkStart w:id="48" w:name="_Toc356313198"/>
      <w:bookmarkStart w:id="49" w:name="_Toc357158733"/>
      <w:bookmarkStart w:id="50" w:name="_Toc357761796"/>
      <w:bookmarkStart w:id="51" w:name="_Toc359254344"/>
      <w:bookmarkStart w:id="52" w:name="_Toc361125038"/>
      <w:bookmarkStart w:id="53" w:name="_Toc361125109"/>
      <w:bookmarkStart w:id="54" w:name="_Toc361143007"/>
      <w:bookmarkStart w:id="55" w:name="_Toc362205722"/>
      <w:bookmarkStart w:id="56" w:name="_Toc362250091"/>
      <w:bookmarkStart w:id="57" w:name="_Toc362341053"/>
      <w:bookmarkStart w:id="58" w:name="_Toc362341072"/>
      <w:bookmarkStart w:id="59" w:name="_Toc362341103"/>
      <w:bookmarkStart w:id="60" w:name="_Toc362343440"/>
      <w:bookmarkStart w:id="61" w:name="_Toc363475029"/>
      <w:bookmarkStart w:id="62" w:name="_Toc363725628"/>
      <w:bookmarkStart w:id="63" w:name="_Toc363725774"/>
      <w:bookmarkStart w:id="64" w:name="_Toc363726435"/>
      <w:bookmarkStart w:id="65" w:name="_Toc364761057"/>
      <w:bookmarkStart w:id="66" w:name="_Toc365273842"/>
      <w:bookmarkStart w:id="67" w:name="_Toc367282597"/>
      <w:bookmarkStart w:id="68" w:name="_Toc367283591"/>
      <w:bookmarkStart w:id="69" w:name="_Toc367781072"/>
      <w:bookmarkStart w:id="70" w:name="_Toc367782736"/>
      <w:bookmarkStart w:id="71" w:name="_Toc369073509"/>
      <w:bookmarkStart w:id="72" w:name="_Toc372708779"/>
      <w:bookmarkStart w:id="73" w:name="_Toc372708814"/>
      <w:bookmarkStart w:id="74" w:name="_Toc372796395"/>
      <w:bookmarkStart w:id="75" w:name="_Toc372807316"/>
      <w:bookmarkStart w:id="76" w:name="_Toc373306749"/>
      <w:bookmarkStart w:id="77" w:name="_Toc373306970"/>
      <w:bookmarkStart w:id="78" w:name="_Toc373307616"/>
      <w:bookmarkStart w:id="79" w:name="_Toc373309337"/>
      <w:bookmarkStart w:id="80" w:name="_Toc373309728"/>
      <w:bookmarkStart w:id="81" w:name="_Toc376962641"/>
      <w:bookmarkStart w:id="82" w:name="_Toc379536792"/>
      <w:bookmarkStart w:id="83" w:name="_Toc379795062"/>
      <w:bookmarkStart w:id="84" w:name="_Toc379801135"/>
      <w:bookmarkStart w:id="85" w:name="_Toc379802373"/>
      <w:bookmarkStart w:id="86" w:name="_Toc383790358"/>
      <w:bookmarkStart w:id="87" w:name="_Toc384306615"/>
      <w:bookmarkStart w:id="88" w:name="_Toc384366785"/>
      <w:bookmarkStart w:id="89" w:name="_Toc387412046"/>
      <w:bookmarkStart w:id="90" w:name="_Toc391977607"/>
      <w:bookmarkStart w:id="91" w:name="_Toc391985271"/>
      <w:bookmarkStart w:id="92" w:name="_Toc391985775"/>
      <w:bookmarkStart w:id="93" w:name="_Toc391985813"/>
      <w:bookmarkStart w:id="94" w:name="_Toc392582652"/>
      <w:bookmarkStart w:id="95" w:name="_Toc392583991"/>
      <w:bookmarkStart w:id="96" w:name="_Toc392751702"/>
      <w:bookmarkStart w:id="97" w:name="_Toc392852654"/>
      <w:r>
        <w:t xml:space="preserve">                                                  </w:t>
      </w:r>
    </w:p>
    <w:p w14:paraId="6C9401C9" w14:textId="5FB7FAC9" w:rsidR="00832653" w:rsidRDefault="00832653" w:rsidP="004A6EC6">
      <w:pPr>
        <w:pStyle w:val="Heading1"/>
        <w:spacing w:after="120"/>
      </w:pPr>
      <w:bookmarkStart w:id="98" w:name="_Toc404606694"/>
      <w:bookmarkStart w:id="99" w:name="_Toc404603872"/>
      <w:bookmarkStart w:id="100" w:name="_Toc404599906"/>
      <w:bookmarkStart w:id="101" w:name="_Toc400627956"/>
      <w:bookmarkStart w:id="102" w:name="_Toc400109595"/>
      <w:bookmarkStart w:id="103" w:name="_Toc396480290"/>
      <w:bookmarkStart w:id="104" w:name="_Toc393462571"/>
      <w:bookmarkStart w:id="105" w:name="_Toc392589568"/>
      <w:bookmarkStart w:id="106" w:name="_Toc381283516"/>
      <w:bookmarkStart w:id="107" w:name="_Toc379966997"/>
      <w:bookmarkStart w:id="108" w:name="_Toc378240276"/>
      <w:bookmarkStart w:id="109" w:name="_Toc378058881"/>
      <w:bookmarkStart w:id="110" w:name="_Toc378058556"/>
      <w:bookmarkStart w:id="111" w:name="_Toc377474322"/>
      <w:bookmarkStart w:id="112" w:name="_Toc375560982"/>
      <w:bookmarkStart w:id="113" w:name="_Toc374526662"/>
      <w:bookmarkStart w:id="114" w:name="_Toc371337758"/>
      <w:bookmarkStart w:id="115" w:name="_Toc369272608"/>
      <w:bookmarkStart w:id="116" w:name="_Toc369272249"/>
      <w:bookmarkStart w:id="117" w:name="_Toc365277233"/>
      <w:bookmarkStart w:id="118" w:name="_Toc365277219"/>
      <w:bookmarkStart w:id="119" w:name="_Toc363719672"/>
      <w:bookmarkStart w:id="120" w:name="_Toc362420389"/>
      <w:bookmarkStart w:id="121" w:name="_Toc362335500"/>
      <w:bookmarkStart w:id="122" w:name="_Toc361929759"/>
      <w:bookmarkStart w:id="123" w:name="_Toc360453939"/>
      <w:bookmarkStart w:id="124" w:name="_Toc358983751"/>
      <w:bookmarkStart w:id="125" w:name="_Toc356569225"/>
      <w:bookmarkStart w:id="126" w:name="_Toc356295551"/>
      <w:bookmarkStart w:id="127" w:name="_Toc355615551"/>
      <w:bookmarkStart w:id="128" w:name="_Toc355604423"/>
      <w:bookmarkStart w:id="129" w:name="_Toc355604256"/>
      <w:bookmarkStart w:id="130" w:name="_Toc354048480"/>
      <w:bookmarkStart w:id="131" w:name="_Toc353966814"/>
      <w:bookmarkStart w:id="132" w:name="_Toc353887999"/>
      <w:bookmarkStart w:id="133" w:name="_Toc353803193"/>
      <w:bookmarkStart w:id="134" w:name="_Toc351553025"/>
      <w:bookmarkStart w:id="135" w:name="_Toc351544109"/>
      <w:bookmarkStart w:id="136" w:name="_Toc351123399"/>
      <w:bookmarkStart w:id="137" w:name="_Toc350953570"/>
      <w:bookmarkStart w:id="138" w:name="_Toc350858881"/>
      <w:bookmarkStart w:id="139" w:name="_Toc350858758"/>
      <w:bookmarkStart w:id="140" w:name="_Toc350858719"/>
      <w:bookmarkStart w:id="141" w:name="_Toc348688776"/>
      <w:bookmarkStart w:id="142" w:name="_Toc346698305"/>
      <w:bookmarkStart w:id="143" w:name="_Toc343850093"/>
      <w:bookmarkStart w:id="144" w:name="_Toc343848433"/>
      <w:bookmarkStart w:id="145" w:name="_Toc343754419"/>
      <w:bookmarkStart w:id="146" w:name="_Toc343250997"/>
      <w:bookmarkStart w:id="147" w:name="_Toc343249091"/>
      <w:bookmarkStart w:id="148" w:name="_Toc341357877"/>
      <w:bookmarkStart w:id="149" w:name="_Toc340583451"/>
      <w:bookmarkStart w:id="150" w:name="_Toc340582359"/>
      <w:bookmarkStart w:id="151" w:name="_Toc340567899"/>
      <w:bookmarkStart w:id="152" w:name="_Toc336956400"/>
      <w:bookmarkStart w:id="153" w:name="_Toc336942382"/>
      <w:bookmarkStart w:id="154" w:name="_Toc334021809"/>
      <w:bookmarkStart w:id="155" w:name="_Toc330308101"/>
      <w:bookmarkStart w:id="156" w:name="_Toc432587370"/>
      <w:bookmarkStart w:id="157" w:name="_Toc438539586"/>
      <w:bookmarkStart w:id="158" w:name="_Toc438539621"/>
      <w:bookmarkStart w:id="159" w:name="_Toc440639804"/>
      <w:bookmarkStart w:id="160" w:name="_Toc445973432"/>
      <w:bookmarkStart w:id="161" w:name="_Toc445974130"/>
      <w:bookmarkStart w:id="162" w:name="_Toc445974391"/>
      <w:bookmarkStart w:id="163" w:name="_Toc446318424"/>
      <w:bookmarkStart w:id="164" w:name="_Toc447532682"/>
      <w:bookmarkStart w:id="165" w:name="_Toc451168630"/>
      <w:bookmarkStart w:id="166" w:name="_Toc451264224"/>
      <w:bookmarkStart w:id="167" w:name="_Toc451264791"/>
      <w:bookmarkStart w:id="168" w:name="_Toc473715459"/>
      <w:bookmarkStart w:id="169" w:name="_Toc473900452"/>
      <w:bookmarkStart w:id="170" w:name="_Toc473900487"/>
      <w:bookmarkStart w:id="171" w:name="_Toc5280197"/>
      <w:bookmarkStart w:id="172" w:name="_Toc5611194"/>
      <w:bookmarkStart w:id="173" w:name="_Toc19867102"/>
      <w:bookmarkStart w:id="174" w:name="_Toc20151470"/>
      <w:bookmarkStart w:id="175" w:name="_Toc3239596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t>COAG Regulation Impact Statement statu</w:t>
      </w:r>
      <w:bookmarkStart w:id="176" w:name="_Toc404606695"/>
      <w:bookmarkStart w:id="177" w:name="_Toc404603873"/>
      <w:bookmarkStart w:id="178" w:name="_Toc404599907"/>
      <w:bookmarkStart w:id="179" w:name="_Toc400627957"/>
      <w:bookmarkStart w:id="180" w:name="_Toc400109596"/>
      <w:bookmarkStart w:id="181" w:name="_Toc396480291"/>
      <w:bookmarkStart w:id="182" w:name="_Toc393462572"/>
      <w:bookmarkStart w:id="183" w:name="_Toc39258956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00E778AF">
        <w:t>s: 2020</w:t>
      </w:r>
      <w:r>
        <w: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6"/>
      <w:bookmarkEnd w:id="177"/>
      <w:bookmarkEnd w:id="178"/>
      <w:bookmarkEnd w:id="179"/>
      <w:bookmarkEnd w:id="180"/>
      <w:bookmarkEnd w:id="181"/>
      <w:bookmarkEnd w:id="182"/>
      <w:bookmarkEnd w:id="183"/>
      <w:r w:rsidR="008108BE">
        <w:t>2</w:t>
      </w:r>
      <w:bookmarkEnd w:id="173"/>
      <w:bookmarkEnd w:id="174"/>
      <w:bookmarkEnd w:id="175"/>
      <w:r w:rsidR="00E778AF">
        <w:t>1</w:t>
      </w:r>
    </w:p>
    <w:p w14:paraId="5044B181" w14:textId="525B043D" w:rsidR="00832653" w:rsidRDefault="00832653" w:rsidP="005E374D">
      <w:pPr>
        <w:pStyle w:val="BodyText1"/>
      </w:pPr>
      <w:r>
        <w:t>The Office of Best Practice Regulation (OBPR) publish</w:t>
      </w:r>
      <w:r w:rsidR="002F723B">
        <w:t>es</w:t>
      </w:r>
      <w:r>
        <w:t xml:space="preserve"> Regulation Impact Statements (RIS) and the OBPR’s assessment of RISs on its website as soon as practicable </w:t>
      </w:r>
      <w:r w:rsidR="002F723B">
        <w:t xml:space="preserve">after a </w:t>
      </w:r>
      <w:r>
        <w:t>regulatory announcement</w:t>
      </w:r>
      <w:r w:rsidR="002F723B">
        <w:t xml:space="preserve"> is made</w:t>
      </w:r>
      <w:r>
        <w:t>, in consultation with the relevant Council, Forum or national standard-setting body (NSSB). Consequently, the RIS status in aggregate and by Council, Forum or NSSB is also reported ‘live’ in the following tables.</w:t>
      </w:r>
      <w:r w:rsidR="00911A82">
        <w:t xml:space="preserve"> This document is accurate as of 31 January 2021.</w:t>
      </w:r>
      <w:r w:rsidR="00CE560A">
        <w:t xml:space="preserve"> </w:t>
      </w:r>
      <w:bookmarkStart w:id="184" w:name="_Toc387412049"/>
      <w:bookmarkStart w:id="185" w:name="_Toc391977610"/>
      <w:bookmarkStart w:id="186" w:name="_Toc391985274"/>
      <w:bookmarkStart w:id="187" w:name="_Toc391985778"/>
      <w:bookmarkStart w:id="188" w:name="_Toc391985816"/>
      <w:bookmarkStart w:id="189" w:name="_Toc392582655"/>
      <w:bookmarkStart w:id="190" w:name="_Toc392583994"/>
      <w:bookmarkStart w:id="191" w:name="_Toc392751705"/>
      <w:bookmarkStart w:id="192" w:name="_Toc392852657"/>
      <w:bookmarkStart w:id="193" w:name="_Toc396743525"/>
      <w:bookmarkStart w:id="194" w:name="_Toc400100728"/>
      <w:bookmarkStart w:id="195" w:name="_Toc400101007"/>
      <w:bookmarkStart w:id="196" w:name="_Toc400104319"/>
    </w:p>
    <w:p w14:paraId="4B870A32" w14:textId="6CCD3144" w:rsidR="00CD1385" w:rsidRPr="00BA6CC4" w:rsidRDefault="00FE6D24" w:rsidP="00CD1385">
      <w:pPr>
        <w:pStyle w:val="BodyText1"/>
      </w:pPr>
      <w:r>
        <w:t>Between 1 July 2020 and 31 January 2021</w:t>
      </w:r>
      <w:r w:rsidR="00CD1385" w:rsidRPr="00BA6CC4">
        <w:t xml:space="preserve">, </w:t>
      </w:r>
      <w:r w:rsidR="00831F7A">
        <w:t>seven</w:t>
      </w:r>
      <w:r w:rsidR="00CD1385" w:rsidRPr="00BA6CC4">
        <w:t xml:space="preserve"> COAG Decision RISs were finalised, and assessed as compliant by the OBPR, and published. </w:t>
      </w:r>
      <w:r>
        <w:t>In this period</w:t>
      </w:r>
      <w:r w:rsidR="004D37AE">
        <w:t xml:space="preserve"> ten</w:t>
      </w:r>
      <w:r w:rsidR="00CD1385" w:rsidRPr="00BA6CC4">
        <w:t xml:space="preserve"> COAG consultation RISs were assessed by the OBPR, and publi</w:t>
      </w:r>
      <w:bookmarkStart w:id="197" w:name="_GoBack"/>
      <w:bookmarkEnd w:id="197"/>
      <w:r w:rsidR="00CD1385" w:rsidRPr="00BA6CC4">
        <w:t>shed.</w:t>
      </w:r>
    </w:p>
    <w:p w14:paraId="60B405F3" w14:textId="77777777" w:rsidR="00CD1385" w:rsidRDefault="00CD1385" w:rsidP="005E374D">
      <w:pPr>
        <w:pStyle w:val="BodyText1"/>
      </w:pPr>
    </w:p>
    <w:p w14:paraId="765A8F8E" w14:textId="15ECCB38" w:rsidR="00832653" w:rsidRDefault="00832653" w:rsidP="00832653">
      <w:pPr>
        <w:pStyle w:val="Heading2"/>
      </w:pPr>
      <w:bookmarkStart w:id="198" w:name="_Toc404606696"/>
      <w:bookmarkStart w:id="199" w:name="_Toc404603874"/>
      <w:bookmarkStart w:id="200" w:name="_Toc404599908"/>
      <w:bookmarkStart w:id="201" w:name="_Toc400627958"/>
      <w:bookmarkStart w:id="202" w:name="_Toc400109597"/>
      <w:bookmarkStart w:id="203" w:name="_Toc396480292"/>
      <w:bookmarkStart w:id="204" w:name="_Toc393462573"/>
      <w:bookmarkStart w:id="205" w:name="_Toc392589570"/>
      <w:bookmarkStart w:id="206" w:name="_Toc381283518"/>
      <w:bookmarkStart w:id="207" w:name="_Toc379966999"/>
      <w:bookmarkStart w:id="208" w:name="_Toc378240278"/>
      <w:bookmarkStart w:id="209" w:name="_Toc378058883"/>
      <w:bookmarkStart w:id="210" w:name="_Toc378058558"/>
      <w:bookmarkStart w:id="211" w:name="_Toc377474324"/>
      <w:bookmarkStart w:id="212" w:name="_Toc375560984"/>
      <w:bookmarkStart w:id="213" w:name="_Toc374526664"/>
      <w:bookmarkStart w:id="214" w:name="_Toc371337760"/>
      <w:bookmarkStart w:id="215" w:name="_Toc369272610"/>
      <w:bookmarkStart w:id="216" w:name="_Toc369272251"/>
      <w:bookmarkStart w:id="217" w:name="_Toc365277235"/>
      <w:bookmarkStart w:id="218" w:name="_Toc365277221"/>
      <w:bookmarkStart w:id="219" w:name="_Toc363719674"/>
      <w:bookmarkStart w:id="220" w:name="_Toc362420391"/>
      <w:bookmarkStart w:id="221" w:name="_Toc362335502"/>
      <w:bookmarkStart w:id="222" w:name="_Toc361929761"/>
      <w:bookmarkStart w:id="223" w:name="_Toc360453941"/>
      <w:bookmarkStart w:id="224" w:name="_Toc358983753"/>
      <w:bookmarkStart w:id="225" w:name="_Toc356569227"/>
      <w:bookmarkStart w:id="226" w:name="_Toc356295553"/>
      <w:bookmarkStart w:id="227" w:name="_Toc355615553"/>
      <w:bookmarkStart w:id="228" w:name="_Toc355604425"/>
      <w:bookmarkStart w:id="229" w:name="_Toc355604258"/>
      <w:bookmarkStart w:id="230" w:name="_Toc354048482"/>
      <w:bookmarkStart w:id="231" w:name="_Toc351553027"/>
      <w:bookmarkStart w:id="232" w:name="_Toc432587371"/>
      <w:bookmarkStart w:id="233" w:name="_Toc438539587"/>
      <w:bookmarkStart w:id="234" w:name="_Toc438539622"/>
      <w:bookmarkStart w:id="235" w:name="_Toc440639805"/>
      <w:bookmarkStart w:id="236" w:name="_Toc445973433"/>
      <w:bookmarkStart w:id="237" w:name="_Toc445974131"/>
      <w:bookmarkStart w:id="238" w:name="_Toc445974392"/>
      <w:bookmarkStart w:id="239" w:name="_Toc446318425"/>
      <w:bookmarkStart w:id="240" w:name="_Toc447532683"/>
      <w:bookmarkStart w:id="241" w:name="_Toc451168631"/>
      <w:bookmarkStart w:id="242" w:name="_Toc451264225"/>
      <w:bookmarkStart w:id="243" w:name="_Toc451264792"/>
      <w:bookmarkStart w:id="244" w:name="_Toc459800318"/>
      <w:bookmarkStart w:id="245" w:name="_Toc473715460"/>
      <w:bookmarkStart w:id="246" w:name="_Toc473900453"/>
      <w:bookmarkStart w:id="247" w:name="_Toc473900488"/>
      <w:bookmarkStart w:id="248" w:name="_Toc5280198"/>
      <w:bookmarkStart w:id="249" w:name="_Toc5611195"/>
      <w:bookmarkStart w:id="250" w:name="_Toc19867103"/>
      <w:bookmarkStart w:id="251" w:name="_Toc20151471"/>
      <w:bookmarkStart w:id="252" w:name="_Toc32395966"/>
      <w:r>
        <w:t>Compliance with the COAG R</w:t>
      </w:r>
      <w:r w:rsidR="00C30E67">
        <w:t>IS requirements 201</w:t>
      </w:r>
      <w:r w:rsidR="00957F2E">
        <w:t>6</w:t>
      </w:r>
      <w:r w:rsidR="00C30E67">
        <w:t>-1</w:t>
      </w:r>
      <w:r w:rsidR="00957F2E">
        <w:t>7</w:t>
      </w:r>
      <w:r w:rsidR="00831F7A">
        <w:t xml:space="preserve"> to 2020</w:t>
      </w:r>
      <w:r>
        <w:t>-</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r w:rsidR="00957F2E">
        <w:t>2</w:t>
      </w:r>
      <w:bookmarkEnd w:id="250"/>
      <w:bookmarkEnd w:id="251"/>
      <w:bookmarkEnd w:id="252"/>
      <w:r w:rsidR="00831F7A">
        <w:t>1</w:t>
      </w:r>
    </w:p>
    <w:tbl>
      <w:tblPr>
        <w:tblW w:w="0" w:type="auto"/>
        <w:tblCellMar>
          <w:left w:w="0" w:type="dxa"/>
          <w:right w:w="0" w:type="dxa"/>
        </w:tblCellMar>
        <w:tblLook w:val="04A0" w:firstRow="1" w:lastRow="0" w:firstColumn="1" w:lastColumn="0" w:noHBand="0" w:noVBand="1"/>
        <w:tblCaption w:val="Compliance with the COAG RIS requirements 2014-15 to 2017-18"/>
        <w:tblDescription w:val="A table summarising the RIS compliance of COAG proposals within the 2014-15 to 2017-18 financial years, listing the number of RISs compliant at the consultation and decision-making stages."/>
      </w:tblPr>
      <w:tblGrid>
        <w:gridCol w:w="2325"/>
        <w:gridCol w:w="868"/>
        <w:gridCol w:w="491"/>
        <w:gridCol w:w="904"/>
        <w:gridCol w:w="479"/>
        <w:gridCol w:w="954"/>
        <w:gridCol w:w="476"/>
        <w:gridCol w:w="912"/>
        <w:gridCol w:w="388"/>
        <w:gridCol w:w="799"/>
        <w:gridCol w:w="545"/>
      </w:tblGrid>
      <w:tr w:rsidR="00831F7A" w14:paraId="5D8AA93D" w14:textId="157ECF68" w:rsidTr="00A90857">
        <w:trPr>
          <w:tblHeader/>
        </w:trPr>
        <w:tc>
          <w:tcPr>
            <w:tcW w:w="2325" w:type="dxa"/>
            <w:shd w:val="clear" w:color="auto" w:fill="FFCC99"/>
            <w:vAlign w:val="center"/>
            <w:hideMark/>
          </w:tcPr>
          <w:p w14:paraId="0B4237CB" w14:textId="77777777" w:rsidR="00831F7A" w:rsidRPr="00A16728" w:rsidRDefault="00831F7A" w:rsidP="00E0174B">
            <w:pPr>
              <w:pStyle w:val="Tablecolumnheading"/>
            </w:pPr>
            <w:r w:rsidRPr="00A16728">
              <w:t>Stage</w:t>
            </w:r>
          </w:p>
        </w:tc>
        <w:tc>
          <w:tcPr>
            <w:tcW w:w="868" w:type="dxa"/>
            <w:shd w:val="clear" w:color="auto" w:fill="FFCC99"/>
            <w:hideMark/>
          </w:tcPr>
          <w:p w14:paraId="06632E4E" w14:textId="77777777" w:rsidR="00831F7A" w:rsidRPr="00A16728" w:rsidRDefault="00831F7A" w:rsidP="00E0174B">
            <w:pPr>
              <w:pStyle w:val="Tablecolumnheading"/>
            </w:pPr>
            <w:r w:rsidRPr="00A16728">
              <w:t>201</w:t>
            </w:r>
            <w:r>
              <w:t>6</w:t>
            </w:r>
            <w:r w:rsidRPr="00A16728">
              <w:t>-1</w:t>
            </w:r>
            <w:r>
              <w:t xml:space="preserve">7 </w:t>
            </w:r>
            <w:r w:rsidRPr="00A16728">
              <w:t xml:space="preserve">ratio </w:t>
            </w:r>
          </w:p>
        </w:tc>
        <w:tc>
          <w:tcPr>
            <w:tcW w:w="491" w:type="dxa"/>
            <w:shd w:val="clear" w:color="auto" w:fill="FFCC99"/>
          </w:tcPr>
          <w:p w14:paraId="25F42BB9" w14:textId="77777777" w:rsidR="00831F7A" w:rsidRPr="00A16728" w:rsidRDefault="00831F7A" w:rsidP="00E0174B">
            <w:pPr>
              <w:pStyle w:val="Tablecolumnheading"/>
              <w:ind w:left="0"/>
            </w:pPr>
          </w:p>
          <w:p w14:paraId="233E1354" w14:textId="77777777" w:rsidR="00831F7A" w:rsidRPr="00A16728" w:rsidRDefault="00831F7A" w:rsidP="00E0174B">
            <w:pPr>
              <w:pStyle w:val="Tablecolumnheading"/>
            </w:pPr>
            <w:r w:rsidRPr="00A16728">
              <w:t xml:space="preserve"> %</w:t>
            </w:r>
          </w:p>
        </w:tc>
        <w:tc>
          <w:tcPr>
            <w:tcW w:w="904" w:type="dxa"/>
            <w:shd w:val="clear" w:color="auto" w:fill="FFCC99"/>
          </w:tcPr>
          <w:p w14:paraId="1F783D0F" w14:textId="77777777" w:rsidR="00831F7A" w:rsidRPr="00DF2CC5" w:rsidRDefault="00831F7A" w:rsidP="00E0174B">
            <w:pPr>
              <w:pStyle w:val="Tablecolumnheading"/>
            </w:pPr>
            <w:r w:rsidRPr="00DF2CC5">
              <w:t>201</w:t>
            </w:r>
            <w:r>
              <w:t>7</w:t>
            </w:r>
            <w:r w:rsidRPr="00DF2CC5">
              <w:t>-1</w:t>
            </w:r>
            <w:r>
              <w:t xml:space="preserve">8  </w:t>
            </w:r>
            <w:r w:rsidRPr="00DF2CC5">
              <w:t xml:space="preserve">ratio </w:t>
            </w:r>
          </w:p>
        </w:tc>
        <w:tc>
          <w:tcPr>
            <w:tcW w:w="479" w:type="dxa"/>
            <w:shd w:val="clear" w:color="auto" w:fill="FFCC99"/>
          </w:tcPr>
          <w:p w14:paraId="62CB1D1F" w14:textId="77777777" w:rsidR="00831F7A" w:rsidRPr="00DF2CC5" w:rsidRDefault="00831F7A" w:rsidP="00E0174B">
            <w:pPr>
              <w:pStyle w:val="Tablecolumnheading"/>
              <w:ind w:left="0"/>
            </w:pPr>
          </w:p>
          <w:p w14:paraId="252922B4" w14:textId="77777777" w:rsidR="00831F7A" w:rsidRPr="00DF2CC5" w:rsidRDefault="00831F7A" w:rsidP="00E0174B">
            <w:pPr>
              <w:pStyle w:val="Tablecolumnheading"/>
            </w:pPr>
            <w:r w:rsidRPr="00DF2CC5">
              <w:t xml:space="preserve"> %</w:t>
            </w:r>
          </w:p>
        </w:tc>
        <w:tc>
          <w:tcPr>
            <w:tcW w:w="954" w:type="dxa"/>
            <w:shd w:val="clear" w:color="auto" w:fill="FFCC99"/>
          </w:tcPr>
          <w:p w14:paraId="36251135" w14:textId="77777777" w:rsidR="00831F7A" w:rsidRPr="00DF2CC5" w:rsidRDefault="00831F7A" w:rsidP="00E0174B">
            <w:pPr>
              <w:pStyle w:val="Tablecolumnheading"/>
            </w:pPr>
            <w:r w:rsidRPr="00DF2CC5">
              <w:t>201</w:t>
            </w:r>
            <w:r>
              <w:t>8</w:t>
            </w:r>
            <w:r w:rsidRPr="00DF2CC5">
              <w:t>-1</w:t>
            </w:r>
            <w:r>
              <w:t>9</w:t>
            </w:r>
            <w:r w:rsidRPr="00DF2CC5">
              <w:t xml:space="preserve"> ratio</w:t>
            </w:r>
            <w:r>
              <w:t xml:space="preserve"> </w:t>
            </w:r>
          </w:p>
        </w:tc>
        <w:tc>
          <w:tcPr>
            <w:tcW w:w="476" w:type="dxa"/>
            <w:shd w:val="clear" w:color="auto" w:fill="FFCC99"/>
          </w:tcPr>
          <w:p w14:paraId="4711F279" w14:textId="77777777" w:rsidR="00831F7A" w:rsidRDefault="00831F7A" w:rsidP="00E0174B">
            <w:pPr>
              <w:pStyle w:val="Tablecolumnheading"/>
            </w:pPr>
          </w:p>
          <w:p w14:paraId="168FEC18" w14:textId="77777777" w:rsidR="00831F7A" w:rsidRPr="00DF2CC5" w:rsidRDefault="00831F7A" w:rsidP="00E0174B">
            <w:pPr>
              <w:pStyle w:val="Tablecolumnheading"/>
            </w:pPr>
            <w:r>
              <w:t>%</w:t>
            </w:r>
          </w:p>
        </w:tc>
        <w:tc>
          <w:tcPr>
            <w:tcW w:w="912" w:type="dxa"/>
            <w:shd w:val="clear" w:color="auto" w:fill="FFCC99"/>
          </w:tcPr>
          <w:p w14:paraId="2A6109EB" w14:textId="7BCCB7D8" w:rsidR="00831F7A" w:rsidRDefault="00831F7A" w:rsidP="00D43B7F">
            <w:pPr>
              <w:pStyle w:val="Tablecolumnheading"/>
            </w:pPr>
            <w:r w:rsidRPr="00DF2CC5">
              <w:t>201</w:t>
            </w:r>
            <w:r>
              <w:t>9-20</w:t>
            </w:r>
            <w:r w:rsidRPr="00DF2CC5">
              <w:t xml:space="preserve"> ratio</w:t>
            </w:r>
            <w:r>
              <w:t xml:space="preserve"> </w:t>
            </w:r>
          </w:p>
        </w:tc>
        <w:tc>
          <w:tcPr>
            <w:tcW w:w="388" w:type="dxa"/>
            <w:shd w:val="clear" w:color="auto" w:fill="FFCC99"/>
          </w:tcPr>
          <w:p w14:paraId="67C654DC" w14:textId="77777777" w:rsidR="00831F7A" w:rsidRDefault="00831F7A" w:rsidP="00E0174B">
            <w:pPr>
              <w:pStyle w:val="Tablecolumnheading"/>
            </w:pPr>
          </w:p>
          <w:p w14:paraId="3EB2699E" w14:textId="77777777" w:rsidR="00831F7A" w:rsidRDefault="00831F7A" w:rsidP="00E0174B">
            <w:pPr>
              <w:pStyle w:val="Tablecolumnheading"/>
            </w:pPr>
            <w:r>
              <w:t>%</w:t>
            </w:r>
          </w:p>
        </w:tc>
        <w:tc>
          <w:tcPr>
            <w:tcW w:w="799" w:type="dxa"/>
            <w:shd w:val="clear" w:color="auto" w:fill="FFCC99"/>
          </w:tcPr>
          <w:p w14:paraId="261BBFC7" w14:textId="750A9528" w:rsidR="00831F7A" w:rsidRPr="00FE6D24" w:rsidRDefault="00A90857" w:rsidP="00E0174B">
            <w:pPr>
              <w:pStyle w:val="Tablecolumnheading"/>
              <w:rPr>
                <w:vertAlign w:val="superscript"/>
              </w:rPr>
            </w:pPr>
            <w:r>
              <w:t xml:space="preserve">2020-21 </w:t>
            </w:r>
            <w:proofErr w:type="spellStart"/>
            <w:r>
              <w:t>ratio</w:t>
            </w:r>
            <w:r w:rsidR="00FE6D24">
              <w:rPr>
                <w:vertAlign w:val="superscript"/>
              </w:rPr>
              <w:t>b</w:t>
            </w:r>
            <w:proofErr w:type="spellEnd"/>
          </w:p>
        </w:tc>
        <w:tc>
          <w:tcPr>
            <w:tcW w:w="545" w:type="dxa"/>
            <w:shd w:val="clear" w:color="auto" w:fill="FFCC99"/>
          </w:tcPr>
          <w:p w14:paraId="6AB12B95" w14:textId="77777777" w:rsidR="00831F7A" w:rsidRDefault="00831F7A" w:rsidP="00E0174B">
            <w:pPr>
              <w:pStyle w:val="Tablecolumnheading"/>
            </w:pPr>
          </w:p>
          <w:p w14:paraId="3CE78673" w14:textId="3CEF0E0D" w:rsidR="00A90857" w:rsidRDefault="00A90857" w:rsidP="00E0174B">
            <w:pPr>
              <w:pStyle w:val="Tablecolumnheading"/>
            </w:pPr>
            <w:r>
              <w:t>%</w:t>
            </w:r>
          </w:p>
        </w:tc>
      </w:tr>
      <w:tr w:rsidR="00831F7A" w:rsidRPr="00904B60" w14:paraId="1B36CE7C" w14:textId="191DB010" w:rsidTr="00A90857">
        <w:tc>
          <w:tcPr>
            <w:tcW w:w="2325" w:type="dxa"/>
            <w:hideMark/>
          </w:tcPr>
          <w:p w14:paraId="2B8B7702" w14:textId="77B5D3E6" w:rsidR="00831F7A" w:rsidRPr="00B20104" w:rsidRDefault="00831F7A" w:rsidP="00D43B7F">
            <w:pPr>
              <w:pStyle w:val="Tablebodytext"/>
              <w:rPr>
                <w:b/>
              </w:rPr>
            </w:pPr>
            <w:r w:rsidRPr="00B20104">
              <w:rPr>
                <w:b/>
              </w:rPr>
              <w:t xml:space="preserve">Consultation </w:t>
            </w:r>
            <w:proofErr w:type="spellStart"/>
            <w:r w:rsidRPr="00B20104">
              <w:rPr>
                <w:b/>
              </w:rPr>
              <w:t>stage</w:t>
            </w:r>
            <w:r>
              <w:rPr>
                <w:b/>
                <w:vertAlign w:val="superscript"/>
              </w:rPr>
              <w:t>a</w:t>
            </w:r>
            <w:proofErr w:type="spellEnd"/>
          </w:p>
        </w:tc>
        <w:tc>
          <w:tcPr>
            <w:tcW w:w="868" w:type="dxa"/>
          </w:tcPr>
          <w:p w14:paraId="20614625" w14:textId="77777777" w:rsidR="00831F7A" w:rsidRPr="00012928" w:rsidRDefault="00831F7A" w:rsidP="00E24DA5">
            <w:pPr>
              <w:pStyle w:val="Tablebodytext"/>
            </w:pPr>
            <w:r w:rsidRPr="00012928">
              <w:t>1</w:t>
            </w:r>
            <w:r>
              <w:t>0/11</w:t>
            </w:r>
          </w:p>
        </w:tc>
        <w:tc>
          <w:tcPr>
            <w:tcW w:w="491" w:type="dxa"/>
            <w:shd w:val="clear" w:color="auto" w:fill="auto"/>
          </w:tcPr>
          <w:p w14:paraId="4ECCB8AE" w14:textId="77777777" w:rsidR="00831F7A" w:rsidRPr="00012928" w:rsidRDefault="00831F7A" w:rsidP="008F3949">
            <w:pPr>
              <w:pStyle w:val="Tablebodytext"/>
            </w:pPr>
            <w:r>
              <w:t>90</w:t>
            </w:r>
          </w:p>
        </w:tc>
        <w:tc>
          <w:tcPr>
            <w:tcW w:w="904" w:type="dxa"/>
            <w:shd w:val="clear" w:color="auto" w:fill="auto"/>
          </w:tcPr>
          <w:p w14:paraId="1ED5D0BE" w14:textId="77777777" w:rsidR="00831F7A" w:rsidRPr="00904B60" w:rsidRDefault="00831F7A" w:rsidP="00C44B43">
            <w:pPr>
              <w:pStyle w:val="Tablebodytext"/>
            </w:pPr>
            <w:r w:rsidRPr="00904B60">
              <w:t>6/6</w:t>
            </w:r>
          </w:p>
        </w:tc>
        <w:tc>
          <w:tcPr>
            <w:tcW w:w="479" w:type="dxa"/>
            <w:shd w:val="clear" w:color="auto" w:fill="auto"/>
          </w:tcPr>
          <w:p w14:paraId="0BB5C139" w14:textId="77777777" w:rsidR="00831F7A" w:rsidRPr="00904B60" w:rsidRDefault="00831F7A" w:rsidP="00C44B43">
            <w:pPr>
              <w:pStyle w:val="Tablebodytext"/>
            </w:pPr>
            <w:r w:rsidRPr="00904B60">
              <w:t>100</w:t>
            </w:r>
          </w:p>
        </w:tc>
        <w:tc>
          <w:tcPr>
            <w:tcW w:w="954" w:type="dxa"/>
            <w:shd w:val="clear" w:color="auto" w:fill="auto"/>
          </w:tcPr>
          <w:p w14:paraId="56C26406" w14:textId="77777777" w:rsidR="00831F7A" w:rsidRPr="00904B60" w:rsidRDefault="00831F7A" w:rsidP="00C44B43">
            <w:pPr>
              <w:pStyle w:val="Tablebodytext"/>
            </w:pPr>
            <w:r>
              <w:t>15/15</w:t>
            </w:r>
          </w:p>
        </w:tc>
        <w:tc>
          <w:tcPr>
            <w:tcW w:w="476" w:type="dxa"/>
          </w:tcPr>
          <w:p w14:paraId="7A841C7B" w14:textId="77777777" w:rsidR="00831F7A" w:rsidRPr="00904B60" w:rsidRDefault="00831F7A" w:rsidP="00C44B43">
            <w:pPr>
              <w:pStyle w:val="Tablebodytext"/>
            </w:pPr>
            <w:r w:rsidRPr="00904B60">
              <w:t>100</w:t>
            </w:r>
          </w:p>
        </w:tc>
        <w:tc>
          <w:tcPr>
            <w:tcW w:w="912" w:type="dxa"/>
          </w:tcPr>
          <w:p w14:paraId="3945A6E0" w14:textId="158F1744" w:rsidR="00831F7A" w:rsidRPr="00904B60" w:rsidRDefault="00831F7A" w:rsidP="00C44B43">
            <w:pPr>
              <w:pStyle w:val="Tablebodytext"/>
            </w:pPr>
            <w:r>
              <w:t>24/25</w:t>
            </w:r>
          </w:p>
        </w:tc>
        <w:tc>
          <w:tcPr>
            <w:tcW w:w="388" w:type="dxa"/>
          </w:tcPr>
          <w:p w14:paraId="401FB385" w14:textId="2D7C5728" w:rsidR="00831F7A" w:rsidRPr="00904B60" w:rsidRDefault="00831F7A" w:rsidP="00705B41">
            <w:pPr>
              <w:pStyle w:val="Tablebodytext"/>
            </w:pPr>
            <w:r>
              <w:t>96</w:t>
            </w:r>
          </w:p>
        </w:tc>
        <w:tc>
          <w:tcPr>
            <w:tcW w:w="799" w:type="dxa"/>
          </w:tcPr>
          <w:p w14:paraId="36D8292E" w14:textId="07621ABA" w:rsidR="00831F7A" w:rsidRDefault="00602A5F" w:rsidP="00705B41">
            <w:pPr>
              <w:pStyle w:val="Tablebodytext"/>
            </w:pPr>
            <w:r>
              <w:t>6/7</w:t>
            </w:r>
          </w:p>
        </w:tc>
        <w:tc>
          <w:tcPr>
            <w:tcW w:w="545" w:type="dxa"/>
          </w:tcPr>
          <w:p w14:paraId="22F817D4" w14:textId="27CB80AF" w:rsidR="00831F7A" w:rsidRDefault="00602A5F" w:rsidP="00705B41">
            <w:pPr>
              <w:pStyle w:val="Tablebodytext"/>
            </w:pPr>
            <w:r>
              <w:t>86</w:t>
            </w:r>
          </w:p>
        </w:tc>
      </w:tr>
      <w:tr w:rsidR="00831F7A" w:rsidRPr="009E2979" w14:paraId="43B31930" w14:textId="22B6D478" w:rsidTr="00A90857">
        <w:tc>
          <w:tcPr>
            <w:tcW w:w="2325" w:type="dxa"/>
            <w:hideMark/>
          </w:tcPr>
          <w:p w14:paraId="209C245F" w14:textId="77777777" w:rsidR="00831F7A" w:rsidRPr="00B20104" w:rsidRDefault="00831F7A" w:rsidP="00C44B43">
            <w:pPr>
              <w:pStyle w:val="Tablebodytext"/>
              <w:rPr>
                <w:b/>
              </w:rPr>
            </w:pPr>
            <w:r w:rsidRPr="00B20104">
              <w:rPr>
                <w:b/>
              </w:rPr>
              <w:t>Decision-making stage</w:t>
            </w:r>
          </w:p>
        </w:tc>
        <w:tc>
          <w:tcPr>
            <w:tcW w:w="868" w:type="dxa"/>
          </w:tcPr>
          <w:p w14:paraId="212C0244" w14:textId="77777777" w:rsidR="00831F7A" w:rsidRPr="00012928" w:rsidRDefault="00831F7A" w:rsidP="00012928">
            <w:pPr>
              <w:pStyle w:val="Tablebodytext"/>
            </w:pPr>
            <w:r>
              <w:t>10/11</w:t>
            </w:r>
          </w:p>
        </w:tc>
        <w:tc>
          <w:tcPr>
            <w:tcW w:w="491" w:type="dxa"/>
            <w:shd w:val="clear" w:color="auto" w:fill="auto"/>
          </w:tcPr>
          <w:p w14:paraId="305FB58F" w14:textId="77777777" w:rsidR="00831F7A" w:rsidRPr="00012928" w:rsidRDefault="00831F7A" w:rsidP="00575BB9">
            <w:pPr>
              <w:pStyle w:val="Tablebodytext"/>
            </w:pPr>
            <w:r>
              <w:t>90</w:t>
            </w:r>
          </w:p>
        </w:tc>
        <w:tc>
          <w:tcPr>
            <w:tcW w:w="904" w:type="dxa"/>
            <w:shd w:val="clear" w:color="auto" w:fill="auto"/>
          </w:tcPr>
          <w:p w14:paraId="62C4F408" w14:textId="77777777" w:rsidR="00831F7A" w:rsidRPr="00012928" w:rsidRDefault="00831F7A" w:rsidP="00C44B43">
            <w:pPr>
              <w:pStyle w:val="Tablebodytext"/>
            </w:pPr>
            <w:r>
              <w:t>6/6</w:t>
            </w:r>
          </w:p>
        </w:tc>
        <w:tc>
          <w:tcPr>
            <w:tcW w:w="479" w:type="dxa"/>
            <w:shd w:val="clear" w:color="auto" w:fill="auto"/>
          </w:tcPr>
          <w:p w14:paraId="38D2C2E1" w14:textId="77777777" w:rsidR="00831F7A" w:rsidRPr="00012928" w:rsidRDefault="00831F7A" w:rsidP="00C44B43">
            <w:pPr>
              <w:pStyle w:val="Tablebodytext"/>
            </w:pPr>
            <w:r>
              <w:t>100</w:t>
            </w:r>
          </w:p>
        </w:tc>
        <w:tc>
          <w:tcPr>
            <w:tcW w:w="954" w:type="dxa"/>
            <w:shd w:val="clear" w:color="auto" w:fill="auto"/>
          </w:tcPr>
          <w:p w14:paraId="088B01C4" w14:textId="77777777" w:rsidR="00831F7A" w:rsidRPr="009E2979" w:rsidRDefault="00831F7A" w:rsidP="00C44B43">
            <w:pPr>
              <w:pStyle w:val="Tablebodytext"/>
            </w:pPr>
            <w:r>
              <w:t>15/15</w:t>
            </w:r>
          </w:p>
        </w:tc>
        <w:tc>
          <w:tcPr>
            <w:tcW w:w="476" w:type="dxa"/>
          </w:tcPr>
          <w:p w14:paraId="57CF6F61" w14:textId="77777777" w:rsidR="00831F7A" w:rsidRPr="009E2979" w:rsidRDefault="00831F7A" w:rsidP="00C44B43">
            <w:pPr>
              <w:pStyle w:val="Tablebodytext"/>
            </w:pPr>
            <w:r w:rsidRPr="009E2979">
              <w:t>100</w:t>
            </w:r>
          </w:p>
        </w:tc>
        <w:tc>
          <w:tcPr>
            <w:tcW w:w="912" w:type="dxa"/>
          </w:tcPr>
          <w:p w14:paraId="4BF0B866" w14:textId="285D7B01" w:rsidR="00831F7A" w:rsidRPr="009E2979" w:rsidRDefault="00831F7A" w:rsidP="00C44B43">
            <w:pPr>
              <w:pStyle w:val="Tablebodytext"/>
            </w:pPr>
            <w:r>
              <w:t>23/25</w:t>
            </w:r>
          </w:p>
        </w:tc>
        <w:tc>
          <w:tcPr>
            <w:tcW w:w="388" w:type="dxa"/>
          </w:tcPr>
          <w:p w14:paraId="6CDF0AED" w14:textId="2544A863" w:rsidR="00831F7A" w:rsidRPr="009E2979" w:rsidRDefault="00831F7A">
            <w:pPr>
              <w:pStyle w:val="Tablebodytext"/>
            </w:pPr>
            <w:r>
              <w:t>92</w:t>
            </w:r>
          </w:p>
        </w:tc>
        <w:tc>
          <w:tcPr>
            <w:tcW w:w="799" w:type="dxa"/>
          </w:tcPr>
          <w:p w14:paraId="1CFDA435" w14:textId="4785F560" w:rsidR="00831F7A" w:rsidRDefault="00602A5F">
            <w:pPr>
              <w:pStyle w:val="Tablebodytext"/>
            </w:pPr>
            <w:r>
              <w:t>6</w:t>
            </w:r>
            <w:r w:rsidR="00D31AB7">
              <w:t>/7</w:t>
            </w:r>
          </w:p>
        </w:tc>
        <w:tc>
          <w:tcPr>
            <w:tcW w:w="545" w:type="dxa"/>
          </w:tcPr>
          <w:p w14:paraId="5B01B8C3" w14:textId="6DBB8F9D" w:rsidR="00831F7A" w:rsidRDefault="00602A5F">
            <w:pPr>
              <w:pStyle w:val="Tablebodytext"/>
            </w:pPr>
            <w:r>
              <w:t>86</w:t>
            </w:r>
          </w:p>
        </w:tc>
      </w:tr>
    </w:tbl>
    <w:p w14:paraId="48DA2047" w14:textId="77777777" w:rsidR="00C8725F" w:rsidRDefault="00C8725F" w:rsidP="00832653">
      <w:pPr>
        <w:pStyle w:val="Sourcenotetext"/>
      </w:pPr>
    </w:p>
    <w:p w14:paraId="3F746484" w14:textId="11A53536" w:rsidR="00FE6D24" w:rsidRDefault="00D43B7F" w:rsidP="00832653">
      <w:pPr>
        <w:pStyle w:val="Sourcenotetext"/>
        <w:spacing w:after="240"/>
      </w:pPr>
      <w:proofErr w:type="spellStart"/>
      <w:proofErr w:type="gramStart"/>
      <w:r>
        <w:t>a</w:t>
      </w:r>
      <w:proofErr w:type="spellEnd"/>
      <w:proofErr w:type="gramEnd"/>
      <w:r w:rsidR="00832653" w:rsidRPr="00B20104">
        <w:t xml:space="preserve"> </w:t>
      </w:r>
      <w:r w:rsidR="00061BF4" w:rsidRPr="00061BF4">
        <w:t>The consultation stage figures relate to those decisions at the consultation stage for which a corresponding decision RIS at the decision-making stage has been announced.</w:t>
      </w:r>
      <w:r w:rsidR="00FE6D24">
        <w:br/>
      </w:r>
      <w:proofErr w:type="gramStart"/>
      <w:r w:rsidR="00FE6D24">
        <w:t>b</w:t>
      </w:r>
      <w:proofErr w:type="gramEnd"/>
      <w:r w:rsidR="00FE6D24">
        <w:t xml:space="preserve"> As at 31 January 2021</w:t>
      </w:r>
    </w:p>
    <w:bookmarkEnd w:id="184"/>
    <w:bookmarkEnd w:id="185"/>
    <w:bookmarkEnd w:id="186"/>
    <w:bookmarkEnd w:id="187"/>
    <w:bookmarkEnd w:id="188"/>
    <w:bookmarkEnd w:id="189"/>
    <w:bookmarkEnd w:id="190"/>
    <w:bookmarkEnd w:id="191"/>
    <w:bookmarkEnd w:id="192"/>
    <w:bookmarkEnd w:id="193"/>
    <w:bookmarkEnd w:id="194"/>
    <w:bookmarkEnd w:id="195"/>
    <w:bookmarkEnd w:id="196"/>
    <w:p w14:paraId="1A2C5510" w14:textId="7C339116" w:rsidR="0077323B" w:rsidRPr="00354504" w:rsidRDefault="00153DC0" w:rsidP="00354504">
      <w:pPr>
        <w:pStyle w:val="Heading2"/>
      </w:pPr>
      <w:r>
        <w:t xml:space="preserve"> </w:t>
      </w:r>
      <w:bookmarkStart w:id="253" w:name="_Toc5280199"/>
      <w:bookmarkStart w:id="254" w:name="_Toc5611196"/>
      <w:bookmarkStart w:id="255" w:name="_Toc19867104"/>
      <w:bookmarkStart w:id="256" w:name="_Toc20151472"/>
      <w:bookmarkStart w:id="257" w:name="_Toc32395967"/>
      <w:r w:rsidR="0077323B" w:rsidRPr="00354504">
        <w:t xml:space="preserve">COAG </w:t>
      </w:r>
      <w:r w:rsidR="000646E5" w:rsidRPr="00354504">
        <w:t>Consultation RISs prepared 201</w:t>
      </w:r>
      <w:r w:rsidR="00957F2E">
        <w:t>6-17</w:t>
      </w:r>
      <w:r w:rsidR="00596B24">
        <w:t xml:space="preserve"> </w:t>
      </w:r>
      <w:r w:rsidR="00A90857">
        <w:t>to 2020</w:t>
      </w:r>
      <w:r w:rsidR="0077323B" w:rsidRPr="00354504">
        <w:t>-</w:t>
      </w:r>
      <w:bookmarkEnd w:id="253"/>
      <w:bookmarkEnd w:id="254"/>
      <w:r w:rsidR="00957F2E">
        <w:t>2</w:t>
      </w:r>
      <w:bookmarkEnd w:id="255"/>
      <w:bookmarkEnd w:id="256"/>
      <w:bookmarkEnd w:id="257"/>
      <w:r w:rsidR="00A90857">
        <w:t>1</w:t>
      </w:r>
    </w:p>
    <w:tbl>
      <w:tblPr>
        <w:tblW w:w="0" w:type="auto"/>
        <w:tblBorders>
          <w:top w:val="single" w:sz="2" w:space="0" w:color="A7B4BE"/>
          <w:bottom w:val="single" w:sz="2" w:space="0" w:color="A7B4BE"/>
          <w:insideH w:val="single" w:sz="2" w:space="0" w:color="A7B4BE"/>
          <w:insideV w:val="single" w:sz="2" w:space="0" w:color="A7B4BE"/>
        </w:tblBorders>
        <w:tblCellMar>
          <w:left w:w="0" w:type="dxa"/>
          <w:right w:w="0" w:type="dxa"/>
        </w:tblCellMar>
        <w:tblLook w:val="04A0" w:firstRow="1" w:lastRow="0" w:firstColumn="1" w:lastColumn="0" w:noHBand="0" w:noVBand="1"/>
        <w:tblCaption w:val="COAG Consultation RISs prepared 2014-15 to 2017-18"/>
        <w:tblDescription w:val="A table summarising the number of COAG Consultation RISs prepared within the 2014-15 to 2017-18 financial years."/>
      </w:tblPr>
      <w:tblGrid>
        <w:gridCol w:w="2269"/>
        <w:gridCol w:w="1319"/>
        <w:gridCol w:w="1194"/>
        <w:gridCol w:w="1445"/>
        <w:gridCol w:w="1445"/>
        <w:gridCol w:w="1387"/>
      </w:tblGrid>
      <w:tr w:rsidR="00831F7A" w:rsidRPr="0064756D" w14:paraId="262BFF80" w14:textId="1DEA9E45" w:rsidTr="00A90857">
        <w:trPr>
          <w:tblHeader/>
        </w:trPr>
        <w:tc>
          <w:tcPr>
            <w:tcW w:w="2269" w:type="dxa"/>
            <w:tcBorders>
              <w:top w:val="single" w:sz="4" w:space="0" w:color="A7B4BE"/>
              <w:left w:val="nil"/>
              <w:bottom w:val="single" w:sz="2" w:space="0" w:color="A7B4BE"/>
              <w:right w:val="single" w:sz="2" w:space="0" w:color="A7B4BE"/>
            </w:tcBorders>
            <w:shd w:val="clear" w:color="auto" w:fill="FFCC99"/>
            <w:vAlign w:val="center"/>
          </w:tcPr>
          <w:p w14:paraId="31C81989" w14:textId="77777777" w:rsidR="00831F7A" w:rsidRPr="00E86491" w:rsidRDefault="00831F7A" w:rsidP="00754FDB">
            <w:pPr>
              <w:pStyle w:val="Tablecolumnheading"/>
            </w:pPr>
          </w:p>
        </w:tc>
        <w:tc>
          <w:tcPr>
            <w:tcW w:w="1319" w:type="dxa"/>
            <w:tcBorders>
              <w:top w:val="single" w:sz="4" w:space="0" w:color="A7B4BE"/>
              <w:left w:val="single" w:sz="2" w:space="0" w:color="A7B4BE"/>
              <w:bottom w:val="single" w:sz="4" w:space="0" w:color="A7B4BE"/>
              <w:right w:val="single" w:sz="2" w:space="0" w:color="A7B4BE"/>
            </w:tcBorders>
            <w:shd w:val="clear" w:color="auto" w:fill="FFCC99"/>
          </w:tcPr>
          <w:p w14:paraId="648864A0" w14:textId="77777777" w:rsidR="00831F7A" w:rsidRPr="00E86491" w:rsidRDefault="00831F7A" w:rsidP="00685607">
            <w:pPr>
              <w:pStyle w:val="Tablecolumnheading"/>
              <w:ind w:left="0"/>
              <w:jc w:val="center"/>
            </w:pPr>
            <w:r w:rsidRPr="00E86491">
              <w:t>201</w:t>
            </w:r>
            <w:r>
              <w:t>6</w:t>
            </w:r>
            <w:r w:rsidRPr="00E86491">
              <w:t>-1</w:t>
            </w:r>
            <w:r>
              <w:t>7</w:t>
            </w:r>
          </w:p>
        </w:tc>
        <w:tc>
          <w:tcPr>
            <w:tcW w:w="1194" w:type="dxa"/>
            <w:tcBorders>
              <w:top w:val="single" w:sz="4" w:space="0" w:color="A7B4BE"/>
              <w:left w:val="nil"/>
              <w:bottom w:val="single" w:sz="4" w:space="0" w:color="A7B4BE"/>
              <w:right w:val="single" w:sz="4" w:space="0" w:color="A7B4BE"/>
            </w:tcBorders>
            <w:shd w:val="clear" w:color="auto" w:fill="FFCC99"/>
          </w:tcPr>
          <w:p w14:paraId="5F892F61" w14:textId="77777777" w:rsidR="00831F7A" w:rsidRPr="00E86491" w:rsidRDefault="00831F7A" w:rsidP="00685607">
            <w:pPr>
              <w:pStyle w:val="Tablecolumnheading"/>
              <w:ind w:left="0"/>
              <w:jc w:val="center"/>
            </w:pPr>
            <w:r>
              <w:t>2017-18</w:t>
            </w:r>
          </w:p>
        </w:tc>
        <w:tc>
          <w:tcPr>
            <w:tcW w:w="1445" w:type="dxa"/>
            <w:tcBorders>
              <w:top w:val="single" w:sz="4" w:space="0" w:color="A7B4BE"/>
              <w:left w:val="single" w:sz="4" w:space="0" w:color="A7B4BE"/>
              <w:bottom w:val="single" w:sz="4" w:space="0" w:color="A7B4BE"/>
              <w:right w:val="nil"/>
            </w:tcBorders>
            <w:shd w:val="clear" w:color="auto" w:fill="FFCC99"/>
          </w:tcPr>
          <w:p w14:paraId="2CEB939A" w14:textId="77777777" w:rsidR="00831F7A" w:rsidRPr="00E86491" w:rsidRDefault="00831F7A" w:rsidP="00596B24">
            <w:pPr>
              <w:pStyle w:val="Tablecolumnheading"/>
              <w:ind w:left="0"/>
              <w:jc w:val="center"/>
            </w:pPr>
            <w:r w:rsidRPr="00E86491">
              <w:t>201</w:t>
            </w:r>
            <w:r>
              <w:t>8</w:t>
            </w:r>
            <w:r w:rsidRPr="00E86491">
              <w:t>-1</w:t>
            </w:r>
            <w:r>
              <w:t>9</w:t>
            </w:r>
          </w:p>
        </w:tc>
        <w:tc>
          <w:tcPr>
            <w:tcW w:w="1445" w:type="dxa"/>
            <w:tcBorders>
              <w:top w:val="single" w:sz="4" w:space="0" w:color="A7B4BE"/>
              <w:left w:val="single" w:sz="4" w:space="0" w:color="A7B4BE"/>
              <w:bottom w:val="single" w:sz="4" w:space="0" w:color="A7B4BE"/>
              <w:right w:val="nil"/>
            </w:tcBorders>
            <w:shd w:val="clear" w:color="auto" w:fill="FFCC99"/>
          </w:tcPr>
          <w:p w14:paraId="648A3BFB" w14:textId="7E3C394B" w:rsidR="00831F7A" w:rsidRPr="00957F2E" w:rsidRDefault="00831F7A" w:rsidP="00D43B7F">
            <w:pPr>
              <w:pStyle w:val="Tablecolumnheading"/>
              <w:ind w:left="0"/>
              <w:jc w:val="center"/>
              <w:rPr>
                <w:vertAlign w:val="superscript"/>
              </w:rPr>
            </w:pPr>
            <w:r>
              <w:t>2019-20</w:t>
            </w:r>
          </w:p>
        </w:tc>
        <w:tc>
          <w:tcPr>
            <w:tcW w:w="1387" w:type="dxa"/>
            <w:tcBorders>
              <w:top w:val="single" w:sz="4" w:space="0" w:color="A7B4BE"/>
              <w:left w:val="single" w:sz="4" w:space="0" w:color="A7B4BE"/>
              <w:bottom w:val="single" w:sz="4" w:space="0" w:color="A7B4BE"/>
              <w:right w:val="nil"/>
            </w:tcBorders>
            <w:shd w:val="clear" w:color="auto" w:fill="FFCC99"/>
          </w:tcPr>
          <w:p w14:paraId="4CC6903D" w14:textId="4659DBDB" w:rsidR="00831F7A" w:rsidRPr="00FE6D24" w:rsidRDefault="00A90857" w:rsidP="00D43B7F">
            <w:pPr>
              <w:pStyle w:val="Tablecolumnheading"/>
              <w:ind w:left="0"/>
              <w:jc w:val="center"/>
              <w:rPr>
                <w:vertAlign w:val="superscript"/>
              </w:rPr>
            </w:pPr>
            <w:r>
              <w:t>2020-21</w:t>
            </w:r>
            <w:r w:rsidR="00FE6D24">
              <w:rPr>
                <w:vertAlign w:val="superscript"/>
              </w:rPr>
              <w:t>d</w:t>
            </w:r>
          </w:p>
        </w:tc>
      </w:tr>
      <w:tr w:rsidR="00831F7A" w:rsidRPr="0064756D" w14:paraId="39C3DC9E" w14:textId="78983F76" w:rsidTr="00A90857">
        <w:tc>
          <w:tcPr>
            <w:tcW w:w="2269" w:type="dxa"/>
            <w:tcBorders>
              <w:top w:val="single" w:sz="4" w:space="0" w:color="A7B4BE"/>
              <w:left w:val="nil"/>
              <w:bottom w:val="single" w:sz="2" w:space="0" w:color="A7B4BE"/>
              <w:right w:val="single" w:sz="2" w:space="0" w:color="A7B4BE"/>
            </w:tcBorders>
            <w:hideMark/>
          </w:tcPr>
          <w:p w14:paraId="00F599E3" w14:textId="42506494" w:rsidR="00831F7A" w:rsidRPr="00E86491" w:rsidRDefault="00831F7A" w:rsidP="00D43B7F">
            <w:pPr>
              <w:pStyle w:val="Tablebodytext"/>
              <w:rPr>
                <w:b/>
              </w:rPr>
            </w:pPr>
            <w:r>
              <w:rPr>
                <w:b/>
              </w:rPr>
              <w:t xml:space="preserve">Consultation RISs </w:t>
            </w:r>
            <w:proofErr w:type="spellStart"/>
            <w:r>
              <w:rPr>
                <w:b/>
              </w:rPr>
              <w:t>prepared</w:t>
            </w:r>
            <w:r w:rsidR="00FE6D24">
              <w:rPr>
                <w:b/>
                <w:vertAlign w:val="superscript"/>
              </w:rPr>
              <w:t>c</w:t>
            </w:r>
            <w:proofErr w:type="spellEnd"/>
          </w:p>
        </w:tc>
        <w:tc>
          <w:tcPr>
            <w:tcW w:w="1319" w:type="dxa"/>
            <w:tcBorders>
              <w:top w:val="single" w:sz="4" w:space="0" w:color="A7B4BE"/>
              <w:left w:val="single" w:sz="2" w:space="0" w:color="A7B4BE"/>
              <w:bottom w:val="single" w:sz="2" w:space="0" w:color="A7B4BE"/>
              <w:right w:val="single" w:sz="2" w:space="0" w:color="A7B4BE"/>
            </w:tcBorders>
            <w:hideMark/>
          </w:tcPr>
          <w:p w14:paraId="691D3868" w14:textId="77777777" w:rsidR="00831F7A" w:rsidRPr="00E86491" w:rsidRDefault="00831F7A" w:rsidP="00754FDB">
            <w:pPr>
              <w:pStyle w:val="Tablebodytext"/>
              <w:spacing w:before="120"/>
              <w:jc w:val="center"/>
            </w:pPr>
            <w:r>
              <w:t>8</w:t>
            </w:r>
          </w:p>
        </w:tc>
        <w:tc>
          <w:tcPr>
            <w:tcW w:w="1194" w:type="dxa"/>
            <w:tcBorders>
              <w:top w:val="single" w:sz="4" w:space="0" w:color="A7B4BE"/>
              <w:left w:val="nil"/>
              <w:bottom w:val="single" w:sz="2" w:space="0" w:color="A7B4BE"/>
              <w:right w:val="single" w:sz="4" w:space="0" w:color="A7B4BE"/>
            </w:tcBorders>
            <w:hideMark/>
          </w:tcPr>
          <w:p w14:paraId="2109EEA9" w14:textId="77777777" w:rsidR="00831F7A" w:rsidRPr="00E86491" w:rsidRDefault="00831F7A" w:rsidP="00754FDB">
            <w:pPr>
              <w:pStyle w:val="Tablebodytext"/>
              <w:spacing w:before="120"/>
              <w:jc w:val="center"/>
            </w:pPr>
            <w:r>
              <w:t>14</w:t>
            </w:r>
          </w:p>
        </w:tc>
        <w:tc>
          <w:tcPr>
            <w:tcW w:w="1445" w:type="dxa"/>
            <w:tcBorders>
              <w:top w:val="single" w:sz="4" w:space="0" w:color="A7B4BE"/>
              <w:left w:val="single" w:sz="4" w:space="0" w:color="A7B4BE"/>
              <w:bottom w:val="single" w:sz="4" w:space="0" w:color="A7B4BE"/>
              <w:right w:val="single" w:sz="4" w:space="0" w:color="A7B4BE"/>
            </w:tcBorders>
          </w:tcPr>
          <w:p w14:paraId="15159886" w14:textId="77777777" w:rsidR="00831F7A" w:rsidRPr="004C20DB" w:rsidRDefault="00831F7A" w:rsidP="00754FDB">
            <w:pPr>
              <w:pStyle w:val="Tablebodytext"/>
              <w:spacing w:before="120"/>
              <w:jc w:val="center"/>
            </w:pPr>
            <w:r>
              <w:t>5</w:t>
            </w:r>
          </w:p>
        </w:tc>
        <w:tc>
          <w:tcPr>
            <w:tcW w:w="1445" w:type="dxa"/>
            <w:tcBorders>
              <w:top w:val="single" w:sz="4" w:space="0" w:color="A7B4BE"/>
              <w:left w:val="single" w:sz="4" w:space="0" w:color="A7B4BE"/>
              <w:bottom w:val="single" w:sz="4" w:space="0" w:color="A7B4BE"/>
              <w:right w:val="single" w:sz="4" w:space="0" w:color="A7B4BE"/>
            </w:tcBorders>
            <w:shd w:val="clear" w:color="auto" w:fill="FFFFFF" w:themeFill="background1"/>
          </w:tcPr>
          <w:p w14:paraId="7888F8F6" w14:textId="77777777" w:rsidR="00831F7A" w:rsidRDefault="00831F7A" w:rsidP="00754FDB">
            <w:pPr>
              <w:pStyle w:val="Tablebodytext"/>
              <w:spacing w:before="120"/>
              <w:jc w:val="center"/>
            </w:pPr>
            <w:r>
              <w:t>26</w:t>
            </w:r>
          </w:p>
        </w:tc>
        <w:tc>
          <w:tcPr>
            <w:tcW w:w="1387" w:type="dxa"/>
            <w:tcBorders>
              <w:top w:val="single" w:sz="4" w:space="0" w:color="A7B4BE"/>
              <w:left w:val="single" w:sz="4" w:space="0" w:color="A7B4BE"/>
              <w:bottom w:val="single" w:sz="4" w:space="0" w:color="A7B4BE"/>
              <w:right w:val="single" w:sz="4" w:space="0" w:color="A7B4BE"/>
            </w:tcBorders>
            <w:shd w:val="clear" w:color="auto" w:fill="FFFFFF" w:themeFill="background1"/>
          </w:tcPr>
          <w:p w14:paraId="03C780C4" w14:textId="50140F33" w:rsidR="00831F7A" w:rsidRDefault="00D31AB7" w:rsidP="00754FDB">
            <w:pPr>
              <w:pStyle w:val="Tablebodytext"/>
              <w:spacing w:before="120"/>
              <w:jc w:val="center"/>
            </w:pPr>
            <w:r>
              <w:t>10</w:t>
            </w:r>
          </w:p>
        </w:tc>
      </w:tr>
    </w:tbl>
    <w:p w14:paraId="7D5928A7" w14:textId="0E556125" w:rsidR="0077323B" w:rsidRPr="000646E5" w:rsidRDefault="00FE6D24" w:rsidP="000646E5">
      <w:pPr>
        <w:spacing w:after="0"/>
        <w:rPr>
          <w:rFonts w:cs="Arial"/>
          <w:i/>
          <w:sz w:val="12"/>
          <w:szCs w:val="12"/>
        </w:rPr>
      </w:pPr>
      <w:proofErr w:type="gramStart"/>
      <w:r>
        <w:rPr>
          <w:rFonts w:cs="Arial"/>
          <w:i/>
          <w:sz w:val="12"/>
          <w:szCs w:val="12"/>
        </w:rPr>
        <w:t>c</w:t>
      </w:r>
      <w:proofErr w:type="gramEnd"/>
      <w:r w:rsidR="0077323B" w:rsidRPr="000646E5">
        <w:rPr>
          <w:rFonts w:cs="Arial"/>
          <w:i/>
          <w:sz w:val="12"/>
          <w:szCs w:val="12"/>
        </w:rPr>
        <w:t xml:space="preserve"> These numbers represent all Consultation RISs that were prepared and published in the relevant financial year. </w:t>
      </w:r>
      <w:r>
        <w:rPr>
          <w:rFonts w:cs="Arial"/>
          <w:i/>
          <w:sz w:val="12"/>
          <w:szCs w:val="12"/>
        </w:rPr>
        <w:br/>
      </w:r>
      <w:proofErr w:type="gramStart"/>
      <w:r>
        <w:rPr>
          <w:rFonts w:cs="Arial"/>
          <w:i/>
          <w:sz w:val="12"/>
          <w:szCs w:val="12"/>
        </w:rPr>
        <w:t>d</w:t>
      </w:r>
      <w:proofErr w:type="gramEnd"/>
      <w:r>
        <w:rPr>
          <w:rFonts w:cs="Arial"/>
          <w:i/>
          <w:sz w:val="12"/>
          <w:szCs w:val="12"/>
        </w:rPr>
        <w:t xml:space="preserve"> As at 31 January 2021</w:t>
      </w:r>
    </w:p>
    <w:p w14:paraId="607997B6" w14:textId="77777777" w:rsidR="00937EAD" w:rsidRDefault="00220271" w:rsidP="00B56367">
      <w:pPr>
        <w:pStyle w:val="Heading2"/>
        <w:ind w:left="0" w:firstLine="0"/>
      </w:pPr>
      <w:r>
        <w:br w:type="page"/>
      </w:r>
      <w:bookmarkStart w:id="258" w:name="_Toc384306618"/>
      <w:bookmarkStart w:id="259" w:name="_Toc379802376"/>
      <w:bookmarkStart w:id="260" w:name="_Toc379801138"/>
      <w:bookmarkStart w:id="261" w:name="_Toc383790361"/>
      <w:bookmarkStart w:id="262" w:name="_Toc384366788"/>
      <w:bookmarkStart w:id="263" w:name="_Toc387412050"/>
      <w:bookmarkStart w:id="264" w:name="_Toc391977611"/>
      <w:bookmarkStart w:id="265" w:name="_Toc391985275"/>
      <w:bookmarkStart w:id="266" w:name="_Toc391985779"/>
      <w:bookmarkStart w:id="267" w:name="_Toc391985817"/>
      <w:bookmarkStart w:id="268" w:name="_Toc392582656"/>
      <w:bookmarkStart w:id="269" w:name="_Toc392583995"/>
      <w:bookmarkStart w:id="270" w:name="_Toc392751706"/>
      <w:bookmarkStart w:id="271" w:name="_Toc392852658"/>
      <w:bookmarkStart w:id="272" w:name="_Toc396743526"/>
      <w:bookmarkStart w:id="273" w:name="_Toc400100729"/>
      <w:bookmarkStart w:id="274" w:name="_Toc400101008"/>
      <w:bookmarkStart w:id="275" w:name="_Toc400104320"/>
      <w:bookmarkStart w:id="276" w:name="_Toc428440026"/>
      <w:bookmarkStart w:id="277" w:name="_Toc428440453"/>
      <w:bookmarkStart w:id="278" w:name="_Toc432175593"/>
    </w:p>
    <w:p w14:paraId="33BE0380" w14:textId="77777777" w:rsidR="00B65DFB" w:rsidRDefault="00220271" w:rsidP="00FC3F38">
      <w:pPr>
        <w:pStyle w:val="Heading2"/>
        <w:ind w:left="0" w:right="423" w:firstLine="0"/>
        <w:rPr>
          <w:noProof/>
        </w:rPr>
      </w:pPr>
      <w:bookmarkStart w:id="279" w:name="_Toc432587373"/>
      <w:bookmarkStart w:id="280" w:name="_Toc438539624"/>
      <w:bookmarkStart w:id="281" w:name="_Toc440639807"/>
      <w:bookmarkStart w:id="282" w:name="_Toc445973435"/>
      <w:bookmarkStart w:id="283" w:name="_Toc445974133"/>
      <w:bookmarkStart w:id="284" w:name="_Toc445974394"/>
      <w:bookmarkStart w:id="285" w:name="_Toc446318427"/>
      <w:bookmarkStart w:id="286" w:name="_Toc447532685"/>
      <w:bookmarkStart w:id="287" w:name="_Toc451168633"/>
      <w:bookmarkStart w:id="288" w:name="_Toc451264227"/>
      <w:bookmarkStart w:id="289" w:name="_Toc451264794"/>
      <w:bookmarkStart w:id="290" w:name="_Toc459800319"/>
      <w:bookmarkStart w:id="291" w:name="_Toc473715461"/>
      <w:bookmarkStart w:id="292" w:name="_Toc473900454"/>
      <w:bookmarkStart w:id="293" w:name="_Toc473900489"/>
      <w:bookmarkStart w:id="294" w:name="_Toc5280200"/>
      <w:bookmarkStart w:id="295" w:name="_Toc5611197"/>
      <w:bookmarkStart w:id="296" w:name="_Toc19867105"/>
      <w:bookmarkStart w:id="297" w:name="_Toc20151473"/>
      <w:bookmarkStart w:id="298" w:name="_Toc32395968"/>
      <w:r w:rsidRPr="00010B24">
        <w:lastRenderedPageBreak/>
        <w:t>Contents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r>
        <w:fldChar w:fldCharType="begin"/>
      </w:r>
      <w:r>
        <w:instrText xml:space="preserve"> TOC \o "1-3" \h \z \u </w:instrText>
      </w:r>
      <w:r>
        <w:fldChar w:fldCharType="separate"/>
      </w:r>
    </w:p>
    <w:p w14:paraId="1B990BEF" w14:textId="4DA65B37" w:rsidR="00B65DFB" w:rsidRDefault="003460DC">
      <w:pPr>
        <w:pStyle w:val="TOC2"/>
        <w:tabs>
          <w:tab w:val="right" w:leader="dot" w:pos="9769"/>
        </w:tabs>
        <w:rPr>
          <w:rFonts w:asciiTheme="minorHAnsi" w:eastAsiaTheme="minorEastAsia" w:hAnsiTheme="minorHAnsi" w:cstheme="minorBidi"/>
          <w:noProof/>
          <w:szCs w:val="22"/>
          <w:lang w:eastAsia="en-AU"/>
        </w:rPr>
      </w:pPr>
      <w:hyperlink w:anchor="_Toc32395969" w:history="1">
        <w:r w:rsidR="00B65DFB" w:rsidRPr="0083630E">
          <w:rPr>
            <w:rStyle w:val="Hyperlink"/>
            <w:noProof/>
          </w:rPr>
          <w:t>Detailed information</w:t>
        </w:r>
        <w:r w:rsidR="00B65DFB">
          <w:rPr>
            <w:noProof/>
            <w:webHidden/>
          </w:rPr>
          <w:tab/>
        </w:r>
        <w:r w:rsidR="00B65DFB">
          <w:rPr>
            <w:noProof/>
            <w:webHidden/>
          </w:rPr>
          <w:fldChar w:fldCharType="begin"/>
        </w:r>
        <w:r w:rsidR="00B65DFB">
          <w:rPr>
            <w:noProof/>
            <w:webHidden/>
          </w:rPr>
          <w:instrText xml:space="preserve"> PAGEREF _Toc32395969 \h </w:instrText>
        </w:r>
        <w:r w:rsidR="00B65DFB">
          <w:rPr>
            <w:noProof/>
            <w:webHidden/>
          </w:rPr>
        </w:r>
        <w:r w:rsidR="00B65DFB">
          <w:rPr>
            <w:noProof/>
            <w:webHidden/>
          </w:rPr>
          <w:fldChar w:fldCharType="separate"/>
        </w:r>
        <w:r w:rsidR="00FD079D">
          <w:rPr>
            <w:noProof/>
            <w:webHidden/>
          </w:rPr>
          <w:t>3</w:t>
        </w:r>
        <w:r w:rsidR="00B65DFB">
          <w:rPr>
            <w:noProof/>
            <w:webHidden/>
          </w:rPr>
          <w:fldChar w:fldCharType="end"/>
        </w:r>
      </w:hyperlink>
    </w:p>
    <w:p w14:paraId="596B9FC5" w14:textId="74A9CAC0" w:rsidR="00B65DFB" w:rsidRDefault="003460DC">
      <w:pPr>
        <w:pStyle w:val="TOC3"/>
        <w:tabs>
          <w:tab w:val="right" w:leader="dot" w:pos="9769"/>
        </w:tabs>
        <w:rPr>
          <w:rFonts w:asciiTheme="minorHAnsi" w:eastAsiaTheme="minorEastAsia" w:hAnsiTheme="minorHAnsi" w:cstheme="minorBidi"/>
          <w:noProof/>
          <w:szCs w:val="22"/>
          <w:lang w:eastAsia="en-AU"/>
        </w:rPr>
      </w:pPr>
      <w:hyperlink w:anchor="_Toc32395970" w:history="1">
        <w:r w:rsidR="00B65DFB" w:rsidRPr="0083630E">
          <w:rPr>
            <w:rStyle w:val="Hyperlink"/>
            <w:noProof/>
          </w:rPr>
          <w:t>Australian Energy Market Commission</w:t>
        </w:r>
        <w:r w:rsidR="00B65DFB">
          <w:rPr>
            <w:noProof/>
            <w:webHidden/>
          </w:rPr>
          <w:tab/>
        </w:r>
        <w:r w:rsidR="00B65DFB">
          <w:rPr>
            <w:noProof/>
            <w:webHidden/>
          </w:rPr>
          <w:fldChar w:fldCharType="begin"/>
        </w:r>
        <w:r w:rsidR="00B65DFB">
          <w:rPr>
            <w:noProof/>
            <w:webHidden/>
          </w:rPr>
          <w:instrText xml:space="preserve"> PAGEREF _Toc32395970 \h </w:instrText>
        </w:r>
        <w:r w:rsidR="00B65DFB">
          <w:rPr>
            <w:noProof/>
            <w:webHidden/>
          </w:rPr>
        </w:r>
        <w:r w:rsidR="00B65DFB">
          <w:rPr>
            <w:noProof/>
            <w:webHidden/>
          </w:rPr>
          <w:fldChar w:fldCharType="separate"/>
        </w:r>
        <w:r w:rsidR="00FD079D">
          <w:rPr>
            <w:noProof/>
            <w:webHidden/>
          </w:rPr>
          <w:t>3</w:t>
        </w:r>
        <w:r w:rsidR="00B65DFB">
          <w:rPr>
            <w:noProof/>
            <w:webHidden/>
          </w:rPr>
          <w:fldChar w:fldCharType="end"/>
        </w:r>
      </w:hyperlink>
    </w:p>
    <w:p w14:paraId="10DD4181" w14:textId="26AB54A1" w:rsidR="00B65DFB" w:rsidRDefault="003460DC">
      <w:pPr>
        <w:pStyle w:val="TOC3"/>
        <w:tabs>
          <w:tab w:val="right" w:leader="dot" w:pos="9769"/>
        </w:tabs>
        <w:rPr>
          <w:rFonts w:asciiTheme="minorHAnsi" w:eastAsiaTheme="minorEastAsia" w:hAnsiTheme="minorHAnsi" w:cstheme="minorBidi"/>
          <w:noProof/>
          <w:szCs w:val="22"/>
          <w:lang w:eastAsia="en-AU"/>
        </w:rPr>
      </w:pPr>
      <w:hyperlink w:anchor="_Toc32395971" w:history="1">
        <w:r w:rsidR="000D1B9A">
          <w:rPr>
            <w:rStyle w:val="Hyperlink"/>
            <w:noProof/>
          </w:rPr>
          <w:t>Australian Registrars’ National Electronic Conveyancing Council</w:t>
        </w:r>
        <w:r w:rsidR="00B65DFB">
          <w:rPr>
            <w:noProof/>
            <w:webHidden/>
          </w:rPr>
          <w:tab/>
        </w:r>
        <w:r w:rsidR="003C7D29">
          <w:rPr>
            <w:noProof/>
            <w:webHidden/>
          </w:rPr>
          <w:t>4</w:t>
        </w:r>
      </w:hyperlink>
    </w:p>
    <w:p w14:paraId="4D990128" w14:textId="4F93A358" w:rsidR="00B65DFB" w:rsidRDefault="003460DC">
      <w:pPr>
        <w:pStyle w:val="TOC3"/>
        <w:tabs>
          <w:tab w:val="right" w:leader="dot" w:pos="9769"/>
        </w:tabs>
        <w:rPr>
          <w:rFonts w:asciiTheme="minorHAnsi" w:eastAsiaTheme="minorEastAsia" w:hAnsiTheme="minorHAnsi" w:cstheme="minorBidi"/>
          <w:noProof/>
          <w:szCs w:val="22"/>
          <w:lang w:eastAsia="en-AU"/>
        </w:rPr>
      </w:pPr>
      <w:hyperlink w:anchor="_Toc32395973" w:history="1">
        <w:r w:rsidR="00B65DFB" w:rsidRPr="0083630E">
          <w:rPr>
            <w:rStyle w:val="Hyperlink"/>
            <w:noProof/>
          </w:rPr>
          <w:t>Legislative and Governance Forum on Consumer Affairs (CAF)</w:t>
        </w:r>
        <w:r w:rsidR="00B65DFB">
          <w:rPr>
            <w:noProof/>
            <w:webHidden/>
          </w:rPr>
          <w:tab/>
        </w:r>
        <w:r w:rsidR="003C7D29">
          <w:rPr>
            <w:noProof/>
            <w:webHidden/>
          </w:rPr>
          <w:t>4</w:t>
        </w:r>
      </w:hyperlink>
    </w:p>
    <w:p w14:paraId="07CFA577" w14:textId="3C255AD1" w:rsidR="00B65DFB" w:rsidRDefault="003460DC">
      <w:pPr>
        <w:pStyle w:val="TOC2"/>
        <w:tabs>
          <w:tab w:val="right" w:leader="dot" w:pos="9769"/>
        </w:tabs>
        <w:rPr>
          <w:rFonts w:asciiTheme="minorHAnsi" w:eastAsiaTheme="minorEastAsia" w:hAnsiTheme="minorHAnsi" w:cstheme="minorBidi"/>
          <w:noProof/>
          <w:szCs w:val="22"/>
          <w:lang w:eastAsia="en-AU"/>
        </w:rPr>
      </w:pPr>
      <w:hyperlink w:anchor="_Toc32395976" w:history="1">
        <w:r w:rsidR="00B65DFB" w:rsidRPr="0083630E">
          <w:rPr>
            <w:rStyle w:val="Hyperlink"/>
            <w:noProof/>
          </w:rPr>
          <w:t>Appendix A - RISs p</w:t>
        </w:r>
        <w:r w:rsidR="0072555B">
          <w:rPr>
            <w:rStyle w:val="Hyperlink"/>
            <w:noProof/>
          </w:rPr>
          <w:t>repared for consultation in 2020-21</w:t>
        </w:r>
        <w:r w:rsidR="00B65DFB">
          <w:rPr>
            <w:noProof/>
            <w:webHidden/>
          </w:rPr>
          <w:tab/>
        </w:r>
        <w:r w:rsidR="003C7D29">
          <w:rPr>
            <w:noProof/>
            <w:webHidden/>
          </w:rPr>
          <w:t>5</w:t>
        </w:r>
      </w:hyperlink>
    </w:p>
    <w:p w14:paraId="440B7B81" w14:textId="77777777" w:rsidR="002674FC" w:rsidRDefault="00220271" w:rsidP="004A6EC6">
      <w:pPr>
        <w:ind w:right="423" w:firstLine="220"/>
        <w:rPr>
          <w:b/>
          <w:i/>
          <w:sz w:val="26"/>
          <w:szCs w:val="26"/>
        </w:rPr>
      </w:pPr>
      <w:r>
        <w:rPr>
          <w:b/>
          <w:bCs/>
          <w:noProof/>
        </w:rPr>
        <w:fldChar w:fldCharType="end"/>
      </w:r>
      <w:bookmarkStart w:id="299" w:name="_Toc432175906"/>
      <w:bookmarkStart w:id="300" w:name="_Toc432587374"/>
    </w:p>
    <w:p w14:paraId="078DE353" w14:textId="1C319DCD" w:rsidR="00A10678" w:rsidRDefault="007B3914" w:rsidP="00A10678">
      <w:pPr>
        <w:pStyle w:val="Heading2"/>
        <w:ind w:left="0" w:firstLine="0"/>
      </w:pPr>
      <w:r>
        <w:rPr>
          <w:rFonts w:cs="Arial"/>
          <w:spacing w:val="0"/>
        </w:rPr>
        <w:br w:type="page"/>
      </w:r>
      <w:bookmarkStart w:id="301" w:name="_Toc459800538"/>
      <w:bookmarkStart w:id="302" w:name="_Toc32395969"/>
      <w:bookmarkEnd w:id="299"/>
      <w:bookmarkEnd w:id="300"/>
      <w:r w:rsidR="00BC0477" w:rsidRPr="00AA3FF9">
        <w:lastRenderedPageBreak/>
        <w:t>Detailed information</w:t>
      </w:r>
      <w:bookmarkEnd w:id="301"/>
      <w:bookmarkEnd w:id="302"/>
    </w:p>
    <w:p w14:paraId="69708C47" w14:textId="13B164F4" w:rsidR="00996C27" w:rsidRDefault="007B4CD7" w:rsidP="007B4CD7">
      <w:pPr>
        <w:pStyle w:val="Heading3"/>
        <w:spacing w:before="180"/>
      </w:pPr>
      <w:bookmarkStart w:id="303" w:name="_Toc20384869"/>
      <w:bookmarkStart w:id="304" w:name="_Toc32395970"/>
      <w:r w:rsidRPr="009A6219">
        <w:t>Australia</w:t>
      </w:r>
      <w:r>
        <w:t>n Energy Market Commission</w:t>
      </w:r>
      <w:bookmarkEnd w:id="303"/>
      <w:bookmarkEnd w:id="304"/>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996C27" w:rsidRPr="009F2777" w14:paraId="2E0D20FA" w14:textId="77777777" w:rsidTr="00BC2910">
        <w:trPr>
          <w:trHeight w:val="510"/>
          <w:tblHeader/>
        </w:trPr>
        <w:tc>
          <w:tcPr>
            <w:tcW w:w="5104" w:type="dxa"/>
            <w:shd w:val="clear" w:color="auto" w:fill="F4973F"/>
            <w:vAlign w:val="center"/>
          </w:tcPr>
          <w:p w14:paraId="1DC273DC" w14:textId="77777777" w:rsidR="00996C27" w:rsidRPr="009F2777" w:rsidRDefault="00996C27" w:rsidP="00BC2910">
            <w:pPr>
              <w:pStyle w:val="TableParagraph"/>
              <w:kinsoku w:val="0"/>
              <w:overflowPunct w:val="0"/>
              <w:spacing w:beforeLines="60" w:before="144" w:after="60"/>
              <w:ind w:left="85"/>
              <w:rPr>
                <w:sz w:val="18"/>
                <w:szCs w:val="18"/>
              </w:rPr>
            </w:pPr>
            <w:r>
              <w:rPr>
                <w:rFonts w:ascii="Arial" w:hAnsi="Arial" w:cs="Arial"/>
                <w:color w:val="FFFFFF"/>
                <w:w w:val="105"/>
                <w:sz w:val="18"/>
                <w:szCs w:val="18"/>
              </w:rPr>
              <w:t>P</w:t>
            </w:r>
            <w:r w:rsidRPr="009F2777">
              <w:rPr>
                <w:rFonts w:ascii="Arial" w:hAnsi="Arial" w:cs="Arial"/>
                <w:color w:val="FFFFFF"/>
                <w:w w:val="105"/>
                <w:sz w:val="18"/>
                <w:szCs w:val="18"/>
              </w:rPr>
              <w:t>roposal</w:t>
            </w:r>
          </w:p>
        </w:tc>
        <w:tc>
          <w:tcPr>
            <w:tcW w:w="1417" w:type="dxa"/>
            <w:shd w:val="clear" w:color="auto" w:fill="F4973F"/>
            <w:vAlign w:val="center"/>
          </w:tcPr>
          <w:p w14:paraId="47E38042" w14:textId="77777777" w:rsidR="00996C27" w:rsidRPr="009F2777" w:rsidRDefault="00996C27" w:rsidP="00BC2910">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7DBC4CCC" w14:textId="77777777" w:rsidR="00996C27" w:rsidRPr="009F2777" w:rsidRDefault="00996C27" w:rsidP="00BC2910">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3BDB32BC" w14:textId="77777777" w:rsidR="00996C27" w:rsidRPr="009F2777" w:rsidRDefault="00996C27" w:rsidP="00BC2910">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63361D41" w14:textId="77777777" w:rsidR="00996C27" w:rsidRPr="009F2777" w:rsidRDefault="00996C27" w:rsidP="00BC2910">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996C27" w:rsidRPr="00144255" w14:paraId="7F4EB4A7" w14:textId="77777777" w:rsidTr="00BC2910">
        <w:trPr>
          <w:trHeight w:val="510"/>
        </w:trPr>
        <w:tc>
          <w:tcPr>
            <w:tcW w:w="5104" w:type="dxa"/>
            <w:shd w:val="clear" w:color="auto" w:fill="auto"/>
            <w:vAlign w:val="center"/>
          </w:tcPr>
          <w:p w14:paraId="48B6F2E8" w14:textId="77777777" w:rsidR="00996C27" w:rsidRPr="00144255" w:rsidRDefault="00996C27" w:rsidP="00BC2910">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Changes to Intervention Mechanisms</w:t>
            </w:r>
          </w:p>
        </w:tc>
        <w:tc>
          <w:tcPr>
            <w:tcW w:w="1417" w:type="dxa"/>
            <w:shd w:val="clear" w:color="auto" w:fill="auto"/>
            <w:vAlign w:val="center"/>
          </w:tcPr>
          <w:p w14:paraId="2D919130"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10 Sept 2020</w:t>
            </w:r>
          </w:p>
        </w:tc>
        <w:tc>
          <w:tcPr>
            <w:tcW w:w="1249" w:type="dxa"/>
            <w:shd w:val="clear" w:color="auto" w:fill="auto"/>
            <w:vAlign w:val="center"/>
          </w:tcPr>
          <w:p w14:paraId="447BAF49"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4" w:type="dxa"/>
            <w:shd w:val="clear" w:color="auto" w:fill="auto"/>
            <w:vAlign w:val="center"/>
          </w:tcPr>
          <w:p w14:paraId="58005CFC"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5" w:type="dxa"/>
            <w:shd w:val="clear" w:color="auto" w:fill="auto"/>
            <w:vAlign w:val="center"/>
          </w:tcPr>
          <w:p w14:paraId="20FC04BE"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15 Sept 2020</w:t>
            </w:r>
          </w:p>
        </w:tc>
      </w:tr>
    </w:tbl>
    <w:p w14:paraId="09755D63" w14:textId="77777777" w:rsidR="00996C27" w:rsidRPr="00144255" w:rsidRDefault="00996C27" w:rsidP="0038447C">
      <w:pPr>
        <w:pStyle w:val="TableParagraph"/>
        <w:keepNext/>
        <w:keepLines/>
        <w:kinsoku w:val="0"/>
        <w:overflowPunct w:val="0"/>
        <w:spacing w:after="120"/>
        <w:rPr>
          <w:rFonts w:ascii="Arial" w:hAnsi="Arial" w:cs="Arial"/>
          <w:sz w:val="10"/>
          <w:szCs w:val="18"/>
        </w:rPr>
      </w:pPr>
      <w:r w:rsidRPr="00144255">
        <w:rPr>
          <w:rFonts w:ascii="Arial" w:hAnsi="Arial" w:cs="Arial"/>
          <w:spacing w:val="4"/>
          <w:sz w:val="18"/>
          <w:szCs w:val="25"/>
        </w:rPr>
        <w:t>A final rule that amends the National Electricity Rules (NER) to improve the efficiency and clarity of intervention mechanisms. The final rule removes the mandatory restrictions framework and the obligation to counteract during an intervention and clarifies the basis for affected participant compensation cost recovery following activation of emergency reserves under the reliability and emergency reserve trader (RERT).</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996C27" w:rsidRPr="00144255" w14:paraId="7F1A3BBE" w14:textId="77777777" w:rsidTr="00BC2910">
        <w:trPr>
          <w:trHeight w:val="510"/>
        </w:trPr>
        <w:tc>
          <w:tcPr>
            <w:tcW w:w="5104" w:type="dxa"/>
            <w:shd w:val="clear" w:color="auto" w:fill="auto"/>
            <w:vAlign w:val="center"/>
          </w:tcPr>
          <w:p w14:paraId="768C5609" w14:textId="77777777" w:rsidR="00996C27" w:rsidRPr="00144255" w:rsidRDefault="00996C27" w:rsidP="00BC2910">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Removal of Intervention Hierarchy</w:t>
            </w:r>
          </w:p>
        </w:tc>
        <w:tc>
          <w:tcPr>
            <w:tcW w:w="1417" w:type="dxa"/>
            <w:shd w:val="clear" w:color="auto" w:fill="auto"/>
            <w:vAlign w:val="center"/>
          </w:tcPr>
          <w:p w14:paraId="00CD8485"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10 Sept 2020</w:t>
            </w:r>
          </w:p>
        </w:tc>
        <w:tc>
          <w:tcPr>
            <w:tcW w:w="1249" w:type="dxa"/>
            <w:shd w:val="clear" w:color="auto" w:fill="auto"/>
            <w:vAlign w:val="center"/>
          </w:tcPr>
          <w:p w14:paraId="67618F7F"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4" w:type="dxa"/>
            <w:shd w:val="clear" w:color="auto" w:fill="auto"/>
            <w:vAlign w:val="center"/>
          </w:tcPr>
          <w:p w14:paraId="24CAE949"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5" w:type="dxa"/>
            <w:shd w:val="clear" w:color="auto" w:fill="auto"/>
            <w:vAlign w:val="center"/>
          </w:tcPr>
          <w:p w14:paraId="176454E9"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15 Sept 2020</w:t>
            </w:r>
          </w:p>
        </w:tc>
      </w:tr>
    </w:tbl>
    <w:p w14:paraId="2C72E4B5" w14:textId="77777777" w:rsidR="00996C27" w:rsidRPr="00144255" w:rsidRDefault="00996C27" w:rsidP="0038447C">
      <w:pPr>
        <w:pStyle w:val="TableParagraph"/>
        <w:keepNext/>
        <w:keepLines/>
        <w:kinsoku w:val="0"/>
        <w:overflowPunct w:val="0"/>
        <w:spacing w:after="120"/>
        <w:rPr>
          <w:rFonts w:ascii="Arial" w:hAnsi="Arial" w:cs="Arial"/>
          <w:sz w:val="18"/>
          <w:szCs w:val="18"/>
        </w:rPr>
      </w:pPr>
      <w:r w:rsidRPr="00144255">
        <w:rPr>
          <w:rFonts w:ascii="Arial" w:hAnsi="Arial" w:cs="Arial"/>
          <w:spacing w:val="4"/>
          <w:sz w:val="18"/>
          <w:szCs w:val="18"/>
        </w:rPr>
        <w:t>The AEMC has made a final determination to replace the existing hierarchy of interventions with principles providing flexibility for the Australian Energy Market Operator to select the supply scarcity mechanism or combination of mechanisms that minimise direct and indirect costs and are effective at addressing the conditions of supply scarcity.</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996C27" w:rsidRPr="00144255" w14:paraId="250D8EA8" w14:textId="77777777" w:rsidTr="00BC2910">
        <w:trPr>
          <w:trHeight w:val="510"/>
        </w:trPr>
        <w:tc>
          <w:tcPr>
            <w:tcW w:w="5104" w:type="dxa"/>
            <w:shd w:val="clear" w:color="auto" w:fill="auto"/>
            <w:vAlign w:val="center"/>
          </w:tcPr>
          <w:p w14:paraId="4EBCB0D2" w14:textId="77777777" w:rsidR="00996C27" w:rsidRPr="00144255" w:rsidRDefault="00996C27" w:rsidP="00BC2910">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Reallocation of National Transmission Planner Costs</w:t>
            </w:r>
          </w:p>
        </w:tc>
        <w:tc>
          <w:tcPr>
            <w:tcW w:w="1417" w:type="dxa"/>
            <w:shd w:val="clear" w:color="auto" w:fill="auto"/>
            <w:vAlign w:val="center"/>
          </w:tcPr>
          <w:p w14:paraId="37D8438D"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29 Oct 2020</w:t>
            </w:r>
          </w:p>
        </w:tc>
        <w:tc>
          <w:tcPr>
            <w:tcW w:w="1249" w:type="dxa"/>
            <w:shd w:val="clear" w:color="auto" w:fill="auto"/>
            <w:vAlign w:val="center"/>
          </w:tcPr>
          <w:p w14:paraId="7EA45B33"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4" w:type="dxa"/>
            <w:shd w:val="clear" w:color="auto" w:fill="auto"/>
            <w:vAlign w:val="center"/>
          </w:tcPr>
          <w:p w14:paraId="024BB1B6"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Yes</w:t>
            </w:r>
          </w:p>
        </w:tc>
        <w:tc>
          <w:tcPr>
            <w:tcW w:w="1105" w:type="dxa"/>
            <w:shd w:val="clear" w:color="auto" w:fill="auto"/>
            <w:vAlign w:val="center"/>
          </w:tcPr>
          <w:p w14:paraId="2CED4219" w14:textId="77777777" w:rsidR="00996C27" w:rsidRPr="00144255" w:rsidRDefault="00996C27" w:rsidP="00BC2910">
            <w:pPr>
              <w:pStyle w:val="TableParagraph"/>
              <w:kinsoku w:val="0"/>
              <w:overflowPunct w:val="0"/>
              <w:spacing w:beforeLines="60" w:before="144" w:after="60"/>
              <w:jc w:val="center"/>
              <w:rPr>
                <w:rFonts w:ascii="Arial" w:hAnsi="Arial" w:cs="Arial"/>
                <w:b/>
                <w:spacing w:val="-3"/>
                <w:sz w:val="18"/>
                <w:szCs w:val="18"/>
              </w:rPr>
            </w:pPr>
            <w:r w:rsidRPr="00144255">
              <w:rPr>
                <w:rFonts w:ascii="Arial" w:hAnsi="Arial" w:cs="Arial"/>
                <w:b/>
                <w:spacing w:val="-3"/>
                <w:sz w:val="18"/>
                <w:szCs w:val="18"/>
              </w:rPr>
              <w:t>4 Nov 2020</w:t>
            </w:r>
          </w:p>
        </w:tc>
      </w:tr>
    </w:tbl>
    <w:p w14:paraId="142677C9" w14:textId="77777777" w:rsidR="00996C27" w:rsidRPr="00144255" w:rsidRDefault="00996C27" w:rsidP="0038447C">
      <w:pPr>
        <w:pStyle w:val="TableParagraph"/>
        <w:keepNext/>
        <w:keepLines/>
        <w:kinsoku w:val="0"/>
        <w:overflowPunct w:val="0"/>
        <w:spacing w:after="120"/>
        <w:rPr>
          <w:rFonts w:ascii="Arial" w:hAnsi="Arial" w:cs="Arial"/>
          <w:sz w:val="18"/>
          <w:szCs w:val="18"/>
        </w:rPr>
      </w:pPr>
      <w:r w:rsidRPr="00144255">
        <w:rPr>
          <w:rFonts w:ascii="Arial" w:hAnsi="Arial" w:cs="Arial"/>
          <w:spacing w:val="4"/>
          <w:sz w:val="18"/>
          <w:szCs w:val="18"/>
        </w:rPr>
        <w:t>The final rule has been developed through an expedited process and will allow the Australian Energy Market Operator to cost recover its national transmission planner function fees from co-ordinating network service providers, who will in turn include these fees in their transmission pricing. The rule also clarifies the recovery of fees in Victoria where the Australian Energy Market Operator is also the co-ordinating network service provider.</w:t>
      </w:r>
    </w:p>
    <w:tbl>
      <w:tblPr>
        <w:tblW w:w="9979"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996C27" w:rsidRPr="00144255" w14:paraId="39C8FD91" w14:textId="77777777" w:rsidTr="00BC2910">
        <w:trPr>
          <w:trHeight w:val="510"/>
        </w:trPr>
        <w:tc>
          <w:tcPr>
            <w:tcW w:w="5104" w:type="dxa"/>
            <w:vAlign w:val="center"/>
            <w:hideMark/>
          </w:tcPr>
          <w:p w14:paraId="22CE08B4" w14:textId="77777777" w:rsidR="00996C27" w:rsidRPr="00144255" w:rsidRDefault="00996C27" w:rsidP="00BC2910">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144255">
              <w:rPr>
                <w:rFonts w:ascii="Arial" w:hAnsi="Arial" w:cs="Arial"/>
                <w:b/>
                <w:spacing w:val="-3"/>
                <w:sz w:val="18"/>
                <w:szCs w:val="18"/>
              </w:rPr>
              <w:t>Transparency of Unserved Energy Calculation</w:t>
            </w:r>
          </w:p>
        </w:tc>
        <w:tc>
          <w:tcPr>
            <w:tcW w:w="1417" w:type="dxa"/>
            <w:vAlign w:val="center"/>
            <w:hideMark/>
          </w:tcPr>
          <w:p w14:paraId="55309B16"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19 Nov 2020</w:t>
            </w:r>
          </w:p>
        </w:tc>
        <w:tc>
          <w:tcPr>
            <w:tcW w:w="1249" w:type="dxa"/>
            <w:vAlign w:val="center"/>
            <w:hideMark/>
          </w:tcPr>
          <w:p w14:paraId="44BA6F96"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Yes</w:t>
            </w:r>
          </w:p>
        </w:tc>
        <w:tc>
          <w:tcPr>
            <w:tcW w:w="1104" w:type="dxa"/>
            <w:vAlign w:val="center"/>
            <w:hideMark/>
          </w:tcPr>
          <w:p w14:paraId="3F57AA1B"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Yes</w:t>
            </w:r>
          </w:p>
        </w:tc>
        <w:tc>
          <w:tcPr>
            <w:tcW w:w="1105" w:type="dxa"/>
            <w:vAlign w:val="center"/>
            <w:hideMark/>
          </w:tcPr>
          <w:p w14:paraId="212594C5"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19 Nov 2020</w:t>
            </w:r>
          </w:p>
        </w:tc>
      </w:tr>
    </w:tbl>
    <w:p w14:paraId="6EB47FC3" w14:textId="77777777" w:rsidR="00996C27" w:rsidRPr="00144255" w:rsidRDefault="00996C27" w:rsidP="0038447C">
      <w:pPr>
        <w:pStyle w:val="TableParagraph"/>
        <w:keepNext/>
        <w:keepLines/>
        <w:kinsoku w:val="0"/>
        <w:overflowPunct w:val="0"/>
        <w:spacing w:after="120"/>
        <w:rPr>
          <w:rFonts w:ascii="Arial" w:hAnsi="Arial" w:cs="Arial"/>
          <w:spacing w:val="4"/>
          <w:sz w:val="18"/>
          <w:szCs w:val="18"/>
        </w:rPr>
      </w:pPr>
      <w:r w:rsidRPr="00144255">
        <w:rPr>
          <w:rFonts w:ascii="Arial" w:hAnsi="Arial" w:cs="Arial"/>
          <w:spacing w:val="4"/>
          <w:sz w:val="18"/>
          <w:szCs w:val="18"/>
        </w:rPr>
        <w:t>The final rule makes amendments to the National Electricity Rules to include a purpose statement for the definition of unserved energy, to assist stakeholders and AEMO with the definition’s interpretation. In addition the rule makes changes to:</w:t>
      </w:r>
    </w:p>
    <w:p w14:paraId="1D963EBF" w14:textId="77777777" w:rsidR="00996C27" w:rsidRPr="00144255" w:rsidRDefault="00996C27" w:rsidP="00996C27">
      <w:pPr>
        <w:pStyle w:val="TableParagraph"/>
        <w:keepNext/>
        <w:keepLines/>
        <w:numPr>
          <w:ilvl w:val="0"/>
          <w:numId w:val="33"/>
        </w:numPr>
        <w:kinsoku w:val="0"/>
        <w:overflowPunct w:val="0"/>
        <w:spacing w:after="120"/>
        <w:rPr>
          <w:rFonts w:ascii="Arial" w:hAnsi="Arial" w:cs="Arial"/>
          <w:sz w:val="18"/>
          <w:szCs w:val="18"/>
        </w:rPr>
      </w:pPr>
      <w:r w:rsidRPr="00144255">
        <w:rPr>
          <w:rFonts w:ascii="Arial" w:hAnsi="Arial" w:cs="Arial"/>
          <w:sz w:val="18"/>
          <w:szCs w:val="18"/>
        </w:rPr>
        <w:t xml:space="preserve">require the Australian Energy Market Operator (AEMO) to set out, through the </w:t>
      </w:r>
      <w:r w:rsidRPr="00144255">
        <w:rPr>
          <w:rFonts w:ascii="Arial" w:hAnsi="Arial" w:cs="Arial"/>
          <w:i/>
          <w:sz w:val="18"/>
          <w:szCs w:val="18"/>
        </w:rPr>
        <w:t xml:space="preserve">reliability standard implementation guideline </w:t>
      </w:r>
      <w:r w:rsidRPr="00144255">
        <w:rPr>
          <w:rFonts w:ascii="Arial" w:hAnsi="Arial" w:cs="Arial"/>
          <w:sz w:val="18"/>
          <w:szCs w:val="18"/>
        </w:rPr>
        <w:t xml:space="preserve">(RSIG), the method for calculating unserved energy in accordance with clause 3.9.3C, including how the amount of energy demanded in the relevant </w:t>
      </w:r>
      <w:proofErr w:type="spellStart"/>
      <w:r w:rsidRPr="00144255">
        <w:rPr>
          <w:rFonts w:ascii="Arial" w:hAnsi="Arial" w:cs="Arial"/>
          <w:sz w:val="18"/>
          <w:szCs w:val="18"/>
        </w:rPr>
        <w:t>refgion</w:t>
      </w:r>
      <w:proofErr w:type="spellEnd"/>
      <w:r w:rsidRPr="00144255">
        <w:rPr>
          <w:rFonts w:ascii="Arial" w:hAnsi="Arial" w:cs="Arial"/>
          <w:sz w:val="18"/>
          <w:szCs w:val="18"/>
        </w:rPr>
        <w:t xml:space="preserve"> is determined;</w:t>
      </w:r>
    </w:p>
    <w:p w14:paraId="27F1F63C" w14:textId="77777777" w:rsidR="00996C27" w:rsidRPr="00144255" w:rsidRDefault="00996C27" w:rsidP="00996C27">
      <w:pPr>
        <w:pStyle w:val="TableParagraph"/>
        <w:keepNext/>
        <w:keepLines/>
        <w:numPr>
          <w:ilvl w:val="0"/>
          <w:numId w:val="33"/>
        </w:numPr>
        <w:kinsoku w:val="0"/>
        <w:overflowPunct w:val="0"/>
        <w:spacing w:after="120"/>
        <w:rPr>
          <w:rFonts w:ascii="Arial" w:hAnsi="Arial" w:cs="Arial"/>
          <w:sz w:val="18"/>
          <w:szCs w:val="18"/>
        </w:rPr>
      </w:pPr>
      <w:r w:rsidRPr="00144255">
        <w:rPr>
          <w:rFonts w:ascii="Arial" w:hAnsi="Arial" w:cs="Arial"/>
          <w:sz w:val="18"/>
          <w:szCs w:val="18"/>
        </w:rPr>
        <w:t xml:space="preserve">make it clearer that the intent of the clauses is to </w:t>
      </w:r>
      <w:r w:rsidRPr="00144255">
        <w:rPr>
          <w:rFonts w:ascii="Arial" w:hAnsi="Arial" w:cs="Arial"/>
          <w:i/>
          <w:sz w:val="18"/>
          <w:szCs w:val="18"/>
        </w:rPr>
        <w:t>include</w:t>
      </w:r>
      <w:r w:rsidRPr="00144255">
        <w:rPr>
          <w:rFonts w:ascii="Arial" w:hAnsi="Arial" w:cs="Arial"/>
          <w:sz w:val="18"/>
          <w:szCs w:val="18"/>
        </w:rPr>
        <w:t xml:space="preserve"> unserved energy that results from power system reliability incident, and </w:t>
      </w:r>
      <w:r w:rsidRPr="00144255">
        <w:rPr>
          <w:rFonts w:ascii="Arial" w:hAnsi="Arial" w:cs="Arial"/>
          <w:i/>
          <w:sz w:val="18"/>
          <w:szCs w:val="18"/>
        </w:rPr>
        <w:t xml:space="preserve">exclude </w:t>
      </w:r>
      <w:r w:rsidRPr="00144255">
        <w:rPr>
          <w:rFonts w:ascii="Arial" w:hAnsi="Arial" w:cs="Arial"/>
          <w:sz w:val="18"/>
          <w:szCs w:val="18"/>
        </w:rPr>
        <w:t>unserved energy that results from power system security incidents; and</w:t>
      </w:r>
    </w:p>
    <w:p w14:paraId="39882089" w14:textId="484A6EE0" w:rsidR="00996C27" w:rsidRPr="00F90DF3" w:rsidRDefault="00996C27" w:rsidP="00F90DF3">
      <w:pPr>
        <w:pStyle w:val="TableParagraph"/>
        <w:keepNext/>
        <w:keepLines/>
        <w:numPr>
          <w:ilvl w:val="0"/>
          <w:numId w:val="33"/>
        </w:numPr>
        <w:kinsoku w:val="0"/>
        <w:overflowPunct w:val="0"/>
        <w:spacing w:after="120"/>
        <w:rPr>
          <w:rFonts w:ascii="Arial" w:hAnsi="Arial" w:cs="Arial"/>
          <w:sz w:val="18"/>
          <w:szCs w:val="18"/>
        </w:rPr>
      </w:pPr>
      <w:r w:rsidRPr="00144255">
        <w:rPr>
          <w:rFonts w:ascii="Arial" w:hAnsi="Arial" w:cs="Arial"/>
          <w:sz w:val="18"/>
          <w:szCs w:val="18"/>
        </w:rPr>
        <w:t>clarify that multiple ‘contingency events’ are in fact multiple ‘credible contingency events’, and clarifying that ‘non-credible contingency events’ include both single and multiple non-credible</w:t>
      </w:r>
      <w:r w:rsidR="00F90DF3">
        <w:rPr>
          <w:rFonts w:ascii="Arial" w:hAnsi="Arial" w:cs="Arial"/>
          <w:sz w:val="18"/>
          <w:szCs w:val="18"/>
        </w:rPr>
        <w:t xml:space="preserve"> contingency events</w:t>
      </w:r>
      <w:r w:rsidRPr="00F90DF3">
        <w:rPr>
          <w:rFonts w:ascii="Arial" w:hAnsi="Arial" w:cs="Arial"/>
          <w:spacing w:val="4"/>
          <w:sz w:val="18"/>
          <w:szCs w:val="18"/>
        </w:rPr>
        <w:t>.</w:t>
      </w:r>
    </w:p>
    <w:tbl>
      <w:tblPr>
        <w:tblW w:w="9979" w:type="dxa"/>
        <w:tblInd w:w="-142" w:type="dxa"/>
        <w:tblLayout w:type="fixed"/>
        <w:tblCellMar>
          <w:left w:w="0" w:type="dxa"/>
          <w:right w:w="0" w:type="dxa"/>
        </w:tblCellMar>
        <w:tblLook w:val="04A0" w:firstRow="1" w:lastRow="0" w:firstColumn="1" w:lastColumn="0" w:noHBand="0" w:noVBand="1"/>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996C27" w:rsidRPr="00144255" w14:paraId="6EC053F1" w14:textId="77777777" w:rsidTr="00BC2910">
        <w:trPr>
          <w:trHeight w:val="510"/>
        </w:trPr>
        <w:tc>
          <w:tcPr>
            <w:tcW w:w="5104" w:type="dxa"/>
            <w:vAlign w:val="center"/>
            <w:hideMark/>
          </w:tcPr>
          <w:p w14:paraId="3654EF67" w14:textId="77777777" w:rsidR="00996C27" w:rsidRPr="00144255" w:rsidRDefault="00996C27" w:rsidP="00BC2910">
            <w:pPr>
              <w:pStyle w:val="TableParagraph"/>
              <w:keepNext/>
              <w:keepLines/>
              <w:kinsoku w:val="0"/>
              <w:overflowPunct w:val="0"/>
              <w:spacing w:beforeLines="60" w:before="144" w:after="120" w:line="256" w:lineRule="auto"/>
              <w:ind w:left="79"/>
              <w:rPr>
                <w:rFonts w:ascii="Arial" w:hAnsi="Arial" w:cs="Arial"/>
                <w:b/>
                <w:spacing w:val="-3"/>
                <w:sz w:val="18"/>
                <w:szCs w:val="18"/>
              </w:rPr>
            </w:pPr>
            <w:r w:rsidRPr="00144255">
              <w:rPr>
                <w:rFonts w:ascii="Arial" w:hAnsi="Arial" w:cs="Arial"/>
                <w:b/>
                <w:spacing w:val="-3"/>
                <w:sz w:val="18"/>
                <w:szCs w:val="18"/>
              </w:rPr>
              <w:t>Compensation for Services Other Than Energy and Market Ancillary Services</w:t>
            </w:r>
          </w:p>
        </w:tc>
        <w:tc>
          <w:tcPr>
            <w:tcW w:w="1417" w:type="dxa"/>
            <w:vAlign w:val="center"/>
            <w:hideMark/>
          </w:tcPr>
          <w:p w14:paraId="73710EC4"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17 Dec 2020</w:t>
            </w:r>
          </w:p>
        </w:tc>
        <w:tc>
          <w:tcPr>
            <w:tcW w:w="1249" w:type="dxa"/>
            <w:vAlign w:val="center"/>
            <w:hideMark/>
          </w:tcPr>
          <w:p w14:paraId="535078ED"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Yes</w:t>
            </w:r>
          </w:p>
        </w:tc>
        <w:tc>
          <w:tcPr>
            <w:tcW w:w="1104" w:type="dxa"/>
            <w:vAlign w:val="center"/>
            <w:hideMark/>
          </w:tcPr>
          <w:p w14:paraId="513C0286"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Yes</w:t>
            </w:r>
          </w:p>
        </w:tc>
        <w:tc>
          <w:tcPr>
            <w:tcW w:w="1105" w:type="dxa"/>
            <w:vAlign w:val="center"/>
            <w:hideMark/>
          </w:tcPr>
          <w:p w14:paraId="0639B423" w14:textId="77777777" w:rsidR="00996C27" w:rsidRPr="00144255" w:rsidRDefault="00996C27" w:rsidP="00BC2910">
            <w:pPr>
              <w:pStyle w:val="TableParagraph"/>
              <w:kinsoku w:val="0"/>
              <w:overflowPunct w:val="0"/>
              <w:spacing w:beforeLines="60" w:before="144" w:after="60" w:line="256" w:lineRule="auto"/>
              <w:jc w:val="center"/>
              <w:rPr>
                <w:rFonts w:ascii="Arial" w:hAnsi="Arial" w:cs="Arial"/>
                <w:b/>
                <w:spacing w:val="-3"/>
                <w:sz w:val="18"/>
                <w:szCs w:val="18"/>
              </w:rPr>
            </w:pPr>
            <w:r w:rsidRPr="00144255">
              <w:rPr>
                <w:rFonts w:ascii="Arial" w:hAnsi="Arial" w:cs="Arial"/>
                <w:b/>
                <w:spacing w:val="-3"/>
                <w:sz w:val="18"/>
                <w:szCs w:val="18"/>
              </w:rPr>
              <w:t>18 Dec 2020</w:t>
            </w:r>
          </w:p>
        </w:tc>
      </w:tr>
    </w:tbl>
    <w:p w14:paraId="63612B5A" w14:textId="2041C33A" w:rsidR="00996C27" w:rsidRDefault="00996C27" w:rsidP="0038447C">
      <w:pPr>
        <w:pStyle w:val="TableParagraph"/>
        <w:keepNext/>
        <w:keepLines/>
        <w:kinsoku w:val="0"/>
        <w:overflowPunct w:val="0"/>
        <w:spacing w:after="120"/>
        <w:rPr>
          <w:rFonts w:ascii="Arial" w:hAnsi="Arial" w:cs="Arial"/>
          <w:spacing w:val="4"/>
          <w:sz w:val="18"/>
          <w:szCs w:val="18"/>
        </w:rPr>
      </w:pPr>
      <w:r w:rsidRPr="00144255">
        <w:rPr>
          <w:rFonts w:ascii="Arial" w:hAnsi="Arial" w:cs="Arial"/>
          <w:spacing w:val="4"/>
          <w:sz w:val="18"/>
          <w:szCs w:val="18"/>
        </w:rPr>
        <w:t>The AEMC has satisfied itself that the final rule promotes the interests of consumers, reduces administrative burden on AEMO and registered participants, and improves transparency, predictability, consistency and the allocation of risk.</w:t>
      </w:r>
    </w:p>
    <w:p w14:paraId="15EB424B" w14:textId="77777777" w:rsidR="00AC73E2" w:rsidRPr="00144255" w:rsidRDefault="00AC73E2" w:rsidP="003460DC">
      <w:pPr>
        <w:pStyle w:val="BodyText1"/>
      </w:pPr>
    </w:p>
    <w:p w14:paraId="7E5631B1" w14:textId="77777777" w:rsidR="003C7D29" w:rsidRDefault="003C7D29" w:rsidP="003460DC">
      <w:pPr>
        <w:pStyle w:val="BodyText1"/>
      </w:pPr>
    </w:p>
    <w:p w14:paraId="17EEB654" w14:textId="77777777" w:rsidR="003C7D29" w:rsidRDefault="003C7D29" w:rsidP="003460DC">
      <w:pPr>
        <w:pStyle w:val="BodyText1"/>
      </w:pPr>
    </w:p>
    <w:p w14:paraId="4F306C4E" w14:textId="77777777" w:rsidR="003C7D29" w:rsidRDefault="003C7D29" w:rsidP="003460DC">
      <w:pPr>
        <w:pStyle w:val="BodyText1"/>
      </w:pPr>
    </w:p>
    <w:p w14:paraId="266F4AC0" w14:textId="77777777" w:rsidR="003C7D29" w:rsidRDefault="003C7D29" w:rsidP="003460DC">
      <w:pPr>
        <w:pStyle w:val="BodyText1"/>
      </w:pPr>
    </w:p>
    <w:p w14:paraId="69FAFECA" w14:textId="2ECBCECE" w:rsidR="003C7D29" w:rsidRDefault="003C7D29" w:rsidP="003460DC">
      <w:pPr>
        <w:pStyle w:val="BodyText1"/>
      </w:pPr>
    </w:p>
    <w:p w14:paraId="5BC98BE7" w14:textId="77777777" w:rsidR="00824EFD" w:rsidRPr="00824EFD" w:rsidRDefault="00824EFD" w:rsidP="003460DC">
      <w:pPr>
        <w:pStyle w:val="BodyText1"/>
      </w:pPr>
    </w:p>
    <w:p w14:paraId="42F5B34A" w14:textId="77777777" w:rsidR="00F90DF3" w:rsidRPr="00F90DF3" w:rsidRDefault="00F90DF3" w:rsidP="003460DC">
      <w:pPr>
        <w:pStyle w:val="BodyText1"/>
      </w:pPr>
    </w:p>
    <w:p w14:paraId="41340874" w14:textId="15FEC5E7" w:rsidR="00AC73E2" w:rsidRPr="009A6219" w:rsidRDefault="00AC73E2" w:rsidP="00AC73E2">
      <w:pPr>
        <w:pStyle w:val="Heading3"/>
        <w:spacing w:before="180"/>
      </w:pPr>
      <w:r>
        <w:t>Australian Registrars’ National Electronic Conveyancing Council</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AC73E2" w:rsidRPr="009F2777" w14:paraId="4AAA2FE0" w14:textId="77777777" w:rsidTr="008344C1">
        <w:trPr>
          <w:trHeight w:val="510"/>
          <w:tblHeader/>
        </w:trPr>
        <w:tc>
          <w:tcPr>
            <w:tcW w:w="5104" w:type="dxa"/>
            <w:shd w:val="clear" w:color="auto" w:fill="F4973F"/>
            <w:vAlign w:val="center"/>
          </w:tcPr>
          <w:p w14:paraId="043519DE" w14:textId="77777777" w:rsidR="00AC73E2" w:rsidRPr="009F2777" w:rsidRDefault="00AC73E2" w:rsidP="008344C1">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042E1752" w14:textId="77777777" w:rsidR="00AC73E2" w:rsidRPr="009F2777" w:rsidRDefault="00AC73E2" w:rsidP="008344C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774144B5" w14:textId="77777777" w:rsidR="00AC73E2" w:rsidRPr="009F2777" w:rsidRDefault="00AC73E2" w:rsidP="008344C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1DF5BC22" w14:textId="77777777" w:rsidR="00AC73E2" w:rsidRPr="009F2777" w:rsidRDefault="00AC73E2" w:rsidP="008344C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773F18E0" w14:textId="77777777" w:rsidR="00AC73E2" w:rsidRPr="009F2777" w:rsidRDefault="00AC73E2" w:rsidP="008344C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AC73E2" w:rsidRPr="009F2777" w14:paraId="19F162DF" w14:textId="77777777" w:rsidTr="008344C1">
        <w:trPr>
          <w:trHeight w:val="510"/>
        </w:trPr>
        <w:tc>
          <w:tcPr>
            <w:tcW w:w="5104" w:type="dxa"/>
            <w:shd w:val="clear" w:color="auto" w:fill="auto"/>
            <w:vAlign w:val="center"/>
          </w:tcPr>
          <w:p w14:paraId="7DFB90CB" w14:textId="222FF96B" w:rsidR="00AC73E2" w:rsidRPr="003A33CE" w:rsidRDefault="00AC73E2" w:rsidP="008344C1">
            <w:pPr>
              <w:pStyle w:val="TableParagraph"/>
              <w:keepNext/>
              <w:keepLines/>
              <w:kinsoku w:val="0"/>
              <w:overflowPunct w:val="0"/>
              <w:spacing w:beforeLines="60" w:before="144" w:after="120"/>
              <w:ind w:left="79"/>
              <w:rPr>
                <w:rFonts w:ascii="Arial" w:hAnsi="Arial" w:cs="Arial"/>
                <w:b/>
                <w:spacing w:val="-3"/>
                <w:sz w:val="18"/>
                <w:szCs w:val="18"/>
              </w:rPr>
            </w:pPr>
            <w:r>
              <w:rPr>
                <w:rFonts w:ascii="Arial" w:hAnsi="Arial" w:cs="Arial"/>
                <w:b/>
                <w:spacing w:val="-3"/>
                <w:sz w:val="18"/>
                <w:szCs w:val="18"/>
              </w:rPr>
              <w:t>Interoperability Between Electronic Lodgement Network Operators</w:t>
            </w:r>
          </w:p>
        </w:tc>
        <w:tc>
          <w:tcPr>
            <w:tcW w:w="1417" w:type="dxa"/>
            <w:shd w:val="clear" w:color="auto" w:fill="auto"/>
            <w:vAlign w:val="center"/>
          </w:tcPr>
          <w:p w14:paraId="36EEB595" w14:textId="7008AC24" w:rsidR="00AC73E2" w:rsidRPr="003A33CE" w:rsidRDefault="00AC73E2"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Sept 2020</w:t>
            </w:r>
          </w:p>
        </w:tc>
        <w:tc>
          <w:tcPr>
            <w:tcW w:w="1249" w:type="dxa"/>
            <w:shd w:val="clear" w:color="auto" w:fill="auto"/>
            <w:vAlign w:val="center"/>
          </w:tcPr>
          <w:p w14:paraId="7EB8D617" w14:textId="77777777" w:rsidR="00AC73E2" w:rsidRPr="003A33CE" w:rsidRDefault="00AC73E2"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c>
          <w:tcPr>
            <w:tcW w:w="1104" w:type="dxa"/>
            <w:shd w:val="clear" w:color="auto" w:fill="auto"/>
            <w:vAlign w:val="center"/>
          </w:tcPr>
          <w:p w14:paraId="13FA1CB4" w14:textId="77777777" w:rsidR="00AC73E2" w:rsidRPr="003A33CE" w:rsidRDefault="00AC73E2"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No</w:t>
            </w:r>
          </w:p>
        </w:tc>
        <w:tc>
          <w:tcPr>
            <w:tcW w:w="1105" w:type="dxa"/>
            <w:shd w:val="clear" w:color="auto" w:fill="auto"/>
            <w:vAlign w:val="center"/>
          </w:tcPr>
          <w:p w14:paraId="7D2BF20A" w14:textId="01C5A7EF" w:rsidR="00AC73E2" w:rsidRPr="003A33CE" w:rsidRDefault="00AC73E2"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15 Jan 2021</w:t>
            </w:r>
          </w:p>
        </w:tc>
      </w:tr>
    </w:tbl>
    <w:p w14:paraId="77E4FBDF" w14:textId="6F73E9C2" w:rsidR="00AC73E2" w:rsidRPr="00AC73E2" w:rsidRDefault="00AC73E2" w:rsidP="00AC73E2">
      <w:pPr>
        <w:pStyle w:val="Heading3"/>
        <w:spacing w:before="180"/>
        <w:rPr>
          <w:rFonts w:cs="Arial"/>
          <w:color w:val="auto"/>
          <w:sz w:val="18"/>
          <w:szCs w:val="18"/>
        </w:rPr>
      </w:pPr>
      <w:r w:rsidRPr="00AC73E2">
        <w:rPr>
          <w:rFonts w:cs="Arial"/>
          <w:b w:val="0"/>
          <w:bCs w:val="0"/>
          <w:color w:val="auto"/>
          <w:spacing w:val="4"/>
          <w:sz w:val="18"/>
          <w:szCs w:val="18"/>
        </w:rPr>
        <w:t>In September 2020, the Australian Registrars' National Electronic Conveyancing Council (ARNECC) </w:t>
      </w:r>
      <w:r w:rsidRPr="00AC73E2">
        <w:rPr>
          <w:rFonts w:cs="Arial"/>
          <w:b w:val="0"/>
          <w:color w:val="auto"/>
          <w:spacing w:val="4"/>
          <w:sz w:val="18"/>
          <w:szCs w:val="18"/>
          <w:bdr w:val="none" w:sz="0" w:space="0" w:color="auto" w:frame="1"/>
        </w:rPr>
        <w:t>announced</w:t>
      </w:r>
      <w:r w:rsidRPr="00AC73E2">
        <w:rPr>
          <w:rFonts w:cs="Arial"/>
          <w:color w:val="auto"/>
          <w:spacing w:val="4"/>
          <w:sz w:val="18"/>
          <w:szCs w:val="18"/>
          <w:bdr w:val="none" w:sz="0" w:space="0" w:color="auto" w:frame="1"/>
        </w:rPr>
        <w:t> </w:t>
      </w:r>
      <w:r w:rsidRPr="00AC73E2">
        <w:rPr>
          <w:rFonts w:cs="Arial"/>
          <w:b w:val="0"/>
          <w:bCs w:val="0"/>
          <w:color w:val="auto"/>
          <w:spacing w:val="4"/>
          <w:sz w:val="18"/>
          <w:szCs w:val="18"/>
        </w:rPr>
        <w:t>a decision to develop legislation to require interoperability between Electronic Lodgement Network Operators (ELNOs).</w:t>
      </w:r>
      <w:r>
        <w:rPr>
          <w:rFonts w:cs="Arial"/>
          <w:b w:val="0"/>
          <w:bCs w:val="0"/>
          <w:color w:val="auto"/>
          <w:spacing w:val="4"/>
          <w:sz w:val="18"/>
          <w:szCs w:val="18"/>
        </w:rPr>
        <w:t xml:space="preserve"> </w:t>
      </w:r>
      <w:r w:rsidRPr="00AC73E2">
        <w:rPr>
          <w:rFonts w:cs="Arial"/>
          <w:b w:val="0"/>
          <w:color w:val="1E1E1E"/>
          <w:spacing w:val="4"/>
          <w:sz w:val="18"/>
          <w:szCs w:val="18"/>
        </w:rPr>
        <w:t>As RISs were not prepared for the consultation stage or prior to the announcement of a final decision to regulate, the OBPR has assessed the proposal as being non-compliant with current COAG best practice regulation requirements.</w:t>
      </w:r>
    </w:p>
    <w:p w14:paraId="0C436095" w14:textId="2BB51F62" w:rsidR="00FD4BD9" w:rsidRDefault="00FD4BD9" w:rsidP="00FD4BD9">
      <w:pPr>
        <w:pStyle w:val="NormalWeb"/>
        <w:spacing w:after="300"/>
        <w:rPr>
          <w:rFonts w:ascii="Arial" w:hAnsi="Arial" w:cs="Arial"/>
          <w:spacing w:val="4"/>
          <w:sz w:val="18"/>
          <w:szCs w:val="18"/>
        </w:rPr>
      </w:pPr>
    </w:p>
    <w:p w14:paraId="7326AC81" w14:textId="77777777" w:rsidR="003C7D29" w:rsidRDefault="003C7D29" w:rsidP="003C7D29">
      <w:pPr>
        <w:pStyle w:val="Heading3"/>
        <w:spacing w:before="180"/>
      </w:pPr>
      <w:r w:rsidRPr="00CB6867">
        <w:t>Legislative and Governance Forum on Consumer Affairs (CAF)</w:t>
      </w:r>
    </w:p>
    <w:tbl>
      <w:tblPr>
        <w:tblW w:w="9979" w:type="dxa"/>
        <w:tblInd w:w="-142" w:type="dxa"/>
        <w:tblLayout w:type="fixed"/>
        <w:tblCellMar>
          <w:left w:w="0" w:type="dxa"/>
          <w:right w:w="0" w:type="dxa"/>
        </w:tblCellMar>
        <w:tblLook w:val="0000" w:firstRow="0" w:lastRow="0" w:firstColumn="0" w:lastColumn="0" w:noHBand="0" w:noVBand="0"/>
        <w:tblCaption w:val="Decorative alcohol fuelled devices"/>
        <w:tblDescription w:val="Decorative alcohol fuelled devices: Compliant at consultation, Compliant at decision, Final RIS published. Decision Date: 10 July 2017."/>
      </w:tblPr>
      <w:tblGrid>
        <w:gridCol w:w="5104"/>
        <w:gridCol w:w="1417"/>
        <w:gridCol w:w="1249"/>
        <w:gridCol w:w="1104"/>
        <w:gridCol w:w="1105"/>
      </w:tblGrid>
      <w:tr w:rsidR="003C7D29" w:rsidRPr="009F2777" w14:paraId="6BCC34CA" w14:textId="77777777" w:rsidTr="008344C1">
        <w:trPr>
          <w:trHeight w:val="510"/>
          <w:tblHeader/>
        </w:trPr>
        <w:tc>
          <w:tcPr>
            <w:tcW w:w="5104" w:type="dxa"/>
            <w:shd w:val="clear" w:color="auto" w:fill="F4973F"/>
            <w:vAlign w:val="center"/>
          </w:tcPr>
          <w:p w14:paraId="2DB4D770" w14:textId="77777777" w:rsidR="003C7D29" w:rsidRPr="009F2777" w:rsidRDefault="003C7D29" w:rsidP="008344C1">
            <w:pPr>
              <w:pStyle w:val="TableParagraph"/>
              <w:kinsoku w:val="0"/>
              <w:overflowPunct w:val="0"/>
              <w:spacing w:beforeLines="60" w:before="144" w:after="60"/>
              <w:ind w:left="85"/>
              <w:rPr>
                <w:sz w:val="18"/>
                <w:szCs w:val="18"/>
              </w:rPr>
            </w:pPr>
            <w:r w:rsidRPr="009F2777">
              <w:rPr>
                <w:rFonts w:ascii="Arial" w:hAnsi="Arial" w:cs="Arial"/>
                <w:color w:val="FFFFFF"/>
                <w:w w:val="105"/>
                <w:sz w:val="18"/>
                <w:szCs w:val="18"/>
              </w:rPr>
              <w:t>Proposal</w:t>
            </w:r>
          </w:p>
        </w:tc>
        <w:tc>
          <w:tcPr>
            <w:tcW w:w="1417" w:type="dxa"/>
            <w:shd w:val="clear" w:color="auto" w:fill="F4973F"/>
            <w:vAlign w:val="center"/>
          </w:tcPr>
          <w:p w14:paraId="0DB99FDC" w14:textId="77777777" w:rsidR="003C7D29" w:rsidRPr="009F2777" w:rsidRDefault="003C7D29" w:rsidP="008344C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Decision date</w:t>
            </w:r>
          </w:p>
        </w:tc>
        <w:tc>
          <w:tcPr>
            <w:tcW w:w="1249" w:type="dxa"/>
            <w:shd w:val="clear" w:color="auto" w:fill="F4973F"/>
            <w:vAlign w:val="center"/>
          </w:tcPr>
          <w:p w14:paraId="253668EE" w14:textId="77777777" w:rsidR="003C7D29" w:rsidRPr="009F2777" w:rsidRDefault="003C7D29" w:rsidP="008344C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Compliant at consultation</w:t>
            </w:r>
          </w:p>
        </w:tc>
        <w:tc>
          <w:tcPr>
            <w:tcW w:w="1104" w:type="dxa"/>
            <w:shd w:val="clear" w:color="auto" w:fill="F4973F"/>
            <w:vAlign w:val="center"/>
          </w:tcPr>
          <w:p w14:paraId="33643A2B" w14:textId="77777777" w:rsidR="003C7D29" w:rsidRPr="009F2777" w:rsidRDefault="003C7D29" w:rsidP="008344C1">
            <w:pPr>
              <w:pStyle w:val="TableParagraph"/>
              <w:kinsoku w:val="0"/>
              <w:overflowPunct w:val="0"/>
              <w:spacing w:beforeLines="60" w:before="144" w:after="60"/>
              <w:jc w:val="center"/>
              <w:rPr>
                <w:sz w:val="18"/>
                <w:szCs w:val="18"/>
              </w:rPr>
            </w:pPr>
            <w:r w:rsidRPr="009F2777">
              <w:rPr>
                <w:rFonts w:ascii="Arial" w:hAnsi="Arial" w:cs="Arial"/>
                <w:color w:val="FFFFFF"/>
                <w:w w:val="105"/>
                <w:sz w:val="18"/>
                <w:szCs w:val="18"/>
              </w:rPr>
              <w:t>Compliant at decision</w:t>
            </w:r>
          </w:p>
        </w:tc>
        <w:tc>
          <w:tcPr>
            <w:tcW w:w="1105" w:type="dxa"/>
            <w:shd w:val="clear" w:color="auto" w:fill="F4973F"/>
            <w:vAlign w:val="center"/>
          </w:tcPr>
          <w:p w14:paraId="271856F1" w14:textId="77777777" w:rsidR="003C7D29" w:rsidRPr="009F2777" w:rsidRDefault="003C7D29" w:rsidP="008344C1">
            <w:pPr>
              <w:pStyle w:val="TableParagraph"/>
              <w:kinsoku w:val="0"/>
              <w:overflowPunct w:val="0"/>
              <w:spacing w:beforeLines="60" w:before="144" w:after="60"/>
              <w:jc w:val="center"/>
              <w:rPr>
                <w:rFonts w:ascii="Arial" w:hAnsi="Arial" w:cs="Arial"/>
                <w:color w:val="FFFFFF"/>
                <w:w w:val="105"/>
                <w:sz w:val="18"/>
                <w:szCs w:val="18"/>
              </w:rPr>
            </w:pPr>
            <w:r w:rsidRPr="009F2777">
              <w:rPr>
                <w:rFonts w:ascii="Arial" w:hAnsi="Arial" w:cs="Arial"/>
                <w:color w:val="FFFFFF"/>
                <w:w w:val="105"/>
                <w:sz w:val="18"/>
                <w:szCs w:val="18"/>
              </w:rPr>
              <w:t>Final RIS published</w:t>
            </w:r>
          </w:p>
        </w:tc>
      </w:tr>
      <w:tr w:rsidR="003C7D29" w:rsidRPr="009F2777" w14:paraId="3FB52C84" w14:textId="77777777" w:rsidTr="008344C1">
        <w:trPr>
          <w:trHeight w:val="510"/>
        </w:trPr>
        <w:tc>
          <w:tcPr>
            <w:tcW w:w="5104" w:type="dxa"/>
            <w:shd w:val="clear" w:color="auto" w:fill="auto"/>
            <w:vAlign w:val="center"/>
          </w:tcPr>
          <w:p w14:paraId="1412100A" w14:textId="252D305B" w:rsidR="003C7D29" w:rsidRPr="003A33CE" w:rsidRDefault="002D08E2" w:rsidP="008344C1">
            <w:pPr>
              <w:pStyle w:val="TableParagraph"/>
              <w:keepNext/>
              <w:keepLines/>
              <w:kinsoku w:val="0"/>
              <w:overflowPunct w:val="0"/>
              <w:spacing w:beforeLines="60" w:before="144" w:after="120"/>
              <w:ind w:left="79"/>
              <w:rPr>
                <w:rFonts w:ascii="Arial" w:hAnsi="Arial" w:cs="Arial"/>
                <w:b/>
                <w:spacing w:val="-3"/>
                <w:sz w:val="18"/>
                <w:szCs w:val="18"/>
              </w:rPr>
            </w:pPr>
            <w:r>
              <w:rPr>
                <w:rFonts w:ascii="Arial" w:hAnsi="Arial" w:cs="Arial"/>
                <w:b/>
                <w:spacing w:val="-3"/>
                <w:sz w:val="18"/>
                <w:szCs w:val="18"/>
              </w:rPr>
              <w:t xml:space="preserve"> </w:t>
            </w:r>
            <w:r w:rsidR="003C7D29">
              <w:rPr>
                <w:rFonts w:ascii="Arial" w:hAnsi="Arial" w:cs="Arial"/>
                <w:b/>
                <w:spacing w:val="-3"/>
                <w:sz w:val="18"/>
                <w:szCs w:val="18"/>
              </w:rPr>
              <w:t>Enhancements to Unfair Contract Term Protections</w:t>
            </w:r>
          </w:p>
        </w:tc>
        <w:tc>
          <w:tcPr>
            <w:tcW w:w="1417" w:type="dxa"/>
            <w:shd w:val="clear" w:color="auto" w:fill="auto"/>
            <w:vAlign w:val="center"/>
          </w:tcPr>
          <w:p w14:paraId="13FDFD6B" w14:textId="77777777" w:rsidR="003C7D29" w:rsidRPr="003A33CE" w:rsidRDefault="003C7D29"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6 Nov 2020</w:t>
            </w:r>
          </w:p>
        </w:tc>
        <w:tc>
          <w:tcPr>
            <w:tcW w:w="1249" w:type="dxa"/>
            <w:shd w:val="clear" w:color="auto" w:fill="auto"/>
            <w:vAlign w:val="center"/>
          </w:tcPr>
          <w:p w14:paraId="11EFA4AD" w14:textId="77777777" w:rsidR="003C7D29" w:rsidRPr="003A33CE" w:rsidRDefault="003C7D29" w:rsidP="008344C1">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4" w:type="dxa"/>
            <w:shd w:val="clear" w:color="auto" w:fill="auto"/>
            <w:vAlign w:val="center"/>
          </w:tcPr>
          <w:p w14:paraId="318D3A2B" w14:textId="77777777" w:rsidR="003C7D29" w:rsidRPr="003A33CE" w:rsidRDefault="003C7D29" w:rsidP="008344C1">
            <w:pPr>
              <w:pStyle w:val="TableParagraph"/>
              <w:kinsoku w:val="0"/>
              <w:overflowPunct w:val="0"/>
              <w:spacing w:beforeLines="60" w:before="144" w:after="60"/>
              <w:jc w:val="center"/>
              <w:rPr>
                <w:rFonts w:ascii="Arial" w:hAnsi="Arial" w:cs="Arial"/>
                <w:b/>
                <w:spacing w:val="-3"/>
                <w:sz w:val="18"/>
                <w:szCs w:val="18"/>
              </w:rPr>
            </w:pPr>
            <w:r w:rsidRPr="003A33CE">
              <w:rPr>
                <w:rFonts w:ascii="Arial" w:hAnsi="Arial" w:cs="Arial"/>
                <w:b/>
                <w:spacing w:val="-3"/>
                <w:sz w:val="18"/>
                <w:szCs w:val="18"/>
              </w:rPr>
              <w:t>Yes</w:t>
            </w:r>
          </w:p>
        </w:tc>
        <w:tc>
          <w:tcPr>
            <w:tcW w:w="1105" w:type="dxa"/>
            <w:shd w:val="clear" w:color="auto" w:fill="auto"/>
            <w:vAlign w:val="center"/>
          </w:tcPr>
          <w:p w14:paraId="11FD5BBD" w14:textId="77777777" w:rsidR="003C7D29" w:rsidRPr="003A33CE" w:rsidRDefault="003C7D29" w:rsidP="008344C1">
            <w:pPr>
              <w:pStyle w:val="TableParagraph"/>
              <w:kinsoku w:val="0"/>
              <w:overflowPunct w:val="0"/>
              <w:spacing w:beforeLines="60" w:before="144" w:after="60"/>
              <w:jc w:val="center"/>
              <w:rPr>
                <w:rFonts w:ascii="Arial" w:hAnsi="Arial" w:cs="Arial"/>
                <w:b/>
                <w:spacing w:val="-3"/>
                <w:sz w:val="18"/>
                <w:szCs w:val="18"/>
              </w:rPr>
            </w:pPr>
            <w:r>
              <w:rPr>
                <w:rFonts w:ascii="Arial" w:hAnsi="Arial" w:cs="Arial"/>
                <w:b/>
                <w:spacing w:val="-3"/>
                <w:sz w:val="18"/>
                <w:szCs w:val="18"/>
              </w:rPr>
              <w:t>18 Nov 2020</w:t>
            </w:r>
          </w:p>
        </w:tc>
      </w:tr>
    </w:tbl>
    <w:p w14:paraId="2479890A" w14:textId="77777777" w:rsidR="003C7D29" w:rsidRDefault="003C7D29" w:rsidP="0038447C">
      <w:pPr>
        <w:pStyle w:val="TableParagraph"/>
        <w:keepNext/>
        <w:keepLines/>
        <w:kinsoku w:val="0"/>
        <w:overflowPunct w:val="0"/>
        <w:spacing w:after="120"/>
        <w:rPr>
          <w:rFonts w:ascii="Arial" w:hAnsi="Arial" w:cs="Arial"/>
          <w:sz w:val="18"/>
          <w:szCs w:val="18"/>
        </w:rPr>
      </w:pPr>
      <w:r>
        <w:rPr>
          <w:rFonts w:ascii="Arial" w:hAnsi="Arial" w:cs="Arial"/>
          <w:sz w:val="18"/>
          <w:szCs w:val="18"/>
        </w:rPr>
        <w:t>On 6 November 2020, the Legislative and Governance Forum on Consumer Affairs (CAF) agreed to strengthen the existing unfair contract term protections in the Australian Consumer Law. Key reforms include:</w:t>
      </w:r>
    </w:p>
    <w:p w14:paraId="658B0A3D" w14:textId="77777777" w:rsidR="003C7D29" w:rsidRDefault="003C7D29" w:rsidP="003C7D29">
      <w:pPr>
        <w:pStyle w:val="TableParagraph"/>
        <w:keepNext/>
        <w:keepLines/>
        <w:numPr>
          <w:ilvl w:val="0"/>
          <w:numId w:val="34"/>
        </w:numPr>
        <w:kinsoku w:val="0"/>
        <w:overflowPunct w:val="0"/>
        <w:spacing w:after="120"/>
        <w:rPr>
          <w:rFonts w:ascii="Arial" w:hAnsi="Arial" w:cs="Arial"/>
          <w:sz w:val="18"/>
          <w:szCs w:val="18"/>
        </w:rPr>
      </w:pPr>
      <w:r>
        <w:rPr>
          <w:rFonts w:ascii="Arial" w:hAnsi="Arial" w:cs="Arial"/>
          <w:sz w:val="18"/>
          <w:szCs w:val="18"/>
        </w:rPr>
        <w:t>making unfair contract terms unlawful and giving courts the power to impose a civil penalty;</w:t>
      </w:r>
    </w:p>
    <w:p w14:paraId="2214BC8D" w14:textId="77777777" w:rsidR="003C7D29" w:rsidRDefault="003C7D29" w:rsidP="003C7D29">
      <w:pPr>
        <w:pStyle w:val="TableParagraph"/>
        <w:keepNext/>
        <w:keepLines/>
        <w:numPr>
          <w:ilvl w:val="0"/>
          <w:numId w:val="34"/>
        </w:numPr>
        <w:kinsoku w:val="0"/>
        <w:overflowPunct w:val="0"/>
        <w:spacing w:after="120"/>
        <w:rPr>
          <w:rFonts w:ascii="Arial" w:hAnsi="Arial" w:cs="Arial"/>
          <w:sz w:val="18"/>
          <w:szCs w:val="18"/>
        </w:rPr>
      </w:pPr>
      <w:r>
        <w:rPr>
          <w:rFonts w:ascii="Arial" w:hAnsi="Arial" w:cs="Arial"/>
          <w:sz w:val="18"/>
          <w:szCs w:val="18"/>
        </w:rPr>
        <w:t>increasing eligibility for the protections by expanding the definition of small business and removing requirements for contracts to be below certain thresholds; and</w:t>
      </w:r>
    </w:p>
    <w:p w14:paraId="10922067" w14:textId="77777777" w:rsidR="003C7D29" w:rsidRDefault="003C7D29" w:rsidP="003C7D29">
      <w:pPr>
        <w:pStyle w:val="TableParagraph"/>
        <w:keepNext/>
        <w:keepLines/>
        <w:numPr>
          <w:ilvl w:val="0"/>
          <w:numId w:val="34"/>
        </w:numPr>
        <w:kinsoku w:val="0"/>
        <w:overflowPunct w:val="0"/>
        <w:spacing w:after="120"/>
        <w:rPr>
          <w:rFonts w:ascii="Arial" w:hAnsi="Arial" w:cs="Arial"/>
          <w:sz w:val="18"/>
          <w:szCs w:val="18"/>
        </w:rPr>
      </w:pPr>
      <w:proofErr w:type="gramStart"/>
      <w:r>
        <w:rPr>
          <w:rFonts w:ascii="Arial" w:hAnsi="Arial" w:cs="Arial"/>
          <w:sz w:val="18"/>
          <w:szCs w:val="18"/>
        </w:rPr>
        <w:t>improving</w:t>
      </w:r>
      <w:proofErr w:type="gramEnd"/>
      <w:r>
        <w:rPr>
          <w:rFonts w:ascii="Arial" w:hAnsi="Arial" w:cs="Arial"/>
          <w:sz w:val="18"/>
          <w:szCs w:val="18"/>
        </w:rPr>
        <w:t xml:space="preserve"> clarity on when the protections apply, including improving clarity around the definition of ‘standard form contract’.</w:t>
      </w:r>
    </w:p>
    <w:p w14:paraId="50F1C537" w14:textId="77777777" w:rsidR="003C7D29" w:rsidRDefault="003C7D29" w:rsidP="003C7D29">
      <w:pPr>
        <w:pStyle w:val="TableParagraph"/>
        <w:keepNext/>
        <w:keepLines/>
        <w:kinsoku w:val="0"/>
        <w:overflowPunct w:val="0"/>
        <w:spacing w:after="120"/>
        <w:rPr>
          <w:rFonts w:ascii="Arial" w:hAnsi="Arial" w:cs="Arial"/>
          <w:sz w:val="18"/>
          <w:szCs w:val="18"/>
        </w:rPr>
      </w:pPr>
      <w:r>
        <w:rPr>
          <w:rFonts w:ascii="Arial" w:hAnsi="Arial" w:cs="Arial"/>
          <w:sz w:val="18"/>
          <w:szCs w:val="18"/>
        </w:rPr>
        <w:t xml:space="preserve">These reforms will help reduce the prevalence of unfair contract terms in standard form contracts, and improve consumer </w:t>
      </w:r>
      <w:proofErr w:type="spellStart"/>
      <w:r>
        <w:rPr>
          <w:rFonts w:ascii="Arial" w:hAnsi="Arial" w:cs="Arial"/>
          <w:sz w:val="18"/>
          <w:szCs w:val="18"/>
        </w:rPr>
        <w:t>andsmall</w:t>
      </w:r>
      <w:proofErr w:type="spellEnd"/>
      <w:r>
        <w:rPr>
          <w:rFonts w:ascii="Arial" w:hAnsi="Arial" w:cs="Arial"/>
          <w:sz w:val="18"/>
          <w:szCs w:val="18"/>
        </w:rPr>
        <w:t xml:space="preserve"> business confidence when entering into contracts.</w:t>
      </w:r>
    </w:p>
    <w:p w14:paraId="796B642F" w14:textId="77777777" w:rsidR="003C7D29" w:rsidRPr="00FD4BD9" w:rsidRDefault="003C7D29" w:rsidP="00FD4BD9">
      <w:pPr>
        <w:pStyle w:val="NormalWeb"/>
        <w:spacing w:after="300"/>
        <w:rPr>
          <w:rFonts w:ascii="Arial" w:hAnsi="Arial" w:cs="Arial"/>
          <w:spacing w:val="4"/>
          <w:sz w:val="18"/>
          <w:szCs w:val="18"/>
        </w:rPr>
      </w:pPr>
    </w:p>
    <w:p w14:paraId="28D2D8FF" w14:textId="7F814E06" w:rsidR="00133FAD" w:rsidRDefault="00133FAD" w:rsidP="005765D8">
      <w:pPr>
        <w:pStyle w:val="TableParagraph"/>
        <w:keepNext/>
        <w:keepLines/>
        <w:kinsoku w:val="0"/>
        <w:overflowPunct w:val="0"/>
        <w:spacing w:after="120"/>
        <w:ind w:left="142"/>
        <w:rPr>
          <w:rFonts w:ascii="Arial" w:hAnsi="Arial" w:cs="Arial"/>
          <w:sz w:val="18"/>
          <w:szCs w:val="18"/>
        </w:rPr>
      </w:pPr>
    </w:p>
    <w:p w14:paraId="0D1D2371" w14:textId="23E4F8C7" w:rsidR="00133FAD" w:rsidRDefault="00133FAD" w:rsidP="005765D8">
      <w:pPr>
        <w:pStyle w:val="TableParagraph"/>
        <w:keepNext/>
        <w:keepLines/>
        <w:kinsoku w:val="0"/>
        <w:overflowPunct w:val="0"/>
        <w:spacing w:after="120"/>
        <w:ind w:left="142"/>
        <w:rPr>
          <w:rFonts w:ascii="Arial" w:hAnsi="Arial" w:cs="Arial"/>
          <w:sz w:val="18"/>
          <w:szCs w:val="18"/>
        </w:rPr>
      </w:pPr>
    </w:p>
    <w:p w14:paraId="3619E4E9" w14:textId="14D10001" w:rsidR="00144255" w:rsidRPr="00F90DF3" w:rsidRDefault="00133FAD" w:rsidP="00F90DF3">
      <w:pPr>
        <w:spacing w:after="0" w:line="240" w:lineRule="auto"/>
        <w:rPr>
          <w:rFonts w:eastAsia="MS Mincho" w:cs="Arial"/>
          <w:sz w:val="18"/>
          <w:szCs w:val="18"/>
          <w:lang w:eastAsia="en-AU"/>
        </w:rPr>
      </w:pPr>
      <w:r>
        <w:rPr>
          <w:rFonts w:cs="Arial"/>
          <w:sz w:val="18"/>
          <w:szCs w:val="18"/>
        </w:rPr>
        <w:br w:type="page"/>
      </w:r>
      <w:bookmarkStart w:id="305" w:name="_Toc32395974"/>
    </w:p>
    <w:p w14:paraId="77ACCE6E" w14:textId="3131DAF8" w:rsidR="00904B60" w:rsidRDefault="00904B60" w:rsidP="0085533A">
      <w:pPr>
        <w:pStyle w:val="Heading2"/>
        <w:keepNext/>
        <w:keepLines/>
        <w:widowControl w:val="0"/>
        <w:ind w:left="0" w:firstLine="0"/>
      </w:pPr>
      <w:bookmarkStart w:id="306" w:name="_Toc32395976"/>
      <w:bookmarkEnd w:id="305"/>
      <w:r>
        <w:lastRenderedPageBreak/>
        <w:t>Appendix A - RISs p</w:t>
      </w:r>
      <w:r w:rsidR="005A5B12">
        <w:t>repared for consultation in 20</w:t>
      </w:r>
      <w:bookmarkEnd w:id="306"/>
      <w:r w:rsidR="002731CA">
        <w:t>20-21.</w:t>
      </w:r>
    </w:p>
    <w:p w14:paraId="3B784B7F" w14:textId="6CEC2299" w:rsidR="00904B60" w:rsidRDefault="00904B60" w:rsidP="0085533A">
      <w:pPr>
        <w:pStyle w:val="BodyText1"/>
        <w:keepNext/>
        <w:keepLines/>
        <w:widowControl w:val="0"/>
      </w:pPr>
      <w:bookmarkStart w:id="307" w:name="_Toc432587379"/>
      <w:bookmarkStart w:id="308" w:name="_Toc432175595"/>
      <w:bookmarkStart w:id="309" w:name="_Toc428440455"/>
      <w:bookmarkStart w:id="310" w:name="_Toc428440028"/>
      <w:bookmarkStart w:id="311" w:name="_Toc424049626"/>
      <w:bookmarkStart w:id="312" w:name="_Toc419707558"/>
      <w:bookmarkStart w:id="313" w:name="_Toc473715465"/>
      <w:bookmarkStart w:id="314" w:name="_Toc459800321"/>
      <w:bookmarkStart w:id="315" w:name="_Toc451264807"/>
      <w:bookmarkStart w:id="316" w:name="_Toc451264240"/>
      <w:bookmarkStart w:id="317" w:name="_Toc451168646"/>
      <w:bookmarkStart w:id="318" w:name="_Toc447532697"/>
      <w:bookmarkStart w:id="319" w:name="_Toc446318438"/>
      <w:bookmarkStart w:id="320" w:name="_Toc445974404"/>
      <w:bookmarkStart w:id="321" w:name="_Toc445974143"/>
      <w:bookmarkStart w:id="322" w:name="_Toc445973445"/>
      <w:bookmarkStart w:id="323" w:name="_Toc440639816"/>
      <w:bookmarkStart w:id="324" w:name="_Toc438539631"/>
      <w:r>
        <w:t xml:space="preserve">The following </w:t>
      </w:r>
      <w:r w:rsidR="00C2474A">
        <w:t>Council of Australian Governments (</w:t>
      </w:r>
      <w:r>
        <w:t>COAG</w:t>
      </w:r>
      <w:r w:rsidR="00C2474A">
        <w:t>)</w:t>
      </w:r>
      <w:r>
        <w:t xml:space="preserve"> consultation RISs have been published </w:t>
      </w:r>
      <w:bookmarkEnd w:id="307"/>
      <w:bookmarkEnd w:id="308"/>
      <w:bookmarkEnd w:id="309"/>
      <w:bookmarkEnd w:id="310"/>
      <w:bookmarkEnd w:id="311"/>
      <w:bookmarkEnd w:id="312"/>
      <w:r>
        <w:t xml:space="preserve">for consultation </w:t>
      </w:r>
      <w:r w:rsidR="002731CA">
        <w:t>in 2020</w:t>
      </w:r>
      <w:r w:rsidR="00D43B7F">
        <w:t>-2</w:t>
      </w:r>
      <w:bookmarkEnd w:id="313"/>
      <w:bookmarkEnd w:id="314"/>
      <w:bookmarkEnd w:id="315"/>
      <w:bookmarkEnd w:id="316"/>
      <w:bookmarkEnd w:id="317"/>
      <w:bookmarkEnd w:id="318"/>
      <w:bookmarkEnd w:id="319"/>
      <w:bookmarkEnd w:id="320"/>
      <w:bookmarkEnd w:id="321"/>
      <w:bookmarkEnd w:id="322"/>
      <w:bookmarkEnd w:id="323"/>
      <w:bookmarkEnd w:id="324"/>
      <w:r w:rsidR="002731CA">
        <w:t>1.</w:t>
      </w:r>
    </w:p>
    <w:tbl>
      <w:tblPr>
        <w:tblW w:w="10065" w:type="dxa"/>
        <w:tblInd w:w="-142" w:type="dxa"/>
        <w:tblLayout w:type="fixed"/>
        <w:tblCellMar>
          <w:left w:w="0" w:type="dxa"/>
          <w:right w:w="0" w:type="dxa"/>
        </w:tblCellMar>
        <w:tblLook w:val="04A0" w:firstRow="1" w:lastRow="0" w:firstColumn="1" w:lastColumn="0" w:noHBand="0" w:noVBand="1"/>
      </w:tblPr>
      <w:tblGrid>
        <w:gridCol w:w="5104"/>
        <w:gridCol w:w="3402"/>
        <w:gridCol w:w="1559"/>
      </w:tblGrid>
      <w:tr w:rsidR="00C2474A" w14:paraId="198C098E" w14:textId="77777777" w:rsidTr="00E74933">
        <w:trPr>
          <w:trHeight w:val="510"/>
          <w:tblHeader/>
        </w:trPr>
        <w:tc>
          <w:tcPr>
            <w:tcW w:w="5104" w:type="dxa"/>
            <w:shd w:val="clear" w:color="auto" w:fill="F4973F"/>
            <w:vAlign w:val="center"/>
            <w:hideMark/>
          </w:tcPr>
          <w:p w14:paraId="10F51298" w14:textId="77777777" w:rsidR="00032FC1" w:rsidRDefault="00C2474A" w:rsidP="00032FC1">
            <w:pPr>
              <w:pStyle w:val="TableParagraph"/>
              <w:keepNext/>
              <w:keepLines/>
              <w:kinsoku w:val="0"/>
              <w:overflowPunct w:val="0"/>
              <w:spacing w:beforeLines="60" w:before="144" w:after="120"/>
              <w:ind w:left="79"/>
              <w:rPr>
                <w:rFonts w:ascii="Arial" w:hAnsi="Arial" w:cs="Arial"/>
                <w:color w:val="FFFFFF"/>
                <w:w w:val="105"/>
                <w:sz w:val="18"/>
                <w:szCs w:val="18"/>
              </w:rPr>
            </w:pPr>
            <w:r>
              <w:rPr>
                <w:rFonts w:ascii="Arial" w:hAnsi="Arial" w:cs="Arial"/>
                <w:color w:val="FFFFFF"/>
                <w:w w:val="105"/>
                <w:sz w:val="18"/>
                <w:szCs w:val="18"/>
              </w:rPr>
              <w:t>Proposal</w:t>
            </w:r>
          </w:p>
        </w:tc>
        <w:tc>
          <w:tcPr>
            <w:tcW w:w="3402" w:type="dxa"/>
            <w:shd w:val="clear" w:color="auto" w:fill="F4973F"/>
            <w:vAlign w:val="center"/>
            <w:hideMark/>
          </w:tcPr>
          <w:p w14:paraId="24D70153" w14:textId="77777777" w:rsidR="00C2474A" w:rsidRDefault="00C2474A" w:rsidP="008108BE">
            <w:pPr>
              <w:pStyle w:val="TableParagraph"/>
              <w:keepNext/>
              <w:keepLines/>
              <w:kinsoku w:val="0"/>
              <w:overflowPunct w:val="0"/>
              <w:spacing w:beforeLines="60" w:before="144" w:after="120"/>
              <w:jc w:val="center"/>
            </w:pPr>
            <w:r>
              <w:rPr>
                <w:rFonts w:ascii="Arial" w:hAnsi="Arial" w:cs="Arial"/>
                <w:color w:val="FFFFFF"/>
                <w:w w:val="105"/>
                <w:sz w:val="18"/>
                <w:szCs w:val="18"/>
              </w:rPr>
              <w:t>Decision-making body</w:t>
            </w:r>
          </w:p>
        </w:tc>
        <w:tc>
          <w:tcPr>
            <w:tcW w:w="1559" w:type="dxa"/>
            <w:shd w:val="clear" w:color="auto" w:fill="F4973F"/>
            <w:vAlign w:val="center"/>
            <w:hideMark/>
          </w:tcPr>
          <w:p w14:paraId="675A9827" w14:textId="77777777" w:rsidR="00C2474A" w:rsidRDefault="00C2474A" w:rsidP="008108BE">
            <w:pPr>
              <w:pStyle w:val="TableParagraph"/>
              <w:keepNext/>
              <w:keepLines/>
              <w:kinsoku w:val="0"/>
              <w:overflowPunct w:val="0"/>
              <w:spacing w:beforeLines="60" w:before="144" w:after="120"/>
              <w:jc w:val="center"/>
              <w:rPr>
                <w:rFonts w:ascii="Arial" w:hAnsi="Arial" w:cs="Arial"/>
                <w:color w:val="FFFFFF"/>
                <w:w w:val="105"/>
                <w:sz w:val="18"/>
                <w:szCs w:val="18"/>
              </w:rPr>
            </w:pPr>
            <w:r>
              <w:rPr>
                <w:rFonts w:ascii="Arial" w:hAnsi="Arial" w:cs="Arial"/>
                <w:color w:val="FFFFFF"/>
                <w:w w:val="105"/>
                <w:sz w:val="18"/>
                <w:szCs w:val="18"/>
              </w:rPr>
              <w:t>Closing date</w:t>
            </w:r>
          </w:p>
        </w:tc>
      </w:tr>
    </w:tbl>
    <w:p w14:paraId="6E5A2546" w14:textId="2B134DED" w:rsidR="00532DE4" w:rsidRPr="00144255" w:rsidRDefault="00532DE4" w:rsidP="00E74933">
      <w:pPr>
        <w:pStyle w:val="BodyText1"/>
        <w:keepNext/>
        <w:keepLines/>
        <w:widowControl w:val="0"/>
        <w:spacing w:after="60"/>
        <w:rPr>
          <w:rFonts w:cs="Arial"/>
          <w:spacing w:val="4"/>
          <w:sz w:val="18"/>
          <w:szCs w:val="18"/>
        </w:rPr>
      </w:pPr>
    </w:p>
    <w:tbl>
      <w:tblPr>
        <w:tblW w:w="10207" w:type="dxa"/>
        <w:tblInd w:w="-142" w:type="dxa"/>
        <w:tblLayout w:type="fixed"/>
        <w:tblCellMar>
          <w:left w:w="0" w:type="dxa"/>
          <w:right w:w="0" w:type="dxa"/>
        </w:tblCellMar>
        <w:tblLook w:val="04A0" w:firstRow="1" w:lastRow="0" w:firstColumn="1" w:lastColumn="0" w:noHBand="0" w:noVBand="1"/>
      </w:tblPr>
      <w:tblGrid>
        <w:gridCol w:w="5104"/>
        <w:gridCol w:w="3402"/>
        <w:gridCol w:w="1701"/>
      </w:tblGrid>
      <w:tr w:rsidR="00532DE4" w:rsidRPr="00144255" w14:paraId="05FE5040" w14:textId="77777777" w:rsidTr="00422F04">
        <w:trPr>
          <w:trHeight w:val="510"/>
        </w:trPr>
        <w:tc>
          <w:tcPr>
            <w:tcW w:w="5104" w:type="dxa"/>
            <w:shd w:val="clear" w:color="auto" w:fill="auto"/>
            <w:vAlign w:val="center"/>
          </w:tcPr>
          <w:p w14:paraId="66FC164B" w14:textId="77777777" w:rsidR="00532DE4" w:rsidRPr="00144255" w:rsidRDefault="00532DE4" w:rsidP="0038447C">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Proposal to Include Minimum Accessibility Standards for Housing in the National Construction Code</w:t>
            </w:r>
          </w:p>
        </w:tc>
        <w:tc>
          <w:tcPr>
            <w:tcW w:w="3402" w:type="dxa"/>
            <w:shd w:val="clear" w:color="auto" w:fill="auto"/>
            <w:vAlign w:val="center"/>
          </w:tcPr>
          <w:p w14:paraId="6FF01F80" w14:textId="77777777" w:rsidR="00532DE4" w:rsidRPr="00144255" w:rsidRDefault="00532DE4"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Building Codes Board </w:t>
            </w:r>
          </w:p>
        </w:tc>
        <w:tc>
          <w:tcPr>
            <w:tcW w:w="1701" w:type="dxa"/>
            <w:shd w:val="clear" w:color="auto" w:fill="auto"/>
            <w:vAlign w:val="center"/>
          </w:tcPr>
          <w:p w14:paraId="69F563B0" w14:textId="77777777" w:rsidR="00532DE4" w:rsidRPr="00144255" w:rsidRDefault="00532DE4"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31 Aug 2020</w:t>
            </w:r>
          </w:p>
        </w:tc>
      </w:tr>
    </w:tbl>
    <w:p w14:paraId="3CD5DEBA" w14:textId="012CDE0C" w:rsidR="00532DE4" w:rsidRPr="00144255" w:rsidRDefault="00532DE4" w:rsidP="0038447C">
      <w:pPr>
        <w:pStyle w:val="BodyText1"/>
        <w:keepNext/>
        <w:keepLines/>
        <w:widowControl w:val="0"/>
        <w:spacing w:after="60"/>
        <w:rPr>
          <w:rFonts w:eastAsia="MS Mincho" w:cs="Arial"/>
          <w:spacing w:val="-3"/>
          <w:sz w:val="18"/>
          <w:szCs w:val="18"/>
          <w:lang w:eastAsia="en-AU"/>
        </w:rPr>
      </w:pPr>
      <w:r w:rsidRPr="00144255">
        <w:rPr>
          <w:rFonts w:cs="Arial"/>
          <w:spacing w:val="4"/>
          <w:sz w:val="18"/>
          <w:szCs w:val="18"/>
        </w:rPr>
        <w:t>The RIS considers four potential amendments to the National Construction Code, based on the various accessibility tiers in the LHDG, in addition to a non-regulatory option. All options are compared to the status quo (that is, not including minimum accessibility standards in the National Construction Code).</w:t>
      </w:r>
      <w:r w:rsidR="004D37AE">
        <w:rPr>
          <w:rFonts w:cs="Arial"/>
          <w:spacing w:val="4"/>
          <w:sz w:val="18"/>
          <w:szCs w:val="18"/>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402"/>
        <w:gridCol w:w="1701"/>
      </w:tblGrid>
      <w:tr w:rsidR="00144255" w:rsidRPr="00144255" w14:paraId="23A74DF1" w14:textId="77777777" w:rsidTr="00720C45">
        <w:trPr>
          <w:trHeight w:val="510"/>
        </w:trPr>
        <w:tc>
          <w:tcPr>
            <w:tcW w:w="5104" w:type="dxa"/>
            <w:shd w:val="clear" w:color="auto" w:fill="auto"/>
            <w:vAlign w:val="center"/>
          </w:tcPr>
          <w:p w14:paraId="48F0C043" w14:textId="2BDB840C" w:rsidR="00720C45" w:rsidRPr="00144255" w:rsidRDefault="00E24B2D" w:rsidP="0038447C">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In-Cab Audio and Video Safety Recording for Rail Operators</w:t>
            </w:r>
          </w:p>
        </w:tc>
        <w:tc>
          <w:tcPr>
            <w:tcW w:w="3402" w:type="dxa"/>
            <w:shd w:val="clear" w:color="auto" w:fill="auto"/>
            <w:vAlign w:val="center"/>
          </w:tcPr>
          <w:p w14:paraId="570C9890" w14:textId="3BB18728" w:rsidR="00720C45" w:rsidRPr="00144255" w:rsidRDefault="00E24B2D"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Transport and Infrastructure Ministers</w:t>
            </w:r>
          </w:p>
        </w:tc>
        <w:tc>
          <w:tcPr>
            <w:tcW w:w="1701" w:type="dxa"/>
            <w:shd w:val="clear" w:color="auto" w:fill="auto"/>
            <w:vAlign w:val="center"/>
          </w:tcPr>
          <w:p w14:paraId="1945BE6E" w14:textId="07DC6C3C" w:rsidR="00720C45" w:rsidRPr="00144255" w:rsidRDefault="00E24B2D"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23 Oct 2020</w:t>
            </w:r>
          </w:p>
        </w:tc>
      </w:tr>
    </w:tbl>
    <w:p w14:paraId="6465D111" w14:textId="37F4B71E" w:rsidR="00720C45" w:rsidRPr="00144255" w:rsidRDefault="00E24B2D" w:rsidP="0038447C">
      <w:pPr>
        <w:pStyle w:val="BodyText1"/>
        <w:keepNext/>
        <w:keepLines/>
        <w:widowControl w:val="0"/>
        <w:spacing w:after="60"/>
        <w:rPr>
          <w:rFonts w:eastAsia="MS Mincho" w:cs="Arial"/>
          <w:spacing w:val="-3"/>
          <w:sz w:val="18"/>
          <w:szCs w:val="18"/>
          <w:lang w:eastAsia="en-AU"/>
        </w:rPr>
      </w:pPr>
      <w:r w:rsidRPr="00144255">
        <w:rPr>
          <w:rFonts w:cs="Arial"/>
          <w:spacing w:val="4"/>
          <w:sz w:val="18"/>
          <w:szCs w:val="18"/>
        </w:rPr>
        <w:t>The RIS examines the evidence for both voluntary adoption of, and mandatory requirements for, in-cab audio and video recordings in rail operations in Australia, to provide enhanced information to investigators, for the purposes of improving rail safety outcomes.</w:t>
      </w:r>
      <w:r w:rsidR="004D37AE">
        <w:rPr>
          <w:rFonts w:cs="Arial"/>
          <w:spacing w:val="4"/>
          <w:sz w:val="18"/>
          <w:szCs w:val="18"/>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402"/>
        <w:gridCol w:w="1701"/>
      </w:tblGrid>
      <w:tr w:rsidR="00144255" w:rsidRPr="00144255" w14:paraId="22078F7D" w14:textId="77777777" w:rsidTr="00DC4673">
        <w:trPr>
          <w:trHeight w:val="510"/>
        </w:trPr>
        <w:tc>
          <w:tcPr>
            <w:tcW w:w="5104" w:type="dxa"/>
            <w:shd w:val="clear" w:color="auto" w:fill="auto"/>
            <w:vAlign w:val="center"/>
          </w:tcPr>
          <w:p w14:paraId="2F45502B" w14:textId="77777777" w:rsidR="00E24B2D" w:rsidRPr="00144255" w:rsidRDefault="00E24B2D" w:rsidP="0038447C">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Compensation Following Directions for Services Other Than Energy and Market Ancillary Services</w:t>
            </w:r>
          </w:p>
        </w:tc>
        <w:tc>
          <w:tcPr>
            <w:tcW w:w="3402" w:type="dxa"/>
            <w:shd w:val="clear" w:color="auto" w:fill="auto"/>
            <w:vAlign w:val="center"/>
          </w:tcPr>
          <w:p w14:paraId="11215552" w14:textId="77777777" w:rsidR="00E24B2D" w:rsidRPr="00144255" w:rsidRDefault="00E24B2D"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Energy Market Commission </w:t>
            </w:r>
          </w:p>
        </w:tc>
        <w:tc>
          <w:tcPr>
            <w:tcW w:w="1701" w:type="dxa"/>
            <w:shd w:val="clear" w:color="auto" w:fill="auto"/>
            <w:vAlign w:val="center"/>
          </w:tcPr>
          <w:p w14:paraId="46D2DA25" w14:textId="77777777" w:rsidR="00E24B2D" w:rsidRPr="00144255" w:rsidRDefault="00E24B2D"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5 Nov 2020</w:t>
            </w:r>
          </w:p>
        </w:tc>
      </w:tr>
    </w:tbl>
    <w:p w14:paraId="17188448" w14:textId="456AEE3E" w:rsidR="00E24B2D" w:rsidRPr="00144255" w:rsidRDefault="00E24B2D" w:rsidP="0038447C">
      <w:pPr>
        <w:pStyle w:val="BodyText1"/>
        <w:keepNext/>
        <w:keepLines/>
        <w:widowControl w:val="0"/>
        <w:spacing w:after="60"/>
        <w:rPr>
          <w:rFonts w:eastAsia="MS Mincho" w:cs="Arial"/>
          <w:spacing w:val="-3"/>
          <w:sz w:val="18"/>
          <w:szCs w:val="18"/>
          <w:lang w:eastAsia="en-AU"/>
        </w:rPr>
      </w:pPr>
      <w:r w:rsidRPr="00144255">
        <w:rPr>
          <w:rFonts w:eastAsia="MS Mincho" w:cs="Arial"/>
          <w:spacing w:val="-3"/>
          <w:sz w:val="18"/>
          <w:szCs w:val="18"/>
          <w:lang w:eastAsia="en-AU"/>
        </w:rPr>
        <w:t>The Australian Energy Market Commission (AEMC) released a draft rule for the National Electricity Amendment (</w:t>
      </w:r>
      <w:proofErr w:type="spellStart"/>
      <w:r w:rsidRPr="00144255">
        <w:rPr>
          <w:rFonts w:eastAsia="MS Mincho" w:cs="Arial"/>
          <w:spacing w:val="-3"/>
          <w:sz w:val="18"/>
          <w:szCs w:val="18"/>
          <w:lang w:eastAsia="en-AU"/>
        </w:rPr>
        <w:t>Conmpensation</w:t>
      </w:r>
      <w:proofErr w:type="spellEnd"/>
      <w:r w:rsidRPr="00144255">
        <w:rPr>
          <w:rFonts w:eastAsia="MS Mincho" w:cs="Arial"/>
          <w:spacing w:val="-3"/>
          <w:sz w:val="18"/>
          <w:szCs w:val="18"/>
          <w:lang w:eastAsia="en-AU"/>
        </w:rPr>
        <w:t xml:space="preserve"> following directions for services other than energy and market ancillary services) Rule 2020 and a corresponding Draft Rule for consultation. This draft determination is to make a more </w:t>
      </w:r>
      <w:proofErr w:type="spellStart"/>
      <w:r w:rsidRPr="00144255">
        <w:rPr>
          <w:rFonts w:eastAsia="MS Mincho" w:cs="Arial"/>
          <w:spacing w:val="-3"/>
          <w:sz w:val="18"/>
          <w:szCs w:val="18"/>
          <w:lang w:eastAsia="en-AU"/>
        </w:rPr>
        <w:t>prefereable</w:t>
      </w:r>
      <w:proofErr w:type="spellEnd"/>
      <w:r w:rsidRPr="00144255">
        <w:rPr>
          <w:rFonts w:eastAsia="MS Mincho" w:cs="Arial"/>
          <w:spacing w:val="-3"/>
          <w:sz w:val="18"/>
          <w:szCs w:val="18"/>
          <w:lang w:eastAsia="en-AU"/>
        </w:rPr>
        <w:t xml:space="preserve"> draft rule that reduces burden on the Australian Energy Market Operator (AEMO) and registered participants by amending the compensation framework for non-market services directions from two steps to one step, and improves transparency, predictability, consistency and the allocation of risk.</w:t>
      </w:r>
      <w:r w:rsidR="006D0BE4">
        <w:rPr>
          <w:rFonts w:eastAsia="MS Mincho" w:cs="Arial"/>
          <w:spacing w:val="-3"/>
          <w:sz w:val="18"/>
          <w:szCs w:val="18"/>
          <w:lang w:eastAsia="en-AU"/>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144255" w:rsidRPr="00144255" w14:paraId="22E0B465" w14:textId="77777777" w:rsidTr="00DC4673">
        <w:trPr>
          <w:trHeight w:val="482"/>
        </w:trPr>
        <w:tc>
          <w:tcPr>
            <w:tcW w:w="5104" w:type="dxa"/>
            <w:shd w:val="clear" w:color="auto" w:fill="auto"/>
            <w:vAlign w:val="center"/>
          </w:tcPr>
          <w:p w14:paraId="229777C7" w14:textId="77777777" w:rsidR="00E24B2D" w:rsidRPr="00144255" w:rsidRDefault="00E24B2D" w:rsidP="0038447C">
            <w:pPr>
              <w:keepNext/>
              <w:keepLines/>
              <w:widowControl w:val="0"/>
              <w:kinsoku w:val="0"/>
              <w:overflowPunct w:val="0"/>
              <w:autoSpaceDE w:val="0"/>
              <w:autoSpaceDN w:val="0"/>
              <w:adjustRightInd w:val="0"/>
              <w:spacing w:beforeLines="60" w:before="144" w:after="120" w:line="240" w:lineRule="auto"/>
              <w:ind w:left="79"/>
              <w:rPr>
                <w:rFonts w:eastAsia="MS Mincho" w:cs="Arial"/>
                <w:b/>
                <w:spacing w:val="-3"/>
                <w:sz w:val="18"/>
                <w:szCs w:val="18"/>
                <w:lang w:eastAsia="en-AU"/>
              </w:rPr>
            </w:pPr>
            <w:r w:rsidRPr="00144255">
              <w:rPr>
                <w:rFonts w:eastAsia="MS Mincho" w:cs="Arial"/>
                <w:b/>
                <w:spacing w:val="-3"/>
                <w:sz w:val="18"/>
                <w:szCs w:val="18"/>
                <w:lang w:eastAsia="en-AU"/>
              </w:rPr>
              <w:t>Compensation for Market Participants Affected by Intervention Events</w:t>
            </w:r>
          </w:p>
        </w:tc>
        <w:tc>
          <w:tcPr>
            <w:tcW w:w="3260" w:type="dxa"/>
            <w:shd w:val="clear" w:color="auto" w:fill="auto"/>
            <w:vAlign w:val="center"/>
          </w:tcPr>
          <w:p w14:paraId="27DADAEC" w14:textId="77777777" w:rsidR="00E24B2D" w:rsidRPr="00144255" w:rsidRDefault="00E24B2D" w:rsidP="0038447C">
            <w:pPr>
              <w:keepNext/>
              <w:keepLines/>
              <w:widowControl w:val="0"/>
              <w:kinsoku w:val="0"/>
              <w:overflowPunct w:val="0"/>
              <w:autoSpaceDE w:val="0"/>
              <w:autoSpaceDN w:val="0"/>
              <w:adjustRightInd w:val="0"/>
              <w:spacing w:beforeLines="60" w:before="144" w:after="120" w:line="240" w:lineRule="auto"/>
              <w:rPr>
                <w:rFonts w:eastAsia="MS Mincho" w:cs="Arial"/>
                <w:b/>
                <w:spacing w:val="-3"/>
                <w:sz w:val="18"/>
                <w:szCs w:val="18"/>
                <w:lang w:eastAsia="en-AU"/>
              </w:rPr>
            </w:pPr>
            <w:r w:rsidRPr="00144255">
              <w:rPr>
                <w:rFonts w:eastAsia="MS Mincho" w:cs="Arial"/>
                <w:b/>
                <w:spacing w:val="-3"/>
                <w:sz w:val="18"/>
                <w:szCs w:val="18"/>
                <w:lang w:eastAsia="en-AU"/>
              </w:rPr>
              <w:t>Australian Energy Market Commission</w:t>
            </w:r>
          </w:p>
        </w:tc>
        <w:tc>
          <w:tcPr>
            <w:tcW w:w="1843" w:type="dxa"/>
            <w:shd w:val="clear" w:color="auto" w:fill="auto"/>
            <w:vAlign w:val="center"/>
          </w:tcPr>
          <w:p w14:paraId="120D4A1B" w14:textId="77777777" w:rsidR="00E24B2D" w:rsidRPr="00144255" w:rsidRDefault="00E24B2D" w:rsidP="0038447C">
            <w:pPr>
              <w:keepNext/>
              <w:keepLines/>
              <w:widowControl w:val="0"/>
              <w:kinsoku w:val="0"/>
              <w:overflowPunct w:val="0"/>
              <w:autoSpaceDE w:val="0"/>
              <w:autoSpaceDN w:val="0"/>
              <w:adjustRightInd w:val="0"/>
              <w:spacing w:beforeLines="60" w:before="144" w:after="120" w:line="240" w:lineRule="auto"/>
              <w:rPr>
                <w:rFonts w:eastAsia="MS Mincho" w:cs="Arial"/>
                <w:b/>
                <w:spacing w:val="-3"/>
                <w:sz w:val="18"/>
                <w:szCs w:val="18"/>
                <w:lang w:eastAsia="en-AU"/>
              </w:rPr>
            </w:pPr>
            <w:r w:rsidRPr="00144255">
              <w:rPr>
                <w:rFonts w:eastAsia="MS Mincho" w:cs="Arial"/>
                <w:b/>
                <w:spacing w:val="-3"/>
                <w:sz w:val="18"/>
                <w:szCs w:val="18"/>
                <w:lang w:eastAsia="en-AU"/>
              </w:rPr>
              <w:t>5 Nov 2020</w:t>
            </w:r>
          </w:p>
        </w:tc>
      </w:tr>
    </w:tbl>
    <w:p w14:paraId="6193B0BD" w14:textId="53F4E75A" w:rsidR="00B83396" w:rsidRPr="00532DE4" w:rsidRDefault="00E24B2D" w:rsidP="0038447C">
      <w:pPr>
        <w:pStyle w:val="BodyText1"/>
        <w:keepNext/>
        <w:keepLines/>
        <w:widowControl w:val="0"/>
        <w:spacing w:after="60"/>
        <w:rPr>
          <w:rFonts w:eastAsia="MS Mincho" w:cs="Arial"/>
          <w:spacing w:val="-3"/>
          <w:sz w:val="18"/>
          <w:szCs w:val="18"/>
          <w:lang w:eastAsia="en-AU"/>
        </w:rPr>
      </w:pPr>
      <w:r w:rsidRPr="00144255">
        <w:rPr>
          <w:rFonts w:eastAsia="MS Mincho" w:cs="Arial"/>
          <w:spacing w:val="-3"/>
          <w:sz w:val="18"/>
          <w:szCs w:val="18"/>
          <w:lang w:eastAsia="en-AU"/>
        </w:rPr>
        <w:t>The Australian Energy Market Commission (AEMC) released a draft rule determination for the National Electricity Amendment (compensation for Market Participants Affected by Intervention Events) Rule 2020 and a corresponding Draft Rule for consultation. This draft determination is to make a more preferable draft rule which changes the way that compensation is calculated when market participants are dispatched differently as a result of an AEMO intervention event which triggers intervention pricing.</w:t>
      </w:r>
      <w:r w:rsidR="006D0BE4">
        <w:rPr>
          <w:rFonts w:eastAsia="MS Mincho" w:cs="Arial"/>
          <w:spacing w:val="-3"/>
          <w:sz w:val="18"/>
          <w:szCs w:val="18"/>
          <w:lang w:eastAsia="en-AU"/>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144255" w:rsidRPr="00144255" w14:paraId="0D12DB8C" w14:textId="77777777" w:rsidTr="002E2940">
        <w:trPr>
          <w:trHeight w:val="510"/>
        </w:trPr>
        <w:tc>
          <w:tcPr>
            <w:tcW w:w="5104" w:type="dxa"/>
            <w:shd w:val="clear" w:color="auto" w:fill="auto"/>
            <w:vAlign w:val="center"/>
          </w:tcPr>
          <w:p w14:paraId="296DFCDD" w14:textId="77777777" w:rsidR="00F727F5" w:rsidRPr="00144255" w:rsidRDefault="00F727F5" w:rsidP="0038447C">
            <w:pPr>
              <w:pStyle w:val="TableParagraph"/>
              <w:keepNext/>
              <w:keepLines/>
              <w:kinsoku w:val="0"/>
              <w:overflowPunct w:val="0"/>
              <w:spacing w:beforeLines="60" w:before="144" w:after="120"/>
              <w:ind w:left="79"/>
              <w:rPr>
                <w:rFonts w:ascii="Arial" w:hAnsi="Arial" w:cs="Arial"/>
                <w:b/>
                <w:spacing w:val="-3"/>
                <w:sz w:val="18"/>
                <w:szCs w:val="18"/>
              </w:rPr>
            </w:pPr>
          </w:p>
          <w:p w14:paraId="7B8A7C7A" w14:textId="77777777" w:rsidR="00F727F5" w:rsidRPr="00144255" w:rsidRDefault="00F727F5" w:rsidP="0038447C">
            <w:pPr>
              <w:pStyle w:val="TableParagraph"/>
              <w:keepNext/>
              <w:keepLines/>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 xml:space="preserve">Maintaining Life Support Customer Registration When Switching </w:t>
            </w:r>
          </w:p>
        </w:tc>
        <w:tc>
          <w:tcPr>
            <w:tcW w:w="3260" w:type="dxa"/>
            <w:shd w:val="clear" w:color="auto" w:fill="auto"/>
            <w:vAlign w:val="center"/>
          </w:tcPr>
          <w:p w14:paraId="0AD65E7E" w14:textId="77777777" w:rsidR="00F727F5" w:rsidRPr="00144255" w:rsidRDefault="00F727F5"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Energy Market Commission </w:t>
            </w:r>
          </w:p>
        </w:tc>
        <w:tc>
          <w:tcPr>
            <w:tcW w:w="1843" w:type="dxa"/>
            <w:shd w:val="clear" w:color="auto" w:fill="auto"/>
            <w:vAlign w:val="center"/>
          </w:tcPr>
          <w:p w14:paraId="5CF3B926" w14:textId="77777777" w:rsidR="00F727F5" w:rsidRPr="00144255" w:rsidRDefault="00F727F5" w:rsidP="0038447C">
            <w:pPr>
              <w:pStyle w:val="TableParagraph"/>
              <w:keepNext/>
              <w:keepLines/>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14 Jan 2021</w:t>
            </w:r>
          </w:p>
        </w:tc>
      </w:tr>
    </w:tbl>
    <w:p w14:paraId="732B50DE" w14:textId="11BD2C68" w:rsidR="00F727F5" w:rsidRPr="00144255" w:rsidRDefault="00F727F5" w:rsidP="0038447C">
      <w:pPr>
        <w:pStyle w:val="BodyText1"/>
        <w:keepNext/>
        <w:keepLines/>
        <w:widowControl w:val="0"/>
        <w:spacing w:after="60"/>
        <w:rPr>
          <w:rFonts w:eastAsia="MS Mincho" w:cs="Arial"/>
          <w:spacing w:val="-3"/>
          <w:sz w:val="18"/>
          <w:szCs w:val="18"/>
          <w:lang w:eastAsia="en-AU"/>
        </w:rPr>
      </w:pPr>
      <w:r w:rsidRPr="00144255">
        <w:rPr>
          <w:rFonts w:cs="Arial"/>
          <w:spacing w:val="4"/>
          <w:sz w:val="18"/>
          <w:szCs w:val="18"/>
        </w:rPr>
        <w:t>The draft rule seeks reduce barriers for life support customers that switch retailer or distribution network service provider (DNSP). The AEMC is seeking to achieve this by introducing an obligation on the outgoing registration process owner (RPO) (the retailer or DNSP contacted by the customer for life support registration purposes) to provide the customer with a copy of the medical confirmation form (MCF) and/or medical  confirmation document used to register the customer's premises on request. The proposal would also allow customers to reuse confirmation documents for the purpose of providing medical confirmation to the incoming RPO. Customer safety would be maintained by the combination of a simpler registration process while maintaining a degree of customer responsibility to pass accurate information to RPOs.</w:t>
      </w:r>
      <w:r w:rsidR="006D0BE4">
        <w:rPr>
          <w:rFonts w:cs="Arial"/>
          <w:spacing w:val="4"/>
          <w:sz w:val="18"/>
          <w:szCs w:val="18"/>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144255" w:rsidRPr="00144255" w14:paraId="55332940" w14:textId="77777777" w:rsidTr="00E65E1A">
        <w:trPr>
          <w:trHeight w:val="510"/>
        </w:trPr>
        <w:tc>
          <w:tcPr>
            <w:tcW w:w="5104" w:type="dxa"/>
            <w:shd w:val="clear" w:color="auto" w:fill="auto"/>
            <w:vAlign w:val="center"/>
          </w:tcPr>
          <w:p w14:paraId="79F039CB" w14:textId="0A5C5379" w:rsidR="00B76DCD" w:rsidRPr="00144255" w:rsidRDefault="009F4E67" w:rsidP="0038447C">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sidRPr="00144255">
              <w:rPr>
                <w:rFonts w:ascii="Arial" w:hAnsi="Arial" w:cs="Arial"/>
                <w:b/>
                <w:spacing w:val="-3"/>
                <w:sz w:val="18"/>
                <w:szCs w:val="18"/>
              </w:rPr>
              <w:t>Semi- Scheduled Generator Dispatch Obligations</w:t>
            </w:r>
          </w:p>
        </w:tc>
        <w:tc>
          <w:tcPr>
            <w:tcW w:w="3260" w:type="dxa"/>
            <w:shd w:val="clear" w:color="auto" w:fill="auto"/>
            <w:vAlign w:val="center"/>
          </w:tcPr>
          <w:p w14:paraId="0FE6199C" w14:textId="77777777" w:rsidR="00B76DCD" w:rsidRPr="00144255" w:rsidRDefault="00B76DCD"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Energy Market Commission </w:t>
            </w:r>
          </w:p>
        </w:tc>
        <w:tc>
          <w:tcPr>
            <w:tcW w:w="1843" w:type="dxa"/>
            <w:shd w:val="clear" w:color="auto" w:fill="auto"/>
            <w:vAlign w:val="center"/>
          </w:tcPr>
          <w:p w14:paraId="097128B4" w14:textId="3651465F" w:rsidR="00B76DCD" w:rsidRPr="00144255" w:rsidRDefault="00D80C09"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14 Jan 2021</w:t>
            </w:r>
          </w:p>
        </w:tc>
      </w:tr>
    </w:tbl>
    <w:p w14:paraId="5DAC6D10" w14:textId="54DE464B" w:rsidR="00D80C09" w:rsidRPr="00411E3F" w:rsidRDefault="00D80C09" w:rsidP="0038447C">
      <w:pPr>
        <w:pStyle w:val="BodyText1"/>
        <w:keepNext/>
        <w:keepLines/>
        <w:widowControl w:val="0"/>
        <w:spacing w:after="60"/>
        <w:rPr>
          <w:rFonts w:cs="Arial"/>
          <w:spacing w:val="4"/>
          <w:sz w:val="18"/>
          <w:szCs w:val="18"/>
        </w:rPr>
      </w:pPr>
      <w:r w:rsidRPr="00144255">
        <w:rPr>
          <w:rFonts w:cs="Arial"/>
          <w:spacing w:val="4"/>
          <w:sz w:val="18"/>
          <w:szCs w:val="18"/>
        </w:rPr>
        <w:lastRenderedPageBreak/>
        <w:t>The proposed rule seeks to address the issue of semi- scheduled generators curtailing generation in response to market prices without rebidding or waiting for an updated dispatch instruction from AEMO. This rule change would progress one of the interim security measures developed by the COAG Energy Council Energy Security Board that is expected to improve outcomes while more fundamental reforms are designed and implemented through a longer term market design process.</w:t>
      </w:r>
      <w:r w:rsidR="00411E3F">
        <w:rPr>
          <w:rFonts w:cs="Arial"/>
          <w:spacing w:val="4"/>
          <w:sz w:val="18"/>
          <w:szCs w:val="18"/>
        </w:rPr>
        <w:t xml:space="preserve"> </w:t>
      </w:r>
    </w:p>
    <w:tbl>
      <w:tblPr>
        <w:tblW w:w="10476" w:type="dxa"/>
        <w:tblInd w:w="-142" w:type="dxa"/>
        <w:tblLayout w:type="fixed"/>
        <w:tblCellMar>
          <w:left w:w="0" w:type="dxa"/>
          <w:right w:w="0" w:type="dxa"/>
        </w:tblCellMar>
        <w:tblLook w:val="04A0" w:firstRow="1" w:lastRow="0" w:firstColumn="1" w:lastColumn="0" w:noHBand="0" w:noVBand="1"/>
      </w:tblPr>
      <w:tblGrid>
        <w:gridCol w:w="5238"/>
        <w:gridCol w:w="3346"/>
        <w:gridCol w:w="1892"/>
      </w:tblGrid>
      <w:tr w:rsidR="00CD59A5" w:rsidRPr="00144255" w14:paraId="08ED584E" w14:textId="77777777" w:rsidTr="0038447C">
        <w:trPr>
          <w:trHeight w:val="510"/>
        </w:trPr>
        <w:tc>
          <w:tcPr>
            <w:tcW w:w="5104" w:type="dxa"/>
            <w:shd w:val="clear" w:color="auto" w:fill="auto"/>
            <w:vAlign w:val="center"/>
          </w:tcPr>
          <w:p w14:paraId="6C1546A1" w14:textId="039C7C15" w:rsidR="00CD59A5" w:rsidRPr="00144255" w:rsidRDefault="00F80664" w:rsidP="0038447C">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Pr>
                <w:rFonts w:ascii="Arial" w:hAnsi="Arial" w:cs="Arial"/>
                <w:b/>
                <w:spacing w:val="-3"/>
                <w:sz w:val="18"/>
                <w:szCs w:val="18"/>
              </w:rPr>
              <w:t>Technical Standards for Distributed Energy Resources</w:t>
            </w:r>
          </w:p>
        </w:tc>
        <w:tc>
          <w:tcPr>
            <w:tcW w:w="3260" w:type="dxa"/>
            <w:shd w:val="clear" w:color="auto" w:fill="auto"/>
            <w:vAlign w:val="center"/>
          </w:tcPr>
          <w:p w14:paraId="07437D29" w14:textId="77777777" w:rsidR="00CD59A5" w:rsidRPr="00144255" w:rsidRDefault="00CD59A5"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Energy Market Commission </w:t>
            </w:r>
          </w:p>
        </w:tc>
        <w:tc>
          <w:tcPr>
            <w:tcW w:w="1843" w:type="dxa"/>
            <w:shd w:val="clear" w:color="auto" w:fill="auto"/>
            <w:vAlign w:val="center"/>
          </w:tcPr>
          <w:p w14:paraId="43254C4F" w14:textId="1AFBBC1B" w:rsidR="00CD59A5" w:rsidRPr="00144255" w:rsidRDefault="00F80664"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14 Jan 2021</w:t>
            </w:r>
          </w:p>
        </w:tc>
      </w:tr>
    </w:tbl>
    <w:tbl>
      <w:tblPr>
        <w:tblpPr w:leftFromText="180" w:rightFromText="180" w:vertAnchor="text" w:horzAnchor="margin" w:tblpY="1064"/>
        <w:tblW w:w="10476" w:type="dxa"/>
        <w:tblLayout w:type="fixed"/>
        <w:tblCellMar>
          <w:left w:w="0" w:type="dxa"/>
          <w:right w:w="0" w:type="dxa"/>
        </w:tblCellMar>
        <w:tblLook w:val="04A0" w:firstRow="1" w:lastRow="0" w:firstColumn="1" w:lastColumn="0" w:noHBand="0" w:noVBand="1"/>
      </w:tblPr>
      <w:tblGrid>
        <w:gridCol w:w="4438"/>
        <w:gridCol w:w="4351"/>
        <w:gridCol w:w="85"/>
        <w:gridCol w:w="1602"/>
      </w:tblGrid>
      <w:tr w:rsidR="0038447C" w:rsidRPr="00144255" w14:paraId="74C8141B" w14:textId="77777777" w:rsidTr="0038447C">
        <w:trPr>
          <w:trHeight w:val="367"/>
        </w:trPr>
        <w:tc>
          <w:tcPr>
            <w:tcW w:w="4438" w:type="dxa"/>
            <w:shd w:val="clear" w:color="auto" w:fill="auto"/>
            <w:vAlign w:val="center"/>
          </w:tcPr>
          <w:p w14:paraId="7B58F3E3" w14:textId="77777777" w:rsidR="0038447C" w:rsidRPr="00144255" w:rsidRDefault="0038447C"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Connection to Dedicated Connection Assets</w:t>
            </w:r>
          </w:p>
        </w:tc>
        <w:tc>
          <w:tcPr>
            <w:tcW w:w="4351" w:type="dxa"/>
            <w:shd w:val="clear" w:color="auto" w:fill="auto"/>
            <w:vAlign w:val="center"/>
          </w:tcPr>
          <w:p w14:paraId="1E9132A5" w14:textId="77777777" w:rsidR="0038447C" w:rsidRPr="00144255" w:rsidRDefault="0038447C"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 xml:space="preserve">Australian Energy Market Commission </w:t>
            </w:r>
          </w:p>
        </w:tc>
        <w:tc>
          <w:tcPr>
            <w:tcW w:w="85" w:type="dxa"/>
          </w:tcPr>
          <w:p w14:paraId="43509C10" w14:textId="77777777" w:rsidR="0038447C" w:rsidRPr="00144255" w:rsidRDefault="0038447C"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p>
        </w:tc>
        <w:tc>
          <w:tcPr>
            <w:tcW w:w="1602" w:type="dxa"/>
            <w:shd w:val="clear" w:color="auto" w:fill="auto"/>
            <w:vAlign w:val="center"/>
          </w:tcPr>
          <w:p w14:paraId="067FED87" w14:textId="77777777" w:rsidR="0038447C" w:rsidRPr="00144255" w:rsidRDefault="0038447C"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28</w:t>
            </w:r>
            <w:r w:rsidRPr="00144255">
              <w:rPr>
                <w:rFonts w:ascii="Arial" w:hAnsi="Arial" w:cs="Arial"/>
                <w:b/>
                <w:spacing w:val="-3"/>
                <w:sz w:val="18"/>
                <w:szCs w:val="18"/>
              </w:rPr>
              <w:t xml:space="preserve"> Jan 2021</w:t>
            </w:r>
          </w:p>
        </w:tc>
      </w:tr>
    </w:tbl>
    <w:p w14:paraId="5D296B44" w14:textId="42DBF007" w:rsidR="00F80664" w:rsidRPr="00063A5A" w:rsidRDefault="00F80664" w:rsidP="0038447C">
      <w:pPr>
        <w:spacing w:after="300" w:line="240" w:lineRule="auto"/>
        <w:textAlignment w:val="baseline"/>
        <w:rPr>
          <w:rFonts w:cs="Arial"/>
          <w:spacing w:val="4"/>
          <w:sz w:val="18"/>
          <w:szCs w:val="18"/>
          <w:lang w:eastAsia="en-AU"/>
        </w:rPr>
      </w:pPr>
      <w:r w:rsidRPr="00D80C09">
        <w:rPr>
          <w:rFonts w:cs="Arial"/>
          <w:spacing w:val="4"/>
          <w:sz w:val="18"/>
          <w:szCs w:val="18"/>
          <w:lang w:eastAsia="en-AU"/>
        </w:rPr>
        <w:t xml:space="preserve">The draft rule would create technical standards that embedded generating (EG) units connecting by way of a micro EG connection service must comply with. The standard would amend the existing arrangements for solar inverters used primarily in household and other </w:t>
      </w:r>
      <w:r w:rsidRPr="00144255">
        <w:rPr>
          <w:rFonts w:cs="Arial"/>
          <w:spacing w:val="4"/>
          <w:sz w:val="18"/>
          <w:szCs w:val="18"/>
          <w:lang w:eastAsia="en-AU"/>
        </w:rPr>
        <w:t xml:space="preserve">small-scale generation settings. </w:t>
      </w:r>
      <w:r w:rsidRPr="00D80C09">
        <w:rPr>
          <w:rFonts w:cs="Arial"/>
          <w:spacing w:val="4"/>
          <w:sz w:val="18"/>
          <w:szCs w:val="18"/>
          <w:lang w:eastAsia="en-AU"/>
        </w:rPr>
        <w:t>The requirements would apply to equipment connected to the national electricity grid for the first time after the rule commences and a six month transition period has passed.</w:t>
      </w:r>
      <w:r w:rsidR="00063A5A">
        <w:rPr>
          <w:rFonts w:cs="Arial"/>
          <w:spacing w:val="4"/>
          <w:sz w:val="18"/>
          <w:szCs w:val="18"/>
          <w:lang w:eastAsia="en-AU"/>
        </w:rPr>
        <w:t xml:space="preserve"> </w:t>
      </w:r>
    </w:p>
    <w:p w14:paraId="00783496" w14:textId="50D228B6" w:rsidR="00BA6CC4" w:rsidRDefault="004A7A8B" w:rsidP="0038447C">
      <w:pPr>
        <w:pStyle w:val="BodyText1"/>
        <w:keepNext/>
        <w:keepLines/>
        <w:widowControl w:val="0"/>
        <w:spacing w:after="60"/>
        <w:rPr>
          <w:rFonts w:cs="Arial"/>
          <w:spacing w:val="4"/>
          <w:sz w:val="18"/>
          <w:szCs w:val="18"/>
        </w:rPr>
      </w:pPr>
      <w:r w:rsidRPr="00144255">
        <w:rPr>
          <w:rFonts w:cs="Arial"/>
          <w:spacing w:val="4"/>
          <w:sz w:val="18"/>
          <w:szCs w:val="18"/>
        </w:rPr>
        <w:t>The draft rule would amend the National Electricity Rules to create a new framework for ‘designated network assets’. This framework would replace the current arrangements for large dedicated connection assets. The AEMC believes that the draft rule would better contribute to the achievement of the National Electricity Objective by allowing for the more effective management of power system security and better facilitating the sharing of parts of the transmission system funded by connecting parties, while maintaining the incentives to invest.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4A7A8B" w:rsidRPr="00144255" w14:paraId="538C2D81" w14:textId="77777777" w:rsidTr="00F51F72">
        <w:trPr>
          <w:trHeight w:val="510"/>
        </w:trPr>
        <w:tc>
          <w:tcPr>
            <w:tcW w:w="5104" w:type="dxa"/>
            <w:shd w:val="clear" w:color="auto" w:fill="auto"/>
            <w:vAlign w:val="center"/>
          </w:tcPr>
          <w:p w14:paraId="039751CE" w14:textId="77777777" w:rsidR="004A7A8B" w:rsidRPr="00144255" w:rsidRDefault="004A7A8B" w:rsidP="0038447C">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Pr>
                <w:rFonts w:ascii="Arial" w:hAnsi="Arial" w:cs="Arial"/>
                <w:b/>
                <w:spacing w:val="-3"/>
                <w:sz w:val="18"/>
                <w:szCs w:val="18"/>
              </w:rPr>
              <w:t>Lead in Plumbing Products</w:t>
            </w:r>
          </w:p>
        </w:tc>
        <w:tc>
          <w:tcPr>
            <w:tcW w:w="3260" w:type="dxa"/>
            <w:shd w:val="clear" w:color="auto" w:fill="auto"/>
            <w:vAlign w:val="center"/>
          </w:tcPr>
          <w:p w14:paraId="5F29EE4D" w14:textId="77777777" w:rsidR="004A7A8B" w:rsidRPr="00144255" w:rsidRDefault="004A7A8B"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Australian Building Codes Board</w:t>
            </w:r>
          </w:p>
        </w:tc>
        <w:tc>
          <w:tcPr>
            <w:tcW w:w="1843" w:type="dxa"/>
            <w:shd w:val="clear" w:color="auto" w:fill="auto"/>
            <w:vAlign w:val="center"/>
          </w:tcPr>
          <w:p w14:paraId="66A7EF17" w14:textId="77777777" w:rsidR="004A7A8B" w:rsidRPr="00144255" w:rsidRDefault="004A7A8B"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01 March 2021</w:t>
            </w:r>
          </w:p>
        </w:tc>
      </w:tr>
    </w:tbl>
    <w:p w14:paraId="5F70E670" w14:textId="128BD0A2" w:rsidR="004A7A8B" w:rsidRPr="004A7A8B" w:rsidRDefault="004A7A8B" w:rsidP="0038447C">
      <w:pPr>
        <w:pStyle w:val="BodyText1"/>
        <w:keepNext/>
        <w:keepLines/>
        <w:widowControl w:val="0"/>
        <w:spacing w:after="60"/>
        <w:rPr>
          <w:rFonts w:eastAsia="MS Mincho" w:cs="Arial"/>
          <w:spacing w:val="-3"/>
          <w:sz w:val="18"/>
          <w:szCs w:val="18"/>
          <w:lang w:eastAsia="en-AU"/>
        </w:rPr>
      </w:pPr>
      <w:r>
        <w:rPr>
          <w:rFonts w:cs="Arial"/>
          <w:spacing w:val="4"/>
          <w:sz w:val="18"/>
          <w:szCs w:val="18"/>
        </w:rPr>
        <w:t xml:space="preserve">This Consultation RIS aims to determine whether the </w:t>
      </w:r>
      <w:proofErr w:type="spellStart"/>
      <w:r>
        <w:rPr>
          <w:rFonts w:cs="Arial"/>
          <w:spacing w:val="4"/>
          <w:sz w:val="18"/>
          <w:szCs w:val="18"/>
        </w:rPr>
        <w:t>alloqable</w:t>
      </w:r>
      <w:proofErr w:type="spellEnd"/>
      <w:r>
        <w:rPr>
          <w:rFonts w:cs="Arial"/>
          <w:spacing w:val="4"/>
          <w:sz w:val="18"/>
          <w:szCs w:val="18"/>
        </w:rPr>
        <w:t xml:space="preserve"> levels of lead in the manufacture of copper alloy plumbing products and material specifications that come into contact with drinking water, should be reduced.</w:t>
      </w:r>
      <w:r w:rsidR="00063A5A">
        <w:rPr>
          <w:rFonts w:cs="Arial"/>
          <w:spacing w:val="4"/>
          <w:sz w:val="18"/>
          <w:szCs w:val="18"/>
        </w:rPr>
        <w:t xml:space="preserve"> </w:t>
      </w:r>
    </w:p>
    <w:tbl>
      <w:tblPr>
        <w:tblW w:w="10207" w:type="dxa"/>
        <w:tblInd w:w="-142" w:type="dxa"/>
        <w:tblLayout w:type="fixed"/>
        <w:tblCellMar>
          <w:left w:w="0" w:type="dxa"/>
          <w:right w:w="0" w:type="dxa"/>
        </w:tblCellMar>
        <w:tblLook w:val="04A0" w:firstRow="1" w:lastRow="0" w:firstColumn="1" w:lastColumn="0" w:noHBand="0" w:noVBand="1"/>
      </w:tblPr>
      <w:tblGrid>
        <w:gridCol w:w="5104"/>
        <w:gridCol w:w="3260"/>
        <w:gridCol w:w="1843"/>
      </w:tblGrid>
      <w:tr w:rsidR="00144255" w:rsidRPr="00144255" w14:paraId="6A56C6D7" w14:textId="77777777" w:rsidTr="002E2940">
        <w:trPr>
          <w:trHeight w:val="510"/>
        </w:trPr>
        <w:tc>
          <w:tcPr>
            <w:tcW w:w="5104" w:type="dxa"/>
            <w:shd w:val="clear" w:color="auto" w:fill="auto"/>
            <w:vAlign w:val="center"/>
          </w:tcPr>
          <w:p w14:paraId="56B1B193" w14:textId="656F855E" w:rsidR="00144255" w:rsidRPr="00144255" w:rsidRDefault="00144255" w:rsidP="0038447C">
            <w:pPr>
              <w:pStyle w:val="TableParagraph"/>
              <w:keepNext/>
              <w:keepLines/>
              <w:shd w:val="clear" w:color="auto" w:fill="FFFFFF" w:themeFill="background1"/>
              <w:kinsoku w:val="0"/>
              <w:overflowPunct w:val="0"/>
              <w:spacing w:beforeLines="60" w:before="144" w:after="120"/>
              <w:ind w:left="79"/>
              <w:rPr>
                <w:rFonts w:ascii="Arial" w:hAnsi="Arial" w:cs="Arial"/>
                <w:b/>
                <w:spacing w:val="-3"/>
                <w:sz w:val="18"/>
                <w:szCs w:val="18"/>
              </w:rPr>
            </w:pPr>
            <w:r>
              <w:rPr>
                <w:rFonts w:ascii="Arial" w:hAnsi="Arial" w:cs="Arial"/>
                <w:b/>
                <w:spacing w:val="-3"/>
                <w:sz w:val="18"/>
                <w:szCs w:val="18"/>
              </w:rPr>
              <w:t>Bill Contents and Billing Requirements</w:t>
            </w:r>
          </w:p>
        </w:tc>
        <w:tc>
          <w:tcPr>
            <w:tcW w:w="3260" w:type="dxa"/>
            <w:shd w:val="clear" w:color="auto" w:fill="auto"/>
            <w:vAlign w:val="center"/>
          </w:tcPr>
          <w:p w14:paraId="79F64B9C" w14:textId="600CE88B" w:rsidR="00144255" w:rsidRPr="00144255" w:rsidRDefault="00144255"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Pr>
                <w:rFonts w:ascii="Arial" w:hAnsi="Arial" w:cs="Arial"/>
                <w:b/>
                <w:spacing w:val="-3"/>
                <w:sz w:val="18"/>
                <w:szCs w:val="18"/>
              </w:rPr>
              <w:t>Australian Energy Market Commission</w:t>
            </w:r>
          </w:p>
        </w:tc>
        <w:tc>
          <w:tcPr>
            <w:tcW w:w="1843" w:type="dxa"/>
            <w:shd w:val="clear" w:color="auto" w:fill="auto"/>
            <w:vAlign w:val="center"/>
          </w:tcPr>
          <w:p w14:paraId="78BF9F7F" w14:textId="051B47F1" w:rsidR="00144255" w:rsidRPr="00144255" w:rsidRDefault="00144255" w:rsidP="0038447C">
            <w:pPr>
              <w:pStyle w:val="TableParagraph"/>
              <w:keepNext/>
              <w:keepLines/>
              <w:shd w:val="clear" w:color="auto" w:fill="FFFFFF" w:themeFill="background1"/>
              <w:kinsoku w:val="0"/>
              <w:overflowPunct w:val="0"/>
              <w:spacing w:beforeLines="60" w:before="144" w:after="120"/>
              <w:rPr>
                <w:rFonts w:ascii="Arial" w:hAnsi="Arial" w:cs="Arial"/>
                <w:b/>
                <w:spacing w:val="-3"/>
                <w:sz w:val="18"/>
                <w:szCs w:val="18"/>
              </w:rPr>
            </w:pPr>
            <w:r w:rsidRPr="00144255">
              <w:rPr>
                <w:rFonts w:ascii="Arial" w:hAnsi="Arial" w:cs="Arial"/>
                <w:b/>
                <w:spacing w:val="-3"/>
                <w:sz w:val="18"/>
                <w:szCs w:val="18"/>
              </w:rPr>
              <w:t>0</w:t>
            </w:r>
            <w:r w:rsidR="00C14847">
              <w:rPr>
                <w:rFonts w:ascii="Arial" w:hAnsi="Arial" w:cs="Arial"/>
                <w:b/>
                <w:spacing w:val="-3"/>
                <w:sz w:val="18"/>
                <w:szCs w:val="18"/>
              </w:rPr>
              <w:t>4 Feb</w:t>
            </w:r>
            <w:r w:rsidRPr="00144255">
              <w:rPr>
                <w:rFonts w:ascii="Arial" w:hAnsi="Arial" w:cs="Arial"/>
                <w:b/>
                <w:spacing w:val="-3"/>
                <w:sz w:val="18"/>
                <w:szCs w:val="18"/>
              </w:rPr>
              <w:t xml:space="preserve"> 2021</w:t>
            </w:r>
          </w:p>
        </w:tc>
      </w:tr>
    </w:tbl>
    <w:p w14:paraId="427CF6A6" w14:textId="0947CF04" w:rsidR="00F80664" w:rsidRPr="00063A5A" w:rsidRDefault="00144255" w:rsidP="0038447C">
      <w:pPr>
        <w:pStyle w:val="BodyText1"/>
        <w:keepNext/>
        <w:keepLines/>
        <w:widowControl w:val="0"/>
        <w:spacing w:after="60"/>
        <w:rPr>
          <w:rFonts w:cs="Arial"/>
          <w:color w:val="1E1E1E"/>
          <w:spacing w:val="4"/>
          <w:sz w:val="18"/>
          <w:szCs w:val="18"/>
        </w:rPr>
      </w:pPr>
      <w:r w:rsidRPr="00144255">
        <w:rPr>
          <w:rFonts w:cs="Arial"/>
          <w:color w:val="1E1E1E"/>
          <w:spacing w:val="4"/>
          <w:sz w:val="18"/>
          <w:szCs w:val="18"/>
        </w:rPr>
        <w:t>The draft rule proposes to create obligations on the Australian Energy Regulator (AER) to create mandatory guidelines on bill contents for electricity and gas retailers to follow when issuing bills to small customers, which may also extend to billing frequency.</w:t>
      </w:r>
      <w:r w:rsidR="00063A5A">
        <w:rPr>
          <w:rFonts w:cs="Arial"/>
          <w:color w:val="1E1E1E"/>
          <w:spacing w:val="4"/>
          <w:sz w:val="18"/>
          <w:szCs w:val="18"/>
        </w:rPr>
        <w:t xml:space="preserve"> </w:t>
      </w:r>
    </w:p>
    <w:sectPr w:rsidR="00F80664" w:rsidRPr="00063A5A" w:rsidSect="001B295C">
      <w:headerReference w:type="default" r:id="rId12"/>
      <w:footerReference w:type="even" r:id="rId13"/>
      <w:footerReference w:type="default" r:id="rId14"/>
      <w:headerReference w:type="first" r:id="rId15"/>
      <w:footerReference w:type="first" r:id="rId16"/>
      <w:type w:val="continuous"/>
      <w:pgSz w:w="11900" w:h="16840" w:code="9"/>
      <w:pgMar w:top="1928" w:right="703" w:bottom="1644" w:left="1418" w:header="510" w:footer="0" w:gutter="0"/>
      <w:cols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AC257" w14:textId="77777777" w:rsidR="00720C45" w:rsidRDefault="00720C45" w:rsidP="003B52FC">
      <w:r>
        <w:separator/>
      </w:r>
    </w:p>
  </w:endnote>
  <w:endnote w:type="continuationSeparator" w:id="0">
    <w:p w14:paraId="7C2E544D" w14:textId="77777777" w:rsidR="00720C45" w:rsidRDefault="00720C45" w:rsidP="003B5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Gotham Rounded Book">
    <w:charset w:val="00"/>
    <w:family w:val="auto"/>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heSansSemiBold-Plain">
    <w:altName w:val="Arial"/>
    <w:panose1 w:val="00000000000000000000"/>
    <w:charset w:val="00"/>
    <w:family w:val="swiss"/>
    <w:notTrueType/>
    <w:pitch w:val="variable"/>
    <w:sig w:usb0="00000001" w:usb1="00000000" w:usb2="00000000" w:usb3="00000000" w:csb0="00000009" w:csb1="00000000"/>
  </w:font>
  <w:font w:name="Interstate-Light">
    <w:altName w:val="Calibri"/>
    <w:charset w:val="00"/>
    <w:family w:val="auto"/>
    <w:pitch w:val="variable"/>
    <w:sig w:usb0="00000001" w:usb1="4000207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E5551" w14:textId="77777777" w:rsidR="00720C45" w:rsidRDefault="00720C45">
    <w:pPr>
      <w:pStyle w:val="Footer"/>
    </w:pPr>
  </w:p>
  <w:p w14:paraId="659BC96F" w14:textId="77777777" w:rsidR="00720C45" w:rsidRDefault="00720C4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346AA" w14:textId="2ECFEF04" w:rsidR="00720C45" w:rsidRDefault="00720C45" w:rsidP="00C86A41">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3460DC">
      <w:rPr>
        <w:rFonts w:cs="Arial"/>
        <w:noProof/>
        <w:color w:val="808080"/>
        <w:sz w:val="16"/>
        <w:szCs w:val="16"/>
      </w:rPr>
      <w:t>6</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3460DC">
      <w:rPr>
        <w:rFonts w:cs="Arial"/>
        <w:noProof/>
        <w:color w:val="808080"/>
        <w:sz w:val="16"/>
        <w:szCs w:val="16"/>
      </w:rPr>
      <w:t>6</w:t>
    </w:r>
    <w:r w:rsidRPr="00C86A41">
      <w:rPr>
        <w:rFonts w:cs="Arial"/>
        <w:color w:val="808080"/>
        <w:sz w:val="16"/>
        <w:szCs w:val="16"/>
      </w:rPr>
      <w:fldChar w:fldCharType="end"/>
    </w:r>
  </w:p>
  <w:p w14:paraId="650A9A8F" w14:textId="77777777" w:rsidR="00720C45" w:rsidRDefault="00720C45">
    <w:pPr>
      <w:pStyle w:val="Footer"/>
    </w:pPr>
  </w:p>
  <w:p w14:paraId="62D83FA1" w14:textId="77777777" w:rsidR="00720C45" w:rsidRDefault="00720C45"/>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E2FB7" w14:textId="4CA72494" w:rsidR="00720C45" w:rsidRDefault="00720C45" w:rsidP="00A373F3">
    <w:pPr>
      <w:pStyle w:val="BodyText1"/>
      <w:jc w:val="right"/>
    </w:pPr>
    <w:r>
      <w:rPr>
        <w:rFonts w:cs="Arial"/>
        <w:color w:val="808080"/>
        <w:sz w:val="16"/>
        <w:szCs w:val="16"/>
      </w:rPr>
      <w:tab/>
    </w:r>
    <w:r w:rsidRPr="00C86A41">
      <w:rPr>
        <w:rFonts w:cs="Arial"/>
        <w:color w:val="808080"/>
        <w:sz w:val="16"/>
        <w:szCs w:val="16"/>
      </w:rPr>
      <w:t xml:space="preserve">Page </w:t>
    </w:r>
    <w:r w:rsidRPr="00C86A41">
      <w:rPr>
        <w:rFonts w:cs="Arial"/>
        <w:color w:val="808080"/>
        <w:sz w:val="16"/>
        <w:szCs w:val="16"/>
      </w:rPr>
      <w:fldChar w:fldCharType="begin"/>
    </w:r>
    <w:r w:rsidRPr="00C86A41">
      <w:rPr>
        <w:rFonts w:cs="Arial"/>
        <w:color w:val="808080"/>
        <w:sz w:val="16"/>
        <w:szCs w:val="16"/>
      </w:rPr>
      <w:instrText xml:space="preserve"> PAGE </w:instrText>
    </w:r>
    <w:r w:rsidRPr="00C86A41">
      <w:rPr>
        <w:rFonts w:cs="Arial"/>
        <w:color w:val="808080"/>
        <w:sz w:val="16"/>
        <w:szCs w:val="16"/>
      </w:rPr>
      <w:fldChar w:fldCharType="separate"/>
    </w:r>
    <w:r w:rsidR="003460DC">
      <w:rPr>
        <w:rFonts w:cs="Arial"/>
        <w:noProof/>
        <w:color w:val="808080"/>
        <w:sz w:val="16"/>
        <w:szCs w:val="16"/>
      </w:rPr>
      <w:t>1</w:t>
    </w:r>
    <w:r w:rsidRPr="00C86A41">
      <w:rPr>
        <w:rFonts w:cs="Arial"/>
        <w:color w:val="808080"/>
        <w:sz w:val="16"/>
        <w:szCs w:val="16"/>
      </w:rPr>
      <w:fldChar w:fldCharType="end"/>
    </w:r>
    <w:r w:rsidRPr="00C86A41">
      <w:rPr>
        <w:rFonts w:cs="Arial"/>
        <w:color w:val="808080"/>
        <w:sz w:val="16"/>
        <w:szCs w:val="16"/>
      </w:rPr>
      <w:t xml:space="preserve"> of </w:t>
    </w:r>
    <w:r w:rsidRPr="00C86A41">
      <w:rPr>
        <w:rFonts w:cs="Arial"/>
        <w:color w:val="808080"/>
        <w:sz w:val="16"/>
        <w:szCs w:val="16"/>
      </w:rPr>
      <w:fldChar w:fldCharType="begin"/>
    </w:r>
    <w:r w:rsidRPr="00C86A41">
      <w:rPr>
        <w:rFonts w:cs="Arial"/>
        <w:color w:val="808080"/>
        <w:sz w:val="16"/>
        <w:szCs w:val="16"/>
      </w:rPr>
      <w:instrText xml:space="preserve"> NUMPAGES  </w:instrText>
    </w:r>
    <w:r w:rsidRPr="00C86A41">
      <w:rPr>
        <w:rFonts w:cs="Arial"/>
        <w:color w:val="808080"/>
        <w:sz w:val="16"/>
        <w:szCs w:val="16"/>
      </w:rPr>
      <w:fldChar w:fldCharType="separate"/>
    </w:r>
    <w:r w:rsidR="003460DC">
      <w:rPr>
        <w:rFonts w:cs="Arial"/>
        <w:noProof/>
        <w:color w:val="808080"/>
        <w:sz w:val="16"/>
        <w:szCs w:val="16"/>
      </w:rPr>
      <w:t>6</w:t>
    </w:r>
    <w:r w:rsidRPr="00C86A41">
      <w:rPr>
        <w:rFonts w:cs="Arial"/>
        <w:color w:val="808080"/>
        <w:sz w:val="16"/>
        <w:szCs w:val="16"/>
      </w:rPr>
      <w:fldChar w:fldCharType="end"/>
    </w:r>
  </w:p>
  <w:p w14:paraId="00295906" w14:textId="77777777" w:rsidR="00720C45" w:rsidRDefault="00720C4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48F0FA" w14:textId="77777777" w:rsidR="00720C45" w:rsidRDefault="00720C45" w:rsidP="003B52FC"/>
  </w:footnote>
  <w:footnote w:type="continuationSeparator" w:id="0">
    <w:p w14:paraId="025190B3" w14:textId="77777777" w:rsidR="00720C45" w:rsidRDefault="00720C45" w:rsidP="003B52F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373303" w14:textId="77777777" w:rsidR="00720C45" w:rsidRPr="008A1645" w:rsidRDefault="00720C45" w:rsidP="008A1645">
    <w:pPr>
      <w:pStyle w:val="Header"/>
    </w:pPr>
    <w:r>
      <w:rPr>
        <w:noProof/>
        <w:lang w:eastAsia="en-AU"/>
      </w:rPr>
      <w:drawing>
        <wp:inline distT="0" distB="0" distL="0" distR="0" wp14:anchorId="56A3C5A7" wp14:editId="4DC2E0ED">
          <wp:extent cx="6905625" cy="438150"/>
          <wp:effectExtent l="0" t="0" r="9525" b="0"/>
          <wp:docPr id="15" name="Picture 15" descr="Decorative element" title="Decorative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5625" cy="438150"/>
                  </a:xfrm>
                  <a:prstGeom prst="rect">
                    <a:avLst/>
                  </a:prstGeom>
                  <a:noFill/>
                  <a:ln>
                    <a:noFill/>
                  </a:ln>
                </pic:spPr>
              </pic:pic>
            </a:graphicData>
          </a:graphic>
        </wp:inline>
      </w:drawing>
    </w:r>
  </w:p>
  <w:p w14:paraId="55ACF199" w14:textId="77777777" w:rsidR="00720C45" w:rsidRDefault="00720C4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E51F3" w14:textId="77777777" w:rsidR="00720C45" w:rsidRDefault="00720C45" w:rsidP="00D95828">
    <w:pPr>
      <w:pStyle w:val="Header"/>
      <w:tabs>
        <w:tab w:val="clear" w:pos="4680"/>
        <w:tab w:val="clear" w:pos="9360"/>
        <w:tab w:val="left" w:pos="8102"/>
        <w:tab w:val="right" w:pos="9064"/>
      </w:tabs>
    </w:pPr>
    <w:r>
      <w:rPr>
        <w:noProof/>
        <w:lang w:eastAsia="en-AU"/>
      </w:rPr>
      <w:drawing>
        <wp:anchor distT="0" distB="0" distL="114300" distR="114300" simplePos="0" relativeHeight="251657728" behindDoc="1" locked="0" layoutInCell="1" allowOverlap="1" wp14:anchorId="56A3C5A9" wp14:editId="499D1D94">
          <wp:simplePos x="0" y="0"/>
          <wp:positionH relativeFrom="column">
            <wp:posOffset>-908050</wp:posOffset>
          </wp:positionH>
          <wp:positionV relativeFrom="paragraph">
            <wp:posOffset>-442595</wp:posOffset>
          </wp:positionV>
          <wp:extent cx="7560310" cy="1645285"/>
          <wp:effectExtent l="0" t="0" r="2540" b="0"/>
          <wp:wrapNone/>
          <wp:docPr id="16" name="Picture 13" descr="Australian Government Department of the Prime Minister and Cabinet Defence of Best Practice Regulation 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g_server:WORK IN PROGRESS:14010 PM&amp;C Best Practice Regulation Report 2012-13:Word templates:cover.pdf"/>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560310" cy="1645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4A9C5C" w14:textId="77777777" w:rsidR="00720C45" w:rsidRDefault="00720C4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8EC9C0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8"/>
    <w:multiLevelType w:val="singleLevel"/>
    <w:tmpl w:val="A186FB8E"/>
    <w:lvl w:ilvl="0">
      <w:start w:val="1"/>
      <w:numFmt w:val="decimal"/>
      <w:pStyle w:val="ListNumber"/>
      <w:lvlText w:val="%1."/>
      <w:lvlJc w:val="left"/>
      <w:pPr>
        <w:tabs>
          <w:tab w:val="num" w:pos="360"/>
        </w:tabs>
        <w:ind w:left="360" w:hanging="360"/>
      </w:pPr>
    </w:lvl>
  </w:abstractNum>
  <w:abstractNum w:abstractNumId="2" w15:restartNumberingAfterBreak="0">
    <w:nsid w:val="FFFFFF89"/>
    <w:multiLevelType w:val="singleLevel"/>
    <w:tmpl w:val="E3722D7E"/>
    <w:lvl w:ilvl="0">
      <w:start w:val="1"/>
      <w:numFmt w:val="bullet"/>
      <w:lvlText w:val=""/>
      <w:lvlJc w:val="left"/>
      <w:pPr>
        <w:ind w:left="360" w:hanging="360"/>
      </w:pPr>
      <w:rPr>
        <w:rFonts w:ascii="Symbol" w:hAnsi="Symbol" w:hint="default"/>
        <w:color w:val="14708E"/>
      </w:rPr>
    </w:lvl>
  </w:abstractNum>
  <w:abstractNum w:abstractNumId="3" w15:restartNumberingAfterBreak="0">
    <w:nsid w:val="00D04AC9"/>
    <w:multiLevelType w:val="hybridMultilevel"/>
    <w:tmpl w:val="90DCCB1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15:restartNumberingAfterBreak="0">
    <w:nsid w:val="013048DF"/>
    <w:multiLevelType w:val="hybridMultilevel"/>
    <w:tmpl w:val="BD26DBF0"/>
    <w:lvl w:ilvl="0" w:tplc="8A9AC692">
      <w:numFmt w:val="bullet"/>
      <w:lvlText w:val="-"/>
      <w:lvlJc w:val="left"/>
      <w:pPr>
        <w:ind w:left="720" w:hanging="360"/>
      </w:pPr>
      <w:rPr>
        <w:rFonts w:ascii="Calibri" w:eastAsia="Cambria" w:hAnsi="Calibri"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07242F55"/>
    <w:multiLevelType w:val="hybridMultilevel"/>
    <w:tmpl w:val="286635A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08056096"/>
    <w:multiLevelType w:val="hybridMultilevel"/>
    <w:tmpl w:val="77E28ED6"/>
    <w:lvl w:ilvl="0" w:tplc="30023904">
      <w:start w:val="1"/>
      <w:numFmt w:val="decimal"/>
      <w:lvlText w:val="%1."/>
      <w:lvlJc w:val="left"/>
      <w:pPr>
        <w:ind w:left="720" w:hanging="360"/>
      </w:pPr>
      <w:rPr>
        <w:rFonts w:hint="default"/>
        <w:b/>
        <w:i w:val="0"/>
      </w:rPr>
    </w:lvl>
    <w:lvl w:ilvl="1" w:tplc="49E0823C">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F52470"/>
    <w:multiLevelType w:val="hybridMultilevel"/>
    <w:tmpl w:val="0882CC5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A8A0836"/>
    <w:multiLevelType w:val="hybridMultilevel"/>
    <w:tmpl w:val="7FF45B4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D6C2D64"/>
    <w:multiLevelType w:val="hybridMultilevel"/>
    <w:tmpl w:val="5B983AE0"/>
    <w:lvl w:ilvl="0" w:tplc="DAC0ADA0">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19410C09"/>
    <w:multiLevelType w:val="hybridMultilevel"/>
    <w:tmpl w:val="28CED38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1B606A51"/>
    <w:multiLevelType w:val="hybridMultilevel"/>
    <w:tmpl w:val="AC1C6272"/>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1DC83FB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772B09"/>
    <w:multiLevelType w:val="hybridMultilevel"/>
    <w:tmpl w:val="623CF87E"/>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14" w15:restartNumberingAfterBreak="0">
    <w:nsid w:val="22DA2EF1"/>
    <w:multiLevelType w:val="singleLevel"/>
    <w:tmpl w:val="DEA86906"/>
    <w:lvl w:ilvl="0">
      <w:start w:val="1"/>
      <w:numFmt w:val="bullet"/>
      <w:pStyle w:val="Tablebullets1stindent"/>
      <w:lvlText w:val=""/>
      <w:lvlJc w:val="left"/>
      <w:pPr>
        <w:ind w:left="644" w:hanging="360"/>
      </w:pPr>
      <w:rPr>
        <w:rFonts w:ascii="Symbol" w:hAnsi="Symbol" w:hint="default"/>
        <w:color w:val="F79646"/>
      </w:rPr>
    </w:lvl>
  </w:abstractNum>
  <w:abstractNum w:abstractNumId="15" w15:restartNumberingAfterBreak="0">
    <w:nsid w:val="22FF5B81"/>
    <w:multiLevelType w:val="hybridMultilevel"/>
    <w:tmpl w:val="FE70AC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2340781B"/>
    <w:multiLevelType w:val="hybridMultilevel"/>
    <w:tmpl w:val="726AC41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294214C9"/>
    <w:multiLevelType w:val="multilevel"/>
    <w:tmpl w:val="47504E52"/>
    <w:styleLink w:val="Bullets"/>
    <w:lvl w:ilvl="0">
      <w:start w:val="1"/>
      <w:numFmt w:val="bullet"/>
      <w:lvlText w:val=""/>
      <w:lvlJc w:val="left"/>
      <w:pPr>
        <w:ind w:left="360" w:hanging="360"/>
      </w:pPr>
      <w:rPr>
        <w:rFonts w:ascii="Symbol" w:hAnsi="Symbol" w:hint="default"/>
        <w:color w:val="E36C0A"/>
      </w:rPr>
    </w:lvl>
    <w:lvl w:ilvl="1">
      <w:start w:val="1"/>
      <w:numFmt w:val="bullet"/>
      <w:lvlText w:val=""/>
      <w:lvlJc w:val="left"/>
      <w:pPr>
        <w:tabs>
          <w:tab w:val="num" w:pos="567"/>
        </w:tabs>
        <w:ind w:left="567" w:hanging="283"/>
      </w:pPr>
      <w:rPr>
        <w:rFonts w:ascii="Symbol" w:hAnsi="Symbol" w:hint="default"/>
        <w:color w:val="0D6F8B"/>
      </w:rPr>
    </w:lvl>
    <w:lvl w:ilvl="2">
      <w:start w:val="1"/>
      <w:numFmt w:val="bullet"/>
      <w:lvlText w:val="•"/>
      <w:lvlJc w:val="left"/>
      <w:pPr>
        <w:tabs>
          <w:tab w:val="num" w:pos="284"/>
        </w:tabs>
        <w:ind w:left="284" w:hanging="284"/>
      </w:pPr>
      <w:rPr>
        <w:rFonts w:ascii="Cambria" w:hAnsi="Cambria" w:hint="default"/>
        <w:color w:val="45C7ED"/>
      </w:rPr>
    </w:lvl>
    <w:lvl w:ilvl="3">
      <w:start w:val="1"/>
      <w:numFmt w:val="bullet"/>
      <w:lvlText w:val="•"/>
      <w:lvlJc w:val="left"/>
      <w:pPr>
        <w:tabs>
          <w:tab w:val="num" w:pos="567"/>
        </w:tabs>
        <w:ind w:left="567" w:hanging="283"/>
      </w:pPr>
      <w:rPr>
        <w:rFonts w:ascii="Cambria" w:hAnsi="Cambria" w:hint="default"/>
        <w:color w:val="45C7ED"/>
      </w:rPr>
    </w:lvl>
    <w:lvl w:ilvl="4">
      <w:start w:val="1"/>
      <w:numFmt w:val="none"/>
      <w:lvlText w:val=""/>
      <w:lvlJc w:val="left"/>
      <w:pPr>
        <w:ind w:left="0" w:firstLine="0"/>
      </w:pPr>
      <w:rPr>
        <w:rFonts w:hint="default"/>
      </w:rPr>
    </w:lvl>
    <w:lvl w:ilvl="5">
      <w:start w:val="1"/>
      <w:numFmt w:val="bullet"/>
      <w:lvlText w:val="•"/>
      <w:lvlJc w:val="left"/>
      <w:pPr>
        <w:tabs>
          <w:tab w:val="num" w:pos="266"/>
        </w:tabs>
        <w:ind w:left="266" w:hanging="170"/>
      </w:pPr>
      <w:rPr>
        <w:rFonts w:ascii="Cambria" w:hAnsi="Cambria" w:hint="default"/>
        <w:color w:val="45C7ED"/>
      </w:rPr>
    </w:lvl>
    <w:lvl w:ilvl="6">
      <w:start w:val="1"/>
      <w:numFmt w:val="bullet"/>
      <w:lvlText w:val="•"/>
      <w:lvlJc w:val="left"/>
      <w:pPr>
        <w:tabs>
          <w:tab w:val="num" w:pos="437"/>
        </w:tabs>
        <w:ind w:left="437" w:hanging="171"/>
      </w:pPr>
      <w:rPr>
        <w:rFonts w:ascii="Cambria" w:hAnsi="Cambria" w:hint="default"/>
        <w:color w:val="45C7ED"/>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8" w15:restartNumberingAfterBreak="0">
    <w:nsid w:val="31275190"/>
    <w:multiLevelType w:val="hybridMultilevel"/>
    <w:tmpl w:val="AE06CE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37AA32B9"/>
    <w:multiLevelType w:val="hybridMultilevel"/>
    <w:tmpl w:val="4C40992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39610248"/>
    <w:multiLevelType w:val="hybridMultilevel"/>
    <w:tmpl w:val="D2E0898C"/>
    <w:lvl w:ilvl="0" w:tplc="0E9A8272">
      <w:start w:val="1"/>
      <w:numFmt w:val="bullet"/>
      <w:pStyle w:val="ListBullet"/>
      <w:lvlText w:val=""/>
      <w:lvlJc w:val="left"/>
      <w:pPr>
        <w:ind w:left="360" w:hanging="360"/>
      </w:pPr>
      <w:rPr>
        <w:rFonts w:ascii="Symbol" w:hAnsi="Symbol" w:hint="default"/>
        <w:color w:val="F7964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F4DEC"/>
    <w:multiLevelType w:val="hybridMultilevel"/>
    <w:tmpl w:val="3794B070"/>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75E1D6E"/>
    <w:multiLevelType w:val="multilevel"/>
    <w:tmpl w:val="D52A2368"/>
    <w:lvl w:ilvl="0">
      <w:start w:val="1"/>
      <w:numFmt w:val="bullet"/>
      <w:lvlText w:val="•"/>
      <w:lvlJc w:val="left"/>
      <w:pPr>
        <w:ind w:left="360" w:hanging="360"/>
      </w:pPr>
      <w:rPr>
        <w:rFonts w:ascii="Cambria" w:hAnsi="Cambria" w:hint="default"/>
        <w:color w:val="45C7ED"/>
        <w:sz w:val="16"/>
      </w:rPr>
    </w:lvl>
    <w:lvl w:ilvl="1">
      <w:start w:val="1"/>
      <w:numFmt w:val="bullet"/>
      <w:lvlText w:val="–"/>
      <w:lvlJc w:val="left"/>
      <w:pPr>
        <w:tabs>
          <w:tab w:val="num" w:pos="567"/>
        </w:tabs>
        <w:ind w:left="567" w:hanging="283"/>
      </w:pPr>
      <w:rPr>
        <w:rFonts w:ascii="Arial" w:hAnsi="Arial" w:hint="default"/>
        <w:color w:val="auto"/>
        <w:sz w:val="17"/>
      </w:rPr>
    </w:lvl>
    <w:lvl w:ilvl="2">
      <w:start w:val="1"/>
      <w:numFmt w:val="bullet"/>
      <w:lvlText w:val="•"/>
      <w:lvlJc w:val="left"/>
      <w:pPr>
        <w:tabs>
          <w:tab w:val="num" w:pos="851"/>
        </w:tabs>
        <w:ind w:left="851" w:hanging="284"/>
      </w:pPr>
      <w:rPr>
        <w:rFonts w:ascii="Gotham Rounded Book" w:hAnsi="Gotham Rounded Book" w:hint="default"/>
        <w:sz w:val="16"/>
      </w:rPr>
    </w:lvl>
    <w:lvl w:ilvl="3">
      <w:start w:val="1"/>
      <w:numFmt w:val="bullet"/>
      <w:lvlText w:val="–"/>
      <w:lvlJc w:val="left"/>
      <w:pPr>
        <w:tabs>
          <w:tab w:val="num" w:pos="1134"/>
        </w:tabs>
        <w:ind w:left="1134" w:hanging="283"/>
      </w:pPr>
      <w:rPr>
        <w:rFonts w:ascii="Arial" w:hAnsi="Arial" w:hint="default"/>
        <w:color w:val="auto"/>
        <w:sz w:val="17"/>
      </w:rPr>
    </w:lvl>
    <w:lvl w:ilvl="4">
      <w:start w:val="1"/>
      <w:numFmt w:val="bullet"/>
      <w:lvlText w:val="•"/>
      <w:lvlJc w:val="left"/>
      <w:pPr>
        <w:tabs>
          <w:tab w:val="num" w:pos="227"/>
        </w:tabs>
        <w:ind w:left="227" w:hanging="227"/>
      </w:pPr>
      <w:rPr>
        <w:rFonts w:ascii="Gotham Rounded Book" w:hAnsi="Gotham Rounded Book" w:hint="default"/>
        <w:sz w:val="16"/>
      </w:rPr>
    </w:lvl>
    <w:lvl w:ilvl="5">
      <w:start w:val="1"/>
      <w:numFmt w:val="bullet"/>
      <w:lvlText w:val="–"/>
      <w:lvlJc w:val="left"/>
      <w:pPr>
        <w:tabs>
          <w:tab w:val="num" w:pos="454"/>
        </w:tabs>
        <w:ind w:left="454" w:hanging="227"/>
      </w:pPr>
      <w:rPr>
        <w:rFonts w:ascii="Arial" w:hAnsi="Arial" w:hint="default"/>
        <w:color w:val="auto"/>
        <w:sz w:val="17"/>
      </w:rPr>
    </w:lvl>
    <w:lvl w:ilvl="6">
      <w:start w:val="1"/>
      <w:numFmt w:val="bullet"/>
      <w:lvlText w:val="•"/>
      <w:lvlJc w:val="left"/>
      <w:pPr>
        <w:tabs>
          <w:tab w:val="num" w:pos="680"/>
        </w:tabs>
        <w:ind w:left="680" w:hanging="226"/>
      </w:pPr>
      <w:rPr>
        <w:rFonts w:ascii="Gotham Rounded Book" w:hAnsi="Gotham Rounded Book" w:hint="default"/>
        <w:sz w:val="16"/>
      </w:rPr>
    </w:lvl>
    <w:lvl w:ilvl="7">
      <w:start w:val="1"/>
      <w:numFmt w:val="bullet"/>
      <w:lvlText w:val="–"/>
      <w:lvlJc w:val="left"/>
      <w:pPr>
        <w:tabs>
          <w:tab w:val="num" w:pos="907"/>
        </w:tabs>
        <w:ind w:left="907" w:hanging="227"/>
      </w:pPr>
      <w:rPr>
        <w:rFonts w:ascii="Arial" w:hAnsi="Arial" w:hint="default"/>
        <w:color w:val="auto"/>
        <w:sz w:val="17"/>
      </w:rPr>
    </w:lvl>
    <w:lvl w:ilvl="8">
      <w:start w:val="1"/>
      <w:numFmt w:val="none"/>
      <w:lvlText w:val=""/>
      <w:lvlJc w:val="left"/>
      <w:pPr>
        <w:tabs>
          <w:tab w:val="num" w:pos="0"/>
        </w:tabs>
        <w:ind w:left="0" w:firstLine="0"/>
      </w:pPr>
      <w:rPr>
        <w:rFonts w:hint="default"/>
      </w:rPr>
    </w:lvl>
  </w:abstractNum>
  <w:abstractNum w:abstractNumId="23" w15:restartNumberingAfterBreak="0">
    <w:nsid w:val="4F1523F7"/>
    <w:multiLevelType w:val="multilevel"/>
    <w:tmpl w:val="6BC6F2D0"/>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24" w15:restartNumberingAfterBreak="0">
    <w:nsid w:val="51C53CD0"/>
    <w:multiLevelType w:val="hybridMultilevel"/>
    <w:tmpl w:val="5AA6235C"/>
    <w:lvl w:ilvl="0" w:tplc="0C090001">
      <w:start w:val="1"/>
      <w:numFmt w:val="bullet"/>
      <w:lvlText w:val=""/>
      <w:lvlJc w:val="left"/>
      <w:pPr>
        <w:ind w:left="862" w:hanging="360"/>
      </w:pPr>
      <w:rPr>
        <w:rFonts w:ascii="Symbol" w:hAnsi="Symbol" w:hint="default"/>
      </w:rPr>
    </w:lvl>
    <w:lvl w:ilvl="1" w:tplc="0C090003" w:tentative="1">
      <w:start w:val="1"/>
      <w:numFmt w:val="bullet"/>
      <w:lvlText w:val="o"/>
      <w:lvlJc w:val="left"/>
      <w:pPr>
        <w:ind w:left="1582" w:hanging="360"/>
      </w:pPr>
      <w:rPr>
        <w:rFonts w:ascii="Courier New" w:hAnsi="Courier New" w:cs="Courier New" w:hint="default"/>
      </w:rPr>
    </w:lvl>
    <w:lvl w:ilvl="2" w:tplc="0C090005" w:tentative="1">
      <w:start w:val="1"/>
      <w:numFmt w:val="bullet"/>
      <w:lvlText w:val=""/>
      <w:lvlJc w:val="left"/>
      <w:pPr>
        <w:ind w:left="2302" w:hanging="360"/>
      </w:pPr>
      <w:rPr>
        <w:rFonts w:ascii="Wingdings" w:hAnsi="Wingdings" w:hint="default"/>
      </w:rPr>
    </w:lvl>
    <w:lvl w:ilvl="3" w:tplc="0C090001" w:tentative="1">
      <w:start w:val="1"/>
      <w:numFmt w:val="bullet"/>
      <w:lvlText w:val=""/>
      <w:lvlJc w:val="left"/>
      <w:pPr>
        <w:ind w:left="3022" w:hanging="360"/>
      </w:pPr>
      <w:rPr>
        <w:rFonts w:ascii="Symbol" w:hAnsi="Symbol" w:hint="default"/>
      </w:rPr>
    </w:lvl>
    <w:lvl w:ilvl="4" w:tplc="0C090003" w:tentative="1">
      <w:start w:val="1"/>
      <w:numFmt w:val="bullet"/>
      <w:lvlText w:val="o"/>
      <w:lvlJc w:val="left"/>
      <w:pPr>
        <w:ind w:left="3742" w:hanging="360"/>
      </w:pPr>
      <w:rPr>
        <w:rFonts w:ascii="Courier New" w:hAnsi="Courier New" w:cs="Courier New" w:hint="default"/>
      </w:rPr>
    </w:lvl>
    <w:lvl w:ilvl="5" w:tplc="0C090005" w:tentative="1">
      <w:start w:val="1"/>
      <w:numFmt w:val="bullet"/>
      <w:lvlText w:val=""/>
      <w:lvlJc w:val="left"/>
      <w:pPr>
        <w:ind w:left="4462" w:hanging="360"/>
      </w:pPr>
      <w:rPr>
        <w:rFonts w:ascii="Wingdings" w:hAnsi="Wingdings" w:hint="default"/>
      </w:rPr>
    </w:lvl>
    <w:lvl w:ilvl="6" w:tplc="0C090001" w:tentative="1">
      <w:start w:val="1"/>
      <w:numFmt w:val="bullet"/>
      <w:lvlText w:val=""/>
      <w:lvlJc w:val="left"/>
      <w:pPr>
        <w:ind w:left="5182" w:hanging="360"/>
      </w:pPr>
      <w:rPr>
        <w:rFonts w:ascii="Symbol" w:hAnsi="Symbol" w:hint="default"/>
      </w:rPr>
    </w:lvl>
    <w:lvl w:ilvl="7" w:tplc="0C090003" w:tentative="1">
      <w:start w:val="1"/>
      <w:numFmt w:val="bullet"/>
      <w:lvlText w:val="o"/>
      <w:lvlJc w:val="left"/>
      <w:pPr>
        <w:ind w:left="5902" w:hanging="360"/>
      </w:pPr>
      <w:rPr>
        <w:rFonts w:ascii="Courier New" w:hAnsi="Courier New" w:cs="Courier New" w:hint="default"/>
      </w:rPr>
    </w:lvl>
    <w:lvl w:ilvl="8" w:tplc="0C090005" w:tentative="1">
      <w:start w:val="1"/>
      <w:numFmt w:val="bullet"/>
      <w:lvlText w:val=""/>
      <w:lvlJc w:val="left"/>
      <w:pPr>
        <w:ind w:left="6622" w:hanging="360"/>
      </w:pPr>
      <w:rPr>
        <w:rFonts w:ascii="Wingdings" w:hAnsi="Wingdings" w:hint="default"/>
      </w:rPr>
    </w:lvl>
  </w:abstractNum>
  <w:abstractNum w:abstractNumId="25" w15:restartNumberingAfterBreak="0">
    <w:nsid w:val="56647883"/>
    <w:multiLevelType w:val="hybridMultilevel"/>
    <w:tmpl w:val="E89E7C26"/>
    <w:lvl w:ilvl="0" w:tplc="925C5CF0">
      <w:start w:val="1"/>
      <w:numFmt w:val="bullet"/>
      <w:lvlText w:val=""/>
      <w:lvlJc w:val="left"/>
      <w:pPr>
        <w:tabs>
          <w:tab w:val="num" w:pos="720"/>
        </w:tabs>
        <w:ind w:left="720" w:hanging="360"/>
      </w:pPr>
      <w:rPr>
        <w:rFonts w:ascii="Symbol" w:hAnsi="Symbol" w:hint="default"/>
        <w:color w:val="auto"/>
      </w:rPr>
    </w:lvl>
    <w:lvl w:ilvl="1" w:tplc="1AEAF566">
      <w:start w:val="1"/>
      <w:numFmt w:val="bullet"/>
      <w:lvlText w:val="o"/>
      <w:lvlJc w:val="left"/>
      <w:pPr>
        <w:tabs>
          <w:tab w:val="num" w:pos="1440"/>
        </w:tabs>
        <w:ind w:left="1440" w:hanging="360"/>
      </w:pPr>
      <w:rPr>
        <w:rFonts w:ascii="Courier New" w:hAnsi="Courier New" w:cs="Courier New" w:hint="default"/>
        <w:color w:val="auto"/>
      </w:rPr>
    </w:lvl>
    <w:lvl w:ilvl="2" w:tplc="0C090005">
      <w:start w:val="1"/>
      <w:numFmt w:val="bullet"/>
      <w:lvlText w:val=""/>
      <w:lvlJc w:val="left"/>
      <w:pPr>
        <w:tabs>
          <w:tab w:val="num" w:pos="2160"/>
        </w:tabs>
        <w:ind w:left="2160" w:hanging="360"/>
      </w:pPr>
      <w:rPr>
        <w:rFonts w:ascii="Wingdings" w:hAnsi="Wingdings" w:hint="default"/>
      </w:rPr>
    </w:lvl>
    <w:lvl w:ilvl="3" w:tplc="0C090001">
      <w:start w:val="1"/>
      <w:numFmt w:val="bullet"/>
      <w:lvlText w:val=""/>
      <w:lvlJc w:val="left"/>
      <w:pPr>
        <w:tabs>
          <w:tab w:val="num" w:pos="2880"/>
        </w:tabs>
        <w:ind w:left="2880" w:hanging="360"/>
      </w:pPr>
      <w:rPr>
        <w:rFonts w:ascii="Symbol" w:hAnsi="Symbol" w:hint="default"/>
      </w:rPr>
    </w:lvl>
    <w:lvl w:ilvl="4" w:tplc="2FBCC594">
      <w:start w:val="1"/>
      <w:numFmt w:val="bullet"/>
      <w:lvlText w:val="-"/>
      <w:lvlJc w:val="left"/>
      <w:pPr>
        <w:ind w:left="3600" w:hanging="360"/>
      </w:pPr>
      <w:rPr>
        <w:rFonts w:ascii="Calibri" w:eastAsia="Calibri" w:hAnsi="Calibri" w:cs="Calibri"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45D09"/>
    <w:multiLevelType w:val="hybridMultilevel"/>
    <w:tmpl w:val="14685D3C"/>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BC66B1B"/>
    <w:multiLevelType w:val="hybridMultilevel"/>
    <w:tmpl w:val="791E0EC8"/>
    <w:lvl w:ilvl="0" w:tplc="86CA608C">
      <w:start w:val="1"/>
      <w:numFmt w:val="bullet"/>
      <w:lvlText w:val=""/>
      <w:lvlJc w:val="left"/>
      <w:pPr>
        <w:ind w:left="360" w:hanging="360"/>
      </w:pPr>
      <w:rPr>
        <w:rFonts w:ascii="Symbol" w:hAnsi="Symbol" w:hint="default"/>
      </w:rPr>
    </w:lvl>
    <w:lvl w:ilvl="1" w:tplc="60702C44" w:tentative="1">
      <w:start w:val="1"/>
      <w:numFmt w:val="bullet"/>
      <w:lvlText w:val="o"/>
      <w:lvlJc w:val="left"/>
      <w:pPr>
        <w:ind w:left="1080" w:hanging="360"/>
      </w:pPr>
      <w:rPr>
        <w:rFonts w:ascii="Courier New" w:hAnsi="Courier New" w:cs="Courier New" w:hint="default"/>
      </w:rPr>
    </w:lvl>
    <w:lvl w:ilvl="2" w:tplc="AB44D55E" w:tentative="1">
      <w:start w:val="1"/>
      <w:numFmt w:val="bullet"/>
      <w:lvlText w:val=""/>
      <w:lvlJc w:val="left"/>
      <w:pPr>
        <w:ind w:left="1800" w:hanging="360"/>
      </w:pPr>
      <w:rPr>
        <w:rFonts w:ascii="Wingdings" w:hAnsi="Wingdings" w:hint="default"/>
      </w:rPr>
    </w:lvl>
    <w:lvl w:ilvl="3" w:tplc="27568406" w:tentative="1">
      <w:start w:val="1"/>
      <w:numFmt w:val="bullet"/>
      <w:lvlText w:val=""/>
      <w:lvlJc w:val="left"/>
      <w:pPr>
        <w:ind w:left="2520" w:hanging="360"/>
      </w:pPr>
      <w:rPr>
        <w:rFonts w:ascii="Symbol" w:hAnsi="Symbol" w:hint="default"/>
      </w:rPr>
    </w:lvl>
    <w:lvl w:ilvl="4" w:tplc="6A887900" w:tentative="1">
      <w:start w:val="1"/>
      <w:numFmt w:val="bullet"/>
      <w:lvlText w:val="o"/>
      <w:lvlJc w:val="left"/>
      <w:pPr>
        <w:ind w:left="3240" w:hanging="360"/>
      </w:pPr>
      <w:rPr>
        <w:rFonts w:ascii="Courier New" w:hAnsi="Courier New" w:cs="Courier New" w:hint="default"/>
      </w:rPr>
    </w:lvl>
    <w:lvl w:ilvl="5" w:tplc="5C56B852" w:tentative="1">
      <w:start w:val="1"/>
      <w:numFmt w:val="bullet"/>
      <w:lvlText w:val=""/>
      <w:lvlJc w:val="left"/>
      <w:pPr>
        <w:ind w:left="3960" w:hanging="360"/>
      </w:pPr>
      <w:rPr>
        <w:rFonts w:ascii="Wingdings" w:hAnsi="Wingdings" w:hint="default"/>
      </w:rPr>
    </w:lvl>
    <w:lvl w:ilvl="6" w:tplc="9A8675E4" w:tentative="1">
      <w:start w:val="1"/>
      <w:numFmt w:val="bullet"/>
      <w:lvlText w:val=""/>
      <w:lvlJc w:val="left"/>
      <w:pPr>
        <w:ind w:left="4680" w:hanging="360"/>
      </w:pPr>
      <w:rPr>
        <w:rFonts w:ascii="Symbol" w:hAnsi="Symbol" w:hint="default"/>
      </w:rPr>
    </w:lvl>
    <w:lvl w:ilvl="7" w:tplc="16CABE5E" w:tentative="1">
      <w:start w:val="1"/>
      <w:numFmt w:val="bullet"/>
      <w:lvlText w:val="o"/>
      <w:lvlJc w:val="left"/>
      <w:pPr>
        <w:ind w:left="5400" w:hanging="360"/>
      </w:pPr>
      <w:rPr>
        <w:rFonts w:ascii="Courier New" w:hAnsi="Courier New" w:cs="Courier New" w:hint="default"/>
      </w:rPr>
    </w:lvl>
    <w:lvl w:ilvl="8" w:tplc="A6F0BD08" w:tentative="1">
      <w:start w:val="1"/>
      <w:numFmt w:val="bullet"/>
      <w:lvlText w:val=""/>
      <w:lvlJc w:val="left"/>
      <w:pPr>
        <w:ind w:left="6120" w:hanging="360"/>
      </w:pPr>
      <w:rPr>
        <w:rFonts w:ascii="Wingdings" w:hAnsi="Wingdings" w:hint="default"/>
      </w:rPr>
    </w:lvl>
  </w:abstractNum>
  <w:abstractNum w:abstractNumId="28" w15:restartNumberingAfterBreak="0">
    <w:nsid w:val="70107864"/>
    <w:multiLevelType w:val="hybridMultilevel"/>
    <w:tmpl w:val="4A5AC31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2D11BEF"/>
    <w:multiLevelType w:val="hybridMultilevel"/>
    <w:tmpl w:val="A94C45EC"/>
    <w:lvl w:ilvl="0" w:tplc="0C090001">
      <w:start w:val="1"/>
      <w:numFmt w:val="decimal"/>
      <w:pStyle w:val="Chapternumber"/>
      <w:lvlText w:val="%1"/>
      <w:lvlJc w:val="left"/>
      <w:pPr>
        <w:ind w:left="360" w:hanging="360"/>
      </w:pPr>
      <w:rPr>
        <w:rFonts w:hint="default"/>
      </w:rPr>
    </w:lvl>
    <w:lvl w:ilvl="1" w:tplc="0C090003" w:tentative="1">
      <w:start w:val="1"/>
      <w:numFmt w:val="lowerLetter"/>
      <w:lvlText w:val="%2."/>
      <w:lvlJc w:val="left"/>
      <w:pPr>
        <w:ind w:left="1440" w:hanging="360"/>
      </w:pPr>
    </w:lvl>
    <w:lvl w:ilvl="2" w:tplc="0C090005" w:tentative="1">
      <w:start w:val="1"/>
      <w:numFmt w:val="lowerRoman"/>
      <w:lvlText w:val="%3."/>
      <w:lvlJc w:val="right"/>
      <w:pPr>
        <w:ind w:left="2160" w:hanging="180"/>
      </w:pPr>
    </w:lvl>
    <w:lvl w:ilvl="3" w:tplc="0C090001" w:tentative="1">
      <w:start w:val="1"/>
      <w:numFmt w:val="decimal"/>
      <w:lvlText w:val="%4."/>
      <w:lvlJc w:val="left"/>
      <w:pPr>
        <w:ind w:left="2880" w:hanging="360"/>
      </w:pPr>
    </w:lvl>
    <w:lvl w:ilvl="4" w:tplc="0C090003" w:tentative="1">
      <w:start w:val="1"/>
      <w:numFmt w:val="lowerLetter"/>
      <w:lvlText w:val="%5."/>
      <w:lvlJc w:val="left"/>
      <w:pPr>
        <w:ind w:left="3600" w:hanging="360"/>
      </w:pPr>
    </w:lvl>
    <w:lvl w:ilvl="5" w:tplc="0C090005" w:tentative="1">
      <w:start w:val="1"/>
      <w:numFmt w:val="lowerRoman"/>
      <w:lvlText w:val="%6."/>
      <w:lvlJc w:val="right"/>
      <w:pPr>
        <w:ind w:left="4320" w:hanging="180"/>
      </w:pPr>
    </w:lvl>
    <w:lvl w:ilvl="6" w:tplc="0C090001" w:tentative="1">
      <w:start w:val="1"/>
      <w:numFmt w:val="decimal"/>
      <w:lvlText w:val="%7."/>
      <w:lvlJc w:val="left"/>
      <w:pPr>
        <w:ind w:left="5040" w:hanging="360"/>
      </w:pPr>
    </w:lvl>
    <w:lvl w:ilvl="7" w:tplc="0C090003" w:tentative="1">
      <w:start w:val="1"/>
      <w:numFmt w:val="lowerLetter"/>
      <w:lvlText w:val="%8."/>
      <w:lvlJc w:val="left"/>
      <w:pPr>
        <w:ind w:left="5760" w:hanging="360"/>
      </w:pPr>
    </w:lvl>
    <w:lvl w:ilvl="8" w:tplc="0C090005" w:tentative="1">
      <w:start w:val="1"/>
      <w:numFmt w:val="lowerRoman"/>
      <w:lvlText w:val="%9."/>
      <w:lvlJc w:val="right"/>
      <w:pPr>
        <w:ind w:left="6480" w:hanging="180"/>
      </w:pPr>
    </w:lvl>
  </w:abstractNum>
  <w:abstractNum w:abstractNumId="30" w15:restartNumberingAfterBreak="0">
    <w:nsid w:val="74D55861"/>
    <w:multiLevelType w:val="hybridMultilevel"/>
    <w:tmpl w:val="103AECFE"/>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7A561065"/>
    <w:multiLevelType w:val="hybridMultilevel"/>
    <w:tmpl w:val="52A279E6"/>
    <w:lvl w:ilvl="0" w:tplc="0C09000F">
      <w:start w:val="1"/>
      <w:numFmt w:val="decimal"/>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23"/>
    <w:lvlOverride w:ilvl="0">
      <w:lvl w:ilvl="0">
        <w:numFmt w:val="decimal"/>
        <w:lvlText w:val=""/>
        <w:lvlJc w:val="left"/>
      </w:lvl>
    </w:lvlOverride>
    <w:lvlOverride w:ilvl="1">
      <w:lvl w:ilvl="1">
        <w:start w:val="1"/>
        <w:numFmt w:val="decimal"/>
        <w:lvlText w:val="%1.%2"/>
        <w:lvlJc w:val="left"/>
        <w:pPr>
          <w:tabs>
            <w:tab w:val="num" w:pos="1134"/>
          </w:tabs>
          <w:ind w:left="1134" w:hanging="1134"/>
        </w:pPr>
        <w:rPr>
          <w:rFonts w:cs="Times New Roman"/>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num>
  <w:num w:numId="2">
    <w:abstractNumId w:val="22"/>
  </w:num>
  <w:num w:numId="3">
    <w:abstractNumId w:val="6"/>
  </w:num>
  <w:num w:numId="4">
    <w:abstractNumId w:val="23"/>
  </w:num>
  <w:num w:numId="5">
    <w:abstractNumId w:val="29"/>
  </w:num>
  <w:num w:numId="6">
    <w:abstractNumId w:val="17"/>
  </w:num>
  <w:num w:numId="7">
    <w:abstractNumId w:val="4"/>
  </w:num>
  <w:num w:numId="8">
    <w:abstractNumId w:val="28"/>
  </w:num>
  <w:num w:numId="9">
    <w:abstractNumId w:val="7"/>
  </w:num>
  <w:num w:numId="10">
    <w:abstractNumId w:val="19"/>
  </w:num>
  <w:num w:numId="11">
    <w:abstractNumId w:val="27"/>
  </w:num>
  <w:num w:numId="12">
    <w:abstractNumId w:val="3"/>
  </w:num>
  <w:num w:numId="13">
    <w:abstractNumId w:val="18"/>
  </w:num>
  <w:num w:numId="14">
    <w:abstractNumId w:val="10"/>
  </w:num>
  <w:num w:numId="15">
    <w:abstractNumId w:val="5"/>
  </w:num>
  <w:num w:numId="16">
    <w:abstractNumId w:val="9"/>
  </w:num>
  <w:num w:numId="17">
    <w:abstractNumId w:val="2"/>
  </w:num>
  <w:num w:numId="18">
    <w:abstractNumId w:val="1"/>
  </w:num>
  <w:num w:numId="19">
    <w:abstractNumId w:val="1"/>
    <w:lvlOverride w:ilvl="0">
      <w:startOverride w:val="1"/>
    </w:lvlOverride>
  </w:num>
  <w:num w:numId="20">
    <w:abstractNumId w:val="20"/>
  </w:num>
  <w:num w:numId="21">
    <w:abstractNumId w:val="14"/>
  </w:num>
  <w:num w:numId="22">
    <w:abstractNumId w:val="0"/>
  </w:num>
  <w:num w:numId="23">
    <w:abstractNumId w:val="12"/>
  </w:num>
  <w:num w:numId="24">
    <w:abstractNumId w:val="31"/>
    <w:lvlOverride w:ilvl="0">
      <w:startOverride w:val="1"/>
    </w:lvlOverride>
    <w:lvlOverride w:ilvl="1"/>
    <w:lvlOverride w:ilvl="2"/>
    <w:lvlOverride w:ilvl="3"/>
    <w:lvlOverride w:ilvl="4"/>
    <w:lvlOverride w:ilvl="5"/>
    <w:lvlOverride w:ilvl="6"/>
    <w:lvlOverride w:ilvl="7"/>
    <w:lvlOverride w:ilvl="8"/>
  </w:num>
  <w:num w:numId="25">
    <w:abstractNumId w:val="21"/>
  </w:num>
  <w:num w:numId="26">
    <w:abstractNumId w:val="30"/>
  </w:num>
  <w:num w:numId="27">
    <w:abstractNumId w:val="26"/>
  </w:num>
  <w:num w:numId="28">
    <w:abstractNumId w:val="11"/>
  </w:num>
  <w:num w:numId="29">
    <w:abstractNumId w:val="16"/>
  </w:num>
  <w:num w:numId="30">
    <w:abstractNumId w:val="8"/>
  </w:num>
  <w:num w:numId="31">
    <w:abstractNumId w:val="25"/>
  </w:num>
  <w:num w:numId="32">
    <w:abstractNumId w:val="15"/>
  </w:num>
  <w:num w:numId="33">
    <w:abstractNumId w:val="2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69D"/>
    <w:rsid w:val="0000078B"/>
    <w:rsid w:val="000026D4"/>
    <w:rsid w:val="000041DC"/>
    <w:rsid w:val="000043FB"/>
    <w:rsid w:val="00010776"/>
    <w:rsid w:val="00010A13"/>
    <w:rsid w:val="00010B24"/>
    <w:rsid w:val="00012928"/>
    <w:rsid w:val="00013C05"/>
    <w:rsid w:val="00015A86"/>
    <w:rsid w:val="00016298"/>
    <w:rsid w:val="000169F8"/>
    <w:rsid w:val="00016C3A"/>
    <w:rsid w:val="000230F3"/>
    <w:rsid w:val="00025493"/>
    <w:rsid w:val="000272BD"/>
    <w:rsid w:val="00027FCE"/>
    <w:rsid w:val="000307FD"/>
    <w:rsid w:val="00031F0C"/>
    <w:rsid w:val="00032FC1"/>
    <w:rsid w:val="00033027"/>
    <w:rsid w:val="00034E23"/>
    <w:rsid w:val="00037010"/>
    <w:rsid w:val="000403F1"/>
    <w:rsid w:val="000418F6"/>
    <w:rsid w:val="000436AF"/>
    <w:rsid w:val="0004563F"/>
    <w:rsid w:val="00045B03"/>
    <w:rsid w:val="00045CD2"/>
    <w:rsid w:val="00051189"/>
    <w:rsid w:val="00051B61"/>
    <w:rsid w:val="0005314C"/>
    <w:rsid w:val="00054556"/>
    <w:rsid w:val="00060262"/>
    <w:rsid w:val="000606A0"/>
    <w:rsid w:val="00060B89"/>
    <w:rsid w:val="00061356"/>
    <w:rsid w:val="00061BF4"/>
    <w:rsid w:val="00061FA9"/>
    <w:rsid w:val="00062230"/>
    <w:rsid w:val="00063A5A"/>
    <w:rsid w:val="000640B3"/>
    <w:rsid w:val="00064381"/>
    <w:rsid w:val="000646E5"/>
    <w:rsid w:val="0006541D"/>
    <w:rsid w:val="00066FF8"/>
    <w:rsid w:val="0007280F"/>
    <w:rsid w:val="000749C5"/>
    <w:rsid w:val="00076BA6"/>
    <w:rsid w:val="000775EB"/>
    <w:rsid w:val="00080878"/>
    <w:rsid w:val="00081B37"/>
    <w:rsid w:val="000841B0"/>
    <w:rsid w:val="0008446F"/>
    <w:rsid w:val="000859C5"/>
    <w:rsid w:val="00086A4C"/>
    <w:rsid w:val="0009015D"/>
    <w:rsid w:val="0009057F"/>
    <w:rsid w:val="00090B8D"/>
    <w:rsid w:val="000915A2"/>
    <w:rsid w:val="00092724"/>
    <w:rsid w:val="00095546"/>
    <w:rsid w:val="00096C17"/>
    <w:rsid w:val="00096C81"/>
    <w:rsid w:val="000972C5"/>
    <w:rsid w:val="0009792A"/>
    <w:rsid w:val="000A0882"/>
    <w:rsid w:val="000A1315"/>
    <w:rsid w:val="000B50AA"/>
    <w:rsid w:val="000B59D5"/>
    <w:rsid w:val="000C31DC"/>
    <w:rsid w:val="000C6452"/>
    <w:rsid w:val="000D0ECF"/>
    <w:rsid w:val="000D1B9A"/>
    <w:rsid w:val="000D280B"/>
    <w:rsid w:val="000D61F3"/>
    <w:rsid w:val="000D7181"/>
    <w:rsid w:val="000D749A"/>
    <w:rsid w:val="000D7DBA"/>
    <w:rsid w:val="000E034A"/>
    <w:rsid w:val="000E0F1F"/>
    <w:rsid w:val="000E13A5"/>
    <w:rsid w:val="000E21F5"/>
    <w:rsid w:val="000E2F53"/>
    <w:rsid w:val="000E3360"/>
    <w:rsid w:val="000E43D3"/>
    <w:rsid w:val="000E5E66"/>
    <w:rsid w:val="000E6DB5"/>
    <w:rsid w:val="000E7A72"/>
    <w:rsid w:val="000F2C5A"/>
    <w:rsid w:val="000F3017"/>
    <w:rsid w:val="000F6077"/>
    <w:rsid w:val="000F7EB1"/>
    <w:rsid w:val="0010037B"/>
    <w:rsid w:val="001003E0"/>
    <w:rsid w:val="00104826"/>
    <w:rsid w:val="00105C72"/>
    <w:rsid w:val="00105F30"/>
    <w:rsid w:val="001065C5"/>
    <w:rsid w:val="001105DF"/>
    <w:rsid w:val="00113501"/>
    <w:rsid w:val="00116350"/>
    <w:rsid w:val="001167F0"/>
    <w:rsid w:val="00120110"/>
    <w:rsid w:val="00120790"/>
    <w:rsid w:val="00120890"/>
    <w:rsid w:val="0012163E"/>
    <w:rsid w:val="00122594"/>
    <w:rsid w:val="00126C27"/>
    <w:rsid w:val="00127B73"/>
    <w:rsid w:val="0013041D"/>
    <w:rsid w:val="00130ADC"/>
    <w:rsid w:val="00131257"/>
    <w:rsid w:val="00133DE8"/>
    <w:rsid w:val="00133FAD"/>
    <w:rsid w:val="001341D4"/>
    <w:rsid w:val="001345DB"/>
    <w:rsid w:val="00140218"/>
    <w:rsid w:val="00140901"/>
    <w:rsid w:val="001419BF"/>
    <w:rsid w:val="00144255"/>
    <w:rsid w:val="00146BB7"/>
    <w:rsid w:val="00152C6F"/>
    <w:rsid w:val="00153DC0"/>
    <w:rsid w:val="00155464"/>
    <w:rsid w:val="0015564B"/>
    <w:rsid w:val="001629D4"/>
    <w:rsid w:val="0016375A"/>
    <w:rsid w:val="00165AB5"/>
    <w:rsid w:val="00166606"/>
    <w:rsid w:val="0017225F"/>
    <w:rsid w:val="00180492"/>
    <w:rsid w:val="00180664"/>
    <w:rsid w:val="00180C7C"/>
    <w:rsid w:val="00180CA5"/>
    <w:rsid w:val="00182443"/>
    <w:rsid w:val="001829A0"/>
    <w:rsid w:val="001832F6"/>
    <w:rsid w:val="001836AF"/>
    <w:rsid w:val="001856F7"/>
    <w:rsid w:val="00191F5F"/>
    <w:rsid w:val="001934B1"/>
    <w:rsid w:val="001939C8"/>
    <w:rsid w:val="00196790"/>
    <w:rsid w:val="00197074"/>
    <w:rsid w:val="00197120"/>
    <w:rsid w:val="001A0954"/>
    <w:rsid w:val="001A1088"/>
    <w:rsid w:val="001A1F1E"/>
    <w:rsid w:val="001A2271"/>
    <w:rsid w:val="001A4D2F"/>
    <w:rsid w:val="001A5C44"/>
    <w:rsid w:val="001B0065"/>
    <w:rsid w:val="001B0475"/>
    <w:rsid w:val="001B295C"/>
    <w:rsid w:val="001B318B"/>
    <w:rsid w:val="001B7F64"/>
    <w:rsid w:val="001C0FC4"/>
    <w:rsid w:val="001C4768"/>
    <w:rsid w:val="001C4EBA"/>
    <w:rsid w:val="001C6412"/>
    <w:rsid w:val="001D1AA8"/>
    <w:rsid w:val="001D329D"/>
    <w:rsid w:val="001E00FD"/>
    <w:rsid w:val="001E0297"/>
    <w:rsid w:val="001E17AD"/>
    <w:rsid w:val="001E20A9"/>
    <w:rsid w:val="001E2D7F"/>
    <w:rsid w:val="001E3D9A"/>
    <w:rsid w:val="001E4391"/>
    <w:rsid w:val="001E516E"/>
    <w:rsid w:val="001E64F0"/>
    <w:rsid w:val="001E6EFB"/>
    <w:rsid w:val="001E77CD"/>
    <w:rsid w:val="001F13DC"/>
    <w:rsid w:val="001F1A00"/>
    <w:rsid w:val="001F23B0"/>
    <w:rsid w:val="001F3098"/>
    <w:rsid w:val="001F392F"/>
    <w:rsid w:val="001F4914"/>
    <w:rsid w:val="001F4B5A"/>
    <w:rsid w:val="001F5A01"/>
    <w:rsid w:val="001F5BF8"/>
    <w:rsid w:val="001F61AE"/>
    <w:rsid w:val="00201922"/>
    <w:rsid w:val="00202058"/>
    <w:rsid w:val="00202AE0"/>
    <w:rsid w:val="002036A2"/>
    <w:rsid w:val="00207ADC"/>
    <w:rsid w:val="00207CA3"/>
    <w:rsid w:val="00210AA4"/>
    <w:rsid w:val="00213350"/>
    <w:rsid w:val="0021476E"/>
    <w:rsid w:val="00216C27"/>
    <w:rsid w:val="00220271"/>
    <w:rsid w:val="00221568"/>
    <w:rsid w:val="002247D8"/>
    <w:rsid w:val="00224D47"/>
    <w:rsid w:val="00225559"/>
    <w:rsid w:val="00231669"/>
    <w:rsid w:val="002320EA"/>
    <w:rsid w:val="00233957"/>
    <w:rsid w:val="00233EF2"/>
    <w:rsid w:val="00234BC8"/>
    <w:rsid w:val="00235A3A"/>
    <w:rsid w:val="00235FC7"/>
    <w:rsid w:val="002369C8"/>
    <w:rsid w:val="00237A7C"/>
    <w:rsid w:val="002406DF"/>
    <w:rsid w:val="00240BCD"/>
    <w:rsid w:val="00240CA9"/>
    <w:rsid w:val="00240F2D"/>
    <w:rsid w:val="002417FE"/>
    <w:rsid w:val="00245B4D"/>
    <w:rsid w:val="00246EE1"/>
    <w:rsid w:val="0024780E"/>
    <w:rsid w:val="00250596"/>
    <w:rsid w:val="00252FF5"/>
    <w:rsid w:val="00253BA3"/>
    <w:rsid w:val="00254E63"/>
    <w:rsid w:val="00257CEE"/>
    <w:rsid w:val="00261442"/>
    <w:rsid w:val="00266115"/>
    <w:rsid w:val="002674FC"/>
    <w:rsid w:val="0027084F"/>
    <w:rsid w:val="002731CA"/>
    <w:rsid w:val="00273A38"/>
    <w:rsid w:val="00274B74"/>
    <w:rsid w:val="00276859"/>
    <w:rsid w:val="0027761E"/>
    <w:rsid w:val="00277808"/>
    <w:rsid w:val="002846EE"/>
    <w:rsid w:val="00284D5E"/>
    <w:rsid w:val="00287169"/>
    <w:rsid w:val="002879C3"/>
    <w:rsid w:val="002904FB"/>
    <w:rsid w:val="002907DB"/>
    <w:rsid w:val="00294D97"/>
    <w:rsid w:val="00296DF2"/>
    <w:rsid w:val="00297CD0"/>
    <w:rsid w:val="002A5A8C"/>
    <w:rsid w:val="002B1258"/>
    <w:rsid w:val="002B13BF"/>
    <w:rsid w:val="002B25F3"/>
    <w:rsid w:val="002B4A6F"/>
    <w:rsid w:val="002B7919"/>
    <w:rsid w:val="002C2852"/>
    <w:rsid w:val="002C3B32"/>
    <w:rsid w:val="002C3FDC"/>
    <w:rsid w:val="002C717F"/>
    <w:rsid w:val="002C7624"/>
    <w:rsid w:val="002D0080"/>
    <w:rsid w:val="002D06F0"/>
    <w:rsid w:val="002D08E2"/>
    <w:rsid w:val="002D3885"/>
    <w:rsid w:val="002D3DAE"/>
    <w:rsid w:val="002D3EC4"/>
    <w:rsid w:val="002D4A6C"/>
    <w:rsid w:val="002D536F"/>
    <w:rsid w:val="002D5FBA"/>
    <w:rsid w:val="002D6440"/>
    <w:rsid w:val="002D6A79"/>
    <w:rsid w:val="002D6ABC"/>
    <w:rsid w:val="002E020E"/>
    <w:rsid w:val="002E0C44"/>
    <w:rsid w:val="002E18E0"/>
    <w:rsid w:val="002E43AC"/>
    <w:rsid w:val="002E5FA8"/>
    <w:rsid w:val="002E6351"/>
    <w:rsid w:val="002E6BF8"/>
    <w:rsid w:val="002F723B"/>
    <w:rsid w:val="0030048E"/>
    <w:rsid w:val="00304E9B"/>
    <w:rsid w:val="00305D87"/>
    <w:rsid w:val="00307473"/>
    <w:rsid w:val="003110A7"/>
    <w:rsid w:val="003114F0"/>
    <w:rsid w:val="003117D0"/>
    <w:rsid w:val="0031239E"/>
    <w:rsid w:val="00316D11"/>
    <w:rsid w:val="003205EC"/>
    <w:rsid w:val="00323103"/>
    <w:rsid w:val="00323F57"/>
    <w:rsid w:val="00323F95"/>
    <w:rsid w:val="00325635"/>
    <w:rsid w:val="0032750F"/>
    <w:rsid w:val="00327EFB"/>
    <w:rsid w:val="00330D57"/>
    <w:rsid w:val="00330DA3"/>
    <w:rsid w:val="003311B7"/>
    <w:rsid w:val="003321B1"/>
    <w:rsid w:val="003359EB"/>
    <w:rsid w:val="0034101C"/>
    <w:rsid w:val="003414F8"/>
    <w:rsid w:val="003421DE"/>
    <w:rsid w:val="00342DCD"/>
    <w:rsid w:val="00344C5B"/>
    <w:rsid w:val="00345ADC"/>
    <w:rsid w:val="003460DC"/>
    <w:rsid w:val="00350F35"/>
    <w:rsid w:val="003526A9"/>
    <w:rsid w:val="0035281C"/>
    <w:rsid w:val="00354504"/>
    <w:rsid w:val="0035512F"/>
    <w:rsid w:val="00356C70"/>
    <w:rsid w:val="00357988"/>
    <w:rsid w:val="003605CA"/>
    <w:rsid w:val="003613EC"/>
    <w:rsid w:val="0036299D"/>
    <w:rsid w:val="003630E6"/>
    <w:rsid w:val="003643B3"/>
    <w:rsid w:val="00365614"/>
    <w:rsid w:val="00370955"/>
    <w:rsid w:val="00374897"/>
    <w:rsid w:val="00374D1C"/>
    <w:rsid w:val="00375B3E"/>
    <w:rsid w:val="003769C1"/>
    <w:rsid w:val="00376B7A"/>
    <w:rsid w:val="003800CE"/>
    <w:rsid w:val="003810B5"/>
    <w:rsid w:val="0038447C"/>
    <w:rsid w:val="003854A0"/>
    <w:rsid w:val="00386C17"/>
    <w:rsid w:val="0038783F"/>
    <w:rsid w:val="00397016"/>
    <w:rsid w:val="003A2C90"/>
    <w:rsid w:val="003A7E59"/>
    <w:rsid w:val="003B1624"/>
    <w:rsid w:val="003B52FC"/>
    <w:rsid w:val="003B757A"/>
    <w:rsid w:val="003B75E8"/>
    <w:rsid w:val="003B7C41"/>
    <w:rsid w:val="003C00F3"/>
    <w:rsid w:val="003C08AA"/>
    <w:rsid w:val="003C129B"/>
    <w:rsid w:val="003C223C"/>
    <w:rsid w:val="003C327A"/>
    <w:rsid w:val="003C7D29"/>
    <w:rsid w:val="003D11C0"/>
    <w:rsid w:val="003D2153"/>
    <w:rsid w:val="003D3129"/>
    <w:rsid w:val="003D40D2"/>
    <w:rsid w:val="003D7702"/>
    <w:rsid w:val="003E190D"/>
    <w:rsid w:val="003E4241"/>
    <w:rsid w:val="003E551D"/>
    <w:rsid w:val="003E5DAB"/>
    <w:rsid w:val="003E7CCF"/>
    <w:rsid w:val="003F1373"/>
    <w:rsid w:val="003F4868"/>
    <w:rsid w:val="003F54D5"/>
    <w:rsid w:val="003F6264"/>
    <w:rsid w:val="003F7B06"/>
    <w:rsid w:val="00400EE4"/>
    <w:rsid w:val="004015C2"/>
    <w:rsid w:val="0040260B"/>
    <w:rsid w:val="00403EA9"/>
    <w:rsid w:val="00406326"/>
    <w:rsid w:val="00410120"/>
    <w:rsid w:val="00410BDE"/>
    <w:rsid w:val="004111F8"/>
    <w:rsid w:val="00411E3F"/>
    <w:rsid w:val="004139EE"/>
    <w:rsid w:val="00413DE0"/>
    <w:rsid w:val="004159B7"/>
    <w:rsid w:val="00416BE5"/>
    <w:rsid w:val="004210FB"/>
    <w:rsid w:val="0042550D"/>
    <w:rsid w:val="00426032"/>
    <w:rsid w:val="0043041B"/>
    <w:rsid w:val="0043459C"/>
    <w:rsid w:val="004354D0"/>
    <w:rsid w:val="0043723B"/>
    <w:rsid w:val="00437291"/>
    <w:rsid w:val="00442044"/>
    <w:rsid w:val="0044302F"/>
    <w:rsid w:val="004440C0"/>
    <w:rsid w:val="00445377"/>
    <w:rsid w:val="00447D68"/>
    <w:rsid w:val="0045143F"/>
    <w:rsid w:val="0045585F"/>
    <w:rsid w:val="00455E56"/>
    <w:rsid w:val="00456BF3"/>
    <w:rsid w:val="00461C06"/>
    <w:rsid w:val="00463FF8"/>
    <w:rsid w:val="00470688"/>
    <w:rsid w:val="004719A3"/>
    <w:rsid w:val="00471A15"/>
    <w:rsid w:val="00474E81"/>
    <w:rsid w:val="0047555C"/>
    <w:rsid w:val="004758DC"/>
    <w:rsid w:val="00475FCF"/>
    <w:rsid w:val="00476FA2"/>
    <w:rsid w:val="00477140"/>
    <w:rsid w:val="00477EDF"/>
    <w:rsid w:val="00482C62"/>
    <w:rsid w:val="0048329A"/>
    <w:rsid w:val="00483568"/>
    <w:rsid w:val="00491485"/>
    <w:rsid w:val="00491FE6"/>
    <w:rsid w:val="00495364"/>
    <w:rsid w:val="0049722F"/>
    <w:rsid w:val="00497236"/>
    <w:rsid w:val="00497754"/>
    <w:rsid w:val="004977B3"/>
    <w:rsid w:val="004A013F"/>
    <w:rsid w:val="004A0A15"/>
    <w:rsid w:val="004A14A1"/>
    <w:rsid w:val="004A1719"/>
    <w:rsid w:val="004A5BE6"/>
    <w:rsid w:val="004A67C3"/>
    <w:rsid w:val="004A6EC6"/>
    <w:rsid w:val="004A7986"/>
    <w:rsid w:val="004A7A8B"/>
    <w:rsid w:val="004B050A"/>
    <w:rsid w:val="004B05DC"/>
    <w:rsid w:val="004B1948"/>
    <w:rsid w:val="004B23CE"/>
    <w:rsid w:val="004B242A"/>
    <w:rsid w:val="004B315B"/>
    <w:rsid w:val="004B466A"/>
    <w:rsid w:val="004C0613"/>
    <w:rsid w:val="004C069D"/>
    <w:rsid w:val="004C0CCC"/>
    <w:rsid w:val="004C3CBF"/>
    <w:rsid w:val="004C3DBE"/>
    <w:rsid w:val="004C6614"/>
    <w:rsid w:val="004C7E63"/>
    <w:rsid w:val="004D03B4"/>
    <w:rsid w:val="004D37AE"/>
    <w:rsid w:val="004D6730"/>
    <w:rsid w:val="004D71E4"/>
    <w:rsid w:val="004E0CD3"/>
    <w:rsid w:val="004E3B3C"/>
    <w:rsid w:val="004E3FFE"/>
    <w:rsid w:val="004E5727"/>
    <w:rsid w:val="004E7877"/>
    <w:rsid w:val="004E7F70"/>
    <w:rsid w:val="004F40FD"/>
    <w:rsid w:val="004F5076"/>
    <w:rsid w:val="004F600A"/>
    <w:rsid w:val="004F7C8F"/>
    <w:rsid w:val="00500F93"/>
    <w:rsid w:val="00503017"/>
    <w:rsid w:val="005048D7"/>
    <w:rsid w:val="00506984"/>
    <w:rsid w:val="00512DDE"/>
    <w:rsid w:val="00514270"/>
    <w:rsid w:val="0051695E"/>
    <w:rsid w:val="00520828"/>
    <w:rsid w:val="005215ED"/>
    <w:rsid w:val="00522005"/>
    <w:rsid w:val="0052236E"/>
    <w:rsid w:val="0052457C"/>
    <w:rsid w:val="00525305"/>
    <w:rsid w:val="005259DA"/>
    <w:rsid w:val="0052632F"/>
    <w:rsid w:val="00530755"/>
    <w:rsid w:val="00530827"/>
    <w:rsid w:val="005311DB"/>
    <w:rsid w:val="00532DE4"/>
    <w:rsid w:val="00534ADF"/>
    <w:rsid w:val="0053516D"/>
    <w:rsid w:val="0054233A"/>
    <w:rsid w:val="005428F4"/>
    <w:rsid w:val="00542F25"/>
    <w:rsid w:val="00547072"/>
    <w:rsid w:val="0055071A"/>
    <w:rsid w:val="00551791"/>
    <w:rsid w:val="005537F7"/>
    <w:rsid w:val="0055427A"/>
    <w:rsid w:val="0055567A"/>
    <w:rsid w:val="0055590C"/>
    <w:rsid w:val="0055594E"/>
    <w:rsid w:val="00557FB5"/>
    <w:rsid w:val="0056090A"/>
    <w:rsid w:val="00560F00"/>
    <w:rsid w:val="0056568D"/>
    <w:rsid w:val="00567DC8"/>
    <w:rsid w:val="0057550D"/>
    <w:rsid w:val="00575BB9"/>
    <w:rsid w:val="005765A5"/>
    <w:rsid w:val="005765D8"/>
    <w:rsid w:val="005853B8"/>
    <w:rsid w:val="00586DF3"/>
    <w:rsid w:val="005872C2"/>
    <w:rsid w:val="005879AC"/>
    <w:rsid w:val="00590336"/>
    <w:rsid w:val="005903F1"/>
    <w:rsid w:val="005906B0"/>
    <w:rsid w:val="00590E37"/>
    <w:rsid w:val="0059121A"/>
    <w:rsid w:val="005939DD"/>
    <w:rsid w:val="00593F8F"/>
    <w:rsid w:val="00594E23"/>
    <w:rsid w:val="00595649"/>
    <w:rsid w:val="005958CA"/>
    <w:rsid w:val="00596053"/>
    <w:rsid w:val="00596B24"/>
    <w:rsid w:val="005A0B0B"/>
    <w:rsid w:val="005A2269"/>
    <w:rsid w:val="005A3507"/>
    <w:rsid w:val="005A382A"/>
    <w:rsid w:val="005A436D"/>
    <w:rsid w:val="005A5B12"/>
    <w:rsid w:val="005A6507"/>
    <w:rsid w:val="005B1403"/>
    <w:rsid w:val="005B2D21"/>
    <w:rsid w:val="005B4C95"/>
    <w:rsid w:val="005B56D9"/>
    <w:rsid w:val="005B69AF"/>
    <w:rsid w:val="005B6C38"/>
    <w:rsid w:val="005C3DBB"/>
    <w:rsid w:val="005C5F75"/>
    <w:rsid w:val="005C661F"/>
    <w:rsid w:val="005D0496"/>
    <w:rsid w:val="005D12B7"/>
    <w:rsid w:val="005D1DA9"/>
    <w:rsid w:val="005D2AAF"/>
    <w:rsid w:val="005D2CB4"/>
    <w:rsid w:val="005D3657"/>
    <w:rsid w:val="005D5B5F"/>
    <w:rsid w:val="005E0C11"/>
    <w:rsid w:val="005E28C3"/>
    <w:rsid w:val="005E374D"/>
    <w:rsid w:val="005E3B33"/>
    <w:rsid w:val="005E3E81"/>
    <w:rsid w:val="005F00A1"/>
    <w:rsid w:val="005F0D98"/>
    <w:rsid w:val="005F4220"/>
    <w:rsid w:val="006015D2"/>
    <w:rsid w:val="00602A5F"/>
    <w:rsid w:val="00602AAE"/>
    <w:rsid w:val="00607F7F"/>
    <w:rsid w:val="0061026F"/>
    <w:rsid w:val="00610A55"/>
    <w:rsid w:val="00610C52"/>
    <w:rsid w:val="006117E5"/>
    <w:rsid w:val="00612226"/>
    <w:rsid w:val="00614536"/>
    <w:rsid w:val="00625BC0"/>
    <w:rsid w:val="00627AA6"/>
    <w:rsid w:val="00630F6B"/>
    <w:rsid w:val="00631829"/>
    <w:rsid w:val="00633565"/>
    <w:rsid w:val="00634BF8"/>
    <w:rsid w:val="00636CF8"/>
    <w:rsid w:val="006407B1"/>
    <w:rsid w:val="0064113A"/>
    <w:rsid w:val="0064310D"/>
    <w:rsid w:val="00644C4A"/>
    <w:rsid w:val="006456F6"/>
    <w:rsid w:val="006475B7"/>
    <w:rsid w:val="006518DC"/>
    <w:rsid w:val="00651E39"/>
    <w:rsid w:val="00651F5B"/>
    <w:rsid w:val="006525E5"/>
    <w:rsid w:val="00660901"/>
    <w:rsid w:val="00660D25"/>
    <w:rsid w:val="00662539"/>
    <w:rsid w:val="00663BBE"/>
    <w:rsid w:val="00664159"/>
    <w:rsid w:val="00665043"/>
    <w:rsid w:val="00666740"/>
    <w:rsid w:val="006669E1"/>
    <w:rsid w:val="00666EBD"/>
    <w:rsid w:val="0067086D"/>
    <w:rsid w:val="00671664"/>
    <w:rsid w:val="006730CC"/>
    <w:rsid w:val="006754E5"/>
    <w:rsid w:val="00675A7C"/>
    <w:rsid w:val="00676B64"/>
    <w:rsid w:val="006778B3"/>
    <w:rsid w:val="006819F1"/>
    <w:rsid w:val="006838CA"/>
    <w:rsid w:val="00683A75"/>
    <w:rsid w:val="00685607"/>
    <w:rsid w:val="0068611B"/>
    <w:rsid w:val="00686906"/>
    <w:rsid w:val="00691804"/>
    <w:rsid w:val="0069262A"/>
    <w:rsid w:val="00695E2D"/>
    <w:rsid w:val="0069664C"/>
    <w:rsid w:val="00697214"/>
    <w:rsid w:val="006A155A"/>
    <w:rsid w:val="006A2D50"/>
    <w:rsid w:val="006A4CEC"/>
    <w:rsid w:val="006A63F0"/>
    <w:rsid w:val="006A7646"/>
    <w:rsid w:val="006B1695"/>
    <w:rsid w:val="006B21FC"/>
    <w:rsid w:val="006B357E"/>
    <w:rsid w:val="006C0AC1"/>
    <w:rsid w:val="006C0C2E"/>
    <w:rsid w:val="006C35EE"/>
    <w:rsid w:val="006C3656"/>
    <w:rsid w:val="006C4428"/>
    <w:rsid w:val="006C4611"/>
    <w:rsid w:val="006C51DC"/>
    <w:rsid w:val="006C7702"/>
    <w:rsid w:val="006C78EC"/>
    <w:rsid w:val="006D0BE4"/>
    <w:rsid w:val="006D2D05"/>
    <w:rsid w:val="006D475A"/>
    <w:rsid w:val="006D488C"/>
    <w:rsid w:val="006D4F8D"/>
    <w:rsid w:val="006D5CCB"/>
    <w:rsid w:val="006D71A1"/>
    <w:rsid w:val="006E3F0C"/>
    <w:rsid w:val="006E5710"/>
    <w:rsid w:val="006E5E79"/>
    <w:rsid w:val="006E6C23"/>
    <w:rsid w:val="006E76AF"/>
    <w:rsid w:val="006F1146"/>
    <w:rsid w:val="006F4F2A"/>
    <w:rsid w:val="006F68B9"/>
    <w:rsid w:val="006F73A7"/>
    <w:rsid w:val="00700BDE"/>
    <w:rsid w:val="00705B41"/>
    <w:rsid w:val="00707A0E"/>
    <w:rsid w:val="00707C33"/>
    <w:rsid w:val="007106D4"/>
    <w:rsid w:val="00710887"/>
    <w:rsid w:val="00715A60"/>
    <w:rsid w:val="0071646F"/>
    <w:rsid w:val="00720C45"/>
    <w:rsid w:val="00723AD9"/>
    <w:rsid w:val="00725158"/>
    <w:rsid w:val="0072555B"/>
    <w:rsid w:val="00726034"/>
    <w:rsid w:val="00730ADC"/>
    <w:rsid w:val="00731239"/>
    <w:rsid w:val="007319E6"/>
    <w:rsid w:val="00732A67"/>
    <w:rsid w:val="00735D6A"/>
    <w:rsid w:val="0073722C"/>
    <w:rsid w:val="00737379"/>
    <w:rsid w:val="007379F6"/>
    <w:rsid w:val="00740E86"/>
    <w:rsid w:val="007441EB"/>
    <w:rsid w:val="007444B5"/>
    <w:rsid w:val="00747361"/>
    <w:rsid w:val="00747569"/>
    <w:rsid w:val="00750AF0"/>
    <w:rsid w:val="00754AA5"/>
    <w:rsid w:val="00754FDB"/>
    <w:rsid w:val="00755EB9"/>
    <w:rsid w:val="00761EE6"/>
    <w:rsid w:val="0076359F"/>
    <w:rsid w:val="00765EE9"/>
    <w:rsid w:val="0076621A"/>
    <w:rsid w:val="00766493"/>
    <w:rsid w:val="00767A80"/>
    <w:rsid w:val="00771307"/>
    <w:rsid w:val="00771702"/>
    <w:rsid w:val="00771E33"/>
    <w:rsid w:val="0077323B"/>
    <w:rsid w:val="00773270"/>
    <w:rsid w:val="007732FF"/>
    <w:rsid w:val="00774947"/>
    <w:rsid w:val="00774A1E"/>
    <w:rsid w:val="007762E9"/>
    <w:rsid w:val="00777443"/>
    <w:rsid w:val="00781020"/>
    <w:rsid w:val="00782507"/>
    <w:rsid w:val="00782541"/>
    <w:rsid w:val="007856FD"/>
    <w:rsid w:val="0078713A"/>
    <w:rsid w:val="00790177"/>
    <w:rsid w:val="007903EE"/>
    <w:rsid w:val="007907BC"/>
    <w:rsid w:val="00791714"/>
    <w:rsid w:val="00791A03"/>
    <w:rsid w:val="007940BD"/>
    <w:rsid w:val="00794B22"/>
    <w:rsid w:val="007951B4"/>
    <w:rsid w:val="007976F4"/>
    <w:rsid w:val="007978A4"/>
    <w:rsid w:val="007A0ACF"/>
    <w:rsid w:val="007A5B84"/>
    <w:rsid w:val="007A6E3F"/>
    <w:rsid w:val="007A7C6A"/>
    <w:rsid w:val="007B21FA"/>
    <w:rsid w:val="007B3914"/>
    <w:rsid w:val="007B4CD7"/>
    <w:rsid w:val="007B5BC0"/>
    <w:rsid w:val="007B70F0"/>
    <w:rsid w:val="007B7DD5"/>
    <w:rsid w:val="007C05A0"/>
    <w:rsid w:val="007C2E37"/>
    <w:rsid w:val="007C5163"/>
    <w:rsid w:val="007C5D1B"/>
    <w:rsid w:val="007D27CE"/>
    <w:rsid w:val="007E47F7"/>
    <w:rsid w:val="007E498E"/>
    <w:rsid w:val="007E5F7C"/>
    <w:rsid w:val="007E7D8B"/>
    <w:rsid w:val="007F08B9"/>
    <w:rsid w:val="007F1B3E"/>
    <w:rsid w:val="007F2F40"/>
    <w:rsid w:val="007F772D"/>
    <w:rsid w:val="00802326"/>
    <w:rsid w:val="00804031"/>
    <w:rsid w:val="008055B0"/>
    <w:rsid w:val="00807A9A"/>
    <w:rsid w:val="008108BE"/>
    <w:rsid w:val="008132DC"/>
    <w:rsid w:val="00813AB3"/>
    <w:rsid w:val="008157E3"/>
    <w:rsid w:val="00820E8E"/>
    <w:rsid w:val="008222F1"/>
    <w:rsid w:val="0082240B"/>
    <w:rsid w:val="008227B5"/>
    <w:rsid w:val="0082408D"/>
    <w:rsid w:val="00824EFD"/>
    <w:rsid w:val="00827B28"/>
    <w:rsid w:val="0083007F"/>
    <w:rsid w:val="0083079C"/>
    <w:rsid w:val="00831131"/>
    <w:rsid w:val="008313E2"/>
    <w:rsid w:val="00831F7A"/>
    <w:rsid w:val="00832653"/>
    <w:rsid w:val="0083366A"/>
    <w:rsid w:val="00835A93"/>
    <w:rsid w:val="008404A5"/>
    <w:rsid w:val="00840C76"/>
    <w:rsid w:val="008410CD"/>
    <w:rsid w:val="00842929"/>
    <w:rsid w:val="00843EF8"/>
    <w:rsid w:val="00847DA7"/>
    <w:rsid w:val="00847F40"/>
    <w:rsid w:val="0085179F"/>
    <w:rsid w:val="00851B40"/>
    <w:rsid w:val="00852359"/>
    <w:rsid w:val="008529A3"/>
    <w:rsid w:val="00852BCA"/>
    <w:rsid w:val="008536BF"/>
    <w:rsid w:val="008541FA"/>
    <w:rsid w:val="0085533A"/>
    <w:rsid w:val="008611A2"/>
    <w:rsid w:val="00861C26"/>
    <w:rsid w:val="00864F59"/>
    <w:rsid w:val="008722A2"/>
    <w:rsid w:val="008764D6"/>
    <w:rsid w:val="00876C83"/>
    <w:rsid w:val="0087768A"/>
    <w:rsid w:val="00877D62"/>
    <w:rsid w:val="008803AA"/>
    <w:rsid w:val="00882B0C"/>
    <w:rsid w:val="00882B2F"/>
    <w:rsid w:val="00886AA9"/>
    <w:rsid w:val="0088765D"/>
    <w:rsid w:val="008904F6"/>
    <w:rsid w:val="00893C42"/>
    <w:rsid w:val="00894A00"/>
    <w:rsid w:val="00894C65"/>
    <w:rsid w:val="00896B78"/>
    <w:rsid w:val="008A13AE"/>
    <w:rsid w:val="008A1591"/>
    <w:rsid w:val="008A1645"/>
    <w:rsid w:val="008A4363"/>
    <w:rsid w:val="008A4760"/>
    <w:rsid w:val="008A68FD"/>
    <w:rsid w:val="008A6F67"/>
    <w:rsid w:val="008B1698"/>
    <w:rsid w:val="008B1D76"/>
    <w:rsid w:val="008B2F2F"/>
    <w:rsid w:val="008B4A40"/>
    <w:rsid w:val="008B4CB7"/>
    <w:rsid w:val="008B6A92"/>
    <w:rsid w:val="008B6C63"/>
    <w:rsid w:val="008B71E5"/>
    <w:rsid w:val="008C0B32"/>
    <w:rsid w:val="008C0BBB"/>
    <w:rsid w:val="008C184D"/>
    <w:rsid w:val="008C1AD6"/>
    <w:rsid w:val="008C27BB"/>
    <w:rsid w:val="008C34BB"/>
    <w:rsid w:val="008C4568"/>
    <w:rsid w:val="008C685D"/>
    <w:rsid w:val="008C7C72"/>
    <w:rsid w:val="008D0950"/>
    <w:rsid w:val="008D0A90"/>
    <w:rsid w:val="008D0AE0"/>
    <w:rsid w:val="008D1C9A"/>
    <w:rsid w:val="008D2D0E"/>
    <w:rsid w:val="008E2C63"/>
    <w:rsid w:val="008E2E87"/>
    <w:rsid w:val="008E4D7F"/>
    <w:rsid w:val="008E52E0"/>
    <w:rsid w:val="008F07DF"/>
    <w:rsid w:val="008F1C8A"/>
    <w:rsid w:val="008F1EE5"/>
    <w:rsid w:val="008F3949"/>
    <w:rsid w:val="008F6E9B"/>
    <w:rsid w:val="00901524"/>
    <w:rsid w:val="00902394"/>
    <w:rsid w:val="00904B60"/>
    <w:rsid w:val="0090622C"/>
    <w:rsid w:val="00906296"/>
    <w:rsid w:val="00906F9A"/>
    <w:rsid w:val="00907C3D"/>
    <w:rsid w:val="009107E2"/>
    <w:rsid w:val="00911A82"/>
    <w:rsid w:val="00912B43"/>
    <w:rsid w:val="00912D0C"/>
    <w:rsid w:val="00913F09"/>
    <w:rsid w:val="00914DBD"/>
    <w:rsid w:val="0092079F"/>
    <w:rsid w:val="00920929"/>
    <w:rsid w:val="009214EA"/>
    <w:rsid w:val="0092182A"/>
    <w:rsid w:val="00922654"/>
    <w:rsid w:val="00922AA3"/>
    <w:rsid w:val="00926346"/>
    <w:rsid w:val="00926613"/>
    <w:rsid w:val="00927FF3"/>
    <w:rsid w:val="00932CA4"/>
    <w:rsid w:val="00932CC6"/>
    <w:rsid w:val="0093558A"/>
    <w:rsid w:val="00937EAD"/>
    <w:rsid w:val="00940B87"/>
    <w:rsid w:val="00940CD3"/>
    <w:rsid w:val="00941A58"/>
    <w:rsid w:val="00952392"/>
    <w:rsid w:val="0095262B"/>
    <w:rsid w:val="00953531"/>
    <w:rsid w:val="00954309"/>
    <w:rsid w:val="00954EF7"/>
    <w:rsid w:val="00957F2E"/>
    <w:rsid w:val="009603E0"/>
    <w:rsid w:val="00960DD9"/>
    <w:rsid w:val="00961382"/>
    <w:rsid w:val="00961A5A"/>
    <w:rsid w:val="00962549"/>
    <w:rsid w:val="00963A77"/>
    <w:rsid w:val="0097078B"/>
    <w:rsid w:val="00971300"/>
    <w:rsid w:val="0098052A"/>
    <w:rsid w:val="009818C3"/>
    <w:rsid w:val="00983CD1"/>
    <w:rsid w:val="00987173"/>
    <w:rsid w:val="0098778C"/>
    <w:rsid w:val="0099073D"/>
    <w:rsid w:val="009913D5"/>
    <w:rsid w:val="00991B37"/>
    <w:rsid w:val="0099223F"/>
    <w:rsid w:val="00994925"/>
    <w:rsid w:val="00994C3B"/>
    <w:rsid w:val="00995146"/>
    <w:rsid w:val="00995253"/>
    <w:rsid w:val="009963D8"/>
    <w:rsid w:val="00996C27"/>
    <w:rsid w:val="009A4A5D"/>
    <w:rsid w:val="009A5791"/>
    <w:rsid w:val="009A70D7"/>
    <w:rsid w:val="009B300F"/>
    <w:rsid w:val="009B3518"/>
    <w:rsid w:val="009B421A"/>
    <w:rsid w:val="009B5647"/>
    <w:rsid w:val="009B72AB"/>
    <w:rsid w:val="009C1EC2"/>
    <w:rsid w:val="009C2DA8"/>
    <w:rsid w:val="009C3B41"/>
    <w:rsid w:val="009C41A4"/>
    <w:rsid w:val="009C5A83"/>
    <w:rsid w:val="009C7AB7"/>
    <w:rsid w:val="009C7CCA"/>
    <w:rsid w:val="009D01AD"/>
    <w:rsid w:val="009D19E6"/>
    <w:rsid w:val="009D1AF8"/>
    <w:rsid w:val="009D29AC"/>
    <w:rsid w:val="009E1B78"/>
    <w:rsid w:val="009E1F00"/>
    <w:rsid w:val="009E250E"/>
    <w:rsid w:val="009E2979"/>
    <w:rsid w:val="009E5C20"/>
    <w:rsid w:val="009F138C"/>
    <w:rsid w:val="009F1C2B"/>
    <w:rsid w:val="009F1E01"/>
    <w:rsid w:val="009F2777"/>
    <w:rsid w:val="009F4E67"/>
    <w:rsid w:val="009F7FCC"/>
    <w:rsid w:val="00A00446"/>
    <w:rsid w:val="00A010B2"/>
    <w:rsid w:val="00A02945"/>
    <w:rsid w:val="00A02998"/>
    <w:rsid w:val="00A0384C"/>
    <w:rsid w:val="00A057F1"/>
    <w:rsid w:val="00A05CF6"/>
    <w:rsid w:val="00A06413"/>
    <w:rsid w:val="00A06FBD"/>
    <w:rsid w:val="00A10678"/>
    <w:rsid w:val="00A10916"/>
    <w:rsid w:val="00A12EAE"/>
    <w:rsid w:val="00A13412"/>
    <w:rsid w:val="00A15712"/>
    <w:rsid w:val="00A15975"/>
    <w:rsid w:val="00A16728"/>
    <w:rsid w:val="00A167C9"/>
    <w:rsid w:val="00A22338"/>
    <w:rsid w:val="00A225CD"/>
    <w:rsid w:val="00A228F4"/>
    <w:rsid w:val="00A2320E"/>
    <w:rsid w:val="00A2401E"/>
    <w:rsid w:val="00A25595"/>
    <w:rsid w:val="00A315FD"/>
    <w:rsid w:val="00A33D5D"/>
    <w:rsid w:val="00A33EBB"/>
    <w:rsid w:val="00A36135"/>
    <w:rsid w:val="00A373F3"/>
    <w:rsid w:val="00A404A1"/>
    <w:rsid w:val="00A42402"/>
    <w:rsid w:val="00A44A06"/>
    <w:rsid w:val="00A46055"/>
    <w:rsid w:val="00A47FA2"/>
    <w:rsid w:val="00A5219A"/>
    <w:rsid w:val="00A56DE0"/>
    <w:rsid w:val="00A56F92"/>
    <w:rsid w:val="00A57716"/>
    <w:rsid w:val="00A57EAE"/>
    <w:rsid w:val="00A60407"/>
    <w:rsid w:val="00A614F0"/>
    <w:rsid w:val="00A676BC"/>
    <w:rsid w:val="00A67D5B"/>
    <w:rsid w:val="00A70104"/>
    <w:rsid w:val="00A70387"/>
    <w:rsid w:val="00A757AF"/>
    <w:rsid w:val="00A772E4"/>
    <w:rsid w:val="00A83A24"/>
    <w:rsid w:val="00A86644"/>
    <w:rsid w:val="00A8741C"/>
    <w:rsid w:val="00A90857"/>
    <w:rsid w:val="00A91B7E"/>
    <w:rsid w:val="00AA3FF9"/>
    <w:rsid w:val="00AA416C"/>
    <w:rsid w:val="00AA7546"/>
    <w:rsid w:val="00AA7F70"/>
    <w:rsid w:val="00AB008D"/>
    <w:rsid w:val="00AB1227"/>
    <w:rsid w:val="00AB143D"/>
    <w:rsid w:val="00AB462B"/>
    <w:rsid w:val="00AC212D"/>
    <w:rsid w:val="00AC2262"/>
    <w:rsid w:val="00AC3070"/>
    <w:rsid w:val="00AC622F"/>
    <w:rsid w:val="00AC73E2"/>
    <w:rsid w:val="00AD0B0A"/>
    <w:rsid w:val="00AD0BA7"/>
    <w:rsid w:val="00AD199B"/>
    <w:rsid w:val="00AD2A77"/>
    <w:rsid w:val="00AD2DAF"/>
    <w:rsid w:val="00AD3469"/>
    <w:rsid w:val="00AD68CD"/>
    <w:rsid w:val="00AD6ADA"/>
    <w:rsid w:val="00AD78F6"/>
    <w:rsid w:val="00AE2762"/>
    <w:rsid w:val="00AE2B03"/>
    <w:rsid w:val="00AE4984"/>
    <w:rsid w:val="00AE6B19"/>
    <w:rsid w:val="00AF095F"/>
    <w:rsid w:val="00AF3703"/>
    <w:rsid w:val="00AF3A53"/>
    <w:rsid w:val="00AF3AA7"/>
    <w:rsid w:val="00AF6F6A"/>
    <w:rsid w:val="00B029BF"/>
    <w:rsid w:val="00B02AAE"/>
    <w:rsid w:val="00B034F6"/>
    <w:rsid w:val="00B04BAC"/>
    <w:rsid w:val="00B04F2E"/>
    <w:rsid w:val="00B04FBF"/>
    <w:rsid w:val="00B05677"/>
    <w:rsid w:val="00B05F21"/>
    <w:rsid w:val="00B11362"/>
    <w:rsid w:val="00B1278D"/>
    <w:rsid w:val="00B12A7C"/>
    <w:rsid w:val="00B12E83"/>
    <w:rsid w:val="00B13032"/>
    <w:rsid w:val="00B13810"/>
    <w:rsid w:val="00B14DF9"/>
    <w:rsid w:val="00B165FF"/>
    <w:rsid w:val="00B1679F"/>
    <w:rsid w:val="00B20104"/>
    <w:rsid w:val="00B2162F"/>
    <w:rsid w:val="00B22016"/>
    <w:rsid w:val="00B223EB"/>
    <w:rsid w:val="00B22550"/>
    <w:rsid w:val="00B22DD2"/>
    <w:rsid w:val="00B24087"/>
    <w:rsid w:val="00B26F22"/>
    <w:rsid w:val="00B33496"/>
    <w:rsid w:val="00B337F8"/>
    <w:rsid w:val="00B350E4"/>
    <w:rsid w:val="00B355F7"/>
    <w:rsid w:val="00B35B37"/>
    <w:rsid w:val="00B37FEB"/>
    <w:rsid w:val="00B40FF9"/>
    <w:rsid w:val="00B42E5D"/>
    <w:rsid w:val="00B451BB"/>
    <w:rsid w:val="00B47B38"/>
    <w:rsid w:val="00B50E6C"/>
    <w:rsid w:val="00B5193C"/>
    <w:rsid w:val="00B52E93"/>
    <w:rsid w:val="00B56367"/>
    <w:rsid w:val="00B56E6B"/>
    <w:rsid w:val="00B6113A"/>
    <w:rsid w:val="00B61935"/>
    <w:rsid w:val="00B61C12"/>
    <w:rsid w:val="00B6310B"/>
    <w:rsid w:val="00B6321F"/>
    <w:rsid w:val="00B65DFB"/>
    <w:rsid w:val="00B66386"/>
    <w:rsid w:val="00B66783"/>
    <w:rsid w:val="00B70875"/>
    <w:rsid w:val="00B754BA"/>
    <w:rsid w:val="00B7624B"/>
    <w:rsid w:val="00B76938"/>
    <w:rsid w:val="00B76DCD"/>
    <w:rsid w:val="00B80EFF"/>
    <w:rsid w:val="00B83396"/>
    <w:rsid w:val="00B83964"/>
    <w:rsid w:val="00B92307"/>
    <w:rsid w:val="00B9335B"/>
    <w:rsid w:val="00B93FD0"/>
    <w:rsid w:val="00B94BA6"/>
    <w:rsid w:val="00B97C98"/>
    <w:rsid w:val="00B97CC1"/>
    <w:rsid w:val="00BA08F5"/>
    <w:rsid w:val="00BA21C9"/>
    <w:rsid w:val="00BA2562"/>
    <w:rsid w:val="00BA4955"/>
    <w:rsid w:val="00BA4A2A"/>
    <w:rsid w:val="00BA4F64"/>
    <w:rsid w:val="00BA6CC4"/>
    <w:rsid w:val="00BB2D37"/>
    <w:rsid w:val="00BC0477"/>
    <w:rsid w:val="00BC0CB7"/>
    <w:rsid w:val="00BC2C81"/>
    <w:rsid w:val="00BC61EE"/>
    <w:rsid w:val="00BC65C2"/>
    <w:rsid w:val="00BC6751"/>
    <w:rsid w:val="00BC6AC9"/>
    <w:rsid w:val="00BD04BA"/>
    <w:rsid w:val="00BD0864"/>
    <w:rsid w:val="00BD1A56"/>
    <w:rsid w:val="00BD4704"/>
    <w:rsid w:val="00BD517E"/>
    <w:rsid w:val="00BD5751"/>
    <w:rsid w:val="00BE1A68"/>
    <w:rsid w:val="00BE32DC"/>
    <w:rsid w:val="00BF167D"/>
    <w:rsid w:val="00BF2B01"/>
    <w:rsid w:val="00BF3DF3"/>
    <w:rsid w:val="00BF6A79"/>
    <w:rsid w:val="00C00077"/>
    <w:rsid w:val="00C02075"/>
    <w:rsid w:val="00C04EF2"/>
    <w:rsid w:val="00C06BF9"/>
    <w:rsid w:val="00C11447"/>
    <w:rsid w:val="00C1271B"/>
    <w:rsid w:val="00C14847"/>
    <w:rsid w:val="00C14ECB"/>
    <w:rsid w:val="00C16BFB"/>
    <w:rsid w:val="00C16E5D"/>
    <w:rsid w:val="00C2036D"/>
    <w:rsid w:val="00C206AF"/>
    <w:rsid w:val="00C210D2"/>
    <w:rsid w:val="00C2474A"/>
    <w:rsid w:val="00C24B38"/>
    <w:rsid w:val="00C24D9A"/>
    <w:rsid w:val="00C2535B"/>
    <w:rsid w:val="00C30E67"/>
    <w:rsid w:val="00C32097"/>
    <w:rsid w:val="00C34EF7"/>
    <w:rsid w:val="00C34F57"/>
    <w:rsid w:val="00C35D43"/>
    <w:rsid w:val="00C40D38"/>
    <w:rsid w:val="00C40F03"/>
    <w:rsid w:val="00C41D9F"/>
    <w:rsid w:val="00C441EE"/>
    <w:rsid w:val="00C44B43"/>
    <w:rsid w:val="00C45CF7"/>
    <w:rsid w:val="00C463B6"/>
    <w:rsid w:val="00C55116"/>
    <w:rsid w:val="00C55D88"/>
    <w:rsid w:val="00C5697F"/>
    <w:rsid w:val="00C62A44"/>
    <w:rsid w:val="00C632A0"/>
    <w:rsid w:val="00C63BF4"/>
    <w:rsid w:val="00C66832"/>
    <w:rsid w:val="00C744D8"/>
    <w:rsid w:val="00C747EA"/>
    <w:rsid w:val="00C76841"/>
    <w:rsid w:val="00C7792A"/>
    <w:rsid w:val="00C813AA"/>
    <w:rsid w:val="00C82389"/>
    <w:rsid w:val="00C86A41"/>
    <w:rsid w:val="00C8725F"/>
    <w:rsid w:val="00C90030"/>
    <w:rsid w:val="00C902F8"/>
    <w:rsid w:val="00C90624"/>
    <w:rsid w:val="00C9108D"/>
    <w:rsid w:val="00C94DB3"/>
    <w:rsid w:val="00C97C9B"/>
    <w:rsid w:val="00CA0154"/>
    <w:rsid w:val="00CA068A"/>
    <w:rsid w:val="00CA1DAC"/>
    <w:rsid w:val="00CA2837"/>
    <w:rsid w:val="00CA49FA"/>
    <w:rsid w:val="00CA6611"/>
    <w:rsid w:val="00CB03A7"/>
    <w:rsid w:val="00CB1E69"/>
    <w:rsid w:val="00CB1EE6"/>
    <w:rsid w:val="00CB51B5"/>
    <w:rsid w:val="00CB5A0C"/>
    <w:rsid w:val="00CB601E"/>
    <w:rsid w:val="00CB6867"/>
    <w:rsid w:val="00CB7154"/>
    <w:rsid w:val="00CB7F0E"/>
    <w:rsid w:val="00CC0D3D"/>
    <w:rsid w:val="00CC2067"/>
    <w:rsid w:val="00CC29D1"/>
    <w:rsid w:val="00CC43FC"/>
    <w:rsid w:val="00CC5C94"/>
    <w:rsid w:val="00CC5F24"/>
    <w:rsid w:val="00CC627C"/>
    <w:rsid w:val="00CD04D9"/>
    <w:rsid w:val="00CD0513"/>
    <w:rsid w:val="00CD1385"/>
    <w:rsid w:val="00CD2064"/>
    <w:rsid w:val="00CD2C21"/>
    <w:rsid w:val="00CD59A5"/>
    <w:rsid w:val="00CE38E8"/>
    <w:rsid w:val="00CE458E"/>
    <w:rsid w:val="00CE560A"/>
    <w:rsid w:val="00CE5D60"/>
    <w:rsid w:val="00CE5DBD"/>
    <w:rsid w:val="00CE5EB6"/>
    <w:rsid w:val="00CF0B09"/>
    <w:rsid w:val="00CF271D"/>
    <w:rsid w:val="00CF2938"/>
    <w:rsid w:val="00CF3E5C"/>
    <w:rsid w:val="00CF41CB"/>
    <w:rsid w:val="00CF6715"/>
    <w:rsid w:val="00CF70E3"/>
    <w:rsid w:val="00D01CF3"/>
    <w:rsid w:val="00D01EA2"/>
    <w:rsid w:val="00D0298F"/>
    <w:rsid w:val="00D02F7E"/>
    <w:rsid w:val="00D044F4"/>
    <w:rsid w:val="00D05DE7"/>
    <w:rsid w:val="00D10B0F"/>
    <w:rsid w:val="00D11024"/>
    <w:rsid w:val="00D14356"/>
    <w:rsid w:val="00D144B5"/>
    <w:rsid w:val="00D14A72"/>
    <w:rsid w:val="00D16107"/>
    <w:rsid w:val="00D16882"/>
    <w:rsid w:val="00D20A5D"/>
    <w:rsid w:val="00D228B5"/>
    <w:rsid w:val="00D231EA"/>
    <w:rsid w:val="00D24029"/>
    <w:rsid w:val="00D24E70"/>
    <w:rsid w:val="00D26AF2"/>
    <w:rsid w:val="00D3006D"/>
    <w:rsid w:val="00D31AB7"/>
    <w:rsid w:val="00D3205E"/>
    <w:rsid w:val="00D32990"/>
    <w:rsid w:val="00D3351B"/>
    <w:rsid w:val="00D33A28"/>
    <w:rsid w:val="00D36862"/>
    <w:rsid w:val="00D37570"/>
    <w:rsid w:val="00D41929"/>
    <w:rsid w:val="00D41FB7"/>
    <w:rsid w:val="00D424F7"/>
    <w:rsid w:val="00D43B7F"/>
    <w:rsid w:val="00D440A2"/>
    <w:rsid w:val="00D45320"/>
    <w:rsid w:val="00D46678"/>
    <w:rsid w:val="00D5047A"/>
    <w:rsid w:val="00D53A91"/>
    <w:rsid w:val="00D6227B"/>
    <w:rsid w:val="00D63FF9"/>
    <w:rsid w:val="00D65A13"/>
    <w:rsid w:val="00D7134A"/>
    <w:rsid w:val="00D71945"/>
    <w:rsid w:val="00D7200A"/>
    <w:rsid w:val="00D73B57"/>
    <w:rsid w:val="00D74A55"/>
    <w:rsid w:val="00D75F84"/>
    <w:rsid w:val="00D80384"/>
    <w:rsid w:val="00D804C2"/>
    <w:rsid w:val="00D80C09"/>
    <w:rsid w:val="00D81033"/>
    <w:rsid w:val="00D82026"/>
    <w:rsid w:val="00D8696B"/>
    <w:rsid w:val="00D86C90"/>
    <w:rsid w:val="00D95828"/>
    <w:rsid w:val="00D96E3A"/>
    <w:rsid w:val="00D97E39"/>
    <w:rsid w:val="00DA0EDB"/>
    <w:rsid w:val="00DA4B6F"/>
    <w:rsid w:val="00DA5F10"/>
    <w:rsid w:val="00DA6EC0"/>
    <w:rsid w:val="00DA760C"/>
    <w:rsid w:val="00DB15D8"/>
    <w:rsid w:val="00DB287B"/>
    <w:rsid w:val="00DB3591"/>
    <w:rsid w:val="00DB42F1"/>
    <w:rsid w:val="00DB4A43"/>
    <w:rsid w:val="00DB5DCA"/>
    <w:rsid w:val="00DC009C"/>
    <w:rsid w:val="00DC36DA"/>
    <w:rsid w:val="00DC3D96"/>
    <w:rsid w:val="00DC44D4"/>
    <w:rsid w:val="00DD06A1"/>
    <w:rsid w:val="00DD2019"/>
    <w:rsid w:val="00DD354B"/>
    <w:rsid w:val="00DD43EB"/>
    <w:rsid w:val="00DD5331"/>
    <w:rsid w:val="00DE06CA"/>
    <w:rsid w:val="00DE13D9"/>
    <w:rsid w:val="00DE388B"/>
    <w:rsid w:val="00DE4442"/>
    <w:rsid w:val="00DE4ED9"/>
    <w:rsid w:val="00DF234E"/>
    <w:rsid w:val="00DF2CC5"/>
    <w:rsid w:val="00DF357F"/>
    <w:rsid w:val="00DF5CE4"/>
    <w:rsid w:val="00DF6B9C"/>
    <w:rsid w:val="00E0174B"/>
    <w:rsid w:val="00E03530"/>
    <w:rsid w:val="00E05D55"/>
    <w:rsid w:val="00E11300"/>
    <w:rsid w:val="00E13506"/>
    <w:rsid w:val="00E14C42"/>
    <w:rsid w:val="00E14F58"/>
    <w:rsid w:val="00E14FEE"/>
    <w:rsid w:val="00E16372"/>
    <w:rsid w:val="00E16796"/>
    <w:rsid w:val="00E16A26"/>
    <w:rsid w:val="00E24B2D"/>
    <w:rsid w:val="00E24DA5"/>
    <w:rsid w:val="00E25F60"/>
    <w:rsid w:val="00E27A1C"/>
    <w:rsid w:val="00E36936"/>
    <w:rsid w:val="00E371C4"/>
    <w:rsid w:val="00E4177B"/>
    <w:rsid w:val="00E433B0"/>
    <w:rsid w:val="00E436DC"/>
    <w:rsid w:val="00E44BE4"/>
    <w:rsid w:val="00E46543"/>
    <w:rsid w:val="00E52107"/>
    <w:rsid w:val="00E524FA"/>
    <w:rsid w:val="00E53B9B"/>
    <w:rsid w:val="00E5788B"/>
    <w:rsid w:val="00E578D3"/>
    <w:rsid w:val="00E61ADF"/>
    <w:rsid w:val="00E65B67"/>
    <w:rsid w:val="00E65E1A"/>
    <w:rsid w:val="00E667C0"/>
    <w:rsid w:val="00E668FE"/>
    <w:rsid w:val="00E67214"/>
    <w:rsid w:val="00E73162"/>
    <w:rsid w:val="00E74933"/>
    <w:rsid w:val="00E74ED3"/>
    <w:rsid w:val="00E75244"/>
    <w:rsid w:val="00E76759"/>
    <w:rsid w:val="00E768CD"/>
    <w:rsid w:val="00E76BD0"/>
    <w:rsid w:val="00E778AF"/>
    <w:rsid w:val="00E77947"/>
    <w:rsid w:val="00E8156C"/>
    <w:rsid w:val="00E84075"/>
    <w:rsid w:val="00E8518F"/>
    <w:rsid w:val="00E85933"/>
    <w:rsid w:val="00E90476"/>
    <w:rsid w:val="00E90486"/>
    <w:rsid w:val="00E90C94"/>
    <w:rsid w:val="00E92502"/>
    <w:rsid w:val="00E9314C"/>
    <w:rsid w:val="00E935A2"/>
    <w:rsid w:val="00E93C12"/>
    <w:rsid w:val="00E94E9C"/>
    <w:rsid w:val="00E952B1"/>
    <w:rsid w:val="00E96835"/>
    <w:rsid w:val="00E975AA"/>
    <w:rsid w:val="00E979AC"/>
    <w:rsid w:val="00EA0915"/>
    <w:rsid w:val="00EA09F8"/>
    <w:rsid w:val="00EA258A"/>
    <w:rsid w:val="00EA2C47"/>
    <w:rsid w:val="00EA3AD0"/>
    <w:rsid w:val="00EA3B0F"/>
    <w:rsid w:val="00EB073E"/>
    <w:rsid w:val="00EB27ED"/>
    <w:rsid w:val="00EB2A47"/>
    <w:rsid w:val="00EC2AC1"/>
    <w:rsid w:val="00EC2F18"/>
    <w:rsid w:val="00EC494F"/>
    <w:rsid w:val="00ED15AE"/>
    <w:rsid w:val="00ED37C8"/>
    <w:rsid w:val="00ED527F"/>
    <w:rsid w:val="00EE00DE"/>
    <w:rsid w:val="00EE1EBB"/>
    <w:rsid w:val="00EE2673"/>
    <w:rsid w:val="00EE4E10"/>
    <w:rsid w:val="00EE582D"/>
    <w:rsid w:val="00EE7634"/>
    <w:rsid w:val="00EF2072"/>
    <w:rsid w:val="00EF28CF"/>
    <w:rsid w:val="00EF299E"/>
    <w:rsid w:val="00EF2F6B"/>
    <w:rsid w:val="00EF5328"/>
    <w:rsid w:val="00EF7246"/>
    <w:rsid w:val="00EF7C54"/>
    <w:rsid w:val="00F01900"/>
    <w:rsid w:val="00F01C11"/>
    <w:rsid w:val="00F025D5"/>
    <w:rsid w:val="00F03D2A"/>
    <w:rsid w:val="00F03D6C"/>
    <w:rsid w:val="00F041B1"/>
    <w:rsid w:val="00F06530"/>
    <w:rsid w:val="00F06E83"/>
    <w:rsid w:val="00F06F46"/>
    <w:rsid w:val="00F1261A"/>
    <w:rsid w:val="00F1357B"/>
    <w:rsid w:val="00F1392D"/>
    <w:rsid w:val="00F15579"/>
    <w:rsid w:val="00F227B8"/>
    <w:rsid w:val="00F22C7F"/>
    <w:rsid w:val="00F2301B"/>
    <w:rsid w:val="00F23C1E"/>
    <w:rsid w:val="00F24681"/>
    <w:rsid w:val="00F267D6"/>
    <w:rsid w:val="00F32B53"/>
    <w:rsid w:val="00F334B4"/>
    <w:rsid w:val="00F33515"/>
    <w:rsid w:val="00F34D33"/>
    <w:rsid w:val="00F35B56"/>
    <w:rsid w:val="00F370CD"/>
    <w:rsid w:val="00F3727C"/>
    <w:rsid w:val="00F44133"/>
    <w:rsid w:val="00F44C21"/>
    <w:rsid w:val="00F44E22"/>
    <w:rsid w:val="00F450E1"/>
    <w:rsid w:val="00F45AB7"/>
    <w:rsid w:val="00F45B16"/>
    <w:rsid w:val="00F46C04"/>
    <w:rsid w:val="00F50393"/>
    <w:rsid w:val="00F5403F"/>
    <w:rsid w:val="00F54ECF"/>
    <w:rsid w:val="00F5787B"/>
    <w:rsid w:val="00F60568"/>
    <w:rsid w:val="00F61633"/>
    <w:rsid w:val="00F61642"/>
    <w:rsid w:val="00F63B36"/>
    <w:rsid w:val="00F727F5"/>
    <w:rsid w:val="00F775E6"/>
    <w:rsid w:val="00F80664"/>
    <w:rsid w:val="00F82B00"/>
    <w:rsid w:val="00F9024A"/>
    <w:rsid w:val="00F90DF3"/>
    <w:rsid w:val="00F91E27"/>
    <w:rsid w:val="00F93EFA"/>
    <w:rsid w:val="00F9526C"/>
    <w:rsid w:val="00FA0424"/>
    <w:rsid w:val="00FA0DF0"/>
    <w:rsid w:val="00FA1AC6"/>
    <w:rsid w:val="00FA1FE4"/>
    <w:rsid w:val="00FA28CF"/>
    <w:rsid w:val="00FA3419"/>
    <w:rsid w:val="00FA49E0"/>
    <w:rsid w:val="00FA4FD2"/>
    <w:rsid w:val="00FA71FF"/>
    <w:rsid w:val="00FA7967"/>
    <w:rsid w:val="00FB1CF6"/>
    <w:rsid w:val="00FB22DA"/>
    <w:rsid w:val="00FB3291"/>
    <w:rsid w:val="00FB475D"/>
    <w:rsid w:val="00FB4E22"/>
    <w:rsid w:val="00FB59D2"/>
    <w:rsid w:val="00FB69A0"/>
    <w:rsid w:val="00FB7969"/>
    <w:rsid w:val="00FC113B"/>
    <w:rsid w:val="00FC22D8"/>
    <w:rsid w:val="00FC36B3"/>
    <w:rsid w:val="00FC3F38"/>
    <w:rsid w:val="00FC4582"/>
    <w:rsid w:val="00FC5064"/>
    <w:rsid w:val="00FC59ED"/>
    <w:rsid w:val="00FC5F9E"/>
    <w:rsid w:val="00FC6C6E"/>
    <w:rsid w:val="00FD079D"/>
    <w:rsid w:val="00FD0852"/>
    <w:rsid w:val="00FD4BD9"/>
    <w:rsid w:val="00FD50C6"/>
    <w:rsid w:val="00FD5F3B"/>
    <w:rsid w:val="00FD7BDF"/>
    <w:rsid w:val="00FE3A00"/>
    <w:rsid w:val="00FE3C59"/>
    <w:rsid w:val="00FE4360"/>
    <w:rsid w:val="00FE6D24"/>
    <w:rsid w:val="00FF285A"/>
    <w:rsid w:val="00FF2E5F"/>
    <w:rsid w:val="00FF34C4"/>
    <w:rsid w:val="00FF5905"/>
  </w:rsids>
  <m:mathPr>
    <m:mathFont m:val="Cambria Math"/>
    <m:brkBin m:val="before"/>
    <m:brkBinSub m:val="--"/>
    <m:smallFrac/>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oNotEmbedSmartTags/>
  <w:decimalSymbol w:val="."/>
  <w:listSeparator w:val=","/>
  <w14:docId w14:val="179B7C3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qFormat="1"/>
    <w:lsdException w:name="annotation text" w:semiHidden="1"/>
    <w:lsdException w:name="header" w:semiHidden="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uiPriority="0" w:qFormat="1"/>
    <w:lsdException w:name="List Number" w:semiHidden="1" w:uiPriority="0" w:qFormat="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2"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2"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19E6"/>
    <w:pPr>
      <w:spacing w:after="200" w:line="260" w:lineRule="exact"/>
    </w:pPr>
    <w:rPr>
      <w:rFonts w:ascii="Arial" w:hAnsi="Arial"/>
      <w:sz w:val="22"/>
      <w:szCs w:val="24"/>
      <w:lang w:eastAsia="en-US"/>
    </w:rPr>
  </w:style>
  <w:style w:type="paragraph" w:styleId="Heading1">
    <w:name w:val="heading 1"/>
    <w:basedOn w:val="Heading3"/>
    <w:next w:val="BodyText1"/>
    <w:qFormat/>
    <w:rsid w:val="00010B24"/>
    <w:pPr>
      <w:outlineLvl w:val="0"/>
    </w:pPr>
  </w:style>
  <w:style w:type="paragraph" w:styleId="Heading2">
    <w:name w:val="heading 2"/>
    <w:next w:val="BodyText1"/>
    <w:link w:val="Heading2Char"/>
    <w:qFormat/>
    <w:rsid w:val="008F1C8A"/>
    <w:pPr>
      <w:spacing w:after="120" w:line="260" w:lineRule="exact"/>
      <w:ind w:left="284" w:hanging="284"/>
      <w:outlineLvl w:val="1"/>
    </w:pPr>
    <w:rPr>
      <w:rFonts w:ascii="Arial" w:hAnsi="Arial"/>
      <w:b/>
      <w:spacing w:val="-6"/>
      <w:sz w:val="26"/>
      <w:szCs w:val="26"/>
      <w:lang w:eastAsia="en-US"/>
    </w:rPr>
  </w:style>
  <w:style w:type="paragraph" w:styleId="Heading3">
    <w:name w:val="heading 3"/>
    <w:next w:val="BodyText1"/>
    <w:link w:val="Heading3Char"/>
    <w:qFormat/>
    <w:rsid w:val="00F93EFA"/>
    <w:pPr>
      <w:spacing w:before="200" w:line="260" w:lineRule="exact"/>
      <w:outlineLvl w:val="2"/>
    </w:pPr>
    <w:rPr>
      <w:rFonts w:ascii="Arial" w:hAnsi="Arial"/>
      <w:b/>
      <w:bCs/>
      <w:color w:val="F79646"/>
      <w:spacing w:val="-6"/>
      <w:sz w:val="22"/>
      <w:szCs w:val="22"/>
      <w:lang w:eastAsia="en-US"/>
    </w:rPr>
  </w:style>
  <w:style w:type="paragraph" w:styleId="Heading4">
    <w:name w:val="heading 4"/>
    <w:basedOn w:val="Normal"/>
    <w:next w:val="Heading3"/>
    <w:link w:val="Heading4Char"/>
    <w:uiPriority w:val="9"/>
    <w:qFormat/>
    <w:rsid w:val="00AE6B19"/>
    <w:pPr>
      <w:keepNext/>
      <w:keepLines/>
      <w:spacing w:before="200"/>
      <w:outlineLvl w:val="3"/>
    </w:pPr>
    <w:rPr>
      <w:b/>
      <w:bCs/>
      <w:i/>
      <w:iCs/>
      <w:color w:val="C9690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fterbox">
    <w:name w:val="After box"/>
    <w:next w:val="BodyText1"/>
    <w:rsid w:val="00AE6B19"/>
    <w:pPr>
      <w:spacing w:after="57" w:line="113" w:lineRule="exact"/>
    </w:pPr>
    <w:rPr>
      <w:rFonts w:ascii="Cambria" w:hAnsi="Cambria"/>
      <w:sz w:val="2"/>
      <w:szCs w:val="24"/>
      <w:lang w:eastAsia="en-US"/>
    </w:rPr>
  </w:style>
  <w:style w:type="paragraph" w:customStyle="1" w:styleId="Bodytextbeforebullets">
    <w:name w:val="Body text (before bullets)"/>
    <w:basedOn w:val="BodyText1"/>
    <w:rsid w:val="00AE6B19"/>
    <w:pPr>
      <w:spacing w:after="57"/>
    </w:pPr>
  </w:style>
  <w:style w:type="paragraph" w:customStyle="1" w:styleId="BodyText1">
    <w:name w:val="Body Text1"/>
    <w:basedOn w:val="Normal"/>
    <w:qFormat/>
    <w:rsid w:val="00F93EFA"/>
  </w:style>
  <w:style w:type="paragraph" w:customStyle="1" w:styleId="Bullets1stindent">
    <w:name w:val="Bullets (1st indent)"/>
    <w:basedOn w:val="BodyText1"/>
    <w:qFormat/>
    <w:rsid w:val="003800CE"/>
    <w:pPr>
      <w:spacing w:after="120"/>
    </w:pPr>
  </w:style>
  <w:style w:type="paragraph" w:customStyle="1" w:styleId="Bullets2ndindent">
    <w:name w:val="Bullets (2nd indent)"/>
    <w:basedOn w:val="BodyText1"/>
    <w:qFormat/>
    <w:rsid w:val="008F1C8A"/>
    <w:pPr>
      <w:spacing w:after="120"/>
      <w:ind w:left="644" w:hanging="360"/>
    </w:pPr>
  </w:style>
  <w:style w:type="numbering" w:customStyle="1" w:styleId="Bullets">
    <w:name w:val="Bullets"/>
    <w:basedOn w:val="NoList"/>
    <w:uiPriority w:val="99"/>
    <w:rsid w:val="00AE6B19"/>
    <w:pPr>
      <w:numPr>
        <w:numId w:val="6"/>
      </w:numPr>
    </w:pPr>
  </w:style>
  <w:style w:type="paragraph" w:customStyle="1" w:styleId="Figuretitle">
    <w:name w:val="Figure title"/>
    <w:basedOn w:val="Heading2"/>
    <w:next w:val="BodyText1"/>
    <w:rsid w:val="00AE6B19"/>
    <w:pPr>
      <w:numPr>
        <w:ilvl w:val="6"/>
        <w:numId w:val="4"/>
      </w:numPr>
    </w:pPr>
    <w:rPr>
      <w:szCs w:val="24"/>
    </w:rPr>
  </w:style>
  <w:style w:type="paragraph" w:customStyle="1" w:styleId="Footertext">
    <w:name w:val="Footer text"/>
    <w:semiHidden/>
    <w:rsid w:val="00AE6B19"/>
    <w:pPr>
      <w:framePr w:hSpace="181" w:wrap="around" w:vAnchor="text" w:hAnchor="page" w:x="11228" w:y="1"/>
      <w:spacing w:line="200" w:lineRule="atLeast"/>
      <w:ind w:right="113"/>
      <w:suppressOverlap/>
    </w:pPr>
    <w:rPr>
      <w:rFonts w:ascii="Arial" w:hAnsi="Arial" w:cs="Arial"/>
      <w:sz w:val="16"/>
      <w:szCs w:val="24"/>
      <w:lang w:eastAsia="en-US"/>
    </w:rPr>
  </w:style>
  <w:style w:type="paragraph" w:customStyle="1" w:styleId="Footnote">
    <w:name w:val="Footnote"/>
    <w:rsid w:val="00AE6B19"/>
    <w:pPr>
      <w:spacing w:before="85" w:after="85" w:line="160" w:lineRule="atLeast"/>
    </w:pPr>
    <w:rPr>
      <w:rFonts w:ascii="Arial" w:hAnsi="Arial" w:cs="Arial"/>
      <w:i/>
      <w:sz w:val="12"/>
      <w:szCs w:val="12"/>
      <w:lang w:eastAsia="en-US"/>
    </w:rPr>
  </w:style>
  <w:style w:type="paragraph" w:customStyle="1" w:styleId="Bulletslast1stindent">
    <w:name w:val="Bullets last (1st indent)"/>
    <w:basedOn w:val="BodyText1"/>
    <w:rsid w:val="00AE6B19"/>
    <w:pPr>
      <w:ind w:left="644" w:hanging="360"/>
    </w:pPr>
  </w:style>
  <w:style w:type="numbering" w:customStyle="1" w:styleId="Numbers">
    <w:name w:val="Numbers"/>
    <w:basedOn w:val="NoList"/>
    <w:rsid w:val="00AE6B19"/>
    <w:pPr>
      <w:numPr>
        <w:numId w:val="4"/>
      </w:numPr>
    </w:pPr>
  </w:style>
  <w:style w:type="paragraph" w:customStyle="1" w:styleId="Bulletslast2ndindent">
    <w:name w:val="Bullets last (2nd indent)"/>
    <w:basedOn w:val="BodyText1"/>
    <w:rsid w:val="00F93EFA"/>
    <w:pPr>
      <w:spacing w:after="57"/>
    </w:pPr>
  </w:style>
  <w:style w:type="paragraph" w:styleId="Subtitle">
    <w:name w:val="Subtitle"/>
    <w:basedOn w:val="Title"/>
    <w:uiPriority w:val="2"/>
    <w:qFormat/>
    <w:rsid w:val="00AE6B19"/>
    <w:pPr>
      <w:spacing w:line="300" w:lineRule="atLeast"/>
    </w:pPr>
    <w:rPr>
      <w:color w:val="FFFFFF"/>
      <w:sz w:val="24"/>
    </w:rPr>
  </w:style>
  <w:style w:type="paragraph" w:customStyle="1" w:styleId="Tablebodytext">
    <w:name w:val="Table body text"/>
    <w:link w:val="TablebodytextChar"/>
    <w:qFormat/>
    <w:rsid w:val="00AE6B19"/>
    <w:pPr>
      <w:spacing w:before="57" w:after="57" w:line="220" w:lineRule="atLeast"/>
      <w:ind w:left="96" w:right="96"/>
    </w:pPr>
    <w:rPr>
      <w:rFonts w:ascii="Arial" w:hAnsi="Arial"/>
      <w:sz w:val="17"/>
      <w:szCs w:val="24"/>
      <w:lang w:eastAsia="en-US"/>
    </w:rPr>
  </w:style>
  <w:style w:type="paragraph" w:customStyle="1" w:styleId="Tablebullets2ndindent">
    <w:name w:val="Table bullets (2nd indent)"/>
    <w:basedOn w:val="Tablebodytext"/>
    <w:qFormat/>
    <w:rsid w:val="00AE6B19"/>
    <w:pPr>
      <w:ind w:left="644" w:hanging="360"/>
    </w:pPr>
  </w:style>
  <w:style w:type="paragraph" w:customStyle="1" w:styleId="Tablebullets1stindent">
    <w:name w:val="Table bullets (1st indent)"/>
    <w:basedOn w:val="Tablebodytext"/>
    <w:qFormat/>
    <w:rsid w:val="00F93EFA"/>
    <w:pPr>
      <w:numPr>
        <w:numId w:val="21"/>
      </w:numPr>
    </w:pPr>
  </w:style>
  <w:style w:type="paragraph" w:customStyle="1" w:styleId="Tablecolumnheading">
    <w:name w:val="Table column heading"/>
    <w:basedOn w:val="Tablebodytext"/>
    <w:uiPriority w:val="99"/>
    <w:qFormat/>
    <w:rsid w:val="00AE6B19"/>
    <w:pPr>
      <w:keepNext/>
    </w:pPr>
    <w:rPr>
      <w:b/>
    </w:rPr>
  </w:style>
  <w:style w:type="paragraph" w:customStyle="1" w:styleId="Title2">
    <w:name w:val="Title 2"/>
    <w:basedOn w:val="Title"/>
    <w:uiPriority w:val="2"/>
    <w:semiHidden/>
    <w:rsid w:val="00AE6B19"/>
  </w:style>
  <w:style w:type="paragraph" w:customStyle="1" w:styleId="Tabletitle">
    <w:name w:val="Table title"/>
    <w:basedOn w:val="Heading2"/>
    <w:next w:val="BodyText1"/>
    <w:rsid w:val="00AE6B19"/>
    <w:pPr>
      <w:numPr>
        <w:ilvl w:val="8"/>
        <w:numId w:val="4"/>
      </w:numPr>
    </w:pPr>
    <w:rPr>
      <w:szCs w:val="24"/>
    </w:rPr>
  </w:style>
  <w:style w:type="paragraph" w:styleId="Title">
    <w:name w:val="Title"/>
    <w:basedOn w:val="Heading1"/>
    <w:uiPriority w:val="2"/>
    <w:qFormat/>
    <w:rsid w:val="00010B24"/>
  </w:style>
  <w:style w:type="paragraph" w:customStyle="1" w:styleId="Boxheading">
    <w:name w:val="Box heading"/>
    <w:next w:val="BodyText1"/>
    <w:uiPriority w:val="1"/>
    <w:rsid w:val="00AE6B19"/>
    <w:pPr>
      <w:spacing w:line="240" w:lineRule="atLeast"/>
    </w:pPr>
    <w:rPr>
      <w:rFonts w:ascii="Arial" w:hAnsi="Arial"/>
      <w:b/>
      <w:color w:val="4B5869"/>
      <w:sz w:val="22"/>
      <w:szCs w:val="24"/>
      <w:lang w:eastAsia="en-US"/>
    </w:rPr>
  </w:style>
  <w:style w:type="paragraph" w:styleId="Footer">
    <w:name w:val="footer"/>
    <w:basedOn w:val="Normal"/>
    <w:link w:val="FooterChar"/>
    <w:uiPriority w:val="99"/>
    <w:rsid w:val="00AE6B19"/>
    <w:pPr>
      <w:tabs>
        <w:tab w:val="center" w:pos="4320"/>
        <w:tab w:val="right" w:pos="8640"/>
      </w:tabs>
    </w:pPr>
  </w:style>
  <w:style w:type="table" w:styleId="TableGrid">
    <w:name w:val="Table Grid"/>
    <w:basedOn w:val="TableNormal"/>
    <w:rsid w:val="00AE6B19"/>
    <w:rPr>
      <w:rFonts w:ascii="Arial" w:hAnsi="Arial"/>
    </w:rPr>
    <w:tblPr>
      <w:tblCellMar>
        <w:left w:w="0" w:type="dxa"/>
        <w:right w:w="0" w:type="dxa"/>
      </w:tblCellMar>
    </w:tblPr>
  </w:style>
  <w:style w:type="paragraph" w:styleId="BalloonText">
    <w:name w:val="Balloon Text"/>
    <w:basedOn w:val="Normal"/>
    <w:link w:val="BalloonTextChar"/>
    <w:uiPriority w:val="99"/>
    <w:semiHidden/>
    <w:rsid w:val="00AE6B19"/>
    <w:rPr>
      <w:rFonts w:ascii="Tahoma" w:hAnsi="Tahoma" w:cs="Tahoma"/>
      <w:sz w:val="16"/>
      <w:szCs w:val="16"/>
    </w:rPr>
  </w:style>
  <w:style w:type="character" w:customStyle="1" w:styleId="BalloonTextChar">
    <w:name w:val="Balloon Text Char"/>
    <w:link w:val="BalloonText"/>
    <w:uiPriority w:val="99"/>
    <w:semiHidden/>
    <w:rsid w:val="00AE6B19"/>
    <w:rPr>
      <w:rFonts w:ascii="Tahoma" w:hAnsi="Tahoma" w:cs="Tahoma"/>
      <w:sz w:val="16"/>
      <w:szCs w:val="16"/>
      <w:lang w:eastAsia="en-US"/>
    </w:rPr>
  </w:style>
  <w:style w:type="paragraph" w:styleId="Header">
    <w:name w:val="header"/>
    <w:basedOn w:val="Normal"/>
    <w:link w:val="HeaderChar"/>
    <w:uiPriority w:val="99"/>
    <w:semiHidden/>
    <w:rsid w:val="00AE6B19"/>
    <w:pPr>
      <w:tabs>
        <w:tab w:val="center" w:pos="4680"/>
        <w:tab w:val="right" w:pos="9360"/>
      </w:tabs>
    </w:pPr>
  </w:style>
  <w:style w:type="character" w:customStyle="1" w:styleId="HeaderChar">
    <w:name w:val="Header Char"/>
    <w:link w:val="Header"/>
    <w:uiPriority w:val="99"/>
    <w:semiHidden/>
    <w:rsid w:val="00AE6B19"/>
    <w:rPr>
      <w:rFonts w:ascii="Cambria" w:hAnsi="Cambria"/>
      <w:szCs w:val="24"/>
      <w:lang w:eastAsia="en-US"/>
    </w:rPr>
  </w:style>
  <w:style w:type="paragraph" w:customStyle="1" w:styleId="Subtitle2">
    <w:name w:val="Subtitle 2"/>
    <w:uiPriority w:val="2"/>
    <w:rsid w:val="00AE6B19"/>
    <w:pPr>
      <w:spacing w:before="200"/>
      <w:contextualSpacing/>
    </w:pPr>
    <w:rPr>
      <w:rFonts w:ascii="Arial" w:hAnsi="Arial"/>
      <w:caps/>
      <w:color w:val="1C2735"/>
      <w:kern w:val="28"/>
      <w:sz w:val="22"/>
      <w:szCs w:val="32"/>
      <w:lang w:eastAsia="en-US"/>
    </w:rPr>
  </w:style>
  <w:style w:type="character" w:customStyle="1" w:styleId="Blue">
    <w:name w:val="Blue"/>
    <w:semiHidden/>
    <w:qFormat/>
    <w:rsid w:val="00AE6B19"/>
    <w:rPr>
      <w:color w:val="45C7ED"/>
    </w:rPr>
  </w:style>
  <w:style w:type="paragraph" w:customStyle="1" w:styleId="Subheading">
    <w:name w:val="Subheading"/>
    <w:next w:val="BodyText1"/>
    <w:qFormat/>
    <w:rsid w:val="0054233A"/>
    <w:pPr>
      <w:spacing w:before="284" w:line="300" w:lineRule="exact"/>
      <w:ind w:left="284" w:hanging="284"/>
    </w:pPr>
    <w:rPr>
      <w:rFonts w:ascii="Arial" w:hAnsi="Arial"/>
      <w:color w:val="FFFFFF"/>
      <w:spacing w:val="-6"/>
      <w:sz w:val="24"/>
      <w:szCs w:val="28"/>
      <w:lang w:val="en-US" w:eastAsia="en-US"/>
    </w:rPr>
  </w:style>
  <w:style w:type="paragraph" w:customStyle="1" w:styleId="Boxtext">
    <w:name w:val="Box text"/>
    <w:basedOn w:val="Tablebodytext"/>
    <w:uiPriority w:val="1"/>
    <w:rsid w:val="00AE6B19"/>
    <w:pPr>
      <w:ind w:left="0" w:right="0"/>
    </w:pPr>
    <w:rPr>
      <w:color w:val="4B5869"/>
    </w:rPr>
  </w:style>
  <w:style w:type="paragraph" w:customStyle="1" w:styleId="ColorfulGrid-Accent11">
    <w:name w:val="Colorful Grid - Accent 11"/>
    <w:aliases w:val="Quote/emphasis"/>
    <w:link w:val="ColorfulGrid-Accent1Char"/>
    <w:rsid w:val="001A0954"/>
    <w:pPr>
      <w:spacing w:before="170" w:after="170" w:line="260" w:lineRule="atLeast"/>
    </w:pPr>
    <w:rPr>
      <w:rFonts w:ascii="Cambria" w:hAnsi="Cambria"/>
      <w:i/>
      <w:iCs/>
      <w:color w:val="000000"/>
      <w:spacing w:val="-2"/>
      <w:sz w:val="22"/>
      <w:szCs w:val="22"/>
      <w:lang w:eastAsia="en-US"/>
    </w:rPr>
  </w:style>
  <w:style w:type="character" w:customStyle="1" w:styleId="ColorfulGrid-Accent1Char">
    <w:name w:val="Colorful Grid - Accent 1 Char"/>
    <w:aliases w:val="Quote/emphasis Char"/>
    <w:link w:val="ColorfulGrid-Accent11"/>
    <w:rsid w:val="001A0954"/>
    <w:rPr>
      <w:rFonts w:ascii="Cambria" w:hAnsi="Cambria"/>
      <w:i/>
      <w:iCs/>
      <w:color w:val="000000"/>
      <w:spacing w:val="-2"/>
      <w:sz w:val="22"/>
      <w:szCs w:val="22"/>
      <w:lang w:val="en-AU" w:eastAsia="en-US" w:bidi="ar-SA"/>
    </w:rPr>
  </w:style>
  <w:style w:type="table" w:customStyle="1" w:styleId="DOFDtexttable">
    <w:name w:val="DOFD_text table"/>
    <w:basedOn w:val="TableNormal"/>
    <w:uiPriority w:val="99"/>
    <w:qFormat/>
    <w:rsid w:val="00AE6B19"/>
    <w:pPr>
      <w:spacing w:before="57"/>
    </w:pPr>
    <w:rPr>
      <w:rFonts w:ascii="Cambria" w:hAnsi="Cambria"/>
    </w:rPr>
    <w:tblPr>
      <w:tblBorders>
        <w:top w:val="single" w:sz="2" w:space="0" w:color="A5ABB6"/>
        <w:left w:val="single" w:sz="2" w:space="0" w:color="A5ABB6"/>
        <w:bottom w:val="single" w:sz="2" w:space="0" w:color="A5ABB6"/>
        <w:right w:val="single" w:sz="2" w:space="0" w:color="A5ABB6"/>
        <w:insideH w:val="single" w:sz="2" w:space="0" w:color="A5ABB6"/>
        <w:insideV w:val="single" w:sz="2" w:space="0" w:color="A5ABB6"/>
      </w:tblBorders>
      <w:tblCellMar>
        <w:top w:w="170" w:type="dxa"/>
        <w:left w:w="227" w:type="dxa"/>
        <w:bottom w:w="113" w:type="dxa"/>
        <w:right w:w="227" w:type="dxa"/>
      </w:tblCellMar>
    </w:tblPr>
    <w:trPr>
      <w:cantSplit/>
    </w:trPr>
    <w:tblStylePr w:type="firstRow">
      <w:rPr>
        <w:rFonts w:ascii="Arial" w:hAnsi="Arial"/>
        <w:b w:val="0"/>
        <w:color w:val="4B5869"/>
        <w:sz w:val="22"/>
      </w:rPr>
      <w:tblPr/>
      <w:trPr>
        <w:tblHeader/>
      </w:trPr>
      <w:tcPr>
        <w:tcBorders>
          <w:top w:val="nil"/>
          <w:left w:val="nil"/>
          <w:bottom w:val="nil"/>
          <w:right w:val="nil"/>
          <w:insideH w:val="nil"/>
          <w:insideV w:val="nil"/>
          <w:tl2br w:val="nil"/>
          <w:tr2bl w:val="nil"/>
        </w:tcBorders>
        <w:shd w:val="clear" w:color="auto" w:fill="DBF4FB"/>
        <w:tcMar>
          <w:top w:w="113" w:type="dxa"/>
          <w:left w:w="0" w:type="nil"/>
          <w:bottom w:w="113" w:type="dxa"/>
          <w:right w:w="0" w:type="nil"/>
        </w:tcMar>
      </w:tcPr>
    </w:tblStylePr>
  </w:style>
  <w:style w:type="character" w:customStyle="1" w:styleId="ArialBlackBlue">
    <w:name w:val="Arial Black Blue"/>
    <w:uiPriority w:val="1"/>
    <w:semiHidden/>
    <w:qFormat/>
    <w:rsid w:val="00AE6B19"/>
    <w:rPr>
      <w:rFonts w:ascii="Arial Black" w:hAnsi="Arial Black"/>
      <w:color w:val="45C7ED"/>
    </w:rPr>
  </w:style>
  <w:style w:type="character" w:styleId="PageNumber">
    <w:name w:val="page number"/>
    <w:uiPriority w:val="99"/>
    <w:semiHidden/>
    <w:qFormat/>
    <w:rsid w:val="00AE6B19"/>
    <w:rPr>
      <w:rFonts w:ascii="Arial" w:hAnsi="Arial"/>
      <w:b/>
      <w:color w:val="1C2735"/>
      <w:spacing w:val="-20"/>
      <w:sz w:val="16"/>
      <w:lang w:val="en-AU"/>
    </w:rPr>
  </w:style>
  <w:style w:type="paragraph" w:customStyle="1" w:styleId="Chapternumber">
    <w:name w:val="Chapter number"/>
    <w:semiHidden/>
    <w:qFormat/>
    <w:rsid w:val="00AE6B19"/>
    <w:pPr>
      <w:numPr>
        <w:numId w:val="5"/>
      </w:numPr>
      <w:spacing w:line="940" w:lineRule="exact"/>
      <w:ind w:left="142" w:firstLine="0"/>
    </w:pPr>
    <w:rPr>
      <w:rFonts w:ascii="Arial" w:hAnsi="Arial" w:cs="Arial"/>
      <w:b/>
      <w:color w:val="DADDE1"/>
      <w:sz w:val="94"/>
      <w:szCs w:val="94"/>
      <w:lang w:eastAsia="en-US"/>
    </w:rPr>
  </w:style>
  <w:style w:type="paragraph" w:styleId="FootnoteText">
    <w:name w:val="footnote text"/>
    <w:link w:val="FootnoteTextChar"/>
    <w:uiPriority w:val="99"/>
    <w:semiHidden/>
    <w:qFormat/>
    <w:rsid w:val="00AE6B19"/>
    <w:pPr>
      <w:tabs>
        <w:tab w:val="left" w:pos="284"/>
      </w:tabs>
      <w:spacing w:after="20" w:line="260" w:lineRule="atLeast"/>
      <w:ind w:left="284" w:hanging="284"/>
    </w:pPr>
    <w:rPr>
      <w:rFonts w:ascii="Arial" w:hAnsi="Arial"/>
      <w:color w:val="4B5869"/>
      <w:sz w:val="15"/>
      <w:lang w:eastAsia="en-US"/>
    </w:rPr>
  </w:style>
  <w:style w:type="character" w:customStyle="1" w:styleId="FootnoteTextChar">
    <w:name w:val="Footnote Text Char"/>
    <w:link w:val="FootnoteText"/>
    <w:uiPriority w:val="99"/>
    <w:semiHidden/>
    <w:rsid w:val="00AE6B19"/>
    <w:rPr>
      <w:rFonts w:ascii="Arial" w:hAnsi="Arial"/>
      <w:color w:val="4B5869"/>
      <w:sz w:val="15"/>
      <w:lang w:val="en-AU" w:eastAsia="en-US" w:bidi="ar-SA"/>
    </w:rPr>
  </w:style>
  <w:style w:type="character" w:styleId="FootnoteReference">
    <w:name w:val="footnote reference"/>
    <w:uiPriority w:val="99"/>
    <w:semiHidden/>
    <w:rsid w:val="00AE6B19"/>
    <w:rPr>
      <w:vertAlign w:val="superscript"/>
    </w:rPr>
  </w:style>
  <w:style w:type="paragraph" w:customStyle="1" w:styleId="Boxtitle">
    <w:name w:val="Box title"/>
    <w:basedOn w:val="Boxheading"/>
    <w:uiPriority w:val="1"/>
    <w:rsid w:val="00AE6B19"/>
    <w:pPr>
      <w:spacing w:before="113" w:after="113"/>
    </w:pPr>
    <w:rPr>
      <w:color w:val="45C7ED"/>
    </w:rPr>
  </w:style>
  <w:style w:type="paragraph" w:customStyle="1" w:styleId="Notetitle">
    <w:name w:val="Note title"/>
    <w:basedOn w:val="Heading2"/>
    <w:rsid w:val="00AE6B19"/>
    <w:pPr>
      <w:numPr>
        <w:ilvl w:val="7"/>
        <w:numId w:val="4"/>
      </w:numPr>
    </w:pPr>
  </w:style>
  <w:style w:type="character" w:customStyle="1" w:styleId="Black">
    <w:name w:val="Black"/>
    <w:uiPriority w:val="1"/>
    <w:semiHidden/>
    <w:qFormat/>
    <w:rsid w:val="00AE6B19"/>
    <w:rPr>
      <w:color w:val="1C2735"/>
      <w:lang w:val="en-AU"/>
    </w:rPr>
  </w:style>
  <w:style w:type="paragraph" w:customStyle="1" w:styleId="Numberedpara1stindent">
    <w:name w:val="Numbered para (1st indent)"/>
    <w:basedOn w:val="BodyText1"/>
    <w:rsid w:val="00AE6B19"/>
    <w:pPr>
      <w:numPr>
        <w:ilvl w:val="3"/>
        <w:numId w:val="4"/>
      </w:numPr>
    </w:pPr>
  </w:style>
  <w:style w:type="paragraph" w:customStyle="1" w:styleId="Numberedpara2ndindent">
    <w:name w:val="Numbered para (2nd indent)"/>
    <w:basedOn w:val="BodyText1"/>
    <w:rsid w:val="00AE6B19"/>
    <w:pPr>
      <w:numPr>
        <w:ilvl w:val="4"/>
        <w:numId w:val="4"/>
      </w:numPr>
    </w:pPr>
  </w:style>
  <w:style w:type="paragraph" w:customStyle="1" w:styleId="Numberedpara3rdindent">
    <w:name w:val="Numbered para (3rd indent)"/>
    <w:basedOn w:val="BodyText1"/>
    <w:rsid w:val="00AE6B19"/>
    <w:pPr>
      <w:numPr>
        <w:ilvl w:val="5"/>
        <w:numId w:val="4"/>
      </w:numPr>
    </w:pPr>
  </w:style>
  <w:style w:type="character" w:styleId="Hyperlink">
    <w:name w:val="Hyperlink"/>
    <w:uiPriority w:val="99"/>
    <w:rsid w:val="00660901"/>
    <w:rPr>
      <w:color w:val="0D6F8B"/>
      <w:u w:val="single"/>
    </w:rPr>
  </w:style>
  <w:style w:type="paragraph" w:customStyle="1" w:styleId="ColorfulList-Accent11">
    <w:name w:val="Colorful List - Accent 11"/>
    <w:basedOn w:val="Normal"/>
    <w:uiPriority w:val="34"/>
    <w:rsid w:val="00AE6B19"/>
    <w:pPr>
      <w:spacing w:line="276" w:lineRule="auto"/>
      <w:ind w:left="720"/>
      <w:contextualSpacing/>
    </w:pPr>
    <w:rPr>
      <w:rFonts w:eastAsia="Cambria"/>
      <w:szCs w:val="22"/>
    </w:rPr>
  </w:style>
  <w:style w:type="character" w:customStyle="1" w:styleId="Heading4Char">
    <w:name w:val="Heading 4 Char"/>
    <w:link w:val="Heading4"/>
    <w:uiPriority w:val="9"/>
    <w:rsid w:val="00AE6B19"/>
    <w:rPr>
      <w:rFonts w:ascii="Arial" w:eastAsia="Times New Roman" w:hAnsi="Arial" w:cs="Times New Roman"/>
      <w:b/>
      <w:bCs/>
      <w:i/>
      <w:iCs/>
      <w:color w:val="C96904"/>
      <w:szCs w:val="24"/>
      <w:lang w:val="en-US" w:eastAsia="en-US"/>
    </w:rPr>
  </w:style>
  <w:style w:type="paragraph" w:customStyle="1" w:styleId="BodyCopy">
    <w:name w:val="Body Copy"/>
    <w:basedOn w:val="Normal"/>
    <w:uiPriority w:val="99"/>
    <w:rsid w:val="00AE6B19"/>
    <w:pPr>
      <w:suppressAutoHyphens/>
      <w:autoSpaceDE w:val="0"/>
      <w:autoSpaceDN w:val="0"/>
      <w:adjustRightInd w:val="0"/>
      <w:spacing w:before="113" w:line="250" w:lineRule="atLeast"/>
      <w:textAlignment w:val="center"/>
    </w:pPr>
    <w:rPr>
      <w:rFonts w:ascii="Cambria" w:hAnsi="Cambria" w:cs="Cambria"/>
      <w:color w:val="000000"/>
      <w:spacing w:val="-1"/>
      <w:szCs w:val="20"/>
      <w:lang w:val="en-GB" w:eastAsia="en-AU"/>
    </w:rPr>
  </w:style>
  <w:style w:type="paragraph" w:customStyle="1" w:styleId="DateYear">
    <w:name w:val="Date:Year"/>
    <w:basedOn w:val="Normal"/>
    <w:link w:val="DateYearChar"/>
    <w:rsid w:val="00AE6B19"/>
    <w:pPr>
      <w:jc w:val="center"/>
    </w:pPr>
    <w:rPr>
      <w:rFonts w:cs="Arial"/>
      <w:b/>
      <w:caps/>
      <w:color w:val="FFFFFF"/>
    </w:rPr>
  </w:style>
  <w:style w:type="character" w:customStyle="1" w:styleId="DateYearChar">
    <w:name w:val="Date:Year Char"/>
    <w:link w:val="DateYear"/>
    <w:rsid w:val="00AE6B19"/>
    <w:rPr>
      <w:rFonts w:ascii="Arial" w:hAnsi="Arial" w:cs="Arial"/>
      <w:b/>
      <w:caps/>
      <w:color w:val="FFFFFF"/>
      <w:szCs w:val="24"/>
      <w:lang w:eastAsia="en-US"/>
    </w:rPr>
  </w:style>
  <w:style w:type="paragraph" w:customStyle="1" w:styleId="BasicParagraph">
    <w:name w:val="[Basic Paragraph]"/>
    <w:basedOn w:val="Normal"/>
    <w:uiPriority w:val="99"/>
    <w:rsid w:val="0099073D"/>
    <w:pPr>
      <w:autoSpaceDE w:val="0"/>
      <w:autoSpaceDN w:val="0"/>
      <w:adjustRightInd w:val="0"/>
      <w:spacing w:after="0" w:line="288" w:lineRule="auto"/>
      <w:textAlignment w:val="center"/>
    </w:pPr>
    <w:rPr>
      <w:rFonts w:ascii="Minion Pro" w:hAnsi="Minion Pro" w:cs="Minion Pro"/>
      <w:color w:val="000000"/>
      <w:sz w:val="24"/>
      <w:lang w:val="en-GB" w:eastAsia="en-AU"/>
    </w:rPr>
  </w:style>
  <w:style w:type="character" w:customStyle="1" w:styleId="FooterChar">
    <w:name w:val="Footer Char"/>
    <w:link w:val="Footer"/>
    <w:uiPriority w:val="99"/>
    <w:rsid w:val="00C86A41"/>
    <w:rPr>
      <w:rFonts w:ascii="Cambria" w:hAnsi="Cambria"/>
      <w:sz w:val="22"/>
      <w:szCs w:val="24"/>
      <w:lang w:eastAsia="en-US"/>
    </w:rPr>
  </w:style>
  <w:style w:type="paragraph" w:styleId="ListBullet">
    <w:name w:val="List Bullet"/>
    <w:basedOn w:val="Normal"/>
    <w:qFormat/>
    <w:rsid w:val="00F93EFA"/>
    <w:pPr>
      <w:numPr>
        <w:numId w:val="20"/>
      </w:numPr>
      <w:spacing w:line="240" w:lineRule="auto"/>
      <w:contextualSpacing/>
    </w:pPr>
  </w:style>
  <w:style w:type="paragraph" w:styleId="ListNumber">
    <w:name w:val="List Number"/>
    <w:basedOn w:val="Normal"/>
    <w:qFormat/>
    <w:rsid w:val="00240CA9"/>
    <w:pPr>
      <w:numPr>
        <w:numId w:val="18"/>
      </w:numPr>
      <w:spacing w:line="240" w:lineRule="auto"/>
      <w:ind w:left="357" w:hanging="357"/>
      <w:contextualSpacing/>
    </w:pPr>
  </w:style>
  <w:style w:type="paragraph" w:customStyle="1" w:styleId="Sourcenotetext">
    <w:name w:val="Source/note text"/>
    <w:qFormat/>
    <w:rsid w:val="00240CA9"/>
    <w:pPr>
      <w:spacing w:before="85" w:after="85"/>
    </w:pPr>
    <w:rPr>
      <w:rFonts w:ascii="Arial" w:hAnsi="Arial" w:cs="Arial"/>
      <w:i/>
      <w:sz w:val="12"/>
      <w:szCs w:val="12"/>
      <w:lang w:eastAsia="en-US"/>
    </w:rPr>
  </w:style>
  <w:style w:type="paragraph" w:styleId="BodyText">
    <w:name w:val="Body Text"/>
    <w:basedOn w:val="Normal"/>
    <w:link w:val="BodyTextChar"/>
    <w:rsid w:val="00240CA9"/>
    <w:pPr>
      <w:spacing w:after="120" w:line="240" w:lineRule="auto"/>
    </w:pPr>
    <w:rPr>
      <w:rFonts w:eastAsia="Cambria"/>
      <w:szCs w:val="22"/>
    </w:rPr>
  </w:style>
  <w:style w:type="character" w:customStyle="1" w:styleId="BodyTextChar">
    <w:name w:val="Body Text Char"/>
    <w:link w:val="BodyText"/>
    <w:rsid w:val="00240CA9"/>
    <w:rPr>
      <w:rFonts w:ascii="Cambria" w:eastAsia="Cambria" w:hAnsi="Cambria"/>
      <w:sz w:val="22"/>
      <w:szCs w:val="22"/>
      <w:lang w:eastAsia="en-US"/>
    </w:rPr>
  </w:style>
  <w:style w:type="paragraph" w:customStyle="1" w:styleId="BodyText2">
    <w:name w:val="Body Text2"/>
    <w:basedOn w:val="Normal"/>
    <w:qFormat/>
    <w:rsid w:val="004C069D"/>
    <w:rPr>
      <w:rFonts w:ascii="Cambria" w:hAnsi="Cambria"/>
    </w:rPr>
  </w:style>
  <w:style w:type="character" w:customStyle="1" w:styleId="LightExpertusefortablenumbers">
    <w:name w:val="Light Expert (use for table numbers)"/>
    <w:rsid w:val="004C069D"/>
  </w:style>
  <w:style w:type="character" w:customStyle="1" w:styleId="SuperscriptTableNote">
    <w:name w:val="Superscript (Table Note)"/>
    <w:rsid w:val="004C069D"/>
    <w:rPr>
      <w:rFonts w:ascii="TheSansSemiBold-Plain" w:hAnsi="TheSansSemiBold-Plain"/>
      <w:b/>
      <w:position w:val="4"/>
      <w:sz w:val="14"/>
    </w:rPr>
  </w:style>
  <w:style w:type="character" w:customStyle="1" w:styleId="SuperscriptBody">
    <w:name w:val="Superscript (Body)"/>
    <w:rsid w:val="004C069D"/>
    <w:rPr>
      <w:rFonts w:ascii="TheSansSemiBold-Plain" w:hAnsi="TheSansSemiBold-Plain"/>
      <w:b/>
      <w:position w:val="6"/>
      <w:sz w:val="14"/>
    </w:rPr>
  </w:style>
  <w:style w:type="character" w:customStyle="1" w:styleId="SuperscriptTableBold">
    <w:name w:val="Superscript (Table Bold)"/>
    <w:rsid w:val="004C069D"/>
    <w:rPr>
      <w:rFonts w:ascii="TheSansSemiBold-Plain" w:hAnsi="TheSansSemiBold-Plain" w:cs="TheSansSemiBold-Plain"/>
      <w:b/>
      <w:bCs/>
      <w:position w:val="4"/>
      <w:sz w:val="14"/>
      <w:szCs w:val="14"/>
    </w:rPr>
  </w:style>
  <w:style w:type="table" w:styleId="LightShading">
    <w:name w:val="Light Shading"/>
    <w:basedOn w:val="TableNormal"/>
    <w:uiPriority w:val="60"/>
    <w:rsid w:val="0032750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TOCHeading">
    <w:name w:val="TOC Heading"/>
    <w:basedOn w:val="Heading1"/>
    <w:next w:val="Normal"/>
    <w:uiPriority w:val="39"/>
    <w:semiHidden/>
    <w:unhideWhenUsed/>
    <w:qFormat/>
    <w:rsid w:val="00220271"/>
    <w:pPr>
      <w:keepLines/>
      <w:spacing w:before="480" w:line="276" w:lineRule="auto"/>
      <w:outlineLvl w:val="9"/>
    </w:pPr>
    <w:rPr>
      <w:rFonts w:ascii="Cambria" w:hAnsi="Cambria"/>
      <w:b w:val="0"/>
      <w:bCs w:val="0"/>
      <w:color w:val="365F91"/>
      <w:spacing w:val="0"/>
      <w:sz w:val="28"/>
      <w:szCs w:val="28"/>
      <w:lang w:eastAsia="ja-JP"/>
    </w:rPr>
  </w:style>
  <w:style w:type="paragraph" w:styleId="TOC1">
    <w:name w:val="toc 1"/>
    <w:basedOn w:val="Normal"/>
    <w:next w:val="Normal"/>
    <w:autoRedefine/>
    <w:uiPriority w:val="39"/>
    <w:rsid w:val="00220271"/>
    <w:pPr>
      <w:spacing w:after="100"/>
    </w:pPr>
  </w:style>
  <w:style w:type="paragraph" w:styleId="TOC3">
    <w:name w:val="toc 3"/>
    <w:basedOn w:val="Normal"/>
    <w:next w:val="Normal"/>
    <w:autoRedefine/>
    <w:uiPriority w:val="39"/>
    <w:rsid w:val="00220271"/>
    <w:pPr>
      <w:spacing w:after="100"/>
      <w:ind w:left="440"/>
    </w:pPr>
  </w:style>
  <w:style w:type="character" w:customStyle="1" w:styleId="TablebodytextChar">
    <w:name w:val="Table body text Char"/>
    <w:link w:val="Tablebodytext"/>
    <w:rsid w:val="00220271"/>
    <w:rPr>
      <w:rFonts w:ascii="Arial" w:hAnsi="Arial"/>
      <w:sz w:val="17"/>
      <w:szCs w:val="24"/>
      <w:lang w:eastAsia="en-US"/>
    </w:rPr>
  </w:style>
  <w:style w:type="paragraph" w:customStyle="1" w:styleId="Heading3nonumbers">
    <w:name w:val="Heading 3 (no numbers)"/>
    <w:basedOn w:val="Heading3"/>
    <w:next w:val="Normal"/>
    <w:qFormat/>
    <w:rsid w:val="00220271"/>
    <w:pPr>
      <w:keepNext/>
      <w:keepLines/>
      <w:spacing w:before="284" w:after="113" w:line="240" w:lineRule="auto"/>
    </w:pPr>
    <w:rPr>
      <w:bCs w:val="0"/>
      <w:color w:val="auto"/>
      <w:sz w:val="26"/>
      <w:szCs w:val="26"/>
    </w:rPr>
  </w:style>
  <w:style w:type="paragraph" w:styleId="TOC2">
    <w:name w:val="toc 2"/>
    <w:basedOn w:val="Normal"/>
    <w:next w:val="Normal"/>
    <w:autoRedefine/>
    <w:uiPriority w:val="39"/>
    <w:rsid w:val="00220271"/>
    <w:pPr>
      <w:spacing w:after="100"/>
      <w:ind w:left="220"/>
    </w:pPr>
  </w:style>
  <w:style w:type="paragraph" w:styleId="ListParagraph">
    <w:name w:val="List Paragraph"/>
    <w:basedOn w:val="Normal"/>
    <w:uiPriority w:val="34"/>
    <w:qFormat/>
    <w:rsid w:val="00B52E93"/>
    <w:pPr>
      <w:spacing w:after="0" w:line="240" w:lineRule="auto"/>
      <w:ind w:left="720"/>
    </w:pPr>
    <w:rPr>
      <w:rFonts w:ascii="Calibri" w:eastAsia="Calibri" w:hAnsi="Calibri" w:cs="Calibri"/>
      <w:szCs w:val="22"/>
    </w:rPr>
  </w:style>
  <w:style w:type="paragraph" w:customStyle="1" w:styleId="Proposaltitle">
    <w:name w:val="Proposal title"/>
    <w:basedOn w:val="Tablebodytext"/>
    <w:link w:val="ProposaltitleChar"/>
    <w:qFormat/>
    <w:rsid w:val="00B52E93"/>
    <w:pPr>
      <w:spacing w:line="240" w:lineRule="auto"/>
    </w:pPr>
    <w:rPr>
      <w:b/>
    </w:rPr>
  </w:style>
  <w:style w:type="character" w:customStyle="1" w:styleId="ProposaltitleChar">
    <w:name w:val="Proposal title Char"/>
    <w:link w:val="Proposaltitle"/>
    <w:locked/>
    <w:rsid w:val="00B52E93"/>
    <w:rPr>
      <w:rFonts w:ascii="Arial" w:hAnsi="Arial"/>
      <w:b/>
      <w:sz w:val="17"/>
      <w:szCs w:val="24"/>
      <w:lang w:eastAsia="en-US"/>
    </w:rPr>
  </w:style>
  <w:style w:type="paragraph" w:customStyle="1" w:styleId="TableUnitsRow">
    <w:name w:val="Table Units Row"/>
    <w:basedOn w:val="Normal"/>
    <w:rsid w:val="00B52E93"/>
    <w:pPr>
      <w:keepNext/>
      <w:keepLines/>
      <w:spacing w:before="80" w:after="80" w:line="220" w:lineRule="atLeast"/>
      <w:ind w:left="6" w:right="113"/>
      <w:jc w:val="right"/>
    </w:pPr>
    <w:rPr>
      <w:sz w:val="20"/>
      <w:szCs w:val="20"/>
      <w:lang w:val="en-US"/>
    </w:rPr>
  </w:style>
  <w:style w:type="paragraph" w:customStyle="1" w:styleId="TableColumnHeading0">
    <w:name w:val="Table Column Heading"/>
    <w:basedOn w:val="Normal"/>
    <w:rsid w:val="00B52E93"/>
    <w:pPr>
      <w:keepNext/>
      <w:keepLines/>
      <w:spacing w:before="80" w:after="80" w:line="220" w:lineRule="atLeast"/>
      <w:ind w:left="6" w:right="113"/>
      <w:jc w:val="right"/>
    </w:pPr>
    <w:rPr>
      <w:i/>
      <w:sz w:val="20"/>
      <w:szCs w:val="20"/>
      <w:lang w:val="en-US"/>
    </w:rPr>
  </w:style>
  <w:style w:type="character" w:customStyle="1" w:styleId="Heading2Char">
    <w:name w:val="Heading 2 Char"/>
    <w:link w:val="Heading2"/>
    <w:rsid w:val="00D16882"/>
    <w:rPr>
      <w:rFonts w:ascii="Arial" w:hAnsi="Arial"/>
      <w:b/>
      <w:spacing w:val="-6"/>
      <w:sz w:val="26"/>
      <w:szCs w:val="26"/>
      <w:lang w:eastAsia="en-US"/>
    </w:rPr>
  </w:style>
  <w:style w:type="table" w:styleId="MediumGrid1-Accent6">
    <w:name w:val="Medium Grid 1 Accent 6"/>
    <w:basedOn w:val="TableNormal"/>
    <w:uiPriority w:val="67"/>
    <w:rsid w:val="0088765D"/>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
    <w:name w:val="Medium Grid 1 - Accent 61"/>
    <w:basedOn w:val="TableNormal"/>
    <w:next w:val="MediumGrid1-Accent6"/>
    <w:uiPriority w:val="67"/>
    <w:rsid w:val="00DC36DA"/>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2">
    <w:name w:val="Medium Grid 1 - Accent 62"/>
    <w:basedOn w:val="TableNormal"/>
    <w:next w:val="MediumGrid1-Accent6"/>
    <w:uiPriority w:val="67"/>
    <w:rsid w:val="001934B1"/>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3">
    <w:name w:val="Medium Grid 1 - Accent 63"/>
    <w:basedOn w:val="TableNormal"/>
    <w:next w:val="MediumGrid1-Accent6"/>
    <w:uiPriority w:val="67"/>
    <w:rsid w:val="00202058"/>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4">
    <w:name w:val="Medium Grid 1 - Accent 64"/>
    <w:basedOn w:val="TableNormal"/>
    <w:next w:val="MediumGrid1-Accent6"/>
    <w:uiPriority w:val="67"/>
    <w:rsid w:val="00607F7F"/>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CommentReference">
    <w:name w:val="annotation reference"/>
    <w:uiPriority w:val="99"/>
    <w:semiHidden/>
    <w:rsid w:val="0004563F"/>
    <w:rPr>
      <w:sz w:val="16"/>
      <w:szCs w:val="16"/>
    </w:rPr>
  </w:style>
  <w:style w:type="paragraph" w:styleId="CommentText">
    <w:name w:val="annotation text"/>
    <w:basedOn w:val="Normal"/>
    <w:link w:val="CommentTextChar"/>
    <w:uiPriority w:val="99"/>
    <w:semiHidden/>
    <w:rsid w:val="0004563F"/>
    <w:pPr>
      <w:spacing w:line="240" w:lineRule="auto"/>
    </w:pPr>
    <w:rPr>
      <w:sz w:val="20"/>
      <w:szCs w:val="20"/>
    </w:rPr>
  </w:style>
  <w:style w:type="character" w:customStyle="1" w:styleId="CommentTextChar">
    <w:name w:val="Comment Text Char"/>
    <w:link w:val="CommentText"/>
    <w:uiPriority w:val="99"/>
    <w:semiHidden/>
    <w:rsid w:val="0004563F"/>
    <w:rPr>
      <w:rFonts w:ascii="Arial" w:hAnsi="Arial"/>
      <w:lang w:eastAsia="en-US"/>
    </w:rPr>
  </w:style>
  <w:style w:type="paragraph" w:styleId="CommentSubject">
    <w:name w:val="annotation subject"/>
    <w:basedOn w:val="CommentText"/>
    <w:next w:val="CommentText"/>
    <w:link w:val="CommentSubjectChar"/>
    <w:uiPriority w:val="99"/>
    <w:semiHidden/>
    <w:rsid w:val="0004563F"/>
    <w:rPr>
      <w:b/>
      <w:bCs/>
    </w:rPr>
  </w:style>
  <w:style w:type="character" w:customStyle="1" w:styleId="CommentSubjectChar">
    <w:name w:val="Comment Subject Char"/>
    <w:link w:val="CommentSubject"/>
    <w:uiPriority w:val="99"/>
    <w:semiHidden/>
    <w:rsid w:val="0004563F"/>
    <w:rPr>
      <w:rFonts w:ascii="Arial" w:hAnsi="Arial"/>
      <w:b/>
      <w:bCs/>
      <w:lang w:eastAsia="en-US"/>
    </w:rPr>
  </w:style>
  <w:style w:type="table" w:customStyle="1" w:styleId="MediumGrid1-Accent65">
    <w:name w:val="Medium Grid 1 - Accent 65"/>
    <w:basedOn w:val="TableNormal"/>
    <w:next w:val="MediumGrid1-Accent6"/>
    <w:uiPriority w:val="67"/>
    <w:rsid w:val="00AC2262"/>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6">
    <w:name w:val="Medium Grid 1 - Accent 66"/>
    <w:basedOn w:val="TableNormal"/>
    <w:next w:val="MediumGrid1-Accent6"/>
    <w:uiPriority w:val="67"/>
    <w:rsid w:val="00456BF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7">
    <w:name w:val="Medium Grid 1 - Accent 67"/>
    <w:basedOn w:val="TableNormal"/>
    <w:next w:val="MediumGrid1-Accent6"/>
    <w:uiPriority w:val="67"/>
    <w:rsid w:val="00C97C9B"/>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8">
    <w:name w:val="Medium Grid 1 - Accent 68"/>
    <w:basedOn w:val="TableNormal"/>
    <w:next w:val="MediumGrid1-Accent6"/>
    <w:uiPriority w:val="67"/>
    <w:rsid w:val="009C41A4"/>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customStyle="1" w:styleId="Heading3Char">
    <w:name w:val="Heading 3 Char"/>
    <w:link w:val="Heading3"/>
    <w:rsid w:val="00AF6F6A"/>
    <w:rPr>
      <w:rFonts w:ascii="Arial" w:hAnsi="Arial"/>
      <w:b/>
      <w:bCs/>
      <w:color w:val="F79646"/>
      <w:spacing w:val="-6"/>
      <w:sz w:val="22"/>
      <w:szCs w:val="22"/>
      <w:lang w:eastAsia="en-US"/>
    </w:rPr>
  </w:style>
  <w:style w:type="table" w:customStyle="1" w:styleId="MediumGrid1-Accent69">
    <w:name w:val="Medium Grid 1 - Accent 69"/>
    <w:basedOn w:val="TableNormal"/>
    <w:next w:val="MediumGrid1-Accent6"/>
    <w:uiPriority w:val="67"/>
    <w:rsid w:val="00747569"/>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1">
    <w:name w:val="Medium Grid 1 - Accent 611"/>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0">
    <w:name w:val="Medium Grid 1 - Accent 610"/>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2">
    <w:name w:val="Medium Grid 1 - Accent 612"/>
    <w:basedOn w:val="TableNormal"/>
    <w:next w:val="MediumGrid1-Accent6"/>
    <w:uiPriority w:val="67"/>
    <w:rsid w:val="007B70F0"/>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3">
    <w:name w:val="Medium Grid 1 - Accent 613"/>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4">
    <w:name w:val="Medium Grid 1 - Accent 614"/>
    <w:basedOn w:val="TableNormal"/>
    <w:next w:val="MediumGrid1-Accent6"/>
    <w:uiPriority w:val="67"/>
    <w:rsid w:val="00F34D33"/>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ediumGrid1-Accent615">
    <w:name w:val="Medium Grid 1 - Accent 615"/>
    <w:basedOn w:val="TableNormal"/>
    <w:next w:val="MediumGrid1-Accent6"/>
    <w:uiPriority w:val="67"/>
    <w:rsid w:val="00686906"/>
    <w:rPr>
      <w:rFonts w:ascii="Calibri" w:eastAsia="Calibri" w:hAnsi="Calibri"/>
      <w:sz w:val="22"/>
      <w:szCs w:val="22"/>
      <w:lang w:eastAsia="en-U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FollowedHyperlink">
    <w:name w:val="FollowedHyperlink"/>
    <w:uiPriority w:val="99"/>
    <w:semiHidden/>
    <w:rsid w:val="00FB7969"/>
    <w:rPr>
      <w:color w:val="800080"/>
      <w:u w:val="single"/>
    </w:rPr>
  </w:style>
  <w:style w:type="paragraph" w:customStyle="1" w:styleId="note">
    <w:name w:val="note"/>
    <w:basedOn w:val="Normal"/>
    <w:uiPriority w:val="99"/>
    <w:rsid w:val="00730ADC"/>
    <w:pPr>
      <w:widowControl w:val="0"/>
      <w:suppressAutoHyphens/>
      <w:autoSpaceDE w:val="0"/>
      <w:autoSpaceDN w:val="0"/>
      <w:adjustRightInd w:val="0"/>
      <w:spacing w:after="113" w:line="200" w:lineRule="atLeast"/>
      <w:textAlignment w:val="center"/>
    </w:pPr>
    <w:rPr>
      <w:rFonts w:cs="Interstate-Light"/>
      <w:color w:val="000000"/>
      <w:sz w:val="18"/>
      <w:szCs w:val="16"/>
      <w:lang w:val="en-GB"/>
    </w:rPr>
  </w:style>
  <w:style w:type="paragraph" w:customStyle="1" w:styleId="TableParagraph">
    <w:name w:val="Table Paragraph"/>
    <w:basedOn w:val="Normal"/>
    <w:uiPriority w:val="1"/>
    <w:qFormat/>
    <w:rsid w:val="00730ADC"/>
    <w:pPr>
      <w:widowControl w:val="0"/>
      <w:autoSpaceDE w:val="0"/>
      <w:autoSpaceDN w:val="0"/>
      <w:adjustRightInd w:val="0"/>
      <w:spacing w:after="0" w:line="240" w:lineRule="auto"/>
    </w:pPr>
    <w:rPr>
      <w:rFonts w:ascii="Times New Roman" w:eastAsia="MS Mincho" w:hAnsi="Times New Roman"/>
      <w:sz w:val="24"/>
      <w:lang w:eastAsia="en-AU"/>
    </w:rPr>
  </w:style>
  <w:style w:type="paragraph" w:styleId="NormalWeb">
    <w:name w:val="Normal (Web)"/>
    <w:basedOn w:val="Normal"/>
    <w:uiPriority w:val="99"/>
    <w:unhideWhenUsed/>
    <w:rsid w:val="00F5787B"/>
    <w:pPr>
      <w:spacing w:after="0" w:line="240" w:lineRule="auto"/>
      <w:textAlignment w:val="baseline"/>
    </w:pPr>
    <w:rPr>
      <w:rFonts w:ascii="Times New Roman" w:hAnsi="Times New Roman"/>
      <w:sz w:val="24"/>
      <w:lang w:eastAsia="en-AU"/>
    </w:rPr>
  </w:style>
  <w:style w:type="character" w:styleId="Emphasis">
    <w:name w:val="Emphasis"/>
    <w:basedOn w:val="DefaultParagraphFont"/>
    <w:uiPriority w:val="20"/>
    <w:qFormat/>
    <w:rsid w:val="006F68B9"/>
    <w:rPr>
      <w:i/>
      <w:iCs/>
      <w:sz w:val="24"/>
      <w:szCs w:val="24"/>
      <w:bdr w:val="none" w:sz="0" w:space="0" w:color="auto" w:frame="1"/>
      <w:vertAlign w:val="baseline"/>
    </w:rPr>
  </w:style>
  <w:style w:type="character" w:styleId="Strong">
    <w:name w:val="Strong"/>
    <w:basedOn w:val="DefaultParagraphFont"/>
    <w:uiPriority w:val="22"/>
    <w:qFormat/>
    <w:rsid w:val="002B13BF"/>
    <w:rPr>
      <w:b/>
      <w:bCs/>
      <w:sz w:val="24"/>
      <w:szCs w:val="24"/>
      <w:bdr w:val="none" w:sz="0" w:space="0" w:color="auto" w:frame="1"/>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1299">
      <w:bodyDiv w:val="1"/>
      <w:marLeft w:val="0"/>
      <w:marRight w:val="0"/>
      <w:marTop w:val="0"/>
      <w:marBottom w:val="0"/>
      <w:divBdr>
        <w:top w:val="none" w:sz="0" w:space="0" w:color="auto"/>
        <w:left w:val="none" w:sz="0" w:space="0" w:color="auto"/>
        <w:bottom w:val="none" w:sz="0" w:space="0" w:color="auto"/>
        <w:right w:val="none" w:sz="0" w:space="0" w:color="auto"/>
      </w:divBdr>
    </w:div>
    <w:div w:id="42217104">
      <w:bodyDiv w:val="1"/>
      <w:marLeft w:val="0"/>
      <w:marRight w:val="0"/>
      <w:marTop w:val="0"/>
      <w:marBottom w:val="0"/>
      <w:divBdr>
        <w:top w:val="none" w:sz="0" w:space="0" w:color="auto"/>
        <w:left w:val="none" w:sz="0" w:space="0" w:color="auto"/>
        <w:bottom w:val="none" w:sz="0" w:space="0" w:color="auto"/>
        <w:right w:val="none" w:sz="0" w:space="0" w:color="auto"/>
      </w:divBdr>
    </w:div>
    <w:div w:id="118452271">
      <w:bodyDiv w:val="1"/>
      <w:marLeft w:val="0"/>
      <w:marRight w:val="0"/>
      <w:marTop w:val="0"/>
      <w:marBottom w:val="0"/>
      <w:divBdr>
        <w:top w:val="none" w:sz="0" w:space="0" w:color="auto"/>
        <w:left w:val="none" w:sz="0" w:space="0" w:color="auto"/>
        <w:bottom w:val="none" w:sz="0" w:space="0" w:color="auto"/>
        <w:right w:val="none" w:sz="0" w:space="0" w:color="auto"/>
      </w:divBdr>
      <w:divsChild>
        <w:div w:id="1907256248">
          <w:marLeft w:val="0"/>
          <w:marRight w:val="0"/>
          <w:marTop w:val="0"/>
          <w:marBottom w:val="0"/>
          <w:divBdr>
            <w:top w:val="none" w:sz="0" w:space="0" w:color="auto"/>
            <w:left w:val="none" w:sz="0" w:space="0" w:color="auto"/>
            <w:bottom w:val="none" w:sz="0" w:space="0" w:color="auto"/>
            <w:right w:val="none" w:sz="0" w:space="0" w:color="auto"/>
          </w:divBdr>
          <w:divsChild>
            <w:div w:id="1194465972">
              <w:marLeft w:val="0"/>
              <w:marRight w:val="0"/>
              <w:marTop w:val="0"/>
              <w:marBottom w:val="0"/>
              <w:divBdr>
                <w:top w:val="none" w:sz="0" w:space="0" w:color="auto"/>
                <w:left w:val="none" w:sz="0" w:space="0" w:color="auto"/>
                <w:bottom w:val="none" w:sz="0" w:space="0" w:color="auto"/>
                <w:right w:val="none" w:sz="0" w:space="0" w:color="auto"/>
              </w:divBdr>
              <w:divsChild>
                <w:div w:id="122311968">
                  <w:marLeft w:val="0"/>
                  <w:marRight w:val="0"/>
                  <w:marTop w:val="0"/>
                  <w:marBottom w:val="0"/>
                  <w:divBdr>
                    <w:top w:val="none" w:sz="0" w:space="0" w:color="auto"/>
                    <w:left w:val="none" w:sz="0" w:space="0" w:color="auto"/>
                    <w:bottom w:val="none" w:sz="0" w:space="0" w:color="auto"/>
                    <w:right w:val="none" w:sz="0" w:space="0" w:color="auto"/>
                  </w:divBdr>
                  <w:divsChild>
                    <w:div w:id="1788695785">
                      <w:marLeft w:val="150"/>
                      <w:marRight w:val="150"/>
                      <w:marTop w:val="0"/>
                      <w:marBottom w:val="0"/>
                      <w:divBdr>
                        <w:top w:val="none" w:sz="0" w:space="0" w:color="auto"/>
                        <w:left w:val="none" w:sz="0" w:space="0" w:color="auto"/>
                        <w:bottom w:val="none" w:sz="0" w:space="0" w:color="auto"/>
                        <w:right w:val="none" w:sz="0" w:space="0" w:color="auto"/>
                      </w:divBdr>
                      <w:divsChild>
                        <w:div w:id="117265163">
                          <w:marLeft w:val="0"/>
                          <w:marRight w:val="0"/>
                          <w:marTop w:val="0"/>
                          <w:marBottom w:val="0"/>
                          <w:divBdr>
                            <w:top w:val="none" w:sz="0" w:space="0" w:color="auto"/>
                            <w:left w:val="none" w:sz="0" w:space="0" w:color="auto"/>
                            <w:bottom w:val="none" w:sz="0" w:space="0" w:color="auto"/>
                            <w:right w:val="none" w:sz="0" w:space="0" w:color="auto"/>
                          </w:divBdr>
                          <w:divsChild>
                            <w:div w:id="487131837">
                              <w:marLeft w:val="0"/>
                              <w:marRight w:val="0"/>
                              <w:marTop w:val="0"/>
                              <w:marBottom w:val="0"/>
                              <w:divBdr>
                                <w:top w:val="none" w:sz="0" w:space="0" w:color="auto"/>
                                <w:left w:val="none" w:sz="0" w:space="0" w:color="auto"/>
                                <w:bottom w:val="none" w:sz="0" w:space="0" w:color="auto"/>
                                <w:right w:val="none" w:sz="0" w:space="0" w:color="auto"/>
                              </w:divBdr>
                              <w:divsChild>
                                <w:div w:id="402795891">
                                  <w:marLeft w:val="0"/>
                                  <w:marRight w:val="0"/>
                                  <w:marTop w:val="0"/>
                                  <w:marBottom w:val="0"/>
                                  <w:divBdr>
                                    <w:top w:val="none" w:sz="0" w:space="0" w:color="auto"/>
                                    <w:left w:val="none" w:sz="0" w:space="0" w:color="auto"/>
                                    <w:bottom w:val="none" w:sz="0" w:space="0" w:color="auto"/>
                                    <w:right w:val="none" w:sz="0" w:space="0" w:color="auto"/>
                                  </w:divBdr>
                                  <w:divsChild>
                                    <w:div w:id="1831868818">
                                      <w:marLeft w:val="0"/>
                                      <w:marRight w:val="0"/>
                                      <w:marTop w:val="0"/>
                                      <w:marBottom w:val="0"/>
                                      <w:divBdr>
                                        <w:top w:val="none" w:sz="0" w:space="0" w:color="auto"/>
                                        <w:left w:val="none" w:sz="0" w:space="0" w:color="auto"/>
                                        <w:bottom w:val="none" w:sz="0" w:space="0" w:color="auto"/>
                                        <w:right w:val="none" w:sz="0" w:space="0" w:color="auto"/>
                                      </w:divBdr>
                                      <w:divsChild>
                                        <w:div w:id="1101877683">
                                          <w:marLeft w:val="0"/>
                                          <w:marRight w:val="0"/>
                                          <w:marTop w:val="0"/>
                                          <w:marBottom w:val="0"/>
                                          <w:divBdr>
                                            <w:top w:val="none" w:sz="0" w:space="0" w:color="auto"/>
                                            <w:left w:val="none" w:sz="0" w:space="0" w:color="auto"/>
                                            <w:bottom w:val="none" w:sz="0" w:space="0" w:color="auto"/>
                                            <w:right w:val="none" w:sz="0" w:space="0" w:color="auto"/>
                                          </w:divBdr>
                                          <w:divsChild>
                                            <w:div w:id="1522474161">
                                              <w:marLeft w:val="0"/>
                                              <w:marRight w:val="0"/>
                                              <w:marTop w:val="0"/>
                                              <w:marBottom w:val="0"/>
                                              <w:divBdr>
                                                <w:top w:val="none" w:sz="0" w:space="0" w:color="auto"/>
                                                <w:left w:val="none" w:sz="0" w:space="0" w:color="auto"/>
                                                <w:bottom w:val="none" w:sz="0" w:space="0" w:color="auto"/>
                                                <w:right w:val="none" w:sz="0" w:space="0" w:color="auto"/>
                                              </w:divBdr>
                                              <w:divsChild>
                                                <w:div w:id="1223251913">
                                                  <w:marLeft w:val="0"/>
                                                  <w:marRight w:val="0"/>
                                                  <w:marTop w:val="0"/>
                                                  <w:marBottom w:val="0"/>
                                                  <w:divBdr>
                                                    <w:top w:val="none" w:sz="0" w:space="0" w:color="auto"/>
                                                    <w:left w:val="none" w:sz="0" w:space="0" w:color="auto"/>
                                                    <w:bottom w:val="none" w:sz="0" w:space="0" w:color="auto"/>
                                                    <w:right w:val="none" w:sz="0" w:space="0" w:color="auto"/>
                                                  </w:divBdr>
                                                  <w:divsChild>
                                                    <w:div w:id="10647959">
                                                      <w:marLeft w:val="0"/>
                                                      <w:marRight w:val="0"/>
                                                      <w:marTop w:val="0"/>
                                                      <w:marBottom w:val="0"/>
                                                      <w:divBdr>
                                                        <w:top w:val="none" w:sz="0" w:space="0" w:color="auto"/>
                                                        <w:left w:val="none" w:sz="0" w:space="0" w:color="auto"/>
                                                        <w:bottom w:val="none" w:sz="0" w:space="0" w:color="auto"/>
                                                        <w:right w:val="none" w:sz="0" w:space="0" w:color="auto"/>
                                                      </w:divBdr>
                                                      <w:divsChild>
                                                        <w:div w:id="177867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6241732">
      <w:bodyDiv w:val="1"/>
      <w:marLeft w:val="0"/>
      <w:marRight w:val="0"/>
      <w:marTop w:val="0"/>
      <w:marBottom w:val="0"/>
      <w:divBdr>
        <w:top w:val="none" w:sz="0" w:space="0" w:color="auto"/>
        <w:left w:val="none" w:sz="0" w:space="0" w:color="auto"/>
        <w:bottom w:val="none" w:sz="0" w:space="0" w:color="auto"/>
        <w:right w:val="none" w:sz="0" w:space="0" w:color="auto"/>
      </w:divBdr>
    </w:div>
    <w:div w:id="137234775">
      <w:bodyDiv w:val="1"/>
      <w:marLeft w:val="0"/>
      <w:marRight w:val="0"/>
      <w:marTop w:val="0"/>
      <w:marBottom w:val="0"/>
      <w:divBdr>
        <w:top w:val="none" w:sz="0" w:space="0" w:color="auto"/>
        <w:left w:val="none" w:sz="0" w:space="0" w:color="auto"/>
        <w:bottom w:val="none" w:sz="0" w:space="0" w:color="auto"/>
        <w:right w:val="none" w:sz="0" w:space="0" w:color="auto"/>
      </w:divBdr>
    </w:div>
    <w:div w:id="161431739">
      <w:bodyDiv w:val="1"/>
      <w:marLeft w:val="0"/>
      <w:marRight w:val="0"/>
      <w:marTop w:val="0"/>
      <w:marBottom w:val="0"/>
      <w:divBdr>
        <w:top w:val="none" w:sz="0" w:space="0" w:color="auto"/>
        <w:left w:val="none" w:sz="0" w:space="0" w:color="auto"/>
        <w:bottom w:val="none" w:sz="0" w:space="0" w:color="auto"/>
        <w:right w:val="none" w:sz="0" w:space="0" w:color="auto"/>
      </w:divBdr>
    </w:div>
    <w:div w:id="169881084">
      <w:bodyDiv w:val="1"/>
      <w:marLeft w:val="0"/>
      <w:marRight w:val="0"/>
      <w:marTop w:val="0"/>
      <w:marBottom w:val="0"/>
      <w:divBdr>
        <w:top w:val="none" w:sz="0" w:space="0" w:color="auto"/>
        <w:left w:val="none" w:sz="0" w:space="0" w:color="auto"/>
        <w:bottom w:val="none" w:sz="0" w:space="0" w:color="auto"/>
        <w:right w:val="none" w:sz="0" w:space="0" w:color="auto"/>
      </w:divBdr>
    </w:div>
    <w:div w:id="180973459">
      <w:bodyDiv w:val="1"/>
      <w:marLeft w:val="0"/>
      <w:marRight w:val="0"/>
      <w:marTop w:val="0"/>
      <w:marBottom w:val="0"/>
      <w:divBdr>
        <w:top w:val="none" w:sz="0" w:space="0" w:color="auto"/>
        <w:left w:val="none" w:sz="0" w:space="0" w:color="auto"/>
        <w:bottom w:val="none" w:sz="0" w:space="0" w:color="auto"/>
        <w:right w:val="none" w:sz="0" w:space="0" w:color="auto"/>
      </w:divBdr>
    </w:div>
    <w:div w:id="231625369">
      <w:bodyDiv w:val="1"/>
      <w:marLeft w:val="0"/>
      <w:marRight w:val="0"/>
      <w:marTop w:val="0"/>
      <w:marBottom w:val="0"/>
      <w:divBdr>
        <w:top w:val="none" w:sz="0" w:space="0" w:color="auto"/>
        <w:left w:val="none" w:sz="0" w:space="0" w:color="auto"/>
        <w:bottom w:val="none" w:sz="0" w:space="0" w:color="auto"/>
        <w:right w:val="none" w:sz="0" w:space="0" w:color="auto"/>
      </w:divBdr>
    </w:div>
    <w:div w:id="315229492">
      <w:bodyDiv w:val="1"/>
      <w:marLeft w:val="0"/>
      <w:marRight w:val="0"/>
      <w:marTop w:val="0"/>
      <w:marBottom w:val="0"/>
      <w:divBdr>
        <w:top w:val="none" w:sz="0" w:space="0" w:color="auto"/>
        <w:left w:val="none" w:sz="0" w:space="0" w:color="auto"/>
        <w:bottom w:val="none" w:sz="0" w:space="0" w:color="auto"/>
        <w:right w:val="none" w:sz="0" w:space="0" w:color="auto"/>
      </w:divBdr>
      <w:divsChild>
        <w:div w:id="636836507">
          <w:marLeft w:val="0"/>
          <w:marRight w:val="0"/>
          <w:marTop w:val="0"/>
          <w:marBottom w:val="0"/>
          <w:divBdr>
            <w:top w:val="none" w:sz="0" w:space="0" w:color="auto"/>
            <w:left w:val="none" w:sz="0" w:space="0" w:color="auto"/>
            <w:bottom w:val="none" w:sz="0" w:space="0" w:color="auto"/>
            <w:right w:val="none" w:sz="0" w:space="0" w:color="auto"/>
          </w:divBdr>
          <w:divsChild>
            <w:div w:id="1792166454">
              <w:marLeft w:val="0"/>
              <w:marRight w:val="0"/>
              <w:marTop w:val="0"/>
              <w:marBottom w:val="0"/>
              <w:divBdr>
                <w:top w:val="none" w:sz="0" w:space="0" w:color="auto"/>
                <w:left w:val="none" w:sz="0" w:space="0" w:color="auto"/>
                <w:bottom w:val="none" w:sz="0" w:space="0" w:color="auto"/>
                <w:right w:val="none" w:sz="0" w:space="0" w:color="auto"/>
              </w:divBdr>
              <w:divsChild>
                <w:div w:id="1964071855">
                  <w:marLeft w:val="0"/>
                  <w:marRight w:val="0"/>
                  <w:marTop w:val="0"/>
                  <w:marBottom w:val="0"/>
                  <w:divBdr>
                    <w:top w:val="none" w:sz="0" w:space="0" w:color="auto"/>
                    <w:left w:val="none" w:sz="0" w:space="0" w:color="auto"/>
                    <w:bottom w:val="none" w:sz="0" w:space="0" w:color="auto"/>
                    <w:right w:val="none" w:sz="0" w:space="0" w:color="auto"/>
                  </w:divBdr>
                  <w:divsChild>
                    <w:div w:id="1654984718">
                      <w:marLeft w:val="150"/>
                      <w:marRight w:val="150"/>
                      <w:marTop w:val="0"/>
                      <w:marBottom w:val="0"/>
                      <w:divBdr>
                        <w:top w:val="none" w:sz="0" w:space="0" w:color="auto"/>
                        <w:left w:val="none" w:sz="0" w:space="0" w:color="auto"/>
                        <w:bottom w:val="none" w:sz="0" w:space="0" w:color="auto"/>
                        <w:right w:val="none" w:sz="0" w:space="0" w:color="auto"/>
                      </w:divBdr>
                      <w:divsChild>
                        <w:div w:id="1020743314">
                          <w:marLeft w:val="0"/>
                          <w:marRight w:val="0"/>
                          <w:marTop w:val="0"/>
                          <w:marBottom w:val="0"/>
                          <w:divBdr>
                            <w:top w:val="none" w:sz="0" w:space="0" w:color="auto"/>
                            <w:left w:val="none" w:sz="0" w:space="0" w:color="auto"/>
                            <w:bottom w:val="none" w:sz="0" w:space="0" w:color="auto"/>
                            <w:right w:val="none" w:sz="0" w:space="0" w:color="auto"/>
                          </w:divBdr>
                          <w:divsChild>
                            <w:div w:id="1938246983">
                              <w:marLeft w:val="0"/>
                              <w:marRight w:val="0"/>
                              <w:marTop w:val="0"/>
                              <w:marBottom w:val="0"/>
                              <w:divBdr>
                                <w:top w:val="none" w:sz="0" w:space="0" w:color="auto"/>
                                <w:left w:val="none" w:sz="0" w:space="0" w:color="auto"/>
                                <w:bottom w:val="none" w:sz="0" w:space="0" w:color="auto"/>
                                <w:right w:val="none" w:sz="0" w:space="0" w:color="auto"/>
                              </w:divBdr>
                              <w:divsChild>
                                <w:div w:id="882212509">
                                  <w:marLeft w:val="0"/>
                                  <w:marRight w:val="0"/>
                                  <w:marTop w:val="0"/>
                                  <w:marBottom w:val="0"/>
                                  <w:divBdr>
                                    <w:top w:val="none" w:sz="0" w:space="0" w:color="auto"/>
                                    <w:left w:val="none" w:sz="0" w:space="0" w:color="auto"/>
                                    <w:bottom w:val="none" w:sz="0" w:space="0" w:color="auto"/>
                                    <w:right w:val="none" w:sz="0" w:space="0" w:color="auto"/>
                                  </w:divBdr>
                                  <w:divsChild>
                                    <w:div w:id="1141921469">
                                      <w:marLeft w:val="0"/>
                                      <w:marRight w:val="0"/>
                                      <w:marTop w:val="0"/>
                                      <w:marBottom w:val="0"/>
                                      <w:divBdr>
                                        <w:top w:val="none" w:sz="0" w:space="0" w:color="auto"/>
                                        <w:left w:val="none" w:sz="0" w:space="0" w:color="auto"/>
                                        <w:bottom w:val="none" w:sz="0" w:space="0" w:color="auto"/>
                                        <w:right w:val="none" w:sz="0" w:space="0" w:color="auto"/>
                                      </w:divBdr>
                                      <w:divsChild>
                                        <w:div w:id="1179657574">
                                          <w:marLeft w:val="0"/>
                                          <w:marRight w:val="0"/>
                                          <w:marTop w:val="0"/>
                                          <w:marBottom w:val="0"/>
                                          <w:divBdr>
                                            <w:top w:val="none" w:sz="0" w:space="0" w:color="auto"/>
                                            <w:left w:val="none" w:sz="0" w:space="0" w:color="auto"/>
                                            <w:bottom w:val="none" w:sz="0" w:space="0" w:color="auto"/>
                                            <w:right w:val="none" w:sz="0" w:space="0" w:color="auto"/>
                                          </w:divBdr>
                                          <w:divsChild>
                                            <w:div w:id="1025012632">
                                              <w:marLeft w:val="0"/>
                                              <w:marRight w:val="0"/>
                                              <w:marTop w:val="0"/>
                                              <w:marBottom w:val="0"/>
                                              <w:divBdr>
                                                <w:top w:val="none" w:sz="0" w:space="0" w:color="auto"/>
                                                <w:left w:val="none" w:sz="0" w:space="0" w:color="auto"/>
                                                <w:bottom w:val="none" w:sz="0" w:space="0" w:color="auto"/>
                                                <w:right w:val="none" w:sz="0" w:space="0" w:color="auto"/>
                                              </w:divBdr>
                                              <w:divsChild>
                                                <w:div w:id="134109212">
                                                  <w:marLeft w:val="0"/>
                                                  <w:marRight w:val="0"/>
                                                  <w:marTop w:val="0"/>
                                                  <w:marBottom w:val="0"/>
                                                  <w:divBdr>
                                                    <w:top w:val="none" w:sz="0" w:space="0" w:color="auto"/>
                                                    <w:left w:val="none" w:sz="0" w:space="0" w:color="auto"/>
                                                    <w:bottom w:val="none" w:sz="0" w:space="0" w:color="auto"/>
                                                    <w:right w:val="none" w:sz="0" w:space="0" w:color="auto"/>
                                                  </w:divBdr>
                                                  <w:divsChild>
                                                    <w:div w:id="508181462">
                                                      <w:marLeft w:val="0"/>
                                                      <w:marRight w:val="0"/>
                                                      <w:marTop w:val="0"/>
                                                      <w:marBottom w:val="0"/>
                                                      <w:divBdr>
                                                        <w:top w:val="none" w:sz="0" w:space="0" w:color="auto"/>
                                                        <w:left w:val="none" w:sz="0" w:space="0" w:color="auto"/>
                                                        <w:bottom w:val="none" w:sz="0" w:space="0" w:color="auto"/>
                                                        <w:right w:val="none" w:sz="0" w:space="0" w:color="auto"/>
                                                      </w:divBdr>
                                                      <w:divsChild>
                                                        <w:div w:id="7711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3412645">
      <w:bodyDiv w:val="1"/>
      <w:marLeft w:val="0"/>
      <w:marRight w:val="0"/>
      <w:marTop w:val="0"/>
      <w:marBottom w:val="0"/>
      <w:divBdr>
        <w:top w:val="none" w:sz="0" w:space="0" w:color="auto"/>
        <w:left w:val="none" w:sz="0" w:space="0" w:color="auto"/>
        <w:bottom w:val="none" w:sz="0" w:space="0" w:color="auto"/>
        <w:right w:val="none" w:sz="0" w:space="0" w:color="auto"/>
      </w:divBdr>
      <w:divsChild>
        <w:div w:id="864514656">
          <w:marLeft w:val="0"/>
          <w:marRight w:val="0"/>
          <w:marTop w:val="0"/>
          <w:marBottom w:val="0"/>
          <w:divBdr>
            <w:top w:val="none" w:sz="0" w:space="0" w:color="auto"/>
            <w:left w:val="none" w:sz="0" w:space="0" w:color="auto"/>
            <w:bottom w:val="none" w:sz="0" w:space="0" w:color="auto"/>
            <w:right w:val="none" w:sz="0" w:space="0" w:color="auto"/>
          </w:divBdr>
          <w:divsChild>
            <w:div w:id="1887520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891574">
      <w:bodyDiv w:val="1"/>
      <w:marLeft w:val="0"/>
      <w:marRight w:val="0"/>
      <w:marTop w:val="0"/>
      <w:marBottom w:val="0"/>
      <w:divBdr>
        <w:top w:val="none" w:sz="0" w:space="0" w:color="auto"/>
        <w:left w:val="none" w:sz="0" w:space="0" w:color="auto"/>
        <w:bottom w:val="none" w:sz="0" w:space="0" w:color="auto"/>
        <w:right w:val="none" w:sz="0" w:space="0" w:color="auto"/>
      </w:divBdr>
    </w:div>
    <w:div w:id="565798869">
      <w:bodyDiv w:val="1"/>
      <w:marLeft w:val="0"/>
      <w:marRight w:val="0"/>
      <w:marTop w:val="0"/>
      <w:marBottom w:val="0"/>
      <w:divBdr>
        <w:top w:val="none" w:sz="0" w:space="0" w:color="auto"/>
        <w:left w:val="none" w:sz="0" w:space="0" w:color="auto"/>
        <w:bottom w:val="none" w:sz="0" w:space="0" w:color="auto"/>
        <w:right w:val="none" w:sz="0" w:space="0" w:color="auto"/>
      </w:divBdr>
    </w:div>
    <w:div w:id="611669072">
      <w:bodyDiv w:val="1"/>
      <w:marLeft w:val="0"/>
      <w:marRight w:val="0"/>
      <w:marTop w:val="0"/>
      <w:marBottom w:val="0"/>
      <w:divBdr>
        <w:top w:val="none" w:sz="0" w:space="0" w:color="auto"/>
        <w:left w:val="none" w:sz="0" w:space="0" w:color="auto"/>
        <w:bottom w:val="none" w:sz="0" w:space="0" w:color="auto"/>
        <w:right w:val="none" w:sz="0" w:space="0" w:color="auto"/>
      </w:divBdr>
    </w:div>
    <w:div w:id="616528410">
      <w:bodyDiv w:val="1"/>
      <w:marLeft w:val="0"/>
      <w:marRight w:val="0"/>
      <w:marTop w:val="0"/>
      <w:marBottom w:val="0"/>
      <w:divBdr>
        <w:top w:val="none" w:sz="0" w:space="0" w:color="auto"/>
        <w:left w:val="none" w:sz="0" w:space="0" w:color="auto"/>
        <w:bottom w:val="none" w:sz="0" w:space="0" w:color="auto"/>
        <w:right w:val="none" w:sz="0" w:space="0" w:color="auto"/>
      </w:divBdr>
    </w:div>
    <w:div w:id="643121764">
      <w:bodyDiv w:val="1"/>
      <w:marLeft w:val="0"/>
      <w:marRight w:val="0"/>
      <w:marTop w:val="0"/>
      <w:marBottom w:val="0"/>
      <w:divBdr>
        <w:top w:val="none" w:sz="0" w:space="0" w:color="auto"/>
        <w:left w:val="none" w:sz="0" w:space="0" w:color="auto"/>
        <w:bottom w:val="none" w:sz="0" w:space="0" w:color="auto"/>
        <w:right w:val="none" w:sz="0" w:space="0" w:color="auto"/>
      </w:divBdr>
    </w:div>
    <w:div w:id="664825677">
      <w:bodyDiv w:val="1"/>
      <w:marLeft w:val="0"/>
      <w:marRight w:val="0"/>
      <w:marTop w:val="0"/>
      <w:marBottom w:val="0"/>
      <w:divBdr>
        <w:top w:val="none" w:sz="0" w:space="0" w:color="auto"/>
        <w:left w:val="none" w:sz="0" w:space="0" w:color="auto"/>
        <w:bottom w:val="none" w:sz="0" w:space="0" w:color="auto"/>
        <w:right w:val="none" w:sz="0" w:space="0" w:color="auto"/>
      </w:divBdr>
      <w:divsChild>
        <w:div w:id="1089885041">
          <w:marLeft w:val="0"/>
          <w:marRight w:val="0"/>
          <w:marTop w:val="0"/>
          <w:marBottom w:val="0"/>
          <w:divBdr>
            <w:top w:val="none" w:sz="0" w:space="0" w:color="auto"/>
            <w:left w:val="none" w:sz="0" w:space="0" w:color="auto"/>
            <w:bottom w:val="none" w:sz="0" w:space="0" w:color="auto"/>
            <w:right w:val="none" w:sz="0" w:space="0" w:color="auto"/>
          </w:divBdr>
          <w:divsChild>
            <w:div w:id="1841191010">
              <w:marLeft w:val="0"/>
              <w:marRight w:val="0"/>
              <w:marTop w:val="0"/>
              <w:marBottom w:val="0"/>
              <w:divBdr>
                <w:top w:val="none" w:sz="0" w:space="0" w:color="auto"/>
                <w:left w:val="none" w:sz="0" w:space="0" w:color="auto"/>
                <w:bottom w:val="none" w:sz="0" w:space="0" w:color="auto"/>
                <w:right w:val="none" w:sz="0" w:space="0" w:color="auto"/>
              </w:divBdr>
              <w:divsChild>
                <w:div w:id="2059938128">
                  <w:marLeft w:val="0"/>
                  <w:marRight w:val="0"/>
                  <w:marTop w:val="0"/>
                  <w:marBottom w:val="0"/>
                  <w:divBdr>
                    <w:top w:val="none" w:sz="0" w:space="0" w:color="auto"/>
                    <w:left w:val="none" w:sz="0" w:space="0" w:color="auto"/>
                    <w:bottom w:val="none" w:sz="0" w:space="0" w:color="auto"/>
                    <w:right w:val="none" w:sz="0" w:space="0" w:color="auto"/>
                  </w:divBdr>
                  <w:divsChild>
                    <w:div w:id="1798179484">
                      <w:marLeft w:val="150"/>
                      <w:marRight w:val="150"/>
                      <w:marTop w:val="0"/>
                      <w:marBottom w:val="0"/>
                      <w:divBdr>
                        <w:top w:val="none" w:sz="0" w:space="0" w:color="auto"/>
                        <w:left w:val="none" w:sz="0" w:space="0" w:color="auto"/>
                        <w:bottom w:val="none" w:sz="0" w:space="0" w:color="auto"/>
                        <w:right w:val="none" w:sz="0" w:space="0" w:color="auto"/>
                      </w:divBdr>
                      <w:divsChild>
                        <w:div w:id="867832829">
                          <w:marLeft w:val="0"/>
                          <w:marRight w:val="0"/>
                          <w:marTop w:val="0"/>
                          <w:marBottom w:val="0"/>
                          <w:divBdr>
                            <w:top w:val="none" w:sz="0" w:space="0" w:color="auto"/>
                            <w:left w:val="none" w:sz="0" w:space="0" w:color="auto"/>
                            <w:bottom w:val="none" w:sz="0" w:space="0" w:color="auto"/>
                            <w:right w:val="none" w:sz="0" w:space="0" w:color="auto"/>
                          </w:divBdr>
                          <w:divsChild>
                            <w:div w:id="695158183">
                              <w:marLeft w:val="0"/>
                              <w:marRight w:val="0"/>
                              <w:marTop w:val="0"/>
                              <w:marBottom w:val="0"/>
                              <w:divBdr>
                                <w:top w:val="none" w:sz="0" w:space="0" w:color="auto"/>
                                <w:left w:val="none" w:sz="0" w:space="0" w:color="auto"/>
                                <w:bottom w:val="none" w:sz="0" w:space="0" w:color="auto"/>
                                <w:right w:val="none" w:sz="0" w:space="0" w:color="auto"/>
                              </w:divBdr>
                              <w:divsChild>
                                <w:div w:id="821041405">
                                  <w:marLeft w:val="0"/>
                                  <w:marRight w:val="0"/>
                                  <w:marTop w:val="0"/>
                                  <w:marBottom w:val="0"/>
                                  <w:divBdr>
                                    <w:top w:val="none" w:sz="0" w:space="0" w:color="auto"/>
                                    <w:left w:val="none" w:sz="0" w:space="0" w:color="auto"/>
                                    <w:bottom w:val="none" w:sz="0" w:space="0" w:color="auto"/>
                                    <w:right w:val="none" w:sz="0" w:space="0" w:color="auto"/>
                                  </w:divBdr>
                                  <w:divsChild>
                                    <w:div w:id="1658147557">
                                      <w:marLeft w:val="0"/>
                                      <w:marRight w:val="0"/>
                                      <w:marTop w:val="0"/>
                                      <w:marBottom w:val="0"/>
                                      <w:divBdr>
                                        <w:top w:val="none" w:sz="0" w:space="0" w:color="auto"/>
                                        <w:left w:val="none" w:sz="0" w:space="0" w:color="auto"/>
                                        <w:bottom w:val="none" w:sz="0" w:space="0" w:color="auto"/>
                                        <w:right w:val="none" w:sz="0" w:space="0" w:color="auto"/>
                                      </w:divBdr>
                                      <w:divsChild>
                                        <w:div w:id="1361392529">
                                          <w:marLeft w:val="0"/>
                                          <w:marRight w:val="0"/>
                                          <w:marTop w:val="0"/>
                                          <w:marBottom w:val="0"/>
                                          <w:divBdr>
                                            <w:top w:val="none" w:sz="0" w:space="0" w:color="auto"/>
                                            <w:left w:val="none" w:sz="0" w:space="0" w:color="auto"/>
                                            <w:bottom w:val="none" w:sz="0" w:space="0" w:color="auto"/>
                                            <w:right w:val="none" w:sz="0" w:space="0" w:color="auto"/>
                                          </w:divBdr>
                                          <w:divsChild>
                                            <w:div w:id="322780456">
                                              <w:marLeft w:val="0"/>
                                              <w:marRight w:val="0"/>
                                              <w:marTop w:val="0"/>
                                              <w:marBottom w:val="0"/>
                                              <w:divBdr>
                                                <w:top w:val="none" w:sz="0" w:space="0" w:color="auto"/>
                                                <w:left w:val="none" w:sz="0" w:space="0" w:color="auto"/>
                                                <w:bottom w:val="none" w:sz="0" w:space="0" w:color="auto"/>
                                                <w:right w:val="none" w:sz="0" w:space="0" w:color="auto"/>
                                              </w:divBdr>
                                              <w:divsChild>
                                                <w:div w:id="1640260225">
                                                  <w:marLeft w:val="0"/>
                                                  <w:marRight w:val="0"/>
                                                  <w:marTop w:val="0"/>
                                                  <w:marBottom w:val="0"/>
                                                  <w:divBdr>
                                                    <w:top w:val="none" w:sz="0" w:space="0" w:color="auto"/>
                                                    <w:left w:val="none" w:sz="0" w:space="0" w:color="auto"/>
                                                    <w:bottom w:val="none" w:sz="0" w:space="0" w:color="auto"/>
                                                    <w:right w:val="none" w:sz="0" w:space="0" w:color="auto"/>
                                                  </w:divBdr>
                                                  <w:divsChild>
                                                    <w:div w:id="601760132">
                                                      <w:marLeft w:val="0"/>
                                                      <w:marRight w:val="0"/>
                                                      <w:marTop w:val="0"/>
                                                      <w:marBottom w:val="0"/>
                                                      <w:divBdr>
                                                        <w:top w:val="none" w:sz="0" w:space="0" w:color="auto"/>
                                                        <w:left w:val="none" w:sz="0" w:space="0" w:color="auto"/>
                                                        <w:bottom w:val="none" w:sz="0" w:space="0" w:color="auto"/>
                                                        <w:right w:val="none" w:sz="0" w:space="0" w:color="auto"/>
                                                      </w:divBdr>
                                                      <w:divsChild>
                                                        <w:div w:id="54926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02096055">
      <w:bodyDiv w:val="1"/>
      <w:marLeft w:val="0"/>
      <w:marRight w:val="0"/>
      <w:marTop w:val="0"/>
      <w:marBottom w:val="0"/>
      <w:divBdr>
        <w:top w:val="none" w:sz="0" w:space="0" w:color="auto"/>
        <w:left w:val="none" w:sz="0" w:space="0" w:color="auto"/>
        <w:bottom w:val="none" w:sz="0" w:space="0" w:color="auto"/>
        <w:right w:val="none" w:sz="0" w:space="0" w:color="auto"/>
      </w:divBdr>
      <w:divsChild>
        <w:div w:id="538277200">
          <w:marLeft w:val="0"/>
          <w:marRight w:val="0"/>
          <w:marTop w:val="0"/>
          <w:marBottom w:val="0"/>
          <w:divBdr>
            <w:top w:val="none" w:sz="0" w:space="0" w:color="auto"/>
            <w:left w:val="none" w:sz="0" w:space="0" w:color="auto"/>
            <w:bottom w:val="none" w:sz="0" w:space="0" w:color="auto"/>
            <w:right w:val="none" w:sz="0" w:space="0" w:color="auto"/>
          </w:divBdr>
          <w:divsChild>
            <w:div w:id="1860317849">
              <w:marLeft w:val="0"/>
              <w:marRight w:val="0"/>
              <w:marTop w:val="0"/>
              <w:marBottom w:val="0"/>
              <w:divBdr>
                <w:top w:val="none" w:sz="0" w:space="0" w:color="auto"/>
                <w:left w:val="none" w:sz="0" w:space="0" w:color="auto"/>
                <w:bottom w:val="none" w:sz="0" w:space="0" w:color="auto"/>
                <w:right w:val="none" w:sz="0" w:space="0" w:color="auto"/>
              </w:divBdr>
              <w:divsChild>
                <w:div w:id="1796825418">
                  <w:marLeft w:val="0"/>
                  <w:marRight w:val="0"/>
                  <w:marTop w:val="0"/>
                  <w:marBottom w:val="0"/>
                  <w:divBdr>
                    <w:top w:val="none" w:sz="0" w:space="0" w:color="auto"/>
                    <w:left w:val="none" w:sz="0" w:space="0" w:color="auto"/>
                    <w:bottom w:val="none" w:sz="0" w:space="0" w:color="auto"/>
                    <w:right w:val="none" w:sz="0" w:space="0" w:color="auto"/>
                  </w:divBdr>
                  <w:divsChild>
                    <w:div w:id="1458525112">
                      <w:marLeft w:val="150"/>
                      <w:marRight w:val="150"/>
                      <w:marTop w:val="0"/>
                      <w:marBottom w:val="0"/>
                      <w:divBdr>
                        <w:top w:val="none" w:sz="0" w:space="0" w:color="auto"/>
                        <w:left w:val="none" w:sz="0" w:space="0" w:color="auto"/>
                        <w:bottom w:val="none" w:sz="0" w:space="0" w:color="auto"/>
                        <w:right w:val="none" w:sz="0" w:space="0" w:color="auto"/>
                      </w:divBdr>
                      <w:divsChild>
                        <w:div w:id="1233125738">
                          <w:marLeft w:val="0"/>
                          <w:marRight w:val="0"/>
                          <w:marTop w:val="0"/>
                          <w:marBottom w:val="0"/>
                          <w:divBdr>
                            <w:top w:val="none" w:sz="0" w:space="0" w:color="auto"/>
                            <w:left w:val="none" w:sz="0" w:space="0" w:color="auto"/>
                            <w:bottom w:val="none" w:sz="0" w:space="0" w:color="auto"/>
                            <w:right w:val="none" w:sz="0" w:space="0" w:color="auto"/>
                          </w:divBdr>
                          <w:divsChild>
                            <w:div w:id="1599093839">
                              <w:marLeft w:val="0"/>
                              <w:marRight w:val="0"/>
                              <w:marTop w:val="0"/>
                              <w:marBottom w:val="0"/>
                              <w:divBdr>
                                <w:top w:val="none" w:sz="0" w:space="0" w:color="auto"/>
                                <w:left w:val="none" w:sz="0" w:space="0" w:color="auto"/>
                                <w:bottom w:val="none" w:sz="0" w:space="0" w:color="auto"/>
                                <w:right w:val="none" w:sz="0" w:space="0" w:color="auto"/>
                              </w:divBdr>
                              <w:divsChild>
                                <w:div w:id="1010566931">
                                  <w:marLeft w:val="0"/>
                                  <w:marRight w:val="0"/>
                                  <w:marTop w:val="0"/>
                                  <w:marBottom w:val="0"/>
                                  <w:divBdr>
                                    <w:top w:val="none" w:sz="0" w:space="0" w:color="auto"/>
                                    <w:left w:val="none" w:sz="0" w:space="0" w:color="auto"/>
                                    <w:bottom w:val="none" w:sz="0" w:space="0" w:color="auto"/>
                                    <w:right w:val="none" w:sz="0" w:space="0" w:color="auto"/>
                                  </w:divBdr>
                                  <w:divsChild>
                                    <w:div w:id="293144561">
                                      <w:marLeft w:val="0"/>
                                      <w:marRight w:val="0"/>
                                      <w:marTop w:val="0"/>
                                      <w:marBottom w:val="0"/>
                                      <w:divBdr>
                                        <w:top w:val="none" w:sz="0" w:space="0" w:color="auto"/>
                                        <w:left w:val="none" w:sz="0" w:space="0" w:color="auto"/>
                                        <w:bottom w:val="none" w:sz="0" w:space="0" w:color="auto"/>
                                        <w:right w:val="none" w:sz="0" w:space="0" w:color="auto"/>
                                      </w:divBdr>
                                      <w:divsChild>
                                        <w:div w:id="579021480">
                                          <w:marLeft w:val="0"/>
                                          <w:marRight w:val="0"/>
                                          <w:marTop w:val="0"/>
                                          <w:marBottom w:val="0"/>
                                          <w:divBdr>
                                            <w:top w:val="none" w:sz="0" w:space="0" w:color="auto"/>
                                            <w:left w:val="none" w:sz="0" w:space="0" w:color="auto"/>
                                            <w:bottom w:val="none" w:sz="0" w:space="0" w:color="auto"/>
                                            <w:right w:val="none" w:sz="0" w:space="0" w:color="auto"/>
                                          </w:divBdr>
                                          <w:divsChild>
                                            <w:div w:id="314723828">
                                              <w:marLeft w:val="0"/>
                                              <w:marRight w:val="0"/>
                                              <w:marTop w:val="0"/>
                                              <w:marBottom w:val="0"/>
                                              <w:divBdr>
                                                <w:top w:val="none" w:sz="0" w:space="0" w:color="auto"/>
                                                <w:left w:val="none" w:sz="0" w:space="0" w:color="auto"/>
                                                <w:bottom w:val="none" w:sz="0" w:space="0" w:color="auto"/>
                                                <w:right w:val="none" w:sz="0" w:space="0" w:color="auto"/>
                                              </w:divBdr>
                                              <w:divsChild>
                                                <w:div w:id="853346732">
                                                  <w:marLeft w:val="0"/>
                                                  <w:marRight w:val="0"/>
                                                  <w:marTop w:val="0"/>
                                                  <w:marBottom w:val="0"/>
                                                  <w:divBdr>
                                                    <w:top w:val="none" w:sz="0" w:space="0" w:color="auto"/>
                                                    <w:left w:val="none" w:sz="0" w:space="0" w:color="auto"/>
                                                    <w:bottom w:val="none" w:sz="0" w:space="0" w:color="auto"/>
                                                    <w:right w:val="none" w:sz="0" w:space="0" w:color="auto"/>
                                                  </w:divBdr>
                                                  <w:divsChild>
                                                    <w:div w:id="829978750">
                                                      <w:marLeft w:val="0"/>
                                                      <w:marRight w:val="0"/>
                                                      <w:marTop w:val="0"/>
                                                      <w:marBottom w:val="0"/>
                                                      <w:divBdr>
                                                        <w:top w:val="none" w:sz="0" w:space="0" w:color="auto"/>
                                                        <w:left w:val="none" w:sz="0" w:space="0" w:color="auto"/>
                                                        <w:bottom w:val="none" w:sz="0" w:space="0" w:color="auto"/>
                                                        <w:right w:val="none" w:sz="0" w:space="0" w:color="auto"/>
                                                      </w:divBdr>
                                                      <w:divsChild>
                                                        <w:div w:id="1626083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62074327">
      <w:bodyDiv w:val="1"/>
      <w:marLeft w:val="0"/>
      <w:marRight w:val="0"/>
      <w:marTop w:val="0"/>
      <w:marBottom w:val="0"/>
      <w:divBdr>
        <w:top w:val="none" w:sz="0" w:space="0" w:color="auto"/>
        <w:left w:val="none" w:sz="0" w:space="0" w:color="auto"/>
        <w:bottom w:val="none" w:sz="0" w:space="0" w:color="auto"/>
        <w:right w:val="none" w:sz="0" w:space="0" w:color="auto"/>
      </w:divBdr>
    </w:div>
    <w:div w:id="772557980">
      <w:bodyDiv w:val="1"/>
      <w:marLeft w:val="0"/>
      <w:marRight w:val="0"/>
      <w:marTop w:val="0"/>
      <w:marBottom w:val="0"/>
      <w:divBdr>
        <w:top w:val="none" w:sz="0" w:space="0" w:color="auto"/>
        <w:left w:val="none" w:sz="0" w:space="0" w:color="auto"/>
        <w:bottom w:val="none" w:sz="0" w:space="0" w:color="auto"/>
        <w:right w:val="none" w:sz="0" w:space="0" w:color="auto"/>
      </w:divBdr>
    </w:div>
    <w:div w:id="784077175">
      <w:bodyDiv w:val="1"/>
      <w:marLeft w:val="0"/>
      <w:marRight w:val="0"/>
      <w:marTop w:val="0"/>
      <w:marBottom w:val="0"/>
      <w:divBdr>
        <w:top w:val="none" w:sz="0" w:space="0" w:color="auto"/>
        <w:left w:val="none" w:sz="0" w:space="0" w:color="auto"/>
        <w:bottom w:val="none" w:sz="0" w:space="0" w:color="auto"/>
        <w:right w:val="none" w:sz="0" w:space="0" w:color="auto"/>
      </w:divBdr>
    </w:div>
    <w:div w:id="819610961">
      <w:bodyDiv w:val="1"/>
      <w:marLeft w:val="0"/>
      <w:marRight w:val="0"/>
      <w:marTop w:val="0"/>
      <w:marBottom w:val="0"/>
      <w:divBdr>
        <w:top w:val="none" w:sz="0" w:space="0" w:color="auto"/>
        <w:left w:val="none" w:sz="0" w:space="0" w:color="auto"/>
        <w:bottom w:val="none" w:sz="0" w:space="0" w:color="auto"/>
        <w:right w:val="none" w:sz="0" w:space="0" w:color="auto"/>
      </w:divBdr>
    </w:div>
    <w:div w:id="845245656">
      <w:bodyDiv w:val="1"/>
      <w:marLeft w:val="0"/>
      <w:marRight w:val="0"/>
      <w:marTop w:val="0"/>
      <w:marBottom w:val="0"/>
      <w:divBdr>
        <w:top w:val="none" w:sz="0" w:space="0" w:color="auto"/>
        <w:left w:val="none" w:sz="0" w:space="0" w:color="auto"/>
        <w:bottom w:val="none" w:sz="0" w:space="0" w:color="auto"/>
        <w:right w:val="none" w:sz="0" w:space="0" w:color="auto"/>
      </w:divBdr>
    </w:div>
    <w:div w:id="849416410">
      <w:bodyDiv w:val="1"/>
      <w:marLeft w:val="0"/>
      <w:marRight w:val="0"/>
      <w:marTop w:val="0"/>
      <w:marBottom w:val="0"/>
      <w:divBdr>
        <w:top w:val="none" w:sz="0" w:space="0" w:color="auto"/>
        <w:left w:val="none" w:sz="0" w:space="0" w:color="auto"/>
        <w:bottom w:val="none" w:sz="0" w:space="0" w:color="auto"/>
        <w:right w:val="none" w:sz="0" w:space="0" w:color="auto"/>
      </w:divBdr>
    </w:div>
    <w:div w:id="898367767">
      <w:bodyDiv w:val="1"/>
      <w:marLeft w:val="0"/>
      <w:marRight w:val="0"/>
      <w:marTop w:val="0"/>
      <w:marBottom w:val="0"/>
      <w:divBdr>
        <w:top w:val="none" w:sz="0" w:space="0" w:color="auto"/>
        <w:left w:val="none" w:sz="0" w:space="0" w:color="auto"/>
        <w:bottom w:val="none" w:sz="0" w:space="0" w:color="auto"/>
        <w:right w:val="none" w:sz="0" w:space="0" w:color="auto"/>
      </w:divBdr>
    </w:div>
    <w:div w:id="940988917">
      <w:bodyDiv w:val="1"/>
      <w:marLeft w:val="0"/>
      <w:marRight w:val="0"/>
      <w:marTop w:val="0"/>
      <w:marBottom w:val="0"/>
      <w:divBdr>
        <w:top w:val="none" w:sz="0" w:space="0" w:color="auto"/>
        <w:left w:val="none" w:sz="0" w:space="0" w:color="auto"/>
        <w:bottom w:val="none" w:sz="0" w:space="0" w:color="auto"/>
        <w:right w:val="none" w:sz="0" w:space="0" w:color="auto"/>
      </w:divBdr>
      <w:divsChild>
        <w:div w:id="1702707683">
          <w:marLeft w:val="0"/>
          <w:marRight w:val="0"/>
          <w:marTop w:val="0"/>
          <w:marBottom w:val="0"/>
          <w:divBdr>
            <w:top w:val="none" w:sz="0" w:space="0" w:color="auto"/>
            <w:left w:val="none" w:sz="0" w:space="0" w:color="auto"/>
            <w:bottom w:val="none" w:sz="0" w:space="0" w:color="auto"/>
            <w:right w:val="none" w:sz="0" w:space="0" w:color="auto"/>
          </w:divBdr>
          <w:divsChild>
            <w:div w:id="53042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1440230">
      <w:bodyDiv w:val="1"/>
      <w:marLeft w:val="0"/>
      <w:marRight w:val="0"/>
      <w:marTop w:val="0"/>
      <w:marBottom w:val="0"/>
      <w:divBdr>
        <w:top w:val="none" w:sz="0" w:space="0" w:color="auto"/>
        <w:left w:val="none" w:sz="0" w:space="0" w:color="auto"/>
        <w:bottom w:val="none" w:sz="0" w:space="0" w:color="auto"/>
        <w:right w:val="none" w:sz="0" w:space="0" w:color="auto"/>
      </w:divBdr>
      <w:divsChild>
        <w:div w:id="142284700">
          <w:marLeft w:val="0"/>
          <w:marRight w:val="0"/>
          <w:marTop w:val="0"/>
          <w:marBottom w:val="0"/>
          <w:divBdr>
            <w:top w:val="none" w:sz="0" w:space="0" w:color="auto"/>
            <w:left w:val="none" w:sz="0" w:space="0" w:color="auto"/>
            <w:bottom w:val="none" w:sz="0" w:space="0" w:color="auto"/>
            <w:right w:val="none" w:sz="0" w:space="0" w:color="auto"/>
          </w:divBdr>
          <w:divsChild>
            <w:div w:id="1275791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600864">
      <w:bodyDiv w:val="1"/>
      <w:marLeft w:val="0"/>
      <w:marRight w:val="0"/>
      <w:marTop w:val="0"/>
      <w:marBottom w:val="0"/>
      <w:divBdr>
        <w:top w:val="none" w:sz="0" w:space="0" w:color="auto"/>
        <w:left w:val="none" w:sz="0" w:space="0" w:color="auto"/>
        <w:bottom w:val="none" w:sz="0" w:space="0" w:color="auto"/>
        <w:right w:val="none" w:sz="0" w:space="0" w:color="auto"/>
      </w:divBdr>
    </w:div>
    <w:div w:id="1081683536">
      <w:bodyDiv w:val="1"/>
      <w:marLeft w:val="0"/>
      <w:marRight w:val="0"/>
      <w:marTop w:val="0"/>
      <w:marBottom w:val="0"/>
      <w:divBdr>
        <w:top w:val="none" w:sz="0" w:space="0" w:color="auto"/>
        <w:left w:val="none" w:sz="0" w:space="0" w:color="auto"/>
        <w:bottom w:val="none" w:sz="0" w:space="0" w:color="auto"/>
        <w:right w:val="none" w:sz="0" w:space="0" w:color="auto"/>
      </w:divBdr>
      <w:divsChild>
        <w:div w:id="708337535">
          <w:marLeft w:val="0"/>
          <w:marRight w:val="0"/>
          <w:marTop w:val="0"/>
          <w:marBottom w:val="0"/>
          <w:divBdr>
            <w:top w:val="none" w:sz="0" w:space="0" w:color="auto"/>
            <w:left w:val="none" w:sz="0" w:space="0" w:color="auto"/>
            <w:bottom w:val="none" w:sz="0" w:space="0" w:color="auto"/>
            <w:right w:val="none" w:sz="0" w:space="0" w:color="auto"/>
          </w:divBdr>
          <w:divsChild>
            <w:div w:id="1237668290">
              <w:marLeft w:val="0"/>
              <w:marRight w:val="0"/>
              <w:marTop w:val="0"/>
              <w:marBottom w:val="0"/>
              <w:divBdr>
                <w:top w:val="none" w:sz="0" w:space="0" w:color="auto"/>
                <w:left w:val="none" w:sz="0" w:space="0" w:color="auto"/>
                <w:bottom w:val="none" w:sz="0" w:space="0" w:color="auto"/>
                <w:right w:val="none" w:sz="0" w:space="0" w:color="auto"/>
              </w:divBdr>
              <w:divsChild>
                <w:div w:id="485711126">
                  <w:marLeft w:val="0"/>
                  <w:marRight w:val="0"/>
                  <w:marTop w:val="0"/>
                  <w:marBottom w:val="0"/>
                  <w:divBdr>
                    <w:top w:val="none" w:sz="0" w:space="0" w:color="auto"/>
                    <w:left w:val="none" w:sz="0" w:space="0" w:color="auto"/>
                    <w:bottom w:val="none" w:sz="0" w:space="0" w:color="auto"/>
                    <w:right w:val="none" w:sz="0" w:space="0" w:color="auto"/>
                  </w:divBdr>
                  <w:divsChild>
                    <w:div w:id="607125611">
                      <w:marLeft w:val="150"/>
                      <w:marRight w:val="150"/>
                      <w:marTop w:val="0"/>
                      <w:marBottom w:val="0"/>
                      <w:divBdr>
                        <w:top w:val="none" w:sz="0" w:space="0" w:color="auto"/>
                        <w:left w:val="none" w:sz="0" w:space="0" w:color="auto"/>
                        <w:bottom w:val="none" w:sz="0" w:space="0" w:color="auto"/>
                        <w:right w:val="none" w:sz="0" w:space="0" w:color="auto"/>
                      </w:divBdr>
                      <w:divsChild>
                        <w:div w:id="584916758">
                          <w:marLeft w:val="0"/>
                          <w:marRight w:val="0"/>
                          <w:marTop w:val="0"/>
                          <w:marBottom w:val="0"/>
                          <w:divBdr>
                            <w:top w:val="none" w:sz="0" w:space="0" w:color="auto"/>
                            <w:left w:val="none" w:sz="0" w:space="0" w:color="auto"/>
                            <w:bottom w:val="none" w:sz="0" w:space="0" w:color="auto"/>
                            <w:right w:val="none" w:sz="0" w:space="0" w:color="auto"/>
                          </w:divBdr>
                          <w:divsChild>
                            <w:div w:id="871845554">
                              <w:marLeft w:val="0"/>
                              <w:marRight w:val="0"/>
                              <w:marTop w:val="0"/>
                              <w:marBottom w:val="0"/>
                              <w:divBdr>
                                <w:top w:val="none" w:sz="0" w:space="0" w:color="auto"/>
                                <w:left w:val="none" w:sz="0" w:space="0" w:color="auto"/>
                                <w:bottom w:val="none" w:sz="0" w:space="0" w:color="auto"/>
                                <w:right w:val="none" w:sz="0" w:space="0" w:color="auto"/>
                              </w:divBdr>
                              <w:divsChild>
                                <w:div w:id="1268738704">
                                  <w:marLeft w:val="0"/>
                                  <w:marRight w:val="0"/>
                                  <w:marTop w:val="0"/>
                                  <w:marBottom w:val="0"/>
                                  <w:divBdr>
                                    <w:top w:val="none" w:sz="0" w:space="0" w:color="auto"/>
                                    <w:left w:val="none" w:sz="0" w:space="0" w:color="auto"/>
                                    <w:bottom w:val="none" w:sz="0" w:space="0" w:color="auto"/>
                                    <w:right w:val="none" w:sz="0" w:space="0" w:color="auto"/>
                                  </w:divBdr>
                                  <w:divsChild>
                                    <w:div w:id="1527980139">
                                      <w:marLeft w:val="0"/>
                                      <w:marRight w:val="0"/>
                                      <w:marTop w:val="0"/>
                                      <w:marBottom w:val="0"/>
                                      <w:divBdr>
                                        <w:top w:val="none" w:sz="0" w:space="0" w:color="auto"/>
                                        <w:left w:val="none" w:sz="0" w:space="0" w:color="auto"/>
                                        <w:bottom w:val="none" w:sz="0" w:space="0" w:color="auto"/>
                                        <w:right w:val="none" w:sz="0" w:space="0" w:color="auto"/>
                                      </w:divBdr>
                                      <w:divsChild>
                                        <w:div w:id="832137432">
                                          <w:marLeft w:val="0"/>
                                          <w:marRight w:val="0"/>
                                          <w:marTop w:val="0"/>
                                          <w:marBottom w:val="0"/>
                                          <w:divBdr>
                                            <w:top w:val="none" w:sz="0" w:space="0" w:color="auto"/>
                                            <w:left w:val="none" w:sz="0" w:space="0" w:color="auto"/>
                                            <w:bottom w:val="none" w:sz="0" w:space="0" w:color="auto"/>
                                            <w:right w:val="none" w:sz="0" w:space="0" w:color="auto"/>
                                          </w:divBdr>
                                          <w:divsChild>
                                            <w:div w:id="1572809325">
                                              <w:marLeft w:val="0"/>
                                              <w:marRight w:val="0"/>
                                              <w:marTop w:val="0"/>
                                              <w:marBottom w:val="0"/>
                                              <w:divBdr>
                                                <w:top w:val="none" w:sz="0" w:space="0" w:color="auto"/>
                                                <w:left w:val="none" w:sz="0" w:space="0" w:color="auto"/>
                                                <w:bottom w:val="none" w:sz="0" w:space="0" w:color="auto"/>
                                                <w:right w:val="none" w:sz="0" w:space="0" w:color="auto"/>
                                              </w:divBdr>
                                              <w:divsChild>
                                                <w:div w:id="701589380">
                                                  <w:marLeft w:val="0"/>
                                                  <w:marRight w:val="0"/>
                                                  <w:marTop w:val="0"/>
                                                  <w:marBottom w:val="0"/>
                                                  <w:divBdr>
                                                    <w:top w:val="none" w:sz="0" w:space="0" w:color="auto"/>
                                                    <w:left w:val="none" w:sz="0" w:space="0" w:color="auto"/>
                                                    <w:bottom w:val="none" w:sz="0" w:space="0" w:color="auto"/>
                                                    <w:right w:val="none" w:sz="0" w:space="0" w:color="auto"/>
                                                  </w:divBdr>
                                                  <w:divsChild>
                                                    <w:div w:id="1490173997">
                                                      <w:marLeft w:val="0"/>
                                                      <w:marRight w:val="0"/>
                                                      <w:marTop w:val="0"/>
                                                      <w:marBottom w:val="0"/>
                                                      <w:divBdr>
                                                        <w:top w:val="none" w:sz="0" w:space="0" w:color="auto"/>
                                                        <w:left w:val="none" w:sz="0" w:space="0" w:color="auto"/>
                                                        <w:bottom w:val="none" w:sz="0" w:space="0" w:color="auto"/>
                                                        <w:right w:val="none" w:sz="0" w:space="0" w:color="auto"/>
                                                      </w:divBdr>
                                                      <w:divsChild>
                                                        <w:div w:id="749961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83124960">
      <w:bodyDiv w:val="1"/>
      <w:marLeft w:val="0"/>
      <w:marRight w:val="0"/>
      <w:marTop w:val="0"/>
      <w:marBottom w:val="0"/>
      <w:divBdr>
        <w:top w:val="none" w:sz="0" w:space="0" w:color="auto"/>
        <w:left w:val="none" w:sz="0" w:space="0" w:color="auto"/>
        <w:bottom w:val="none" w:sz="0" w:space="0" w:color="auto"/>
        <w:right w:val="none" w:sz="0" w:space="0" w:color="auto"/>
      </w:divBdr>
    </w:div>
    <w:div w:id="1217006114">
      <w:bodyDiv w:val="1"/>
      <w:marLeft w:val="0"/>
      <w:marRight w:val="0"/>
      <w:marTop w:val="0"/>
      <w:marBottom w:val="0"/>
      <w:divBdr>
        <w:top w:val="none" w:sz="0" w:space="0" w:color="auto"/>
        <w:left w:val="none" w:sz="0" w:space="0" w:color="auto"/>
        <w:bottom w:val="none" w:sz="0" w:space="0" w:color="auto"/>
        <w:right w:val="none" w:sz="0" w:space="0" w:color="auto"/>
      </w:divBdr>
    </w:div>
    <w:div w:id="1245335964">
      <w:bodyDiv w:val="1"/>
      <w:marLeft w:val="0"/>
      <w:marRight w:val="0"/>
      <w:marTop w:val="0"/>
      <w:marBottom w:val="0"/>
      <w:divBdr>
        <w:top w:val="none" w:sz="0" w:space="0" w:color="auto"/>
        <w:left w:val="none" w:sz="0" w:space="0" w:color="auto"/>
        <w:bottom w:val="none" w:sz="0" w:space="0" w:color="auto"/>
        <w:right w:val="none" w:sz="0" w:space="0" w:color="auto"/>
      </w:divBdr>
    </w:div>
    <w:div w:id="1288924484">
      <w:bodyDiv w:val="1"/>
      <w:marLeft w:val="0"/>
      <w:marRight w:val="0"/>
      <w:marTop w:val="0"/>
      <w:marBottom w:val="0"/>
      <w:divBdr>
        <w:top w:val="none" w:sz="0" w:space="0" w:color="auto"/>
        <w:left w:val="none" w:sz="0" w:space="0" w:color="auto"/>
        <w:bottom w:val="none" w:sz="0" w:space="0" w:color="auto"/>
        <w:right w:val="none" w:sz="0" w:space="0" w:color="auto"/>
      </w:divBdr>
    </w:div>
    <w:div w:id="1330064562">
      <w:bodyDiv w:val="1"/>
      <w:marLeft w:val="0"/>
      <w:marRight w:val="0"/>
      <w:marTop w:val="0"/>
      <w:marBottom w:val="0"/>
      <w:divBdr>
        <w:top w:val="none" w:sz="0" w:space="0" w:color="auto"/>
        <w:left w:val="none" w:sz="0" w:space="0" w:color="auto"/>
        <w:bottom w:val="none" w:sz="0" w:space="0" w:color="auto"/>
        <w:right w:val="none" w:sz="0" w:space="0" w:color="auto"/>
      </w:divBdr>
    </w:div>
    <w:div w:id="1342660130">
      <w:bodyDiv w:val="1"/>
      <w:marLeft w:val="0"/>
      <w:marRight w:val="0"/>
      <w:marTop w:val="0"/>
      <w:marBottom w:val="0"/>
      <w:divBdr>
        <w:top w:val="none" w:sz="0" w:space="0" w:color="auto"/>
        <w:left w:val="none" w:sz="0" w:space="0" w:color="auto"/>
        <w:bottom w:val="none" w:sz="0" w:space="0" w:color="auto"/>
        <w:right w:val="none" w:sz="0" w:space="0" w:color="auto"/>
      </w:divBdr>
    </w:div>
    <w:div w:id="1355039787">
      <w:bodyDiv w:val="1"/>
      <w:marLeft w:val="0"/>
      <w:marRight w:val="0"/>
      <w:marTop w:val="0"/>
      <w:marBottom w:val="0"/>
      <w:divBdr>
        <w:top w:val="none" w:sz="0" w:space="0" w:color="auto"/>
        <w:left w:val="none" w:sz="0" w:space="0" w:color="auto"/>
        <w:bottom w:val="none" w:sz="0" w:space="0" w:color="auto"/>
        <w:right w:val="none" w:sz="0" w:space="0" w:color="auto"/>
      </w:divBdr>
    </w:div>
    <w:div w:id="1422410848">
      <w:bodyDiv w:val="1"/>
      <w:marLeft w:val="0"/>
      <w:marRight w:val="0"/>
      <w:marTop w:val="0"/>
      <w:marBottom w:val="0"/>
      <w:divBdr>
        <w:top w:val="none" w:sz="0" w:space="0" w:color="auto"/>
        <w:left w:val="none" w:sz="0" w:space="0" w:color="auto"/>
        <w:bottom w:val="none" w:sz="0" w:space="0" w:color="auto"/>
        <w:right w:val="none" w:sz="0" w:space="0" w:color="auto"/>
      </w:divBdr>
    </w:div>
    <w:div w:id="1524054442">
      <w:bodyDiv w:val="1"/>
      <w:marLeft w:val="0"/>
      <w:marRight w:val="0"/>
      <w:marTop w:val="0"/>
      <w:marBottom w:val="0"/>
      <w:divBdr>
        <w:top w:val="none" w:sz="0" w:space="0" w:color="auto"/>
        <w:left w:val="none" w:sz="0" w:space="0" w:color="auto"/>
        <w:bottom w:val="none" w:sz="0" w:space="0" w:color="auto"/>
        <w:right w:val="none" w:sz="0" w:space="0" w:color="auto"/>
      </w:divBdr>
    </w:div>
    <w:div w:id="1535384020">
      <w:bodyDiv w:val="1"/>
      <w:marLeft w:val="0"/>
      <w:marRight w:val="0"/>
      <w:marTop w:val="0"/>
      <w:marBottom w:val="0"/>
      <w:divBdr>
        <w:top w:val="none" w:sz="0" w:space="0" w:color="auto"/>
        <w:left w:val="none" w:sz="0" w:space="0" w:color="auto"/>
        <w:bottom w:val="none" w:sz="0" w:space="0" w:color="auto"/>
        <w:right w:val="none" w:sz="0" w:space="0" w:color="auto"/>
      </w:divBdr>
    </w:div>
    <w:div w:id="1540511503">
      <w:bodyDiv w:val="1"/>
      <w:marLeft w:val="0"/>
      <w:marRight w:val="0"/>
      <w:marTop w:val="0"/>
      <w:marBottom w:val="0"/>
      <w:divBdr>
        <w:top w:val="none" w:sz="0" w:space="0" w:color="auto"/>
        <w:left w:val="none" w:sz="0" w:space="0" w:color="auto"/>
        <w:bottom w:val="none" w:sz="0" w:space="0" w:color="auto"/>
        <w:right w:val="none" w:sz="0" w:space="0" w:color="auto"/>
      </w:divBdr>
    </w:div>
    <w:div w:id="1578710640">
      <w:bodyDiv w:val="1"/>
      <w:marLeft w:val="0"/>
      <w:marRight w:val="0"/>
      <w:marTop w:val="0"/>
      <w:marBottom w:val="0"/>
      <w:divBdr>
        <w:top w:val="none" w:sz="0" w:space="0" w:color="auto"/>
        <w:left w:val="none" w:sz="0" w:space="0" w:color="auto"/>
        <w:bottom w:val="none" w:sz="0" w:space="0" w:color="auto"/>
        <w:right w:val="none" w:sz="0" w:space="0" w:color="auto"/>
      </w:divBdr>
    </w:div>
    <w:div w:id="1636642437">
      <w:bodyDiv w:val="1"/>
      <w:marLeft w:val="0"/>
      <w:marRight w:val="0"/>
      <w:marTop w:val="0"/>
      <w:marBottom w:val="0"/>
      <w:divBdr>
        <w:top w:val="none" w:sz="0" w:space="0" w:color="auto"/>
        <w:left w:val="none" w:sz="0" w:space="0" w:color="auto"/>
        <w:bottom w:val="none" w:sz="0" w:space="0" w:color="auto"/>
        <w:right w:val="none" w:sz="0" w:space="0" w:color="auto"/>
      </w:divBdr>
      <w:divsChild>
        <w:div w:id="2082174747">
          <w:marLeft w:val="0"/>
          <w:marRight w:val="0"/>
          <w:marTop w:val="0"/>
          <w:marBottom w:val="0"/>
          <w:divBdr>
            <w:top w:val="none" w:sz="0" w:space="0" w:color="auto"/>
            <w:left w:val="none" w:sz="0" w:space="0" w:color="auto"/>
            <w:bottom w:val="none" w:sz="0" w:space="0" w:color="auto"/>
            <w:right w:val="none" w:sz="0" w:space="0" w:color="auto"/>
          </w:divBdr>
          <w:divsChild>
            <w:div w:id="1103653098">
              <w:marLeft w:val="0"/>
              <w:marRight w:val="0"/>
              <w:marTop w:val="0"/>
              <w:marBottom w:val="0"/>
              <w:divBdr>
                <w:top w:val="none" w:sz="0" w:space="0" w:color="auto"/>
                <w:left w:val="none" w:sz="0" w:space="0" w:color="auto"/>
                <w:bottom w:val="none" w:sz="0" w:space="0" w:color="auto"/>
                <w:right w:val="none" w:sz="0" w:space="0" w:color="auto"/>
              </w:divBdr>
              <w:divsChild>
                <w:div w:id="248776009">
                  <w:marLeft w:val="0"/>
                  <w:marRight w:val="0"/>
                  <w:marTop w:val="0"/>
                  <w:marBottom w:val="0"/>
                  <w:divBdr>
                    <w:top w:val="none" w:sz="0" w:space="0" w:color="auto"/>
                    <w:left w:val="none" w:sz="0" w:space="0" w:color="auto"/>
                    <w:bottom w:val="none" w:sz="0" w:space="0" w:color="auto"/>
                    <w:right w:val="none" w:sz="0" w:space="0" w:color="auto"/>
                  </w:divBdr>
                  <w:divsChild>
                    <w:div w:id="160896295">
                      <w:marLeft w:val="150"/>
                      <w:marRight w:val="150"/>
                      <w:marTop w:val="0"/>
                      <w:marBottom w:val="0"/>
                      <w:divBdr>
                        <w:top w:val="none" w:sz="0" w:space="0" w:color="auto"/>
                        <w:left w:val="none" w:sz="0" w:space="0" w:color="auto"/>
                        <w:bottom w:val="none" w:sz="0" w:space="0" w:color="auto"/>
                        <w:right w:val="none" w:sz="0" w:space="0" w:color="auto"/>
                      </w:divBdr>
                      <w:divsChild>
                        <w:div w:id="1795099102">
                          <w:marLeft w:val="0"/>
                          <w:marRight w:val="0"/>
                          <w:marTop w:val="0"/>
                          <w:marBottom w:val="0"/>
                          <w:divBdr>
                            <w:top w:val="none" w:sz="0" w:space="0" w:color="auto"/>
                            <w:left w:val="none" w:sz="0" w:space="0" w:color="auto"/>
                            <w:bottom w:val="none" w:sz="0" w:space="0" w:color="auto"/>
                            <w:right w:val="none" w:sz="0" w:space="0" w:color="auto"/>
                          </w:divBdr>
                          <w:divsChild>
                            <w:div w:id="1490170206">
                              <w:marLeft w:val="0"/>
                              <w:marRight w:val="0"/>
                              <w:marTop w:val="0"/>
                              <w:marBottom w:val="0"/>
                              <w:divBdr>
                                <w:top w:val="none" w:sz="0" w:space="0" w:color="auto"/>
                                <w:left w:val="none" w:sz="0" w:space="0" w:color="auto"/>
                                <w:bottom w:val="none" w:sz="0" w:space="0" w:color="auto"/>
                                <w:right w:val="none" w:sz="0" w:space="0" w:color="auto"/>
                              </w:divBdr>
                              <w:divsChild>
                                <w:div w:id="1211846724">
                                  <w:marLeft w:val="0"/>
                                  <w:marRight w:val="0"/>
                                  <w:marTop w:val="0"/>
                                  <w:marBottom w:val="0"/>
                                  <w:divBdr>
                                    <w:top w:val="none" w:sz="0" w:space="0" w:color="auto"/>
                                    <w:left w:val="none" w:sz="0" w:space="0" w:color="auto"/>
                                    <w:bottom w:val="none" w:sz="0" w:space="0" w:color="auto"/>
                                    <w:right w:val="none" w:sz="0" w:space="0" w:color="auto"/>
                                  </w:divBdr>
                                  <w:divsChild>
                                    <w:div w:id="1047291393">
                                      <w:marLeft w:val="0"/>
                                      <w:marRight w:val="0"/>
                                      <w:marTop w:val="0"/>
                                      <w:marBottom w:val="0"/>
                                      <w:divBdr>
                                        <w:top w:val="none" w:sz="0" w:space="0" w:color="auto"/>
                                        <w:left w:val="none" w:sz="0" w:space="0" w:color="auto"/>
                                        <w:bottom w:val="none" w:sz="0" w:space="0" w:color="auto"/>
                                        <w:right w:val="none" w:sz="0" w:space="0" w:color="auto"/>
                                      </w:divBdr>
                                      <w:divsChild>
                                        <w:div w:id="573973391">
                                          <w:marLeft w:val="0"/>
                                          <w:marRight w:val="0"/>
                                          <w:marTop w:val="0"/>
                                          <w:marBottom w:val="0"/>
                                          <w:divBdr>
                                            <w:top w:val="none" w:sz="0" w:space="0" w:color="auto"/>
                                            <w:left w:val="none" w:sz="0" w:space="0" w:color="auto"/>
                                            <w:bottom w:val="none" w:sz="0" w:space="0" w:color="auto"/>
                                            <w:right w:val="none" w:sz="0" w:space="0" w:color="auto"/>
                                          </w:divBdr>
                                          <w:divsChild>
                                            <w:div w:id="1984889286">
                                              <w:marLeft w:val="0"/>
                                              <w:marRight w:val="0"/>
                                              <w:marTop w:val="0"/>
                                              <w:marBottom w:val="0"/>
                                              <w:divBdr>
                                                <w:top w:val="none" w:sz="0" w:space="0" w:color="auto"/>
                                                <w:left w:val="none" w:sz="0" w:space="0" w:color="auto"/>
                                                <w:bottom w:val="none" w:sz="0" w:space="0" w:color="auto"/>
                                                <w:right w:val="none" w:sz="0" w:space="0" w:color="auto"/>
                                              </w:divBdr>
                                              <w:divsChild>
                                                <w:div w:id="1746798105">
                                                  <w:marLeft w:val="0"/>
                                                  <w:marRight w:val="0"/>
                                                  <w:marTop w:val="0"/>
                                                  <w:marBottom w:val="0"/>
                                                  <w:divBdr>
                                                    <w:top w:val="none" w:sz="0" w:space="0" w:color="auto"/>
                                                    <w:left w:val="none" w:sz="0" w:space="0" w:color="auto"/>
                                                    <w:bottom w:val="none" w:sz="0" w:space="0" w:color="auto"/>
                                                    <w:right w:val="none" w:sz="0" w:space="0" w:color="auto"/>
                                                  </w:divBdr>
                                                  <w:divsChild>
                                                    <w:div w:id="266547740">
                                                      <w:marLeft w:val="0"/>
                                                      <w:marRight w:val="0"/>
                                                      <w:marTop w:val="0"/>
                                                      <w:marBottom w:val="0"/>
                                                      <w:divBdr>
                                                        <w:top w:val="none" w:sz="0" w:space="0" w:color="auto"/>
                                                        <w:left w:val="none" w:sz="0" w:space="0" w:color="auto"/>
                                                        <w:bottom w:val="none" w:sz="0" w:space="0" w:color="auto"/>
                                                        <w:right w:val="none" w:sz="0" w:space="0" w:color="auto"/>
                                                      </w:divBdr>
                                                      <w:divsChild>
                                                        <w:div w:id="157512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38532929">
      <w:bodyDiv w:val="1"/>
      <w:marLeft w:val="0"/>
      <w:marRight w:val="0"/>
      <w:marTop w:val="0"/>
      <w:marBottom w:val="0"/>
      <w:divBdr>
        <w:top w:val="none" w:sz="0" w:space="0" w:color="auto"/>
        <w:left w:val="none" w:sz="0" w:space="0" w:color="auto"/>
        <w:bottom w:val="none" w:sz="0" w:space="0" w:color="auto"/>
        <w:right w:val="none" w:sz="0" w:space="0" w:color="auto"/>
      </w:divBdr>
    </w:div>
    <w:div w:id="1646274588">
      <w:bodyDiv w:val="1"/>
      <w:marLeft w:val="0"/>
      <w:marRight w:val="0"/>
      <w:marTop w:val="0"/>
      <w:marBottom w:val="0"/>
      <w:divBdr>
        <w:top w:val="none" w:sz="0" w:space="0" w:color="auto"/>
        <w:left w:val="none" w:sz="0" w:space="0" w:color="auto"/>
        <w:bottom w:val="none" w:sz="0" w:space="0" w:color="auto"/>
        <w:right w:val="none" w:sz="0" w:space="0" w:color="auto"/>
      </w:divBdr>
    </w:div>
    <w:div w:id="1668168789">
      <w:bodyDiv w:val="1"/>
      <w:marLeft w:val="0"/>
      <w:marRight w:val="0"/>
      <w:marTop w:val="0"/>
      <w:marBottom w:val="0"/>
      <w:divBdr>
        <w:top w:val="none" w:sz="0" w:space="0" w:color="auto"/>
        <w:left w:val="none" w:sz="0" w:space="0" w:color="auto"/>
        <w:bottom w:val="none" w:sz="0" w:space="0" w:color="auto"/>
        <w:right w:val="none" w:sz="0" w:space="0" w:color="auto"/>
      </w:divBdr>
    </w:div>
    <w:div w:id="1711296068">
      <w:bodyDiv w:val="1"/>
      <w:marLeft w:val="0"/>
      <w:marRight w:val="0"/>
      <w:marTop w:val="0"/>
      <w:marBottom w:val="0"/>
      <w:divBdr>
        <w:top w:val="none" w:sz="0" w:space="0" w:color="auto"/>
        <w:left w:val="none" w:sz="0" w:space="0" w:color="auto"/>
        <w:bottom w:val="none" w:sz="0" w:space="0" w:color="auto"/>
        <w:right w:val="none" w:sz="0" w:space="0" w:color="auto"/>
      </w:divBdr>
    </w:div>
    <w:div w:id="1722704995">
      <w:bodyDiv w:val="1"/>
      <w:marLeft w:val="0"/>
      <w:marRight w:val="0"/>
      <w:marTop w:val="0"/>
      <w:marBottom w:val="0"/>
      <w:divBdr>
        <w:top w:val="none" w:sz="0" w:space="0" w:color="auto"/>
        <w:left w:val="none" w:sz="0" w:space="0" w:color="auto"/>
        <w:bottom w:val="none" w:sz="0" w:space="0" w:color="auto"/>
        <w:right w:val="none" w:sz="0" w:space="0" w:color="auto"/>
      </w:divBdr>
    </w:div>
    <w:div w:id="1732070492">
      <w:bodyDiv w:val="1"/>
      <w:marLeft w:val="0"/>
      <w:marRight w:val="0"/>
      <w:marTop w:val="0"/>
      <w:marBottom w:val="0"/>
      <w:divBdr>
        <w:top w:val="none" w:sz="0" w:space="0" w:color="auto"/>
        <w:left w:val="none" w:sz="0" w:space="0" w:color="auto"/>
        <w:bottom w:val="none" w:sz="0" w:space="0" w:color="auto"/>
        <w:right w:val="none" w:sz="0" w:space="0" w:color="auto"/>
      </w:divBdr>
    </w:div>
    <w:div w:id="1803108495">
      <w:bodyDiv w:val="1"/>
      <w:marLeft w:val="0"/>
      <w:marRight w:val="0"/>
      <w:marTop w:val="0"/>
      <w:marBottom w:val="0"/>
      <w:divBdr>
        <w:top w:val="none" w:sz="0" w:space="0" w:color="auto"/>
        <w:left w:val="none" w:sz="0" w:space="0" w:color="auto"/>
        <w:bottom w:val="none" w:sz="0" w:space="0" w:color="auto"/>
        <w:right w:val="none" w:sz="0" w:space="0" w:color="auto"/>
      </w:divBdr>
    </w:div>
    <w:div w:id="1830633963">
      <w:bodyDiv w:val="1"/>
      <w:marLeft w:val="0"/>
      <w:marRight w:val="0"/>
      <w:marTop w:val="0"/>
      <w:marBottom w:val="0"/>
      <w:divBdr>
        <w:top w:val="none" w:sz="0" w:space="0" w:color="auto"/>
        <w:left w:val="none" w:sz="0" w:space="0" w:color="auto"/>
        <w:bottom w:val="none" w:sz="0" w:space="0" w:color="auto"/>
        <w:right w:val="none" w:sz="0" w:space="0" w:color="auto"/>
      </w:divBdr>
    </w:div>
    <w:div w:id="1851288663">
      <w:bodyDiv w:val="1"/>
      <w:marLeft w:val="0"/>
      <w:marRight w:val="0"/>
      <w:marTop w:val="0"/>
      <w:marBottom w:val="0"/>
      <w:divBdr>
        <w:top w:val="none" w:sz="0" w:space="0" w:color="auto"/>
        <w:left w:val="none" w:sz="0" w:space="0" w:color="auto"/>
        <w:bottom w:val="none" w:sz="0" w:space="0" w:color="auto"/>
        <w:right w:val="none" w:sz="0" w:space="0" w:color="auto"/>
      </w:divBdr>
    </w:div>
    <w:div w:id="1854562427">
      <w:bodyDiv w:val="1"/>
      <w:marLeft w:val="0"/>
      <w:marRight w:val="0"/>
      <w:marTop w:val="0"/>
      <w:marBottom w:val="0"/>
      <w:divBdr>
        <w:top w:val="none" w:sz="0" w:space="0" w:color="auto"/>
        <w:left w:val="none" w:sz="0" w:space="0" w:color="auto"/>
        <w:bottom w:val="none" w:sz="0" w:space="0" w:color="auto"/>
        <w:right w:val="none" w:sz="0" w:space="0" w:color="auto"/>
      </w:divBdr>
    </w:div>
    <w:div w:id="1872763078">
      <w:bodyDiv w:val="1"/>
      <w:marLeft w:val="0"/>
      <w:marRight w:val="0"/>
      <w:marTop w:val="0"/>
      <w:marBottom w:val="0"/>
      <w:divBdr>
        <w:top w:val="none" w:sz="0" w:space="0" w:color="auto"/>
        <w:left w:val="none" w:sz="0" w:space="0" w:color="auto"/>
        <w:bottom w:val="none" w:sz="0" w:space="0" w:color="auto"/>
        <w:right w:val="none" w:sz="0" w:space="0" w:color="auto"/>
      </w:divBdr>
      <w:divsChild>
        <w:div w:id="669060950">
          <w:marLeft w:val="0"/>
          <w:marRight w:val="0"/>
          <w:marTop w:val="0"/>
          <w:marBottom w:val="0"/>
          <w:divBdr>
            <w:top w:val="none" w:sz="0" w:space="0" w:color="auto"/>
            <w:left w:val="none" w:sz="0" w:space="0" w:color="auto"/>
            <w:bottom w:val="none" w:sz="0" w:space="0" w:color="auto"/>
            <w:right w:val="none" w:sz="0" w:space="0" w:color="auto"/>
          </w:divBdr>
          <w:divsChild>
            <w:div w:id="1193495151">
              <w:marLeft w:val="0"/>
              <w:marRight w:val="0"/>
              <w:marTop w:val="0"/>
              <w:marBottom w:val="0"/>
              <w:divBdr>
                <w:top w:val="none" w:sz="0" w:space="0" w:color="auto"/>
                <w:left w:val="none" w:sz="0" w:space="0" w:color="auto"/>
                <w:bottom w:val="none" w:sz="0" w:space="0" w:color="auto"/>
                <w:right w:val="none" w:sz="0" w:space="0" w:color="auto"/>
              </w:divBdr>
              <w:divsChild>
                <w:div w:id="1692105929">
                  <w:marLeft w:val="0"/>
                  <w:marRight w:val="0"/>
                  <w:marTop w:val="0"/>
                  <w:marBottom w:val="0"/>
                  <w:divBdr>
                    <w:top w:val="none" w:sz="0" w:space="0" w:color="auto"/>
                    <w:left w:val="none" w:sz="0" w:space="0" w:color="auto"/>
                    <w:bottom w:val="none" w:sz="0" w:space="0" w:color="auto"/>
                    <w:right w:val="none" w:sz="0" w:space="0" w:color="auto"/>
                  </w:divBdr>
                  <w:divsChild>
                    <w:div w:id="493762076">
                      <w:marLeft w:val="150"/>
                      <w:marRight w:val="150"/>
                      <w:marTop w:val="0"/>
                      <w:marBottom w:val="0"/>
                      <w:divBdr>
                        <w:top w:val="none" w:sz="0" w:space="0" w:color="auto"/>
                        <w:left w:val="none" w:sz="0" w:space="0" w:color="auto"/>
                        <w:bottom w:val="none" w:sz="0" w:space="0" w:color="auto"/>
                        <w:right w:val="none" w:sz="0" w:space="0" w:color="auto"/>
                      </w:divBdr>
                      <w:divsChild>
                        <w:div w:id="531193650">
                          <w:marLeft w:val="0"/>
                          <w:marRight w:val="0"/>
                          <w:marTop w:val="0"/>
                          <w:marBottom w:val="0"/>
                          <w:divBdr>
                            <w:top w:val="none" w:sz="0" w:space="0" w:color="auto"/>
                            <w:left w:val="none" w:sz="0" w:space="0" w:color="auto"/>
                            <w:bottom w:val="none" w:sz="0" w:space="0" w:color="auto"/>
                            <w:right w:val="none" w:sz="0" w:space="0" w:color="auto"/>
                          </w:divBdr>
                          <w:divsChild>
                            <w:div w:id="1354646193">
                              <w:marLeft w:val="0"/>
                              <w:marRight w:val="0"/>
                              <w:marTop w:val="0"/>
                              <w:marBottom w:val="0"/>
                              <w:divBdr>
                                <w:top w:val="none" w:sz="0" w:space="0" w:color="auto"/>
                                <w:left w:val="none" w:sz="0" w:space="0" w:color="auto"/>
                                <w:bottom w:val="none" w:sz="0" w:space="0" w:color="auto"/>
                                <w:right w:val="none" w:sz="0" w:space="0" w:color="auto"/>
                              </w:divBdr>
                              <w:divsChild>
                                <w:div w:id="1863326313">
                                  <w:marLeft w:val="0"/>
                                  <w:marRight w:val="0"/>
                                  <w:marTop w:val="0"/>
                                  <w:marBottom w:val="0"/>
                                  <w:divBdr>
                                    <w:top w:val="none" w:sz="0" w:space="0" w:color="auto"/>
                                    <w:left w:val="none" w:sz="0" w:space="0" w:color="auto"/>
                                    <w:bottom w:val="none" w:sz="0" w:space="0" w:color="auto"/>
                                    <w:right w:val="none" w:sz="0" w:space="0" w:color="auto"/>
                                  </w:divBdr>
                                  <w:divsChild>
                                    <w:div w:id="1260288478">
                                      <w:marLeft w:val="0"/>
                                      <w:marRight w:val="0"/>
                                      <w:marTop w:val="0"/>
                                      <w:marBottom w:val="0"/>
                                      <w:divBdr>
                                        <w:top w:val="none" w:sz="0" w:space="0" w:color="auto"/>
                                        <w:left w:val="none" w:sz="0" w:space="0" w:color="auto"/>
                                        <w:bottom w:val="none" w:sz="0" w:space="0" w:color="auto"/>
                                        <w:right w:val="none" w:sz="0" w:space="0" w:color="auto"/>
                                      </w:divBdr>
                                      <w:divsChild>
                                        <w:div w:id="1567951151">
                                          <w:marLeft w:val="0"/>
                                          <w:marRight w:val="0"/>
                                          <w:marTop w:val="0"/>
                                          <w:marBottom w:val="0"/>
                                          <w:divBdr>
                                            <w:top w:val="none" w:sz="0" w:space="0" w:color="auto"/>
                                            <w:left w:val="none" w:sz="0" w:space="0" w:color="auto"/>
                                            <w:bottom w:val="none" w:sz="0" w:space="0" w:color="auto"/>
                                            <w:right w:val="none" w:sz="0" w:space="0" w:color="auto"/>
                                          </w:divBdr>
                                          <w:divsChild>
                                            <w:div w:id="168712607">
                                              <w:marLeft w:val="0"/>
                                              <w:marRight w:val="0"/>
                                              <w:marTop w:val="0"/>
                                              <w:marBottom w:val="0"/>
                                              <w:divBdr>
                                                <w:top w:val="none" w:sz="0" w:space="0" w:color="auto"/>
                                                <w:left w:val="none" w:sz="0" w:space="0" w:color="auto"/>
                                                <w:bottom w:val="none" w:sz="0" w:space="0" w:color="auto"/>
                                                <w:right w:val="none" w:sz="0" w:space="0" w:color="auto"/>
                                              </w:divBdr>
                                              <w:divsChild>
                                                <w:div w:id="1249457683">
                                                  <w:marLeft w:val="0"/>
                                                  <w:marRight w:val="0"/>
                                                  <w:marTop w:val="0"/>
                                                  <w:marBottom w:val="0"/>
                                                  <w:divBdr>
                                                    <w:top w:val="none" w:sz="0" w:space="0" w:color="auto"/>
                                                    <w:left w:val="none" w:sz="0" w:space="0" w:color="auto"/>
                                                    <w:bottom w:val="none" w:sz="0" w:space="0" w:color="auto"/>
                                                    <w:right w:val="none" w:sz="0" w:space="0" w:color="auto"/>
                                                  </w:divBdr>
                                                  <w:divsChild>
                                                    <w:div w:id="1942030702">
                                                      <w:marLeft w:val="0"/>
                                                      <w:marRight w:val="0"/>
                                                      <w:marTop w:val="0"/>
                                                      <w:marBottom w:val="0"/>
                                                      <w:divBdr>
                                                        <w:top w:val="none" w:sz="0" w:space="0" w:color="auto"/>
                                                        <w:left w:val="none" w:sz="0" w:space="0" w:color="auto"/>
                                                        <w:bottom w:val="none" w:sz="0" w:space="0" w:color="auto"/>
                                                        <w:right w:val="none" w:sz="0" w:space="0" w:color="auto"/>
                                                      </w:divBdr>
                                                      <w:divsChild>
                                                        <w:div w:id="78866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37707869">
      <w:bodyDiv w:val="1"/>
      <w:marLeft w:val="0"/>
      <w:marRight w:val="0"/>
      <w:marTop w:val="0"/>
      <w:marBottom w:val="0"/>
      <w:divBdr>
        <w:top w:val="none" w:sz="0" w:space="0" w:color="auto"/>
        <w:left w:val="none" w:sz="0" w:space="0" w:color="auto"/>
        <w:bottom w:val="none" w:sz="0" w:space="0" w:color="auto"/>
        <w:right w:val="none" w:sz="0" w:space="0" w:color="auto"/>
      </w:divBdr>
    </w:div>
    <w:div w:id="2015642839">
      <w:bodyDiv w:val="1"/>
      <w:marLeft w:val="0"/>
      <w:marRight w:val="0"/>
      <w:marTop w:val="0"/>
      <w:marBottom w:val="0"/>
      <w:divBdr>
        <w:top w:val="none" w:sz="0" w:space="0" w:color="auto"/>
        <w:left w:val="none" w:sz="0" w:space="0" w:color="auto"/>
        <w:bottom w:val="none" w:sz="0" w:space="0" w:color="auto"/>
        <w:right w:val="none" w:sz="0" w:space="0" w:color="auto"/>
      </w:divBdr>
    </w:div>
    <w:div w:id="2057389817">
      <w:bodyDiv w:val="1"/>
      <w:marLeft w:val="0"/>
      <w:marRight w:val="0"/>
      <w:marTop w:val="0"/>
      <w:marBottom w:val="0"/>
      <w:divBdr>
        <w:top w:val="none" w:sz="0" w:space="0" w:color="auto"/>
        <w:left w:val="none" w:sz="0" w:space="0" w:color="auto"/>
        <w:bottom w:val="none" w:sz="0" w:space="0" w:color="auto"/>
        <w:right w:val="none" w:sz="0" w:space="0" w:color="auto"/>
      </w:divBdr>
    </w:div>
    <w:div w:id="212758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file:///H:\web%20posts\g_server:WORK%20IN%20PROGRESS:14010%20PM&amp;C%20Best%20Practice%20Regulation%20Report%202012-13:Word%20templates:cover.pdf" TargetMode="External"/><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nRecordJustification xmlns="685f9fda-bd71-4433-b331-92feb9553089">None</NonRecordJustification>
    <mc5611b894cf49d8aeeb8ebf39dc09bc xmlns="166541c0-0594-4e6a-9105-c24d4b6de6f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9c49a7c7-17c7-412f-8077-62dec89b9196</TermId>
        </TermInfo>
      </Terms>
    </mc5611b894cf49d8aeeb8ebf39dc09bc>
    <ShareHubID xmlns="166541c0-0594-4e6a-9105-c24d4b6de6f7">DOC21-45148</ShareHubID>
    <TaxCatchAll xmlns="166541c0-0594-4e6a-9105-c24d4b6de6f7">
      <Value>1</Value>
    </TaxCatchAll>
    <jd1c641577414dfdab1686c9d5d0dbd0 xmlns="166541c0-0594-4e6a-9105-c24d4b6de6f7">
      <Terms xmlns="http://schemas.microsoft.com/office/infopath/2007/PartnerControls"/>
    </jd1c641577414dfdab1686c9d5d0dbd0>
    <PMCNotes xmlns="166541c0-0594-4e6a-9105-c24d4b6de6f7" xsi:nil="true"/>
    <hc4a8f51d7584793bcee84017ea96cb3 xmlns="166541c0-0594-4e6a-9105-c24d4b6de6f7">
      <Terms xmlns="http://schemas.microsoft.com/office/infopath/2007/PartnerControls"/>
    </hc4a8f51d7584793bcee84017ea96cb3>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ShareHub Document" ma:contentTypeID="0x0101002825A64A6E1845A99A9D8EE8A5686ECB009B58D7D72C3ED54C851955501673F8AC" ma:contentTypeVersion="12" ma:contentTypeDescription="ShareHub Document" ma:contentTypeScope="" ma:versionID="97f9b7b7c78848d4214b9782eb89bc56">
  <xsd:schema xmlns:xsd="http://www.w3.org/2001/XMLSchema" xmlns:xs="http://www.w3.org/2001/XMLSchema" xmlns:p="http://schemas.microsoft.com/office/2006/metadata/properties" xmlns:ns1="166541c0-0594-4e6a-9105-c24d4b6de6f7" xmlns:ns3="685f9fda-bd71-4433-b331-92feb9553089" targetNamespace="http://schemas.microsoft.com/office/2006/metadata/properties" ma:root="true" ma:fieldsID="76f1aafd45aee4e06fde14cce240cffd" ns1:_="" ns3:_="">
    <xsd:import namespace="166541c0-0594-4e6a-9105-c24d4b6de6f7"/>
    <xsd:import namespace="685f9fda-bd71-4433-b331-92feb9553089"/>
    <xsd:element name="properties">
      <xsd:complexType>
        <xsd:sequence>
          <xsd:element name="documentManagement">
            <xsd:complexType>
              <xsd:all>
                <xsd:element ref="ns1:ShareHubID" minOccurs="0"/>
                <xsd:element ref="ns3:NonRecordJustification" minOccurs="0"/>
                <xsd:element ref="ns1:PMCNotes" minOccurs="0"/>
                <xsd:element ref="ns1:mc5611b894cf49d8aeeb8ebf39dc09bc" minOccurs="0"/>
                <xsd:element ref="ns1:TaxCatchAll" minOccurs="0"/>
                <xsd:element ref="ns1:TaxCatchAllLabel" minOccurs="0"/>
                <xsd:element ref="ns1:jd1c641577414dfdab1686c9d5d0dbd0" minOccurs="0"/>
                <xsd:element ref="ns1:SharedWithUsers" minOccurs="0"/>
                <xsd:element ref="ns1:hc4a8f51d7584793bcee84017ea96cb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6541c0-0594-4e6a-9105-c24d4b6de6f7" elementFormDefault="qualified">
    <xsd:import namespace="http://schemas.microsoft.com/office/2006/documentManagement/types"/>
    <xsd:import namespace="http://schemas.microsoft.com/office/infopath/2007/PartnerControls"/>
    <xsd:element name="ShareHubID" ma:index="0" nillable="true" ma:displayName="Record ID" ma:indexed="true" ma:internalName="ShareHubID">
      <xsd:simpleType>
        <xsd:restriction base="dms:Text">
          <xsd:maxLength value="255"/>
        </xsd:restriction>
      </xsd:simpleType>
    </xsd:element>
    <xsd:element name="PMCNotes" ma:index="6" nillable="true" ma:displayName="Notes" ma:internalName="PMCNotes">
      <xsd:simpleType>
        <xsd:restriction base="dms:Note">
          <xsd:maxLength value="255"/>
        </xsd:restriction>
      </xsd:simpleType>
    </xsd:element>
    <xsd:element name="mc5611b894cf49d8aeeb8ebf39dc09bc" ma:index="8" ma:taxonomy="true" ma:internalName="mc5611b894cf49d8aeeb8ebf39dc09bc" ma:taxonomyFieldName="HPRMSecurityLevel" ma:displayName="Security Classification" ma:default="57;#OFFICIAL|11463c70-78df-4e3b-b0ff-f66cd3cb26ec" ma:fieldId="{6c5611b8-94cf-49d8-aeeb-8ebf39dc09bc}" ma:sspId="fdd71c70-8dda-4116-8995-314ca52d638a" ma:termSetId="ad616a2a-2f34-42df-868f-846f11d5d891"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ea88e85-05a7-4360-91dc-760ce9bb3d8d}" ma:internalName="TaxCatchAll" ma:showField="CatchAllData"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ea88e85-05a7-4360-91dc-760ce9bb3d8d}" ma:internalName="TaxCatchAllLabel" ma:readOnly="true" ma:showField="CatchAllDataLabel" ma:web="166541c0-0594-4e6a-9105-c24d4b6de6f7">
      <xsd:complexType>
        <xsd:complexContent>
          <xsd:extension base="dms:MultiChoiceLookup">
            <xsd:sequence>
              <xsd:element name="Value" type="dms:Lookup" maxOccurs="unbounded" minOccurs="0" nillable="true"/>
            </xsd:sequence>
          </xsd:extension>
        </xsd:complexContent>
      </xsd:complexType>
    </xsd:element>
    <xsd:element name="jd1c641577414dfdab1686c9d5d0dbd0" ma:index="12" nillable="true" ma:taxonomy="true" ma:internalName="jd1c641577414dfdab1686c9d5d0dbd0" ma:taxonomyFieldName="HPRMSecurityCaveat" ma:displayName="Information Marker" ma:fieldId="{3d1c6415-7741-4dfd-ab16-86c9d5d0dbd0}" ma:taxonomyMulti="true" ma:sspId="fdd71c70-8dda-4116-8995-314ca52d638a" ma:termSetId="4779c3b8-a320-4a06-b8c8-666ff4292a5a" ma:anchorId="00000000-0000-0000-0000-000000000000" ma:open="false" ma:isKeyword="false">
      <xsd:complexType>
        <xsd:sequence>
          <xsd:element ref="pc:Terms" minOccurs="0" maxOccurs="1"/>
        </xsd:sequence>
      </xsd:complexType>
    </xsd:element>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c4a8f51d7584793bcee84017ea96cb3" ma:index="18" nillable="true" ma:taxonomy="true" ma:internalName="hc4a8f51d7584793bcee84017ea96cb3" ma:taxonomyFieldName="ESearchTags" ma:displayName="Tags" ma:fieldId="{1c4a8f51-d758-4793-bcee-84017ea96cb3}" ma:taxonomyMulti="true" ma:sspId="fdd71c70-8dda-4116-8995-314ca52d638a" ma:termSetId="8f252924-ebd5-4b35-b39d-81596a6204b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85f9fda-bd71-4433-b331-92feb9553089" elementFormDefault="qualified">
    <xsd:import namespace="http://schemas.microsoft.com/office/2006/documentManagement/types"/>
    <xsd:import namespace="http://schemas.microsoft.com/office/infopath/2007/PartnerControls"/>
    <xsd:element name="NonRecordJustification" ma:index="5" nillable="true" ma:displayName="Non-record justification" ma:default="None" ma:format="Dropdown" ma:internalName="NonRecordJustification" ma:readOnly="false">
      <xsd:simpleType>
        <xsd:restriction base="dms:Choice">
          <xsd:enumeration value="None"/>
          <xsd:enumeration value="Not defined as a record under the Archives Act of 1983"/>
          <xsd:enumeration value="Duplicate or low value item"/>
          <xsd:enumeration value="Supercede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E5850-5EA0-44A8-99C7-AD4BDABDBB47}">
  <ds:schemaRefs>
    <ds:schemaRef ds:uri="http://schemas.microsoft.com/sharepoint/v3/contenttype/forms"/>
  </ds:schemaRefs>
</ds:datastoreItem>
</file>

<file path=customXml/itemProps2.xml><?xml version="1.0" encoding="utf-8"?>
<ds:datastoreItem xmlns:ds="http://schemas.openxmlformats.org/officeDocument/2006/customXml" ds:itemID="{534EF19E-9233-45C3-BBFB-50FE7611C940}">
  <ds:schemaRefs>
    <ds:schemaRef ds:uri="http://schemas.microsoft.com/office/2006/metadata/properties"/>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http://purl.org/dc/elements/1.1/"/>
    <ds:schemaRef ds:uri="685f9fda-bd71-4433-b331-92feb9553089"/>
    <ds:schemaRef ds:uri="166541c0-0594-4e6a-9105-c24d4b6de6f7"/>
    <ds:schemaRef ds:uri="http://www.w3.org/XML/1998/namespace"/>
  </ds:schemaRefs>
</ds:datastoreItem>
</file>

<file path=customXml/itemProps3.xml><?xml version="1.0" encoding="utf-8"?>
<ds:datastoreItem xmlns:ds="http://schemas.openxmlformats.org/officeDocument/2006/customXml" ds:itemID="{8B48D892-554E-4ECE-8225-D2DE8BFFC44B}">
  <ds:schemaRefs>
    <ds:schemaRef ds:uri="http://schemas.microsoft.com/office/2006/metadata/longProperties"/>
  </ds:schemaRefs>
</ds:datastoreItem>
</file>

<file path=customXml/itemProps4.xml><?xml version="1.0" encoding="utf-8"?>
<ds:datastoreItem xmlns:ds="http://schemas.openxmlformats.org/officeDocument/2006/customXml" ds:itemID="{9992B1A4-49F8-4847-B5D5-9C23E0F29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6541c0-0594-4e6a-9105-c24d4b6de6f7"/>
    <ds:schemaRef ds:uri="685f9fda-bd71-4433-b331-92feb95530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436234-0A5B-4446-A67D-B5ECC8DA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1771</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COAG Regulation Impact Statement status: 2019-20</vt:lpstr>
    </vt:vector>
  </TitlesOfParts>
  <LinksUpToDate>false</LinksUpToDate>
  <CharactersWithSpaces>12517</CharactersWithSpaces>
  <SharedDoc>false</SharedDoc>
  <HLinks>
    <vt:vector size="72" baseType="variant">
      <vt:variant>
        <vt:i4>1376317</vt:i4>
      </vt:variant>
      <vt:variant>
        <vt:i4>62</vt:i4>
      </vt:variant>
      <vt:variant>
        <vt:i4>0</vt:i4>
      </vt:variant>
      <vt:variant>
        <vt:i4>5</vt:i4>
      </vt:variant>
      <vt:variant>
        <vt:lpwstr/>
      </vt:variant>
      <vt:variant>
        <vt:lpwstr>_Toc513735813</vt:lpwstr>
      </vt:variant>
      <vt:variant>
        <vt:i4>1376317</vt:i4>
      </vt:variant>
      <vt:variant>
        <vt:i4>56</vt:i4>
      </vt:variant>
      <vt:variant>
        <vt:i4>0</vt:i4>
      </vt:variant>
      <vt:variant>
        <vt:i4>5</vt:i4>
      </vt:variant>
      <vt:variant>
        <vt:lpwstr/>
      </vt:variant>
      <vt:variant>
        <vt:lpwstr>_Toc513735812</vt:lpwstr>
      </vt:variant>
      <vt:variant>
        <vt:i4>1376317</vt:i4>
      </vt:variant>
      <vt:variant>
        <vt:i4>50</vt:i4>
      </vt:variant>
      <vt:variant>
        <vt:i4>0</vt:i4>
      </vt:variant>
      <vt:variant>
        <vt:i4>5</vt:i4>
      </vt:variant>
      <vt:variant>
        <vt:lpwstr/>
      </vt:variant>
      <vt:variant>
        <vt:lpwstr>_Toc513735811</vt:lpwstr>
      </vt:variant>
      <vt:variant>
        <vt:i4>1376317</vt:i4>
      </vt:variant>
      <vt:variant>
        <vt:i4>44</vt:i4>
      </vt:variant>
      <vt:variant>
        <vt:i4>0</vt:i4>
      </vt:variant>
      <vt:variant>
        <vt:i4>5</vt:i4>
      </vt:variant>
      <vt:variant>
        <vt:lpwstr/>
      </vt:variant>
      <vt:variant>
        <vt:lpwstr>_Toc513735810</vt:lpwstr>
      </vt:variant>
      <vt:variant>
        <vt:i4>1310781</vt:i4>
      </vt:variant>
      <vt:variant>
        <vt:i4>38</vt:i4>
      </vt:variant>
      <vt:variant>
        <vt:i4>0</vt:i4>
      </vt:variant>
      <vt:variant>
        <vt:i4>5</vt:i4>
      </vt:variant>
      <vt:variant>
        <vt:lpwstr/>
      </vt:variant>
      <vt:variant>
        <vt:lpwstr>_Toc513735809</vt:lpwstr>
      </vt:variant>
      <vt:variant>
        <vt:i4>1310781</vt:i4>
      </vt:variant>
      <vt:variant>
        <vt:i4>32</vt:i4>
      </vt:variant>
      <vt:variant>
        <vt:i4>0</vt:i4>
      </vt:variant>
      <vt:variant>
        <vt:i4>5</vt:i4>
      </vt:variant>
      <vt:variant>
        <vt:lpwstr/>
      </vt:variant>
      <vt:variant>
        <vt:lpwstr>_Toc513735808</vt:lpwstr>
      </vt:variant>
      <vt:variant>
        <vt:i4>1310781</vt:i4>
      </vt:variant>
      <vt:variant>
        <vt:i4>26</vt:i4>
      </vt:variant>
      <vt:variant>
        <vt:i4>0</vt:i4>
      </vt:variant>
      <vt:variant>
        <vt:i4>5</vt:i4>
      </vt:variant>
      <vt:variant>
        <vt:lpwstr/>
      </vt:variant>
      <vt:variant>
        <vt:lpwstr>_Toc513735807</vt:lpwstr>
      </vt:variant>
      <vt:variant>
        <vt:i4>1310781</vt:i4>
      </vt:variant>
      <vt:variant>
        <vt:i4>20</vt:i4>
      </vt:variant>
      <vt:variant>
        <vt:i4>0</vt:i4>
      </vt:variant>
      <vt:variant>
        <vt:i4>5</vt:i4>
      </vt:variant>
      <vt:variant>
        <vt:lpwstr/>
      </vt:variant>
      <vt:variant>
        <vt:lpwstr>_Toc513735806</vt:lpwstr>
      </vt:variant>
      <vt:variant>
        <vt:i4>1310781</vt:i4>
      </vt:variant>
      <vt:variant>
        <vt:i4>14</vt:i4>
      </vt:variant>
      <vt:variant>
        <vt:i4>0</vt:i4>
      </vt:variant>
      <vt:variant>
        <vt:i4>5</vt:i4>
      </vt:variant>
      <vt:variant>
        <vt:lpwstr/>
      </vt:variant>
      <vt:variant>
        <vt:lpwstr>_Toc513735805</vt:lpwstr>
      </vt:variant>
      <vt:variant>
        <vt:i4>1310781</vt:i4>
      </vt:variant>
      <vt:variant>
        <vt:i4>8</vt:i4>
      </vt:variant>
      <vt:variant>
        <vt:i4>0</vt:i4>
      </vt:variant>
      <vt:variant>
        <vt:i4>5</vt:i4>
      </vt:variant>
      <vt:variant>
        <vt:lpwstr/>
      </vt:variant>
      <vt:variant>
        <vt:lpwstr>_Toc513735804</vt:lpwstr>
      </vt:variant>
      <vt:variant>
        <vt:i4>1310781</vt:i4>
      </vt:variant>
      <vt:variant>
        <vt:i4>2</vt:i4>
      </vt:variant>
      <vt:variant>
        <vt:i4>0</vt:i4>
      </vt:variant>
      <vt:variant>
        <vt:i4>5</vt:i4>
      </vt:variant>
      <vt:variant>
        <vt:lpwstr/>
      </vt:variant>
      <vt:variant>
        <vt:lpwstr>_Toc513735803</vt:lpwstr>
      </vt:variant>
      <vt:variant>
        <vt:i4>3735622</vt:i4>
      </vt:variant>
      <vt:variant>
        <vt:i4>-1</vt:i4>
      </vt:variant>
      <vt:variant>
        <vt:i4>2049</vt:i4>
      </vt:variant>
      <vt:variant>
        <vt:i4>1</vt:i4>
      </vt:variant>
      <vt:variant>
        <vt:lpwstr>g_server:WORK IN PROGRESS:14010 PM&amp;C Best Practice Regulation Report 2012-13:Word templates:cover.pdf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COAG Regulation Impact Statement status: 2019-20</dc:title>
  <dc:subject/>
  <dc:creator/>
  <cp:keywords/>
  <cp:lastModifiedBy/>
  <cp:revision>1</cp:revision>
  <dcterms:created xsi:type="dcterms:W3CDTF">2021-01-28T00:05:00Z</dcterms:created>
  <dcterms:modified xsi:type="dcterms:W3CDTF">2021-02-16T05:16:00Z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PRMSecurityLevel">
    <vt:lpwstr>57;#OFFICIAL|11463c70-78df-4e3b-b0ff-f66cd3cb26ec</vt:lpwstr>
  </property>
  <property fmtid="{D5CDD505-2E9C-101B-9397-08002B2CF9AE}" pid="3" name="ContentTypeId">
    <vt:lpwstr>0x0101002825A64A6E1845A99A9D8EE8A5686ECB009B58D7D72C3ED54C851955501673F8AC</vt:lpwstr>
  </property>
  <property fmtid="{D5CDD505-2E9C-101B-9397-08002B2CF9AE}" pid="4" name="ESearchTags">
    <vt:lpwstr/>
  </property>
  <property fmtid="{D5CDD505-2E9C-101B-9397-08002B2CF9AE}" pid="5" name="PMC.ESearch.TagGeneratedTime">
    <vt:lpwstr>2021-02-16T16:23:33</vt:lpwstr>
  </property>
  <property fmtid="{D5CDD505-2E9C-101B-9397-08002B2CF9AE}" pid="6" name="HPRMSecurityCaveat">
    <vt:lpwstr/>
  </property>
</Properties>
</file>