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B024C" w14:textId="77777777" w:rsidR="00130ADC" w:rsidRDefault="00130ADC"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p>
    <w:p w14:paraId="6C9401C9" w14:textId="69B78980" w:rsidR="00832653" w:rsidRDefault="00832653" w:rsidP="004A6EC6">
      <w:pPr>
        <w:pStyle w:val="Heading1"/>
        <w:spacing w:after="120"/>
      </w:pPr>
      <w:bookmarkStart w:id="98" w:name="_Toc404606694"/>
      <w:bookmarkStart w:id="99" w:name="_Toc404603872"/>
      <w:bookmarkStart w:id="100" w:name="_Toc404599906"/>
      <w:bookmarkStart w:id="101" w:name="_Toc400627956"/>
      <w:bookmarkStart w:id="102" w:name="_Toc400109595"/>
      <w:bookmarkStart w:id="103" w:name="_Toc396480290"/>
      <w:bookmarkStart w:id="104" w:name="_Toc393462571"/>
      <w:bookmarkStart w:id="105" w:name="_Toc392589568"/>
      <w:bookmarkStart w:id="106" w:name="_Toc381283516"/>
      <w:bookmarkStart w:id="107" w:name="_Toc379966997"/>
      <w:bookmarkStart w:id="108" w:name="_Toc378240276"/>
      <w:bookmarkStart w:id="109" w:name="_Toc378058881"/>
      <w:bookmarkStart w:id="110" w:name="_Toc378058556"/>
      <w:bookmarkStart w:id="111" w:name="_Toc377474322"/>
      <w:bookmarkStart w:id="112" w:name="_Toc375560982"/>
      <w:bookmarkStart w:id="113" w:name="_Toc374526662"/>
      <w:bookmarkStart w:id="114" w:name="_Toc371337758"/>
      <w:bookmarkStart w:id="115" w:name="_Toc369272608"/>
      <w:bookmarkStart w:id="116" w:name="_Toc369272249"/>
      <w:bookmarkStart w:id="117" w:name="_Toc365277233"/>
      <w:bookmarkStart w:id="118" w:name="_Toc365277219"/>
      <w:bookmarkStart w:id="119" w:name="_Toc363719672"/>
      <w:bookmarkStart w:id="120" w:name="_Toc362420389"/>
      <w:bookmarkStart w:id="121" w:name="_Toc362335500"/>
      <w:bookmarkStart w:id="122" w:name="_Toc361929759"/>
      <w:bookmarkStart w:id="123" w:name="_Toc360453939"/>
      <w:bookmarkStart w:id="124" w:name="_Toc358983751"/>
      <w:bookmarkStart w:id="125" w:name="_Toc356569225"/>
      <w:bookmarkStart w:id="126" w:name="_Toc356295551"/>
      <w:bookmarkStart w:id="127" w:name="_Toc355615551"/>
      <w:bookmarkStart w:id="128" w:name="_Toc355604423"/>
      <w:bookmarkStart w:id="129" w:name="_Toc355604256"/>
      <w:bookmarkStart w:id="130" w:name="_Toc354048480"/>
      <w:bookmarkStart w:id="131" w:name="_Toc353966814"/>
      <w:bookmarkStart w:id="132" w:name="_Toc353887999"/>
      <w:bookmarkStart w:id="133" w:name="_Toc353803193"/>
      <w:bookmarkStart w:id="134" w:name="_Toc351553025"/>
      <w:bookmarkStart w:id="135" w:name="_Toc351544109"/>
      <w:bookmarkStart w:id="136" w:name="_Toc351123399"/>
      <w:bookmarkStart w:id="137" w:name="_Toc350953570"/>
      <w:bookmarkStart w:id="138" w:name="_Toc350858881"/>
      <w:bookmarkStart w:id="139" w:name="_Toc350858758"/>
      <w:bookmarkStart w:id="140" w:name="_Toc350858719"/>
      <w:bookmarkStart w:id="141" w:name="_Toc348688776"/>
      <w:bookmarkStart w:id="142" w:name="_Toc346698305"/>
      <w:bookmarkStart w:id="143" w:name="_Toc343850093"/>
      <w:bookmarkStart w:id="144" w:name="_Toc343848433"/>
      <w:bookmarkStart w:id="145" w:name="_Toc343754419"/>
      <w:bookmarkStart w:id="146" w:name="_Toc343250997"/>
      <w:bookmarkStart w:id="147" w:name="_Toc343249091"/>
      <w:bookmarkStart w:id="148" w:name="_Toc341357877"/>
      <w:bookmarkStart w:id="149" w:name="_Toc340583451"/>
      <w:bookmarkStart w:id="150" w:name="_Toc340582359"/>
      <w:bookmarkStart w:id="151" w:name="_Toc340567899"/>
      <w:bookmarkStart w:id="152" w:name="_Toc336956400"/>
      <w:bookmarkStart w:id="153" w:name="_Toc336942382"/>
      <w:bookmarkStart w:id="154" w:name="_Toc334021809"/>
      <w:bookmarkStart w:id="155" w:name="_Toc330308101"/>
      <w:bookmarkStart w:id="156" w:name="_Toc432587370"/>
      <w:bookmarkStart w:id="157" w:name="_Toc438539586"/>
      <w:bookmarkStart w:id="158" w:name="_Toc438539621"/>
      <w:bookmarkStart w:id="159" w:name="_Toc440639804"/>
      <w:bookmarkStart w:id="160" w:name="_Toc445973432"/>
      <w:bookmarkStart w:id="161" w:name="_Toc445974130"/>
      <w:bookmarkStart w:id="162" w:name="_Toc445974391"/>
      <w:bookmarkStart w:id="163" w:name="_Toc446318424"/>
      <w:bookmarkStart w:id="164" w:name="_Toc447532682"/>
      <w:bookmarkStart w:id="165" w:name="_Toc451168630"/>
      <w:bookmarkStart w:id="166" w:name="_Toc451264224"/>
      <w:bookmarkStart w:id="167" w:name="_Toc451264791"/>
      <w:bookmarkStart w:id="168" w:name="_Toc473715459"/>
      <w:bookmarkStart w:id="169" w:name="_Toc473900452"/>
      <w:bookmarkStart w:id="170" w:name="_Toc473900487"/>
      <w:bookmarkStart w:id="171" w:name="_Toc5280197"/>
      <w:bookmarkStart w:id="172" w:name="_Toc5611194"/>
      <w:bookmarkStart w:id="173" w:name="_Toc19867102"/>
      <w:bookmarkStart w:id="174" w:name="_Toc20151470"/>
      <w:bookmarkStart w:id="175" w:name="_Toc323959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 xml:space="preserve">COAG </w:t>
      </w:r>
      <w:bookmarkStart w:id="176" w:name="_GoBack"/>
      <w:bookmarkEnd w:id="176"/>
      <w:r>
        <w:t>Regulation Impact Statement statu</w:t>
      </w:r>
      <w:bookmarkStart w:id="177" w:name="_Toc404606695"/>
      <w:bookmarkStart w:id="178" w:name="_Toc404603873"/>
      <w:bookmarkStart w:id="179" w:name="_Toc404599907"/>
      <w:bookmarkStart w:id="180" w:name="_Toc400627957"/>
      <w:bookmarkStart w:id="181" w:name="_Toc400109596"/>
      <w:bookmarkStart w:id="182" w:name="_Toc396480291"/>
      <w:bookmarkStart w:id="183" w:name="_Toc393462572"/>
      <w:bookmarkStart w:id="184" w:name="_Toc39258956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F61642">
        <w:t>s: 201</w:t>
      </w:r>
      <w:r w:rsidR="008108BE">
        <w:t>9</w:t>
      </w:r>
      <w:r>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7"/>
      <w:bookmarkEnd w:id="178"/>
      <w:bookmarkEnd w:id="179"/>
      <w:bookmarkEnd w:id="180"/>
      <w:bookmarkEnd w:id="181"/>
      <w:bookmarkEnd w:id="182"/>
      <w:bookmarkEnd w:id="183"/>
      <w:bookmarkEnd w:id="184"/>
      <w:r w:rsidR="008108BE">
        <w:t>20</w:t>
      </w:r>
      <w:bookmarkEnd w:id="173"/>
      <w:bookmarkEnd w:id="174"/>
      <w:bookmarkEnd w:id="175"/>
    </w:p>
    <w:p w14:paraId="5044B181" w14:textId="01096A0E" w:rsidR="00832653" w:rsidRDefault="00832653" w:rsidP="005E374D">
      <w:pPr>
        <w:pStyle w:val="BodyText1"/>
      </w:pPr>
      <w:r>
        <w:t>The Office of Best Practice Regulation (OBPR) publish</w:t>
      </w:r>
      <w:r w:rsidR="002F723B">
        <w:t>es</w:t>
      </w:r>
      <w:r>
        <w:t xml:space="preserve"> Regulation Impact Statements (RIS) and the OBPR’s assessment of RISs on its website as soon as practicable </w:t>
      </w:r>
      <w:r w:rsidR="002F723B">
        <w:t xml:space="preserve">after a </w:t>
      </w:r>
      <w:r>
        <w:t>regulatory announcement</w:t>
      </w:r>
      <w:r w:rsidR="002F723B">
        <w:t xml:space="preserve"> is made</w:t>
      </w:r>
      <w:r>
        <w:t>, in consultation with the relevant Council, Forum or national standard-setting body (NSSB). Consequently, the RIS status in aggregate and by Council, Forum or NSSB is also reported ‘live’ in the following tables.</w:t>
      </w:r>
      <w:r w:rsidR="00CE560A">
        <w:t xml:space="preserve"> </w:t>
      </w:r>
      <w:bookmarkStart w:id="185" w:name="_Toc387412049"/>
      <w:bookmarkStart w:id="186" w:name="_Toc391977610"/>
      <w:bookmarkStart w:id="187" w:name="_Toc391985274"/>
      <w:bookmarkStart w:id="188" w:name="_Toc391985778"/>
      <w:bookmarkStart w:id="189" w:name="_Toc391985816"/>
      <w:bookmarkStart w:id="190" w:name="_Toc392582655"/>
      <w:bookmarkStart w:id="191" w:name="_Toc392583994"/>
      <w:bookmarkStart w:id="192" w:name="_Toc392751705"/>
      <w:bookmarkStart w:id="193" w:name="_Toc392852657"/>
      <w:bookmarkStart w:id="194" w:name="_Toc396743525"/>
      <w:bookmarkStart w:id="195" w:name="_Toc400100728"/>
      <w:bookmarkStart w:id="196" w:name="_Toc400101007"/>
      <w:bookmarkStart w:id="197" w:name="_Toc400104319"/>
    </w:p>
    <w:p w14:paraId="4B870A32" w14:textId="77777777" w:rsidR="00CD1385" w:rsidRPr="00BA6CC4" w:rsidRDefault="00CD1385" w:rsidP="00CD1385">
      <w:pPr>
        <w:pStyle w:val="BodyText1"/>
      </w:pPr>
      <w:r w:rsidRPr="00BA6CC4">
        <w:t>In the financial year 2019-20, twenty three COAG Decision RISs were finalised, and assessed as compliant by the OBPR, and published. In one case, neither a Consultation nor Decision RIS was prepared for the agreement by Ministers. In one case, a Consultation RIS was assessed as compliant, but the subsequent Decision RIS was not. In the financial year 2019-20, 26 COAG consultation RISs were assessed by the OBPR, and published.</w:t>
      </w:r>
    </w:p>
    <w:p w14:paraId="60B405F3" w14:textId="77777777" w:rsidR="00CD1385" w:rsidRDefault="00CD1385" w:rsidP="005E374D">
      <w:pPr>
        <w:pStyle w:val="BodyText1"/>
      </w:pPr>
    </w:p>
    <w:p w14:paraId="765A8F8E" w14:textId="613650F5" w:rsidR="00832653" w:rsidRDefault="00832653" w:rsidP="00832653">
      <w:pPr>
        <w:pStyle w:val="Heading2"/>
      </w:pPr>
      <w:bookmarkStart w:id="198" w:name="_Toc404606696"/>
      <w:bookmarkStart w:id="199" w:name="_Toc404603874"/>
      <w:bookmarkStart w:id="200" w:name="_Toc404599908"/>
      <w:bookmarkStart w:id="201" w:name="_Toc400627958"/>
      <w:bookmarkStart w:id="202" w:name="_Toc400109597"/>
      <w:bookmarkStart w:id="203" w:name="_Toc396480292"/>
      <w:bookmarkStart w:id="204" w:name="_Toc393462573"/>
      <w:bookmarkStart w:id="205" w:name="_Toc392589570"/>
      <w:bookmarkStart w:id="206" w:name="_Toc381283518"/>
      <w:bookmarkStart w:id="207" w:name="_Toc379966999"/>
      <w:bookmarkStart w:id="208" w:name="_Toc378240278"/>
      <w:bookmarkStart w:id="209" w:name="_Toc378058883"/>
      <w:bookmarkStart w:id="210" w:name="_Toc378058558"/>
      <w:bookmarkStart w:id="211" w:name="_Toc377474324"/>
      <w:bookmarkStart w:id="212" w:name="_Toc375560984"/>
      <w:bookmarkStart w:id="213" w:name="_Toc374526664"/>
      <w:bookmarkStart w:id="214" w:name="_Toc371337760"/>
      <w:bookmarkStart w:id="215" w:name="_Toc369272610"/>
      <w:bookmarkStart w:id="216" w:name="_Toc369272251"/>
      <w:bookmarkStart w:id="217" w:name="_Toc365277235"/>
      <w:bookmarkStart w:id="218" w:name="_Toc365277221"/>
      <w:bookmarkStart w:id="219" w:name="_Toc363719674"/>
      <w:bookmarkStart w:id="220" w:name="_Toc362420391"/>
      <w:bookmarkStart w:id="221" w:name="_Toc362335502"/>
      <w:bookmarkStart w:id="222" w:name="_Toc361929761"/>
      <w:bookmarkStart w:id="223" w:name="_Toc360453941"/>
      <w:bookmarkStart w:id="224" w:name="_Toc358983753"/>
      <w:bookmarkStart w:id="225" w:name="_Toc356569227"/>
      <w:bookmarkStart w:id="226" w:name="_Toc356295553"/>
      <w:bookmarkStart w:id="227" w:name="_Toc355615553"/>
      <w:bookmarkStart w:id="228" w:name="_Toc355604425"/>
      <w:bookmarkStart w:id="229" w:name="_Toc355604258"/>
      <w:bookmarkStart w:id="230" w:name="_Toc354048482"/>
      <w:bookmarkStart w:id="231" w:name="_Toc351553027"/>
      <w:bookmarkStart w:id="232" w:name="_Toc432587371"/>
      <w:bookmarkStart w:id="233" w:name="_Toc438539587"/>
      <w:bookmarkStart w:id="234" w:name="_Toc438539622"/>
      <w:bookmarkStart w:id="235" w:name="_Toc440639805"/>
      <w:bookmarkStart w:id="236" w:name="_Toc445973433"/>
      <w:bookmarkStart w:id="237" w:name="_Toc445974131"/>
      <w:bookmarkStart w:id="238" w:name="_Toc445974392"/>
      <w:bookmarkStart w:id="239" w:name="_Toc446318425"/>
      <w:bookmarkStart w:id="240" w:name="_Toc447532683"/>
      <w:bookmarkStart w:id="241" w:name="_Toc451168631"/>
      <w:bookmarkStart w:id="242" w:name="_Toc451264225"/>
      <w:bookmarkStart w:id="243" w:name="_Toc451264792"/>
      <w:bookmarkStart w:id="244" w:name="_Toc459800318"/>
      <w:bookmarkStart w:id="245" w:name="_Toc473715460"/>
      <w:bookmarkStart w:id="246" w:name="_Toc473900453"/>
      <w:bookmarkStart w:id="247" w:name="_Toc473900488"/>
      <w:bookmarkStart w:id="248" w:name="_Toc5280198"/>
      <w:bookmarkStart w:id="249" w:name="_Toc5611195"/>
      <w:bookmarkStart w:id="250" w:name="_Toc19867103"/>
      <w:bookmarkStart w:id="251" w:name="_Toc20151471"/>
      <w:bookmarkStart w:id="252" w:name="_Toc32395966"/>
      <w:r>
        <w:t>Compliance with the COAG R</w:t>
      </w:r>
      <w:r w:rsidR="00C30E67">
        <w:t>IS requirements 201</w:t>
      </w:r>
      <w:r w:rsidR="00957F2E">
        <w:t>6</w:t>
      </w:r>
      <w:r w:rsidR="00C30E67">
        <w:t>-1</w:t>
      </w:r>
      <w:r w:rsidR="00957F2E">
        <w:t>7</w:t>
      </w:r>
      <w:r w:rsidR="00C30E67">
        <w:t xml:space="preserve"> to 201</w:t>
      </w:r>
      <w:r w:rsidR="00957F2E">
        <w:t>9</w:t>
      </w:r>
      <w:r>
        <w: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957F2E">
        <w:t>20</w:t>
      </w:r>
      <w:bookmarkEnd w:id="250"/>
      <w:bookmarkEnd w:id="251"/>
      <w:bookmarkEnd w:id="252"/>
    </w:p>
    <w:tbl>
      <w:tblPr>
        <w:tblW w:w="0" w:type="auto"/>
        <w:tblInd w:w="720" w:type="dxa"/>
        <w:tblCellMar>
          <w:left w:w="0" w:type="dxa"/>
          <w:right w:w="0" w:type="dxa"/>
        </w:tblCellMar>
        <w:tblLook w:val="04A0" w:firstRow="1" w:lastRow="0" w:firstColumn="1" w:lastColumn="0" w:noHBand="0" w:noVBand="1"/>
        <w:tblCaption w:val="Compliance with the COAG RIS requirements 2014-15 to 2017-18"/>
        <w:tblDescription w:val="A table summarising the RIS compliance of COAG proposals within the 2014-15 to 2017-18 financial years, listing the number of RISs compliant at the consultation and decision-making stages."/>
      </w:tblPr>
      <w:tblGrid>
        <w:gridCol w:w="2369"/>
        <w:gridCol w:w="878"/>
        <w:gridCol w:w="495"/>
        <w:gridCol w:w="915"/>
        <w:gridCol w:w="479"/>
        <w:gridCol w:w="967"/>
        <w:gridCol w:w="476"/>
        <w:gridCol w:w="923"/>
        <w:gridCol w:w="567"/>
      </w:tblGrid>
      <w:tr w:rsidR="00E0174B" w14:paraId="5D8AA93D" w14:textId="77777777" w:rsidTr="005A5B12">
        <w:trPr>
          <w:tblHeader/>
        </w:trPr>
        <w:tc>
          <w:tcPr>
            <w:tcW w:w="2369" w:type="dxa"/>
            <w:shd w:val="clear" w:color="auto" w:fill="FFCC99"/>
            <w:vAlign w:val="center"/>
            <w:hideMark/>
          </w:tcPr>
          <w:p w14:paraId="0B4237CB" w14:textId="77777777" w:rsidR="00E0174B" w:rsidRPr="00A16728" w:rsidRDefault="00E0174B" w:rsidP="00E0174B">
            <w:pPr>
              <w:pStyle w:val="Tablecolumnheading"/>
            </w:pPr>
            <w:r w:rsidRPr="00A16728">
              <w:t>Stage</w:t>
            </w:r>
          </w:p>
        </w:tc>
        <w:tc>
          <w:tcPr>
            <w:tcW w:w="878" w:type="dxa"/>
            <w:shd w:val="clear" w:color="auto" w:fill="FFCC99"/>
            <w:hideMark/>
          </w:tcPr>
          <w:p w14:paraId="06632E4E" w14:textId="77777777" w:rsidR="00E0174B" w:rsidRPr="00A16728" w:rsidRDefault="00E0174B" w:rsidP="00E0174B">
            <w:pPr>
              <w:pStyle w:val="Tablecolumnheading"/>
            </w:pPr>
            <w:r w:rsidRPr="00A16728">
              <w:t>201</w:t>
            </w:r>
            <w:r>
              <w:t>6</w:t>
            </w:r>
            <w:r w:rsidRPr="00A16728">
              <w:t>-1</w:t>
            </w:r>
            <w:r>
              <w:t xml:space="preserve">7 </w:t>
            </w:r>
            <w:r w:rsidRPr="00A16728">
              <w:t xml:space="preserve">ratio </w:t>
            </w:r>
          </w:p>
        </w:tc>
        <w:tc>
          <w:tcPr>
            <w:tcW w:w="495" w:type="dxa"/>
            <w:shd w:val="clear" w:color="auto" w:fill="FFCC99"/>
          </w:tcPr>
          <w:p w14:paraId="25F42BB9" w14:textId="77777777" w:rsidR="00E0174B" w:rsidRPr="00A16728" w:rsidRDefault="00E0174B" w:rsidP="00E0174B">
            <w:pPr>
              <w:pStyle w:val="Tablecolumnheading"/>
              <w:ind w:left="0"/>
            </w:pPr>
          </w:p>
          <w:p w14:paraId="233E1354" w14:textId="77777777" w:rsidR="00E0174B" w:rsidRPr="00A16728" w:rsidRDefault="00E0174B" w:rsidP="00E0174B">
            <w:pPr>
              <w:pStyle w:val="Tablecolumnheading"/>
            </w:pPr>
            <w:r w:rsidRPr="00A16728">
              <w:t xml:space="preserve"> %</w:t>
            </w:r>
          </w:p>
        </w:tc>
        <w:tc>
          <w:tcPr>
            <w:tcW w:w="915" w:type="dxa"/>
            <w:shd w:val="clear" w:color="auto" w:fill="FFCC99"/>
          </w:tcPr>
          <w:p w14:paraId="1F783D0F" w14:textId="77777777" w:rsidR="00E0174B" w:rsidRPr="00DF2CC5" w:rsidRDefault="00E0174B" w:rsidP="00E0174B">
            <w:pPr>
              <w:pStyle w:val="Tablecolumnheading"/>
            </w:pPr>
            <w:r w:rsidRPr="00DF2CC5">
              <w:t>201</w:t>
            </w:r>
            <w:r>
              <w:t>7</w:t>
            </w:r>
            <w:r w:rsidRPr="00DF2CC5">
              <w:t>-1</w:t>
            </w:r>
            <w:r>
              <w:t xml:space="preserve">8  </w:t>
            </w:r>
            <w:r w:rsidRPr="00DF2CC5">
              <w:t xml:space="preserve">ratio </w:t>
            </w:r>
          </w:p>
        </w:tc>
        <w:tc>
          <w:tcPr>
            <w:tcW w:w="479" w:type="dxa"/>
            <w:shd w:val="clear" w:color="auto" w:fill="FFCC99"/>
          </w:tcPr>
          <w:p w14:paraId="62CB1D1F" w14:textId="77777777" w:rsidR="00E0174B" w:rsidRPr="00DF2CC5" w:rsidRDefault="00E0174B" w:rsidP="00E0174B">
            <w:pPr>
              <w:pStyle w:val="Tablecolumnheading"/>
              <w:ind w:left="0"/>
            </w:pPr>
          </w:p>
          <w:p w14:paraId="252922B4" w14:textId="77777777" w:rsidR="00E0174B" w:rsidRPr="00DF2CC5" w:rsidRDefault="00E0174B" w:rsidP="00E0174B">
            <w:pPr>
              <w:pStyle w:val="Tablecolumnheading"/>
            </w:pPr>
            <w:r w:rsidRPr="00DF2CC5">
              <w:t xml:space="preserve"> %</w:t>
            </w:r>
          </w:p>
        </w:tc>
        <w:tc>
          <w:tcPr>
            <w:tcW w:w="967" w:type="dxa"/>
            <w:shd w:val="clear" w:color="auto" w:fill="FFCC99"/>
          </w:tcPr>
          <w:p w14:paraId="36251135" w14:textId="77777777" w:rsidR="00E0174B" w:rsidRPr="00DF2CC5" w:rsidRDefault="00E0174B" w:rsidP="00E0174B">
            <w:pPr>
              <w:pStyle w:val="Tablecolumnheading"/>
            </w:pPr>
            <w:r w:rsidRPr="00DF2CC5">
              <w:t>201</w:t>
            </w:r>
            <w:r>
              <w:t>8</w:t>
            </w:r>
            <w:r w:rsidRPr="00DF2CC5">
              <w:t>-1</w:t>
            </w:r>
            <w:r>
              <w:t>9</w:t>
            </w:r>
            <w:r w:rsidRPr="00DF2CC5">
              <w:t xml:space="preserve"> ratio</w:t>
            </w:r>
            <w:r>
              <w:t xml:space="preserve"> </w:t>
            </w:r>
          </w:p>
        </w:tc>
        <w:tc>
          <w:tcPr>
            <w:tcW w:w="476" w:type="dxa"/>
            <w:shd w:val="clear" w:color="auto" w:fill="FFCC99"/>
          </w:tcPr>
          <w:p w14:paraId="4711F279" w14:textId="77777777" w:rsidR="00E0174B" w:rsidRDefault="00E0174B" w:rsidP="00E0174B">
            <w:pPr>
              <w:pStyle w:val="Tablecolumnheading"/>
            </w:pPr>
          </w:p>
          <w:p w14:paraId="168FEC18" w14:textId="77777777" w:rsidR="00E0174B" w:rsidRPr="00DF2CC5" w:rsidRDefault="00E0174B" w:rsidP="00E0174B">
            <w:pPr>
              <w:pStyle w:val="Tablecolumnheading"/>
            </w:pPr>
            <w:r>
              <w:t>%</w:t>
            </w:r>
          </w:p>
        </w:tc>
        <w:tc>
          <w:tcPr>
            <w:tcW w:w="923" w:type="dxa"/>
            <w:shd w:val="clear" w:color="auto" w:fill="FFCC99"/>
          </w:tcPr>
          <w:p w14:paraId="2A6109EB" w14:textId="7BCCB7D8" w:rsidR="00E0174B" w:rsidRDefault="00E0174B" w:rsidP="00D43B7F">
            <w:pPr>
              <w:pStyle w:val="Tablecolumnheading"/>
            </w:pPr>
            <w:r w:rsidRPr="00DF2CC5">
              <w:t>201</w:t>
            </w:r>
            <w:r>
              <w:t>9-20</w:t>
            </w:r>
            <w:r w:rsidRPr="00DF2CC5">
              <w:t xml:space="preserve"> ratio</w:t>
            </w:r>
            <w:r>
              <w:t xml:space="preserve"> </w:t>
            </w:r>
          </w:p>
        </w:tc>
        <w:tc>
          <w:tcPr>
            <w:tcW w:w="567" w:type="dxa"/>
            <w:shd w:val="clear" w:color="auto" w:fill="FFCC99"/>
          </w:tcPr>
          <w:p w14:paraId="67C654DC" w14:textId="77777777" w:rsidR="00E0174B" w:rsidRDefault="00E0174B" w:rsidP="00E0174B">
            <w:pPr>
              <w:pStyle w:val="Tablecolumnheading"/>
            </w:pPr>
          </w:p>
          <w:p w14:paraId="3EB2699E" w14:textId="77777777" w:rsidR="00E0174B" w:rsidRDefault="00E0174B" w:rsidP="00E0174B">
            <w:pPr>
              <w:pStyle w:val="Tablecolumnheading"/>
            </w:pPr>
            <w:r>
              <w:t>%</w:t>
            </w:r>
          </w:p>
        </w:tc>
      </w:tr>
      <w:tr w:rsidR="00E0174B" w:rsidRPr="00904B60" w14:paraId="1B36CE7C" w14:textId="77777777" w:rsidTr="005A5B12">
        <w:tc>
          <w:tcPr>
            <w:tcW w:w="2369" w:type="dxa"/>
            <w:hideMark/>
          </w:tcPr>
          <w:p w14:paraId="2B8B7702" w14:textId="77B5D3E6" w:rsidR="00E0174B" w:rsidRPr="00B20104" w:rsidRDefault="00E0174B" w:rsidP="00D43B7F">
            <w:pPr>
              <w:pStyle w:val="Tablebodytext"/>
              <w:rPr>
                <w:b/>
              </w:rPr>
            </w:pPr>
            <w:r w:rsidRPr="00B20104">
              <w:rPr>
                <w:b/>
              </w:rPr>
              <w:t xml:space="preserve">Consultation </w:t>
            </w:r>
            <w:proofErr w:type="spellStart"/>
            <w:r w:rsidRPr="00B20104">
              <w:rPr>
                <w:b/>
              </w:rPr>
              <w:t>stage</w:t>
            </w:r>
            <w:r w:rsidR="00D43B7F">
              <w:rPr>
                <w:b/>
                <w:vertAlign w:val="superscript"/>
              </w:rPr>
              <w:t>a</w:t>
            </w:r>
            <w:proofErr w:type="spellEnd"/>
          </w:p>
        </w:tc>
        <w:tc>
          <w:tcPr>
            <w:tcW w:w="878" w:type="dxa"/>
          </w:tcPr>
          <w:p w14:paraId="20614625" w14:textId="77777777" w:rsidR="00E0174B" w:rsidRPr="00012928" w:rsidRDefault="00E0174B" w:rsidP="00E24DA5">
            <w:pPr>
              <w:pStyle w:val="Tablebodytext"/>
            </w:pPr>
            <w:r w:rsidRPr="00012928">
              <w:t>1</w:t>
            </w:r>
            <w:r>
              <w:t>0/11</w:t>
            </w:r>
          </w:p>
        </w:tc>
        <w:tc>
          <w:tcPr>
            <w:tcW w:w="495" w:type="dxa"/>
            <w:shd w:val="clear" w:color="auto" w:fill="auto"/>
          </w:tcPr>
          <w:p w14:paraId="4ECCB8AE" w14:textId="77777777" w:rsidR="00E0174B" w:rsidRPr="00012928" w:rsidRDefault="00E0174B" w:rsidP="008F3949">
            <w:pPr>
              <w:pStyle w:val="Tablebodytext"/>
            </w:pPr>
            <w:r>
              <w:t>90</w:t>
            </w:r>
          </w:p>
        </w:tc>
        <w:tc>
          <w:tcPr>
            <w:tcW w:w="915" w:type="dxa"/>
            <w:shd w:val="clear" w:color="auto" w:fill="auto"/>
          </w:tcPr>
          <w:p w14:paraId="1ED5D0BE" w14:textId="77777777" w:rsidR="00E0174B" w:rsidRPr="00904B60" w:rsidRDefault="00E0174B" w:rsidP="00C44B43">
            <w:pPr>
              <w:pStyle w:val="Tablebodytext"/>
            </w:pPr>
            <w:r w:rsidRPr="00904B60">
              <w:t>6/6</w:t>
            </w:r>
          </w:p>
        </w:tc>
        <w:tc>
          <w:tcPr>
            <w:tcW w:w="479" w:type="dxa"/>
            <w:shd w:val="clear" w:color="auto" w:fill="auto"/>
          </w:tcPr>
          <w:p w14:paraId="0BB5C139" w14:textId="77777777" w:rsidR="00E0174B" w:rsidRPr="00904B60" w:rsidRDefault="00E0174B" w:rsidP="00C44B43">
            <w:pPr>
              <w:pStyle w:val="Tablebodytext"/>
            </w:pPr>
            <w:r w:rsidRPr="00904B60">
              <w:t>100</w:t>
            </w:r>
          </w:p>
        </w:tc>
        <w:tc>
          <w:tcPr>
            <w:tcW w:w="967" w:type="dxa"/>
            <w:shd w:val="clear" w:color="auto" w:fill="auto"/>
          </w:tcPr>
          <w:p w14:paraId="56C26406" w14:textId="77777777" w:rsidR="00E0174B" w:rsidRPr="00904B60" w:rsidRDefault="00B94BA6" w:rsidP="00C44B43">
            <w:pPr>
              <w:pStyle w:val="Tablebodytext"/>
            </w:pPr>
            <w:r>
              <w:t>15/15</w:t>
            </w:r>
          </w:p>
        </w:tc>
        <w:tc>
          <w:tcPr>
            <w:tcW w:w="476" w:type="dxa"/>
          </w:tcPr>
          <w:p w14:paraId="7A841C7B" w14:textId="77777777" w:rsidR="00E0174B" w:rsidRPr="00904B60" w:rsidRDefault="00E0174B" w:rsidP="00C44B43">
            <w:pPr>
              <w:pStyle w:val="Tablebodytext"/>
            </w:pPr>
            <w:r w:rsidRPr="00904B60">
              <w:t>100</w:t>
            </w:r>
          </w:p>
        </w:tc>
        <w:tc>
          <w:tcPr>
            <w:tcW w:w="923" w:type="dxa"/>
          </w:tcPr>
          <w:p w14:paraId="3945A6E0" w14:textId="158F1744" w:rsidR="00E0174B" w:rsidRPr="00904B60" w:rsidRDefault="00D43B7F" w:rsidP="00C44B43">
            <w:pPr>
              <w:pStyle w:val="Tablebodytext"/>
            </w:pPr>
            <w:r>
              <w:t>24/25</w:t>
            </w:r>
          </w:p>
        </w:tc>
        <w:tc>
          <w:tcPr>
            <w:tcW w:w="567" w:type="dxa"/>
          </w:tcPr>
          <w:p w14:paraId="401FB385" w14:textId="2D7C5728" w:rsidR="00E0174B" w:rsidRPr="00904B60" w:rsidRDefault="00D43B7F" w:rsidP="00705B41">
            <w:pPr>
              <w:pStyle w:val="Tablebodytext"/>
            </w:pPr>
            <w:r>
              <w:t>96</w:t>
            </w:r>
          </w:p>
        </w:tc>
      </w:tr>
      <w:tr w:rsidR="00E0174B" w:rsidRPr="009E2979" w14:paraId="43B31930" w14:textId="77777777" w:rsidTr="005A5B12">
        <w:tc>
          <w:tcPr>
            <w:tcW w:w="2369" w:type="dxa"/>
            <w:hideMark/>
          </w:tcPr>
          <w:p w14:paraId="209C245F" w14:textId="77777777" w:rsidR="00E0174B" w:rsidRPr="00B20104" w:rsidRDefault="00E0174B" w:rsidP="00C44B43">
            <w:pPr>
              <w:pStyle w:val="Tablebodytext"/>
              <w:rPr>
                <w:b/>
              </w:rPr>
            </w:pPr>
            <w:r w:rsidRPr="00B20104">
              <w:rPr>
                <w:b/>
              </w:rPr>
              <w:t>Decision-making stage</w:t>
            </w:r>
          </w:p>
        </w:tc>
        <w:tc>
          <w:tcPr>
            <w:tcW w:w="878" w:type="dxa"/>
          </w:tcPr>
          <w:p w14:paraId="212C0244" w14:textId="77777777" w:rsidR="00E0174B" w:rsidRPr="00012928" w:rsidRDefault="00E0174B" w:rsidP="00012928">
            <w:pPr>
              <w:pStyle w:val="Tablebodytext"/>
            </w:pPr>
            <w:r>
              <w:t>10/11</w:t>
            </w:r>
          </w:p>
        </w:tc>
        <w:tc>
          <w:tcPr>
            <w:tcW w:w="495" w:type="dxa"/>
            <w:shd w:val="clear" w:color="auto" w:fill="auto"/>
          </w:tcPr>
          <w:p w14:paraId="305FB58F" w14:textId="77777777" w:rsidR="00E0174B" w:rsidRPr="00012928" w:rsidRDefault="00E0174B" w:rsidP="00575BB9">
            <w:pPr>
              <w:pStyle w:val="Tablebodytext"/>
            </w:pPr>
            <w:r>
              <w:t>90</w:t>
            </w:r>
          </w:p>
        </w:tc>
        <w:tc>
          <w:tcPr>
            <w:tcW w:w="915" w:type="dxa"/>
            <w:shd w:val="clear" w:color="auto" w:fill="auto"/>
          </w:tcPr>
          <w:p w14:paraId="62C4F408" w14:textId="77777777" w:rsidR="00E0174B" w:rsidRPr="00012928" w:rsidRDefault="00E0174B" w:rsidP="00C44B43">
            <w:pPr>
              <w:pStyle w:val="Tablebodytext"/>
            </w:pPr>
            <w:r>
              <w:t>6/6</w:t>
            </w:r>
          </w:p>
        </w:tc>
        <w:tc>
          <w:tcPr>
            <w:tcW w:w="479" w:type="dxa"/>
            <w:shd w:val="clear" w:color="auto" w:fill="auto"/>
          </w:tcPr>
          <w:p w14:paraId="38D2C2E1" w14:textId="77777777" w:rsidR="00E0174B" w:rsidRPr="00012928" w:rsidRDefault="00E0174B" w:rsidP="00C44B43">
            <w:pPr>
              <w:pStyle w:val="Tablebodytext"/>
            </w:pPr>
            <w:r>
              <w:t>100</w:t>
            </w:r>
          </w:p>
        </w:tc>
        <w:tc>
          <w:tcPr>
            <w:tcW w:w="967" w:type="dxa"/>
            <w:shd w:val="clear" w:color="auto" w:fill="auto"/>
          </w:tcPr>
          <w:p w14:paraId="088B01C4" w14:textId="77777777" w:rsidR="00E0174B" w:rsidRPr="009E2979" w:rsidRDefault="00B94BA6" w:rsidP="00C44B43">
            <w:pPr>
              <w:pStyle w:val="Tablebodytext"/>
            </w:pPr>
            <w:r>
              <w:t>15/15</w:t>
            </w:r>
          </w:p>
        </w:tc>
        <w:tc>
          <w:tcPr>
            <w:tcW w:w="476" w:type="dxa"/>
          </w:tcPr>
          <w:p w14:paraId="57CF6F61" w14:textId="77777777" w:rsidR="00E0174B" w:rsidRPr="009E2979" w:rsidRDefault="00E0174B" w:rsidP="00C44B43">
            <w:pPr>
              <w:pStyle w:val="Tablebodytext"/>
            </w:pPr>
            <w:r w:rsidRPr="009E2979">
              <w:t>100</w:t>
            </w:r>
          </w:p>
        </w:tc>
        <w:tc>
          <w:tcPr>
            <w:tcW w:w="923" w:type="dxa"/>
          </w:tcPr>
          <w:p w14:paraId="4BF0B866" w14:textId="285D7B01" w:rsidR="00E0174B" w:rsidRPr="009E2979" w:rsidRDefault="00133FAD" w:rsidP="00C44B43">
            <w:pPr>
              <w:pStyle w:val="Tablebodytext"/>
            </w:pPr>
            <w:r>
              <w:t>23</w:t>
            </w:r>
            <w:r w:rsidR="00705B41">
              <w:t>/</w:t>
            </w:r>
            <w:r>
              <w:t>25</w:t>
            </w:r>
          </w:p>
        </w:tc>
        <w:tc>
          <w:tcPr>
            <w:tcW w:w="567" w:type="dxa"/>
          </w:tcPr>
          <w:p w14:paraId="6CDF0AED" w14:textId="2544A863" w:rsidR="00E0174B" w:rsidRPr="009E2979" w:rsidRDefault="00133FAD">
            <w:pPr>
              <w:pStyle w:val="Tablebodytext"/>
            </w:pPr>
            <w:r>
              <w:t>92</w:t>
            </w:r>
          </w:p>
        </w:tc>
      </w:tr>
    </w:tbl>
    <w:p w14:paraId="48DA2047" w14:textId="77777777" w:rsidR="00C8725F" w:rsidRDefault="00C8725F" w:rsidP="00832653">
      <w:pPr>
        <w:pStyle w:val="Sourcenotetext"/>
      </w:pPr>
    </w:p>
    <w:p w14:paraId="73151576" w14:textId="56DFDCA7" w:rsidR="00832653" w:rsidRDefault="00983CD1" w:rsidP="00832653">
      <w:pPr>
        <w:pStyle w:val="Sourcenotetext"/>
      </w:pPr>
      <w:proofErr w:type="gramStart"/>
      <w:r w:rsidRPr="00B20104">
        <w:t>a</w:t>
      </w:r>
      <w:proofErr w:type="gramEnd"/>
      <w:r w:rsidR="00832653" w:rsidRPr="00B20104">
        <w:t xml:space="preserve"> </w:t>
      </w:r>
      <w:r w:rsidR="00E0174B">
        <w:t xml:space="preserve">To </w:t>
      </w:r>
      <w:r w:rsidR="00731239">
        <w:t>1</w:t>
      </w:r>
      <w:r w:rsidR="008410CD">
        <w:t xml:space="preserve"> July </w:t>
      </w:r>
      <w:r w:rsidR="008A6F67">
        <w:t>20</w:t>
      </w:r>
      <w:r w:rsidR="006475B7">
        <w:t>20</w:t>
      </w:r>
      <w:r w:rsidR="00832653" w:rsidRPr="00B20104">
        <w:t>.</w:t>
      </w:r>
    </w:p>
    <w:p w14:paraId="0AE54FA0" w14:textId="6520C529" w:rsidR="0077323B" w:rsidRDefault="00D43B7F" w:rsidP="00832653">
      <w:pPr>
        <w:pStyle w:val="Sourcenotetext"/>
        <w:spacing w:after="240"/>
      </w:pPr>
      <w:proofErr w:type="spellStart"/>
      <w:proofErr w:type="gramStart"/>
      <w:r>
        <w:t>a</w:t>
      </w:r>
      <w:proofErr w:type="spellEnd"/>
      <w:proofErr w:type="gramEnd"/>
      <w:r w:rsidR="00832653" w:rsidRPr="00B20104">
        <w:t xml:space="preserve"> </w:t>
      </w:r>
      <w:r w:rsidR="00061BF4" w:rsidRPr="00061BF4">
        <w:t>The consultation stage figures relate to those decisions at the consultation stage for which a corresponding decision RIS at the decision-making stage has been announced.</w:t>
      </w:r>
    </w:p>
    <w:bookmarkEnd w:id="185"/>
    <w:bookmarkEnd w:id="186"/>
    <w:bookmarkEnd w:id="187"/>
    <w:bookmarkEnd w:id="188"/>
    <w:bookmarkEnd w:id="189"/>
    <w:bookmarkEnd w:id="190"/>
    <w:bookmarkEnd w:id="191"/>
    <w:bookmarkEnd w:id="192"/>
    <w:bookmarkEnd w:id="193"/>
    <w:bookmarkEnd w:id="194"/>
    <w:bookmarkEnd w:id="195"/>
    <w:bookmarkEnd w:id="196"/>
    <w:bookmarkEnd w:id="197"/>
    <w:p w14:paraId="1A2C5510" w14:textId="5B11A0F2" w:rsidR="0077323B" w:rsidRPr="00354504" w:rsidRDefault="00153DC0" w:rsidP="00354504">
      <w:pPr>
        <w:pStyle w:val="Heading2"/>
      </w:pPr>
      <w:r>
        <w:t xml:space="preserve"> </w:t>
      </w:r>
      <w:bookmarkStart w:id="253" w:name="_Toc5280199"/>
      <w:bookmarkStart w:id="254" w:name="_Toc5611196"/>
      <w:bookmarkStart w:id="255" w:name="_Toc19867104"/>
      <w:bookmarkStart w:id="256" w:name="_Toc20151472"/>
      <w:bookmarkStart w:id="257" w:name="_Toc32395967"/>
      <w:r w:rsidR="0077323B" w:rsidRPr="00354504">
        <w:t xml:space="preserve">COAG </w:t>
      </w:r>
      <w:r w:rsidR="000646E5" w:rsidRPr="00354504">
        <w:t>Consultation RISs prepared 201</w:t>
      </w:r>
      <w:r w:rsidR="00957F2E">
        <w:t>6-17</w:t>
      </w:r>
      <w:r w:rsidR="00596B24">
        <w:t xml:space="preserve"> </w:t>
      </w:r>
      <w:r w:rsidR="0077323B" w:rsidRPr="00354504">
        <w:t>to 201</w:t>
      </w:r>
      <w:r w:rsidR="00957F2E">
        <w:t>9</w:t>
      </w:r>
      <w:r w:rsidR="0077323B" w:rsidRPr="00354504">
        <w:t>-</w:t>
      </w:r>
      <w:bookmarkEnd w:id="253"/>
      <w:bookmarkEnd w:id="254"/>
      <w:r w:rsidR="00957F2E">
        <w:t>20</w:t>
      </w:r>
      <w:bookmarkEnd w:id="255"/>
      <w:bookmarkEnd w:id="256"/>
      <w:bookmarkEnd w:id="257"/>
    </w:p>
    <w:tbl>
      <w:tblPr>
        <w:tblW w:w="0" w:type="auto"/>
        <w:tblInd w:w="720" w:type="dxa"/>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AG Consultation RISs prepared 2014-15 to 2017-18"/>
        <w:tblDescription w:val="A table summarising the number of COAG Consultation RISs prepared within the 2014-15 to 2017-18 financial years."/>
      </w:tblPr>
      <w:tblGrid>
        <w:gridCol w:w="2399"/>
        <w:gridCol w:w="1418"/>
        <w:gridCol w:w="1276"/>
        <w:gridCol w:w="1559"/>
        <w:gridCol w:w="1559"/>
      </w:tblGrid>
      <w:tr w:rsidR="00957F2E" w:rsidRPr="0064756D" w14:paraId="262BFF80" w14:textId="77777777" w:rsidTr="00957F2E">
        <w:trPr>
          <w:tblHeader/>
        </w:trPr>
        <w:tc>
          <w:tcPr>
            <w:tcW w:w="2399" w:type="dxa"/>
            <w:tcBorders>
              <w:top w:val="single" w:sz="4" w:space="0" w:color="A7B4BE"/>
              <w:left w:val="nil"/>
              <w:bottom w:val="single" w:sz="2" w:space="0" w:color="A7B4BE"/>
              <w:right w:val="single" w:sz="2" w:space="0" w:color="A7B4BE"/>
            </w:tcBorders>
            <w:shd w:val="clear" w:color="auto" w:fill="FFCC99"/>
            <w:vAlign w:val="center"/>
          </w:tcPr>
          <w:p w14:paraId="31C81989" w14:textId="77777777" w:rsidR="00957F2E" w:rsidRPr="00E86491" w:rsidRDefault="00957F2E" w:rsidP="00754FDB">
            <w:pPr>
              <w:pStyle w:val="Tablecolumnheading"/>
            </w:pPr>
          </w:p>
        </w:tc>
        <w:tc>
          <w:tcPr>
            <w:tcW w:w="1418" w:type="dxa"/>
            <w:tcBorders>
              <w:top w:val="single" w:sz="4" w:space="0" w:color="A7B4BE"/>
              <w:left w:val="single" w:sz="2" w:space="0" w:color="A7B4BE"/>
              <w:bottom w:val="single" w:sz="4" w:space="0" w:color="A7B4BE"/>
              <w:right w:val="single" w:sz="2" w:space="0" w:color="A7B4BE"/>
            </w:tcBorders>
            <w:shd w:val="clear" w:color="auto" w:fill="FFCC99"/>
          </w:tcPr>
          <w:p w14:paraId="648864A0" w14:textId="77777777" w:rsidR="00957F2E" w:rsidRPr="00E86491" w:rsidRDefault="00957F2E" w:rsidP="00685607">
            <w:pPr>
              <w:pStyle w:val="Tablecolumnheading"/>
              <w:ind w:left="0"/>
              <w:jc w:val="center"/>
            </w:pPr>
            <w:r w:rsidRPr="00E86491">
              <w:t>201</w:t>
            </w:r>
            <w:r>
              <w:t>6</w:t>
            </w:r>
            <w:r w:rsidRPr="00E86491">
              <w:t>-1</w:t>
            </w:r>
            <w:r>
              <w:t>7</w:t>
            </w:r>
          </w:p>
        </w:tc>
        <w:tc>
          <w:tcPr>
            <w:tcW w:w="1276" w:type="dxa"/>
            <w:tcBorders>
              <w:top w:val="single" w:sz="4" w:space="0" w:color="A7B4BE"/>
              <w:left w:val="nil"/>
              <w:bottom w:val="single" w:sz="4" w:space="0" w:color="A7B4BE"/>
              <w:right w:val="single" w:sz="4" w:space="0" w:color="A7B4BE"/>
            </w:tcBorders>
            <w:shd w:val="clear" w:color="auto" w:fill="FFCC99"/>
          </w:tcPr>
          <w:p w14:paraId="5F892F61" w14:textId="77777777" w:rsidR="00957F2E" w:rsidRPr="00E86491" w:rsidRDefault="00957F2E" w:rsidP="00685607">
            <w:pPr>
              <w:pStyle w:val="Tablecolumnheading"/>
              <w:ind w:left="0"/>
              <w:jc w:val="center"/>
            </w:pPr>
            <w:r>
              <w:t>2017-18</w:t>
            </w:r>
          </w:p>
        </w:tc>
        <w:tc>
          <w:tcPr>
            <w:tcW w:w="1559" w:type="dxa"/>
            <w:tcBorders>
              <w:top w:val="single" w:sz="4" w:space="0" w:color="A7B4BE"/>
              <w:left w:val="single" w:sz="4" w:space="0" w:color="A7B4BE"/>
              <w:bottom w:val="single" w:sz="4" w:space="0" w:color="A7B4BE"/>
              <w:right w:val="nil"/>
            </w:tcBorders>
            <w:shd w:val="clear" w:color="auto" w:fill="FFCC99"/>
          </w:tcPr>
          <w:p w14:paraId="2CEB939A" w14:textId="77777777" w:rsidR="00957F2E" w:rsidRPr="00E86491" w:rsidRDefault="00957F2E" w:rsidP="00596B24">
            <w:pPr>
              <w:pStyle w:val="Tablecolumnheading"/>
              <w:ind w:left="0"/>
              <w:jc w:val="center"/>
            </w:pPr>
            <w:r w:rsidRPr="00E86491">
              <w:t>201</w:t>
            </w:r>
            <w:r>
              <w:t>8</w:t>
            </w:r>
            <w:r w:rsidRPr="00E86491">
              <w:t>-1</w:t>
            </w:r>
            <w:r>
              <w:t>9</w:t>
            </w:r>
          </w:p>
        </w:tc>
        <w:tc>
          <w:tcPr>
            <w:tcW w:w="1559" w:type="dxa"/>
            <w:tcBorders>
              <w:top w:val="single" w:sz="4" w:space="0" w:color="A7B4BE"/>
              <w:left w:val="single" w:sz="4" w:space="0" w:color="A7B4BE"/>
              <w:bottom w:val="single" w:sz="4" w:space="0" w:color="A7B4BE"/>
              <w:right w:val="nil"/>
            </w:tcBorders>
            <w:shd w:val="clear" w:color="auto" w:fill="FFCC99"/>
          </w:tcPr>
          <w:p w14:paraId="648A3BFB" w14:textId="7E3C394B" w:rsidR="00957F2E" w:rsidRPr="00957F2E" w:rsidRDefault="00957F2E" w:rsidP="00D43B7F">
            <w:pPr>
              <w:pStyle w:val="Tablecolumnheading"/>
              <w:ind w:left="0"/>
              <w:jc w:val="center"/>
              <w:rPr>
                <w:vertAlign w:val="superscript"/>
              </w:rPr>
            </w:pPr>
            <w:r>
              <w:t>2019-20</w:t>
            </w:r>
          </w:p>
        </w:tc>
      </w:tr>
      <w:tr w:rsidR="00957F2E" w:rsidRPr="0064756D" w14:paraId="39C3DC9E" w14:textId="77777777" w:rsidTr="00B9335B">
        <w:tc>
          <w:tcPr>
            <w:tcW w:w="2399" w:type="dxa"/>
            <w:tcBorders>
              <w:top w:val="single" w:sz="4" w:space="0" w:color="A7B4BE"/>
              <w:left w:val="nil"/>
              <w:bottom w:val="single" w:sz="2" w:space="0" w:color="A7B4BE"/>
              <w:right w:val="single" w:sz="2" w:space="0" w:color="A7B4BE"/>
            </w:tcBorders>
            <w:hideMark/>
          </w:tcPr>
          <w:p w14:paraId="00F599E3" w14:textId="676EFCDD" w:rsidR="00957F2E" w:rsidRPr="00E86491" w:rsidRDefault="00957F2E" w:rsidP="00D43B7F">
            <w:pPr>
              <w:pStyle w:val="Tablebodytext"/>
              <w:rPr>
                <w:b/>
              </w:rPr>
            </w:pPr>
            <w:r>
              <w:rPr>
                <w:b/>
              </w:rPr>
              <w:t xml:space="preserve">Consultation RISs </w:t>
            </w:r>
            <w:proofErr w:type="spellStart"/>
            <w:r>
              <w:rPr>
                <w:b/>
              </w:rPr>
              <w:t>prepared</w:t>
            </w:r>
            <w:r w:rsidR="00D43B7F">
              <w:rPr>
                <w:b/>
                <w:vertAlign w:val="superscript"/>
              </w:rPr>
              <w:t>a</w:t>
            </w:r>
            <w:proofErr w:type="spellEnd"/>
          </w:p>
        </w:tc>
        <w:tc>
          <w:tcPr>
            <w:tcW w:w="1418" w:type="dxa"/>
            <w:tcBorders>
              <w:top w:val="single" w:sz="4" w:space="0" w:color="A7B4BE"/>
              <w:left w:val="single" w:sz="2" w:space="0" w:color="A7B4BE"/>
              <w:bottom w:val="single" w:sz="2" w:space="0" w:color="A7B4BE"/>
              <w:right w:val="single" w:sz="2" w:space="0" w:color="A7B4BE"/>
            </w:tcBorders>
            <w:hideMark/>
          </w:tcPr>
          <w:p w14:paraId="691D3868" w14:textId="77777777" w:rsidR="00957F2E" w:rsidRPr="00E86491" w:rsidRDefault="00957F2E" w:rsidP="00754FDB">
            <w:pPr>
              <w:pStyle w:val="Tablebodytext"/>
              <w:spacing w:before="120"/>
              <w:jc w:val="center"/>
            </w:pPr>
            <w:r>
              <w:t>8</w:t>
            </w:r>
          </w:p>
        </w:tc>
        <w:tc>
          <w:tcPr>
            <w:tcW w:w="1276" w:type="dxa"/>
            <w:tcBorders>
              <w:top w:val="single" w:sz="4" w:space="0" w:color="A7B4BE"/>
              <w:left w:val="nil"/>
              <w:bottom w:val="single" w:sz="2" w:space="0" w:color="A7B4BE"/>
              <w:right w:val="single" w:sz="4" w:space="0" w:color="A7B4BE"/>
            </w:tcBorders>
            <w:hideMark/>
          </w:tcPr>
          <w:p w14:paraId="2109EEA9" w14:textId="77777777" w:rsidR="00957F2E" w:rsidRPr="00E86491" w:rsidRDefault="00957F2E" w:rsidP="00754FDB">
            <w:pPr>
              <w:pStyle w:val="Tablebodytext"/>
              <w:spacing w:before="120"/>
              <w:jc w:val="center"/>
            </w:pPr>
            <w:r>
              <w:t>14</w:t>
            </w:r>
          </w:p>
        </w:tc>
        <w:tc>
          <w:tcPr>
            <w:tcW w:w="1559" w:type="dxa"/>
            <w:tcBorders>
              <w:top w:val="single" w:sz="4" w:space="0" w:color="A7B4BE"/>
              <w:left w:val="single" w:sz="4" w:space="0" w:color="A7B4BE"/>
              <w:bottom w:val="single" w:sz="4" w:space="0" w:color="A7B4BE"/>
              <w:right w:val="single" w:sz="4" w:space="0" w:color="A7B4BE"/>
            </w:tcBorders>
          </w:tcPr>
          <w:p w14:paraId="15159886" w14:textId="77777777" w:rsidR="00957F2E" w:rsidRPr="004C20DB" w:rsidRDefault="00B9335B" w:rsidP="00754FDB">
            <w:pPr>
              <w:pStyle w:val="Tablebodytext"/>
              <w:spacing w:before="120"/>
              <w:jc w:val="center"/>
            </w:pPr>
            <w:r>
              <w:t>5</w:t>
            </w:r>
          </w:p>
        </w:tc>
        <w:tc>
          <w:tcPr>
            <w:tcW w:w="1559" w:type="dxa"/>
            <w:tcBorders>
              <w:top w:val="single" w:sz="4" w:space="0" w:color="A7B4BE"/>
              <w:left w:val="single" w:sz="4" w:space="0" w:color="A7B4BE"/>
              <w:bottom w:val="single" w:sz="4" w:space="0" w:color="A7B4BE"/>
              <w:right w:val="single" w:sz="4" w:space="0" w:color="A7B4BE"/>
            </w:tcBorders>
            <w:shd w:val="clear" w:color="auto" w:fill="FFFFFF" w:themeFill="background1"/>
          </w:tcPr>
          <w:p w14:paraId="7888F8F6" w14:textId="77777777" w:rsidR="00957F2E" w:rsidRDefault="00705B41" w:rsidP="00754FDB">
            <w:pPr>
              <w:pStyle w:val="Tablebodytext"/>
              <w:spacing w:before="120"/>
              <w:jc w:val="center"/>
            </w:pPr>
            <w:r>
              <w:t>26</w:t>
            </w:r>
          </w:p>
        </w:tc>
      </w:tr>
    </w:tbl>
    <w:p w14:paraId="7D5928A7" w14:textId="0E432829" w:rsidR="0077323B" w:rsidRPr="000646E5" w:rsidRDefault="00D43B7F" w:rsidP="000646E5">
      <w:pPr>
        <w:spacing w:after="0"/>
        <w:rPr>
          <w:rFonts w:cs="Arial"/>
          <w:i/>
          <w:sz w:val="12"/>
          <w:szCs w:val="12"/>
        </w:rPr>
      </w:pPr>
      <w:proofErr w:type="spellStart"/>
      <w:proofErr w:type="gramStart"/>
      <w:r>
        <w:rPr>
          <w:rFonts w:cs="Arial"/>
          <w:i/>
          <w:sz w:val="12"/>
          <w:szCs w:val="12"/>
        </w:rPr>
        <w:t>a</w:t>
      </w:r>
      <w:proofErr w:type="spellEnd"/>
      <w:proofErr w:type="gramEnd"/>
      <w:r w:rsidR="0077323B" w:rsidRPr="000646E5">
        <w:rPr>
          <w:rFonts w:cs="Arial"/>
          <w:i/>
          <w:sz w:val="12"/>
          <w:szCs w:val="12"/>
        </w:rPr>
        <w:t xml:space="preserve"> These numbers represent all Consultation RISs that were prepared and published in the relevant financial year. </w:t>
      </w:r>
    </w:p>
    <w:p w14:paraId="607997B6" w14:textId="77777777" w:rsidR="00937EAD" w:rsidRDefault="00220271" w:rsidP="00B56367">
      <w:pPr>
        <w:pStyle w:val="Heading2"/>
        <w:ind w:left="0" w:firstLine="0"/>
      </w:pPr>
      <w:r>
        <w:br w:type="page"/>
      </w:r>
      <w:bookmarkStart w:id="258" w:name="_Toc384306618"/>
      <w:bookmarkStart w:id="259" w:name="_Toc379802376"/>
      <w:bookmarkStart w:id="260" w:name="_Toc379801138"/>
      <w:bookmarkStart w:id="261" w:name="_Toc383790361"/>
      <w:bookmarkStart w:id="262" w:name="_Toc384366788"/>
      <w:bookmarkStart w:id="263" w:name="_Toc387412050"/>
      <w:bookmarkStart w:id="264" w:name="_Toc391977611"/>
      <w:bookmarkStart w:id="265" w:name="_Toc391985275"/>
      <w:bookmarkStart w:id="266" w:name="_Toc391985779"/>
      <w:bookmarkStart w:id="267" w:name="_Toc391985817"/>
      <w:bookmarkStart w:id="268" w:name="_Toc392582656"/>
      <w:bookmarkStart w:id="269" w:name="_Toc392583995"/>
      <w:bookmarkStart w:id="270" w:name="_Toc392751706"/>
      <w:bookmarkStart w:id="271" w:name="_Toc392852658"/>
      <w:bookmarkStart w:id="272" w:name="_Toc396743526"/>
      <w:bookmarkStart w:id="273" w:name="_Toc400100729"/>
      <w:bookmarkStart w:id="274" w:name="_Toc400101008"/>
      <w:bookmarkStart w:id="275" w:name="_Toc400104320"/>
      <w:bookmarkStart w:id="276" w:name="_Toc428440026"/>
      <w:bookmarkStart w:id="277" w:name="_Toc428440453"/>
      <w:bookmarkStart w:id="278" w:name="_Toc432175593"/>
    </w:p>
    <w:p w14:paraId="33BE0380" w14:textId="77777777" w:rsidR="00B65DFB" w:rsidRDefault="00220271" w:rsidP="00FC3F38">
      <w:pPr>
        <w:pStyle w:val="Heading2"/>
        <w:ind w:left="0" w:right="423" w:firstLine="0"/>
        <w:rPr>
          <w:noProof/>
        </w:rPr>
      </w:pPr>
      <w:bookmarkStart w:id="279" w:name="_Toc432587373"/>
      <w:bookmarkStart w:id="280" w:name="_Toc438539624"/>
      <w:bookmarkStart w:id="281" w:name="_Toc440639807"/>
      <w:bookmarkStart w:id="282" w:name="_Toc445973435"/>
      <w:bookmarkStart w:id="283" w:name="_Toc445974133"/>
      <w:bookmarkStart w:id="284" w:name="_Toc445974394"/>
      <w:bookmarkStart w:id="285" w:name="_Toc446318427"/>
      <w:bookmarkStart w:id="286" w:name="_Toc447532685"/>
      <w:bookmarkStart w:id="287" w:name="_Toc451168633"/>
      <w:bookmarkStart w:id="288" w:name="_Toc451264227"/>
      <w:bookmarkStart w:id="289" w:name="_Toc451264794"/>
      <w:bookmarkStart w:id="290" w:name="_Toc459800319"/>
      <w:bookmarkStart w:id="291" w:name="_Toc473715461"/>
      <w:bookmarkStart w:id="292" w:name="_Toc473900454"/>
      <w:bookmarkStart w:id="293" w:name="_Toc473900489"/>
      <w:bookmarkStart w:id="294" w:name="_Toc5280200"/>
      <w:bookmarkStart w:id="295" w:name="_Toc5611197"/>
      <w:bookmarkStart w:id="296" w:name="_Toc19867105"/>
      <w:bookmarkStart w:id="297" w:name="_Toc20151473"/>
      <w:bookmarkStart w:id="298" w:name="_Toc32395968"/>
      <w:r w:rsidRPr="00010B24">
        <w:lastRenderedPageBreak/>
        <w:t>Contents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fldChar w:fldCharType="begin"/>
      </w:r>
      <w:r>
        <w:instrText xml:space="preserve"> TOC \o "1-3" \h \z \u </w:instrText>
      </w:r>
      <w:r>
        <w:fldChar w:fldCharType="separate"/>
      </w:r>
    </w:p>
    <w:p w14:paraId="1B990BEF" w14:textId="1B9F70A5" w:rsidR="00B65DFB" w:rsidRDefault="00E65E1A">
      <w:pPr>
        <w:pStyle w:val="TOC2"/>
        <w:tabs>
          <w:tab w:val="right" w:leader="dot" w:pos="9769"/>
        </w:tabs>
        <w:rPr>
          <w:rFonts w:asciiTheme="minorHAnsi" w:eastAsiaTheme="minorEastAsia" w:hAnsiTheme="minorHAnsi" w:cstheme="minorBidi"/>
          <w:noProof/>
          <w:szCs w:val="22"/>
          <w:lang w:eastAsia="en-AU"/>
        </w:rPr>
      </w:pPr>
      <w:hyperlink w:anchor="_Toc32395969" w:history="1">
        <w:r w:rsidR="00B65DFB" w:rsidRPr="0083630E">
          <w:rPr>
            <w:rStyle w:val="Hyperlink"/>
            <w:noProof/>
          </w:rPr>
          <w:t>Detailed information</w:t>
        </w:r>
        <w:r w:rsidR="00B65DFB">
          <w:rPr>
            <w:noProof/>
            <w:webHidden/>
          </w:rPr>
          <w:tab/>
        </w:r>
        <w:r w:rsidR="00B65DFB">
          <w:rPr>
            <w:noProof/>
            <w:webHidden/>
          </w:rPr>
          <w:fldChar w:fldCharType="begin"/>
        </w:r>
        <w:r w:rsidR="00B65DFB">
          <w:rPr>
            <w:noProof/>
            <w:webHidden/>
          </w:rPr>
          <w:instrText xml:space="preserve"> PAGEREF _Toc32395969 \h </w:instrText>
        </w:r>
        <w:r w:rsidR="00B65DFB">
          <w:rPr>
            <w:noProof/>
            <w:webHidden/>
          </w:rPr>
        </w:r>
        <w:r w:rsidR="00B65DFB">
          <w:rPr>
            <w:noProof/>
            <w:webHidden/>
          </w:rPr>
          <w:fldChar w:fldCharType="separate"/>
        </w:r>
        <w:r w:rsidR="00AF3A53">
          <w:rPr>
            <w:noProof/>
            <w:webHidden/>
          </w:rPr>
          <w:t>3</w:t>
        </w:r>
        <w:r w:rsidR="00B65DFB">
          <w:rPr>
            <w:noProof/>
            <w:webHidden/>
          </w:rPr>
          <w:fldChar w:fldCharType="end"/>
        </w:r>
      </w:hyperlink>
    </w:p>
    <w:p w14:paraId="596B9FC5" w14:textId="79C6E63F" w:rsidR="00B65DFB" w:rsidRDefault="00E65E1A">
      <w:pPr>
        <w:pStyle w:val="TOC3"/>
        <w:tabs>
          <w:tab w:val="right" w:leader="dot" w:pos="9769"/>
        </w:tabs>
        <w:rPr>
          <w:rFonts w:asciiTheme="minorHAnsi" w:eastAsiaTheme="minorEastAsia" w:hAnsiTheme="minorHAnsi" w:cstheme="minorBidi"/>
          <w:noProof/>
          <w:szCs w:val="22"/>
          <w:lang w:eastAsia="en-AU"/>
        </w:rPr>
      </w:pPr>
      <w:hyperlink w:anchor="_Toc32395970" w:history="1">
        <w:r w:rsidR="00B65DFB" w:rsidRPr="0083630E">
          <w:rPr>
            <w:rStyle w:val="Hyperlink"/>
            <w:noProof/>
          </w:rPr>
          <w:t>Australian Energy Market Commission</w:t>
        </w:r>
        <w:r w:rsidR="00B65DFB">
          <w:rPr>
            <w:noProof/>
            <w:webHidden/>
          </w:rPr>
          <w:tab/>
        </w:r>
        <w:r w:rsidR="00B65DFB">
          <w:rPr>
            <w:noProof/>
            <w:webHidden/>
          </w:rPr>
          <w:fldChar w:fldCharType="begin"/>
        </w:r>
        <w:r w:rsidR="00B65DFB">
          <w:rPr>
            <w:noProof/>
            <w:webHidden/>
          </w:rPr>
          <w:instrText xml:space="preserve"> PAGEREF _Toc32395970 \h </w:instrText>
        </w:r>
        <w:r w:rsidR="00B65DFB">
          <w:rPr>
            <w:noProof/>
            <w:webHidden/>
          </w:rPr>
        </w:r>
        <w:r w:rsidR="00B65DFB">
          <w:rPr>
            <w:noProof/>
            <w:webHidden/>
          </w:rPr>
          <w:fldChar w:fldCharType="separate"/>
        </w:r>
        <w:r w:rsidR="00AF3A53">
          <w:rPr>
            <w:noProof/>
            <w:webHidden/>
          </w:rPr>
          <w:t>3</w:t>
        </w:r>
        <w:r w:rsidR="00B65DFB">
          <w:rPr>
            <w:noProof/>
            <w:webHidden/>
          </w:rPr>
          <w:fldChar w:fldCharType="end"/>
        </w:r>
      </w:hyperlink>
    </w:p>
    <w:p w14:paraId="10DD4181" w14:textId="576B964A" w:rsidR="00B65DFB" w:rsidRDefault="00E65E1A">
      <w:pPr>
        <w:pStyle w:val="TOC3"/>
        <w:tabs>
          <w:tab w:val="right" w:leader="dot" w:pos="9769"/>
        </w:tabs>
        <w:rPr>
          <w:rFonts w:asciiTheme="minorHAnsi" w:eastAsiaTheme="minorEastAsia" w:hAnsiTheme="minorHAnsi" w:cstheme="minorBidi"/>
          <w:noProof/>
          <w:szCs w:val="22"/>
          <w:lang w:eastAsia="en-AU"/>
        </w:rPr>
      </w:pPr>
      <w:hyperlink w:anchor="_Toc32395971" w:history="1">
        <w:r w:rsidR="00B65DFB" w:rsidRPr="0083630E">
          <w:rPr>
            <w:rStyle w:val="Hyperlink"/>
            <w:noProof/>
          </w:rPr>
          <w:t>Council of Attorneys-General</w:t>
        </w:r>
        <w:r w:rsidR="00B65DFB">
          <w:rPr>
            <w:noProof/>
            <w:webHidden/>
          </w:rPr>
          <w:tab/>
        </w:r>
        <w:r w:rsidR="00B65DFB">
          <w:rPr>
            <w:noProof/>
            <w:webHidden/>
          </w:rPr>
          <w:fldChar w:fldCharType="begin"/>
        </w:r>
        <w:r w:rsidR="00B65DFB">
          <w:rPr>
            <w:noProof/>
            <w:webHidden/>
          </w:rPr>
          <w:instrText xml:space="preserve"> PAGEREF _Toc32395971 \h </w:instrText>
        </w:r>
        <w:r w:rsidR="00B65DFB">
          <w:rPr>
            <w:noProof/>
            <w:webHidden/>
          </w:rPr>
        </w:r>
        <w:r w:rsidR="00B65DFB">
          <w:rPr>
            <w:noProof/>
            <w:webHidden/>
          </w:rPr>
          <w:fldChar w:fldCharType="separate"/>
        </w:r>
        <w:r w:rsidR="00AF3A53">
          <w:rPr>
            <w:noProof/>
            <w:webHidden/>
          </w:rPr>
          <w:t>5</w:t>
        </w:r>
        <w:r w:rsidR="00B65DFB">
          <w:rPr>
            <w:noProof/>
            <w:webHidden/>
          </w:rPr>
          <w:fldChar w:fldCharType="end"/>
        </w:r>
      </w:hyperlink>
    </w:p>
    <w:p w14:paraId="1326ABC9" w14:textId="7CDF534C" w:rsidR="00B65DFB" w:rsidRDefault="00E65E1A">
      <w:pPr>
        <w:pStyle w:val="TOC3"/>
        <w:tabs>
          <w:tab w:val="right" w:leader="dot" w:pos="9769"/>
        </w:tabs>
        <w:rPr>
          <w:rFonts w:asciiTheme="minorHAnsi" w:eastAsiaTheme="minorEastAsia" w:hAnsiTheme="minorHAnsi" w:cstheme="minorBidi"/>
          <w:noProof/>
          <w:szCs w:val="22"/>
          <w:lang w:eastAsia="en-AU"/>
        </w:rPr>
      </w:pPr>
      <w:hyperlink w:anchor="_Toc32395972" w:history="1">
        <w:r w:rsidR="00B65DFB" w:rsidRPr="0083630E">
          <w:rPr>
            <w:rStyle w:val="Hyperlink"/>
            <w:noProof/>
          </w:rPr>
          <w:t>COAG Energy Council</w:t>
        </w:r>
        <w:r w:rsidR="00B65DFB">
          <w:rPr>
            <w:noProof/>
            <w:webHidden/>
          </w:rPr>
          <w:tab/>
        </w:r>
        <w:r w:rsidR="00B65DFB">
          <w:rPr>
            <w:noProof/>
            <w:webHidden/>
          </w:rPr>
          <w:fldChar w:fldCharType="begin"/>
        </w:r>
        <w:r w:rsidR="00B65DFB">
          <w:rPr>
            <w:noProof/>
            <w:webHidden/>
          </w:rPr>
          <w:instrText xml:space="preserve"> PAGEREF _Toc32395972 \h </w:instrText>
        </w:r>
        <w:r w:rsidR="00B65DFB">
          <w:rPr>
            <w:noProof/>
            <w:webHidden/>
          </w:rPr>
        </w:r>
        <w:r w:rsidR="00B65DFB">
          <w:rPr>
            <w:noProof/>
            <w:webHidden/>
          </w:rPr>
          <w:fldChar w:fldCharType="separate"/>
        </w:r>
        <w:r w:rsidR="00AF3A53">
          <w:rPr>
            <w:noProof/>
            <w:webHidden/>
          </w:rPr>
          <w:t>6</w:t>
        </w:r>
        <w:r w:rsidR="00B65DFB">
          <w:rPr>
            <w:noProof/>
            <w:webHidden/>
          </w:rPr>
          <w:fldChar w:fldCharType="end"/>
        </w:r>
      </w:hyperlink>
    </w:p>
    <w:p w14:paraId="4D990128" w14:textId="68ACD2A7" w:rsidR="00B65DFB" w:rsidRDefault="00E65E1A">
      <w:pPr>
        <w:pStyle w:val="TOC3"/>
        <w:tabs>
          <w:tab w:val="right" w:leader="dot" w:pos="9769"/>
        </w:tabs>
        <w:rPr>
          <w:rFonts w:asciiTheme="minorHAnsi" w:eastAsiaTheme="minorEastAsia" w:hAnsiTheme="minorHAnsi" w:cstheme="minorBidi"/>
          <w:noProof/>
          <w:szCs w:val="22"/>
          <w:lang w:eastAsia="en-AU"/>
        </w:rPr>
      </w:pPr>
      <w:hyperlink w:anchor="_Toc32395973" w:history="1">
        <w:r w:rsidR="00B65DFB" w:rsidRPr="0083630E">
          <w:rPr>
            <w:rStyle w:val="Hyperlink"/>
            <w:noProof/>
          </w:rPr>
          <w:t>Legislative and Governance Forum on Consumer Affairs (CAF)</w:t>
        </w:r>
        <w:r w:rsidR="00B65DFB">
          <w:rPr>
            <w:noProof/>
            <w:webHidden/>
          </w:rPr>
          <w:tab/>
        </w:r>
        <w:r w:rsidR="00B65DFB">
          <w:rPr>
            <w:noProof/>
            <w:webHidden/>
          </w:rPr>
          <w:fldChar w:fldCharType="begin"/>
        </w:r>
        <w:r w:rsidR="00B65DFB">
          <w:rPr>
            <w:noProof/>
            <w:webHidden/>
          </w:rPr>
          <w:instrText xml:space="preserve"> PAGEREF _Toc32395973 \h </w:instrText>
        </w:r>
        <w:r w:rsidR="00B65DFB">
          <w:rPr>
            <w:noProof/>
            <w:webHidden/>
          </w:rPr>
        </w:r>
        <w:r w:rsidR="00B65DFB">
          <w:rPr>
            <w:noProof/>
            <w:webHidden/>
          </w:rPr>
          <w:fldChar w:fldCharType="separate"/>
        </w:r>
        <w:r w:rsidR="00AF3A53">
          <w:rPr>
            <w:noProof/>
            <w:webHidden/>
          </w:rPr>
          <w:t>6</w:t>
        </w:r>
        <w:r w:rsidR="00B65DFB">
          <w:rPr>
            <w:noProof/>
            <w:webHidden/>
          </w:rPr>
          <w:fldChar w:fldCharType="end"/>
        </w:r>
      </w:hyperlink>
    </w:p>
    <w:p w14:paraId="01CE2BC9" w14:textId="0DEB973C" w:rsidR="00B65DFB" w:rsidRDefault="00E65E1A">
      <w:pPr>
        <w:pStyle w:val="TOC3"/>
        <w:tabs>
          <w:tab w:val="right" w:leader="dot" w:pos="9769"/>
        </w:tabs>
        <w:rPr>
          <w:rFonts w:asciiTheme="minorHAnsi" w:eastAsiaTheme="minorEastAsia" w:hAnsiTheme="minorHAnsi" w:cstheme="minorBidi"/>
          <w:noProof/>
          <w:szCs w:val="22"/>
          <w:lang w:eastAsia="en-AU"/>
        </w:rPr>
      </w:pPr>
      <w:hyperlink w:anchor="_Toc32395974" w:history="1">
        <w:r w:rsidR="00B65DFB" w:rsidRPr="0083630E">
          <w:rPr>
            <w:rStyle w:val="Hyperlink"/>
            <w:noProof/>
          </w:rPr>
          <w:t>Transport and Infrastructure Council</w:t>
        </w:r>
        <w:r w:rsidR="00B65DFB">
          <w:rPr>
            <w:noProof/>
            <w:webHidden/>
          </w:rPr>
          <w:tab/>
        </w:r>
        <w:r w:rsidR="00B65DFB">
          <w:rPr>
            <w:noProof/>
            <w:webHidden/>
          </w:rPr>
          <w:fldChar w:fldCharType="begin"/>
        </w:r>
        <w:r w:rsidR="00B65DFB">
          <w:rPr>
            <w:noProof/>
            <w:webHidden/>
          </w:rPr>
          <w:instrText xml:space="preserve"> PAGEREF _Toc32395974 \h </w:instrText>
        </w:r>
        <w:r w:rsidR="00B65DFB">
          <w:rPr>
            <w:noProof/>
            <w:webHidden/>
          </w:rPr>
        </w:r>
        <w:r w:rsidR="00B65DFB">
          <w:rPr>
            <w:noProof/>
            <w:webHidden/>
          </w:rPr>
          <w:fldChar w:fldCharType="separate"/>
        </w:r>
        <w:r w:rsidR="00AF3A53">
          <w:rPr>
            <w:noProof/>
            <w:webHidden/>
          </w:rPr>
          <w:t>6</w:t>
        </w:r>
        <w:r w:rsidR="00B65DFB">
          <w:rPr>
            <w:noProof/>
            <w:webHidden/>
          </w:rPr>
          <w:fldChar w:fldCharType="end"/>
        </w:r>
      </w:hyperlink>
    </w:p>
    <w:p w14:paraId="5D725FBC" w14:textId="3198F53F" w:rsidR="00B65DFB" w:rsidRDefault="00E65E1A">
      <w:pPr>
        <w:pStyle w:val="TOC3"/>
        <w:tabs>
          <w:tab w:val="right" w:leader="dot" w:pos="9769"/>
        </w:tabs>
        <w:rPr>
          <w:noProof/>
        </w:rPr>
      </w:pPr>
      <w:hyperlink w:anchor="_Toc32395975" w:history="1">
        <w:r w:rsidR="00B65DFB" w:rsidRPr="0083630E">
          <w:rPr>
            <w:rStyle w:val="Hyperlink"/>
            <w:noProof/>
          </w:rPr>
          <w:t>Workplace Health and Safety Ministers</w:t>
        </w:r>
        <w:r w:rsidR="00B65DFB">
          <w:rPr>
            <w:noProof/>
            <w:webHidden/>
          </w:rPr>
          <w:tab/>
        </w:r>
        <w:r w:rsidR="00B65DFB">
          <w:rPr>
            <w:noProof/>
            <w:webHidden/>
          </w:rPr>
          <w:fldChar w:fldCharType="begin"/>
        </w:r>
        <w:r w:rsidR="00B65DFB">
          <w:rPr>
            <w:noProof/>
            <w:webHidden/>
          </w:rPr>
          <w:instrText xml:space="preserve"> PAGEREF _Toc32395975 \h </w:instrText>
        </w:r>
        <w:r w:rsidR="00B65DFB">
          <w:rPr>
            <w:noProof/>
            <w:webHidden/>
          </w:rPr>
        </w:r>
        <w:r w:rsidR="00B65DFB">
          <w:rPr>
            <w:noProof/>
            <w:webHidden/>
          </w:rPr>
          <w:fldChar w:fldCharType="separate"/>
        </w:r>
        <w:r w:rsidR="00AF3A53">
          <w:rPr>
            <w:noProof/>
            <w:webHidden/>
          </w:rPr>
          <w:t>6</w:t>
        </w:r>
        <w:r w:rsidR="00B65DFB">
          <w:rPr>
            <w:noProof/>
            <w:webHidden/>
          </w:rPr>
          <w:fldChar w:fldCharType="end"/>
        </w:r>
      </w:hyperlink>
    </w:p>
    <w:p w14:paraId="69FA091D" w14:textId="21EEB12E" w:rsidR="000307FD" w:rsidRPr="000307FD" w:rsidRDefault="000307FD" w:rsidP="000307FD">
      <w:pPr>
        <w:ind w:firstLine="440"/>
        <w:rPr>
          <w:rFonts w:eastAsiaTheme="minorEastAsia"/>
        </w:rPr>
      </w:pPr>
      <w:r>
        <w:rPr>
          <w:rFonts w:eastAsiaTheme="minorEastAsia"/>
        </w:rPr>
        <w:t>Department of Agriculture, Water and the Environment…………………………………………….</w:t>
      </w:r>
    </w:p>
    <w:p w14:paraId="07CFA577" w14:textId="69429B3C" w:rsidR="00B65DFB" w:rsidRDefault="00E65E1A">
      <w:pPr>
        <w:pStyle w:val="TOC2"/>
        <w:tabs>
          <w:tab w:val="right" w:leader="dot" w:pos="9769"/>
        </w:tabs>
        <w:rPr>
          <w:rFonts w:asciiTheme="minorHAnsi" w:eastAsiaTheme="minorEastAsia" w:hAnsiTheme="minorHAnsi" w:cstheme="minorBidi"/>
          <w:noProof/>
          <w:szCs w:val="22"/>
          <w:lang w:eastAsia="en-AU"/>
        </w:rPr>
      </w:pPr>
      <w:hyperlink w:anchor="_Toc32395976" w:history="1">
        <w:r w:rsidR="00B65DFB" w:rsidRPr="0083630E">
          <w:rPr>
            <w:rStyle w:val="Hyperlink"/>
            <w:noProof/>
          </w:rPr>
          <w:t>Appendix A - RISs prepared for consultation in 2019-20</w:t>
        </w:r>
        <w:r w:rsidR="00B65DFB">
          <w:rPr>
            <w:noProof/>
            <w:webHidden/>
          </w:rPr>
          <w:tab/>
        </w:r>
        <w:r w:rsidR="00B65DFB">
          <w:rPr>
            <w:noProof/>
            <w:webHidden/>
          </w:rPr>
          <w:fldChar w:fldCharType="begin"/>
        </w:r>
        <w:r w:rsidR="00B65DFB">
          <w:rPr>
            <w:noProof/>
            <w:webHidden/>
          </w:rPr>
          <w:instrText xml:space="preserve"> PAGEREF _Toc32395976 \h </w:instrText>
        </w:r>
        <w:r w:rsidR="00B65DFB">
          <w:rPr>
            <w:noProof/>
            <w:webHidden/>
          </w:rPr>
        </w:r>
        <w:r w:rsidR="00B65DFB">
          <w:rPr>
            <w:noProof/>
            <w:webHidden/>
          </w:rPr>
          <w:fldChar w:fldCharType="separate"/>
        </w:r>
        <w:r w:rsidR="00AF3A53">
          <w:rPr>
            <w:noProof/>
            <w:webHidden/>
          </w:rPr>
          <w:t>8</w:t>
        </w:r>
        <w:r w:rsidR="00B65DFB">
          <w:rPr>
            <w:noProof/>
            <w:webHidden/>
          </w:rPr>
          <w:fldChar w:fldCharType="end"/>
        </w:r>
      </w:hyperlink>
    </w:p>
    <w:p w14:paraId="440B7B81" w14:textId="77777777" w:rsidR="002674FC" w:rsidRDefault="00220271" w:rsidP="004A6EC6">
      <w:pPr>
        <w:ind w:right="423" w:firstLine="220"/>
        <w:rPr>
          <w:b/>
          <w:i/>
          <w:sz w:val="26"/>
          <w:szCs w:val="26"/>
        </w:rPr>
      </w:pPr>
      <w:r>
        <w:rPr>
          <w:b/>
          <w:bCs/>
          <w:noProof/>
        </w:rPr>
        <w:fldChar w:fldCharType="end"/>
      </w:r>
      <w:bookmarkStart w:id="299" w:name="_Toc432175906"/>
      <w:bookmarkStart w:id="300" w:name="_Toc432587374"/>
    </w:p>
    <w:p w14:paraId="078DE353" w14:textId="1C319DCD" w:rsidR="00A10678" w:rsidRDefault="007B3914" w:rsidP="00A10678">
      <w:pPr>
        <w:pStyle w:val="Heading2"/>
        <w:ind w:left="0" w:firstLine="0"/>
      </w:pPr>
      <w:r>
        <w:rPr>
          <w:rFonts w:cs="Arial"/>
          <w:spacing w:val="0"/>
        </w:rPr>
        <w:br w:type="page"/>
      </w:r>
      <w:bookmarkStart w:id="301" w:name="_Toc459800538"/>
      <w:bookmarkStart w:id="302" w:name="_Toc32395969"/>
      <w:bookmarkEnd w:id="299"/>
      <w:bookmarkEnd w:id="300"/>
      <w:r w:rsidR="00BC0477" w:rsidRPr="00AA3FF9">
        <w:lastRenderedPageBreak/>
        <w:t>Detailed information</w:t>
      </w:r>
      <w:bookmarkEnd w:id="301"/>
      <w:bookmarkEnd w:id="302"/>
    </w:p>
    <w:p w14:paraId="6956AA5C" w14:textId="34CA81AF" w:rsidR="00BC6751" w:rsidRDefault="007B4CD7" w:rsidP="007B4CD7">
      <w:pPr>
        <w:pStyle w:val="Heading3"/>
        <w:spacing w:before="180"/>
      </w:pPr>
      <w:bookmarkStart w:id="303" w:name="_Toc20384869"/>
      <w:bookmarkStart w:id="304" w:name="_Toc32395970"/>
      <w:r w:rsidRPr="009A6219">
        <w:t>Australia</w:t>
      </w:r>
      <w:r>
        <w:t>n Energy Market Commission</w:t>
      </w:r>
      <w:bookmarkEnd w:id="303"/>
      <w:bookmarkEnd w:id="304"/>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CB6867" w:rsidRPr="009F2777" w14:paraId="4822662F" w14:textId="77777777" w:rsidTr="002C3B32">
        <w:trPr>
          <w:trHeight w:val="510"/>
          <w:tblHeader/>
        </w:trPr>
        <w:tc>
          <w:tcPr>
            <w:tcW w:w="5104" w:type="dxa"/>
            <w:shd w:val="clear" w:color="auto" w:fill="F4973F"/>
            <w:vAlign w:val="center"/>
          </w:tcPr>
          <w:p w14:paraId="3CD28901" w14:textId="45F78092" w:rsidR="00CB6867" w:rsidRPr="009F2777" w:rsidRDefault="000F6077" w:rsidP="002C3B32">
            <w:pPr>
              <w:pStyle w:val="TableParagraph"/>
              <w:kinsoku w:val="0"/>
              <w:overflowPunct w:val="0"/>
              <w:spacing w:beforeLines="60" w:before="144" w:after="60"/>
              <w:ind w:left="85"/>
              <w:rPr>
                <w:sz w:val="18"/>
                <w:szCs w:val="18"/>
              </w:rPr>
            </w:pPr>
            <w:r>
              <w:rPr>
                <w:rFonts w:ascii="Arial" w:hAnsi="Arial" w:cs="Arial"/>
                <w:color w:val="FFFFFF"/>
                <w:w w:val="105"/>
                <w:sz w:val="18"/>
                <w:szCs w:val="18"/>
              </w:rPr>
              <w:lastRenderedPageBreak/>
              <w:t>P</w:t>
            </w:r>
            <w:r w:rsidR="00CB6867" w:rsidRPr="009F2777">
              <w:rPr>
                <w:rFonts w:ascii="Arial" w:hAnsi="Arial" w:cs="Arial"/>
                <w:color w:val="FFFFFF"/>
                <w:w w:val="105"/>
                <w:sz w:val="18"/>
                <w:szCs w:val="18"/>
              </w:rPr>
              <w:t>roposal</w:t>
            </w:r>
          </w:p>
        </w:tc>
        <w:tc>
          <w:tcPr>
            <w:tcW w:w="1417" w:type="dxa"/>
            <w:shd w:val="clear" w:color="auto" w:fill="F4973F"/>
            <w:vAlign w:val="center"/>
          </w:tcPr>
          <w:p w14:paraId="73DEAF52"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40F8D353"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24CFFEC8"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5A6DFA26"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245B4D" w:rsidRPr="009F2777" w14:paraId="153DAED7" w14:textId="77777777" w:rsidTr="00E65E1A">
        <w:trPr>
          <w:trHeight w:val="510"/>
        </w:trPr>
        <w:tc>
          <w:tcPr>
            <w:tcW w:w="5104" w:type="dxa"/>
            <w:shd w:val="clear" w:color="auto" w:fill="auto"/>
            <w:vAlign w:val="center"/>
          </w:tcPr>
          <w:p w14:paraId="6AB705DE" w14:textId="77777777" w:rsidR="00245B4D" w:rsidRPr="003A33CE" w:rsidRDefault="00245B4D" w:rsidP="00245B4D">
            <w:pPr>
              <w:pStyle w:val="TableParagraph"/>
              <w:keepNext/>
              <w:keepLines/>
              <w:kinsoku w:val="0"/>
              <w:overflowPunct w:val="0"/>
              <w:spacing w:beforeLines="60" w:before="144" w:after="120"/>
              <w:ind w:left="79"/>
              <w:rPr>
                <w:rFonts w:ascii="Arial" w:hAnsi="Arial" w:cs="Arial"/>
                <w:b/>
                <w:spacing w:val="-3"/>
                <w:sz w:val="18"/>
                <w:szCs w:val="18"/>
              </w:rPr>
            </w:pPr>
            <w:r w:rsidRPr="00245B4D">
              <w:rPr>
                <w:rFonts w:ascii="Arial" w:hAnsi="Arial" w:cs="Arial"/>
                <w:b/>
                <w:spacing w:val="-3"/>
                <w:sz w:val="18"/>
                <w:szCs w:val="18"/>
              </w:rPr>
              <w:t>Transparency of new projects</w:t>
            </w:r>
          </w:p>
        </w:tc>
        <w:tc>
          <w:tcPr>
            <w:tcW w:w="1417" w:type="dxa"/>
            <w:shd w:val="clear" w:color="auto" w:fill="auto"/>
            <w:vAlign w:val="center"/>
          </w:tcPr>
          <w:p w14:paraId="0A690BF7" w14:textId="77777777" w:rsidR="00245B4D" w:rsidRPr="003A33CE" w:rsidRDefault="00245B4D" w:rsidP="00245B4D">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24 Oct </w:t>
            </w:r>
            <w:r w:rsidRPr="007B4CD7">
              <w:rPr>
                <w:rFonts w:ascii="Arial" w:hAnsi="Arial" w:cs="Arial"/>
                <w:b/>
                <w:spacing w:val="-3"/>
                <w:sz w:val="18"/>
                <w:szCs w:val="18"/>
              </w:rPr>
              <w:t>2019</w:t>
            </w:r>
          </w:p>
        </w:tc>
        <w:tc>
          <w:tcPr>
            <w:tcW w:w="1249" w:type="dxa"/>
            <w:shd w:val="clear" w:color="auto" w:fill="auto"/>
            <w:vAlign w:val="center"/>
          </w:tcPr>
          <w:p w14:paraId="7AFCAEEF" w14:textId="77777777" w:rsidR="00245B4D" w:rsidRPr="003A33CE" w:rsidRDefault="00245B4D" w:rsidP="00245B4D">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4AD00D78" w14:textId="77777777" w:rsidR="00245B4D" w:rsidRPr="003A33CE" w:rsidRDefault="00245B4D" w:rsidP="00245B4D">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2AA19E2B" w14:textId="77777777" w:rsidR="00245B4D" w:rsidRPr="003A33CE" w:rsidRDefault="00245B4D" w:rsidP="00245B4D">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30 Oct </w:t>
            </w:r>
            <w:r w:rsidRPr="003A33CE">
              <w:rPr>
                <w:rFonts w:ascii="Arial" w:hAnsi="Arial" w:cs="Arial"/>
                <w:b/>
                <w:spacing w:val="-3"/>
                <w:sz w:val="18"/>
                <w:szCs w:val="18"/>
              </w:rPr>
              <w:t>1</w:t>
            </w:r>
            <w:r>
              <w:rPr>
                <w:rFonts w:ascii="Arial" w:hAnsi="Arial" w:cs="Arial"/>
                <w:b/>
                <w:spacing w:val="-3"/>
                <w:sz w:val="18"/>
                <w:szCs w:val="18"/>
              </w:rPr>
              <w:t>9</w:t>
            </w:r>
          </w:p>
        </w:tc>
      </w:tr>
    </w:tbl>
    <w:p w14:paraId="7A693210" w14:textId="77777777" w:rsidR="00245B4D" w:rsidRDefault="00245B4D" w:rsidP="00245B4D">
      <w:pPr>
        <w:pStyle w:val="TableParagraph"/>
        <w:keepNext/>
        <w:keepLines/>
        <w:kinsoku w:val="0"/>
        <w:overflowPunct w:val="0"/>
        <w:spacing w:after="120"/>
        <w:ind w:left="142"/>
        <w:rPr>
          <w:rFonts w:ascii="Arial" w:hAnsi="Arial" w:cs="Arial"/>
          <w:sz w:val="18"/>
          <w:szCs w:val="18"/>
        </w:rPr>
      </w:pPr>
      <w:r>
        <w:rPr>
          <w:rFonts w:ascii="Arial" w:hAnsi="Arial" w:cs="Arial"/>
          <w:sz w:val="18"/>
          <w:szCs w:val="18"/>
        </w:rPr>
        <w:t>A</w:t>
      </w:r>
      <w:r w:rsidRPr="00245B4D">
        <w:rPr>
          <w:rFonts w:ascii="Arial" w:hAnsi="Arial" w:cs="Arial"/>
          <w:sz w:val="18"/>
          <w:szCs w:val="18"/>
        </w:rPr>
        <w:t xml:space="preserve"> final rule to improve publicly available information about new grid-scale generation projects</w:t>
      </w:r>
      <w:r>
        <w:rPr>
          <w:rFonts w:ascii="Arial" w:hAnsi="Arial" w:cs="Arial"/>
          <w:sz w:val="18"/>
          <w:szCs w:val="18"/>
        </w:rPr>
        <w:t xml:space="preserve">, and which </w:t>
      </w:r>
      <w:r w:rsidRPr="00245B4D">
        <w:rPr>
          <w:rFonts w:ascii="Arial" w:hAnsi="Arial" w:cs="Arial"/>
          <w:sz w:val="18"/>
          <w:szCs w:val="18"/>
        </w:rPr>
        <w:t>also allows a broader set of project developers direct access to important system information required to build grid-scale assets</w:t>
      </w:r>
      <w:r w:rsidRPr="007B4CD7">
        <w:rPr>
          <w:rFonts w:ascii="Arial" w:hAnsi="Arial" w:cs="Arial"/>
          <w:sz w:val="18"/>
          <w:szCs w:val="18"/>
        </w:rPr>
        <w:t>.</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1E2D7F" w:rsidRPr="009F2777" w14:paraId="0CE03085" w14:textId="77777777" w:rsidTr="00E65E1A">
        <w:trPr>
          <w:trHeight w:val="510"/>
        </w:trPr>
        <w:tc>
          <w:tcPr>
            <w:tcW w:w="5104" w:type="dxa"/>
            <w:shd w:val="clear" w:color="auto" w:fill="auto"/>
            <w:vAlign w:val="center"/>
          </w:tcPr>
          <w:p w14:paraId="30B2865A" w14:textId="77777777" w:rsidR="001E2D7F" w:rsidRPr="003A33CE" w:rsidRDefault="001E2D7F" w:rsidP="001E2D7F">
            <w:pPr>
              <w:pStyle w:val="TableParagraph"/>
              <w:keepNext/>
              <w:keepLines/>
              <w:kinsoku w:val="0"/>
              <w:overflowPunct w:val="0"/>
              <w:spacing w:beforeLines="60" w:before="144" w:after="120"/>
              <w:ind w:left="79"/>
              <w:rPr>
                <w:rFonts w:ascii="Arial" w:hAnsi="Arial" w:cs="Arial"/>
                <w:b/>
                <w:spacing w:val="-3"/>
                <w:sz w:val="18"/>
                <w:szCs w:val="18"/>
              </w:rPr>
            </w:pPr>
            <w:r w:rsidRPr="001E2D7F">
              <w:rPr>
                <w:rFonts w:ascii="Arial" w:hAnsi="Arial" w:cs="Arial"/>
                <w:b/>
                <w:spacing w:val="-3"/>
                <w:sz w:val="18"/>
                <w:szCs w:val="18"/>
              </w:rPr>
              <w:t>Demand Management Incentive Scheme and Innovation Allowance for TNSPs</w:t>
            </w:r>
          </w:p>
        </w:tc>
        <w:tc>
          <w:tcPr>
            <w:tcW w:w="1417" w:type="dxa"/>
            <w:shd w:val="clear" w:color="auto" w:fill="auto"/>
            <w:vAlign w:val="center"/>
          </w:tcPr>
          <w:p w14:paraId="4BD8EBF5"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5 Dec </w:t>
            </w:r>
            <w:r w:rsidRPr="007B4CD7">
              <w:rPr>
                <w:rFonts w:ascii="Arial" w:hAnsi="Arial" w:cs="Arial"/>
                <w:b/>
                <w:spacing w:val="-3"/>
                <w:sz w:val="18"/>
                <w:szCs w:val="18"/>
              </w:rPr>
              <w:t>2019</w:t>
            </w:r>
          </w:p>
        </w:tc>
        <w:tc>
          <w:tcPr>
            <w:tcW w:w="1249" w:type="dxa"/>
            <w:shd w:val="clear" w:color="auto" w:fill="auto"/>
            <w:vAlign w:val="center"/>
          </w:tcPr>
          <w:p w14:paraId="5BE0F7DC"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6091954D"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4C1997C5"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6 Dec </w:t>
            </w:r>
            <w:r w:rsidRPr="003A33CE">
              <w:rPr>
                <w:rFonts w:ascii="Arial" w:hAnsi="Arial" w:cs="Arial"/>
                <w:b/>
                <w:spacing w:val="-3"/>
                <w:sz w:val="18"/>
                <w:szCs w:val="18"/>
              </w:rPr>
              <w:t>1</w:t>
            </w:r>
            <w:r>
              <w:rPr>
                <w:rFonts w:ascii="Arial" w:hAnsi="Arial" w:cs="Arial"/>
                <w:b/>
                <w:spacing w:val="-3"/>
                <w:sz w:val="18"/>
                <w:szCs w:val="18"/>
              </w:rPr>
              <w:t>9</w:t>
            </w:r>
          </w:p>
        </w:tc>
      </w:tr>
    </w:tbl>
    <w:p w14:paraId="0FB20A87" w14:textId="77777777" w:rsidR="005765D8" w:rsidRPr="007B4CD7" w:rsidRDefault="001E2D7F" w:rsidP="00245B4D">
      <w:pPr>
        <w:pStyle w:val="TableParagraph"/>
        <w:keepNext/>
        <w:keepLines/>
        <w:kinsoku w:val="0"/>
        <w:overflowPunct w:val="0"/>
        <w:spacing w:after="120"/>
        <w:ind w:left="142"/>
        <w:rPr>
          <w:rFonts w:ascii="Arial" w:hAnsi="Arial" w:cs="Arial"/>
          <w:sz w:val="18"/>
          <w:szCs w:val="18"/>
        </w:rPr>
      </w:pPr>
      <w:r w:rsidRPr="001E2D7F">
        <w:rPr>
          <w:rFonts w:ascii="Arial" w:hAnsi="Arial" w:cs="Arial"/>
          <w:sz w:val="18"/>
          <w:szCs w:val="18"/>
        </w:rPr>
        <w:t>Agreement to apply a demand management innovation allowance mechanism (DMIA) to electricity transmission network service providers (TNSPs)</w:t>
      </w:r>
      <w:r w:rsidR="005765D8">
        <w:rPr>
          <w:rFonts w:ascii="Arial" w:hAnsi="Arial" w:cs="Arial"/>
          <w:sz w:val="18"/>
          <w:szCs w:val="18"/>
        </w:rPr>
        <w:t>.</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765D8" w:rsidRPr="009F2777" w14:paraId="4245E616" w14:textId="77777777" w:rsidTr="00E65E1A">
        <w:trPr>
          <w:trHeight w:val="510"/>
        </w:trPr>
        <w:tc>
          <w:tcPr>
            <w:tcW w:w="5104" w:type="dxa"/>
            <w:shd w:val="clear" w:color="auto" w:fill="auto"/>
            <w:vAlign w:val="center"/>
          </w:tcPr>
          <w:p w14:paraId="3C4A96F7" w14:textId="77777777" w:rsidR="005765D8" w:rsidRPr="003A33CE" w:rsidRDefault="005765D8" w:rsidP="00B65DFB">
            <w:pPr>
              <w:pStyle w:val="TableParagraph"/>
              <w:keepNext/>
              <w:keepLines/>
              <w:kinsoku w:val="0"/>
              <w:overflowPunct w:val="0"/>
              <w:spacing w:beforeLines="60" w:before="144" w:after="120"/>
              <w:ind w:left="79"/>
              <w:rPr>
                <w:rFonts w:ascii="Arial" w:hAnsi="Arial" w:cs="Arial"/>
                <w:b/>
                <w:spacing w:val="-3"/>
                <w:sz w:val="18"/>
                <w:szCs w:val="18"/>
              </w:rPr>
            </w:pPr>
            <w:r w:rsidRPr="007B4CD7">
              <w:rPr>
                <w:rFonts w:ascii="Arial" w:hAnsi="Arial" w:cs="Arial"/>
                <w:b/>
                <w:spacing w:val="-3"/>
                <w:sz w:val="18"/>
                <w:szCs w:val="18"/>
              </w:rPr>
              <w:t>Reducing customers' switching times</w:t>
            </w:r>
          </w:p>
        </w:tc>
        <w:tc>
          <w:tcPr>
            <w:tcW w:w="1417" w:type="dxa"/>
            <w:shd w:val="clear" w:color="auto" w:fill="auto"/>
            <w:vAlign w:val="center"/>
          </w:tcPr>
          <w:p w14:paraId="148E44DF" w14:textId="77777777" w:rsidR="005765D8" w:rsidRPr="003A33CE" w:rsidRDefault="005765D8" w:rsidP="00B65DFB">
            <w:pPr>
              <w:pStyle w:val="TableParagraph"/>
              <w:kinsoku w:val="0"/>
              <w:overflowPunct w:val="0"/>
              <w:spacing w:beforeLines="60" w:before="144" w:after="60"/>
              <w:jc w:val="center"/>
              <w:rPr>
                <w:rFonts w:ascii="Arial" w:hAnsi="Arial" w:cs="Arial"/>
                <w:b/>
                <w:spacing w:val="-3"/>
                <w:sz w:val="18"/>
                <w:szCs w:val="18"/>
              </w:rPr>
            </w:pPr>
            <w:r w:rsidRPr="007B4CD7">
              <w:rPr>
                <w:rFonts w:ascii="Arial" w:hAnsi="Arial" w:cs="Arial"/>
                <w:b/>
                <w:spacing w:val="-3"/>
                <w:sz w:val="18"/>
                <w:szCs w:val="18"/>
              </w:rPr>
              <w:t>19 Dec 2019</w:t>
            </w:r>
          </w:p>
        </w:tc>
        <w:tc>
          <w:tcPr>
            <w:tcW w:w="1249" w:type="dxa"/>
            <w:shd w:val="clear" w:color="auto" w:fill="auto"/>
            <w:vAlign w:val="center"/>
          </w:tcPr>
          <w:p w14:paraId="30F4C8E6" w14:textId="77777777" w:rsidR="005765D8" w:rsidRPr="003A33CE" w:rsidRDefault="005765D8" w:rsidP="00B65DFB">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39CBE7A3" w14:textId="77777777" w:rsidR="005765D8" w:rsidRPr="003A33CE" w:rsidRDefault="005765D8" w:rsidP="00B65DFB">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5E822803" w14:textId="77777777" w:rsidR="005765D8" w:rsidRPr="003A33CE" w:rsidRDefault="005765D8" w:rsidP="00B65DFB">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20 Dec </w:t>
            </w:r>
            <w:r w:rsidRPr="003A33CE">
              <w:rPr>
                <w:rFonts w:ascii="Arial" w:hAnsi="Arial" w:cs="Arial"/>
                <w:b/>
                <w:spacing w:val="-3"/>
                <w:sz w:val="18"/>
                <w:szCs w:val="18"/>
              </w:rPr>
              <w:t>1</w:t>
            </w:r>
            <w:r>
              <w:rPr>
                <w:rFonts w:ascii="Arial" w:hAnsi="Arial" w:cs="Arial"/>
                <w:b/>
                <w:spacing w:val="-3"/>
                <w:sz w:val="18"/>
                <w:szCs w:val="18"/>
              </w:rPr>
              <w:t>9</w:t>
            </w:r>
          </w:p>
        </w:tc>
      </w:tr>
    </w:tbl>
    <w:p w14:paraId="0E98C285" w14:textId="46F0090D" w:rsidR="001E2D7F" w:rsidRDefault="005765D8" w:rsidP="00245B4D">
      <w:pPr>
        <w:pStyle w:val="TableParagraph"/>
        <w:keepNext/>
        <w:keepLines/>
        <w:kinsoku w:val="0"/>
        <w:overflowPunct w:val="0"/>
        <w:spacing w:after="120"/>
        <w:ind w:left="142"/>
        <w:rPr>
          <w:rFonts w:ascii="Arial" w:hAnsi="Arial" w:cs="Arial"/>
          <w:sz w:val="18"/>
          <w:szCs w:val="18"/>
        </w:rPr>
      </w:pPr>
      <w:r w:rsidRPr="007B4CD7">
        <w:rPr>
          <w:rFonts w:ascii="Arial" w:hAnsi="Arial" w:cs="Arial"/>
          <w:sz w:val="18"/>
          <w:szCs w:val="18"/>
        </w:rPr>
        <w:t>Amends the National Electricity Rules and National Energy Retail Rules to provide the Australian Energy Market Operator (AEMO) with flexibility to improve their</w:t>
      </w:r>
      <w:r>
        <w:rPr>
          <w:rFonts w:ascii="Arial" w:hAnsi="Arial" w:cs="Arial"/>
          <w:sz w:val="18"/>
          <w:szCs w:val="18"/>
        </w:rPr>
        <w:t xml:space="preserve"> </w:t>
      </w:r>
      <w:r w:rsidRPr="007B4CD7">
        <w:rPr>
          <w:rFonts w:ascii="Arial" w:hAnsi="Arial" w:cs="Arial"/>
          <w:sz w:val="18"/>
          <w:szCs w:val="18"/>
        </w:rPr>
        <w:t>processes, allowing AEMO and industry to create and implement an improved</w:t>
      </w:r>
      <w:r>
        <w:rPr>
          <w:rFonts w:ascii="Arial" w:hAnsi="Arial" w:cs="Arial"/>
          <w:sz w:val="18"/>
          <w:szCs w:val="18"/>
        </w:rPr>
        <w:t xml:space="preserve"> </w:t>
      </w:r>
      <w:r w:rsidRPr="007B4CD7">
        <w:rPr>
          <w:rFonts w:ascii="Arial" w:hAnsi="Arial" w:cs="Arial"/>
          <w:sz w:val="18"/>
          <w:szCs w:val="18"/>
        </w:rPr>
        <w:t>customer transfer process.</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14:paraId="7097D05B" w14:textId="77777777" w:rsidTr="00E65E1A">
        <w:trPr>
          <w:trHeight w:val="510"/>
        </w:trPr>
        <w:tc>
          <w:tcPr>
            <w:tcW w:w="5104" w:type="dxa"/>
            <w:vAlign w:val="center"/>
            <w:hideMark/>
          </w:tcPr>
          <w:p w14:paraId="1DB971C0"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Improving transparency and extending duration of medium term projected assessment of system adequacy</w:t>
            </w:r>
          </w:p>
        </w:tc>
        <w:tc>
          <w:tcPr>
            <w:tcW w:w="1417" w:type="dxa"/>
            <w:vAlign w:val="center"/>
            <w:hideMark/>
          </w:tcPr>
          <w:p w14:paraId="6E4D8579"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20 February 2020</w:t>
            </w:r>
          </w:p>
        </w:tc>
        <w:tc>
          <w:tcPr>
            <w:tcW w:w="1249" w:type="dxa"/>
            <w:vAlign w:val="center"/>
            <w:hideMark/>
          </w:tcPr>
          <w:p w14:paraId="2F067209"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25519F82"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476108B5"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24 February 2020</w:t>
            </w:r>
          </w:p>
        </w:tc>
      </w:tr>
    </w:tbl>
    <w:p w14:paraId="0B2133A4"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improve transparency of the medium-term projected assessment of system adequacy process, reduce asymmetry of generation availability information in the market, and extend the period in which generation availability is published from two to three years.</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6B25685B" w14:textId="77777777" w:rsidTr="00E65E1A">
        <w:trPr>
          <w:trHeight w:val="510"/>
        </w:trPr>
        <w:tc>
          <w:tcPr>
            <w:tcW w:w="5104" w:type="dxa"/>
            <w:vAlign w:val="center"/>
            <w:hideMark/>
          </w:tcPr>
          <w:p w14:paraId="0B0B16C6"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Changes to the marginal loss factors framework in the National Electricity Market</w:t>
            </w:r>
          </w:p>
        </w:tc>
        <w:tc>
          <w:tcPr>
            <w:tcW w:w="1417" w:type="dxa"/>
            <w:vAlign w:val="center"/>
            <w:hideMark/>
          </w:tcPr>
          <w:p w14:paraId="437558AF"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27 February 2020</w:t>
            </w:r>
          </w:p>
        </w:tc>
        <w:tc>
          <w:tcPr>
            <w:tcW w:w="1249" w:type="dxa"/>
            <w:vAlign w:val="center"/>
            <w:hideMark/>
          </w:tcPr>
          <w:p w14:paraId="07D8189B"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08349C6C"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656191DB"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27 February 2020</w:t>
            </w:r>
          </w:p>
        </w:tc>
      </w:tr>
    </w:tbl>
    <w:p w14:paraId="1521572F"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provide greater flexibility to refine and improve the methodology to determine marginal loss factors in the National Electricity Market.</w:t>
      </w:r>
    </w:p>
    <w:tbl>
      <w:tblPr>
        <w:tblW w:w="10624"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067"/>
        <w:gridCol w:w="775"/>
        <w:gridCol w:w="1276"/>
        <w:gridCol w:w="851"/>
        <w:gridCol w:w="1551"/>
      </w:tblGrid>
      <w:tr w:rsidR="00BC6751" w:rsidRPr="0043459C" w14:paraId="5EE8B993" w14:textId="77777777" w:rsidTr="00E65E1A">
        <w:trPr>
          <w:trHeight w:val="473"/>
        </w:trPr>
        <w:tc>
          <w:tcPr>
            <w:tcW w:w="5104" w:type="dxa"/>
            <w:vAlign w:val="center"/>
            <w:hideMark/>
          </w:tcPr>
          <w:p w14:paraId="3F1E8956" w14:textId="38804AFC" w:rsidR="00BC6751" w:rsidRPr="0043459C" w:rsidRDefault="00BC6751"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Regulating conditional discounting for the retail energy market</w:t>
            </w:r>
          </w:p>
        </w:tc>
        <w:tc>
          <w:tcPr>
            <w:tcW w:w="1067" w:type="dxa"/>
            <w:vAlign w:val="center"/>
            <w:hideMark/>
          </w:tcPr>
          <w:p w14:paraId="11879065" w14:textId="77777777" w:rsidR="00BC6751" w:rsidRPr="0043459C" w:rsidRDefault="00BC6751"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27 February 2020</w:t>
            </w:r>
          </w:p>
        </w:tc>
        <w:tc>
          <w:tcPr>
            <w:tcW w:w="775" w:type="dxa"/>
          </w:tcPr>
          <w:p w14:paraId="18BB389A" w14:textId="77777777" w:rsidR="00BC6751" w:rsidRPr="0043459C" w:rsidRDefault="00BC6751" w:rsidP="00BC6751">
            <w:pPr>
              <w:pStyle w:val="TableParagraph"/>
              <w:kinsoku w:val="0"/>
              <w:overflowPunct w:val="0"/>
              <w:spacing w:beforeLines="60" w:before="144" w:after="60" w:line="256" w:lineRule="auto"/>
              <w:jc w:val="center"/>
              <w:rPr>
                <w:rFonts w:ascii="Arial" w:hAnsi="Arial" w:cs="Arial"/>
                <w:b/>
                <w:spacing w:val="-3"/>
                <w:sz w:val="18"/>
                <w:szCs w:val="18"/>
              </w:rPr>
            </w:pPr>
          </w:p>
        </w:tc>
        <w:tc>
          <w:tcPr>
            <w:tcW w:w="1276" w:type="dxa"/>
            <w:vAlign w:val="center"/>
            <w:hideMark/>
          </w:tcPr>
          <w:p w14:paraId="6177317A" w14:textId="77777777" w:rsidR="00BC6751" w:rsidRPr="0043459C" w:rsidRDefault="00BC6751" w:rsidP="00BC6751">
            <w:pPr>
              <w:pStyle w:val="TableParagraph"/>
              <w:kinsoku w:val="0"/>
              <w:overflowPunct w:val="0"/>
              <w:spacing w:beforeLines="60" w:before="144" w:after="60" w:line="256" w:lineRule="auto"/>
              <w:rPr>
                <w:rFonts w:ascii="Arial" w:hAnsi="Arial" w:cs="Arial"/>
                <w:b/>
                <w:spacing w:val="-3"/>
                <w:sz w:val="18"/>
                <w:szCs w:val="18"/>
              </w:rPr>
            </w:pPr>
            <w:r w:rsidRPr="0043459C">
              <w:rPr>
                <w:rFonts w:ascii="Arial" w:hAnsi="Arial" w:cs="Arial"/>
                <w:b/>
                <w:spacing w:val="-3"/>
                <w:sz w:val="18"/>
                <w:szCs w:val="18"/>
              </w:rPr>
              <w:t>Yes</w:t>
            </w:r>
          </w:p>
        </w:tc>
        <w:tc>
          <w:tcPr>
            <w:tcW w:w="851" w:type="dxa"/>
            <w:vAlign w:val="center"/>
            <w:hideMark/>
          </w:tcPr>
          <w:p w14:paraId="34B204BD" w14:textId="77777777" w:rsidR="00BC6751" w:rsidRPr="0043459C" w:rsidRDefault="00BC6751" w:rsidP="00BC6751">
            <w:pPr>
              <w:pStyle w:val="TableParagraph"/>
              <w:kinsoku w:val="0"/>
              <w:overflowPunct w:val="0"/>
              <w:spacing w:beforeLines="60" w:before="144" w:after="60" w:line="256" w:lineRule="auto"/>
              <w:rPr>
                <w:rFonts w:ascii="Arial" w:hAnsi="Arial" w:cs="Arial"/>
                <w:b/>
                <w:spacing w:val="-3"/>
                <w:sz w:val="18"/>
                <w:szCs w:val="18"/>
              </w:rPr>
            </w:pPr>
            <w:r w:rsidRPr="0043459C">
              <w:rPr>
                <w:rFonts w:ascii="Arial" w:hAnsi="Arial" w:cs="Arial"/>
                <w:b/>
                <w:spacing w:val="-3"/>
                <w:sz w:val="18"/>
                <w:szCs w:val="18"/>
              </w:rPr>
              <w:t>Yes</w:t>
            </w:r>
          </w:p>
        </w:tc>
        <w:tc>
          <w:tcPr>
            <w:tcW w:w="1551" w:type="dxa"/>
            <w:vAlign w:val="center"/>
            <w:hideMark/>
          </w:tcPr>
          <w:p w14:paraId="2C6CA452" w14:textId="369D13B9" w:rsidR="00BC6751" w:rsidRPr="0043459C" w:rsidRDefault="00BC6751" w:rsidP="00BC6751">
            <w:pPr>
              <w:pStyle w:val="TableParagraph"/>
              <w:kinsoku w:val="0"/>
              <w:overflowPunct w:val="0"/>
              <w:spacing w:beforeLines="60" w:before="144" w:after="60" w:line="256" w:lineRule="auto"/>
              <w:rPr>
                <w:rFonts w:ascii="Arial" w:hAnsi="Arial" w:cs="Arial"/>
                <w:b/>
                <w:spacing w:val="-3"/>
                <w:sz w:val="18"/>
                <w:szCs w:val="18"/>
              </w:rPr>
            </w:pPr>
            <w:r w:rsidRPr="0043459C">
              <w:rPr>
                <w:rFonts w:ascii="Arial" w:hAnsi="Arial" w:cs="Arial"/>
                <w:b/>
                <w:spacing w:val="-3"/>
                <w:sz w:val="18"/>
                <w:szCs w:val="18"/>
              </w:rPr>
              <w:t xml:space="preserve">27 February </w:t>
            </w:r>
            <w:r>
              <w:rPr>
                <w:rFonts w:ascii="Arial" w:hAnsi="Arial" w:cs="Arial"/>
                <w:b/>
                <w:spacing w:val="-3"/>
                <w:sz w:val="18"/>
                <w:szCs w:val="18"/>
              </w:rPr>
              <w:br/>
            </w:r>
            <w:r w:rsidRPr="0043459C">
              <w:rPr>
                <w:rFonts w:ascii="Arial" w:hAnsi="Arial" w:cs="Arial"/>
                <w:b/>
                <w:spacing w:val="-3"/>
                <w:sz w:val="18"/>
                <w:szCs w:val="18"/>
              </w:rPr>
              <w:t>2020</w:t>
            </w:r>
          </w:p>
        </w:tc>
      </w:tr>
    </w:tbl>
    <w:p w14:paraId="2621D6A8" w14:textId="6D71A24B" w:rsidR="0043459C" w:rsidRPr="0043459C" w:rsidRDefault="00BC6751" w:rsidP="00BA6CC4">
      <w:pPr>
        <w:pStyle w:val="TableParagraph"/>
        <w:keepNext/>
        <w:keepLines/>
        <w:kinsoku w:val="0"/>
        <w:overflowPunct w:val="0"/>
        <w:spacing w:after="120"/>
        <w:rPr>
          <w:rFonts w:ascii="Arial" w:hAnsi="Arial" w:cs="Arial"/>
          <w:sz w:val="18"/>
          <w:szCs w:val="18"/>
        </w:rPr>
      </w:pPr>
      <w:r w:rsidRPr="0043459C">
        <w:rPr>
          <w:rFonts w:ascii="Arial" w:hAnsi="Arial" w:cs="Arial"/>
          <w:sz w:val="18"/>
          <w:szCs w:val="18"/>
        </w:rPr>
        <w:t>Final rule determination to limit the level of conditional discounts and conditional fees in new retail contracts to the "reasonable costs" a retailer is likely to incur when a consumer fails to satisfy a payment condition.</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24382ABA" w14:textId="77777777" w:rsidTr="00E65E1A">
        <w:trPr>
          <w:trHeight w:val="510"/>
        </w:trPr>
        <w:tc>
          <w:tcPr>
            <w:tcW w:w="5104" w:type="dxa"/>
            <w:vAlign w:val="center"/>
            <w:hideMark/>
          </w:tcPr>
          <w:p w14:paraId="053D2D37"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Short term forward market rule</w:t>
            </w:r>
          </w:p>
        </w:tc>
        <w:tc>
          <w:tcPr>
            <w:tcW w:w="1417" w:type="dxa"/>
            <w:vAlign w:val="center"/>
            <w:hideMark/>
          </w:tcPr>
          <w:p w14:paraId="16FC4105"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5 March 2020</w:t>
            </w:r>
          </w:p>
        </w:tc>
        <w:tc>
          <w:tcPr>
            <w:tcW w:w="1249" w:type="dxa"/>
            <w:vAlign w:val="center"/>
            <w:hideMark/>
          </w:tcPr>
          <w:p w14:paraId="66570C78"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34864584"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1E259E57"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13 March 2020</w:t>
            </w:r>
          </w:p>
        </w:tc>
      </w:tr>
    </w:tbl>
    <w:p w14:paraId="19CBE11D"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outlining the Australian Energy Market Commission’s decision to not introduce a voluntary short term forward market (STFM).  </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4FB96852" w14:textId="77777777" w:rsidTr="00E65E1A">
        <w:trPr>
          <w:trHeight w:val="510"/>
        </w:trPr>
        <w:tc>
          <w:tcPr>
            <w:tcW w:w="5104" w:type="dxa"/>
            <w:vAlign w:val="center"/>
            <w:hideMark/>
          </w:tcPr>
          <w:p w14:paraId="3C78F5E7"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Simplified wholesale pricing arrangements for the Victorian Declared Wholesale Gas Market</w:t>
            </w:r>
          </w:p>
        </w:tc>
        <w:tc>
          <w:tcPr>
            <w:tcW w:w="1417" w:type="dxa"/>
            <w:vAlign w:val="center"/>
            <w:hideMark/>
          </w:tcPr>
          <w:p w14:paraId="077E6BCC"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12 March 2020</w:t>
            </w:r>
          </w:p>
        </w:tc>
        <w:tc>
          <w:tcPr>
            <w:tcW w:w="1249" w:type="dxa"/>
            <w:vAlign w:val="center"/>
            <w:hideMark/>
          </w:tcPr>
          <w:p w14:paraId="17FA3286"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7471081B"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2F50F450"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18 March 2020</w:t>
            </w:r>
          </w:p>
        </w:tc>
      </w:tr>
    </w:tbl>
    <w:p w14:paraId="16E3E1AA"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amending the National Gas Rules to simplify wholesale pricing in the Victorian declared wholesale gas market.</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14:paraId="6F0EDA81" w14:textId="77777777" w:rsidTr="00E65E1A">
        <w:trPr>
          <w:trHeight w:val="510"/>
        </w:trPr>
        <w:tc>
          <w:tcPr>
            <w:tcW w:w="5104" w:type="dxa"/>
            <w:vAlign w:val="center"/>
            <w:hideMark/>
          </w:tcPr>
          <w:p w14:paraId="5D1437A9"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Authorised maximum daily quantity for the Victorian Declared Wholesale Gas Market</w:t>
            </w:r>
          </w:p>
        </w:tc>
        <w:tc>
          <w:tcPr>
            <w:tcW w:w="1417" w:type="dxa"/>
            <w:vAlign w:val="center"/>
            <w:hideMark/>
          </w:tcPr>
          <w:p w14:paraId="6BA833C5"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12 March 2020</w:t>
            </w:r>
          </w:p>
        </w:tc>
        <w:tc>
          <w:tcPr>
            <w:tcW w:w="1249" w:type="dxa"/>
            <w:vAlign w:val="center"/>
            <w:hideMark/>
          </w:tcPr>
          <w:p w14:paraId="2ED7038E"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09B02326"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454123FF"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18 March 2020</w:t>
            </w:r>
          </w:p>
        </w:tc>
      </w:tr>
    </w:tbl>
    <w:p w14:paraId="27E18425"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amending the National Gas Rules to replace the authorised maximum daily quantity regime in the Victorian declared wholesale gas market with a new entry and exit capacity certificates regime.</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185F24AA" w14:textId="77777777" w:rsidTr="00E65E1A">
        <w:trPr>
          <w:trHeight w:val="510"/>
        </w:trPr>
        <w:tc>
          <w:tcPr>
            <w:tcW w:w="5104" w:type="dxa"/>
            <w:vAlign w:val="center"/>
            <w:hideMark/>
          </w:tcPr>
          <w:p w14:paraId="2C87A7AD"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t>Wholesale Demand Response Mechanism</w:t>
            </w:r>
          </w:p>
        </w:tc>
        <w:tc>
          <w:tcPr>
            <w:tcW w:w="1417" w:type="dxa"/>
            <w:vAlign w:val="center"/>
            <w:hideMark/>
          </w:tcPr>
          <w:p w14:paraId="6B3869E4"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12 March 2020</w:t>
            </w:r>
          </w:p>
        </w:tc>
        <w:tc>
          <w:tcPr>
            <w:tcW w:w="1249" w:type="dxa"/>
            <w:vAlign w:val="center"/>
            <w:hideMark/>
          </w:tcPr>
          <w:p w14:paraId="6E434C0F"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26C9BB96"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242E1EC5"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20 March 2020</w:t>
            </w:r>
          </w:p>
        </w:tc>
      </w:tr>
    </w:tbl>
    <w:p w14:paraId="6145114F" w14:textId="0C827533"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provide a mechanism to facilitate wholesale demand response in the National Electricity Market.</w:t>
      </w:r>
      <w:r>
        <w:rPr>
          <w:rFonts w:ascii="Arial" w:hAnsi="Arial" w:cs="Arial"/>
          <w:sz w:val="18"/>
          <w:szCs w:val="18"/>
        </w:rPr>
        <w:t xml:space="preserve"> </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39AF0F31" w14:textId="77777777" w:rsidTr="00E65E1A">
        <w:trPr>
          <w:trHeight w:val="510"/>
        </w:trPr>
        <w:tc>
          <w:tcPr>
            <w:tcW w:w="5104" w:type="dxa"/>
            <w:vAlign w:val="center"/>
            <w:hideMark/>
          </w:tcPr>
          <w:p w14:paraId="0B47D3CD" w14:textId="77777777" w:rsidR="0043459C" w:rsidRPr="0043459C" w:rsidRDefault="0043459C"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43459C">
              <w:rPr>
                <w:rFonts w:ascii="Arial" w:hAnsi="Arial" w:cs="Arial"/>
                <w:b/>
                <w:spacing w:val="-3"/>
                <w:sz w:val="18"/>
                <w:szCs w:val="18"/>
              </w:rPr>
              <w:lastRenderedPageBreak/>
              <w:t>Victorian jurisdictional derogation – reliability and emergency reserve trader contracting</w:t>
            </w:r>
          </w:p>
        </w:tc>
        <w:tc>
          <w:tcPr>
            <w:tcW w:w="1417" w:type="dxa"/>
            <w:vAlign w:val="center"/>
            <w:hideMark/>
          </w:tcPr>
          <w:p w14:paraId="5D95277A"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12 March 2020</w:t>
            </w:r>
          </w:p>
        </w:tc>
        <w:tc>
          <w:tcPr>
            <w:tcW w:w="1249" w:type="dxa"/>
            <w:vAlign w:val="center"/>
            <w:hideMark/>
          </w:tcPr>
          <w:p w14:paraId="3E186284"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48882AB5"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2ADB49E8"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20 March 2020</w:t>
            </w:r>
          </w:p>
        </w:tc>
      </w:tr>
    </w:tbl>
    <w:p w14:paraId="008EDB13"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enable multi-year contracting of emergency reserves under certain circumstances in Victoria for a limited period of approximately three years, to address short to medium-term reliability challenges.</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14:paraId="680FF87E" w14:textId="77777777" w:rsidTr="00E65E1A">
        <w:trPr>
          <w:trHeight w:val="510"/>
        </w:trPr>
        <w:tc>
          <w:tcPr>
            <w:tcW w:w="5104" w:type="dxa"/>
            <w:vAlign w:val="center"/>
            <w:hideMark/>
          </w:tcPr>
          <w:p w14:paraId="1A34031D" w14:textId="77777777" w:rsidR="0043459C" w:rsidRPr="0043459C" w:rsidRDefault="0043459C" w:rsidP="00BC6751">
            <w:pPr>
              <w:pStyle w:val="TableParagraph"/>
              <w:keepNext/>
              <w:keepLines/>
              <w:kinsoku w:val="0"/>
              <w:overflowPunct w:val="0"/>
              <w:spacing w:beforeLines="60" w:before="144" w:line="256" w:lineRule="auto"/>
              <w:ind w:left="79"/>
              <w:rPr>
                <w:rFonts w:ascii="Arial" w:hAnsi="Arial" w:cs="Arial"/>
                <w:b/>
                <w:spacing w:val="-3"/>
                <w:sz w:val="18"/>
                <w:szCs w:val="18"/>
              </w:rPr>
            </w:pPr>
            <w:r w:rsidRPr="0043459C">
              <w:rPr>
                <w:rFonts w:ascii="Arial" w:hAnsi="Arial" w:cs="Arial"/>
                <w:b/>
                <w:spacing w:val="-3"/>
                <w:sz w:val="18"/>
                <w:szCs w:val="18"/>
              </w:rPr>
              <w:t xml:space="preserve">Mandatory primary frequency response rule </w:t>
            </w:r>
          </w:p>
        </w:tc>
        <w:tc>
          <w:tcPr>
            <w:tcW w:w="1417" w:type="dxa"/>
            <w:vAlign w:val="center"/>
            <w:hideMark/>
          </w:tcPr>
          <w:p w14:paraId="5868203D"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23 March 2020</w:t>
            </w:r>
          </w:p>
        </w:tc>
        <w:tc>
          <w:tcPr>
            <w:tcW w:w="1249" w:type="dxa"/>
            <w:vAlign w:val="center"/>
            <w:hideMark/>
          </w:tcPr>
          <w:p w14:paraId="2DA9A08C"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5F80F346"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7101AB27"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26 March 2020</w:t>
            </w:r>
          </w:p>
        </w:tc>
      </w:tr>
    </w:tbl>
    <w:p w14:paraId="47BCE765"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require all scheduled and semi-scheduled generators in the National Electricity Market to support the secure operation of the power system by responding automatically to changes in power system frequency.</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903F1" w:rsidRPr="005903F1" w14:paraId="10E39A5B" w14:textId="77777777" w:rsidTr="00E65E1A">
        <w:trPr>
          <w:trHeight w:val="510"/>
        </w:trPr>
        <w:tc>
          <w:tcPr>
            <w:tcW w:w="5104" w:type="dxa"/>
            <w:vAlign w:val="center"/>
            <w:hideMark/>
          </w:tcPr>
          <w:p w14:paraId="58D1E5B1" w14:textId="77777777" w:rsidR="005903F1" w:rsidRPr="005903F1" w:rsidRDefault="005903F1" w:rsidP="00BC6751">
            <w:pPr>
              <w:pStyle w:val="TableParagraph"/>
              <w:keepNext/>
              <w:keepLines/>
              <w:kinsoku w:val="0"/>
              <w:overflowPunct w:val="0"/>
              <w:spacing w:beforeLines="60" w:before="144" w:line="256" w:lineRule="auto"/>
              <w:ind w:left="79"/>
              <w:rPr>
                <w:rFonts w:ascii="Arial" w:hAnsi="Arial" w:cs="Arial"/>
                <w:b/>
                <w:spacing w:val="-3"/>
                <w:sz w:val="18"/>
                <w:szCs w:val="18"/>
              </w:rPr>
            </w:pPr>
            <w:r w:rsidRPr="005903F1">
              <w:rPr>
                <w:rFonts w:ascii="Arial" w:hAnsi="Arial" w:cs="Arial"/>
                <w:b/>
                <w:spacing w:val="-3"/>
                <w:sz w:val="18"/>
                <w:szCs w:val="18"/>
              </w:rPr>
              <w:t xml:space="preserve">System restart services, standards and testing rule </w:t>
            </w:r>
          </w:p>
        </w:tc>
        <w:tc>
          <w:tcPr>
            <w:tcW w:w="1417" w:type="dxa"/>
            <w:vAlign w:val="center"/>
            <w:hideMark/>
          </w:tcPr>
          <w:p w14:paraId="076590FE"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2 April 2020</w:t>
            </w:r>
          </w:p>
        </w:tc>
        <w:tc>
          <w:tcPr>
            <w:tcW w:w="1249" w:type="dxa"/>
            <w:vAlign w:val="center"/>
            <w:hideMark/>
          </w:tcPr>
          <w:p w14:paraId="5E782402"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4" w:type="dxa"/>
            <w:vAlign w:val="center"/>
            <w:hideMark/>
          </w:tcPr>
          <w:p w14:paraId="420A425C"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5" w:type="dxa"/>
            <w:vAlign w:val="center"/>
            <w:hideMark/>
          </w:tcPr>
          <w:p w14:paraId="1EA090E6"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14 April 2020</w:t>
            </w:r>
          </w:p>
        </w:tc>
      </w:tr>
    </w:tbl>
    <w:p w14:paraId="06A53D86" w14:textId="77777777" w:rsidR="005903F1" w:rsidRPr="005903F1" w:rsidRDefault="005903F1" w:rsidP="005903F1">
      <w:pPr>
        <w:pStyle w:val="TableParagraph"/>
        <w:keepNext/>
        <w:keepLines/>
        <w:kinsoku w:val="0"/>
        <w:overflowPunct w:val="0"/>
        <w:spacing w:after="120"/>
        <w:ind w:left="142"/>
        <w:rPr>
          <w:rFonts w:ascii="Arial" w:hAnsi="Arial" w:cs="Arial"/>
          <w:sz w:val="18"/>
          <w:szCs w:val="18"/>
        </w:rPr>
      </w:pPr>
      <w:r w:rsidRPr="005903F1">
        <w:rPr>
          <w:rFonts w:ascii="Arial" w:hAnsi="Arial" w:cs="Arial"/>
          <w:sz w:val="18"/>
          <w:szCs w:val="18"/>
        </w:rPr>
        <w:t>Final rule determination to improve the provision and effectiveness of power system restart ancillary services.</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903F1" w14:paraId="379DCD0A" w14:textId="77777777" w:rsidTr="00E65E1A">
        <w:trPr>
          <w:trHeight w:val="510"/>
        </w:trPr>
        <w:tc>
          <w:tcPr>
            <w:tcW w:w="5104" w:type="dxa"/>
            <w:vAlign w:val="center"/>
            <w:hideMark/>
          </w:tcPr>
          <w:p w14:paraId="5D91766D" w14:textId="77777777" w:rsidR="005903F1" w:rsidRPr="005903F1" w:rsidRDefault="005903F1"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5903F1">
              <w:rPr>
                <w:rFonts w:ascii="Arial" w:hAnsi="Arial" w:cs="Arial"/>
                <w:b/>
                <w:spacing w:val="-3"/>
                <w:sz w:val="18"/>
                <w:szCs w:val="18"/>
              </w:rPr>
              <w:t>Introduction of metering coordinator planned Interruptions</w:t>
            </w:r>
          </w:p>
        </w:tc>
        <w:tc>
          <w:tcPr>
            <w:tcW w:w="1417" w:type="dxa"/>
            <w:vAlign w:val="center"/>
            <w:hideMark/>
          </w:tcPr>
          <w:p w14:paraId="30790EA3"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21 May 2020</w:t>
            </w:r>
          </w:p>
        </w:tc>
        <w:tc>
          <w:tcPr>
            <w:tcW w:w="1249" w:type="dxa"/>
            <w:vAlign w:val="center"/>
            <w:hideMark/>
          </w:tcPr>
          <w:p w14:paraId="2F33514B"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4" w:type="dxa"/>
            <w:vAlign w:val="center"/>
            <w:hideMark/>
          </w:tcPr>
          <w:p w14:paraId="5EC2680F"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5" w:type="dxa"/>
            <w:vAlign w:val="center"/>
            <w:hideMark/>
          </w:tcPr>
          <w:p w14:paraId="631F0208"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10 June 2020</w:t>
            </w:r>
          </w:p>
        </w:tc>
      </w:tr>
    </w:tbl>
    <w:p w14:paraId="3BCFD432" w14:textId="77777777" w:rsidR="005903F1" w:rsidRPr="005903F1" w:rsidRDefault="005903F1" w:rsidP="005903F1">
      <w:pPr>
        <w:pStyle w:val="TableParagraph"/>
        <w:keepNext/>
        <w:keepLines/>
        <w:kinsoku w:val="0"/>
        <w:overflowPunct w:val="0"/>
        <w:spacing w:after="120"/>
        <w:ind w:left="142"/>
        <w:rPr>
          <w:rFonts w:ascii="Arial" w:hAnsi="Arial" w:cs="Arial"/>
          <w:sz w:val="18"/>
          <w:szCs w:val="18"/>
        </w:rPr>
      </w:pPr>
      <w:r w:rsidRPr="005903F1">
        <w:rPr>
          <w:rFonts w:ascii="Arial" w:hAnsi="Arial" w:cs="Arial"/>
          <w:sz w:val="18"/>
          <w:szCs w:val="18"/>
        </w:rPr>
        <w:t>Final rule determination to provide customers with shared fusing more certainty on when their electricity meter will be installed.  </w:t>
      </w:r>
    </w:p>
    <w:tbl>
      <w:tblPr>
        <w:tblW w:w="9979"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903F1" w:rsidRPr="005903F1" w14:paraId="6AA8E9E8" w14:textId="77777777" w:rsidTr="00E65E1A">
        <w:trPr>
          <w:trHeight w:val="510"/>
        </w:trPr>
        <w:tc>
          <w:tcPr>
            <w:tcW w:w="5104" w:type="dxa"/>
            <w:vAlign w:val="center"/>
            <w:hideMark/>
          </w:tcPr>
          <w:p w14:paraId="6A61DE3D" w14:textId="77777777" w:rsidR="005903F1" w:rsidRPr="005903F1" w:rsidRDefault="005903F1"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5903F1">
              <w:rPr>
                <w:rFonts w:ascii="Arial" w:hAnsi="Arial" w:cs="Arial"/>
                <w:b/>
                <w:spacing w:val="-3"/>
                <w:sz w:val="18"/>
                <w:szCs w:val="18"/>
              </w:rPr>
              <w:t>Wholesale demand response mechanism rule</w:t>
            </w:r>
          </w:p>
        </w:tc>
        <w:tc>
          <w:tcPr>
            <w:tcW w:w="1417" w:type="dxa"/>
            <w:vAlign w:val="center"/>
            <w:hideMark/>
          </w:tcPr>
          <w:p w14:paraId="4797AABE"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11 June 2020</w:t>
            </w:r>
          </w:p>
        </w:tc>
        <w:tc>
          <w:tcPr>
            <w:tcW w:w="1249" w:type="dxa"/>
            <w:vAlign w:val="center"/>
            <w:hideMark/>
          </w:tcPr>
          <w:p w14:paraId="207E1A09"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4" w:type="dxa"/>
            <w:vAlign w:val="center"/>
            <w:hideMark/>
          </w:tcPr>
          <w:p w14:paraId="20B98B09"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5" w:type="dxa"/>
            <w:vAlign w:val="center"/>
            <w:hideMark/>
          </w:tcPr>
          <w:p w14:paraId="0917A1DA"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11 June 2020</w:t>
            </w:r>
          </w:p>
        </w:tc>
      </w:tr>
    </w:tbl>
    <w:p w14:paraId="6D224E95" w14:textId="77777777" w:rsidR="005903F1" w:rsidRPr="005903F1" w:rsidRDefault="005903F1" w:rsidP="005903F1">
      <w:pPr>
        <w:pStyle w:val="TableParagraph"/>
        <w:keepNext/>
        <w:keepLines/>
        <w:kinsoku w:val="0"/>
        <w:overflowPunct w:val="0"/>
        <w:spacing w:after="120"/>
        <w:ind w:left="142"/>
        <w:rPr>
          <w:rFonts w:ascii="Arial" w:hAnsi="Arial" w:cs="Arial"/>
          <w:sz w:val="18"/>
          <w:szCs w:val="18"/>
        </w:rPr>
      </w:pPr>
      <w:r w:rsidRPr="005903F1">
        <w:rPr>
          <w:rFonts w:ascii="Arial" w:hAnsi="Arial" w:cs="Arial"/>
          <w:sz w:val="18"/>
          <w:szCs w:val="18"/>
        </w:rPr>
        <w:t>Final rule determination to facilitate wholesale demand response in the National Electricity Market, principally through implementing a wholesale demand response mechanism.  </w:t>
      </w:r>
    </w:p>
    <w:tbl>
      <w:tblPr>
        <w:tblW w:w="0"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903F1" w:rsidRPr="005903F1" w14:paraId="72AEAF78" w14:textId="77777777" w:rsidTr="00E65E1A">
        <w:trPr>
          <w:trHeight w:val="510"/>
        </w:trPr>
        <w:tc>
          <w:tcPr>
            <w:tcW w:w="5104" w:type="dxa"/>
            <w:vAlign w:val="center"/>
            <w:hideMark/>
          </w:tcPr>
          <w:p w14:paraId="44946E8A" w14:textId="77777777" w:rsidR="005903F1" w:rsidRPr="005903F1" w:rsidRDefault="005903F1" w:rsidP="00BC6751">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5903F1">
              <w:rPr>
                <w:rFonts w:ascii="Arial" w:hAnsi="Arial" w:cs="Arial"/>
                <w:b/>
                <w:spacing w:val="-3"/>
                <w:sz w:val="18"/>
                <w:szCs w:val="18"/>
              </w:rPr>
              <w:t>Removal of intervention hierarchy rule</w:t>
            </w:r>
          </w:p>
        </w:tc>
        <w:tc>
          <w:tcPr>
            <w:tcW w:w="1417" w:type="dxa"/>
            <w:vAlign w:val="center"/>
            <w:hideMark/>
          </w:tcPr>
          <w:p w14:paraId="0D617FB3"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18 June 2020</w:t>
            </w:r>
          </w:p>
        </w:tc>
        <w:tc>
          <w:tcPr>
            <w:tcW w:w="1249" w:type="dxa"/>
            <w:vAlign w:val="center"/>
            <w:hideMark/>
          </w:tcPr>
          <w:p w14:paraId="706CA827"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4" w:type="dxa"/>
            <w:vAlign w:val="center"/>
            <w:hideMark/>
          </w:tcPr>
          <w:p w14:paraId="137BCDDE"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Yes</w:t>
            </w:r>
          </w:p>
        </w:tc>
        <w:tc>
          <w:tcPr>
            <w:tcW w:w="1105" w:type="dxa"/>
            <w:vAlign w:val="center"/>
            <w:hideMark/>
          </w:tcPr>
          <w:p w14:paraId="0F956E21" w14:textId="77777777" w:rsidR="005903F1" w:rsidRPr="005903F1" w:rsidRDefault="005903F1" w:rsidP="00BC6751">
            <w:pPr>
              <w:pStyle w:val="TableParagraph"/>
              <w:kinsoku w:val="0"/>
              <w:overflowPunct w:val="0"/>
              <w:spacing w:beforeLines="60" w:before="144" w:after="60" w:line="256" w:lineRule="auto"/>
              <w:jc w:val="center"/>
              <w:rPr>
                <w:rFonts w:ascii="Arial" w:hAnsi="Arial" w:cs="Arial"/>
                <w:b/>
                <w:spacing w:val="-3"/>
                <w:sz w:val="18"/>
                <w:szCs w:val="18"/>
              </w:rPr>
            </w:pPr>
            <w:r w:rsidRPr="005903F1">
              <w:rPr>
                <w:rFonts w:ascii="Arial" w:hAnsi="Arial" w:cs="Arial"/>
                <w:b/>
                <w:spacing w:val="-3"/>
                <w:sz w:val="18"/>
                <w:szCs w:val="18"/>
              </w:rPr>
              <w:t>18 June 2020</w:t>
            </w:r>
          </w:p>
        </w:tc>
      </w:tr>
    </w:tbl>
    <w:p w14:paraId="328E7360" w14:textId="77777777" w:rsidR="005903F1" w:rsidRPr="005903F1" w:rsidRDefault="005903F1" w:rsidP="005903F1">
      <w:pPr>
        <w:pStyle w:val="TableParagraph"/>
        <w:keepNext/>
        <w:keepLines/>
        <w:kinsoku w:val="0"/>
        <w:overflowPunct w:val="0"/>
        <w:spacing w:after="120"/>
        <w:ind w:left="142"/>
        <w:rPr>
          <w:rFonts w:ascii="Arial" w:hAnsi="Arial" w:cs="Arial"/>
          <w:sz w:val="18"/>
          <w:szCs w:val="18"/>
        </w:rPr>
      </w:pPr>
      <w:r w:rsidRPr="005903F1">
        <w:rPr>
          <w:rFonts w:ascii="Arial" w:hAnsi="Arial" w:cs="Arial"/>
          <w:sz w:val="18"/>
          <w:szCs w:val="18"/>
        </w:rPr>
        <w:t>Final rule determination amending the requirement for AEMO to use reasonable endeavours to intervene using reliability and emergency reserve trader prior to issuing directions or instructions, with a principle that AEMO must use reasonable endeavours to choose the intervention mechanism, or combination of intervention mechanisms, that is effective in addressing the need to intervene in the market while minimising the direct and indirect costs of intervention.</w:t>
      </w:r>
    </w:p>
    <w:tbl>
      <w:tblPr>
        <w:tblW w:w="9979"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43459C" w:rsidRPr="0043459C" w14:paraId="79DD9769" w14:textId="77777777" w:rsidTr="00E65E1A">
        <w:trPr>
          <w:trHeight w:val="510"/>
        </w:trPr>
        <w:tc>
          <w:tcPr>
            <w:tcW w:w="5104" w:type="dxa"/>
            <w:vAlign w:val="center"/>
            <w:hideMark/>
          </w:tcPr>
          <w:p w14:paraId="5C03D366" w14:textId="77777777" w:rsidR="0043459C" w:rsidRDefault="0043459C" w:rsidP="00BC6751">
            <w:pPr>
              <w:pStyle w:val="TableParagraph"/>
              <w:keepNext/>
              <w:keepLines/>
              <w:kinsoku w:val="0"/>
              <w:overflowPunct w:val="0"/>
              <w:spacing w:beforeLines="60" w:before="144" w:after="120" w:line="256" w:lineRule="auto"/>
              <w:ind w:left="79"/>
              <w:rPr>
                <w:b/>
                <w:spacing w:val="-3"/>
                <w:sz w:val="18"/>
                <w:szCs w:val="18"/>
                <w:lang w:eastAsia="en-US"/>
              </w:rPr>
            </w:pPr>
            <w:r w:rsidRPr="0043459C">
              <w:rPr>
                <w:rFonts w:ascii="Arial" w:hAnsi="Arial" w:cs="Arial"/>
                <w:b/>
                <w:spacing w:val="-3"/>
                <w:sz w:val="18"/>
                <w:szCs w:val="18"/>
              </w:rPr>
              <w:t>Changes to intervention mechanisms rule</w:t>
            </w:r>
          </w:p>
        </w:tc>
        <w:tc>
          <w:tcPr>
            <w:tcW w:w="1417" w:type="dxa"/>
            <w:vAlign w:val="center"/>
            <w:hideMark/>
          </w:tcPr>
          <w:p w14:paraId="19D1D330"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18 June 2020</w:t>
            </w:r>
          </w:p>
        </w:tc>
        <w:tc>
          <w:tcPr>
            <w:tcW w:w="1249" w:type="dxa"/>
            <w:vAlign w:val="center"/>
            <w:hideMark/>
          </w:tcPr>
          <w:p w14:paraId="219F97D4"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4" w:type="dxa"/>
            <w:vAlign w:val="center"/>
            <w:hideMark/>
          </w:tcPr>
          <w:p w14:paraId="02906D1F"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Yes</w:t>
            </w:r>
          </w:p>
        </w:tc>
        <w:tc>
          <w:tcPr>
            <w:tcW w:w="1105" w:type="dxa"/>
            <w:vAlign w:val="center"/>
            <w:hideMark/>
          </w:tcPr>
          <w:p w14:paraId="79B6EE36" w14:textId="77777777" w:rsidR="0043459C" w:rsidRPr="0043459C" w:rsidRDefault="0043459C" w:rsidP="00BC6751">
            <w:pPr>
              <w:pStyle w:val="TableParagraph"/>
              <w:kinsoku w:val="0"/>
              <w:overflowPunct w:val="0"/>
              <w:spacing w:beforeLines="60" w:before="144" w:after="60" w:line="256" w:lineRule="auto"/>
              <w:jc w:val="center"/>
              <w:rPr>
                <w:rFonts w:ascii="Arial" w:hAnsi="Arial" w:cs="Arial"/>
                <w:b/>
                <w:spacing w:val="-3"/>
                <w:sz w:val="18"/>
                <w:szCs w:val="18"/>
              </w:rPr>
            </w:pPr>
            <w:r w:rsidRPr="0043459C">
              <w:rPr>
                <w:rFonts w:ascii="Arial" w:hAnsi="Arial" w:cs="Arial"/>
                <w:b/>
                <w:spacing w:val="-3"/>
                <w:sz w:val="18"/>
                <w:szCs w:val="18"/>
              </w:rPr>
              <w:t>22 June 2020</w:t>
            </w:r>
          </w:p>
        </w:tc>
      </w:tr>
    </w:tbl>
    <w:p w14:paraId="45068969" w14:textId="77777777" w:rsidR="0043459C" w:rsidRPr="0043459C" w:rsidRDefault="0043459C" w:rsidP="0043459C">
      <w:pPr>
        <w:pStyle w:val="TableParagraph"/>
        <w:keepNext/>
        <w:keepLines/>
        <w:kinsoku w:val="0"/>
        <w:overflowPunct w:val="0"/>
        <w:spacing w:after="120"/>
        <w:ind w:left="142"/>
        <w:rPr>
          <w:rFonts w:ascii="Arial" w:hAnsi="Arial" w:cs="Arial"/>
          <w:sz w:val="18"/>
          <w:szCs w:val="18"/>
        </w:rPr>
      </w:pPr>
      <w:r w:rsidRPr="0043459C">
        <w:rPr>
          <w:rFonts w:ascii="Arial" w:hAnsi="Arial" w:cs="Arial"/>
          <w:sz w:val="18"/>
          <w:szCs w:val="18"/>
        </w:rPr>
        <w:t>Final rule determination to remove the mandatory restrictions framework and the obligation to counteract during an intervention, and clarifies the basis for affected participant compensation cost recovery following activation of emergency reserves under the reliability and emergency reserve trader.</w:t>
      </w:r>
    </w:p>
    <w:p w14:paraId="35C44E22" w14:textId="77777777" w:rsidR="0043459C" w:rsidRPr="007B4CD7" w:rsidRDefault="0043459C" w:rsidP="00245B4D">
      <w:pPr>
        <w:pStyle w:val="TableParagraph"/>
        <w:keepNext/>
        <w:keepLines/>
        <w:kinsoku w:val="0"/>
        <w:overflowPunct w:val="0"/>
        <w:spacing w:after="120"/>
        <w:ind w:left="142"/>
        <w:rPr>
          <w:rFonts w:ascii="Arial" w:hAnsi="Arial" w:cs="Arial"/>
          <w:sz w:val="18"/>
          <w:szCs w:val="18"/>
        </w:rPr>
      </w:pPr>
    </w:p>
    <w:p w14:paraId="156B2AB5" w14:textId="77777777" w:rsidR="005765D8" w:rsidRPr="009A6219" w:rsidRDefault="005765D8" w:rsidP="005765D8">
      <w:pPr>
        <w:pStyle w:val="Heading3"/>
        <w:spacing w:before="180"/>
      </w:pPr>
      <w:bookmarkStart w:id="305" w:name="_Toc32395971"/>
      <w:r w:rsidRPr="005765D8">
        <w:t>Council of Attorneys-General</w:t>
      </w:r>
      <w:bookmarkEnd w:id="305"/>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5765D8" w:rsidRPr="009F2777" w14:paraId="2B7BCD8D" w14:textId="77777777" w:rsidTr="00B65DFB">
        <w:trPr>
          <w:trHeight w:val="510"/>
          <w:tblHeader/>
        </w:trPr>
        <w:tc>
          <w:tcPr>
            <w:tcW w:w="5104" w:type="dxa"/>
            <w:shd w:val="clear" w:color="auto" w:fill="F4973F"/>
            <w:vAlign w:val="center"/>
          </w:tcPr>
          <w:p w14:paraId="4B5212AF" w14:textId="77777777" w:rsidR="005765D8" w:rsidRPr="009F2777" w:rsidRDefault="005765D8" w:rsidP="00B65DFB">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26A38E81" w14:textId="77777777" w:rsidR="005765D8" w:rsidRPr="009F2777" w:rsidRDefault="005765D8" w:rsidP="00B65DFB">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6B9EB6EA" w14:textId="77777777" w:rsidR="005765D8" w:rsidRPr="009F2777" w:rsidRDefault="005765D8" w:rsidP="00B65DFB">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42DC16DC" w14:textId="77777777" w:rsidR="005765D8" w:rsidRPr="009F2777" w:rsidRDefault="005765D8" w:rsidP="00B65DFB">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1065C679" w14:textId="77777777" w:rsidR="005765D8" w:rsidRPr="009F2777" w:rsidRDefault="005765D8" w:rsidP="00B65DFB">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5765D8" w:rsidRPr="009F2777" w14:paraId="4C960CFA" w14:textId="77777777" w:rsidTr="00E65E1A">
        <w:trPr>
          <w:trHeight w:val="510"/>
        </w:trPr>
        <w:tc>
          <w:tcPr>
            <w:tcW w:w="5104" w:type="dxa"/>
            <w:shd w:val="clear" w:color="auto" w:fill="auto"/>
            <w:vAlign w:val="center"/>
          </w:tcPr>
          <w:p w14:paraId="47895989" w14:textId="77777777" w:rsidR="005765D8" w:rsidRPr="003A33CE" w:rsidRDefault="005765D8" w:rsidP="00B65DFB">
            <w:pPr>
              <w:pStyle w:val="TableParagraph"/>
              <w:keepNext/>
              <w:keepLines/>
              <w:kinsoku w:val="0"/>
              <w:overflowPunct w:val="0"/>
              <w:spacing w:beforeLines="60" w:before="144" w:after="120"/>
              <w:ind w:left="79"/>
              <w:rPr>
                <w:rFonts w:ascii="Arial" w:hAnsi="Arial" w:cs="Arial"/>
                <w:b/>
                <w:spacing w:val="-3"/>
                <w:sz w:val="18"/>
                <w:szCs w:val="18"/>
              </w:rPr>
            </w:pPr>
            <w:r w:rsidRPr="005765D8">
              <w:rPr>
                <w:rFonts w:ascii="Arial" w:hAnsi="Arial" w:cs="Arial"/>
                <w:b/>
                <w:spacing w:val="-3"/>
                <w:sz w:val="18"/>
                <w:szCs w:val="18"/>
              </w:rPr>
              <w:t>National register of enduring power of attorney instruments</w:t>
            </w:r>
          </w:p>
        </w:tc>
        <w:tc>
          <w:tcPr>
            <w:tcW w:w="1417" w:type="dxa"/>
            <w:shd w:val="clear" w:color="auto" w:fill="auto"/>
            <w:vAlign w:val="center"/>
          </w:tcPr>
          <w:p w14:paraId="7B3CC943" w14:textId="77777777" w:rsidR="005765D8" w:rsidRPr="003A33CE" w:rsidRDefault="005765D8" w:rsidP="005765D8">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29</w:t>
            </w:r>
            <w:r w:rsidRPr="007B4CD7">
              <w:rPr>
                <w:rFonts w:ascii="Arial" w:hAnsi="Arial" w:cs="Arial"/>
                <w:b/>
                <w:spacing w:val="-3"/>
                <w:sz w:val="18"/>
                <w:szCs w:val="18"/>
              </w:rPr>
              <w:t xml:space="preserve"> </w:t>
            </w:r>
            <w:r>
              <w:rPr>
                <w:rFonts w:ascii="Arial" w:hAnsi="Arial" w:cs="Arial"/>
                <w:b/>
                <w:spacing w:val="-3"/>
                <w:sz w:val="18"/>
                <w:szCs w:val="18"/>
              </w:rPr>
              <w:t>Nov</w:t>
            </w:r>
            <w:r w:rsidRPr="007B4CD7">
              <w:rPr>
                <w:rFonts w:ascii="Arial" w:hAnsi="Arial" w:cs="Arial"/>
                <w:b/>
                <w:spacing w:val="-3"/>
                <w:sz w:val="18"/>
                <w:szCs w:val="18"/>
              </w:rPr>
              <w:t xml:space="preserve"> 2019</w:t>
            </w:r>
          </w:p>
        </w:tc>
        <w:tc>
          <w:tcPr>
            <w:tcW w:w="1249" w:type="dxa"/>
            <w:shd w:val="clear" w:color="auto" w:fill="auto"/>
            <w:vAlign w:val="center"/>
          </w:tcPr>
          <w:p w14:paraId="66021024" w14:textId="77777777" w:rsidR="005765D8" w:rsidRPr="003A33CE" w:rsidRDefault="005765D8" w:rsidP="005765D8">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c>
          <w:tcPr>
            <w:tcW w:w="1104" w:type="dxa"/>
            <w:shd w:val="clear" w:color="auto" w:fill="auto"/>
            <w:vAlign w:val="center"/>
          </w:tcPr>
          <w:p w14:paraId="78321835" w14:textId="77777777" w:rsidR="005765D8" w:rsidRPr="003A33CE" w:rsidRDefault="005765D8" w:rsidP="00B65DFB">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c>
          <w:tcPr>
            <w:tcW w:w="1105" w:type="dxa"/>
            <w:shd w:val="clear" w:color="auto" w:fill="auto"/>
            <w:vAlign w:val="center"/>
          </w:tcPr>
          <w:p w14:paraId="34D78F02" w14:textId="3B6C0996" w:rsidR="005765D8" w:rsidRPr="003A33CE" w:rsidRDefault="00D43B7F" w:rsidP="00B65DFB">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r>
    </w:tbl>
    <w:p w14:paraId="337CB713" w14:textId="4039C110" w:rsidR="005765D8" w:rsidRDefault="005765D8" w:rsidP="005765D8">
      <w:pPr>
        <w:pStyle w:val="TableParagraph"/>
        <w:keepNext/>
        <w:keepLines/>
        <w:kinsoku w:val="0"/>
        <w:overflowPunct w:val="0"/>
        <w:spacing w:after="120"/>
        <w:ind w:left="142"/>
        <w:rPr>
          <w:rFonts w:ascii="Arial" w:hAnsi="Arial" w:cs="Arial"/>
          <w:sz w:val="18"/>
          <w:szCs w:val="18"/>
        </w:rPr>
      </w:pPr>
      <w:r w:rsidRPr="005765D8">
        <w:rPr>
          <w:rFonts w:ascii="Arial" w:hAnsi="Arial" w:cs="Arial"/>
          <w:sz w:val="18"/>
          <w:szCs w:val="18"/>
        </w:rPr>
        <w:t>The Council of Attorneys-General (CAG) agreed to pursue a staged approach to enduring power of attorney reform for financial decisions, first focusing on law reforms to support the establishment of a mandatory national register of enduring power of attorney instruments, followed by further consideration of reforms to enhance safeguarding provisions and enhance access to justice arrangements. Neither a Consultation nor Decision RIS was prepared for the agreement by Ministers</w:t>
      </w:r>
      <w:r w:rsidRPr="00105D5A">
        <w:rPr>
          <w:rFonts w:ascii="Arial" w:hAnsi="Arial" w:cs="Arial"/>
          <w:sz w:val="18"/>
          <w:szCs w:val="18"/>
        </w:rPr>
        <w:t>.</w:t>
      </w:r>
    </w:p>
    <w:p w14:paraId="28D2D8FF" w14:textId="7F814E06" w:rsidR="00133FAD" w:rsidRDefault="00133FAD" w:rsidP="005765D8">
      <w:pPr>
        <w:pStyle w:val="TableParagraph"/>
        <w:keepNext/>
        <w:keepLines/>
        <w:kinsoku w:val="0"/>
        <w:overflowPunct w:val="0"/>
        <w:spacing w:after="120"/>
        <w:ind w:left="142"/>
        <w:rPr>
          <w:rFonts w:ascii="Arial" w:hAnsi="Arial" w:cs="Arial"/>
          <w:sz w:val="18"/>
          <w:szCs w:val="18"/>
        </w:rPr>
      </w:pPr>
    </w:p>
    <w:p w14:paraId="0D1D2371" w14:textId="23E4F8C7" w:rsidR="00133FAD" w:rsidRDefault="00133FAD" w:rsidP="005765D8">
      <w:pPr>
        <w:pStyle w:val="TableParagraph"/>
        <w:keepNext/>
        <w:keepLines/>
        <w:kinsoku w:val="0"/>
        <w:overflowPunct w:val="0"/>
        <w:spacing w:after="120"/>
        <w:ind w:left="142"/>
        <w:rPr>
          <w:rFonts w:ascii="Arial" w:hAnsi="Arial" w:cs="Arial"/>
          <w:sz w:val="18"/>
          <w:szCs w:val="18"/>
        </w:rPr>
      </w:pPr>
    </w:p>
    <w:p w14:paraId="2228B885" w14:textId="21C1D2F9" w:rsidR="00133FAD" w:rsidRDefault="00133FAD">
      <w:pPr>
        <w:spacing w:after="0" w:line="240" w:lineRule="auto"/>
        <w:rPr>
          <w:rFonts w:eastAsia="MS Mincho" w:cs="Arial"/>
          <w:sz w:val="18"/>
          <w:szCs w:val="18"/>
          <w:lang w:eastAsia="en-AU"/>
        </w:rPr>
      </w:pPr>
      <w:r>
        <w:rPr>
          <w:rFonts w:cs="Arial"/>
          <w:sz w:val="18"/>
          <w:szCs w:val="18"/>
        </w:rPr>
        <w:br w:type="page"/>
      </w:r>
    </w:p>
    <w:p w14:paraId="23C75A86" w14:textId="77777777" w:rsidR="00133FAD" w:rsidRDefault="00133FAD" w:rsidP="005765D8">
      <w:pPr>
        <w:pStyle w:val="TableParagraph"/>
        <w:keepNext/>
        <w:keepLines/>
        <w:kinsoku w:val="0"/>
        <w:overflowPunct w:val="0"/>
        <w:spacing w:after="120"/>
        <w:ind w:left="142"/>
        <w:rPr>
          <w:rFonts w:ascii="Arial" w:hAnsi="Arial" w:cs="Arial"/>
          <w:sz w:val="18"/>
          <w:szCs w:val="18"/>
        </w:rPr>
      </w:pPr>
    </w:p>
    <w:p w14:paraId="52882F17" w14:textId="77777777" w:rsidR="001E2D7F" w:rsidRPr="009A6219" w:rsidRDefault="001E2D7F" w:rsidP="001E2D7F">
      <w:pPr>
        <w:pStyle w:val="Heading3"/>
        <w:spacing w:before="180"/>
      </w:pPr>
      <w:bookmarkStart w:id="306" w:name="_Toc32395972"/>
      <w:r w:rsidRPr="002C3B32">
        <w:t>COAG Energy Council</w:t>
      </w:r>
      <w:bookmarkEnd w:id="306"/>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1E2D7F" w:rsidRPr="009F2777" w14:paraId="33756295" w14:textId="77777777" w:rsidTr="001E2D7F">
        <w:trPr>
          <w:trHeight w:val="510"/>
          <w:tblHeader/>
        </w:trPr>
        <w:tc>
          <w:tcPr>
            <w:tcW w:w="5104" w:type="dxa"/>
            <w:shd w:val="clear" w:color="auto" w:fill="F4973F"/>
            <w:vAlign w:val="center"/>
          </w:tcPr>
          <w:p w14:paraId="4D83615E" w14:textId="77777777" w:rsidR="001E2D7F" w:rsidRPr="009F2777" w:rsidRDefault="001E2D7F" w:rsidP="001E2D7F">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443B2F16" w14:textId="77777777" w:rsidR="001E2D7F" w:rsidRPr="009F2777" w:rsidRDefault="001E2D7F" w:rsidP="001E2D7F">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2D8A33F6" w14:textId="77777777" w:rsidR="001E2D7F" w:rsidRPr="009F2777" w:rsidRDefault="001E2D7F" w:rsidP="001E2D7F">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29F83D75" w14:textId="77777777" w:rsidR="001E2D7F" w:rsidRPr="009F2777" w:rsidRDefault="001E2D7F" w:rsidP="001E2D7F">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335A8A38" w14:textId="77777777" w:rsidR="001E2D7F" w:rsidRPr="009F2777" w:rsidRDefault="001E2D7F" w:rsidP="001E2D7F">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1E2D7F" w:rsidRPr="009F2777" w14:paraId="5F7581A6" w14:textId="77777777" w:rsidTr="00E65E1A">
        <w:trPr>
          <w:trHeight w:val="510"/>
        </w:trPr>
        <w:tc>
          <w:tcPr>
            <w:tcW w:w="5104" w:type="dxa"/>
            <w:shd w:val="clear" w:color="auto" w:fill="auto"/>
            <w:vAlign w:val="center"/>
          </w:tcPr>
          <w:p w14:paraId="3953B89C" w14:textId="77777777" w:rsidR="001E2D7F" w:rsidRPr="003A33CE" w:rsidRDefault="001E2D7F" w:rsidP="001E2D7F">
            <w:pPr>
              <w:pStyle w:val="TableParagraph"/>
              <w:keepNext/>
              <w:keepLines/>
              <w:kinsoku w:val="0"/>
              <w:overflowPunct w:val="0"/>
              <w:spacing w:beforeLines="60" w:before="144" w:after="120"/>
              <w:ind w:left="79"/>
              <w:rPr>
                <w:rFonts w:ascii="Arial" w:hAnsi="Arial" w:cs="Arial"/>
                <w:b/>
                <w:spacing w:val="-3"/>
                <w:sz w:val="18"/>
                <w:szCs w:val="18"/>
              </w:rPr>
            </w:pPr>
            <w:r w:rsidRPr="002C3B32">
              <w:rPr>
                <w:rFonts w:ascii="Arial" w:hAnsi="Arial" w:cs="Arial"/>
                <w:b/>
                <w:spacing w:val="-3"/>
                <w:sz w:val="18"/>
                <w:szCs w:val="18"/>
              </w:rPr>
              <w:t>Smart Demand Response Capabilities for Selected Appliances</w:t>
            </w:r>
          </w:p>
        </w:tc>
        <w:tc>
          <w:tcPr>
            <w:tcW w:w="1417" w:type="dxa"/>
            <w:shd w:val="clear" w:color="auto" w:fill="auto"/>
            <w:vAlign w:val="center"/>
          </w:tcPr>
          <w:p w14:paraId="5BDE0147"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22</w:t>
            </w:r>
            <w:r w:rsidRPr="007B4CD7">
              <w:rPr>
                <w:rFonts w:ascii="Arial" w:hAnsi="Arial" w:cs="Arial"/>
                <w:b/>
                <w:spacing w:val="-3"/>
                <w:sz w:val="18"/>
                <w:szCs w:val="18"/>
              </w:rPr>
              <w:t xml:space="preserve"> </w:t>
            </w:r>
            <w:r>
              <w:rPr>
                <w:rFonts w:ascii="Arial" w:hAnsi="Arial" w:cs="Arial"/>
                <w:b/>
                <w:spacing w:val="-3"/>
                <w:sz w:val="18"/>
                <w:szCs w:val="18"/>
              </w:rPr>
              <w:t>Nov</w:t>
            </w:r>
            <w:r w:rsidRPr="007B4CD7">
              <w:rPr>
                <w:rFonts w:ascii="Arial" w:hAnsi="Arial" w:cs="Arial"/>
                <w:b/>
                <w:spacing w:val="-3"/>
                <w:sz w:val="18"/>
                <w:szCs w:val="18"/>
              </w:rPr>
              <w:t xml:space="preserve"> 2019</w:t>
            </w:r>
          </w:p>
        </w:tc>
        <w:tc>
          <w:tcPr>
            <w:tcW w:w="1249" w:type="dxa"/>
            <w:shd w:val="clear" w:color="auto" w:fill="auto"/>
            <w:vAlign w:val="center"/>
          </w:tcPr>
          <w:p w14:paraId="6EE3DB01"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3655A9E1"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c>
          <w:tcPr>
            <w:tcW w:w="1105" w:type="dxa"/>
            <w:shd w:val="clear" w:color="auto" w:fill="auto"/>
            <w:vAlign w:val="center"/>
          </w:tcPr>
          <w:p w14:paraId="0F62E19A" w14:textId="77777777" w:rsidR="001E2D7F" w:rsidRPr="003A33CE" w:rsidRDefault="001E2D7F" w:rsidP="001E2D7F">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26 Nov </w:t>
            </w:r>
            <w:r w:rsidRPr="003A33CE">
              <w:rPr>
                <w:rFonts w:ascii="Arial" w:hAnsi="Arial" w:cs="Arial"/>
                <w:b/>
                <w:spacing w:val="-3"/>
                <w:sz w:val="18"/>
                <w:szCs w:val="18"/>
              </w:rPr>
              <w:t>1</w:t>
            </w:r>
            <w:r>
              <w:rPr>
                <w:rFonts w:ascii="Arial" w:hAnsi="Arial" w:cs="Arial"/>
                <w:b/>
                <w:spacing w:val="-3"/>
                <w:sz w:val="18"/>
                <w:szCs w:val="18"/>
              </w:rPr>
              <w:t>9</w:t>
            </w:r>
          </w:p>
        </w:tc>
      </w:tr>
    </w:tbl>
    <w:p w14:paraId="39FB99B1" w14:textId="05B12246" w:rsidR="001E2D7F" w:rsidRDefault="001E2D7F" w:rsidP="001E2D7F">
      <w:pPr>
        <w:pStyle w:val="TableParagraph"/>
        <w:keepNext/>
        <w:keepLines/>
        <w:kinsoku w:val="0"/>
        <w:overflowPunct w:val="0"/>
        <w:spacing w:after="120"/>
        <w:ind w:left="142"/>
        <w:rPr>
          <w:rFonts w:ascii="Arial" w:hAnsi="Arial" w:cs="Arial"/>
          <w:sz w:val="18"/>
          <w:szCs w:val="18"/>
        </w:rPr>
      </w:pPr>
      <w:r w:rsidRPr="00105D5A">
        <w:rPr>
          <w:rFonts w:ascii="Arial" w:hAnsi="Arial" w:cs="Arial"/>
          <w:sz w:val="18"/>
          <w:szCs w:val="18"/>
        </w:rPr>
        <w:t xml:space="preserve">The COAG Energy Council </w:t>
      </w:r>
      <w:r>
        <w:rPr>
          <w:rFonts w:ascii="Arial" w:hAnsi="Arial" w:cs="Arial"/>
          <w:sz w:val="18"/>
          <w:szCs w:val="18"/>
        </w:rPr>
        <w:t xml:space="preserve">took a decision </w:t>
      </w:r>
      <w:r w:rsidRPr="00105D5A">
        <w:rPr>
          <w:rFonts w:ascii="Arial" w:hAnsi="Arial" w:cs="Arial"/>
          <w:sz w:val="18"/>
          <w:szCs w:val="18"/>
        </w:rPr>
        <w:t>to introduce demand response capability requirements for air conditioners, electric storage water heaters (resistive), devices controlling swimming pool pump units, and electric vehicle charger/discharger controllers.</w:t>
      </w:r>
    </w:p>
    <w:tbl>
      <w:tblPr>
        <w:tblW w:w="0" w:type="dxa"/>
        <w:tblInd w:w="-142" w:type="dxa"/>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072"/>
        <w:gridCol w:w="1410"/>
        <w:gridCol w:w="1242"/>
        <w:gridCol w:w="1098"/>
        <w:gridCol w:w="1099"/>
      </w:tblGrid>
      <w:tr w:rsidR="00AD6ADA" w:rsidRPr="00AD6ADA" w14:paraId="145CA71F" w14:textId="77777777" w:rsidTr="00E65E1A">
        <w:trPr>
          <w:trHeight w:val="510"/>
        </w:trPr>
        <w:tc>
          <w:tcPr>
            <w:tcW w:w="5104" w:type="dxa"/>
            <w:vAlign w:val="center"/>
            <w:hideMark/>
          </w:tcPr>
          <w:p w14:paraId="488F55DF" w14:textId="77777777" w:rsidR="00AD6ADA" w:rsidRPr="00AD6ADA" w:rsidRDefault="00AD6ADA">
            <w:pPr>
              <w:pStyle w:val="TableParagraph"/>
              <w:keepNext/>
              <w:overflowPunct w:val="0"/>
              <w:spacing w:beforeLines="60" w:before="144" w:after="120" w:line="252" w:lineRule="auto"/>
              <w:ind w:left="79"/>
              <w:rPr>
                <w:rFonts w:ascii="Arial" w:hAnsi="Arial" w:cs="Arial"/>
                <w:b/>
                <w:spacing w:val="-3"/>
                <w:sz w:val="18"/>
                <w:szCs w:val="18"/>
              </w:rPr>
            </w:pPr>
            <w:r w:rsidRPr="00AD6ADA">
              <w:rPr>
                <w:rFonts w:ascii="Arial" w:hAnsi="Arial" w:cs="Arial"/>
                <w:b/>
                <w:spacing w:val="-3"/>
                <w:sz w:val="18"/>
                <w:szCs w:val="18"/>
              </w:rPr>
              <w:t>Improved transparency in the Australian gas market</w:t>
            </w:r>
          </w:p>
        </w:tc>
        <w:tc>
          <w:tcPr>
            <w:tcW w:w="1417" w:type="dxa"/>
            <w:vAlign w:val="center"/>
            <w:hideMark/>
          </w:tcPr>
          <w:p w14:paraId="3DDE2FE4" w14:textId="77777777" w:rsidR="00AD6ADA" w:rsidRPr="00AD6ADA" w:rsidRDefault="00AD6ADA">
            <w:pPr>
              <w:pStyle w:val="TableParagraph"/>
              <w:overflowPunct w:val="0"/>
              <w:spacing w:beforeLines="60" w:before="144" w:after="60" w:line="252" w:lineRule="auto"/>
              <w:jc w:val="center"/>
              <w:rPr>
                <w:rFonts w:ascii="Arial" w:hAnsi="Arial" w:cs="Arial"/>
                <w:b/>
                <w:spacing w:val="-3"/>
                <w:sz w:val="18"/>
                <w:szCs w:val="18"/>
              </w:rPr>
            </w:pPr>
            <w:r w:rsidRPr="00AD6ADA">
              <w:rPr>
                <w:rFonts w:ascii="Arial" w:hAnsi="Arial" w:cs="Arial"/>
                <w:b/>
                <w:spacing w:val="-3"/>
                <w:sz w:val="18"/>
                <w:szCs w:val="18"/>
              </w:rPr>
              <w:t>20 March 2020</w:t>
            </w:r>
          </w:p>
        </w:tc>
        <w:tc>
          <w:tcPr>
            <w:tcW w:w="1249" w:type="dxa"/>
            <w:vAlign w:val="center"/>
            <w:hideMark/>
          </w:tcPr>
          <w:p w14:paraId="0FE01C8A" w14:textId="77777777" w:rsidR="00AD6ADA" w:rsidRPr="00AD6ADA" w:rsidRDefault="00AD6ADA">
            <w:pPr>
              <w:pStyle w:val="TableParagraph"/>
              <w:overflowPunct w:val="0"/>
              <w:spacing w:beforeLines="60" w:before="144" w:after="60" w:line="252" w:lineRule="auto"/>
              <w:jc w:val="center"/>
              <w:rPr>
                <w:rFonts w:ascii="Arial" w:hAnsi="Arial" w:cs="Arial"/>
                <w:b/>
                <w:spacing w:val="-3"/>
                <w:sz w:val="18"/>
                <w:szCs w:val="18"/>
              </w:rPr>
            </w:pPr>
            <w:r w:rsidRPr="00AD6ADA">
              <w:rPr>
                <w:rFonts w:ascii="Arial" w:hAnsi="Arial" w:cs="Arial"/>
                <w:b/>
                <w:spacing w:val="-3"/>
                <w:sz w:val="18"/>
                <w:szCs w:val="18"/>
              </w:rPr>
              <w:t>Yes</w:t>
            </w:r>
          </w:p>
        </w:tc>
        <w:tc>
          <w:tcPr>
            <w:tcW w:w="1104" w:type="dxa"/>
            <w:vAlign w:val="center"/>
            <w:hideMark/>
          </w:tcPr>
          <w:p w14:paraId="23B3A464" w14:textId="77777777" w:rsidR="00AD6ADA" w:rsidRPr="00AD6ADA" w:rsidRDefault="00AD6ADA">
            <w:pPr>
              <w:pStyle w:val="TableParagraph"/>
              <w:overflowPunct w:val="0"/>
              <w:spacing w:beforeLines="60" w:before="144" w:after="60" w:line="252" w:lineRule="auto"/>
              <w:jc w:val="center"/>
              <w:rPr>
                <w:rFonts w:ascii="Arial" w:hAnsi="Arial" w:cs="Arial"/>
                <w:b/>
                <w:spacing w:val="-3"/>
                <w:sz w:val="18"/>
                <w:szCs w:val="18"/>
              </w:rPr>
            </w:pPr>
            <w:r w:rsidRPr="00AD6ADA">
              <w:rPr>
                <w:rFonts w:ascii="Arial" w:hAnsi="Arial" w:cs="Arial"/>
                <w:b/>
                <w:spacing w:val="-3"/>
                <w:sz w:val="18"/>
                <w:szCs w:val="18"/>
              </w:rPr>
              <w:t>Yes</w:t>
            </w:r>
          </w:p>
        </w:tc>
        <w:tc>
          <w:tcPr>
            <w:tcW w:w="1105" w:type="dxa"/>
            <w:vAlign w:val="center"/>
            <w:hideMark/>
          </w:tcPr>
          <w:p w14:paraId="3DB64407" w14:textId="77777777" w:rsidR="00AD6ADA" w:rsidRPr="00AD6ADA" w:rsidRDefault="00AD6ADA">
            <w:pPr>
              <w:pStyle w:val="TableParagraph"/>
              <w:overflowPunct w:val="0"/>
              <w:spacing w:beforeLines="60" w:before="144" w:after="60" w:line="252" w:lineRule="auto"/>
              <w:jc w:val="center"/>
              <w:rPr>
                <w:rFonts w:ascii="Arial" w:hAnsi="Arial" w:cs="Arial"/>
                <w:b/>
                <w:spacing w:val="-3"/>
                <w:sz w:val="18"/>
                <w:szCs w:val="18"/>
              </w:rPr>
            </w:pPr>
            <w:r w:rsidRPr="00AD6ADA">
              <w:rPr>
                <w:rFonts w:ascii="Arial" w:hAnsi="Arial" w:cs="Arial"/>
                <w:b/>
                <w:spacing w:val="-3"/>
                <w:sz w:val="18"/>
                <w:szCs w:val="18"/>
              </w:rPr>
              <w:t>14 April 2020</w:t>
            </w:r>
          </w:p>
        </w:tc>
      </w:tr>
    </w:tbl>
    <w:p w14:paraId="777C7BB1" w14:textId="3B6A7D75" w:rsidR="00AD6ADA" w:rsidRDefault="00AD6ADA">
      <w:pPr>
        <w:pStyle w:val="TableParagraph"/>
        <w:keepNext/>
        <w:keepLines/>
        <w:kinsoku w:val="0"/>
        <w:overflowPunct w:val="0"/>
        <w:spacing w:after="120"/>
        <w:ind w:left="142"/>
        <w:rPr>
          <w:rFonts w:ascii="Arial" w:hAnsi="Arial" w:cs="Arial"/>
          <w:sz w:val="18"/>
          <w:szCs w:val="18"/>
        </w:rPr>
      </w:pPr>
      <w:r w:rsidRPr="00AD6ADA">
        <w:rPr>
          <w:rFonts w:ascii="Arial" w:hAnsi="Arial" w:cs="Arial"/>
          <w:sz w:val="18"/>
          <w:szCs w:val="18"/>
        </w:rPr>
        <w:t>The COAG Energy Council agreed to options to improve transparency in the eastern and northern Australian gas markets, focussing on addressing information gaps and asymmetries relating to gas and infrastructure prices, supply and availability of gas, gas demand, and infrastructure used to supply gas to end-markets.</w:t>
      </w:r>
    </w:p>
    <w:p w14:paraId="0443F3B8" w14:textId="77777777" w:rsidR="00CB6867" w:rsidRPr="009A6219" w:rsidRDefault="00CB6867" w:rsidP="00CB6867">
      <w:pPr>
        <w:pStyle w:val="Heading3"/>
        <w:spacing w:before="180"/>
      </w:pPr>
      <w:bookmarkStart w:id="307" w:name="_Toc32395973"/>
      <w:r w:rsidRPr="00CB6867">
        <w:t>Legislative and Governance Forum on Consumer Affairs (CAF)</w:t>
      </w:r>
      <w:bookmarkEnd w:id="307"/>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CB6867" w:rsidRPr="009F2777" w14:paraId="36CD0154" w14:textId="77777777" w:rsidTr="002C3B32">
        <w:trPr>
          <w:trHeight w:val="510"/>
          <w:tblHeader/>
        </w:trPr>
        <w:tc>
          <w:tcPr>
            <w:tcW w:w="5104" w:type="dxa"/>
            <w:shd w:val="clear" w:color="auto" w:fill="F4973F"/>
            <w:vAlign w:val="center"/>
          </w:tcPr>
          <w:p w14:paraId="3DE99A35" w14:textId="77777777" w:rsidR="00CB6867" w:rsidRPr="009F2777" w:rsidRDefault="00CB6867" w:rsidP="002C3B32">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45CDBE38"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01073174"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0C00F115"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1B2D601D"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CB6867" w:rsidRPr="009F2777" w14:paraId="59A01C92" w14:textId="77777777" w:rsidTr="00E65E1A">
        <w:trPr>
          <w:trHeight w:val="510"/>
        </w:trPr>
        <w:tc>
          <w:tcPr>
            <w:tcW w:w="5104" w:type="dxa"/>
            <w:shd w:val="clear" w:color="auto" w:fill="auto"/>
            <w:vAlign w:val="center"/>
          </w:tcPr>
          <w:p w14:paraId="71B8CBF7" w14:textId="77777777" w:rsidR="00CB6867" w:rsidRPr="003A33CE" w:rsidRDefault="00CB6867" w:rsidP="002C3B32">
            <w:pPr>
              <w:pStyle w:val="TableParagraph"/>
              <w:keepNext/>
              <w:keepLines/>
              <w:kinsoku w:val="0"/>
              <w:overflowPunct w:val="0"/>
              <w:spacing w:beforeLines="60" w:before="144" w:after="120"/>
              <w:ind w:left="79"/>
              <w:rPr>
                <w:rFonts w:ascii="Arial" w:hAnsi="Arial" w:cs="Arial"/>
                <w:b/>
                <w:spacing w:val="-3"/>
                <w:sz w:val="18"/>
                <w:szCs w:val="18"/>
              </w:rPr>
            </w:pPr>
            <w:r w:rsidRPr="00CB6867">
              <w:rPr>
                <w:rFonts w:ascii="Arial" w:hAnsi="Arial" w:cs="Arial"/>
                <w:b/>
                <w:spacing w:val="-3"/>
                <w:sz w:val="18"/>
                <w:szCs w:val="18"/>
              </w:rPr>
              <w:t>Clarifying eligibility for origin claims in the Complementary Medicines Sector</w:t>
            </w:r>
          </w:p>
        </w:tc>
        <w:tc>
          <w:tcPr>
            <w:tcW w:w="1417" w:type="dxa"/>
            <w:shd w:val="clear" w:color="auto" w:fill="auto"/>
            <w:vAlign w:val="center"/>
          </w:tcPr>
          <w:p w14:paraId="5975C029" w14:textId="77777777" w:rsidR="00CB6867" w:rsidRPr="003A33CE" w:rsidRDefault="00CB6867" w:rsidP="00CB6867">
            <w:pPr>
              <w:pStyle w:val="TableParagraph"/>
              <w:kinsoku w:val="0"/>
              <w:overflowPunct w:val="0"/>
              <w:spacing w:beforeLines="60" w:before="144" w:after="60"/>
              <w:jc w:val="center"/>
              <w:rPr>
                <w:rFonts w:ascii="Arial" w:hAnsi="Arial" w:cs="Arial"/>
                <w:b/>
                <w:spacing w:val="-3"/>
                <w:sz w:val="18"/>
                <w:szCs w:val="18"/>
              </w:rPr>
            </w:pPr>
            <w:r w:rsidRPr="007B4CD7">
              <w:rPr>
                <w:rFonts w:ascii="Arial" w:hAnsi="Arial" w:cs="Arial"/>
                <w:b/>
                <w:spacing w:val="-3"/>
                <w:sz w:val="18"/>
                <w:szCs w:val="18"/>
              </w:rPr>
              <w:t>1</w:t>
            </w:r>
            <w:r>
              <w:rPr>
                <w:rFonts w:ascii="Arial" w:hAnsi="Arial" w:cs="Arial"/>
                <w:b/>
                <w:spacing w:val="-3"/>
                <w:sz w:val="18"/>
                <w:szCs w:val="18"/>
              </w:rPr>
              <w:t>2</w:t>
            </w:r>
            <w:r w:rsidRPr="007B4CD7">
              <w:rPr>
                <w:rFonts w:ascii="Arial" w:hAnsi="Arial" w:cs="Arial"/>
                <w:b/>
                <w:spacing w:val="-3"/>
                <w:sz w:val="18"/>
                <w:szCs w:val="18"/>
              </w:rPr>
              <w:t xml:space="preserve"> Dec 2019</w:t>
            </w:r>
          </w:p>
        </w:tc>
        <w:tc>
          <w:tcPr>
            <w:tcW w:w="1249" w:type="dxa"/>
            <w:shd w:val="clear" w:color="auto" w:fill="auto"/>
            <w:vAlign w:val="center"/>
          </w:tcPr>
          <w:p w14:paraId="1559C16F" w14:textId="77777777" w:rsidR="00CB6867" w:rsidRPr="003A33CE" w:rsidRDefault="00CB6867" w:rsidP="002C3B32">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2F5E7F50" w14:textId="77777777" w:rsidR="00CB6867" w:rsidRPr="003A33CE" w:rsidRDefault="00CB6867" w:rsidP="002C3B32">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5746FE8C" w14:textId="77777777" w:rsidR="00CB6867" w:rsidRPr="003A33CE" w:rsidRDefault="00CB6867" w:rsidP="00CB6867">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 xml:space="preserve">24 Dec </w:t>
            </w:r>
            <w:r w:rsidRPr="003A33CE">
              <w:rPr>
                <w:rFonts w:ascii="Arial" w:hAnsi="Arial" w:cs="Arial"/>
                <w:b/>
                <w:spacing w:val="-3"/>
                <w:sz w:val="18"/>
                <w:szCs w:val="18"/>
              </w:rPr>
              <w:t>1</w:t>
            </w:r>
            <w:r>
              <w:rPr>
                <w:rFonts w:ascii="Arial" w:hAnsi="Arial" w:cs="Arial"/>
                <w:b/>
                <w:spacing w:val="-3"/>
                <w:sz w:val="18"/>
                <w:szCs w:val="18"/>
              </w:rPr>
              <w:t>9</w:t>
            </w:r>
          </w:p>
        </w:tc>
      </w:tr>
    </w:tbl>
    <w:p w14:paraId="6E74F377" w14:textId="77777777" w:rsidR="006F1146" w:rsidRPr="006F1146" w:rsidRDefault="00AF095F" w:rsidP="006F1146">
      <w:pPr>
        <w:pStyle w:val="TableParagraph"/>
        <w:keepNext/>
        <w:keepLines/>
        <w:kinsoku w:val="0"/>
        <w:overflowPunct w:val="0"/>
        <w:spacing w:after="120"/>
        <w:ind w:left="142"/>
        <w:rPr>
          <w:rFonts w:ascii="Arial" w:hAnsi="Arial" w:cs="Arial"/>
          <w:sz w:val="18"/>
          <w:szCs w:val="18"/>
        </w:rPr>
      </w:pPr>
      <w:bookmarkStart w:id="308" w:name="_Toc32395974"/>
      <w:r>
        <w:rPr>
          <w:rFonts w:ascii="Arial" w:hAnsi="Arial" w:cs="Arial"/>
          <w:sz w:val="18"/>
          <w:szCs w:val="18"/>
        </w:rPr>
        <w:t>The RIS explored</w:t>
      </w:r>
      <w:r w:rsidR="006F1146" w:rsidRPr="006F1146">
        <w:rPr>
          <w:rFonts w:ascii="Arial" w:hAnsi="Arial" w:cs="Arial"/>
          <w:sz w:val="18"/>
          <w:szCs w:val="18"/>
        </w:rPr>
        <w:t xml:space="preserve"> options to clarify origin claims for the Australian Complementary</w:t>
      </w:r>
      <w:r>
        <w:rPr>
          <w:rFonts w:ascii="Arial" w:hAnsi="Arial" w:cs="Arial"/>
          <w:sz w:val="18"/>
          <w:szCs w:val="18"/>
        </w:rPr>
        <w:t xml:space="preserve"> Medicines Sector, and concluded</w:t>
      </w:r>
      <w:r w:rsidR="006F1146" w:rsidRPr="006F1146">
        <w:rPr>
          <w:rFonts w:ascii="Arial" w:hAnsi="Arial" w:cs="Arial"/>
          <w:sz w:val="18"/>
          <w:szCs w:val="18"/>
        </w:rPr>
        <w:t xml:space="preserve"> there is no reliable evidence of a problem, indicating maintenance of the status quo is the best option.</w:t>
      </w:r>
    </w:p>
    <w:p w14:paraId="63266E50" w14:textId="77777777" w:rsidR="00CB6867" w:rsidRPr="009A6219" w:rsidRDefault="00CB6867" w:rsidP="00CB6867">
      <w:pPr>
        <w:pStyle w:val="Heading3"/>
        <w:spacing w:before="180"/>
      </w:pPr>
      <w:r w:rsidRPr="00CB6867">
        <w:t>Transport and Infrastructure Council</w:t>
      </w:r>
      <w:bookmarkEnd w:id="308"/>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CB6867" w:rsidRPr="009F2777" w14:paraId="7EB71E45" w14:textId="77777777" w:rsidTr="002C3B32">
        <w:trPr>
          <w:trHeight w:val="510"/>
          <w:tblHeader/>
        </w:trPr>
        <w:tc>
          <w:tcPr>
            <w:tcW w:w="5104" w:type="dxa"/>
            <w:shd w:val="clear" w:color="auto" w:fill="F4973F"/>
            <w:vAlign w:val="center"/>
          </w:tcPr>
          <w:p w14:paraId="5462E7CD" w14:textId="77777777" w:rsidR="00CB6867" w:rsidRPr="009F2777" w:rsidRDefault="00CB6867" w:rsidP="002C3B32">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71637D29"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10C577FF"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02992CE9" w14:textId="77777777" w:rsidR="00CB6867" w:rsidRPr="009F2777" w:rsidRDefault="00CB6867" w:rsidP="002C3B32">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495C8DC2" w14:textId="77777777" w:rsidR="00CB6867" w:rsidRPr="009F2777" w:rsidRDefault="00CB6867" w:rsidP="002C3B32">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CB6867" w:rsidRPr="009F2777" w14:paraId="4D50B5EF" w14:textId="77777777" w:rsidTr="00E65E1A">
        <w:trPr>
          <w:trHeight w:val="510"/>
        </w:trPr>
        <w:tc>
          <w:tcPr>
            <w:tcW w:w="5104" w:type="dxa"/>
            <w:shd w:val="clear" w:color="auto" w:fill="auto"/>
            <w:vAlign w:val="center"/>
          </w:tcPr>
          <w:p w14:paraId="52114942" w14:textId="77777777" w:rsidR="00CB6867" w:rsidRPr="003A33CE" w:rsidRDefault="00CB6867" w:rsidP="002C3B32">
            <w:pPr>
              <w:pStyle w:val="TableParagraph"/>
              <w:keepNext/>
              <w:keepLines/>
              <w:kinsoku w:val="0"/>
              <w:overflowPunct w:val="0"/>
              <w:spacing w:beforeLines="60" w:before="144" w:after="120"/>
              <w:ind w:left="79"/>
              <w:rPr>
                <w:rFonts w:ascii="Arial" w:hAnsi="Arial" w:cs="Arial"/>
                <w:b/>
                <w:spacing w:val="-3"/>
                <w:sz w:val="18"/>
                <w:szCs w:val="18"/>
              </w:rPr>
            </w:pPr>
            <w:r w:rsidRPr="00CB6867">
              <w:rPr>
                <w:rFonts w:ascii="Arial" w:hAnsi="Arial" w:cs="Arial"/>
                <w:b/>
                <w:spacing w:val="-3"/>
                <w:sz w:val="18"/>
                <w:szCs w:val="18"/>
              </w:rPr>
              <w:t>Independent Price Regulation of Heavy Vehicle Charges</w:t>
            </w:r>
          </w:p>
        </w:tc>
        <w:tc>
          <w:tcPr>
            <w:tcW w:w="1417" w:type="dxa"/>
            <w:shd w:val="clear" w:color="auto" w:fill="auto"/>
            <w:vAlign w:val="center"/>
          </w:tcPr>
          <w:p w14:paraId="7C343D1E" w14:textId="77777777" w:rsidR="00CB6867" w:rsidRPr="003A33CE" w:rsidRDefault="00CB6867" w:rsidP="00CB6867">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22</w:t>
            </w:r>
            <w:r w:rsidRPr="007B4CD7">
              <w:rPr>
                <w:rFonts w:ascii="Arial" w:hAnsi="Arial" w:cs="Arial"/>
                <w:b/>
                <w:spacing w:val="-3"/>
                <w:sz w:val="18"/>
                <w:szCs w:val="18"/>
              </w:rPr>
              <w:t xml:space="preserve"> </w:t>
            </w:r>
            <w:r>
              <w:rPr>
                <w:rFonts w:ascii="Arial" w:hAnsi="Arial" w:cs="Arial"/>
                <w:b/>
                <w:spacing w:val="-3"/>
                <w:sz w:val="18"/>
                <w:szCs w:val="18"/>
              </w:rPr>
              <w:t>Nov</w:t>
            </w:r>
            <w:r w:rsidRPr="007B4CD7">
              <w:rPr>
                <w:rFonts w:ascii="Arial" w:hAnsi="Arial" w:cs="Arial"/>
                <w:b/>
                <w:spacing w:val="-3"/>
                <w:sz w:val="18"/>
                <w:szCs w:val="18"/>
              </w:rPr>
              <w:t xml:space="preserve"> 2019</w:t>
            </w:r>
          </w:p>
        </w:tc>
        <w:tc>
          <w:tcPr>
            <w:tcW w:w="1249" w:type="dxa"/>
            <w:shd w:val="clear" w:color="auto" w:fill="auto"/>
            <w:vAlign w:val="center"/>
          </w:tcPr>
          <w:p w14:paraId="7B19A76C" w14:textId="77777777" w:rsidR="00CB6867" w:rsidRPr="003A33CE" w:rsidRDefault="00CB6867" w:rsidP="002C3B32">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2238E06F" w14:textId="77777777" w:rsidR="00CB6867" w:rsidRPr="003A33CE" w:rsidRDefault="00CB6867" w:rsidP="002C3B32">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7B06C216" w14:textId="77777777" w:rsidR="00CB6867" w:rsidRPr="003A33CE" w:rsidRDefault="006F4F2A" w:rsidP="006F4F2A">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17 Dec 19</w:t>
            </w:r>
          </w:p>
        </w:tc>
      </w:tr>
    </w:tbl>
    <w:p w14:paraId="2C607A0D" w14:textId="77777777" w:rsidR="00CB6867" w:rsidRPr="002C3B32" w:rsidRDefault="00BD4704" w:rsidP="002C3B32">
      <w:pPr>
        <w:pStyle w:val="TableParagraph"/>
        <w:keepNext/>
        <w:keepLines/>
        <w:kinsoku w:val="0"/>
        <w:overflowPunct w:val="0"/>
        <w:spacing w:after="120"/>
        <w:ind w:left="142"/>
        <w:rPr>
          <w:rFonts w:ascii="Arial" w:hAnsi="Arial" w:cs="Arial"/>
          <w:sz w:val="18"/>
          <w:szCs w:val="18"/>
        </w:rPr>
      </w:pPr>
      <w:r>
        <w:rPr>
          <w:rFonts w:ascii="Arial" w:hAnsi="Arial" w:cs="Arial"/>
          <w:sz w:val="18"/>
          <w:szCs w:val="18"/>
        </w:rPr>
        <w:t>Decision to i</w:t>
      </w:r>
      <w:r w:rsidR="00CB6867" w:rsidRPr="002C3B32">
        <w:rPr>
          <w:rFonts w:ascii="Arial" w:hAnsi="Arial" w:cs="Arial"/>
          <w:sz w:val="18"/>
          <w:szCs w:val="18"/>
        </w:rPr>
        <w:t>mplement arrangements for independent price regulation of heavy vehicle charges. The desired objective of the reform program is to improve customer focus for heavy vehicle road users, linking their needs with the level of service they receive, the charges they pay and the investment of those charges back into heavy vehicle road services.</w:t>
      </w:r>
    </w:p>
    <w:p w14:paraId="0C37119A" w14:textId="77777777" w:rsidR="00F06F46" w:rsidRPr="009A6219" w:rsidRDefault="00F06F46" w:rsidP="00F06F46">
      <w:pPr>
        <w:pStyle w:val="Heading3"/>
        <w:spacing w:before="180"/>
      </w:pPr>
      <w:bookmarkStart w:id="309" w:name="_Toc32395975"/>
      <w:r w:rsidRPr="00F06F46">
        <w:t>Workplace Health and Safety Ministers</w:t>
      </w:r>
      <w:bookmarkEnd w:id="309"/>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F06F46" w:rsidRPr="009F2777" w14:paraId="19D42997" w14:textId="77777777" w:rsidTr="00245B4D">
        <w:trPr>
          <w:trHeight w:val="510"/>
          <w:tblHeader/>
        </w:trPr>
        <w:tc>
          <w:tcPr>
            <w:tcW w:w="5104" w:type="dxa"/>
            <w:shd w:val="clear" w:color="auto" w:fill="F4973F"/>
            <w:vAlign w:val="center"/>
          </w:tcPr>
          <w:p w14:paraId="37AB025C" w14:textId="77777777" w:rsidR="00F06F46" w:rsidRPr="009F2777" w:rsidRDefault="00F06F46" w:rsidP="00245B4D">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36864CDA" w14:textId="77777777" w:rsidR="00F06F46" w:rsidRPr="009F2777" w:rsidRDefault="00F06F46" w:rsidP="00245B4D">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593F2155" w14:textId="77777777" w:rsidR="00F06F46" w:rsidRPr="009F2777" w:rsidRDefault="00F06F46" w:rsidP="00245B4D">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65EEA76C" w14:textId="77777777" w:rsidR="00F06F46" w:rsidRPr="009F2777" w:rsidRDefault="00F06F46" w:rsidP="00245B4D">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0F99C982" w14:textId="77777777" w:rsidR="00F06F46" w:rsidRPr="009F2777" w:rsidRDefault="00F06F46" w:rsidP="00245B4D">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F06F46" w:rsidRPr="009F2777" w14:paraId="06BF601F" w14:textId="77777777" w:rsidTr="00E65E1A">
        <w:trPr>
          <w:trHeight w:val="510"/>
        </w:trPr>
        <w:tc>
          <w:tcPr>
            <w:tcW w:w="5104" w:type="dxa"/>
            <w:shd w:val="clear" w:color="auto" w:fill="auto"/>
            <w:vAlign w:val="center"/>
          </w:tcPr>
          <w:p w14:paraId="7B4C4385" w14:textId="77777777" w:rsidR="00F06F46" w:rsidRPr="003A33CE" w:rsidRDefault="00F06F46" w:rsidP="00245B4D">
            <w:pPr>
              <w:pStyle w:val="TableParagraph"/>
              <w:keepNext/>
              <w:keepLines/>
              <w:kinsoku w:val="0"/>
              <w:overflowPunct w:val="0"/>
              <w:spacing w:beforeLines="60" w:before="144" w:after="120"/>
              <w:ind w:left="79"/>
              <w:rPr>
                <w:rFonts w:ascii="Arial" w:hAnsi="Arial" w:cs="Arial"/>
                <w:b/>
                <w:spacing w:val="-3"/>
                <w:sz w:val="18"/>
                <w:szCs w:val="18"/>
              </w:rPr>
            </w:pPr>
            <w:r w:rsidRPr="00F06F46">
              <w:rPr>
                <w:rFonts w:ascii="Arial" w:hAnsi="Arial" w:cs="Arial"/>
                <w:b/>
                <w:spacing w:val="-3"/>
                <w:sz w:val="18"/>
                <w:szCs w:val="18"/>
              </w:rPr>
              <w:t>Workplace exposure standards framework under the model Work Health and Safety laws</w:t>
            </w:r>
          </w:p>
        </w:tc>
        <w:tc>
          <w:tcPr>
            <w:tcW w:w="1417" w:type="dxa"/>
            <w:shd w:val="clear" w:color="auto" w:fill="auto"/>
            <w:vAlign w:val="center"/>
          </w:tcPr>
          <w:p w14:paraId="37C731F7" w14:textId="77777777" w:rsidR="00F06F46" w:rsidRPr="003A33CE" w:rsidRDefault="00F06F46" w:rsidP="00F06F46">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31 Oct</w:t>
            </w:r>
            <w:r w:rsidRPr="007B4CD7">
              <w:rPr>
                <w:rFonts w:ascii="Arial" w:hAnsi="Arial" w:cs="Arial"/>
                <w:b/>
                <w:spacing w:val="-3"/>
                <w:sz w:val="18"/>
                <w:szCs w:val="18"/>
              </w:rPr>
              <w:t xml:space="preserve"> 2019</w:t>
            </w:r>
          </w:p>
        </w:tc>
        <w:tc>
          <w:tcPr>
            <w:tcW w:w="1249" w:type="dxa"/>
            <w:shd w:val="clear" w:color="auto" w:fill="auto"/>
            <w:vAlign w:val="center"/>
          </w:tcPr>
          <w:p w14:paraId="6FD492E4" w14:textId="77777777" w:rsidR="00F06F46" w:rsidRPr="003A33CE" w:rsidRDefault="00F06F46" w:rsidP="00245B4D">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49141D94" w14:textId="77777777" w:rsidR="00F06F46" w:rsidRPr="003A33CE" w:rsidRDefault="00F06F46" w:rsidP="00245B4D">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Yes</w:t>
            </w:r>
          </w:p>
        </w:tc>
        <w:tc>
          <w:tcPr>
            <w:tcW w:w="1105" w:type="dxa"/>
            <w:shd w:val="clear" w:color="auto" w:fill="auto"/>
            <w:vAlign w:val="center"/>
          </w:tcPr>
          <w:p w14:paraId="23BF8E36" w14:textId="77777777" w:rsidR="00F06F46" w:rsidRPr="003A33CE" w:rsidRDefault="006F4F2A" w:rsidP="00245B4D">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12</w:t>
            </w:r>
            <w:r w:rsidR="00F06F46">
              <w:rPr>
                <w:rFonts w:ascii="Arial" w:hAnsi="Arial" w:cs="Arial"/>
                <w:b/>
                <w:spacing w:val="-3"/>
                <w:sz w:val="18"/>
                <w:szCs w:val="18"/>
              </w:rPr>
              <w:t xml:space="preserve"> Nov </w:t>
            </w:r>
            <w:r w:rsidR="00F06F46" w:rsidRPr="003A33CE">
              <w:rPr>
                <w:rFonts w:ascii="Arial" w:hAnsi="Arial" w:cs="Arial"/>
                <w:b/>
                <w:spacing w:val="-3"/>
                <w:sz w:val="18"/>
                <w:szCs w:val="18"/>
              </w:rPr>
              <w:t>1</w:t>
            </w:r>
            <w:r w:rsidR="00F06F46">
              <w:rPr>
                <w:rFonts w:ascii="Arial" w:hAnsi="Arial" w:cs="Arial"/>
                <w:b/>
                <w:spacing w:val="-3"/>
                <w:sz w:val="18"/>
                <w:szCs w:val="18"/>
              </w:rPr>
              <w:t>9</w:t>
            </w:r>
          </w:p>
        </w:tc>
      </w:tr>
    </w:tbl>
    <w:p w14:paraId="76D74912" w14:textId="77777777" w:rsidR="00F06F46" w:rsidRDefault="00F06F46" w:rsidP="00F06F46">
      <w:pPr>
        <w:pStyle w:val="TableParagraph"/>
        <w:keepNext/>
        <w:keepLines/>
        <w:kinsoku w:val="0"/>
        <w:overflowPunct w:val="0"/>
        <w:spacing w:after="120"/>
        <w:ind w:left="142"/>
        <w:rPr>
          <w:rFonts w:ascii="Arial" w:hAnsi="Arial" w:cs="Arial"/>
          <w:sz w:val="18"/>
          <w:szCs w:val="18"/>
        </w:rPr>
      </w:pPr>
      <w:r w:rsidRPr="00F06F46">
        <w:rPr>
          <w:rFonts w:ascii="Arial" w:hAnsi="Arial" w:cs="Arial"/>
          <w:sz w:val="18"/>
          <w:szCs w:val="18"/>
        </w:rPr>
        <w:t>Decision to maintain mandatory workplace exposure standards (WES) and implement a streamlined methodology to review and update the WES. The RIS examined options to address inconsistencies and inefficiencies in the process for reviewing WES list and WES values.</w:t>
      </w:r>
    </w:p>
    <w:p w14:paraId="478BE553" w14:textId="03AF098C" w:rsidR="002B13BF" w:rsidRPr="002B13BF" w:rsidRDefault="002B13BF" w:rsidP="002B13BF">
      <w:pPr>
        <w:pStyle w:val="Heading3"/>
        <w:spacing w:before="180"/>
      </w:pPr>
      <w:r w:rsidRPr="002B13BF">
        <w:t>D</w:t>
      </w:r>
      <w:r w:rsidRPr="002B13BF">
        <w:rPr>
          <w:bCs w:val="0"/>
        </w:rPr>
        <w:t>epartment of Agriculture, Water and the Environment</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2B13BF" w:rsidRPr="009F2777" w14:paraId="19C4673C" w14:textId="77777777" w:rsidTr="00BC6751">
        <w:trPr>
          <w:trHeight w:val="510"/>
          <w:tblHeader/>
        </w:trPr>
        <w:tc>
          <w:tcPr>
            <w:tcW w:w="5104" w:type="dxa"/>
            <w:shd w:val="clear" w:color="auto" w:fill="F4973F"/>
            <w:vAlign w:val="center"/>
          </w:tcPr>
          <w:p w14:paraId="5CE979FA" w14:textId="77777777" w:rsidR="002B13BF" w:rsidRPr="009F2777" w:rsidRDefault="002B13BF" w:rsidP="00BC6751">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03F965A8" w14:textId="77777777" w:rsidR="002B13BF" w:rsidRPr="009F2777" w:rsidRDefault="002B13BF" w:rsidP="00BC675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11BD9ED9" w14:textId="77777777" w:rsidR="002B13BF" w:rsidRPr="009F2777" w:rsidRDefault="002B13BF" w:rsidP="00BC675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3283A2E1" w14:textId="77777777" w:rsidR="002B13BF" w:rsidRPr="009F2777" w:rsidRDefault="002B13BF" w:rsidP="00BC675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7F0C667B" w14:textId="77777777" w:rsidR="002B13BF" w:rsidRPr="009F2777" w:rsidRDefault="002B13BF" w:rsidP="00BC675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2B13BF" w:rsidRPr="009F2777" w14:paraId="39CA4397" w14:textId="77777777" w:rsidTr="00E65E1A">
        <w:trPr>
          <w:trHeight w:val="510"/>
        </w:trPr>
        <w:tc>
          <w:tcPr>
            <w:tcW w:w="5104" w:type="dxa"/>
            <w:shd w:val="clear" w:color="auto" w:fill="auto"/>
            <w:vAlign w:val="center"/>
          </w:tcPr>
          <w:p w14:paraId="1EB927AA" w14:textId="7494F048" w:rsidR="002B13BF" w:rsidRPr="003A33CE" w:rsidRDefault="002B13BF" w:rsidP="00BC6751">
            <w:pPr>
              <w:pStyle w:val="TableParagraph"/>
              <w:keepNext/>
              <w:keepLines/>
              <w:kinsoku w:val="0"/>
              <w:overflowPunct w:val="0"/>
              <w:spacing w:beforeLines="60" w:before="144" w:after="120"/>
              <w:ind w:left="79"/>
              <w:rPr>
                <w:rFonts w:ascii="Arial" w:hAnsi="Arial" w:cs="Arial"/>
                <w:b/>
                <w:spacing w:val="-3"/>
                <w:sz w:val="18"/>
                <w:szCs w:val="18"/>
              </w:rPr>
            </w:pPr>
            <w:r w:rsidRPr="002B13BF">
              <w:rPr>
                <w:rFonts w:ascii="Arial" w:hAnsi="Arial" w:cs="Arial"/>
                <w:b/>
                <w:spacing w:val="-3"/>
                <w:sz w:val="18"/>
                <w:szCs w:val="18"/>
              </w:rPr>
              <w:t>Phasing out exports of waste plastic, paper, glass and tyres</w:t>
            </w:r>
          </w:p>
        </w:tc>
        <w:tc>
          <w:tcPr>
            <w:tcW w:w="1417" w:type="dxa"/>
            <w:shd w:val="clear" w:color="auto" w:fill="auto"/>
            <w:vAlign w:val="center"/>
          </w:tcPr>
          <w:p w14:paraId="40336772" w14:textId="204F416E" w:rsidR="002B13BF" w:rsidRPr="003A33CE" w:rsidRDefault="002B13BF" w:rsidP="00BC675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13 March 2020</w:t>
            </w:r>
          </w:p>
        </w:tc>
        <w:tc>
          <w:tcPr>
            <w:tcW w:w="1249" w:type="dxa"/>
            <w:shd w:val="clear" w:color="auto" w:fill="auto"/>
            <w:vAlign w:val="center"/>
          </w:tcPr>
          <w:p w14:paraId="0F144D38" w14:textId="77777777" w:rsidR="002B13BF" w:rsidRPr="003A33CE" w:rsidRDefault="002B13BF" w:rsidP="00BC6751">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18E317CA" w14:textId="77777777" w:rsidR="002B13BF" w:rsidRPr="003A33CE" w:rsidRDefault="002B13BF" w:rsidP="00BC675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Yes</w:t>
            </w:r>
          </w:p>
        </w:tc>
        <w:tc>
          <w:tcPr>
            <w:tcW w:w="1105" w:type="dxa"/>
            <w:shd w:val="clear" w:color="auto" w:fill="auto"/>
            <w:vAlign w:val="center"/>
          </w:tcPr>
          <w:p w14:paraId="5B146DEF" w14:textId="0C1D5002" w:rsidR="002B13BF" w:rsidRPr="003A33CE" w:rsidRDefault="002B13BF" w:rsidP="00BC675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20 Mar 20</w:t>
            </w:r>
          </w:p>
        </w:tc>
      </w:tr>
    </w:tbl>
    <w:p w14:paraId="1F8FC290" w14:textId="70683DE3" w:rsidR="002B13BF" w:rsidRDefault="002B13BF" w:rsidP="002B13BF">
      <w:pPr>
        <w:pStyle w:val="TableParagraph"/>
        <w:keepNext/>
        <w:keepLines/>
        <w:kinsoku w:val="0"/>
        <w:overflowPunct w:val="0"/>
        <w:spacing w:after="120"/>
        <w:ind w:left="142"/>
        <w:rPr>
          <w:rFonts w:ascii="Arial" w:hAnsi="Arial" w:cs="Arial"/>
          <w:sz w:val="18"/>
          <w:szCs w:val="18"/>
        </w:rPr>
      </w:pPr>
      <w:r w:rsidRPr="00F06F46">
        <w:rPr>
          <w:rFonts w:ascii="Arial" w:hAnsi="Arial" w:cs="Arial"/>
          <w:sz w:val="18"/>
          <w:szCs w:val="18"/>
        </w:rPr>
        <w:t xml:space="preserve">Decision </w:t>
      </w:r>
      <w:r w:rsidRPr="002B13BF">
        <w:rPr>
          <w:rFonts w:ascii="Arial" w:hAnsi="Arial" w:cs="Arial"/>
          <w:sz w:val="18"/>
          <w:szCs w:val="18"/>
        </w:rPr>
        <w:t>to ban the exports of waste plastic, paper, tyres and glass with additional supporting government interventions to build recycling markets and associated demand.</w:t>
      </w:r>
    </w:p>
    <w:p w14:paraId="2A2D0842" w14:textId="444D38AA" w:rsidR="00A22338" w:rsidRDefault="00A22338" w:rsidP="00A22338">
      <w:pPr>
        <w:rPr>
          <w:b/>
          <w:bCs/>
          <w:color w:val="F79646"/>
          <w:spacing w:val="-6"/>
        </w:rPr>
      </w:pPr>
    </w:p>
    <w:p w14:paraId="618397D1" w14:textId="77777777" w:rsidR="00133FAD" w:rsidRDefault="00133FAD" w:rsidP="00A22338">
      <w:pPr>
        <w:rPr>
          <w:b/>
          <w:bCs/>
          <w:color w:val="F79646"/>
          <w:spacing w:val="-6"/>
        </w:rPr>
      </w:pPr>
    </w:p>
    <w:p w14:paraId="1CA2A24C" w14:textId="77777777" w:rsidR="00A22338" w:rsidRPr="00C00A7D" w:rsidRDefault="00A22338" w:rsidP="00E65E1A">
      <w:pPr>
        <w:pStyle w:val="Heading3"/>
      </w:pPr>
      <w:r>
        <w:t>Australian Building Codes Board</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A22338" w:rsidRPr="009F2777" w14:paraId="257B2C4A" w14:textId="77777777" w:rsidTr="00BC6751">
        <w:trPr>
          <w:trHeight w:val="510"/>
          <w:tblHeader/>
        </w:trPr>
        <w:tc>
          <w:tcPr>
            <w:tcW w:w="5104" w:type="dxa"/>
            <w:shd w:val="clear" w:color="auto" w:fill="F4973F"/>
            <w:vAlign w:val="center"/>
          </w:tcPr>
          <w:p w14:paraId="2638FAAE" w14:textId="77777777" w:rsidR="00A22338" w:rsidRPr="009F2777" w:rsidRDefault="00A22338" w:rsidP="00BC6751">
            <w:pPr>
              <w:pStyle w:val="TableParagraph"/>
              <w:kinsoku w:val="0"/>
              <w:overflowPunct w:val="0"/>
              <w:spacing w:beforeLines="60" w:before="144" w:after="60"/>
              <w:ind w:left="85"/>
              <w:rPr>
                <w:sz w:val="18"/>
                <w:szCs w:val="18"/>
              </w:rPr>
            </w:pPr>
            <w:r w:rsidRPr="009F2777">
              <w:rPr>
                <w:color w:val="FFFFFF"/>
                <w:w w:val="105"/>
                <w:sz w:val="18"/>
                <w:szCs w:val="18"/>
              </w:rPr>
              <w:t>Proposal</w:t>
            </w:r>
          </w:p>
        </w:tc>
        <w:tc>
          <w:tcPr>
            <w:tcW w:w="1417" w:type="dxa"/>
            <w:shd w:val="clear" w:color="auto" w:fill="F4973F"/>
            <w:vAlign w:val="center"/>
          </w:tcPr>
          <w:p w14:paraId="72F59A1C" w14:textId="77777777" w:rsidR="00A22338" w:rsidRPr="009F2777" w:rsidRDefault="00A22338" w:rsidP="00BC6751">
            <w:pPr>
              <w:pStyle w:val="TableParagraph"/>
              <w:kinsoku w:val="0"/>
              <w:overflowPunct w:val="0"/>
              <w:spacing w:beforeLines="60" w:before="144" w:after="60"/>
              <w:jc w:val="center"/>
              <w:rPr>
                <w:sz w:val="18"/>
                <w:szCs w:val="18"/>
              </w:rPr>
            </w:pPr>
            <w:r w:rsidRPr="009F2777">
              <w:rPr>
                <w:color w:val="FFFFFF"/>
                <w:w w:val="105"/>
                <w:sz w:val="18"/>
                <w:szCs w:val="18"/>
              </w:rPr>
              <w:t>Decision date</w:t>
            </w:r>
          </w:p>
        </w:tc>
        <w:tc>
          <w:tcPr>
            <w:tcW w:w="1249" w:type="dxa"/>
            <w:shd w:val="clear" w:color="auto" w:fill="F4973F"/>
            <w:vAlign w:val="center"/>
          </w:tcPr>
          <w:p w14:paraId="53260727" w14:textId="77777777" w:rsidR="00A22338" w:rsidRPr="009F2777" w:rsidRDefault="00A22338" w:rsidP="00BC6751">
            <w:pPr>
              <w:pStyle w:val="TableParagraph"/>
              <w:kinsoku w:val="0"/>
              <w:overflowPunct w:val="0"/>
              <w:spacing w:beforeLines="60" w:before="144" w:after="60"/>
              <w:jc w:val="center"/>
              <w:rPr>
                <w:color w:val="FFFFFF"/>
                <w:w w:val="105"/>
                <w:sz w:val="18"/>
                <w:szCs w:val="18"/>
              </w:rPr>
            </w:pPr>
            <w:r w:rsidRPr="009F2777">
              <w:rPr>
                <w:color w:val="FFFFFF"/>
                <w:w w:val="105"/>
                <w:sz w:val="18"/>
                <w:szCs w:val="18"/>
              </w:rPr>
              <w:t>Compliant at consultation</w:t>
            </w:r>
          </w:p>
        </w:tc>
        <w:tc>
          <w:tcPr>
            <w:tcW w:w="1104" w:type="dxa"/>
            <w:shd w:val="clear" w:color="auto" w:fill="F4973F"/>
            <w:vAlign w:val="center"/>
          </w:tcPr>
          <w:p w14:paraId="74ED3B0E" w14:textId="77777777" w:rsidR="00A22338" w:rsidRPr="009F2777" w:rsidRDefault="00A22338" w:rsidP="00BC6751">
            <w:pPr>
              <w:pStyle w:val="TableParagraph"/>
              <w:kinsoku w:val="0"/>
              <w:overflowPunct w:val="0"/>
              <w:spacing w:beforeLines="60" w:before="144" w:after="60"/>
              <w:jc w:val="center"/>
              <w:rPr>
                <w:sz w:val="18"/>
                <w:szCs w:val="18"/>
              </w:rPr>
            </w:pPr>
            <w:r w:rsidRPr="009F2777">
              <w:rPr>
                <w:color w:val="FFFFFF"/>
                <w:w w:val="105"/>
                <w:sz w:val="18"/>
                <w:szCs w:val="18"/>
              </w:rPr>
              <w:t>Compliant at decision</w:t>
            </w:r>
          </w:p>
        </w:tc>
        <w:tc>
          <w:tcPr>
            <w:tcW w:w="1105" w:type="dxa"/>
            <w:shd w:val="clear" w:color="auto" w:fill="F4973F"/>
            <w:vAlign w:val="center"/>
          </w:tcPr>
          <w:p w14:paraId="4BFF8AC3" w14:textId="77777777" w:rsidR="00A22338" w:rsidRPr="009F2777" w:rsidRDefault="00A22338" w:rsidP="00BC6751">
            <w:pPr>
              <w:pStyle w:val="TableParagraph"/>
              <w:kinsoku w:val="0"/>
              <w:overflowPunct w:val="0"/>
              <w:spacing w:beforeLines="60" w:before="144" w:after="60"/>
              <w:jc w:val="center"/>
              <w:rPr>
                <w:color w:val="FFFFFF"/>
                <w:w w:val="105"/>
                <w:sz w:val="18"/>
                <w:szCs w:val="18"/>
              </w:rPr>
            </w:pPr>
            <w:r w:rsidRPr="009F2777">
              <w:rPr>
                <w:color w:val="FFFFFF"/>
                <w:w w:val="105"/>
                <w:sz w:val="18"/>
                <w:szCs w:val="18"/>
              </w:rPr>
              <w:t>Final RIS published</w:t>
            </w:r>
          </w:p>
        </w:tc>
      </w:tr>
      <w:tr w:rsidR="00A22338" w:rsidRPr="00A22338" w14:paraId="3C3749F6" w14:textId="77777777" w:rsidTr="00E65E1A">
        <w:trPr>
          <w:trHeight w:val="510"/>
        </w:trPr>
        <w:tc>
          <w:tcPr>
            <w:tcW w:w="5104" w:type="dxa"/>
            <w:shd w:val="clear" w:color="auto" w:fill="auto"/>
            <w:vAlign w:val="center"/>
          </w:tcPr>
          <w:p w14:paraId="015ED75F" w14:textId="77777777" w:rsidR="00A22338" w:rsidRPr="00BA6CC4" w:rsidRDefault="00A22338" w:rsidP="00BA6CC4">
            <w:pPr>
              <w:pStyle w:val="TableParagraph"/>
              <w:kinsoku w:val="0"/>
              <w:overflowPunct w:val="0"/>
              <w:spacing w:beforeLines="60" w:before="144" w:after="60"/>
              <w:rPr>
                <w:rFonts w:ascii="Arial" w:hAnsi="Arial" w:cs="Arial"/>
                <w:b/>
                <w:spacing w:val="-3"/>
                <w:sz w:val="18"/>
                <w:szCs w:val="18"/>
              </w:rPr>
            </w:pPr>
            <w:r w:rsidRPr="00BA6CC4">
              <w:rPr>
                <w:rFonts w:ascii="Arial" w:hAnsi="Arial" w:cs="Arial"/>
                <w:b/>
                <w:spacing w:val="-3"/>
                <w:sz w:val="18"/>
                <w:szCs w:val="18"/>
              </w:rPr>
              <w:t>Proposal to formalise the process for developing and documenting Performance Solutions in the National Construction Code</w:t>
            </w:r>
          </w:p>
        </w:tc>
        <w:tc>
          <w:tcPr>
            <w:tcW w:w="1417" w:type="dxa"/>
            <w:shd w:val="clear" w:color="auto" w:fill="auto"/>
            <w:vAlign w:val="center"/>
          </w:tcPr>
          <w:p w14:paraId="2E790BBD" w14:textId="77777777" w:rsidR="00A22338" w:rsidRPr="00BA6CC4" w:rsidRDefault="00A22338">
            <w:pPr>
              <w:pStyle w:val="TableParagraph"/>
              <w:kinsoku w:val="0"/>
              <w:overflowPunct w:val="0"/>
              <w:spacing w:beforeLines="60" w:before="144" w:after="60"/>
              <w:jc w:val="center"/>
              <w:rPr>
                <w:rFonts w:ascii="Arial" w:hAnsi="Arial" w:cs="Arial"/>
                <w:b/>
                <w:spacing w:val="-3"/>
                <w:sz w:val="18"/>
                <w:szCs w:val="18"/>
              </w:rPr>
            </w:pPr>
            <w:r w:rsidRPr="00BA6CC4">
              <w:rPr>
                <w:rFonts w:ascii="Arial" w:hAnsi="Arial" w:cs="Arial"/>
                <w:b/>
                <w:spacing w:val="-3"/>
                <w:sz w:val="18"/>
                <w:szCs w:val="18"/>
              </w:rPr>
              <w:t>21 May 2020</w:t>
            </w:r>
          </w:p>
        </w:tc>
        <w:tc>
          <w:tcPr>
            <w:tcW w:w="1249" w:type="dxa"/>
            <w:shd w:val="clear" w:color="auto" w:fill="auto"/>
            <w:vAlign w:val="center"/>
          </w:tcPr>
          <w:p w14:paraId="74C41C49" w14:textId="77777777" w:rsidR="00A22338" w:rsidRPr="00BA6CC4" w:rsidRDefault="00A22338">
            <w:pPr>
              <w:pStyle w:val="TableParagraph"/>
              <w:kinsoku w:val="0"/>
              <w:overflowPunct w:val="0"/>
              <w:spacing w:beforeLines="60" w:before="144" w:after="60"/>
              <w:jc w:val="center"/>
              <w:rPr>
                <w:rFonts w:ascii="Arial" w:hAnsi="Arial" w:cs="Arial"/>
                <w:b/>
                <w:spacing w:val="-3"/>
                <w:sz w:val="18"/>
                <w:szCs w:val="18"/>
              </w:rPr>
            </w:pPr>
            <w:r w:rsidRPr="00BA6CC4">
              <w:rPr>
                <w:rFonts w:ascii="Arial" w:hAnsi="Arial" w:cs="Arial"/>
                <w:b/>
                <w:spacing w:val="-3"/>
                <w:sz w:val="18"/>
                <w:szCs w:val="18"/>
              </w:rPr>
              <w:t>Yes</w:t>
            </w:r>
          </w:p>
        </w:tc>
        <w:tc>
          <w:tcPr>
            <w:tcW w:w="1104" w:type="dxa"/>
            <w:shd w:val="clear" w:color="auto" w:fill="auto"/>
            <w:vAlign w:val="center"/>
          </w:tcPr>
          <w:p w14:paraId="227E24EE" w14:textId="77777777" w:rsidR="00A22338" w:rsidRPr="00BA6CC4" w:rsidRDefault="00A22338">
            <w:pPr>
              <w:pStyle w:val="TableParagraph"/>
              <w:kinsoku w:val="0"/>
              <w:overflowPunct w:val="0"/>
              <w:spacing w:beforeLines="60" w:before="144" w:after="60"/>
              <w:jc w:val="center"/>
              <w:rPr>
                <w:rFonts w:ascii="Arial" w:hAnsi="Arial" w:cs="Arial"/>
                <w:b/>
                <w:spacing w:val="-3"/>
                <w:sz w:val="18"/>
                <w:szCs w:val="18"/>
              </w:rPr>
            </w:pPr>
            <w:r w:rsidRPr="00BA6CC4">
              <w:rPr>
                <w:rFonts w:ascii="Arial" w:hAnsi="Arial" w:cs="Arial"/>
                <w:b/>
                <w:spacing w:val="-3"/>
                <w:sz w:val="18"/>
                <w:szCs w:val="18"/>
              </w:rPr>
              <w:t>Yes</w:t>
            </w:r>
          </w:p>
        </w:tc>
        <w:tc>
          <w:tcPr>
            <w:tcW w:w="1105" w:type="dxa"/>
            <w:shd w:val="clear" w:color="auto" w:fill="auto"/>
            <w:vAlign w:val="center"/>
          </w:tcPr>
          <w:p w14:paraId="5C5B78D4" w14:textId="77777777" w:rsidR="00A22338" w:rsidRPr="00BA6CC4" w:rsidRDefault="00A22338">
            <w:pPr>
              <w:pStyle w:val="TableParagraph"/>
              <w:kinsoku w:val="0"/>
              <w:overflowPunct w:val="0"/>
              <w:spacing w:beforeLines="60" w:before="144" w:after="60"/>
              <w:jc w:val="center"/>
              <w:rPr>
                <w:rFonts w:ascii="Arial" w:hAnsi="Arial" w:cs="Arial"/>
                <w:b/>
                <w:spacing w:val="-3"/>
                <w:sz w:val="18"/>
                <w:szCs w:val="18"/>
              </w:rPr>
            </w:pPr>
            <w:r w:rsidRPr="00BA6CC4">
              <w:rPr>
                <w:rFonts w:ascii="Arial" w:hAnsi="Arial" w:cs="Arial"/>
                <w:b/>
                <w:spacing w:val="-3"/>
                <w:sz w:val="18"/>
                <w:szCs w:val="18"/>
              </w:rPr>
              <w:t>28 May 2020</w:t>
            </w:r>
          </w:p>
        </w:tc>
      </w:tr>
    </w:tbl>
    <w:p w14:paraId="301D4041" w14:textId="77777777" w:rsidR="00A22338" w:rsidRPr="00BA6CC4" w:rsidRDefault="00A22338" w:rsidP="00A22338">
      <w:pPr>
        <w:pStyle w:val="TableParagraph"/>
        <w:keepNext/>
        <w:keepLines/>
        <w:kinsoku w:val="0"/>
        <w:overflowPunct w:val="0"/>
        <w:spacing w:after="120"/>
        <w:ind w:left="142"/>
        <w:rPr>
          <w:rFonts w:ascii="Arial" w:hAnsi="Arial" w:cs="Arial"/>
          <w:sz w:val="18"/>
          <w:szCs w:val="18"/>
        </w:rPr>
      </w:pPr>
      <w:r w:rsidRPr="00BA6CC4">
        <w:rPr>
          <w:rFonts w:ascii="Arial" w:hAnsi="Arial" w:cs="Arial"/>
          <w:sz w:val="18"/>
          <w:szCs w:val="18"/>
        </w:rPr>
        <w:t>The proposal requires all Performance Solutions be subject to a process and documentation commensurate with the complexity and risk of a design. The RIS shows this option would be the most complete and effective in addressing the problem.</w:t>
      </w:r>
    </w:p>
    <w:p w14:paraId="3C1B2024" w14:textId="77777777" w:rsidR="00F06F46" w:rsidRDefault="00F06F46">
      <w:pPr>
        <w:spacing w:after="0" w:line="240" w:lineRule="auto"/>
      </w:pPr>
      <w:r>
        <w:br w:type="page"/>
      </w:r>
    </w:p>
    <w:p w14:paraId="77ACCE6E" w14:textId="77777777" w:rsidR="00904B60" w:rsidRDefault="00904B60" w:rsidP="0085533A">
      <w:pPr>
        <w:pStyle w:val="Heading2"/>
        <w:keepNext/>
        <w:keepLines/>
        <w:widowControl w:val="0"/>
        <w:ind w:left="0" w:firstLine="0"/>
      </w:pPr>
      <w:bookmarkStart w:id="310" w:name="_Toc32395976"/>
      <w:r>
        <w:lastRenderedPageBreak/>
        <w:t>Appendix A - RISs p</w:t>
      </w:r>
      <w:r w:rsidR="005A5B12">
        <w:t>repared for consultation in 2019</w:t>
      </w:r>
      <w:r>
        <w:t>-</w:t>
      </w:r>
      <w:r w:rsidR="005A5B12">
        <w:t>20</w:t>
      </w:r>
      <w:bookmarkEnd w:id="310"/>
    </w:p>
    <w:p w14:paraId="3B784B7F" w14:textId="07295533" w:rsidR="00904B60" w:rsidRDefault="00904B60" w:rsidP="0085533A">
      <w:pPr>
        <w:pStyle w:val="BodyText1"/>
        <w:keepNext/>
        <w:keepLines/>
        <w:widowControl w:val="0"/>
      </w:pPr>
      <w:bookmarkStart w:id="311" w:name="_Toc432587379"/>
      <w:bookmarkStart w:id="312" w:name="_Toc432175595"/>
      <w:bookmarkStart w:id="313" w:name="_Toc428440455"/>
      <w:bookmarkStart w:id="314" w:name="_Toc428440028"/>
      <w:bookmarkStart w:id="315" w:name="_Toc424049626"/>
      <w:bookmarkStart w:id="316" w:name="_Toc419707558"/>
      <w:bookmarkStart w:id="317" w:name="_Toc473715465"/>
      <w:bookmarkStart w:id="318" w:name="_Toc459800321"/>
      <w:bookmarkStart w:id="319" w:name="_Toc451264807"/>
      <w:bookmarkStart w:id="320" w:name="_Toc451264240"/>
      <w:bookmarkStart w:id="321" w:name="_Toc451168646"/>
      <w:bookmarkStart w:id="322" w:name="_Toc447532697"/>
      <w:bookmarkStart w:id="323" w:name="_Toc446318438"/>
      <w:bookmarkStart w:id="324" w:name="_Toc445974404"/>
      <w:bookmarkStart w:id="325" w:name="_Toc445974143"/>
      <w:bookmarkStart w:id="326" w:name="_Toc445973445"/>
      <w:bookmarkStart w:id="327" w:name="_Toc440639816"/>
      <w:bookmarkStart w:id="328" w:name="_Toc438539631"/>
      <w:r>
        <w:t xml:space="preserve">The following </w:t>
      </w:r>
      <w:r w:rsidR="00C2474A">
        <w:t>Council of Australian Governments (</w:t>
      </w:r>
      <w:r>
        <w:t>COAG</w:t>
      </w:r>
      <w:r w:rsidR="00C2474A">
        <w:t>)</w:t>
      </w:r>
      <w:r>
        <w:t xml:space="preserve"> consultation RISs have been published </w:t>
      </w:r>
      <w:bookmarkEnd w:id="311"/>
      <w:bookmarkEnd w:id="312"/>
      <w:bookmarkEnd w:id="313"/>
      <w:bookmarkEnd w:id="314"/>
      <w:bookmarkEnd w:id="315"/>
      <w:bookmarkEnd w:id="316"/>
      <w:r>
        <w:t xml:space="preserve">for consultation </w:t>
      </w:r>
      <w:r w:rsidR="00D43B7F">
        <w:t>in 2019-20</w:t>
      </w:r>
      <w:r>
        <w:t>.</w:t>
      </w:r>
      <w:bookmarkEnd w:id="317"/>
      <w:bookmarkEnd w:id="318"/>
      <w:bookmarkEnd w:id="319"/>
      <w:bookmarkEnd w:id="320"/>
      <w:bookmarkEnd w:id="321"/>
      <w:bookmarkEnd w:id="322"/>
      <w:bookmarkEnd w:id="323"/>
      <w:bookmarkEnd w:id="324"/>
      <w:bookmarkEnd w:id="325"/>
      <w:bookmarkEnd w:id="326"/>
      <w:bookmarkEnd w:id="327"/>
      <w:bookmarkEnd w:id="328"/>
    </w:p>
    <w:tbl>
      <w:tblPr>
        <w:tblW w:w="10207" w:type="dxa"/>
        <w:tblInd w:w="-142" w:type="dxa"/>
        <w:tblLayout w:type="fixed"/>
        <w:tblCellMar>
          <w:left w:w="0" w:type="dxa"/>
          <w:right w:w="0" w:type="dxa"/>
        </w:tblCellMar>
        <w:tblLook w:val="04A0" w:firstRow="1" w:lastRow="0" w:firstColumn="1" w:lastColumn="0" w:noHBand="0" w:noVBand="1"/>
      </w:tblPr>
      <w:tblGrid>
        <w:gridCol w:w="5104"/>
        <w:gridCol w:w="3402"/>
        <w:gridCol w:w="1559"/>
        <w:gridCol w:w="142"/>
      </w:tblGrid>
      <w:tr w:rsidR="00C2474A" w14:paraId="198C098E" w14:textId="77777777" w:rsidTr="003117D0">
        <w:trPr>
          <w:gridAfter w:val="1"/>
          <w:wAfter w:w="142" w:type="dxa"/>
          <w:trHeight w:val="510"/>
          <w:tblHeader/>
        </w:trPr>
        <w:tc>
          <w:tcPr>
            <w:tcW w:w="5104" w:type="dxa"/>
            <w:shd w:val="clear" w:color="auto" w:fill="F4973F"/>
            <w:vAlign w:val="center"/>
            <w:hideMark/>
          </w:tcPr>
          <w:p w14:paraId="10F51298" w14:textId="77777777" w:rsidR="00032FC1" w:rsidRDefault="00C2474A" w:rsidP="00032FC1">
            <w:pPr>
              <w:pStyle w:val="TableParagraph"/>
              <w:keepNext/>
              <w:keepLines/>
              <w:kinsoku w:val="0"/>
              <w:overflowPunct w:val="0"/>
              <w:spacing w:beforeLines="60" w:before="144" w:after="120"/>
              <w:ind w:left="79"/>
              <w:rPr>
                <w:rFonts w:ascii="Arial" w:hAnsi="Arial" w:cs="Arial"/>
                <w:color w:val="FFFFFF"/>
                <w:w w:val="105"/>
                <w:sz w:val="18"/>
                <w:szCs w:val="18"/>
              </w:rPr>
            </w:pPr>
            <w:r>
              <w:rPr>
                <w:rFonts w:ascii="Arial" w:hAnsi="Arial" w:cs="Arial"/>
                <w:color w:val="FFFFFF"/>
                <w:w w:val="105"/>
                <w:sz w:val="18"/>
                <w:szCs w:val="18"/>
              </w:rPr>
              <w:t>Proposal</w:t>
            </w:r>
          </w:p>
        </w:tc>
        <w:tc>
          <w:tcPr>
            <w:tcW w:w="3402" w:type="dxa"/>
            <w:shd w:val="clear" w:color="auto" w:fill="F4973F"/>
            <w:vAlign w:val="center"/>
            <w:hideMark/>
          </w:tcPr>
          <w:p w14:paraId="24D70153" w14:textId="77777777" w:rsidR="00C2474A" w:rsidRDefault="00C2474A" w:rsidP="008108BE">
            <w:pPr>
              <w:pStyle w:val="TableParagraph"/>
              <w:keepNext/>
              <w:keepLines/>
              <w:kinsoku w:val="0"/>
              <w:overflowPunct w:val="0"/>
              <w:spacing w:beforeLines="60" w:before="144" w:after="120"/>
              <w:jc w:val="center"/>
            </w:pPr>
            <w:r>
              <w:rPr>
                <w:rFonts w:ascii="Arial" w:hAnsi="Arial" w:cs="Arial"/>
                <w:color w:val="FFFFFF"/>
                <w:w w:val="105"/>
                <w:sz w:val="18"/>
                <w:szCs w:val="18"/>
              </w:rPr>
              <w:t>Decision-making body</w:t>
            </w:r>
          </w:p>
        </w:tc>
        <w:tc>
          <w:tcPr>
            <w:tcW w:w="1559" w:type="dxa"/>
            <w:shd w:val="clear" w:color="auto" w:fill="F4973F"/>
            <w:vAlign w:val="center"/>
            <w:hideMark/>
          </w:tcPr>
          <w:p w14:paraId="675A9827" w14:textId="77777777" w:rsidR="00C2474A" w:rsidRDefault="00C2474A" w:rsidP="008108BE">
            <w:pPr>
              <w:pStyle w:val="TableParagraph"/>
              <w:keepNext/>
              <w:keepLines/>
              <w:kinsoku w:val="0"/>
              <w:overflowPunct w:val="0"/>
              <w:spacing w:beforeLines="60" w:before="144" w:after="120"/>
              <w:jc w:val="center"/>
              <w:rPr>
                <w:rFonts w:ascii="Arial" w:hAnsi="Arial" w:cs="Arial"/>
                <w:color w:val="FFFFFF"/>
                <w:w w:val="105"/>
                <w:sz w:val="18"/>
                <w:szCs w:val="18"/>
              </w:rPr>
            </w:pPr>
            <w:r>
              <w:rPr>
                <w:rFonts w:ascii="Arial" w:hAnsi="Arial" w:cs="Arial"/>
                <w:color w:val="FFFFFF"/>
                <w:w w:val="105"/>
                <w:sz w:val="18"/>
                <w:szCs w:val="18"/>
              </w:rPr>
              <w:t>Closing date</w:t>
            </w:r>
          </w:p>
        </w:tc>
      </w:tr>
      <w:tr w:rsidR="00B76DCD" w:rsidRPr="00E74ED3" w14:paraId="1E7756AE" w14:textId="77777777" w:rsidTr="00E65E1A">
        <w:trPr>
          <w:trHeight w:val="510"/>
        </w:trPr>
        <w:tc>
          <w:tcPr>
            <w:tcW w:w="5104" w:type="dxa"/>
            <w:shd w:val="clear" w:color="auto" w:fill="auto"/>
            <w:vAlign w:val="center"/>
          </w:tcPr>
          <w:p w14:paraId="2C5749F4" w14:textId="77777777" w:rsidR="00B76DCD" w:rsidRPr="003117D0" w:rsidRDefault="00B76DCD" w:rsidP="00E768CD">
            <w:pPr>
              <w:pStyle w:val="TableParagraph"/>
              <w:keepNext/>
              <w:keepLines/>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Recommendations of the 2018 Review of the Model Work Health and Safety Laws (WHS)</w:t>
            </w:r>
          </w:p>
        </w:tc>
        <w:tc>
          <w:tcPr>
            <w:tcW w:w="3402" w:type="dxa"/>
            <w:shd w:val="clear" w:color="auto" w:fill="auto"/>
            <w:vAlign w:val="center"/>
          </w:tcPr>
          <w:p w14:paraId="2BBCE66A" w14:textId="77777777" w:rsidR="00B76DCD" w:rsidRPr="003117D0" w:rsidRDefault="00B76DCD" w:rsidP="00731239">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Safe Work Australia </w:t>
            </w:r>
          </w:p>
        </w:tc>
        <w:tc>
          <w:tcPr>
            <w:tcW w:w="1701" w:type="dxa"/>
            <w:gridSpan w:val="2"/>
            <w:shd w:val="clear" w:color="auto" w:fill="auto"/>
            <w:vAlign w:val="center"/>
          </w:tcPr>
          <w:p w14:paraId="08E04302" w14:textId="77777777" w:rsidR="00B76DCD" w:rsidRPr="003117D0" w:rsidRDefault="00B76DCD" w:rsidP="00731239">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5 Aug 2019</w:t>
            </w:r>
          </w:p>
        </w:tc>
      </w:tr>
    </w:tbl>
    <w:p w14:paraId="63451877" w14:textId="77777777" w:rsidR="00F45AB7" w:rsidRDefault="00B76DCD" w:rsidP="00B76DCD">
      <w:pPr>
        <w:pStyle w:val="BodyText1"/>
        <w:keepNext/>
        <w:keepLines/>
        <w:widowControl w:val="0"/>
        <w:spacing w:after="60"/>
        <w:ind w:left="142"/>
        <w:rPr>
          <w:rFonts w:eastAsia="MS Mincho" w:cs="Arial"/>
          <w:spacing w:val="-3"/>
          <w:sz w:val="18"/>
          <w:szCs w:val="18"/>
          <w:lang w:eastAsia="en-AU"/>
        </w:rPr>
      </w:pPr>
      <w:r w:rsidRPr="004440C0">
        <w:rPr>
          <w:rFonts w:eastAsia="MS Mincho" w:cs="Arial"/>
          <w:spacing w:val="-3"/>
          <w:sz w:val="18"/>
          <w:szCs w:val="18"/>
          <w:lang w:eastAsia="en-AU"/>
        </w:rPr>
        <w:t xml:space="preserve">Safe Work Australia released a consultation RIS on the recommendations of the </w:t>
      </w:r>
      <w:r w:rsidRPr="0092182A">
        <w:rPr>
          <w:rFonts w:eastAsia="MS Mincho" w:cs="Arial"/>
          <w:i/>
          <w:spacing w:val="-3"/>
          <w:sz w:val="18"/>
          <w:szCs w:val="18"/>
          <w:lang w:eastAsia="en-AU"/>
        </w:rPr>
        <w:t>Review of the model WHS laws: Final report</w:t>
      </w:r>
      <w:r w:rsidRPr="004440C0">
        <w:rPr>
          <w:rFonts w:eastAsia="MS Mincho" w:cs="Arial"/>
          <w:spacing w:val="-3"/>
          <w:sz w:val="18"/>
          <w:szCs w:val="18"/>
          <w:lang w:eastAsia="en-AU"/>
        </w:rPr>
        <w:t>. The Review examined the content and operation of the model WHS laws, including whether they are achieving the objectives stated in the model WHS Act or if they have resulted in unintended consequences. The consultation RIS covers all 34 of the Review recommendations but focuses on the 12 recommendations likely to have the most significant impact on stakeholders, or that require f</w:t>
      </w:r>
      <w:r>
        <w:rPr>
          <w:rFonts w:eastAsia="MS Mincho" w:cs="Arial"/>
          <w:spacing w:val="-3"/>
          <w:sz w:val="18"/>
          <w:szCs w:val="18"/>
          <w:lang w:eastAsia="en-AU"/>
        </w:rPr>
        <w:t>urther information and analysis.</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B76DCD" w:rsidRPr="00B83396" w14:paraId="3470EBAC" w14:textId="77777777" w:rsidTr="00E65E1A">
        <w:trPr>
          <w:trHeight w:val="510"/>
        </w:trPr>
        <w:tc>
          <w:tcPr>
            <w:tcW w:w="5104" w:type="dxa"/>
            <w:shd w:val="clear" w:color="auto" w:fill="auto"/>
            <w:vAlign w:val="center"/>
          </w:tcPr>
          <w:p w14:paraId="6CC88377" w14:textId="77777777" w:rsidR="00B76DCD" w:rsidRPr="003117D0" w:rsidRDefault="00B76DCD" w:rsidP="00731239">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3117D0">
              <w:rPr>
                <w:rFonts w:eastAsia="MS Mincho" w:cs="Arial"/>
                <w:b/>
                <w:spacing w:val="-3"/>
                <w:sz w:val="18"/>
                <w:szCs w:val="18"/>
                <w:lang w:eastAsia="en-AU"/>
              </w:rPr>
              <w:t>Developing technology-neutral road rules for driver distraction</w:t>
            </w:r>
          </w:p>
        </w:tc>
        <w:tc>
          <w:tcPr>
            <w:tcW w:w="3260" w:type="dxa"/>
            <w:shd w:val="clear" w:color="auto" w:fill="auto"/>
            <w:vAlign w:val="center"/>
          </w:tcPr>
          <w:p w14:paraId="63685E32" w14:textId="77777777" w:rsidR="00B76DCD" w:rsidRPr="003117D0" w:rsidRDefault="00B76DCD" w:rsidP="00731239">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3117D0">
              <w:rPr>
                <w:rFonts w:eastAsia="MS Mincho" w:cs="Arial"/>
                <w:b/>
                <w:spacing w:val="-3"/>
                <w:sz w:val="18"/>
                <w:szCs w:val="18"/>
                <w:lang w:eastAsia="en-AU"/>
              </w:rPr>
              <w:t xml:space="preserve">National Transport Commission </w:t>
            </w:r>
          </w:p>
        </w:tc>
        <w:tc>
          <w:tcPr>
            <w:tcW w:w="1843" w:type="dxa"/>
            <w:shd w:val="clear" w:color="auto" w:fill="auto"/>
            <w:vAlign w:val="center"/>
          </w:tcPr>
          <w:p w14:paraId="35F288A5" w14:textId="77777777" w:rsidR="00B76DCD" w:rsidRPr="003117D0" w:rsidRDefault="00B76DCD" w:rsidP="00731239">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3117D0">
              <w:rPr>
                <w:rFonts w:eastAsia="MS Mincho" w:cs="Arial"/>
                <w:b/>
                <w:spacing w:val="-3"/>
                <w:sz w:val="18"/>
                <w:szCs w:val="18"/>
                <w:lang w:eastAsia="en-AU"/>
              </w:rPr>
              <w:t>4 Sep 2019</w:t>
            </w:r>
          </w:p>
        </w:tc>
      </w:tr>
    </w:tbl>
    <w:p w14:paraId="6B0DF521" w14:textId="77777777" w:rsidR="00B76DCD" w:rsidRDefault="00B76DCD" w:rsidP="00B76DCD">
      <w:pPr>
        <w:pStyle w:val="BodyText1"/>
        <w:keepNext/>
        <w:keepLines/>
        <w:widowControl w:val="0"/>
        <w:spacing w:after="60"/>
        <w:ind w:left="142"/>
        <w:rPr>
          <w:rFonts w:eastAsia="MS Mincho" w:cs="Arial"/>
          <w:spacing w:val="-3"/>
          <w:sz w:val="18"/>
          <w:szCs w:val="18"/>
          <w:lang w:eastAsia="en-AU"/>
        </w:rPr>
      </w:pPr>
      <w:r>
        <w:rPr>
          <w:rFonts w:eastAsia="MS Mincho" w:cs="Arial"/>
          <w:spacing w:val="-3"/>
          <w:sz w:val="18"/>
          <w:szCs w:val="18"/>
          <w:lang w:eastAsia="en-AU"/>
        </w:rPr>
        <w:t xml:space="preserve">The </w:t>
      </w:r>
      <w:r w:rsidRPr="000E5E66">
        <w:rPr>
          <w:rFonts w:eastAsia="MS Mincho" w:cs="Arial"/>
          <w:spacing w:val="-3"/>
          <w:sz w:val="18"/>
          <w:szCs w:val="18"/>
          <w:lang w:eastAsia="en-AU"/>
        </w:rPr>
        <w:t>National T</w:t>
      </w:r>
      <w:r>
        <w:rPr>
          <w:rFonts w:eastAsia="MS Mincho" w:cs="Arial"/>
          <w:spacing w:val="-3"/>
          <w:sz w:val="18"/>
          <w:szCs w:val="18"/>
          <w:lang w:eastAsia="en-AU"/>
        </w:rPr>
        <w:t>ransport Commission released a c</w:t>
      </w:r>
      <w:r w:rsidRPr="000E5E66">
        <w:rPr>
          <w:rFonts w:eastAsia="MS Mincho" w:cs="Arial"/>
          <w:spacing w:val="-3"/>
          <w:sz w:val="18"/>
          <w:szCs w:val="18"/>
          <w:lang w:eastAsia="en-AU"/>
        </w:rPr>
        <w:t xml:space="preserve">onsultation </w:t>
      </w:r>
      <w:r>
        <w:rPr>
          <w:rFonts w:eastAsia="MS Mincho" w:cs="Arial"/>
          <w:spacing w:val="-3"/>
          <w:sz w:val="18"/>
          <w:szCs w:val="18"/>
          <w:lang w:eastAsia="en-AU"/>
        </w:rPr>
        <w:t>RIS</w:t>
      </w:r>
      <w:r w:rsidRPr="000E5E66">
        <w:rPr>
          <w:rFonts w:eastAsia="MS Mincho" w:cs="Arial"/>
          <w:spacing w:val="-3"/>
          <w:sz w:val="18"/>
          <w:szCs w:val="18"/>
          <w:lang w:eastAsia="en-AU"/>
        </w:rPr>
        <w:t xml:space="preserve"> </w:t>
      </w:r>
      <w:r>
        <w:rPr>
          <w:rFonts w:eastAsia="MS Mincho" w:cs="Arial"/>
          <w:spacing w:val="-3"/>
          <w:sz w:val="18"/>
          <w:szCs w:val="18"/>
          <w:lang w:eastAsia="en-AU"/>
        </w:rPr>
        <w:t>to propose and explore</w:t>
      </w:r>
      <w:r w:rsidRPr="000E5E66">
        <w:rPr>
          <w:rFonts w:eastAsia="MS Mincho" w:cs="Arial"/>
          <w:spacing w:val="-3"/>
          <w:sz w:val="18"/>
          <w:szCs w:val="18"/>
          <w:lang w:eastAsia="en-AU"/>
        </w:rPr>
        <w:t xml:space="preserve"> technology-neutral regulatory options to address</w:t>
      </w:r>
      <w:r>
        <w:rPr>
          <w:rFonts w:eastAsia="MS Mincho" w:cs="Arial"/>
          <w:spacing w:val="-3"/>
          <w:sz w:val="18"/>
          <w:szCs w:val="18"/>
          <w:lang w:eastAsia="en-AU"/>
        </w:rPr>
        <w:t xml:space="preserve"> driver distraction and analyse</w:t>
      </w:r>
      <w:r w:rsidRPr="000E5E66">
        <w:rPr>
          <w:rFonts w:eastAsia="MS Mincho" w:cs="Arial"/>
          <w:spacing w:val="-3"/>
          <w:sz w:val="18"/>
          <w:szCs w:val="18"/>
          <w:lang w:eastAsia="en-AU"/>
        </w:rPr>
        <w:t xml:space="preserve"> their potential impacts</w:t>
      </w:r>
      <w:r>
        <w:rPr>
          <w:rFonts w:eastAsia="MS Mincho" w:cs="Arial"/>
          <w:spacing w:val="-3"/>
          <w:sz w:val="18"/>
          <w:szCs w:val="18"/>
          <w:lang w:eastAsia="en-AU"/>
        </w:rPr>
        <w:t>.</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B76DCD" w:rsidRPr="00E74ED3" w14:paraId="5B76900E" w14:textId="77777777" w:rsidTr="00E65E1A">
        <w:trPr>
          <w:trHeight w:val="510"/>
        </w:trPr>
        <w:tc>
          <w:tcPr>
            <w:tcW w:w="5104" w:type="dxa"/>
            <w:shd w:val="clear" w:color="auto" w:fill="auto"/>
            <w:vAlign w:val="center"/>
          </w:tcPr>
          <w:p w14:paraId="1181F66A" w14:textId="77777777" w:rsidR="00B76DCD" w:rsidRPr="003117D0" w:rsidRDefault="00B76DCD" w:rsidP="00E768CD">
            <w:pPr>
              <w:pStyle w:val="TableParagraph"/>
              <w:keepNext/>
              <w:keepLines/>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 xml:space="preserve">Measures to improve transparency in the gas market </w:t>
            </w:r>
          </w:p>
        </w:tc>
        <w:tc>
          <w:tcPr>
            <w:tcW w:w="3260" w:type="dxa"/>
            <w:shd w:val="clear" w:color="auto" w:fill="auto"/>
            <w:vAlign w:val="center"/>
          </w:tcPr>
          <w:p w14:paraId="41D70B10" w14:textId="77777777" w:rsidR="00B76DCD" w:rsidRPr="003117D0" w:rsidRDefault="00B76DCD" w:rsidP="00731239">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COAG Energy Council </w:t>
            </w:r>
          </w:p>
        </w:tc>
        <w:tc>
          <w:tcPr>
            <w:tcW w:w="1843" w:type="dxa"/>
            <w:shd w:val="clear" w:color="auto" w:fill="auto"/>
            <w:vAlign w:val="center"/>
          </w:tcPr>
          <w:p w14:paraId="71D03462" w14:textId="77777777" w:rsidR="00B76DCD" w:rsidRPr="003117D0" w:rsidRDefault="00B76DCD" w:rsidP="00731239">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12 Sep 2019</w:t>
            </w:r>
          </w:p>
        </w:tc>
      </w:tr>
    </w:tbl>
    <w:p w14:paraId="6E815E0C" w14:textId="77777777" w:rsidR="00B76DCD" w:rsidRPr="00E433B0" w:rsidRDefault="00B76DCD" w:rsidP="00B76DCD">
      <w:pPr>
        <w:pStyle w:val="BodyText1"/>
        <w:keepNext/>
        <w:keepLines/>
        <w:widowControl w:val="0"/>
        <w:spacing w:after="60"/>
        <w:ind w:left="142"/>
        <w:rPr>
          <w:rFonts w:eastAsia="MS Mincho" w:cs="Arial"/>
          <w:spacing w:val="-3"/>
          <w:sz w:val="18"/>
          <w:szCs w:val="18"/>
          <w:lang w:eastAsia="en-AU"/>
        </w:rPr>
      </w:pPr>
      <w:r w:rsidRPr="004440C0">
        <w:rPr>
          <w:rFonts w:eastAsia="MS Mincho" w:cs="Arial"/>
          <w:spacing w:val="-3"/>
          <w:sz w:val="18"/>
          <w:szCs w:val="18"/>
          <w:lang w:eastAsia="en-AU"/>
        </w:rPr>
        <w:t xml:space="preserve">The COAG Energy Council </w:t>
      </w:r>
      <w:r>
        <w:rPr>
          <w:rFonts w:eastAsia="MS Mincho" w:cs="Arial"/>
          <w:spacing w:val="-3"/>
          <w:sz w:val="18"/>
          <w:szCs w:val="18"/>
          <w:lang w:eastAsia="en-AU"/>
        </w:rPr>
        <w:t>is exploring</w:t>
      </w:r>
      <w:r w:rsidRPr="004440C0">
        <w:rPr>
          <w:rFonts w:eastAsia="MS Mincho" w:cs="Arial"/>
          <w:spacing w:val="-3"/>
          <w:sz w:val="18"/>
          <w:szCs w:val="18"/>
          <w:lang w:eastAsia="en-AU"/>
        </w:rPr>
        <w:t xml:space="preserve"> options to improve transparency in the eastern and northern Australian gas markets. The consultation RIS focuses on addressing information gaps and asymmetries relating to gas and infrastructure prices, supply and </w:t>
      </w:r>
      <w:r>
        <w:rPr>
          <w:rFonts w:eastAsia="MS Mincho" w:cs="Arial"/>
          <w:spacing w:val="-3"/>
          <w:sz w:val="18"/>
          <w:szCs w:val="18"/>
          <w:lang w:eastAsia="en-AU"/>
        </w:rPr>
        <w:t>availability of gas, gas demand,</w:t>
      </w:r>
      <w:r w:rsidRPr="004440C0">
        <w:rPr>
          <w:rFonts w:eastAsia="MS Mincho" w:cs="Arial"/>
          <w:spacing w:val="-3"/>
          <w:sz w:val="18"/>
          <w:szCs w:val="18"/>
          <w:lang w:eastAsia="en-AU"/>
        </w:rPr>
        <w:t xml:space="preserve"> and infrastructure used to supply gas to end-markets.</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747361" w:rsidRPr="00E74ED3" w14:paraId="455CB8A2" w14:textId="77777777" w:rsidTr="00E65E1A">
        <w:trPr>
          <w:trHeight w:val="510"/>
        </w:trPr>
        <w:tc>
          <w:tcPr>
            <w:tcW w:w="5104" w:type="dxa"/>
            <w:shd w:val="clear" w:color="auto" w:fill="auto"/>
            <w:vAlign w:val="center"/>
          </w:tcPr>
          <w:p w14:paraId="7401E0F3" w14:textId="77777777" w:rsidR="00747361" w:rsidRPr="003117D0" w:rsidRDefault="00747361" w:rsidP="00E768CD">
            <w:pPr>
              <w:pStyle w:val="TableParagraph"/>
              <w:keepNext/>
              <w:keepLines/>
              <w:kinsoku w:val="0"/>
              <w:overflowPunct w:val="0"/>
              <w:spacing w:beforeLines="60" w:before="144" w:after="120"/>
              <w:rPr>
                <w:rFonts w:ascii="Arial" w:hAnsi="Arial" w:cs="Arial"/>
                <w:b/>
                <w:spacing w:val="-3"/>
                <w:sz w:val="18"/>
                <w:szCs w:val="18"/>
              </w:rPr>
            </w:pPr>
            <w:r w:rsidRPr="003117D0">
              <w:rPr>
                <w:rFonts w:ascii="Arial" w:hAnsi="Arial" w:cs="Arial"/>
                <w:b/>
                <w:spacing w:val="-3"/>
                <w:sz w:val="18"/>
                <w:szCs w:val="18"/>
              </w:rPr>
              <w:t>Transparency of new projects</w:t>
            </w:r>
          </w:p>
        </w:tc>
        <w:tc>
          <w:tcPr>
            <w:tcW w:w="3260" w:type="dxa"/>
            <w:shd w:val="clear" w:color="auto" w:fill="auto"/>
            <w:vAlign w:val="center"/>
          </w:tcPr>
          <w:p w14:paraId="071FCE61" w14:textId="77777777" w:rsidR="00747361" w:rsidRPr="003117D0" w:rsidRDefault="00747361" w:rsidP="00C40F03">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Australian Energy Market Commission</w:t>
            </w:r>
          </w:p>
        </w:tc>
        <w:tc>
          <w:tcPr>
            <w:tcW w:w="1843" w:type="dxa"/>
            <w:shd w:val="clear" w:color="auto" w:fill="auto"/>
            <w:vAlign w:val="center"/>
          </w:tcPr>
          <w:p w14:paraId="6A3D1BB4" w14:textId="77777777" w:rsidR="00747361" w:rsidRPr="003117D0" w:rsidRDefault="00747361" w:rsidP="001856F7">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12 Sep 2019</w:t>
            </w:r>
          </w:p>
        </w:tc>
      </w:tr>
    </w:tbl>
    <w:p w14:paraId="1123FC71" w14:textId="77777777" w:rsidR="00166606" w:rsidRDefault="00747361" w:rsidP="00B76DCD">
      <w:pPr>
        <w:pStyle w:val="BodyText1"/>
        <w:keepNext/>
        <w:keepLines/>
        <w:widowControl w:val="0"/>
        <w:spacing w:after="60"/>
        <w:ind w:left="142"/>
        <w:rPr>
          <w:rFonts w:eastAsia="MS Mincho" w:cs="Arial"/>
          <w:spacing w:val="-3"/>
          <w:sz w:val="18"/>
          <w:szCs w:val="18"/>
          <w:lang w:eastAsia="en-AU"/>
        </w:rPr>
      </w:pPr>
      <w:r>
        <w:rPr>
          <w:rFonts w:eastAsia="MS Mincho" w:cs="Arial"/>
          <w:spacing w:val="-3"/>
          <w:sz w:val="18"/>
          <w:szCs w:val="18"/>
          <w:lang w:eastAsia="en-AU"/>
        </w:rPr>
        <w:t>T</w:t>
      </w:r>
      <w:r w:rsidRPr="00374897">
        <w:rPr>
          <w:rFonts w:eastAsia="MS Mincho" w:cs="Arial"/>
          <w:spacing w:val="-3"/>
          <w:sz w:val="18"/>
          <w:szCs w:val="18"/>
          <w:lang w:eastAsia="en-AU"/>
        </w:rPr>
        <w:t>he Australian</w:t>
      </w:r>
      <w:r>
        <w:rPr>
          <w:rFonts w:eastAsia="MS Mincho" w:cs="Arial"/>
          <w:spacing w:val="-3"/>
          <w:sz w:val="18"/>
          <w:szCs w:val="18"/>
          <w:lang w:eastAsia="en-AU"/>
        </w:rPr>
        <w:t xml:space="preserve"> Energy Market Commission</w:t>
      </w:r>
      <w:r w:rsidRPr="00374897">
        <w:rPr>
          <w:rFonts w:eastAsia="MS Mincho" w:cs="Arial"/>
          <w:spacing w:val="-3"/>
          <w:sz w:val="18"/>
          <w:szCs w:val="18"/>
          <w:lang w:eastAsia="en-AU"/>
        </w:rPr>
        <w:t xml:space="preserve"> released</w:t>
      </w:r>
      <w:r w:rsidR="00B26F22">
        <w:rPr>
          <w:rFonts w:eastAsia="MS Mincho" w:cs="Arial"/>
          <w:spacing w:val="-3"/>
          <w:sz w:val="18"/>
          <w:szCs w:val="18"/>
          <w:lang w:eastAsia="en-AU"/>
        </w:rPr>
        <w:t xml:space="preserve"> </w:t>
      </w:r>
      <w:r w:rsidRPr="00374897">
        <w:rPr>
          <w:rFonts w:eastAsia="MS Mincho" w:cs="Arial"/>
          <w:spacing w:val="-3"/>
          <w:sz w:val="18"/>
          <w:szCs w:val="18"/>
          <w:lang w:eastAsia="en-AU"/>
        </w:rPr>
        <w:t>the draft rule determination for the National Electricity Amendment (Transparency of New Projects) Rule 2019 to improve the transparency of new generation projects in the N</w:t>
      </w:r>
      <w:r w:rsidR="001856F7">
        <w:rPr>
          <w:rFonts w:eastAsia="MS Mincho" w:cs="Arial"/>
          <w:spacing w:val="-3"/>
          <w:sz w:val="18"/>
          <w:szCs w:val="18"/>
          <w:lang w:eastAsia="en-AU"/>
        </w:rPr>
        <w:t>ational Electricity Market</w:t>
      </w:r>
      <w:r w:rsidRPr="00374897">
        <w:rPr>
          <w:rFonts w:eastAsia="MS Mincho" w:cs="Arial"/>
          <w:spacing w:val="-3"/>
          <w:sz w:val="18"/>
          <w:szCs w:val="18"/>
          <w:lang w:eastAsia="en-AU"/>
        </w:rPr>
        <w:t xml:space="preserve">. </w:t>
      </w:r>
      <w:r w:rsidR="001856F7" w:rsidRPr="001856F7">
        <w:rPr>
          <w:rFonts w:eastAsia="MS Mincho" w:cs="Arial"/>
          <w:spacing w:val="-3"/>
          <w:sz w:val="18"/>
          <w:szCs w:val="18"/>
          <w:lang w:eastAsia="en-AU"/>
        </w:rPr>
        <w:t>The Commission's draft rule</w:t>
      </w:r>
      <w:r w:rsidR="001856F7">
        <w:rPr>
          <w:rFonts w:eastAsia="MS Mincho" w:cs="Arial"/>
          <w:spacing w:val="-3"/>
          <w:sz w:val="18"/>
          <w:szCs w:val="18"/>
          <w:lang w:eastAsia="en-AU"/>
        </w:rPr>
        <w:t xml:space="preserve"> </w:t>
      </w:r>
      <w:r w:rsidR="001856F7" w:rsidRPr="004440C0">
        <w:rPr>
          <w:rFonts w:eastAsia="MS Mincho" w:cs="Arial"/>
          <w:spacing w:val="-3"/>
          <w:sz w:val="18"/>
          <w:szCs w:val="18"/>
          <w:lang w:eastAsia="en-AU"/>
        </w:rPr>
        <w:t>facilitates greater access to relevant system information for developers that sell</w:t>
      </w:r>
      <w:r w:rsidR="0092182A">
        <w:rPr>
          <w:rFonts w:eastAsia="MS Mincho" w:cs="Arial"/>
          <w:spacing w:val="-3"/>
          <w:sz w:val="18"/>
          <w:szCs w:val="18"/>
          <w:lang w:eastAsia="en-AU"/>
        </w:rPr>
        <w:t xml:space="preserve"> </w:t>
      </w:r>
      <w:r w:rsidR="001856F7" w:rsidRPr="004440C0">
        <w:rPr>
          <w:rFonts w:eastAsia="MS Mincho" w:cs="Arial"/>
          <w:spacing w:val="-3"/>
          <w:sz w:val="18"/>
          <w:szCs w:val="18"/>
          <w:lang w:eastAsia="en-AU"/>
        </w:rPr>
        <w:t>grid-scale assets prior to connection, codifies the Australian Energy Market Operator’s (AEMO) generator information page, and requires Transmission Network Service Providers to sh</w:t>
      </w:r>
      <w:r w:rsidR="00AD0BA7">
        <w:rPr>
          <w:rFonts w:eastAsia="MS Mincho" w:cs="Arial"/>
          <w:spacing w:val="-3"/>
          <w:sz w:val="18"/>
          <w:szCs w:val="18"/>
          <w:lang w:eastAsia="en-AU"/>
        </w:rPr>
        <w:t>are key connection information</w:t>
      </w:r>
      <w:r w:rsidR="001856F7" w:rsidRPr="004440C0">
        <w:rPr>
          <w:rFonts w:eastAsia="MS Mincho" w:cs="Arial"/>
          <w:spacing w:val="-3"/>
          <w:sz w:val="18"/>
          <w:szCs w:val="18"/>
          <w:lang w:eastAsia="en-AU"/>
        </w:rPr>
        <w:t>.</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B76DCD" w:rsidRPr="00E74ED3" w14:paraId="69CB9EA6" w14:textId="77777777" w:rsidTr="00E65E1A">
        <w:trPr>
          <w:trHeight w:val="510"/>
        </w:trPr>
        <w:tc>
          <w:tcPr>
            <w:tcW w:w="5104" w:type="dxa"/>
            <w:shd w:val="clear" w:color="auto" w:fill="auto"/>
            <w:vAlign w:val="center"/>
          </w:tcPr>
          <w:p w14:paraId="2C982982" w14:textId="77777777" w:rsidR="00B76DCD" w:rsidRPr="003117D0" w:rsidRDefault="00B76DCD" w:rsidP="00E768CD">
            <w:pPr>
              <w:pStyle w:val="TableParagraph"/>
              <w:keepNext/>
              <w:keepLines/>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Whole demand response mechanism</w:t>
            </w:r>
          </w:p>
        </w:tc>
        <w:tc>
          <w:tcPr>
            <w:tcW w:w="3260" w:type="dxa"/>
            <w:shd w:val="clear" w:color="auto" w:fill="auto"/>
            <w:vAlign w:val="center"/>
          </w:tcPr>
          <w:p w14:paraId="647D2B61" w14:textId="77777777" w:rsidR="00B76DCD" w:rsidRPr="003117D0" w:rsidRDefault="00B76DCD" w:rsidP="00C40F03">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Australian Energy Market Commission</w:t>
            </w:r>
          </w:p>
        </w:tc>
        <w:tc>
          <w:tcPr>
            <w:tcW w:w="1843" w:type="dxa"/>
            <w:shd w:val="clear" w:color="auto" w:fill="auto"/>
            <w:vAlign w:val="center"/>
          </w:tcPr>
          <w:p w14:paraId="30F60932" w14:textId="77777777" w:rsidR="00B76DCD" w:rsidRPr="003117D0" w:rsidRDefault="00B76DCD" w:rsidP="00731239">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12 Sep 2019</w:t>
            </w:r>
          </w:p>
        </w:tc>
      </w:tr>
    </w:tbl>
    <w:p w14:paraId="43923E31" w14:textId="77777777" w:rsidR="00893C42" w:rsidRPr="00B76DCD" w:rsidRDefault="00B76DCD" w:rsidP="00B76DCD">
      <w:pPr>
        <w:pStyle w:val="BodyText1"/>
        <w:keepNext/>
        <w:keepLines/>
        <w:widowControl w:val="0"/>
        <w:spacing w:after="60"/>
        <w:ind w:left="142"/>
        <w:rPr>
          <w:rFonts w:eastAsia="MS Mincho" w:cs="Arial"/>
          <w:spacing w:val="-3"/>
          <w:sz w:val="18"/>
          <w:szCs w:val="18"/>
          <w:lang w:eastAsia="en-AU"/>
        </w:rPr>
      </w:pPr>
      <w:r w:rsidRPr="004440C0">
        <w:rPr>
          <w:rFonts w:eastAsia="MS Mincho" w:cs="Arial"/>
          <w:spacing w:val="-3"/>
          <w:sz w:val="18"/>
          <w:szCs w:val="18"/>
          <w:lang w:eastAsia="en-AU"/>
        </w:rPr>
        <w:t>The Australian Energy Market Commission released the draft rule determination for the National Electricity Amendment (Wholesale demand response mechanism) Rule 2019 to provide a mechanism to facilitate wholesale demand response in the National Electricity Market. The mechanism is proposed to lower wholesale electricity prices and help manage the</w:t>
      </w:r>
      <w:r>
        <w:rPr>
          <w:rFonts w:eastAsia="MS Mincho" w:cs="Arial"/>
          <w:spacing w:val="-3"/>
          <w:sz w:val="18"/>
          <w:szCs w:val="18"/>
          <w:lang w:eastAsia="en-AU"/>
        </w:rPr>
        <w:t xml:space="preserve"> </w:t>
      </w:r>
      <w:r w:rsidRPr="004440C0">
        <w:rPr>
          <w:rFonts w:eastAsia="MS Mincho" w:cs="Arial"/>
          <w:spacing w:val="-3"/>
          <w:sz w:val="18"/>
          <w:szCs w:val="18"/>
          <w:lang w:eastAsia="en-AU"/>
        </w:rPr>
        <w:t>supply-demand balance at a lower cost.</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166606" w:rsidRPr="00EC2F18" w14:paraId="06A0CAE0" w14:textId="77777777" w:rsidTr="00E65E1A">
        <w:trPr>
          <w:trHeight w:val="510"/>
        </w:trPr>
        <w:tc>
          <w:tcPr>
            <w:tcW w:w="5104" w:type="dxa"/>
            <w:shd w:val="clear" w:color="auto" w:fill="auto"/>
            <w:vAlign w:val="center"/>
          </w:tcPr>
          <w:p w14:paraId="5C68A941" w14:textId="77777777" w:rsidR="00166606" w:rsidRPr="003117D0" w:rsidRDefault="000E5E66" w:rsidP="00707A0E">
            <w:pPr>
              <w:pStyle w:val="TableParagraph"/>
              <w:keepNext/>
              <w:keepLines/>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Smart demand response capabilities for selected a</w:t>
            </w:r>
            <w:r w:rsidR="00166606" w:rsidRPr="003117D0">
              <w:rPr>
                <w:rFonts w:ascii="Arial" w:hAnsi="Arial" w:cs="Arial"/>
                <w:b/>
                <w:spacing w:val="-3"/>
                <w:sz w:val="18"/>
                <w:szCs w:val="18"/>
              </w:rPr>
              <w:t>ppliances</w:t>
            </w:r>
          </w:p>
        </w:tc>
        <w:tc>
          <w:tcPr>
            <w:tcW w:w="3260" w:type="dxa"/>
            <w:shd w:val="clear" w:color="auto" w:fill="auto"/>
            <w:vAlign w:val="center"/>
          </w:tcPr>
          <w:p w14:paraId="3631F915" w14:textId="77777777" w:rsidR="00166606" w:rsidRPr="003117D0" w:rsidRDefault="00166606" w:rsidP="00C40F03">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COAG Energy Council</w:t>
            </w:r>
          </w:p>
        </w:tc>
        <w:tc>
          <w:tcPr>
            <w:tcW w:w="1843" w:type="dxa"/>
            <w:shd w:val="clear" w:color="auto" w:fill="auto"/>
            <w:vAlign w:val="center"/>
          </w:tcPr>
          <w:p w14:paraId="362D65A2" w14:textId="77777777" w:rsidR="00166606" w:rsidRPr="003117D0" w:rsidRDefault="00166606" w:rsidP="00707A0E">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23 Sep 2019</w:t>
            </w:r>
          </w:p>
        </w:tc>
      </w:tr>
    </w:tbl>
    <w:p w14:paraId="6193B0BD" w14:textId="77777777" w:rsidR="00B83396" w:rsidRDefault="00166606" w:rsidP="00B76DCD">
      <w:pPr>
        <w:pStyle w:val="BodyText1"/>
        <w:keepNext/>
        <w:keepLines/>
        <w:widowControl w:val="0"/>
        <w:spacing w:after="60"/>
        <w:ind w:left="142"/>
        <w:rPr>
          <w:rFonts w:eastAsia="MS Mincho" w:cs="Arial"/>
          <w:spacing w:val="-3"/>
          <w:sz w:val="18"/>
          <w:szCs w:val="18"/>
          <w:lang w:eastAsia="en-AU"/>
        </w:rPr>
      </w:pPr>
      <w:r w:rsidRPr="004440C0">
        <w:rPr>
          <w:rFonts w:eastAsia="MS Mincho" w:cs="Arial"/>
          <w:spacing w:val="-3"/>
          <w:sz w:val="18"/>
          <w:szCs w:val="18"/>
          <w:lang w:eastAsia="en-AU"/>
        </w:rPr>
        <w:t xml:space="preserve">The South Australian Department for Energy and Mining, on behalf of COAG Energy Council, </w:t>
      </w:r>
      <w:r w:rsidR="0053516D">
        <w:rPr>
          <w:rFonts w:eastAsia="MS Mincho" w:cs="Arial"/>
          <w:spacing w:val="-3"/>
          <w:sz w:val="18"/>
          <w:szCs w:val="18"/>
          <w:lang w:eastAsia="en-AU"/>
        </w:rPr>
        <w:t>is exploring</w:t>
      </w:r>
      <w:r w:rsidRPr="004440C0">
        <w:rPr>
          <w:rFonts w:eastAsia="MS Mincho" w:cs="Arial"/>
          <w:spacing w:val="-3"/>
          <w:sz w:val="18"/>
          <w:szCs w:val="18"/>
          <w:lang w:eastAsia="en-AU"/>
        </w:rPr>
        <w:t xml:space="preserve"> possible options to reduce future investment requirements for the electricity network and to reduce technical barriers to large scale participation by small consumers in the wholesale demand response mechanism, and other demand response markets. The RIS examines options including the status quo, voluntary adoption of demand response capable appliances, and mandating the presence of demand response capabilities in selected appliances.</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B76DCD" w:rsidRPr="00E433B0" w14:paraId="55332940" w14:textId="77777777" w:rsidTr="00E65E1A">
        <w:trPr>
          <w:trHeight w:val="510"/>
        </w:trPr>
        <w:tc>
          <w:tcPr>
            <w:tcW w:w="5104" w:type="dxa"/>
            <w:shd w:val="clear" w:color="auto" w:fill="auto"/>
            <w:vAlign w:val="center"/>
          </w:tcPr>
          <w:p w14:paraId="79F039CB"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Application of the Regional Reference Node Test to the Reliability and Emergency Reserve Trader</w:t>
            </w:r>
          </w:p>
        </w:tc>
        <w:tc>
          <w:tcPr>
            <w:tcW w:w="3260" w:type="dxa"/>
            <w:shd w:val="clear" w:color="auto" w:fill="auto"/>
            <w:vAlign w:val="center"/>
          </w:tcPr>
          <w:p w14:paraId="0FE6199C"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Australian Energy Market Commission </w:t>
            </w:r>
          </w:p>
        </w:tc>
        <w:tc>
          <w:tcPr>
            <w:tcW w:w="1843" w:type="dxa"/>
            <w:shd w:val="clear" w:color="auto" w:fill="auto"/>
            <w:vAlign w:val="center"/>
          </w:tcPr>
          <w:p w14:paraId="097128B4"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26 Sep 2019</w:t>
            </w:r>
          </w:p>
        </w:tc>
      </w:tr>
    </w:tbl>
    <w:p w14:paraId="26C26E5E" w14:textId="77777777" w:rsidR="00B76DCD" w:rsidRDefault="00B76DCD" w:rsidP="00B76DCD">
      <w:pPr>
        <w:pStyle w:val="BodyText1"/>
        <w:keepNext/>
        <w:keepLines/>
        <w:widowControl w:val="0"/>
        <w:spacing w:after="60"/>
        <w:ind w:left="142"/>
        <w:rPr>
          <w:rFonts w:eastAsia="MS Mincho" w:cs="Arial"/>
          <w:spacing w:val="-3"/>
          <w:sz w:val="18"/>
          <w:szCs w:val="18"/>
          <w:lang w:eastAsia="en-AU"/>
        </w:rPr>
      </w:pPr>
      <w:r w:rsidRPr="00E433B0">
        <w:rPr>
          <w:rFonts w:eastAsia="MS Mincho" w:cs="Arial"/>
          <w:spacing w:val="-3"/>
          <w:sz w:val="18"/>
          <w:szCs w:val="18"/>
          <w:lang w:eastAsia="en-AU"/>
        </w:rPr>
        <w:t>The Australian Energy Market Commission is exploring options to create transparency, predictability and consistency for the market, and remove as far as possible the need for the Australian Energy Market Operator to exercise discretion in determining how to apply the Regional Reference Node test.</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42"/>
        <w:gridCol w:w="1559"/>
        <w:gridCol w:w="142"/>
      </w:tblGrid>
      <w:tr w:rsidR="006C0C2E" w14:paraId="4F906C07" w14:textId="77777777" w:rsidTr="006C0C2E">
        <w:trPr>
          <w:gridAfter w:val="1"/>
          <w:wAfter w:w="142" w:type="dxa"/>
          <w:trHeight w:val="510"/>
          <w:tblHeader/>
        </w:trPr>
        <w:tc>
          <w:tcPr>
            <w:tcW w:w="5104" w:type="dxa"/>
            <w:shd w:val="clear" w:color="auto" w:fill="F4973F"/>
            <w:vAlign w:val="center"/>
            <w:hideMark/>
          </w:tcPr>
          <w:p w14:paraId="0C10D821" w14:textId="77777777" w:rsidR="006C0C2E" w:rsidRDefault="006C0C2E" w:rsidP="006C0C2E">
            <w:pPr>
              <w:pStyle w:val="TableParagraph"/>
              <w:keepNext/>
              <w:keepLines/>
              <w:kinsoku w:val="0"/>
              <w:overflowPunct w:val="0"/>
              <w:spacing w:beforeLines="60" w:before="144" w:after="120"/>
              <w:ind w:left="79"/>
              <w:rPr>
                <w:rFonts w:ascii="Arial" w:hAnsi="Arial" w:cs="Arial"/>
                <w:color w:val="FFFFFF"/>
                <w:w w:val="105"/>
                <w:sz w:val="18"/>
                <w:szCs w:val="18"/>
              </w:rPr>
            </w:pPr>
            <w:r>
              <w:rPr>
                <w:rFonts w:ascii="Arial" w:hAnsi="Arial" w:cs="Arial"/>
                <w:color w:val="FFFFFF"/>
                <w:w w:val="105"/>
                <w:sz w:val="18"/>
                <w:szCs w:val="18"/>
              </w:rPr>
              <w:lastRenderedPageBreak/>
              <w:t>Proposal</w:t>
            </w:r>
          </w:p>
        </w:tc>
        <w:tc>
          <w:tcPr>
            <w:tcW w:w="3402" w:type="dxa"/>
            <w:gridSpan w:val="2"/>
            <w:shd w:val="clear" w:color="auto" w:fill="F4973F"/>
            <w:vAlign w:val="center"/>
            <w:hideMark/>
          </w:tcPr>
          <w:p w14:paraId="7D402481" w14:textId="77777777" w:rsidR="006C0C2E" w:rsidRDefault="006C0C2E" w:rsidP="006C0C2E">
            <w:pPr>
              <w:pStyle w:val="TableParagraph"/>
              <w:keepNext/>
              <w:keepLines/>
              <w:kinsoku w:val="0"/>
              <w:overflowPunct w:val="0"/>
              <w:spacing w:beforeLines="60" w:before="144" w:after="120"/>
              <w:jc w:val="center"/>
            </w:pPr>
            <w:r>
              <w:rPr>
                <w:rFonts w:ascii="Arial" w:hAnsi="Arial" w:cs="Arial"/>
                <w:color w:val="FFFFFF"/>
                <w:w w:val="105"/>
                <w:sz w:val="18"/>
                <w:szCs w:val="18"/>
              </w:rPr>
              <w:t>Decision-making body</w:t>
            </w:r>
          </w:p>
        </w:tc>
        <w:tc>
          <w:tcPr>
            <w:tcW w:w="1559" w:type="dxa"/>
            <w:shd w:val="clear" w:color="auto" w:fill="F4973F"/>
            <w:vAlign w:val="center"/>
            <w:hideMark/>
          </w:tcPr>
          <w:p w14:paraId="20C563BF" w14:textId="77777777" w:rsidR="006C0C2E" w:rsidRDefault="006C0C2E" w:rsidP="006C0C2E">
            <w:pPr>
              <w:pStyle w:val="TableParagraph"/>
              <w:keepNext/>
              <w:keepLines/>
              <w:kinsoku w:val="0"/>
              <w:overflowPunct w:val="0"/>
              <w:spacing w:beforeLines="60" w:before="144" w:after="120"/>
              <w:jc w:val="center"/>
              <w:rPr>
                <w:rFonts w:ascii="Arial" w:hAnsi="Arial" w:cs="Arial"/>
                <w:color w:val="FFFFFF"/>
                <w:w w:val="105"/>
                <w:sz w:val="18"/>
                <w:szCs w:val="18"/>
              </w:rPr>
            </w:pPr>
            <w:r>
              <w:rPr>
                <w:rFonts w:ascii="Arial" w:hAnsi="Arial" w:cs="Arial"/>
                <w:color w:val="FFFFFF"/>
                <w:w w:val="105"/>
                <w:sz w:val="18"/>
                <w:szCs w:val="18"/>
              </w:rPr>
              <w:t>Closing date</w:t>
            </w:r>
          </w:p>
        </w:tc>
      </w:tr>
      <w:tr w:rsidR="00B76DCD" w:rsidRPr="00E433B0" w14:paraId="537B0741" w14:textId="77777777" w:rsidTr="00E65E1A">
        <w:trPr>
          <w:trHeight w:val="510"/>
        </w:trPr>
        <w:tc>
          <w:tcPr>
            <w:tcW w:w="5104" w:type="dxa"/>
            <w:shd w:val="clear" w:color="auto" w:fill="auto"/>
            <w:vAlign w:val="center"/>
          </w:tcPr>
          <w:p w14:paraId="728D39FB"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Threshold for participant compensation following market intervention</w:t>
            </w:r>
          </w:p>
        </w:tc>
        <w:tc>
          <w:tcPr>
            <w:tcW w:w="3260" w:type="dxa"/>
            <w:shd w:val="clear" w:color="auto" w:fill="auto"/>
            <w:vAlign w:val="center"/>
          </w:tcPr>
          <w:p w14:paraId="2EF6528A"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Australian Energy Market Commission </w:t>
            </w:r>
          </w:p>
        </w:tc>
        <w:tc>
          <w:tcPr>
            <w:tcW w:w="1843" w:type="dxa"/>
            <w:gridSpan w:val="3"/>
            <w:shd w:val="clear" w:color="auto" w:fill="auto"/>
            <w:vAlign w:val="center"/>
          </w:tcPr>
          <w:p w14:paraId="3AC93174" w14:textId="77777777" w:rsidR="00B76DCD" w:rsidRPr="003117D0" w:rsidRDefault="00B76DCD"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26 Sep 2019</w:t>
            </w:r>
          </w:p>
        </w:tc>
      </w:tr>
    </w:tbl>
    <w:p w14:paraId="31D239D5" w14:textId="77777777" w:rsidR="00B76DCD" w:rsidRPr="00B76DCD" w:rsidRDefault="00B76DCD" w:rsidP="00B76DCD">
      <w:pPr>
        <w:pStyle w:val="BodyText1"/>
        <w:keepNext/>
        <w:keepLines/>
        <w:widowControl w:val="0"/>
        <w:spacing w:after="60"/>
        <w:ind w:left="142"/>
        <w:rPr>
          <w:rFonts w:eastAsia="MS Mincho" w:cs="Arial"/>
          <w:spacing w:val="-3"/>
          <w:sz w:val="18"/>
          <w:szCs w:val="18"/>
          <w:lang w:eastAsia="en-AU"/>
        </w:rPr>
      </w:pPr>
      <w:r w:rsidRPr="00E433B0">
        <w:rPr>
          <w:rFonts w:eastAsia="MS Mincho" w:cs="Arial"/>
          <w:spacing w:val="-3"/>
          <w:sz w:val="18"/>
          <w:szCs w:val="18"/>
          <w:lang w:eastAsia="en-AU"/>
        </w:rPr>
        <w:t xml:space="preserve">The Australian Energy Market Commission </w:t>
      </w:r>
      <w:r>
        <w:rPr>
          <w:rFonts w:eastAsia="MS Mincho" w:cs="Arial"/>
          <w:spacing w:val="-3"/>
          <w:sz w:val="18"/>
          <w:szCs w:val="18"/>
          <w:lang w:eastAsia="en-AU"/>
        </w:rPr>
        <w:t>released a draft rule which will amend the National Electricity Rules so that the $5000 threshold for additional compensation claims by directed participants will be applied per direction, rather than per trading interval.</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032FC1" w:rsidRPr="00E74ED3" w14:paraId="55459687" w14:textId="77777777" w:rsidTr="00E65E1A">
        <w:trPr>
          <w:trHeight w:val="510"/>
        </w:trPr>
        <w:tc>
          <w:tcPr>
            <w:tcW w:w="5104" w:type="dxa"/>
            <w:shd w:val="clear" w:color="auto" w:fill="auto"/>
            <w:vAlign w:val="center"/>
          </w:tcPr>
          <w:p w14:paraId="69016576" w14:textId="77777777" w:rsidR="00032FC1" w:rsidRPr="003117D0" w:rsidRDefault="00032FC1" w:rsidP="00E768CD">
            <w:pPr>
              <w:pStyle w:val="TableParagraph"/>
              <w:keepNext/>
              <w:keepLines/>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 xml:space="preserve">Demand management incentive scheme and innovation allowance for </w:t>
            </w:r>
            <w:r w:rsidR="0092182A" w:rsidRPr="003117D0">
              <w:rPr>
                <w:rFonts w:ascii="Arial" w:hAnsi="Arial" w:cs="Arial"/>
                <w:b/>
                <w:spacing w:val="-3"/>
                <w:sz w:val="18"/>
                <w:szCs w:val="18"/>
              </w:rPr>
              <w:t>transmission network service providers (</w:t>
            </w:r>
            <w:r w:rsidRPr="003117D0">
              <w:rPr>
                <w:rFonts w:ascii="Arial" w:hAnsi="Arial" w:cs="Arial"/>
                <w:b/>
                <w:spacing w:val="-3"/>
                <w:sz w:val="18"/>
                <w:szCs w:val="18"/>
              </w:rPr>
              <w:t>TNSPs</w:t>
            </w:r>
            <w:r w:rsidR="0092182A" w:rsidRPr="003117D0">
              <w:rPr>
                <w:rFonts w:ascii="Arial" w:hAnsi="Arial" w:cs="Arial"/>
                <w:b/>
                <w:spacing w:val="-3"/>
                <w:sz w:val="18"/>
                <w:szCs w:val="18"/>
              </w:rPr>
              <w:t>)</w:t>
            </w:r>
          </w:p>
        </w:tc>
        <w:tc>
          <w:tcPr>
            <w:tcW w:w="3260" w:type="dxa"/>
            <w:shd w:val="clear" w:color="auto" w:fill="auto"/>
            <w:vAlign w:val="center"/>
          </w:tcPr>
          <w:p w14:paraId="759E4BD6" w14:textId="77777777" w:rsidR="00032FC1" w:rsidRPr="003117D0" w:rsidRDefault="00032FC1" w:rsidP="00707A0E">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Australian Energy Market Commission </w:t>
            </w:r>
          </w:p>
        </w:tc>
        <w:tc>
          <w:tcPr>
            <w:tcW w:w="1843" w:type="dxa"/>
            <w:shd w:val="clear" w:color="auto" w:fill="auto"/>
            <w:vAlign w:val="center"/>
          </w:tcPr>
          <w:p w14:paraId="54D04721" w14:textId="77777777" w:rsidR="00032FC1" w:rsidRPr="003117D0" w:rsidRDefault="00032FC1" w:rsidP="00707A0E">
            <w:pPr>
              <w:pStyle w:val="TableParagraph"/>
              <w:keepNext/>
              <w:keepLines/>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24 Oct 2019</w:t>
            </w:r>
          </w:p>
        </w:tc>
      </w:tr>
    </w:tbl>
    <w:p w14:paraId="69AC9534" w14:textId="77777777" w:rsidR="00E433B0" w:rsidRPr="00B76DCD" w:rsidRDefault="00032FC1" w:rsidP="00B76DCD">
      <w:pPr>
        <w:pStyle w:val="BodyText1"/>
        <w:keepNext/>
        <w:keepLines/>
        <w:widowControl w:val="0"/>
        <w:spacing w:after="60"/>
        <w:ind w:left="142"/>
        <w:rPr>
          <w:rFonts w:eastAsia="MS Mincho" w:cs="Arial"/>
          <w:spacing w:val="-3"/>
          <w:sz w:val="18"/>
          <w:szCs w:val="18"/>
          <w:lang w:val="en" w:eastAsia="en-AU"/>
        </w:rPr>
      </w:pPr>
      <w:r>
        <w:rPr>
          <w:rFonts w:eastAsia="MS Mincho" w:cs="Arial"/>
          <w:spacing w:val="-3"/>
          <w:sz w:val="18"/>
          <w:szCs w:val="18"/>
          <w:lang w:eastAsia="en-AU"/>
        </w:rPr>
        <w:t>T</w:t>
      </w:r>
      <w:r w:rsidRPr="00FB59D2">
        <w:rPr>
          <w:rFonts w:eastAsia="MS Mincho" w:cs="Arial"/>
          <w:spacing w:val="-3"/>
          <w:sz w:val="18"/>
          <w:szCs w:val="18"/>
          <w:lang w:eastAsia="en-AU"/>
        </w:rPr>
        <w:t>he Australian</w:t>
      </w:r>
      <w:r>
        <w:rPr>
          <w:rFonts w:eastAsia="MS Mincho" w:cs="Arial"/>
          <w:spacing w:val="-3"/>
          <w:sz w:val="18"/>
          <w:szCs w:val="18"/>
          <w:lang w:eastAsia="en-AU"/>
        </w:rPr>
        <w:t xml:space="preserve"> Energy Market Commission</w:t>
      </w:r>
      <w:r w:rsidRPr="00FB59D2">
        <w:rPr>
          <w:rFonts w:eastAsia="MS Mincho" w:cs="Arial"/>
          <w:spacing w:val="-3"/>
          <w:sz w:val="18"/>
          <w:szCs w:val="18"/>
          <w:lang w:eastAsia="en-AU"/>
        </w:rPr>
        <w:t xml:space="preserve"> released the draft rule determination for the National Electricity Amendment (Demand management incentive scheme and innovation allowance for TNSPs) Rule 2019</w:t>
      </w:r>
      <w:r>
        <w:rPr>
          <w:rFonts w:eastAsia="MS Mincho" w:cs="Arial"/>
          <w:spacing w:val="-3"/>
          <w:sz w:val="18"/>
          <w:szCs w:val="18"/>
          <w:lang w:eastAsia="en-AU"/>
        </w:rPr>
        <w:t xml:space="preserve"> </w:t>
      </w:r>
      <w:r w:rsidRPr="00FB59D2">
        <w:rPr>
          <w:rFonts w:eastAsia="MS Mincho" w:cs="Arial"/>
          <w:spacing w:val="-3"/>
          <w:sz w:val="18"/>
          <w:szCs w:val="18"/>
          <w:lang w:val="en" w:eastAsia="en-AU"/>
        </w:rPr>
        <w:t xml:space="preserve">to </w:t>
      </w:r>
      <w:r w:rsidR="00FC113B">
        <w:rPr>
          <w:rFonts w:eastAsia="MS Mincho" w:cs="Arial"/>
          <w:spacing w:val="-3"/>
          <w:sz w:val="18"/>
          <w:szCs w:val="18"/>
          <w:lang w:val="en" w:eastAsia="en-AU"/>
        </w:rPr>
        <w:t>i</w:t>
      </w:r>
      <w:r w:rsidR="00FC113B" w:rsidRPr="00FC113B">
        <w:rPr>
          <w:rFonts w:eastAsia="MS Mincho" w:cs="Arial"/>
          <w:spacing w:val="-3"/>
          <w:sz w:val="18"/>
          <w:szCs w:val="18"/>
          <w:lang w:val="en" w:eastAsia="en-AU"/>
        </w:rPr>
        <w:t>ntroduce a Demand Management Innovation Allowance mechanism for transmission to create a source of potential fundin</w:t>
      </w:r>
      <w:r w:rsidR="00FC113B">
        <w:rPr>
          <w:rFonts w:eastAsia="MS Mincho" w:cs="Arial"/>
          <w:spacing w:val="-3"/>
          <w:sz w:val="18"/>
          <w:szCs w:val="18"/>
          <w:lang w:val="en" w:eastAsia="en-AU"/>
        </w:rPr>
        <w:t xml:space="preserve">g for networks to overcome </w:t>
      </w:r>
      <w:r w:rsidR="00FC113B" w:rsidRPr="00FC113B">
        <w:rPr>
          <w:rFonts w:eastAsia="MS Mincho" w:cs="Arial"/>
          <w:spacing w:val="-3"/>
          <w:sz w:val="18"/>
          <w:szCs w:val="18"/>
          <w:lang w:val="en" w:eastAsia="en-AU"/>
        </w:rPr>
        <w:t>pr</w:t>
      </w:r>
      <w:r w:rsidR="00FC113B">
        <w:rPr>
          <w:rFonts w:eastAsia="MS Mincho" w:cs="Arial"/>
          <w:spacing w:val="-3"/>
          <w:sz w:val="18"/>
          <w:szCs w:val="18"/>
          <w:lang w:val="en" w:eastAsia="en-AU"/>
        </w:rPr>
        <w:t>actical implementation barriers</w:t>
      </w:r>
      <w:r w:rsidR="00FC113B" w:rsidRPr="00FC113B">
        <w:rPr>
          <w:rFonts w:eastAsia="MS Mincho" w:cs="Arial"/>
          <w:spacing w:val="-3"/>
          <w:sz w:val="18"/>
          <w:szCs w:val="18"/>
          <w:lang w:val="en" w:eastAsia="en-AU"/>
        </w:rPr>
        <w:t xml:space="preserve"> of non-network alternatives and recover their efficient costs.</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E433B0" w:rsidRPr="00F45AB7" w14:paraId="200B3BA6" w14:textId="77777777" w:rsidTr="00E65E1A">
        <w:trPr>
          <w:trHeight w:val="510"/>
        </w:trPr>
        <w:tc>
          <w:tcPr>
            <w:tcW w:w="5104" w:type="dxa"/>
            <w:shd w:val="clear" w:color="auto" w:fill="auto"/>
            <w:vAlign w:val="center"/>
          </w:tcPr>
          <w:p w14:paraId="1CE4D5C4"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DWGM Improvement to AMDQ Regime</w:t>
            </w:r>
          </w:p>
        </w:tc>
        <w:tc>
          <w:tcPr>
            <w:tcW w:w="3260" w:type="dxa"/>
            <w:shd w:val="clear" w:color="auto" w:fill="auto"/>
            <w:vAlign w:val="center"/>
          </w:tcPr>
          <w:p w14:paraId="11E98CEF"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Australian Energy Market Commission </w:t>
            </w:r>
          </w:p>
        </w:tc>
        <w:tc>
          <w:tcPr>
            <w:tcW w:w="1843" w:type="dxa"/>
            <w:shd w:val="clear" w:color="auto" w:fill="auto"/>
            <w:vAlign w:val="center"/>
          </w:tcPr>
          <w:p w14:paraId="47D0604D"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24 Oct 2019</w:t>
            </w:r>
          </w:p>
        </w:tc>
      </w:tr>
    </w:tbl>
    <w:p w14:paraId="69FC0254" w14:textId="77777777" w:rsidR="00E433B0" w:rsidRPr="00B76DCD" w:rsidRDefault="00E433B0" w:rsidP="00B76DCD">
      <w:pPr>
        <w:pStyle w:val="BodyText1"/>
        <w:keepNext/>
        <w:keepLines/>
        <w:widowControl w:val="0"/>
        <w:spacing w:after="60"/>
        <w:ind w:left="142"/>
        <w:rPr>
          <w:rFonts w:eastAsia="MS Mincho" w:cs="Arial"/>
          <w:spacing w:val="-3"/>
          <w:sz w:val="18"/>
          <w:szCs w:val="18"/>
          <w:lang w:eastAsia="en-AU"/>
        </w:rPr>
      </w:pPr>
      <w:r w:rsidRPr="003B75E8">
        <w:rPr>
          <w:rFonts w:eastAsia="MS Mincho" w:cs="Arial"/>
          <w:spacing w:val="-3"/>
          <w:sz w:val="18"/>
          <w:szCs w:val="18"/>
          <w:lang w:eastAsia="en-AU"/>
        </w:rPr>
        <w:t xml:space="preserve">The Australian Energy Market Commission released the draft rule determination for the National Gas Amendment (DWGM Improvement to AMDQ Regime) Rule 2019 to amend the National Gas Rules to replace the current authorised </w:t>
      </w:r>
      <w:proofErr w:type="spellStart"/>
      <w:r w:rsidRPr="003B75E8">
        <w:rPr>
          <w:rFonts w:eastAsia="MS Mincho" w:cs="Arial"/>
          <w:spacing w:val="-3"/>
          <w:sz w:val="18"/>
          <w:szCs w:val="18"/>
          <w:lang w:eastAsia="en-AU"/>
        </w:rPr>
        <w:t>maximium</w:t>
      </w:r>
      <w:proofErr w:type="spellEnd"/>
      <w:r w:rsidRPr="003B75E8">
        <w:rPr>
          <w:rFonts w:eastAsia="MS Mincho" w:cs="Arial"/>
          <w:spacing w:val="-3"/>
          <w:sz w:val="18"/>
          <w:szCs w:val="18"/>
          <w:lang w:eastAsia="en-AU"/>
        </w:rPr>
        <w:t xml:space="preserve"> daily quantity (AMDQ) regime in the Victorian Declared Wholesale Gas Market (DWGM) with a new entry and exit capacity certificates regime.</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E433B0" w:rsidRPr="00F45AB7" w14:paraId="616BFFC4" w14:textId="77777777" w:rsidTr="00E65E1A">
        <w:trPr>
          <w:trHeight w:val="510"/>
        </w:trPr>
        <w:tc>
          <w:tcPr>
            <w:tcW w:w="5104" w:type="dxa"/>
            <w:shd w:val="clear" w:color="auto" w:fill="auto"/>
            <w:vAlign w:val="center"/>
          </w:tcPr>
          <w:p w14:paraId="03F2451C"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sidRPr="003117D0">
              <w:rPr>
                <w:rFonts w:ascii="Arial" w:hAnsi="Arial" w:cs="Arial"/>
                <w:b/>
                <w:spacing w:val="-3"/>
                <w:sz w:val="18"/>
                <w:szCs w:val="18"/>
              </w:rPr>
              <w:t xml:space="preserve">DWGM Simpler Wholesale Price </w:t>
            </w:r>
          </w:p>
        </w:tc>
        <w:tc>
          <w:tcPr>
            <w:tcW w:w="3260" w:type="dxa"/>
            <w:shd w:val="clear" w:color="auto" w:fill="auto"/>
            <w:vAlign w:val="center"/>
          </w:tcPr>
          <w:p w14:paraId="0051E891"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 xml:space="preserve">Australian Energy Market Commission </w:t>
            </w:r>
          </w:p>
        </w:tc>
        <w:tc>
          <w:tcPr>
            <w:tcW w:w="1843" w:type="dxa"/>
            <w:shd w:val="clear" w:color="auto" w:fill="auto"/>
            <w:vAlign w:val="center"/>
          </w:tcPr>
          <w:p w14:paraId="6153A84A" w14:textId="77777777" w:rsidR="00E433B0" w:rsidRPr="003117D0" w:rsidRDefault="00E433B0" w:rsidP="00731239">
            <w:pPr>
              <w:pStyle w:val="TableParagraph"/>
              <w:keepNext/>
              <w:keepLines/>
              <w:shd w:val="clear" w:color="auto" w:fill="FFFFFF" w:themeFill="background1"/>
              <w:kinsoku w:val="0"/>
              <w:overflowPunct w:val="0"/>
              <w:spacing w:beforeLines="60" w:before="144" w:after="120"/>
              <w:jc w:val="center"/>
              <w:rPr>
                <w:rFonts w:ascii="Arial" w:hAnsi="Arial" w:cs="Arial"/>
                <w:b/>
                <w:spacing w:val="-3"/>
                <w:sz w:val="18"/>
                <w:szCs w:val="18"/>
              </w:rPr>
            </w:pPr>
            <w:r w:rsidRPr="003117D0">
              <w:rPr>
                <w:rFonts w:ascii="Arial" w:hAnsi="Arial" w:cs="Arial"/>
                <w:b/>
                <w:spacing w:val="-3"/>
                <w:sz w:val="18"/>
                <w:szCs w:val="18"/>
              </w:rPr>
              <w:t>24 Oct 2019</w:t>
            </w:r>
          </w:p>
        </w:tc>
      </w:tr>
    </w:tbl>
    <w:p w14:paraId="073FE51D" w14:textId="77777777" w:rsidR="000E5E66" w:rsidRDefault="00E433B0" w:rsidP="00B76DCD">
      <w:pPr>
        <w:pStyle w:val="BodyText1"/>
        <w:keepNext/>
        <w:keepLines/>
        <w:widowControl w:val="0"/>
        <w:spacing w:after="60"/>
        <w:ind w:left="142"/>
        <w:rPr>
          <w:rFonts w:eastAsia="MS Mincho" w:cs="Arial"/>
          <w:spacing w:val="-3"/>
          <w:sz w:val="18"/>
          <w:szCs w:val="18"/>
          <w:lang w:eastAsia="en-AU"/>
        </w:rPr>
      </w:pPr>
      <w:r w:rsidRPr="003B75E8">
        <w:rPr>
          <w:rFonts w:eastAsia="MS Mincho" w:cs="Arial"/>
          <w:spacing w:val="-3"/>
          <w:sz w:val="18"/>
          <w:szCs w:val="18"/>
          <w:lang w:eastAsia="en-AU"/>
        </w:rPr>
        <w:t>The Australian</w:t>
      </w:r>
      <w:r>
        <w:rPr>
          <w:rFonts w:eastAsia="MS Mincho" w:cs="Arial"/>
          <w:spacing w:val="-3"/>
          <w:sz w:val="18"/>
          <w:szCs w:val="18"/>
          <w:lang w:eastAsia="en-AU"/>
        </w:rPr>
        <w:t xml:space="preserve"> Energy Market Commission</w:t>
      </w:r>
      <w:r w:rsidRPr="003B75E8">
        <w:rPr>
          <w:rFonts w:eastAsia="MS Mincho" w:cs="Arial"/>
          <w:spacing w:val="-3"/>
          <w:sz w:val="18"/>
          <w:szCs w:val="18"/>
          <w:lang w:eastAsia="en-AU"/>
        </w:rPr>
        <w:t xml:space="preserve"> released the draft rule to amend the National Gas Rules in relation to the Victorian Declared Wholesale Gas Market (DWGM)</w:t>
      </w:r>
      <w:r w:rsidR="0092182A">
        <w:rPr>
          <w:rFonts w:eastAsia="MS Mincho" w:cs="Arial"/>
          <w:spacing w:val="-3"/>
          <w:sz w:val="18"/>
          <w:szCs w:val="18"/>
          <w:lang w:eastAsia="en-AU"/>
        </w:rPr>
        <w:t xml:space="preserve"> to require the Australian Energy Market Operator to take into account transmission constraints affecting withdrawals of gas for the pricing schedule, and to simplify the mechanism that market participants can use to protect against the risk of incurring congestion uplift payments</w:t>
      </w:r>
      <w:r w:rsidRPr="003B75E8">
        <w:rPr>
          <w:rFonts w:eastAsia="MS Mincho" w:cs="Arial"/>
          <w:spacing w:val="-3"/>
          <w:sz w:val="18"/>
          <w:szCs w:val="18"/>
          <w:lang w:eastAsia="en-AU"/>
        </w:rPr>
        <w:t>.</w:t>
      </w:r>
    </w:p>
    <w:tbl>
      <w:tblPr>
        <w:tblW w:w="0"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7B7DD5" w14:paraId="6DE52C53" w14:textId="77777777" w:rsidTr="00E65E1A">
        <w:trPr>
          <w:trHeight w:val="510"/>
        </w:trPr>
        <w:tc>
          <w:tcPr>
            <w:tcW w:w="5104" w:type="dxa"/>
            <w:vAlign w:val="center"/>
            <w:hideMark/>
          </w:tcPr>
          <w:p w14:paraId="39453405" w14:textId="77777777" w:rsidR="007B7DD5" w:rsidRDefault="007B7DD5" w:rsidP="007B7DD5">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lang w:eastAsia="en-US"/>
              </w:rPr>
            </w:pPr>
            <w:r>
              <w:rPr>
                <w:rFonts w:ascii="Arial" w:hAnsi="Arial" w:cs="Arial"/>
                <w:b/>
                <w:spacing w:val="-3"/>
                <w:sz w:val="18"/>
                <w:szCs w:val="18"/>
              </w:rPr>
              <w:t>Clarifying eligibility for origin claims in the Complementary Medicines Sector</w:t>
            </w:r>
          </w:p>
        </w:tc>
        <w:tc>
          <w:tcPr>
            <w:tcW w:w="2976" w:type="dxa"/>
            <w:vAlign w:val="center"/>
            <w:hideMark/>
          </w:tcPr>
          <w:p w14:paraId="2EE97D48" w14:textId="77777777" w:rsidR="007B7DD5" w:rsidRDefault="007B7DD5" w:rsidP="007B7DD5">
            <w:pPr>
              <w:pStyle w:val="TableParagraph"/>
              <w:keepNext/>
              <w:keepLines/>
              <w:shd w:val="clear" w:color="auto" w:fill="FFFFFF" w:themeFill="background1"/>
              <w:kinsoku w:val="0"/>
              <w:overflowPunct w:val="0"/>
              <w:spacing w:beforeLines="60" w:before="144" w:after="120"/>
              <w:jc w:val="center"/>
              <w:rPr>
                <w:rFonts w:ascii="Arial" w:hAnsi="Arial" w:cs="Arial"/>
                <w:spacing w:val="-3"/>
                <w:sz w:val="18"/>
                <w:szCs w:val="18"/>
                <w:lang w:eastAsia="en-US"/>
              </w:rPr>
            </w:pPr>
            <w:r w:rsidRPr="007B7DD5">
              <w:rPr>
                <w:rFonts w:ascii="Arial" w:hAnsi="Arial" w:cs="Arial"/>
                <w:b/>
                <w:spacing w:val="-3"/>
                <w:sz w:val="18"/>
                <w:szCs w:val="18"/>
              </w:rPr>
              <w:t>Legislative and Governance Forum on Consumer Affairs (CAF)</w:t>
            </w:r>
          </w:p>
        </w:tc>
        <w:tc>
          <w:tcPr>
            <w:tcW w:w="2127" w:type="dxa"/>
            <w:vAlign w:val="center"/>
            <w:hideMark/>
          </w:tcPr>
          <w:p w14:paraId="4E780859" w14:textId="77777777" w:rsidR="007B7DD5" w:rsidRDefault="007B7DD5" w:rsidP="00BF3DF3">
            <w:pPr>
              <w:pStyle w:val="TableParagraph"/>
              <w:keepNext/>
              <w:keepLines/>
              <w:shd w:val="clear" w:color="auto" w:fill="FFFFFF" w:themeFill="background1"/>
              <w:kinsoku w:val="0"/>
              <w:overflowPunct w:val="0"/>
              <w:spacing w:beforeLines="60" w:before="144" w:after="120"/>
              <w:ind w:left="281"/>
              <w:jc w:val="center"/>
              <w:rPr>
                <w:rFonts w:ascii="Arial" w:eastAsia="Arial" w:hAnsi="Arial" w:cs="Arial"/>
                <w:spacing w:val="-3"/>
                <w:sz w:val="18"/>
                <w:szCs w:val="18"/>
                <w:lang w:eastAsia="en-US"/>
              </w:rPr>
            </w:pPr>
            <w:r w:rsidRPr="007B7DD5">
              <w:rPr>
                <w:rFonts w:ascii="Arial" w:hAnsi="Arial" w:cs="Arial"/>
                <w:b/>
                <w:spacing w:val="-3"/>
                <w:sz w:val="18"/>
                <w:szCs w:val="18"/>
              </w:rPr>
              <w:t>30 Oct 2019</w:t>
            </w:r>
          </w:p>
        </w:tc>
      </w:tr>
    </w:tbl>
    <w:p w14:paraId="0BE25EDF" w14:textId="77777777" w:rsidR="007B7DD5" w:rsidRDefault="007B7DD5" w:rsidP="007B7DD5">
      <w:pPr>
        <w:pStyle w:val="BodyText1"/>
        <w:keepNext/>
        <w:keepLines/>
        <w:widowControl w:val="0"/>
        <w:spacing w:after="60"/>
        <w:ind w:left="142"/>
        <w:rPr>
          <w:rFonts w:ascii="Calibri" w:eastAsia="Calibri" w:hAnsi="Calibri"/>
          <w:szCs w:val="22"/>
          <w:lang w:eastAsia="en-AU"/>
        </w:rPr>
      </w:pPr>
      <w:r w:rsidRPr="007B7DD5">
        <w:rPr>
          <w:rFonts w:eastAsia="MS Mincho" w:cs="Arial"/>
          <w:spacing w:val="-3"/>
          <w:sz w:val="18"/>
          <w:szCs w:val="18"/>
          <w:lang w:eastAsia="en-AU"/>
        </w:rPr>
        <w:t>The RIS explores options to clarify origin claims for the Australian Complementary Medicines Sector. The options reflect quality assurance and product safety balanced with consumer protections and perceptions, including maintenance of the status quo, self-regulation by industry, and changing the Australian Consumer Law to allow Australian complementary medicines made substantially or entirely from imported ingredients to have access to the Australia Made, Australia Grown logo.</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E433B0" w:rsidRPr="00B83396" w14:paraId="08DC43C7" w14:textId="77777777" w:rsidTr="00E65E1A">
        <w:trPr>
          <w:trHeight w:val="510"/>
        </w:trPr>
        <w:tc>
          <w:tcPr>
            <w:tcW w:w="5104" w:type="dxa"/>
            <w:shd w:val="clear" w:color="auto" w:fill="auto"/>
            <w:vAlign w:val="center"/>
          </w:tcPr>
          <w:p w14:paraId="065E4816" w14:textId="77777777" w:rsidR="00E433B0" w:rsidRPr="003117D0" w:rsidRDefault="00E433B0" w:rsidP="00B83396">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3117D0">
              <w:rPr>
                <w:rFonts w:eastAsia="MS Mincho" w:cs="Arial"/>
                <w:b/>
                <w:spacing w:val="-3"/>
                <w:sz w:val="18"/>
                <w:szCs w:val="18"/>
                <w:lang w:eastAsia="en-AU"/>
              </w:rPr>
              <w:t>Reducing customers’ switching times</w:t>
            </w:r>
          </w:p>
        </w:tc>
        <w:tc>
          <w:tcPr>
            <w:tcW w:w="3260" w:type="dxa"/>
            <w:shd w:val="clear" w:color="auto" w:fill="auto"/>
            <w:vAlign w:val="center"/>
          </w:tcPr>
          <w:p w14:paraId="6A003ADF" w14:textId="77777777" w:rsidR="00E433B0" w:rsidRPr="003117D0" w:rsidRDefault="00E433B0" w:rsidP="00B83396">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3117D0">
              <w:rPr>
                <w:rFonts w:eastAsia="MS Mincho" w:cs="Arial"/>
                <w:b/>
                <w:spacing w:val="-3"/>
                <w:sz w:val="18"/>
                <w:szCs w:val="18"/>
                <w:lang w:eastAsia="en-AU"/>
              </w:rPr>
              <w:t xml:space="preserve">Australian Energy Market Commission </w:t>
            </w:r>
          </w:p>
        </w:tc>
        <w:tc>
          <w:tcPr>
            <w:tcW w:w="1843" w:type="dxa"/>
            <w:shd w:val="clear" w:color="auto" w:fill="auto"/>
            <w:vAlign w:val="center"/>
          </w:tcPr>
          <w:p w14:paraId="25DF76C6" w14:textId="77777777" w:rsidR="00E433B0" w:rsidRPr="003117D0" w:rsidRDefault="00E433B0" w:rsidP="00C40F03">
            <w:pPr>
              <w:keepNext/>
              <w:keepLines/>
              <w:widowControl w:val="0"/>
              <w:kinsoku w:val="0"/>
              <w:overflowPunct w:val="0"/>
              <w:autoSpaceDE w:val="0"/>
              <w:autoSpaceDN w:val="0"/>
              <w:adjustRightInd w:val="0"/>
              <w:spacing w:beforeLines="60" w:before="144" w:after="120" w:line="240" w:lineRule="auto"/>
              <w:ind w:right="-161"/>
              <w:jc w:val="center"/>
              <w:rPr>
                <w:rFonts w:eastAsia="MS Mincho" w:cs="Arial"/>
                <w:b/>
                <w:spacing w:val="-3"/>
                <w:sz w:val="18"/>
                <w:szCs w:val="18"/>
                <w:lang w:eastAsia="en-AU"/>
              </w:rPr>
            </w:pPr>
            <w:r w:rsidRPr="003117D0">
              <w:rPr>
                <w:rFonts w:eastAsia="MS Mincho" w:cs="Arial"/>
                <w:b/>
                <w:spacing w:val="-3"/>
                <w:sz w:val="18"/>
                <w:szCs w:val="18"/>
                <w:lang w:eastAsia="en-AU"/>
              </w:rPr>
              <w:t>7 Nov 2019</w:t>
            </w:r>
          </w:p>
        </w:tc>
      </w:tr>
    </w:tbl>
    <w:p w14:paraId="0520E577" w14:textId="77777777" w:rsidR="00350F35" w:rsidRDefault="00E433B0" w:rsidP="00350F35">
      <w:pPr>
        <w:pStyle w:val="BodyText1"/>
        <w:keepNext/>
        <w:keepLines/>
        <w:widowControl w:val="0"/>
        <w:spacing w:after="60"/>
        <w:ind w:left="142"/>
        <w:rPr>
          <w:rFonts w:eastAsia="MS Mincho" w:cs="Arial"/>
          <w:spacing w:val="-3"/>
          <w:sz w:val="18"/>
          <w:szCs w:val="18"/>
          <w:lang w:eastAsia="en-AU"/>
        </w:rPr>
      </w:pPr>
      <w:r w:rsidRPr="00B83396">
        <w:rPr>
          <w:rFonts w:eastAsia="MS Mincho" w:cs="Arial"/>
          <w:spacing w:val="-3"/>
          <w:sz w:val="18"/>
          <w:szCs w:val="18"/>
          <w:lang w:eastAsia="en-AU"/>
        </w:rPr>
        <w:t xml:space="preserve">The Australian Energy Market Commission (AEMC) </w:t>
      </w:r>
      <w:hyperlink r:id="rId12" w:history="1">
        <w:r w:rsidRPr="00B83396">
          <w:rPr>
            <w:rFonts w:eastAsia="MS Mincho" w:cs="Arial"/>
            <w:spacing w:val="-3"/>
            <w:sz w:val="18"/>
            <w:szCs w:val="18"/>
            <w:lang w:eastAsia="en-AU"/>
          </w:rPr>
          <w:t>released</w:t>
        </w:r>
      </w:hyperlink>
      <w:r w:rsidRPr="00B83396">
        <w:rPr>
          <w:rFonts w:eastAsia="MS Mincho" w:cs="Arial"/>
          <w:spacing w:val="-3"/>
          <w:sz w:val="18"/>
          <w:szCs w:val="18"/>
          <w:lang w:eastAsia="en-AU"/>
        </w:rPr>
        <w:t xml:space="preserve"> the draft rule determination for the National Electricity Amendment (Reducing customers’ switching times) Rule and National Energy Retail Amendment (Reducing customers’ switching times) Rule to create market processes that provide faster customer transfer process time and increase transparency and certainty within the customer transfer process.</w:t>
      </w:r>
    </w:p>
    <w:tbl>
      <w:tblPr>
        <w:tblW w:w="0" w:type="dxa"/>
        <w:tblInd w:w="-142" w:type="dxa"/>
        <w:tblCellMar>
          <w:left w:w="0" w:type="dxa"/>
          <w:right w:w="0" w:type="dxa"/>
        </w:tblCellMar>
        <w:tblLook w:val="04A0" w:firstRow="1" w:lastRow="0" w:firstColumn="1" w:lastColumn="0" w:noHBand="0" w:noVBand="1"/>
      </w:tblPr>
      <w:tblGrid>
        <w:gridCol w:w="4534"/>
        <w:gridCol w:w="3300"/>
        <w:gridCol w:w="2087"/>
      </w:tblGrid>
      <w:tr w:rsidR="00350F35" w14:paraId="7CFD6554" w14:textId="77777777" w:rsidTr="00E65E1A">
        <w:trPr>
          <w:trHeight w:val="510"/>
        </w:trPr>
        <w:tc>
          <w:tcPr>
            <w:tcW w:w="4678" w:type="dxa"/>
            <w:vAlign w:val="center"/>
            <w:hideMark/>
          </w:tcPr>
          <w:p w14:paraId="5A0FB43C" w14:textId="77777777" w:rsidR="00350F35" w:rsidRDefault="00350F35" w:rsidP="00350F35">
            <w:pPr>
              <w:pStyle w:val="TableParagraph"/>
              <w:keepNext/>
              <w:keepLines/>
              <w:shd w:val="clear" w:color="auto" w:fill="FFFFFF" w:themeFill="background1"/>
              <w:kinsoku w:val="0"/>
              <w:overflowPunct w:val="0"/>
              <w:spacing w:beforeLines="60" w:before="144" w:after="120"/>
              <w:ind w:left="79"/>
              <w:rPr>
                <w:rFonts w:ascii="Arial" w:hAnsi="Arial" w:cs="Arial"/>
                <w:b/>
                <w:bCs/>
                <w:spacing w:val="-3"/>
                <w:sz w:val="18"/>
                <w:szCs w:val="18"/>
                <w:lang w:eastAsia="en-US"/>
              </w:rPr>
            </w:pPr>
            <w:r w:rsidRPr="00350F35">
              <w:rPr>
                <w:rFonts w:ascii="Arial" w:hAnsi="Arial" w:cs="Arial"/>
                <w:b/>
                <w:spacing w:val="-3"/>
                <w:sz w:val="18"/>
                <w:szCs w:val="18"/>
              </w:rPr>
              <w:t>Barriers to the safe use of personal mobility devices</w:t>
            </w:r>
          </w:p>
        </w:tc>
        <w:tc>
          <w:tcPr>
            <w:tcW w:w="3402" w:type="dxa"/>
            <w:vAlign w:val="center"/>
            <w:hideMark/>
          </w:tcPr>
          <w:p w14:paraId="27824FDE" w14:textId="77777777" w:rsidR="00350F35" w:rsidRPr="00350F35" w:rsidRDefault="00350F35" w:rsidP="00350F35">
            <w:pPr>
              <w:pStyle w:val="TableParagraph"/>
              <w:keepNext/>
              <w:keepLines/>
              <w:shd w:val="clear" w:color="auto" w:fill="FFFFFF" w:themeFill="background1"/>
              <w:kinsoku w:val="0"/>
              <w:overflowPunct w:val="0"/>
              <w:spacing w:beforeLines="60" w:before="144" w:after="120"/>
              <w:ind w:left="-415" w:right="-1084"/>
              <w:jc w:val="center"/>
              <w:rPr>
                <w:rFonts w:ascii="Arial" w:hAnsi="Arial" w:cs="Arial"/>
                <w:b/>
                <w:spacing w:val="-3"/>
                <w:sz w:val="18"/>
                <w:szCs w:val="18"/>
              </w:rPr>
            </w:pPr>
            <w:r w:rsidRPr="00350F35">
              <w:rPr>
                <w:rFonts w:ascii="Arial" w:hAnsi="Arial" w:cs="Arial"/>
                <w:b/>
                <w:spacing w:val="-3"/>
                <w:sz w:val="18"/>
                <w:szCs w:val="18"/>
              </w:rPr>
              <w:t>National Transport Commission</w:t>
            </w:r>
          </w:p>
        </w:tc>
        <w:tc>
          <w:tcPr>
            <w:tcW w:w="2127" w:type="dxa"/>
            <w:vAlign w:val="center"/>
            <w:hideMark/>
          </w:tcPr>
          <w:p w14:paraId="4D3ECAF8" w14:textId="77777777" w:rsidR="00350F35" w:rsidRDefault="00350F35" w:rsidP="00BF3DF3">
            <w:pPr>
              <w:keepNext/>
              <w:keepLines/>
              <w:widowControl w:val="0"/>
              <w:kinsoku w:val="0"/>
              <w:overflowPunct w:val="0"/>
              <w:autoSpaceDE w:val="0"/>
              <w:autoSpaceDN w:val="0"/>
              <w:adjustRightInd w:val="0"/>
              <w:spacing w:beforeLines="60" w:before="144" w:after="120" w:line="240" w:lineRule="auto"/>
              <w:ind w:left="648" w:right="-341"/>
              <w:jc w:val="center"/>
              <w:rPr>
                <w:rFonts w:cs="Arial"/>
                <w:spacing w:val="-3"/>
                <w:sz w:val="18"/>
                <w:szCs w:val="18"/>
              </w:rPr>
            </w:pPr>
            <w:r w:rsidRPr="00350F35">
              <w:rPr>
                <w:rFonts w:eastAsia="MS Mincho" w:cs="Arial"/>
                <w:b/>
                <w:spacing w:val="-3"/>
                <w:sz w:val="18"/>
                <w:szCs w:val="18"/>
                <w:lang w:eastAsia="en-AU"/>
              </w:rPr>
              <w:t>13 Dec 2019</w:t>
            </w:r>
          </w:p>
        </w:tc>
      </w:tr>
    </w:tbl>
    <w:p w14:paraId="20255488" w14:textId="77777777" w:rsidR="00350F35" w:rsidRDefault="00350F35" w:rsidP="00350F35">
      <w:pPr>
        <w:rPr>
          <w:rFonts w:cs="Arial"/>
          <w:sz w:val="18"/>
          <w:szCs w:val="18"/>
        </w:rPr>
      </w:pPr>
      <w:r w:rsidRPr="00350F35">
        <w:rPr>
          <w:rFonts w:eastAsia="MS Mincho" w:cs="Arial"/>
          <w:spacing w:val="-3"/>
          <w:sz w:val="18"/>
          <w:szCs w:val="18"/>
          <w:lang w:eastAsia="en-AU"/>
        </w:rPr>
        <w:t>The National Transport Commission released a consultation Regulation Impact Statement (RIS) seeking feedback on options for regulatory frameworks to be included in the Australia</w:t>
      </w:r>
      <w:r w:rsidR="00AF095F">
        <w:rPr>
          <w:rFonts w:eastAsia="MS Mincho" w:cs="Arial"/>
          <w:spacing w:val="-3"/>
          <w:sz w:val="18"/>
          <w:szCs w:val="18"/>
          <w:lang w:eastAsia="en-AU"/>
        </w:rPr>
        <w:t>n</w:t>
      </w:r>
      <w:r w:rsidRPr="00350F35">
        <w:rPr>
          <w:rFonts w:eastAsia="MS Mincho" w:cs="Arial"/>
          <w:spacing w:val="-3"/>
          <w:sz w:val="18"/>
          <w:szCs w:val="18"/>
          <w:lang w:eastAsia="en-AU"/>
        </w:rPr>
        <w:t xml:space="preserve"> Road Rules (ARRs), to improve accessibility and safety on roads and paths for users of personal mobility devices (PMDs). The options set out requirements for PMDs including motor type, braking, dimensions and weight</w:t>
      </w:r>
      <w:r>
        <w:rPr>
          <w:rFonts w:cs="Arial"/>
          <w:sz w:val="18"/>
          <w:szCs w:val="18"/>
        </w:rPr>
        <w:t>.</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426"/>
        <w:gridCol w:w="1559"/>
      </w:tblGrid>
      <w:tr w:rsidR="005906B0" w14:paraId="65A7606B" w14:textId="77777777" w:rsidTr="005906B0">
        <w:trPr>
          <w:trHeight w:val="510"/>
          <w:tblHeader/>
        </w:trPr>
        <w:tc>
          <w:tcPr>
            <w:tcW w:w="5104" w:type="dxa"/>
            <w:shd w:val="clear" w:color="auto" w:fill="F4973F"/>
            <w:vAlign w:val="center"/>
            <w:hideMark/>
          </w:tcPr>
          <w:p w14:paraId="5328B98D" w14:textId="77777777" w:rsidR="005906B0" w:rsidRDefault="005906B0" w:rsidP="007B4CD7">
            <w:pPr>
              <w:pStyle w:val="TableParagraph"/>
              <w:keepNext/>
              <w:keepLines/>
              <w:kinsoku w:val="0"/>
              <w:overflowPunct w:val="0"/>
              <w:spacing w:beforeLines="60" w:before="144" w:after="120"/>
              <w:ind w:left="79"/>
              <w:rPr>
                <w:rFonts w:ascii="Arial" w:hAnsi="Arial" w:cs="Arial"/>
                <w:color w:val="FFFFFF"/>
                <w:w w:val="105"/>
                <w:sz w:val="18"/>
                <w:szCs w:val="18"/>
              </w:rPr>
            </w:pPr>
            <w:r>
              <w:rPr>
                <w:rFonts w:ascii="Arial" w:hAnsi="Arial" w:cs="Arial"/>
                <w:color w:val="FFFFFF"/>
                <w:w w:val="105"/>
                <w:sz w:val="18"/>
                <w:szCs w:val="18"/>
              </w:rPr>
              <w:lastRenderedPageBreak/>
              <w:t>Proposal</w:t>
            </w:r>
          </w:p>
        </w:tc>
        <w:tc>
          <w:tcPr>
            <w:tcW w:w="3402" w:type="dxa"/>
            <w:gridSpan w:val="2"/>
            <w:shd w:val="clear" w:color="auto" w:fill="F4973F"/>
            <w:vAlign w:val="center"/>
            <w:hideMark/>
          </w:tcPr>
          <w:p w14:paraId="5C632F63" w14:textId="77777777" w:rsidR="005906B0" w:rsidRDefault="005906B0" w:rsidP="007B4CD7">
            <w:pPr>
              <w:pStyle w:val="TableParagraph"/>
              <w:keepNext/>
              <w:keepLines/>
              <w:kinsoku w:val="0"/>
              <w:overflowPunct w:val="0"/>
              <w:spacing w:beforeLines="60" w:before="144" w:after="120"/>
              <w:jc w:val="center"/>
            </w:pPr>
            <w:r>
              <w:rPr>
                <w:rFonts w:ascii="Arial" w:hAnsi="Arial" w:cs="Arial"/>
                <w:color w:val="FFFFFF"/>
                <w:w w:val="105"/>
                <w:sz w:val="18"/>
                <w:szCs w:val="18"/>
              </w:rPr>
              <w:t>Decision-making body</w:t>
            </w:r>
          </w:p>
        </w:tc>
        <w:tc>
          <w:tcPr>
            <w:tcW w:w="1559" w:type="dxa"/>
            <w:shd w:val="clear" w:color="auto" w:fill="F4973F"/>
            <w:vAlign w:val="center"/>
            <w:hideMark/>
          </w:tcPr>
          <w:p w14:paraId="641DC8A5" w14:textId="77777777" w:rsidR="005906B0" w:rsidRDefault="005906B0" w:rsidP="007B4CD7">
            <w:pPr>
              <w:pStyle w:val="TableParagraph"/>
              <w:keepNext/>
              <w:keepLines/>
              <w:kinsoku w:val="0"/>
              <w:overflowPunct w:val="0"/>
              <w:spacing w:beforeLines="60" w:before="144" w:after="120"/>
              <w:jc w:val="center"/>
              <w:rPr>
                <w:rFonts w:ascii="Arial" w:hAnsi="Arial" w:cs="Arial"/>
                <w:color w:val="FFFFFF"/>
                <w:w w:val="105"/>
                <w:sz w:val="18"/>
                <w:szCs w:val="18"/>
              </w:rPr>
            </w:pPr>
            <w:r>
              <w:rPr>
                <w:rFonts w:ascii="Arial" w:hAnsi="Arial" w:cs="Arial"/>
                <w:color w:val="FFFFFF"/>
                <w:w w:val="105"/>
                <w:sz w:val="18"/>
                <w:szCs w:val="18"/>
              </w:rPr>
              <w:t>Closing date</w:t>
            </w:r>
          </w:p>
        </w:tc>
      </w:tr>
      <w:tr w:rsidR="00C40F03" w:rsidRPr="00C40F03" w14:paraId="2D24F86B" w14:textId="77777777" w:rsidTr="00E65E1A">
        <w:trPr>
          <w:trHeight w:val="510"/>
        </w:trPr>
        <w:tc>
          <w:tcPr>
            <w:tcW w:w="5104" w:type="dxa"/>
            <w:shd w:val="clear" w:color="auto" w:fill="auto"/>
            <w:vAlign w:val="center"/>
          </w:tcPr>
          <w:p w14:paraId="612ADA16" w14:textId="77777777" w:rsidR="00C40F03" w:rsidRPr="00C40F03" w:rsidRDefault="00C40F03" w:rsidP="00A56DE0">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C40F03">
              <w:rPr>
                <w:rFonts w:eastAsia="MS Mincho" w:cs="Arial"/>
                <w:b/>
                <w:spacing w:val="-3"/>
                <w:sz w:val="18"/>
                <w:szCs w:val="18"/>
                <w:lang w:eastAsia="en-AU"/>
              </w:rPr>
              <w:t>Options to Improve Gas Pipeline Regulation</w:t>
            </w:r>
          </w:p>
        </w:tc>
        <w:tc>
          <w:tcPr>
            <w:tcW w:w="2976" w:type="dxa"/>
            <w:shd w:val="clear" w:color="auto" w:fill="auto"/>
            <w:vAlign w:val="center"/>
          </w:tcPr>
          <w:p w14:paraId="43FD6970" w14:textId="77777777" w:rsidR="00C40F03" w:rsidRPr="00C40F03" w:rsidRDefault="00C40F03" w:rsidP="00A56DE0">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3117D0">
              <w:rPr>
                <w:rFonts w:cs="Arial"/>
                <w:b/>
                <w:spacing w:val="-3"/>
                <w:sz w:val="18"/>
                <w:szCs w:val="18"/>
              </w:rPr>
              <w:t>COAG Energy Council</w:t>
            </w:r>
          </w:p>
        </w:tc>
        <w:tc>
          <w:tcPr>
            <w:tcW w:w="1985" w:type="dxa"/>
            <w:gridSpan w:val="2"/>
            <w:shd w:val="clear" w:color="auto" w:fill="auto"/>
            <w:vAlign w:val="center"/>
          </w:tcPr>
          <w:p w14:paraId="6BC2D9A8" w14:textId="77777777" w:rsidR="00C40F03" w:rsidRPr="00C40F03" w:rsidRDefault="00C40F03" w:rsidP="00BF3DF3">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Pr>
                <w:rFonts w:eastAsia="MS Mincho" w:cs="Arial"/>
                <w:b/>
                <w:spacing w:val="-3"/>
                <w:sz w:val="18"/>
                <w:szCs w:val="18"/>
                <w:lang w:eastAsia="en-AU"/>
              </w:rPr>
              <w:t>20 Dec 2019</w:t>
            </w:r>
          </w:p>
        </w:tc>
      </w:tr>
    </w:tbl>
    <w:p w14:paraId="7E5AFA68" w14:textId="77777777" w:rsidR="00C40F03" w:rsidRDefault="00C40F03" w:rsidP="00C40F03">
      <w:pPr>
        <w:pStyle w:val="BodyText1"/>
        <w:keepNext/>
        <w:keepLines/>
        <w:widowControl w:val="0"/>
        <w:spacing w:after="60"/>
        <w:ind w:left="142"/>
        <w:rPr>
          <w:rFonts w:eastAsia="MS Mincho" w:cs="Arial"/>
          <w:spacing w:val="-3"/>
          <w:sz w:val="18"/>
          <w:szCs w:val="18"/>
          <w:lang w:eastAsia="en-AU"/>
        </w:rPr>
      </w:pPr>
      <w:r>
        <w:rPr>
          <w:rFonts w:eastAsia="MS Mincho" w:cs="Arial"/>
          <w:spacing w:val="-3"/>
          <w:sz w:val="18"/>
          <w:szCs w:val="18"/>
          <w:lang w:eastAsia="en-AU"/>
        </w:rPr>
        <w:t>An e</w:t>
      </w:r>
      <w:r w:rsidRPr="00C40F03">
        <w:rPr>
          <w:rFonts w:eastAsia="MS Mincho" w:cs="Arial"/>
          <w:spacing w:val="-3"/>
          <w:sz w:val="18"/>
          <w:szCs w:val="18"/>
          <w:lang w:eastAsia="en-AU"/>
        </w:rPr>
        <w:t>valuat</w:t>
      </w:r>
      <w:r>
        <w:rPr>
          <w:rFonts w:eastAsia="MS Mincho" w:cs="Arial"/>
          <w:spacing w:val="-3"/>
          <w:sz w:val="18"/>
          <w:szCs w:val="18"/>
          <w:lang w:eastAsia="en-AU"/>
        </w:rPr>
        <w:t xml:space="preserve">ion of </w:t>
      </w:r>
      <w:r w:rsidRPr="00C40F03">
        <w:rPr>
          <w:rFonts w:eastAsia="MS Mincho" w:cs="Arial"/>
          <w:spacing w:val="-3"/>
          <w:sz w:val="18"/>
          <w:szCs w:val="18"/>
          <w:lang w:eastAsia="en-AU"/>
        </w:rPr>
        <w:t>options to deliver a more efficient and well-integrated regulatory framework for gas pipelines and to assess how effective Part 23 (Access to non-scheme pipelines) of the National Gas Rules has been in meeting its objectives.</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1985"/>
      </w:tblGrid>
      <w:tr w:rsidR="00350F35" w14:paraId="6743C497" w14:textId="77777777" w:rsidTr="00E65E1A">
        <w:trPr>
          <w:trHeight w:val="510"/>
        </w:trPr>
        <w:tc>
          <w:tcPr>
            <w:tcW w:w="5104" w:type="dxa"/>
            <w:vAlign w:val="center"/>
            <w:hideMark/>
          </w:tcPr>
          <w:p w14:paraId="03456A4F" w14:textId="77777777" w:rsidR="00350F35" w:rsidRPr="00350F35" w:rsidRDefault="00350F35" w:rsidP="00350F35">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350F35">
              <w:rPr>
                <w:rFonts w:eastAsia="MS Mincho" w:cs="Arial"/>
                <w:b/>
                <w:spacing w:val="-3"/>
                <w:sz w:val="18"/>
                <w:szCs w:val="18"/>
                <w:lang w:eastAsia="en-AU"/>
              </w:rPr>
              <w:t>Improving Transparency and Extending Duration of MT PASA</w:t>
            </w:r>
          </w:p>
        </w:tc>
        <w:tc>
          <w:tcPr>
            <w:tcW w:w="2976" w:type="dxa"/>
            <w:vAlign w:val="center"/>
            <w:hideMark/>
          </w:tcPr>
          <w:p w14:paraId="190C1C5D" w14:textId="77777777" w:rsidR="00350F35" w:rsidRPr="00350F35" w:rsidRDefault="00350F35" w:rsidP="00350F35">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350F35">
              <w:rPr>
                <w:rFonts w:eastAsia="MS Mincho" w:cs="Arial"/>
                <w:b/>
                <w:spacing w:val="-3"/>
                <w:sz w:val="18"/>
                <w:szCs w:val="18"/>
                <w:lang w:eastAsia="en-AU"/>
              </w:rPr>
              <w:t>Australian Energy Market Commission</w:t>
            </w:r>
          </w:p>
        </w:tc>
        <w:tc>
          <w:tcPr>
            <w:tcW w:w="1985" w:type="dxa"/>
            <w:vAlign w:val="center"/>
            <w:hideMark/>
          </w:tcPr>
          <w:p w14:paraId="00A8D017" w14:textId="77777777" w:rsidR="00350F35" w:rsidRPr="00350F35" w:rsidRDefault="00350F35" w:rsidP="00350F35">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350F35">
              <w:rPr>
                <w:rFonts w:eastAsia="MS Mincho" w:cs="Arial"/>
                <w:b/>
                <w:spacing w:val="-3"/>
                <w:sz w:val="18"/>
                <w:szCs w:val="18"/>
                <w:lang w:eastAsia="en-AU"/>
              </w:rPr>
              <w:t>9 Jan 2020</w:t>
            </w:r>
          </w:p>
        </w:tc>
      </w:tr>
    </w:tbl>
    <w:p w14:paraId="2DD9C493" w14:textId="77777777" w:rsidR="00350F35" w:rsidRDefault="00350F35" w:rsidP="00350F35">
      <w:pPr>
        <w:pStyle w:val="BodyText1"/>
        <w:keepNext/>
        <w:keepLines/>
        <w:widowControl w:val="0"/>
        <w:spacing w:after="60"/>
        <w:ind w:left="142"/>
        <w:rPr>
          <w:rFonts w:eastAsia="MS Mincho" w:cs="Arial"/>
          <w:spacing w:val="-3"/>
          <w:sz w:val="18"/>
          <w:szCs w:val="18"/>
          <w:lang w:eastAsia="en-AU"/>
        </w:rPr>
      </w:pPr>
      <w:r w:rsidRPr="00350F35">
        <w:rPr>
          <w:rFonts w:eastAsia="MS Mincho" w:cs="Arial"/>
          <w:spacing w:val="-3"/>
          <w:sz w:val="18"/>
          <w:szCs w:val="18"/>
          <w:lang w:eastAsia="en-AU"/>
        </w:rPr>
        <w:t>Amendment to improve transparency of the medium-term (MT) projected assessment of system adequacy (PASA) process, reduce asymmetry of generation availability information in the market, and extend the MT PASA duration to three years</w:t>
      </w:r>
      <w:r>
        <w:rPr>
          <w:rFonts w:eastAsia="MS Mincho" w:cs="Arial"/>
          <w:spacing w:val="-3"/>
          <w:sz w:val="18"/>
          <w:szCs w:val="18"/>
          <w:lang w:eastAsia="en-AU"/>
        </w:rPr>
        <w:t>.</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1985"/>
      </w:tblGrid>
      <w:tr w:rsidR="00C40F03" w:rsidRPr="00C40F03" w14:paraId="0BA722CB" w14:textId="77777777" w:rsidTr="00E65E1A">
        <w:trPr>
          <w:trHeight w:val="510"/>
        </w:trPr>
        <w:tc>
          <w:tcPr>
            <w:tcW w:w="5104" w:type="dxa"/>
            <w:shd w:val="clear" w:color="auto" w:fill="auto"/>
            <w:vAlign w:val="center"/>
          </w:tcPr>
          <w:p w14:paraId="16571A0A" w14:textId="77777777" w:rsidR="00C40F03" w:rsidRPr="00C40F03" w:rsidRDefault="00C40F03" w:rsidP="00C40F03">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C40F03">
              <w:rPr>
                <w:rFonts w:eastAsia="MS Mincho" w:cs="Arial"/>
                <w:b/>
                <w:spacing w:val="-3"/>
                <w:sz w:val="18"/>
                <w:szCs w:val="18"/>
                <w:lang w:eastAsia="en-AU"/>
              </w:rPr>
              <w:t>Transmission loss factors</w:t>
            </w:r>
          </w:p>
        </w:tc>
        <w:tc>
          <w:tcPr>
            <w:tcW w:w="2976" w:type="dxa"/>
            <w:shd w:val="clear" w:color="auto" w:fill="auto"/>
            <w:vAlign w:val="center"/>
          </w:tcPr>
          <w:p w14:paraId="268EB4EC" w14:textId="77777777" w:rsidR="00C40F03" w:rsidRPr="00C40F03" w:rsidRDefault="00C40F03" w:rsidP="00C40F03">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C40F03">
              <w:rPr>
                <w:rFonts w:eastAsia="MS Mincho" w:cs="Arial"/>
                <w:b/>
                <w:spacing w:val="-3"/>
                <w:sz w:val="18"/>
                <w:szCs w:val="18"/>
                <w:lang w:eastAsia="en-AU"/>
              </w:rPr>
              <w:t>Australian Energy Market Commission</w:t>
            </w:r>
          </w:p>
        </w:tc>
        <w:tc>
          <w:tcPr>
            <w:tcW w:w="1985" w:type="dxa"/>
            <w:shd w:val="clear" w:color="auto" w:fill="auto"/>
            <w:vAlign w:val="center"/>
          </w:tcPr>
          <w:p w14:paraId="4BBF798E" w14:textId="77777777" w:rsidR="00C40F03" w:rsidRPr="00C40F03" w:rsidRDefault="00C40F03" w:rsidP="00C40F03">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C40F03">
              <w:rPr>
                <w:rFonts w:eastAsia="MS Mincho" w:cs="Arial"/>
                <w:b/>
                <w:spacing w:val="-3"/>
                <w:sz w:val="18"/>
                <w:szCs w:val="18"/>
                <w:lang w:eastAsia="en-AU"/>
              </w:rPr>
              <w:t>16 Jan 2020</w:t>
            </w:r>
          </w:p>
        </w:tc>
      </w:tr>
    </w:tbl>
    <w:p w14:paraId="25EE6FEF" w14:textId="77777777" w:rsidR="00C40F03" w:rsidRDefault="00C40F03" w:rsidP="00C40F03">
      <w:pPr>
        <w:pStyle w:val="BodyText1"/>
        <w:keepNext/>
        <w:keepLines/>
        <w:widowControl w:val="0"/>
        <w:spacing w:after="60"/>
        <w:ind w:left="142"/>
        <w:rPr>
          <w:rFonts w:eastAsia="MS Mincho" w:cs="Arial"/>
          <w:spacing w:val="-3"/>
          <w:sz w:val="18"/>
          <w:szCs w:val="18"/>
          <w:lang w:eastAsia="en-AU"/>
        </w:rPr>
      </w:pPr>
      <w:r w:rsidRPr="00C40F03">
        <w:rPr>
          <w:rFonts w:eastAsia="MS Mincho" w:cs="Arial"/>
          <w:spacing w:val="-3"/>
          <w:sz w:val="18"/>
          <w:szCs w:val="18"/>
          <w:lang w:eastAsia="en-AU"/>
        </w:rPr>
        <w:t>To provide the Australian Energy Market Operator (AEMO) with greater flexibility to refine and improve the methodology to determine marginal loss factors.</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1985"/>
      </w:tblGrid>
      <w:tr w:rsidR="00BC65C2" w:rsidRPr="00BC65C2" w14:paraId="7082E37A" w14:textId="77777777" w:rsidTr="00E65E1A">
        <w:trPr>
          <w:trHeight w:val="510"/>
        </w:trPr>
        <w:tc>
          <w:tcPr>
            <w:tcW w:w="5104" w:type="dxa"/>
            <w:shd w:val="clear" w:color="auto" w:fill="auto"/>
            <w:vAlign w:val="center"/>
          </w:tcPr>
          <w:p w14:paraId="4748E16A" w14:textId="77777777" w:rsidR="00BC65C2" w:rsidRPr="00BC65C2" w:rsidRDefault="00BC65C2" w:rsidP="00BC65C2">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BC65C2">
              <w:rPr>
                <w:rFonts w:eastAsia="MS Mincho" w:cs="Arial"/>
                <w:b/>
                <w:spacing w:val="-3"/>
                <w:sz w:val="18"/>
                <w:szCs w:val="18"/>
                <w:lang w:eastAsia="en-AU"/>
              </w:rPr>
              <w:t>Regulating conditional discounting</w:t>
            </w:r>
          </w:p>
        </w:tc>
        <w:tc>
          <w:tcPr>
            <w:tcW w:w="2976" w:type="dxa"/>
            <w:shd w:val="clear" w:color="auto" w:fill="auto"/>
            <w:vAlign w:val="center"/>
          </w:tcPr>
          <w:p w14:paraId="51FC852F" w14:textId="77777777" w:rsidR="00BC65C2" w:rsidRPr="00BC65C2" w:rsidRDefault="00BC65C2" w:rsidP="00BC65C2">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BC65C2">
              <w:rPr>
                <w:rFonts w:eastAsia="MS Mincho" w:cs="Arial"/>
                <w:b/>
                <w:spacing w:val="-3"/>
                <w:sz w:val="18"/>
                <w:szCs w:val="18"/>
                <w:lang w:eastAsia="en-AU"/>
              </w:rPr>
              <w:t>Australian Energy Market Commission</w:t>
            </w:r>
          </w:p>
        </w:tc>
        <w:tc>
          <w:tcPr>
            <w:tcW w:w="1985" w:type="dxa"/>
            <w:shd w:val="clear" w:color="auto" w:fill="auto"/>
            <w:vAlign w:val="center"/>
          </w:tcPr>
          <w:p w14:paraId="5F8E4892" w14:textId="77777777" w:rsidR="00BC65C2" w:rsidRPr="00BC65C2" w:rsidRDefault="00BC65C2" w:rsidP="00BC65C2">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BC65C2">
              <w:rPr>
                <w:rFonts w:eastAsia="MS Mincho" w:cs="Arial"/>
                <w:b/>
                <w:spacing w:val="-3"/>
                <w:sz w:val="18"/>
                <w:szCs w:val="18"/>
                <w:lang w:eastAsia="en-AU"/>
              </w:rPr>
              <w:t>16 Jan 2020</w:t>
            </w:r>
          </w:p>
        </w:tc>
      </w:tr>
    </w:tbl>
    <w:p w14:paraId="685DA260" w14:textId="77777777" w:rsidR="00BC65C2" w:rsidRDefault="00BC65C2" w:rsidP="00C40F03">
      <w:pPr>
        <w:pStyle w:val="BodyText1"/>
        <w:keepNext/>
        <w:keepLines/>
        <w:widowControl w:val="0"/>
        <w:spacing w:after="60"/>
        <w:ind w:left="142"/>
        <w:rPr>
          <w:rFonts w:eastAsia="MS Mincho" w:cs="Arial"/>
          <w:spacing w:val="-3"/>
          <w:sz w:val="18"/>
          <w:szCs w:val="18"/>
          <w:lang w:eastAsia="en-AU"/>
        </w:rPr>
      </w:pPr>
      <w:r>
        <w:rPr>
          <w:rFonts w:eastAsia="MS Mincho" w:cs="Arial"/>
          <w:spacing w:val="-3"/>
          <w:sz w:val="18"/>
          <w:szCs w:val="18"/>
          <w:lang w:eastAsia="en-AU"/>
        </w:rPr>
        <w:t>T</w:t>
      </w:r>
      <w:r w:rsidRPr="002F3ED4">
        <w:rPr>
          <w:rFonts w:eastAsia="MS Mincho" w:cs="Arial"/>
          <w:spacing w:val="-3"/>
          <w:sz w:val="18"/>
          <w:szCs w:val="18"/>
          <w:lang w:eastAsia="en-AU"/>
        </w:rPr>
        <w:t xml:space="preserve">o </w:t>
      </w:r>
      <w:r w:rsidRPr="0091103C">
        <w:rPr>
          <w:rFonts w:eastAsia="MS Mincho" w:cs="Arial"/>
          <w:spacing w:val="-3"/>
          <w:sz w:val="18"/>
          <w:szCs w:val="18"/>
          <w:lang w:eastAsia="en-AU"/>
        </w:rPr>
        <w:t>amend the</w:t>
      </w:r>
      <w:r>
        <w:rPr>
          <w:rFonts w:eastAsia="MS Mincho" w:cs="Arial"/>
          <w:spacing w:val="-3"/>
          <w:sz w:val="18"/>
          <w:szCs w:val="18"/>
          <w:lang w:eastAsia="en-AU"/>
        </w:rPr>
        <w:t xml:space="preserve"> National Energy Retail Rules </w:t>
      </w:r>
      <w:r w:rsidRPr="0091103C">
        <w:rPr>
          <w:rFonts w:eastAsia="MS Mincho" w:cs="Arial"/>
          <w:spacing w:val="-3"/>
          <w:sz w:val="18"/>
          <w:szCs w:val="18"/>
          <w:lang w:eastAsia="en-AU"/>
        </w:rPr>
        <w:t>to limit the level of conditional discounts in energy retail contracts</w:t>
      </w:r>
      <w:r w:rsidRPr="008B159F">
        <w:t xml:space="preserve"> </w:t>
      </w:r>
      <w:r w:rsidRPr="008B159F">
        <w:rPr>
          <w:rFonts w:eastAsia="MS Mincho" w:cs="Arial"/>
          <w:spacing w:val="-3"/>
          <w:sz w:val="18"/>
          <w:szCs w:val="18"/>
          <w:lang w:eastAsia="en-AU"/>
        </w:rPr>
        <w:t>to the "reasonable costs" the retailer is likely to incur when payment conditions are not met</w:t>
      </w:r>
      <w:r>
        <w:rPr>
          <w:rFonts w:eastAsia="MS Mincho" w:cs="Arial"/>
          <w:spacing w:val="-3"/>
          <w:sz w:val="18"/>
          <w:szCs w:val="18"/>
          <w:lang w:eastAsia="en-AU"/>
        </w:rPr>
        <w:t>.</w:t>
      </w:r>
    </w:p>
    <w:tbl>
      <w:tblPr>
        <w:tblW w:w="0"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064381" w14:paraId="44E3B2C7" w14:textId="77777777" w:rsidTr="00E65E1A">
        <w:trPr>
          <w:trHeight w:val="510"/>
        </w:trPr>
        <w:tc>
          <w:tcPr>
            <w:tcW w:w="5104" w:type="dxa"/>
            <w:vAlign w:val="center"/>
            <w:hideMark/>
          </w:tcPr>
          <w:p w14:paraId="6B2B1BCF" w14:textId="77777777" w:rsidR="00064381" w:rsidRDefault="00064381" w:rsidP="00064381">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064381">
              <w:rPr>
                <w:rFonts w:eastAsia="MS Mincho" w:cs="Arial"/>
                <w:b/>
                <w:spacing w:val="-3"/>
                <w:sz w:val="18"/>
                <w:szCs w:val="18"/>
                <w:lang w:eastAsia="en-AU"/>
              </w:rPr>
              <w:t xml:space="preserve">National Electricity Amendment (Victorian jurisdictional derogation – RERT contracting) Rule </w:t>
            </w:r>
          </w:p>
        </w:tc>
        <w:tc>
          <w:tcPr>
            <w:tcW w:w="2976" w:type="dxa"/>
            <w:vAlign w:val="center"/>
            <w:hideMark/>
          </w:tcPr>
          <w:p w14:paraId="6FD6B35B" w14:textId="77777777" w:rsidR="00064381" w:rsidRPr="00064381" w:rsidRDefault="00064381" w:rsidP="00064381">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064381">
              <w:rPr>
                <w:rFonts w:eastAsia="MS Mincho" w:cs="Arial"/>
                <w:b/>
                <w:spacing w:val="-3"/>
                <w:sz w:val="18"/>
                <w:szCs w:val="18"/>
                <w:lang w:eastAsia="en-AU"/>
              </w:rPr>
              <w:t>Australian Energy Market Commission</w:t>
            </w:r>
          </w:p>
        </w:tc>
        <w:tc>
          <w:tcPr>
            <w:tcW w:w="2127" w:type="dxa"/>
            <w:vAlign w:val="center"/>
            <w:hideMark/>
          </w:tcPr>
          <w:p w14:paraId="1AAB9E46" w14:textId="77777777" w:rsidR="00064381" w:rsidRDefault="00064381" w:rsidP="00BF3DF3">
            <w:pPr>
              <w:keepNext/>
              <w:keepLines/>
              <w:widowControl w:val="0"/>
              <w:kinsoku w:val="0"/>
              <w:overflowPunct w:val="0"/>
              <w:autoSpaceDE w:val="0"/>
              <w:autoSpaceDN w:val="0"/>
              <w:adjustRightInd w:val="0"/>
              <w:spacing w:beforeLines="60" w:before="144" w:after="120" w:line="240" w:lineRule="auto"/>
              <w:ind w:left="281" w:right="-146"/>
              <w:jc w:val="center"/>
              <w:rPr>
                <w:rFonts w:eastAsia="Arial" w:cs="Arial"/>
                <w:spacing w:val="-3"/>
                <w:sz w:val="18"/>
                <w:szCs w:val="18"/>
              </w:rPr>
            </w:pPr>
            <w:r w:rsidRPr="00064381">
              <w:rPr>
                <w:rFonts w:eastAsia="MS Mincho" w:cs="Arial"/>
                <w:b/>
                <w:spacing w:val="-3"/>
                <w:sz w:val="18"/>
                <w:szCs w:val="18"/>
                <w:lang w:eastAsia="en-AU"/>
              </w:rPr>
              <w:t>30 Jan 2020</w:t>
            </w:r>
          </w:p>
        </w:tc>
      </w:tr>
    </w:tbl>
    <w:p w14:paraId="6E4E63D7" w14:textId="77777777" w:rsidR="00064381" w:rsidRPr="00064381" w:rsidRDefault="00064381" w:rsidP="00064381">
      <w:pPr>
        <w:pStyle w:val="BodyText1"/>
        <w:keepNext/>
        <w:keepLines/>
        <w:widowControl w:val="0"/>
        <w:spacing w:after="60"/>
        <w:ind w:left="142"/>
        <w:rPr>
          <w:rFonts w:eastAsia="MS Mincho" w:cs="Arial"/>
          <w:spacing w:val="-3"/>
          <w:sz w:val="18"/>
          <w:szCs w:val="18"/>
          <w:lang w:eastAsia="en-AU"/>
        </w:rPr>
      </w:pPr>
      <w:r w:rsidRPr="00064381">
        <w:rPr>
          <w:rFonts w:eastAsia="MS Mincho" w:cs="Arial"/>
          <w:spacing w:val="-3"/>
          <w:sz w:val="18"/>
          <w:szCs w:val="18"/>
          <w:lang w:eastAsia="en-AU"/>
        </w:rPr>
        <w:t>Provides the Australian Energy Market Operator (AEMO) with the flexibility to enter into multi-year contracts with providers of emergency reserves in Victoria.</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1985"/>
      </w:tblGrid>
      <w:tr w:rsidR="00BC65C2" w:rsidRPr="00BC65C2" w14:paraId="6370ACDF" w14:textId="77777777" w:rsidTr="00E65E1A">
        <w:trPr>
          <w:trHeight w:val="510"/>
        </w:trPr>
        <w:tc>
          <w:tcPr>
            <w:tcW w:w="5104" w:type="dxa"/>
            <w:shd w:val="clear" w:color="auto" w:fill="auto"/>
            <w:vAlign w:val="center"/>
          </w:tcPr>
          <w:p w14:paraId="5059305B" w14:textId="77777777" w:rsidR="00BC65C2" w:rsidRPr="00BC65C2" w:rsidRDefault="00BC65C2" w:rsidP="00A56DE0">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BC65C2">
              <w:rPr>
                <w:rFonts w:eastAsia="MS Mincho" w:cs="Arial"/>
                <w:b/>
                <w:spacing w:val="-3"/>
                <w:sz w:val="18"/>
                <w:szCs w:val="18"/>
                <w:lang w:eastAsia="en-AU"/>
              </w:rPr>
              <w:t>National Electricity Amendment (Short Term Forward Market) Rule 2020</w:t>
            </w:r>
          </w:p>
        </w:tc>
        <w:tc>
          <w:tcPr>
            <w:tcW w:w="2976" w:type="dxa"/>
            <w:shd w:val="clear" w:color="auto" w:fill="auto"/>
            <w:vAlign w:val="center"/>
          </w:tcPr>
          <w:p w14:paraId="08A0F9A4" w14:textId="77777777" w:rsidR="00BC65C2" w:rsidRPr="00BC65C2" w:rsidRDefault="00BC65C2" w:rsidP="00A56DE0">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BC65C2">
              <w:rPr>
                <w:rFonts w:eastAsia="MS Mincho" w:cs="Arial"/>
                <w:b/>
                <w:spacing w:val="-3"/>
                <w:sz w:val="18"/>
                <w:szCs w:val="18"/>
                <w:lang w:eastAsia="en-AU"/>
              </w:rPr>
              <w:t>Australian Energy Market Commission</w:t>
            </w:r>
          </w:p>
        </w:tc>
        <w:tc>
          <w:tcPr>
            <w:tcW w:w="1985" w:type="dxa"/>
            <w:shd w:val="clear" w:color="auto" w:fill="auto"/>
            <w:vAlign w:val="center"/>
          </w:tcPr>
          <w:p w14:paraId="2295AF3E" w14:textId="77777777" w:rsidR="00BC65C2" w:rsidRPr="00BC65C2" w:rsidRDefault="00BC65C2" w:rsidP="00A56DE0">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Pr>
                <w:rFonts w:eastAsia="MS Mincho" w:cs="Arial"/>
                <w:b/>
                <w:spacing w:val="-3"/>
                <w:sz w:val="18"/>
                <w:szCs w:val="18"/>
                <w:lang w:eastAsia="en-AU"/>
              </w:rPr>
              <w:t>6 Feb</w:t>
            </w:r>
            <w:r w:rsidRPr="00BC65C2">
              <w:rPr>
                <w:rFonts w:eastAsia="MS Mincho" w:cs="Arial"/>
                <w:b/>
                <w:spacing w:val="-3"/>
                <w:sz w:val="18"/>
                <w:szCs w:val="18"/>
                <w:lang w:eastAsia="en-AU"/>
              </w:rPr>
              <w:t xml:space="preserve"> 2020</w:t>
            </w:r>
          </w:p>
        </w:tc>
      </w:tr>
    </w:tbl>
    <w:p w14:paraId="74A4CE8F" w14:textId="77777777" w:rsidR="00A56DE0" w:rsidRDefault="00BC65C2" w:rsidP="00C40F03">
      <w:pPr>
        <w:pStyle w:val="BodyText1"/>
        <w:keepNext/>
        <w:keepLines/>
        <w:widowControl w:val="0"/>
        <w:spacing w:after="60"/>
        <w:ind w:left="142"/>
        <w:rPr>
          <w:rFonts w:eastAsia="MS Mincho" w:cs="Arial"/>
          <w:spacing w:val="-3"/>
          <w:sz w:val="18"/>
          <w:szCs w:val="18"/>
          <w:lang w:eastAsia="en-AU"/>
        </w:rPr>
      </w:pPr>
      <w:r w:rsidRPr="00BC65C2">
        <w:rPr>
          <w:rFonts w:eastAsia="MS Mincho" w:cs="Arial"/>
          <w:spacing w:val="-3"/>
          <w:sz w:val="18"/>
          <w:szCs w:val="18"/>
          <w:lang w:eastAsia="en-AU"/>
        </w:rPr>
        <w:t>Draft rule determination indicating the Australian Energy Market Commission’s intention to not introduce a voluntary short term forward market (STFM).</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1985"/>
      </w:tblGrid>
      <w:tr w:rsidR="00BF3DF3" w:rsidRPr="00BC65C2" w14:paraId="47F0B4F6" w14:textId="77777777" w:rsidTr="00E65E1A">
        <w:trPr>
          <w:trHeight w:val="510"/>
        </w:trPr>
        <w:tc>
          <w:tcPr>
            <w:tcW w:w="5104" w:type="dxa"/>
            <w:shd w:val="clear" w:color="auto" w:fill="auto"/>
            <w:vAlign w:val="center"/>
          </w:tcPr>
          <w:p w14:paraId="71954533" w14:textId="77777777" w:rsidR="00BF3DF3" w:rsidRPr="00BC65C2" w:rsidRDefault="00BF3DF3" w:rsidP="00BF3DF3">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BF3DF3">
              <w:rPr>
                <w:rFonts w:eastAsia="MS Mincho" w:cs="Arial"/>
                <w:b/>
                <w:spacing w:val="-3"/>
                <w:sz w:val="18"/>
                <w:szCs w:val="18"/>
                <w:lang w:eastAsia="en-AU"/>
              </w:rPr>
              <w:t>Phasing out certain waste exports</w:t>
            </w:r>
          </w:p>
        </w:tc>
        <w:tc>
          <w:tcPr>
            <w:tcW w:w="2976" w:type="dxa"/>
            <w:shd w:val="clear" w:color="auto" w:fill="auto"/>
            <w:vAlign w:val="center"/>
          </w:tcPr>
          <w:p w14:paraId="068C9C1C" w14:textId="77777777" w:rsidR="00BF3DF3" w:rsidRPr="00BC65C2" w:rsidRDefault="00BF3DF3" w:rsidP="00BF3DF3">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BF3DF3">
              <w:rPr>
                <w:rFonts w:eastAsia="MS Mincho" w:cs="Arial"/>
                <w:b/>
                <w:spacing w:val="-3"/>
                <w:sz w:val="18"/>
                <w:szCs w:val="18"/>
                <w:lang w:eastAsia="en-AU"/>
              </w:rPr>
              <w:t>Council of Australian Governments</w:t>
            </w:r>
          </w:p>
        </w:tc>
        <w:tc>
          <w:tcPr>
            <w:tcW w:w="1985" w:type="dxa"/>
            <w:shd w:val="clear" w:color="auto" w:fill="auto"/>
            <w:vAlign w:val="center"/>
          </w:tcPr>
          <w:p w14:paraId="5B4D84E9" w14:textId="77777777" w:rsidR="00BF3DF3" w:rsidRPr="00BC65C2" w:rsidRDefault="00BF3DF3" w:rsidP="00BF3DF3">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Pr>
                <w:rFonts w:eastAsia="MS Mincho" w:cs="Arial"/>
                <w:b/>
                <w:spacing w:val="-3"/>
                <w:sz w:val="18"/>
                <w:szCs w:val="18"/>
                <w:lang w:eastAsia="en-AU"/>
              </w:rPr>
              <w:t>12 Feb</w:t>
            </w:r>
            <w:r w:rsidRPr="00BC65C2">
              <w:rPr>
                <w:rFonts w:eastAsia="MS Mincho" w:cs="Arial"/>
                <w:b/>
                <w:spacing w:val="-3"/>
                <w:sz w:val="18"/>
                <w:szCs w:val="18"/>
                <w:lang w:eastAsia="en-AU"/>
              </w:rPr>
              <w:t xml:space="preserve"> 2020</w:t>
            </w:r>
          </w:p>
        </w:tc>
      </w:tr>
    </w:tbl>
    <w:p w14:paraId="785B24CB" w14:textId="77777777" w:rsidR="00C76841" w:rsidRDefault="00BF3DF3" w:rsidP="00BF3DF3">
      <w:pPr>
        <w:pStyle w:val="BodyText1"/>
        <w:keepNext/>
        <w:keepLines/>
        <w:widowControl w:val="0"/>
        <w:spacing w:after="60"/>
        <w:ind w:left="142"/>
        <w:rPr>
          <w:rFonts w:eastAsia="MS Mincho" w:cs="Arial"/>
          <w:spacing w:val="-3"/>
          <w:sz w:val="18"/>
          <w:szCs w:val="18"/>
          <w:lang w:eastAsia="en-AU"/>
        </w:rPr>
      </w:pPr>
      <w:r w:rsidRPr="00BF3DF3">
        <w:rPr>
          <w:rFonts w:eastAsia="MS Mincho" w:cs="Arial"/>
          <w:spacing w:val="-3"/>
          <w:sz w:val="18"/>
          <w:szCs w:val="18"/>
          <w:lang w:eastAsia="en-AU"/>
        </w:rPr>
        <w:t>The Commonwealth Department of the Environment and Energy released a consultation Regulation Impact Statement (RIS) to canvass industry and other interested stakeholders views on the regulatory options under consideration to determine the relative costs and benefits of those options.</w:t>
      </w:r>
    </w:p>
    <w:tbl>
      <w:tblPr>
        <w:tblW w:w="0"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E768CD" w14:paraId="30C05AFB" w14:textId="77777777" w:rsidTr="00E65E1A">
        <w:trPr>
          <w:trHeight w:val="510"/>
        </w:trPr>
        <w:tc>
          <w:tcPr>
            <w:tcW w:w="5104" w:type="dxa"/>
            <w:vAlign w:val="center"/>
            <w:hideMark/>
          </w:tcPr>
          <w:p w14:paraId="5B9F815F" w14:textId="77777777" w:rsidR="00E768CD" w:rsidRDefault="00E768CD" w:rsidP="00E768CD">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E768CD">
              <w:rPr>
                <w:rFonts w:eastAsia="MS Mincho" w:cs="Arial"/>
                <w:b/>
                <w:spacing w:val="-3"/>
                <w:sz w:val="18"/>
                <w:szCs w:val="18"/>
                <w:lang w:eastAsia="en-AU"/>
              </w:rPr>
              <w:t>National Electricity Amendment Rule and National Energy Retail Amendment Rule (</w:t>
            </w:r>
            <w:r w:rsidRPr="00E768CD">
              <w:rPr>
                <w:rFonts w:eastAsia="MS Mincho" w:cs="Arial"/>
                <w:b/>
                <w:i/>
                <w:spacing w:val="-3"/>
                <w:sz w:val="18"/>
                <w:szCs w:val="18"/>
                <w:lang w:eastAsia="en-AU"/>
              </w:rPr>
              <w:t>Introduction of metering coordinator planned interruptions</w:t>
            </w:r>
            <w:r w:rsidRPr="00E768CD">
              <w:rPr>
                <w:rFonts w:eastAsia="MS Mincho" w:cs="Arial"/>
                <w:b/>
                <w:spacing w:val="-3"/>
                <w:sz w:val="18"/>
                <w:szCs w:val="18"/>
                <w:lang w:eastAsia="en-AU"/>
              </w:rPr>
              <w:t>)</w:t>
            </w:r>
          </w:p>
        </w:tc>
        <w:tc>
          <w:tcPr>
            <w:tcW w:w="2976" w:type="dxa"/>
            <w:vAlign w:val="center"/>
            <w:hideMark/>
          </w:tcPr>
          <w:p w14:paraId="1132FCA5" w14:textId="77777777" w:rsidR="00E768CD" w:rsidRPr="00E768CD" w:rsidRDefault="00E768CD" w:rsidP="00E768CD">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E768CD">
              <w:rPr>
                <w:rFonts w:eastAsia="MS Mincho" w:cs="Arial"/>
                <w:b/>
                <w:spacing w:val="-3"/>
                <w:sz w:val="18"/>
                <w:szCs w:val="18"/>
                <w:lang w:eastAsia="en-AU"/>
              </w:rPr>
              <w:t>Australian Energy Market Commission</w:t>
            </w:r>
          </w:p>
        </w:tc>
        <w:tc>
          <w:tcPr>
            <w:tcW w:w="2127" w:type="dxa"/>
            <w:vAlign w:val="center"/>
            <w:hideMark/>
          </w:tcPr>
          <w:p w14:paraId="6C130554" w14:textId="77777777" w:rsidR="00E768CD" w:rsidRPr="00E768CD" w:rsidRDefault="00E768CD" w:rsidP="00BF3DF3">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E768CD">
              <w:rPr>
                <w:rFonts w:eastAsia="MS Mincho" w:cs="Arial"/>
                <w:b/>
                <w:spacing w:val="-3"/>
                <w:sz w:val="18"/>
                <w:szCs w:val="18"/>
                <w:lang w:eastAsia="en-AU"/>
              </w:rPr>
              <w:t>13 Feb 2020</w:t>
            </w:r>
          </w:p>
        </w:tc>
      </w:tr>
    </w:tbl>
    <w:p w14:paraId="5E6F2593" w14:textId="77777777" w:rsidR="00E768CD" w:rsidRDefault="00E768CD" w:rsidP="00E768CD">
      <w:pPr>
        <w:pStyle w:val="BodyText1"/>
        <w:keepNext/>
        <w:keepLines/>
        <w:widowControl w:val="0"/>
        <w:spacing w:after="60"/>
        <w:ind w:left="142"/>
        <w:rPr>
          <w:rFonts w:eastAsia="MS Mincho" w:cs="Arial"/>
          <w:spacing w:val="-3"/>
          <w:sz w:val="18"/>
          <w:szCs w:val="18"/>
          <w:lang w:eastAsia="en-AU"/>
        </w:rPr>
      </w:pPr>
      <w:r w:rsidRPr="00E768CD">
        <w:rPr>
          <w:rFonts w:eastAsia="MS Mincho" w:cs="Arial"/>
          <w:spacing w:val="-3"/>
          <w:sz w:val="18"/>
          <w:szCs w:val="18"/>
          <w:lang w:eastAsia="en-AU"/>
        </w:rPr>
        <w:t>The draft rules provide customers with shared fusing at their premises with greater certainty on when their electricity meter will be installed.</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E768CD" w:rsidRPr="00C00A7D" w14:paraId="756F83C5" w14:textId="77777777" w:rsidTr="00E65E1A">
        <w:trPr>
          <w:trHeight w:val="510"/>
        </w:trPr>
        <w:tc>
          <w:tcPr>
            <w:tcW w:w="5104" w:type="dxa"/>
            <w:shd w:val="clear" w:color="auto" w:fill="auto"/>
            <w:vAlign w:val="center"/>
          </w:tcPr>
          <w:p w14:paraId="690162CC" w14:textId="77777777" w:rsidR="00E768CD" w:rsidRPr="00155486" w:rsidRDefault="00E768CD" w:rsidP="00E768CD">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E768CD">
              <w:rPr>
                <w:rFonts w:eastAsia="MS Mincho" w:cs="Arial"/>
                <w:b/>
                <w:spacing w:val="-3"/>
                <w:sz w:val="18"/>
                <w:szCs w:val="18"/>
                <w:lang w:eastAsia="en-AU"/>
              </w:rPr>
              <w:t xml:space="preserve">National Electricity Amendment (Mandatory Primary Frequency Response) Rule </w:t>
            </w:r>
          </w:p>
        </w:tc>
        <w:tc>
          <w:tcPr>
            <w:tcW w:w="2976" w:type="dxa"/>
            <w:shd w:val="clear" w:color="auto" w:fill="auto"/>
            <w:vAlign w:val="center"/>
          </w:tcPr>
          <w:p w14:paraId="7538299D" w14:textId="77777777" w:rsidR="00E768CD" w:rsidRPr="00E768CD" w:rsidRDefault="00E768CD" w:rsidP="00E768CD">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E768CD">
              <w:rPr>
                <w:rFonts w:eastAsia="MS Mincho" w:cs="Arial"/>
                <w:b/>
                <w:spacing w:val="-3"/>
                <w:sz w:val="18"/>
                <w:szCs w:val="18"/>
                <w:lang w:eastAsia="en-AU"/>
              </w:rPr>
              <w:t>Australian Energy Market Commission</w:t>
            </w:r>
          </w:p>
        </w:tc>
        <w:tc>
          <w:tcPr>
            <w:tcW w:w="2127" w:type="dxa"/>
            <w:shd w:val="clear" w:color="auto" w:fill="auto"/>
            <w:vAlign w:val="center"/>
          </w:tcPr>
          <w:p w14:paraId="06A14F65" w14:textId="77777777" w:rsidR="00E768CD" w:rsidRPr="0090433F" w:rsidRDefault="00E768CD" w:rsidP="00BF3DF3">
            <w:pPr>
              <w:keepNext/>
              <w:keepLines/>
              <w:widowControl w:val="0"/>
              <w:kinsoku w:val="0"/>
              <w:overflowPunct w:val="0"/>
              <w:autoSpaceDE w:val="0"/>
              <w:autoSpaceDN w:val="0"/>
              <w:adjustRightInd w:val="0"/>
              <w:spacing w:beforeLines="60" w:before="144" w:after="120" w:line="240" w:lineRule="auto"/>
              <w:ind w:left="281" w:right="-146"/>
              <w:jc w:val="center"/>
              <w:rPr>
                <w:spacing w:val="-3"/>
                <w:sz w:val="18"/>
                <w:szCs w:val="18"/>
              </w:rPr>
            </w:pPr>
            <w:r w:rsidRPr="00E768CD">
              <w:rPr>
                <w:rFonts w:eastAsia="MS Mincho" w:cs="Arial"/>
                <w:b/>
                <w:spacing w:val="-3"/>
                <w:sz w:val="18"/>
                <w:szCs w:val="18"/>
                <w:lang w:eastAsia="en-AU"/>
              </w:rPr>
              <w:t>13 Feb 2020</w:t>
            </w:r>
          </w:p>
        </w:tc>
      </w:tr>
    </w:tbl>
    <w:p w14:paraId="521F119B" w14:textId="77777777" w:rsidR="00E768CD" w:rsidRPr="00E768CD" w:rsidRDefault="00E768CD" w:rsidP="00E768CD">
      <w:pPr>
        <w:pStyle w:val="BodyText1"/>
        <w:keepNext/>
        <w:keepLines/>
        <w:widowControl w:val="0"/>
        <w:spacing w:after="60"/>
        <w:ind w:left="142"/>
        <w:rPr>
          <w:rFonts w:eastAsia="MS Mincho" w:cs="Arial"/>
          <w:spacing w:val="-3"/>
          <w:sz w:val="18"/>
          <w:szCs w:val="18"/>
          <w:lang w:eastAsia="en-AU"/>
        </w:rPr>
      </w:pPr>
      <w:r w:rsidRPr="00E768CD">
        <w:rPr>
          <w:rFonts w:eastAsia="MS Mincho" w:cs="Arial"/>
          <w:spacing w:val="-3"/>
          <w:sz w:val="18"/>
          <w:szCs w:val="18"/>
          <w:lang w:eastAsia="en-AU"/>
        </w:rPr>
        <w:t>Requires all scheduled and semi-scheduled generators in the National Electricity Market (NEM) to support the secure operation of the power system by responding automatically to changes in power system frequency.</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064381" w:rsidRPr="00C00A7D" w14:paraId="4E6954F4" w14:textId="77777777" w:rsidTr="00E65E1A">
        <w:trPr>
          <w:trHeight w:val="510"/>
        </w:trPr>
        <w:tc>
          <w:tcPr>
            <w:tcW w:w="5104" w:type="dxa"/>
            <w:shd w:val="clear" w:color="auto" w:fill="auto"/>
            <w:vAlign w:val="center"/>
          </w:tcPr>
          <w:p w14:paraId="0CF336A9" w14:textId="77777777" w:rsidR="00064381" w:rsidRPr="00155486" w:rsidRDefault="00064381" w:rsidP="00064381">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064381">
              <w:rPr>
                <w:rFonts w:eastAsia="MS Mincho" w:cs="Arial"/>
                <w:b/>
                <w:spacing w:val="-3"/>
                <w:sz w:val="18"/>
                <w:szCs w:val="18"/>
                <w:lang w:eastAsia="en-AU"/>
              </w:rPr>
              <w:t xml:space="preserve">National Electricity Amendment (System restart services, standards and testing) Rule </w:t>
            </w:r>
          </w:p>
        </w:tc>
        <w:tc>
          <w:tcPr>
            <w:tcW w:w="2976" w:type="dxa"/>
            <w:shd w:val="clear" w:color="auto" w:fill="auto"/>
            <w:vAlign w:val="center"/>
          </w:tcPr>
          <w:p w14:paraId="6984B294" w14:textId="77777777" w:rsidR="00064381" w:rsidRPr="0090433F" w:rsidRDefault="00064381" w:rsidP="00064381">
            <w:pPr>
              <w:keepNext/>
              <w:keepLines/>
              <w:widowControl w:val="0"/>
              <w:kinsoku w:val="0"/>
              <w:overflowPunct w:val="0"/>
              <w:autoSpaceDE w:val="0"/>
              <w:autoSpaceDN w:val="0"/>
              <w:adjustRightInd w:val="0"/>
              <w:spacing w:beforeLines="60" w:before="144" w:after="120" w:line="240" w:lineRule="auto"/>
              <w:jc w:val="center"/>
              <w:rPr>
                <w:rFonts w:eastAsia="MS Mincho" w:cs="Arial"/>
                <w:spacing w:val="-3"/>
                <w:sz w:val="18"/>
                <w:szCs w:val="18"/>
              </w:rPr>
            </w:pPr>
            <w:r w:rsidRPr="00064381">
              <w:rPr>
                <w:rFonts w:eastAsia="MS Mincho" w:cs="Arial"/>
                <w:b/>
                <w:spacing w:val="-3"/>
                <w:sz w:val="18"/>
                <w:szCs w:val="18"/>
                <w:lang w:eastAsia="en-AU"/>
              </w:rPr>
              <w:t>Australian Energy Market Commission</w:t>
            </w:r>
          </w:p>
        </w:tc>
        <w:tc>
          <w:tcPr>
            <w:tcW w:w="2127" w:type="dxa"/>
            <w:shd w:val="clear" w:color="auto" w:fill="auto"/>
            <w:vAlign w:val="center"/>
          </w:tcPr>
          <w:p w14:paraId="22C3D905" w14:textId="77777777" w:rsidR="00064381" w:rsidRPr="00064381" w:rsidRDefault="00064381" w:rsidP="00BF3DF3">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064381">
              <w:rPr>
                <w:rFonts w:eastAsia="MS Mincho" w:cs="Arial"/>
                <w:b/>
                <w:spacing w:val="-3"/>
                <w:sz w:val="18"/>
                <w:szCs w:val="18"/>
                <w:lang w:eastAsia="en-AU"/>
              </w:rPr>
              <w:t>20</w:t>
            </w:r>
            <w:r w:rsidR="00E768CD">
              <w:rPr>
                <w:rFonts w:eastAsia="MS Mincho" w:cs="Arial"/>
                <w:b/>
                <w:spacing w:val="-3"/>
                <w:sz w:val="18"/>
                <w:szCs w:val="18"/>
                <w:lang w:eastAsia="en-AU"/>
              </w:rPr>
              <w:t xml:space="preserve"> </w:t>
            </w:r>
            <w:r w:rsidRPr="00064381">
              <w:rPr>
                <w:rFonts w:eastAsia="MS Mincho" w:cs="Arial"/>
                <w:b/>
                <w:spacing w:val="-3"/>
                <w:sz w:val="18"/>
                <w:szCs w:val="18"/>
                <w:lang w:eastAsia="en-AU"/>
              </w:rPr>
              <w:t>Feb</w:t>
            </w:r>
            <w:r w:rsidR="00E768CD">
              <w:rPr>
                <w:rFonts w:eastAsia="MS Mincho" w:cs="Arial"/>
                <w:b/>
                <w:spacing w:val="-3"/>
                <w:sz w:val="18"/>
                <w:szCs w:val="18"/>
                <w:lang w:eastAsia="en-AU"/>
              </w:rPr>
              <w:t xml:space="preserve"> </w:t>
            </w:r>
            <w:r w:rsidRPr="00064381">
              <w:rPr>
                <w:rFonts w:eastAsia="MS Mincho" w:cs="Arial"/>
                <w:b/>
                <w:spacing w:val="-3"/>
                <w:sz w:val="18"/>
                <w:szCs w:val="18"/>
                <w:lang w:eastAsia="en-AU"/>
              </w:rPr>
              <w:t>2020</w:t>
            </w:r>
          </w:p>
        </w:tc>
      </w:tr>
    </w:tbl>
    <w:p w14:paraId="39ED0110" w14:textId="77777777" w:rsidR="00064381" w:rsidRDefault="00064381" w:rsidP="00064381">
      <w:pPr>
        <w:pStyle w:val="BodyText1"/>
        <w:keepNext/>
        <w:keepLines/>
        <w:widowControl w:val="0"/>
        <w:spacing w:after="60"/>
        <w:ind w:left="142"/>
        <w:rPr>
          <w:rFonts w:eastAsia="MS Mincho" w:cs="Arial"/>
          <w:spacing w:val="-3"/>
          <w:sz w:val="18"/>
          <w:szCs w:val="18"/>
          <w:lang w:eastAsia="en-AU"/>
        </w:rPr>
      </w:pPr>
      <w:r w:rsidRPr="00064381">
        <w:rPr>
          <w:rFonts w:eastAsia="MS Mincho" w:cs="Arial"/>
          <w:spacing w:val="-3"/>
          <w:sz w:val="18"/>
          <w:szCs w:val="18"/>
          <w:lang w:eastAsia="en-AU"/>
        </w:rPr>
        <w:t>The draft Rule aims to improve the provision and effectiveness of power system restart ancillary services (SRAS).</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2976"/>
        <w:gridCol w:w="426"/>
        <w:gridCol w:w="1559"/>
      </w:tblGrid>
      <w:tr w:rsidR="005906B0" w14:paraId="3F6721A1" w14:textId="77777777" w:rsidTr="005906B0">
        <w:trPr>
          <w:trHeight w:val="510"/>
          <w:tblHeader/>
        </w:trPr>
        <w:tc>
          <w:tcPr>
            <w:tcW w:w="5104" w:type="dxa"/>
            <w:shd w:val="clear" w:color="auto" w:fill="F4973F"/>
            <w:vAlign w:val="center"/>
            <w:hideMark/>
          </w:tcPr>
          <w:p w14:paraId="544E9648" w14:textId="77777777" w:rsidR="005906B0" w:rsidRDefault="005906B0" w:rsidP="007B4CD7">
            <w:pPr>
              <w:pStyle w:val="TableParagraph"/>
              <w:keepNext/>
              <w:keepLines/>
              <w:kinsoku w:val="0"/>
              <w:overflowPunct w:val="0"/>
              <w:spacing w:beforeLines="60" w:before="144" w:after="120"/>
              <w:ind w:left="79"/>
              <w:rPr>
                <w:rFonts w:ascii="Arial" w:hAnsi="Arial" w:cs="Arial"/>
                <w:color w:val="FFFFFF"/>
                <w:w w:val="105"/>
                <w:sz w:val="18"/>
                <w:szCs w:val="18"/>
              </w:rPr>
            </w:pPr>
            <w:r>
              <w:rPr>
                <w:rFonts w:ascii="Arial" w:hAnsi="Arial" w:cs="Arial"/>
                <w:color w:val="FFFFFF"/>
                <w:w w:val="105"/>
                <w:sz w:val="18"/>
                <w:szCs w:val="18"/>
              </w:rPr>
              <w:lastRenderedPageBreak/>
              <w:t>Proposal</w:t>
            </w:r>
          </w:p>
        </w:tc>
        <w:tc>
          <w:tcPr>
            <w:tcW w:w="3402" w:type="dxa"/>
            <w:gridSpan w:val="2"/>
            <w:shd w:val="clear" w:color="auto" w:fill="F4973F"/>
            <w:vAlign w:val="center"/>
            <w:hideMark/>
          </w:tcPr>
          <w:p w14:paraId="65E82F55" w14:textId="77777777" w:rsidR="005906B0" w:rsidRDefault="005906B0" w:rsidP="007B4CD7">
            <w:pPr>
              <w:pStyle w:val="TableParagraph"/>
              <w:keepNext/>
              <w:keepLines/>
              <w:kinsoku w:val="0"/>
              <w:overflowPunct w:val="0"/>
              <w:spacing w:beforeLines="60" w:before="144" w:after="120"/>
              <w:jc w:val="center"/>
            </w:pPr>
            <w:r>
              <w:rPr>
                <w:rFonts w:ascii="Arial" w:hAnsi="Arial" w:cs="Arial"/>
                <w:color w:val="FFFFFF"/>
                <w:w w:val="105"/>
                <w:sz w:val="18"/>
                <w:szCs w:val="18"/>
              </w:rPr>
              <w:t>Decision-making body</w:t>
            </w:r>
          </w:p>
        </w:tc>
        <w:tc>
          <w:tcPr>
            <w:tcW w:w="1559" w:type="dxa"/>
            <w:shd w:val="clear" w:color="auto" w:fill="F4973F"/>
            <w:vAlign w:val="center"/>
            <w:hideMark/>
          </w:tcPr>
          <w:p w14:paraId="176CAE4B" w14:textId="77777777" w:rsidR="005906B0" w:rsidRDefault="005906B0" w:rsidP="007B4CD7">
            <w:pPr>
              <w:pStyle w:val="TableParagraph"/>
              <w:keepNext/>
              <w:keepLines/>
              <w:kinsoku w:val="0"/>
              <w:overflowPunct w:val="0"/>
              <w:spacing w:beforeLines="60" w:before="144" w:after="120"/>
              <w:jc w:val="center"/>
              <w:rPr>
                <w:rFonts w:ascii="Arial" w:hAnsi="Arial" w:cs="Arial"/>
                <w:color w:val="FFFFFF"/>
                <w:w w:val="105"/>
                <w:sz w:val="18"/>
                <w:szCs w:val="18"/>
              </w:rPr>
            </w:pPr>
            <w:r>
              <w:rPr>
                <w:rFonts w:ascii="Arial" w:hAnsi="Arial" w:cs="Arial"/>
                <w:color w:val="FFFFFF"/>
                <w:w w:val="105"/>
                <w:sz w:val="18"/>
                <w:szCs w:val="18"/>
              </w:rPr>
              <w:t>Closing date</w:t>
            </w:r>
          </w:p>
        </w:tc>
      </w:tr>
      <w:tr w:rsidR="00A56DE0" w:rsidRPr="00BC65C2" w14:paraId="2D090597" w14:textId="77777777" w:rsidTr="00E65E1A">
        <w:trPr>
          <w:trHeight w:val="510"/>
        </w:trPr>
        <w:tc>
          <w:tcPr>
            <w:tcW w:w="5104" w:type="dxa"/>
            <w:shd w:val="clear" w:color="auto" w:fill="auto"/>
            <w:vAlign w:val="center"/>
          </w:tcPr>
          <w:p w14:paraId="7281E1AC" w14:textId="77777777" w:rsidR="00A56DE0" w:rsidRPr="00BC65C2" w:rsidRDefault="00A56DE0" w:rsidP="00A56DE0">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A56DE0">
              <w:rPr>
                <w:rFonts w:eastAsia="MS Mincho" w:cs="Arial"/>
                <w:b/>
                <w:spacing w:val="-3"/>
                <w:sz w:val="18"/>
                <w:szCs w:val="18"/>
                <w:lang w:eastAsia="en-AU"/>
              </w:rPr>
              <w:t>Enhancements to Unfair Contract Term Protections</w:t>
            </w:r>
          </w:p>
        </w:tc>
        <w:tc>
          <w:tcPr>
            <w:tcW w:w="2976" w:type="dxa"/>
            <w:shd w:val="clear" w:color="auto" w:fill="auto"/>
            <w:vAlign w:val="center"/>
          </w:tcPr>
          <w:p w14:paraId="7BBB688F" w14:textId="77777777" w:rsidR="00A56DE0" w:rsidRPr="00BC65C2" w:rsidRDefault="00A56DE0" w:rsidP="00A56DE0">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A56DE0">
              <w:rPr>
                <w:rFonts w:eastAsia="MS Mincho" w:cs="Arial"/>
                <w:b/>
                <w:spacing w:val="-3"/>
                <w:sz w:val="18"/>
                <w:szCs w:val="18"/>
                <w:lang w:eastAsia="en-AU"/>
              </w:rPr>
              <w:t>Legislative and Governance Forum on Consumer Affairs</w:t>
            </w:r>
          </w:p>
        </w:tc>
        <w:tc>
          <w:tcPr>
            <w:tcW w:w="1985" w:type="dxa"/>
            <w:gridSpan w:val="2"/>
            <w:shd w:val="clear" w:color="auto" w:fill="auto"/>
            <w:vAlign w:val="center"/>
          </w:tcPr>
          <w:p w14:paraId="5FA73780" w14:textId="77777777" w:rsidR="00A56DE0" w:rsidRPr="00BC65C2" w:rsidRDefault="00A56DE0" w:rsidP="00A56DE0">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Pr>
                <w:rFonts w:eastAsia="MS Mincho" w:cs="Arial"/>
                <w:b/>
                <w:spacing w:val="-3"/>
                <w:sz w:val="18"/>
                <w:szCs w:val="18"/>
                <w:lang w:eastAsia="en-AU"/>
              </w:rPr>
              <w:t>16 Mar</w:t>
            </w:r>
            <w:r w:rsidRPr="00BC65C2">
              <w:rPr>
                <w:rFonts w:eastAsia="MS Mincho" w:cs="Arial"/>
                <w:b/>
                <w:spacing w:val="-3"/>
                <w:sz w:val="18"/>
                <w:szCs w:val="18"/>
                <w:lang w:eastAsia="en-AU"/>
              </w:rPr>
              <w:t xml:space="preserve"> 2020</w:t>
            </w:r>
          </w:p>
        </w:tc>
      </w:tr>
    </w:tbl>
    <w:p w14:paraId="4E282E66" w14:textId="77777777" w:rsidR="005906B0" w:rsidRDefault="00BF3DF3" w:rsidP="00C40F03">
      <w:pPr>
        <w:pStyle w:val="BodyText1"/>
        <w:keepNext/>
        <w:keepLines/>
        <w:widowControl w:val="0"/>
        <w:spacing w:after="60"/>
        <w:ind w:left="142"/>
        <w:rPr>
          <w:rFonts w:eastAsia="MS Mincho" w:cs="Arial"/>
          <w:spacing w:val="-3"/>
          <w:sz w:val="18"/>
          <w:szCs w:val="18"/>
          <w:lang w:eastAsia="en-AU"/>
        </w:rPr>
      </w:pPr>
      <w:r w:rsidRPr="00BF3DF3">
        <w:rPr>
          <w:rFonts w:eastAsia="MS Mincho" w:cs="Arial"/>
          <w:spacing w:val="-3"/>
          <w:sz w:val="18"/>
          <w:szCs w:val="18"/>
          <w:lang w:eastAsia="en-AU"/>
        </w:rPr>
        <w:t>The Commonwealth Treasury released a consultation Regulation Impact Statement (RIS) seeking feedback on options to enhance the unfair contract term protections for small business, consumers and insurance contracts and address issues raised in the Review of Unfair Contract Term Protections for Small Business.</w:t>
      </w:r>
    </w:p>
    <w:tbl>
      <w:tblPr>
        <w:tblW w:w="0" w:type="dxa"/>
        <w:tblInd w:w="-142" w:type="dxa"/>
        <w:tblLayout w:type="fixed"/>
        <w:tblCellMar>
          <w:left w:w="0" w:type="dxa"/>
          <w:right w:w="0" w:type="dxa"/>
        </w:tblCellMar>
        <w:tblLook w:val="04A0" w:firstRow="1" w:lastRow="0" w:firstColumn="1" w:lastColumn="0" w:noHBand="0" w:noVBand="1"/>
      </w:tblPr>
      <w:tblGrid>
        <w:gridCol w:w="5104"/>
        <w:gridCol w:w="2976"/>
        <w:gridCol w:w="2127"/>
      </w:tblGrid>
      <w:tr w:rsidR="005906B0" w:rsidRPr="005906B0" w14:paraId="054B8790" w14:textId="77777777" w:rsidTr="00E65E1A">
        <w:trPr>
          <w:trHeight w:val="510"/>
        </w:trPr>
        <w:tc>
          <w:tcPr>
            <w:tcW w:w="5104" w:type="dxa"/>
            <w:vAlign w:val="center"/>
            <w:hideMark/>
          </w:tcPr>
          <w:p w14:paraId="7688CFE6" w14:textId="77777777" w:rsidR="005906B0" w:rsidRDefault="005906B0" w:rsidP="007B4CD7">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Pr>
                <w:rFonts w:eastAsia="MS Mincho" w:cs="Arial"/>
                <w:b/>
                <w:spacing w:val="-3"/>
                <w:sz w:val="18"/>
                <w:szCs w:val="18"/>
                <w:lang w:eastAsia="en-AU"/>
              </w:rPr>
              <w:t xml:space="preserve">Regulation of in-service safety for automated vehicles </w:t>
            </w:r>
          </w:p>
        </w:tc>
        <w:tc>
          <w:tcPr>
            <w:tcW w:w="2976" w:type="dxa"/>
            <w:vAlign w:val="center"/>
            <w:hideMark/>
          </w:tcPr>
          <w:p w14:paraId="799CAA61" w14:textId="77777777" w:rsidR="005906B0" w:rsidRPr="005906B0" w:rsidRDefault="005906B0" w:rsidP="007B4CD7">
            <w:pPr>
              <w:keepNext/>
              <w:keepLines/>
              <w:widowControl w:val="0"/>
              <w:kinsoku w:val="0"/>
              <w:overflowPunct w:val="0"/>
              <w:autoSpaceDE w:val="0"/>
              <w:autoSpaceDN w:val="0"/>
              <w:adjustRightInd w:val="0"/>
              <w:spacing w:beforeLines="60" w:before="144" w:after="120" w:line="240" w:lineRule="auto"/>
              <w:jc w:val="center"/>
              <w:rPr>
                <w:rFonts w:eastAsia="MS Mincho" w:cs="Arial"/>
                <w:b/>
                <w:spacing w:val="-3"/>
                <w:sz w:val="18"/>
                <w:szCs w:val="18"/>
                <w:lang w:eastAsia="en-AU"/>
              </w:rPr>
            </w:pPr>
            <w:r w:rsidRPr="005906B0">
              <w:rPr>
                <w:rFonts w:eastAsia="MS Mincho" w:cs="Arial"/>
                <w:b/>
                <w:spacing w:val="-3"/>
                <w:sz w:val="18"/>
                <w:szCs w:val="18"/>
                <w:lang w:eastAsia="en-AU"/>
              </w:rPr>
              <w:t>Transport and Infrastructure Council</w:t>
            </w:r>
          </w:p>
        </w:tc>
        <w:tc>
          <w:tcPr>
            <w:tcW w:w="2127" w:type="dxa"/>
            <w:vAlign w:val="center"/>
            <w:hideMark/>
          </w:tcPr>
          <w:p w14:paraId="0A4146F3" w14:textId="77777777" w:rsidR="005906B0" w:rsidRPr="005906B0" w:rsidRDefault="005906B0" w:rsidP="007B4CD7">
            <w:pPr>
              <w:keepNext/>
              <w:keepLines/>
              <w:widowControl w:val="0"/>
              <w:kinsoku w:val="0"/>
              <w:overflowPunct w:val="0"/>
              <w:autoSpaceDE w:val="0"/>
              <w:autoSpaceDN w:val="0"/>
              <w:adjustRightInd w:val="0"/>
              <w:spacing w:beforeLines="60" w:before="144" w:after="120" w:line="240" w:lineRule="auto"/>
              <w:ind w:left="281" w:right="-146"/>
              <w:jc w:val="center"/>
              <w:rPr>
                <w:rFonts w:eastAsia="MS Mincho" w:cs="Arial"/>
                <w:b/>
                <w:spacing w:val="-3"/>
                <w:sz w:val="18"/>
                <w:szCs w:val="18"/>
                <w:lang w:eastAsia="en-AU"/>
              </w:rPr>
            </w:pPr>
            <w:r w:rsidRPr="005906B0">
              <w:rPr>
                <w:rFonts w:eastAsia="MS Mincho" w:cs="Arial"/>
                <w:b/>
                <w:spacing w:val="-3"/>
                <w:sz w:val="18"/>
                <w:szCs w:val="18"/>
                <w:lang w:eastAsia="en-AU"/>
              </w:rPr>
              <w:t>26 Aug 2019</w:t>
            </w:r>
          </w:p>
        </w:tc>
      </w:tr>
    </w:tbl>
    <w:p w14:paraId="3D9C4407" w14:textId="77777777" w:rsidR="00BC65C2" w:rsidRDefault="005906B0" w:rsidP="00C40F03">
      <w:pPr>
        <w:pStyle w:val="BodyText1"/>
        <w:keepNext/>
        <w:keepLines/>
        <w:widowControl w:val="0"/>
        <w:spacing w:after="60"/>
        <w:ind w:left="142"/>
        <w:rPr>
          <w:rFonts w:eastAsia="MS Mincho" w:cs="Arial"/>
          <w:spacing w:val="-3"/>
          <w:sz w:val="18"/>
          <w:szCs w:val="18"/>
          <w:lang w:eastAsia="en-AU"/>
        </w:rPr>
      </w:pPr>
      <w:r w:rsidRPr="005906B0">
        <w:rPr>
          <w:rFonts w:eastAsia="MS Mincho" w:cs="Arial"/>
          <w:spacing w:val="-3"/>
          <w:sz w:val="18"/>
          <w:szCs w:val="18"/>
          <w:lang w:eastAsia="en-AU"/>
        </w:rPr>
        <w:t>The National Transport Commission is exploring options for regulating varies parties involved in supporting the safety of automated vehicles on Australian roads.</w:t>
      </w:r>
    </w:p>
    <w:p w14:paraId="00783496" w14:textId="77777777" w:rsidR="00BA6CC4" w:rsidRDefault="00BA6CC4">
      <w:pPr>
        <w:pStyle w:val="BodyText1"/>
        <w:keepNext/>
        <w:keepLines/>
        <w:widowControl w:val="0"/>
        <w:spacing w:after="60"/>
        <w:ind w:left="142"/>
        <w:rPr>
          <w:rFonts w:eastAsia="MS Mincho" w:cs="Arial"/>
          <w:spacing w:val="-3"/>
          <w:sz w:val="18"/>
          <w:szCs w:val="18"/>
          <w:lang w:eastAsia="en-AU"/>
        </w:rPr>
      </w:pPr>
    </w:p>
    <w:sectPr w:rsidR="00BA6CC4" w:rsidSect="001B295C">
      <w:headerReference w:type="default" r:id="rId13"/>
      <w:footerReference w:type="even" r:id="rId14"/>
      <w:footerReference w:type="default" r:id="rId15"/>
      <w:headerReference w:type="first" r:id="rId16"/>
      <w:footerReference w:type="first" r:id="rId17"/>
      <w:type w:val="continuous"/>
      <w:pgSz w:w="11900" w:h="16840" w:code="9"/>
      <w:pgMar w:top="1928" w:right="703" w:bottom="1644" w:left="1418" w:header="510" w:footer="0"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AC257" w14:textId="77777777" w:rsidR="00AC622F" w:rsidRDefault="00AC622F" w:rsidP="003B52FC">
      <w:r>
        <w:separator/>
      </w:r>
    </w:p>
  </w:endnote>
  <w:endnote w:type="continuationSeparator" w:id="0">
    <w:p w14:paraId="7C2E544D" w14:textId="77777777" w:rsidR="00AC622F" w:rsidRDefault="00AC622F"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altName w:val="Cambria Math"/>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Calibri"/>
    <w:charset w:val="00"/>
    <w:family w:val="auto"/>
    <w:pitch w:val="variable"/>
    <w:sig w:usb0="00000001" w:usb1="4000207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5551" w14:textId="77777777" w:rsidR="00AC622F" w:rsidRDefault="00AC622F">
    <w:pPr>
      <w:pStyle w:val="Footer"/>
    </w:pPr>
  </w:p>
  <w:p w14:paraId="659BC96F" w14:textId="77777777" w:rsidR="00AC622F" w:rsidRDefault="00AC622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346AA" w14:textId="42843FD0" w:rsidR="00AC622F" w:rsidRDefault="00AC622F"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E65E1A">
      <w:rPr>
        <w:rFonts w:cs="Arial"/>
        <w:noProof/>
        <w:color w:val="808080"/>
        <w:sz w:val="16"/>
        <w:szCs w:val="16"/>
      </w:rPr>
      <w:t>11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E65E1A">
      <w:rPr>
        <w:rFonts w:cs="Arial"/>
        <w:noProof/>
        <w:color w:val="808080"/>
        <w:sz w:val="16"/>
        <w:szCs w:val="16"/>
      </w:rPr>
      <w:t>11</w:t>
    </w:r>
    <w:r w:rsidRPr="00C86A41">
      <w:rPr>
        <w:rFonts w:cs="Arial"/>
        <w:color w:val="808080"/>
        <w:sz w:val="16"/>
        <w:szCs w:val="16"/>
      </w:rPr>
      <w:fldChar w:fldCharType="end"/>
    </w:r>
  </w:p>
  <w:p w14:paraId="650A9A8F" w14:textId="77777777" w:rsidR="00AC622F" w:rsidRDefault="00AC622F">
    <w:pPr>
      <w:pStyle w:val="Footer"/>
    </w:pPr>
  </w:p>
  <w:p w14:paraId="62D83FA1" w14:textId="77777777" w:rsidR="00AC622F" w:rsidRDefault="00AC622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2FB7" w14:textId="7E36AF7A" w:rsidR="00AC622F" w:rsidRDefault="00AC622F"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E65E1A">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E65E1A">
      <w:rPr>
        <w:rFonts w:cs="Arial"/>
        <w:noProof/>
        <w:color w:val="808080"/>
        <w:sz w:val="16"/>
        <w:szCs w:val="16"/>
      </w:rPr>
      <w:t>11</w:t>
    </w:r>
    <w:r w:rsidRPr="00C86A41">
      <w:rPr>
        <w:rFonts w:cs="Arial"/>
        <w:color w:val="808080"/>
        <w:sz w:val="16"/>
        <w:szCs w:val="16"/>
      </w:rPr>
      <w:fldChar w:fldCharType="end"/>
    </w:r>
  </w:p>
  <w:p w14:paraId="00295906" w14:textId="77777777" w:rsidR="00AC622F" w:rsidRDefault="00AC622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8F0FA" w14:textId="77777777" w:rsidR="00AC622F" w:rsidRDefault="00AC622F" w:rsidP="003B52FC"/>
  </w:footnote>
  <w:footnote w:type="continuationSeparator" w:id="0">
    <w:p w14:paraId="025190B3" w14:textId="77777777" w:rsidR="00AC622F" w:rsidRDefault="00AC622F"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73303" w14:textId="77777777" w:rsidR="00AC622F" w:rsidRPr="008A1645" w:rsidRDefault="00AC622F" w:rsidP="008A1645">
    <w:pPr>
      <w:pStyle w:val="Header"/>
    </w:pPr>
    <w:r>
      <w:rPr>
        <w:noProof/>
        <w:lang w:eastAsia="en-AU"/>
      </w:rPr>
      <w:drawing>
        <wp:inline distT="0" distB="0" distL="0" distR="0" wp14:anchorId="56A3C5A7" wp14:editId="4DC2E0ED">
          <wp:extent cx="6905625" cy="438150"/>
          <wp:effectExtent l="0" t="0" r="9525" b="0"/>
          <wp:docPr id="15" name="Picture 15" descr="Decorative element" title="Decorative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5625" cy="438150"/>
                  </a:xfrm>
                  <a:prstGeom prst="rect">
                    <a:avLst/>
                  </a:prstGeom>
                  <a:noFill/>
                  <a:ln>
                    <a:noFill/>
                  </a:ln>
                </pic:spPr>
              </pic:pic>
            </a:graphicData>
          </a:graphic>
        </wp:inline>
      </w:drawing>
    </w:r>
  </w:p>
  <w:p w14:paraId="55ACF199" w14:textId="77777777" w:rsidR="00AC622F" w:rsidRDefault="00AC622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E51F3" w14:textId="77777777" w:rsidR="00AC622F" w:rsidRDefault="00AC622F"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56A3C5A9" wp14:editId="499D1D94">
          <wp:simplePos x="0" y="0"/>
          <wp:positionH relativeFrom="column">
            <wp:posOffset>-908050</wp:posOffset>
          </wp:positionH>
          <wp:positionV relativeFrom="paragraph">
            <wp:posOffset>-442595</wp:posOffset>
          </wp:positionV>
          <wp:extent cx="7560310" cy="1645285"/>
          <wp:effectExtent l="0" t="0" r="2540" b="0"/>
          <wp:wrapNone/>
          <wp:docPr id="16" name="Picture 13" descr="Australian Government Department of the Prime Minister and Cabinet Defence of Best Practice Regulation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4A9C5C" w14:textId="77777777" w:rsidR="00AC622F" w:rsidRDefault="00AC622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4" w15:restartNumberingAfterBreak="0">
    <w:nsid w:val="22FF5B81"/>
    <w:multiLevelType w:val="hybridMultilevel"/>
    <w:tmpl w:val="FE70A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7"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2"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3" w15:restartNumberingAfterBreak="0">
    <w:nsid w:val="56647883"/>
    <w:multiLevelType w:val="hybridMultilevel"/>
    <w:tmpl w:val="E89E7C26"/>
    <w:lvl w:ilvl="0" w:tplc="925C5CF0">
      <w:start w:val="1"/>
      <w:numFmt w:val="bullet"/>
      <w:lvlText w:val=""/>
      <w:lvlJc w:val="left"/>
      <w:pPr>
        <w:tabs>
          <w:tab w:val="num" w:pos="720"/>
        </w:tabs>
        <w:ind w:left="720" w:hanging="360"/>
      </w:pPr>
      <w:rPr>
        <w:rFonts w:ascii="Symbol" w:hAnsi="Symbol" w:hint="default"/>
        <w:color w:val="auto"/>
      </w:rPr>
    </w:lvl>
    <w:lvl w:ilvl="1" w:tplc="1AEAF566">
      <w:start w:val="1"/>
      <w:numFmt w:val="bullet"/>
      <w:lvlText w:val="o"/>
      <w:lvlJc w:val="left"/>
      <w:pPr>
        <w:tabs>
          <w:tab w:val="num" w:pos="1440"/>
        </w:tabs>
        <w:ind w:left="1440" w:hanging="360"/>
      </w:pPr>
      <w:rPr>
        <w:rFonts w:ascii="Courier New" w:hAnsi="Courier New" w:cs="Courier New" w:hint="default"/>
        <w:color w:val="auto"/>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2FBCC594">
      <w:start w:val="1"/>
      <w:numFmt w:val="bullet"/>
      <w:lvlText w:val="-"/>
      <w:lvlJc w:val="left"/>
      <w:pPr>
        <w:ind w:left="3600" w:hanging="360"/>
      </w:pPr>
      <w:rPr>
        <w:rFonts w:ascii="Calibri" w:eastAsia="Calibri" w:hAnsi="Calibri"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6"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28" w15:restartNumberingAfterBreak="0">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2"/>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1"/>
  </w:num>
  <w:num w:numId="3">
    <w:abstractNumId w:val="6"/>
  </w:num>
  <w:num w:numId="4">
    <w:abstractNumId w:val="22"/>
  </w:num>
  <w:num w:numId="5">
    <w:abstractNumId w:val="27"/>
  </w:num>
  <w:num w:numId="6">
    <w:abstractNumId w:val="16"/>
  </w:num>
  <w:num w:numId="7">
    <w:abstractNumId w:val="4"/>
  </w:num>
  <w:num w:numId="8">
    <w:abstractNumId w:val="26"/>
  </w:num>
  <w:num w:numId="9">
    <w:abstractNumId w:val="7"/>
  </w:num>
  <w:num w:numId="10">
    <w:abstractNumId w:val="18"/>
  </w:num>
  <w:num w:numId="11">
    <w:abstractNumId w:val="25"/>
  </w:num>
  <w:num w:numId="12">
    <w:abstractNumId w:val="3"/>
  </w:num>
  <w:num w:numId="13">
    <w:abstractNumId w:val="17"/>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19"/>
  </w:num>
  <w:num w:numId="21">
    <w:abstractNumId w:val="13"/>
  </w:num>
  <w:num w:numId="22">
    <w:abstractNumId w:val="0"/>
  </w:num>
  <w:num w:numId="23">
    <w:abstractNumId w:val="12"/>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28"/>
  </w:num>
  <w:num w:numId="27">
    <w:abstractNumId w:val="24"/>
  </w:num>
  <w:num w:numId="28">
    <w:abstractNumId w:val="11"/>
  </w:num>
  <w:num w:numId="29">
    <w:abstractNumId w:val="15"/>
  </w:num>
  <w:num w:numId="30">
    <w:abstractNumId w:val="8"/>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9D"/>
    <w:rsid w:val="0000078B"/>
    <w:rsid w:val="000026D4"/>
    <w:rsid w:val="000041DC"/>
    <w:rsid w:val="000043FB"/>
    <w:rsid w:val="00010776"/>
    <w:rsid w:val="00010A13"/>
    <w:rsid w:val="00010B24"/>
    <w:rsid w:val="00012928"/>
    <w:rsid w:val="00013C05"/>
    <w:rsid w:val="00015A86"/>
    <w:rsid w:val="00016298"/>
    <w:rsid w:val="000169F8"/>
    <w:rsid w:val="00016C3A"/>
    <w:rsid w:val="00025493"/>
    <w:rsid w:val="000272BD"/>
    <w:rsid w:val="000307FD"/>
    <w:rsid w:val="00031F0C"/>
    <w:rsid w:val="00032FC1"/>
    <w:rsid w:val="00033027"/>
    <w:rsid w:val="00034E23"/>
    <w:rsid w:val="00037010"/>
    <w:rsid w:val="000403F1"/>
    <w:rsid w:val="000418F6"/>
    <w:rsid w:val="000436AF"/>
    <w:rsid w:val="0004563F"/>
    <w:rsid w:val="00045B03"/>
    <w:rsid w:val="00045CD2"/>
    <w:rsid w:val="00051189"/>
    <w:rsid w:val="00051B61"/>
    <w:rsid w:val="0005314C"/>
    <w:rsid w:val="00054556"/>
    <w:rsid w:val="00060262"/>
    <w:rsid w:val="000606A0"/>
    <w:rsid w:val="00060B89"/>
    <w:rsid w:val="00061356"/>
    <w:rsid w:val="00061BF4"/>
    <w:rsid w:val="00061FA9"/>
    <w:rsid w:val="00062230"/>
    <w:rsid w:val="000640B3"/>
    <w:rsid w:val="00064381"/>
    <w:rsid w:val="000646E5"/>
    <w:rsid w:val="0006541D"/>
    <w:rsid w:val="00066FF8"/>
    <w:rsid w:val="0007280F"/>
    <w:rsid w:val="000749C5"/>
    <w:rsid w:val="00076BA6"/>
    <w:rsid w:val="000775EB"/>
    <w:rsid w:val="00080878"/>
    <w:rsid w:val="00081B37"/>
    <w:rsid w:val="000841B0"/>
    <w:rsid w:val="0008446F"/>
    <w:rsid w:val="000859C5"/>
    <w:rsid w:val="00086A4C"/>
    <w:rsid w:val="0009015D"/>
    <w:rsid w:val="0009057F"/>
    <w:rsid w:val="00090B8D"/>
    <w:rsid w:val="000915A2"/>
    <w:rsid w:val="00092724"/>
    <w:rsid w:val="00095546"/>
    <w:rsid w:val="00096C17"/>
    <w:rsid w:val="00096C81"/>
    <w:rsid w:val="000972C5"/>
    <w:rsid w:val="0009792A"/>
    <w:rsid w:val="000A0882"/>
    <w:rsid w:val="000B50AA"/>
    <w:rsid w:val="000B59D5"/>
    <w:rsid w:val="000C31DC"/>
    <w:rsid w:val="000C6452"/>
    <w:rsid w:val="000D0ECF"/>
    <w:rsid w:val="000D280B"/>
    <w:rsid w:val="000D61F3"/>
    <w:rsid w:val="000D7181"/>
    <w:rsid w:val="000D749A"/>
    <w:rsid w:val="000D7DBA"/>
    <w:rsid w:val="000E034A"/>
    <w:rsid w:val="000E0F1F"/>
    <w:rsid w:val="000E13A5"/>
    <w:rsid w:val="000E21F5"/>
    <w:rsid w:val="000E2F53"/>
    <w:rsid w:val="000E3360"/>
    <w:rsid w:val="000E43D3"/>
    <w:rsid w:val="000E5E66"/>
    <w:rsid w:val="000E6DB5"/>
    <w:rsid w:val="000E7A72"/>
    <w:rsid w:val="000F2C5A"/>
    <w:rsid w:val="000F3017"/>
    <w:rsid w:val="000F6077"/>
    <w:rsid w:val="000F7EB1"/>
    <w:rsid w:val="0010037B"/>
    <w:rsid w:val="001003E0"/>
    <w:rsid w:val="00104826"/>
    <w:rsid w:val="00105C72"/>
    <w:rsid w:val="00105F30"/>
    <w:rsid w:val="001065C5"/>
    <w:rsid w:val="001105DF"/>
    <w:rsid w:val="00113501"/>
    <w:rsid w:val="00116350"/>
    <w:rsid w:val="001167F0"/>
    <w:rsid w:val="00120110"/>
    <w:rsid w:val="00120790"/>
    <w:rsid w:val="00120890"/>
    <w:rsid w:val="0012163E"/>
    <w:rsid w:val="00122594"/>
    <w:rsid w:val="00126C27"/>
    <w:rsid w:val="0013041D"/>
    <w:rsid w:val="00130ADC"/>
    <w:rsid w:val="00131257"/>
    <w:rsid w:val="00133DE8"/>
    <w:rsid w:val="00133FAD"/>
    <w:rsid w:val="001341D4"/>
    <w:rsid w:val="001345DB"/>
    <w:rsid w:val="00140218"/>
    <w:rsid w:val="00140901"/>
    <w:rsid w:val="001419BF"/>
    <w:rsid w:val="00146BB7"/>
    <w:rsid w:val="00152C6F"/>
    <w:rsid w:val="00153DC0"/>
    <w:rsid w:val="00155464"/>
    <w:rsid w:val="001629D4"/>
    <w:rsid w:val="0016375A"/>
    <w:rsid w:val="00165AB5"/>
    <w:rsid w:val="00166606"/>
    <w:rsid w:val="0017225F"/>
    <w:rsid w:val="00180492"/>
    <w:rsid w:val="00180664"/>
    <w:rsid w:val="00180C7C"/>
    <w:rsid w:val="00180CA5"/>
    <w:rsid w:val="00182443"/>
    <w:rsid w:val="001829A0"/>
    <w:rsid w:val="001832F6"/>
    <w:rsid w:val="001836AF"/>
    <w:rsid w:val="001856F7"/>
    <w:rsid w:val="00191F5F"/>
    <w:rsid w:val="001934B1"/>
    <w:rsid w:val="001939C8"/>
    <w:rsid w:val="00196790"/>
    <w:rsid w:val="00197074"/>
    <w:rsid w:val="00197120"/>
    <w:rsid w:val="001A0954"/>
    <w:rsid w:val="001A1088"/>
    <w:rsid w:val="001A1F1E"/>
    <w:rsid w:val="001A2271"/>
    <w:rsid w:val="001A4D2F"/>
    <w:rsid w:val="001A5C44"/>
    <w:rsid w:val="001B0065"/>
    <w:rsid w:val="001B0475"/>
    <w:rsid w:val="001B295C"/>
    <w:rsid w:val="001B318B"/>
    <w:rsid w:val="001B7F64"/>
    <w:rsid w:val="001C0FC4"/>
    <w:rsid w:val="001C4768"/>
    <w:rsid w:val="001C4EBA"/>
    <w:rsid w:val="001C6412"/>
    <w:rsid w:val="001D1AA8"/>
    <w:rsid w:val="001D329D"/>
    <w:rsid w:val="001E00FD"/>
    <w:rsid w:val="001E0297"/>
    <w:rsid w:val="001E17AD"/>
    <w:rsid w:val="001E20A9"/>
    <w:rsid w:val="001E2D7F"/>
    <w:rsid w:val="001E3D9A"/>
    <w:rsid w:val="001E516E"/>
    <w:rsid w:val="001E64F0"/>
    <w:rsid w:val="001E6EFB"/>
    <w:rsid w:val="001E77CD"/>
    <w:rsid w:val="001F13DC"/>
    <w:rsid w:val="001F1A00"/>
    <w:rsid w:val="001F23B0"/>
    <w:rsid w:val="001F3098"/>
    <w:rsid w:val="001F392F"/>
    <w:rsid w:val="001F4914"/>
    <w:rsid w:val="001F4B5A"/>
    <w:rsid w:val="001F5A01"/>
    <w:rsid w:val="001F5BF8"/>
    <w:rsid w:val="001F61AE"/>
    <w:rsid w:val="00201922"/>
    <w:rsid w:val="00202058"/>
    <w:rsid w:val="00202AE0"/>
    <w:rsid w:val="002036A2"/>
    <w:rsid w:val="00207ADC"/>
    <w:rsid w:val="00207CA3"/>
    <w:rsid w:val="00213350"/>
    <w:rsid w:val="0021476E"/>
    <w:rsid w:val="00216C27"/>
    <w:rsid w:val="00220271"/>
    <w:rsid w:val="00221568"/>
    <w:rsid w:val="002247D8"/>
    <w:rsid w:val="00224D47"/>
    <w:rsid w:val="00225559"/>
    <w:rsid w:val="00231669"/>
    <w:rsid w:val="002320EA"/>
    <w:rsid w:val="00233957"/>
    <w:rsid w:val="00233EF2"/>
    <w:rsid w:val="00234BC8"/>
    <w:rsid w:val="00235A3A"/>
    <w:rsid w:val="00235FC7"/>
    <w:rsid w:val="002369C8"/>
    <w:rsid w:val="00237A7C"/>
    <w:rsid w:val="002406DF"/>
    <w:rsid w:val="00240BCD"/>
    <w:rsid w:val="00240CA9"/>
    <w:rsid w:val="00240F2D"/>
    <w:rsid w:val="002417FE"/>
    <w:rsid w:val="00245B4D"/>
    <w:rsid w:val="00246EE1"/>
    <w:rsid w:val="0024780E"/>
    <w:rsid w:val="00250596"/>
    <w:rsid w:val="00252FF5"/>
    <w:rsid w:val="00253BA3"/>
    <w:rsid w:val="00254E63"/>
    <w:rsid w:val="00257CEE"/>
    <w:rsid w:val="00261442"/>
    <w:rsid w:val="00266115"/>
    <w:rsid w:val="002674FC"/>
    <w:rsid w:val="0027084F"/>
    <w:rsid w:val="00273A38"/>
    <w:rsid w:val="00274B74"/>
    <w:rsid w:val="00276859"/>
    <w:rsid w:val="0027761E"/>
    <w:rsid w:val="00277808"/>
    <w:rsid w:val="002846EE"/>
    <w:rsid w:val="00284D5E"/>
    <w:rsid w:val="00287169"/>
    <w:rsid w:val="002879C3"/>
    <w:rsid w:val="002904FB"/>
    <w:rsid w:val="002907DB"/>
    <w:rsid w:val="00294D97"/>
    <w:rsid w:val="00296DF2"/>
    <w:rsid w:val="00297CD0"/>
    <w:rsid w:val="002A5A8C"/>
    <w:rsid w:val="002B1258"/>
    <w:rsid w:val="002B13BF"/>
    <w:rsid w:val="002B25F3"/>
    <w:rsid w:val="002B4A6F"/>
    <w:rsid w:val="002B7919"/>
    <w:rsid w:val="002C2852"/>
    <w:rsid w:val="002C3B32"/>
    <w:rsid w:val="002C3FDC"/>
    <w:rsid w:val="002C717F"/>
    <w:rsid w:val="002C7624"/>
    <w:rsid w:val="002D0080"/>
    <w:rsid w:val="002D06F0"/>
    <w:rsid w:val="002D3885"/>
    <w:rsid w:val="002D3DAE"/>
    <w:rsid w:val="002D4A6C"/>
    <w:rsid w:val="002D536F"/>
    <w:rsid w:val="002D5FBA"/>
    <w:rsid w:val="002D6440"/>
    <w:rsid w:val="002D6A79"/>
    <w:rsid w:val="002D6ABC"/>
    <w:rsid w:val="002E020E"/>
    <w:rsid w:val="002E0C44"/>
    <w:rsid w:val="002E18E0"/>
    <w:rsid w:val="002E43AC"/>
    <w:rsid w:val="002E5FA8"/>
    <w:rsid w:val="002E6351"/>
    <w:rsid w:val="002E6BF8"/>
    <w:rsid w:val="002F723B"/>
    <w:rsid w:val="0030048E"/>
    <w:rsid w:val="00304E9B"/>
    <w:rsid w:val="00305D87"/>
    <w:rsid w:val="00307473"/>
    <w:rsid w:val="003110A7"/>
    <w:rsid w:val="003114F0"/>
    <w:rsid w:val="003117D0"/>
    <w:rsid w:val="0031239E"/>
    <w:rsid w:val="00316D11"/>
    <w:rsid w:val="003205EC"/>
    <w:rsid w:val="00323103"/>
    <w:rsid w:val="00323F57"/>
    <w:rsid w:val="00323F95"/>
    <w:rsid w:val="00325635"/>
    <w:rsid w:val="0032750F"/>
    <w:rsid w:val="00327EFB"/>
    <w:rsid w:val="00330D57"/>
    <w:rsid w:val="00330DA3"/>
    <w:rsid w:val="003311B7"/>
    <w:rsid w:val="003321B1"/>
    <w:rsid w:val="003359EB"/>
    <w:rsid w:val="0034101C"/>
    <w:rsid w:val="003414F8"/>
    <w:rsid w:val="003421DE"/>
    <w:rsid w:val="00342DCD"/>
    <w:rsid w:val="00344C5B"/>
    <w:rsid w:val="00345ADC"/>
    <w:rsid w:val="00350F35"/>
    <w:rsid w:val="003526A9"/>
    <w:rsid w:val="0035281C"/>
    <w:rsid w:val="00354504"/>
    <w:rsid w:val="0035512F"/>
    <w:rsid w:val="00356C70"/>
    <w:rsid w:val="00357988"/>
    <w:rsid w:val="003605CA"/>
    <w:rsid w:val="003613EC"/>
    <w:rsid w:val="0036299D"/>
    <w:rsid w:val="003630E6"/>
    <w:rsid w:val="003643B3"/>
    <w:rsid w:val="00365614"/>
    <w:rsid w:val="00370955"/>
    <w:rsid w:val="00374897"/>
    <w:rsid w:val="00374D1C"/>
    <w:rsid w:val="00375B3E"/>
    <w:rsid w:val="003769C1"/>
    <w:rsid w:val="00376B7A"/>
    <w:rsid w:val="003800CE"/>
    <w:rsid w:val="003810B5"/>
    <w:rsid w:val="003854A0"/>
    <w:rsid w:val="00386C17"/>
    <w:rsid w:val="0038783F"/>
    <w:rsid w:val="00397016"/>
    <w:rsid w:val="003A2C90"/>
    <w:rsid w:val="003A7E59"/>
    <w:rsid w:val="003B1624"/>
    <w:rsid w:val="003B52FC"/>
    <w:rsid w:val="003B757A"/>
    <w:rsid w:val="003B75E8"/>
    <w:rsid w:val="003B7C41"/>
    <w:rsid w:val="003C00F3"/>
    <w:rsid w:val="003C08AA"/>
    <w:rsid w:val="003C129B"/>
    <w:rsid w:val="003C223C"/>
    <w:rsid w:val="003C327A"/>
    <w:rsid w:val="003D11C0"/>
    <w:rsid w:val="003D2153"/>
    <w:rsid w:val="003D3129"/>
    <w:rsid w:val="003D40D2"/>
    <w:rsid w:val="003D7702"/>
    <w:rsid w:val="003E190D"/>
    <w:rsid w:val="003E4241"/>
    <w:rsid w:val="003E551D"/>
    <w:rsid w:val="003E5DAB"/>
    <w:rsid w:val="003F1373"/>
    <w:rsid w:val="003F4868"/>
    <w:rsid w:val="003F54D5"/>
    <w:rsid w:val="003F6264"/>
    <w:rsid w:val="003F7B06"/>
    <w:rsid w:val="00400EE4"/>
    <w:rsid w:val="004015C2"/>
    <w:rsid w:val="0040260B"/>
    <w:rsid w:val="00403EA9"/>
    <w:rsid w:val="00406326"/>
    <w:rsid w:val="00410120"/>
    <w:rsid w:val="00410BDE"/>
    <w:rsid w:val="004111F8"/>
    <w:rsid w:val="004139EE"/>
    <w:rsid w:val="00413DE0"/>
    <w:rsid w:val="004159B7"/>
    <w:rsid w:val="00416BE5"/>
    <w:rsid w:val="004210FB"/>
    <w:rsid w:val="00426032"/>
    <w:rsid w:val="0043041B"/>
    <w:rsid w:val="0043459C"/>
    <w:rsid w:val="004354D0"/>
    <w:rsid w:val="0043723B"/>
    <w:rsid w:val="00437291"/>
    <w:rsid w:val="00442044"/>
    <w:rsid w:val="0044302F"/>
    <w:rsid w:val="004440C0"/>
    <w:rsid w:val="00445377"/>
    <w:rsid w:val="00447D68"/>
    <w:rsid w:val="0045143F"/>
    <w:rsid w:val="0045585F"/>
    <w:rsid w:val="00455E56"/>
    <w:rsid w:val="00456BF3"/>
    <w:rsid w:val="00461C06"/>
    <w:rsid w:val="00463FF8"/>
    <w:rsid w:val="00470688"/>
    <w:rsid w:val="004719A3"/>
    <w:rsid w:val="00471A15"/>
    <w:rsid w:val="00474E81"/>
    <w:rsid w:val="004758DC"/>
    <w:rsid w:val="00475FCF"/>
    <w:rsid w:val="00476FA2"/>
    <w:rsid w:val="00477140"/>
    <w:rsid w:val="00477EDF"/>
    <w:rsid w:val="00482C62"/>
    <w:rsid w:val="0048329A"/>
    <w:rsid w:val="00483568"/>
    <w:rsid w:val="00491485"/>
    <w:rsid w:val="00491FE6"/>
    <w:rsid w:val="00495364"/>
    <w:rsid w:val="0049722F"/>
    <w:rsid w:val="00497236"/>
    <w:rsid w:val="00497754"/>
    <w:rsid w:val="004977B3"/>
    <w:rsid w:val="004A013F"/>
    <w:rsid w:val="004A0A15"/>
    <w:rsid w:val="004A14A1"/>
    <w:rsid w:val="004A1719"/>
    <w:rsid w:val="004A5BE6"/>
    <w:rsid w:val="004A67C3"/>
    <w:rsid w:val="004A6EC6"/>
    <w:rsid w:val="004A7986"/>
    <w:rsid w:val="004B05DC"/>
    <w:rsid w:val="004B1948"/>
    <w:rsid w:val="004B23CE"/>
    <w:rsid w:val="004B242A"/>
    <w:rsid w:val="004B315B"/>
    <w:rsid w:val="004B466A"/>
    <w:rsid w:val="004C0613"/>
    <w:rsid w:val="004C069D"/>
    <w:rsid w:val="004C0CCC"/>
    <w:rsid w:val="004C3CBF"/>
    <w:rsid w:val="004C3DBE"/>
    <w:rsid w:val="004C6614"/>
    <w:rsid w:val="004C7E63"/>
    <w:rsid w:val="004D03B4"/>
    <w:rsid w:val="004D6730"/>
    <w:rsid w:val="004D71E4"/>
    <w:rsid w:val="004E0CD3"/>
    <w:rsid w:val="004E3B3C"/>
    <w:rsid w:val="004E3FFE"/>
    <w:rsid w:val="004E5727"/>
    <w:rsid w:val="004E7877"/>
    <w:rsid w:val="004E7F70"/>
    <w:rsid w:val="004F40FD"/>
    <w:rsid w:val="004F5076"/>
    <w:rsid w:val="004F600A"/>
    <w:rsid w:val="004F7C8F"/>
    <w:rsid w:val="00500F93"/>
    <w:rsid w:val="00503017"/>
    <w:rsid w:val="005048D7"/>
    <w:rsid w:val="00506984"/>
    <w:rsid w:val="00512DDE"/>
    <w:rsid w:val="00514270"/>
    <w:rsid w:val="0051695E"/>
    <w:rsid w:val="00520828"/>
    <w:rsid w:val="005215ED"/>
    <w:rsid w:val="00522005"/>
    <w:rsid w:val="0052236E"/>
    <w:rsid w:val="0052457C"/>
    <w:rsid w:val="00525305"/>
    <w:rsid w:val="005259DA"/>
    <w:rsid w:val="0052632F"/>
    <w:rsid w:val="00530755"/>
    <w:rsid w:val="00530827"/>
    <w:rsid w:val="005311DB"/>
    <w:rsid w:val="00534ADF"/>
    <w:rsid w:val="0053516D"/>
    <w:rsid w:val="0054233A"/>
    <w:rsid w:val="005428F4"/>
    <w:rsid w:val="00542F25"/>
    <w:rsid w:val="00547072"/>
    <w:rsid w:val="0055071A"/>
    <w:rsid w:val="00551791"/>
    <w:rsid w:val="005537F7"/>
    <w:rsid w:val="0055427A"/>
    <w:rsid w:val="0055567A"/>
    <w:rsid w:val="0055590C"/>
    <w:rsid w:val="0055594E"/>
    <w:rsid w:val="00557FB5"/>
    <w:rsid w:val="0056090A"/>
    <w:rsid w:val="00560F00"/>
    <w:rsid w:val="0056568D"/>
    <w:rsid w:val="00567DC8"/>
    <w:rsid w:val="0057550D"/>
    <w:rsid w:val="00575BB9"/>
    <w:rsid w:val="005765A5"/>
    <w:rsid w:val="005765D8"/>
    <w:rsid w:val="005853B8"/>
    <w:rsid w:val="00586DF3"/>
    <w:rsid w:val="005872C2"/>
    <w:rsid w:val="005879AC"/>
    <w:rsid w:val="00590336"/>
    <w:rsid w:val="005903F1"/>
    <w:rsid w:val="005906B0"/>
    <w:rsid w:val="00590E37"/>
    <w:rsid w:val="0059121A"/>
    <w:rsid w:val="005939DD"/>
    <w:rsid w:val="00593F8F"/>
    <w:rsid w:val="00594E23"/>
    <w:rsid w:val="00595649"/>
    <w:rsid w:val="005958CA"/>
    <w:rsid w:val="00596053"/>
    <w:rsid w:val="00596B24"/>
    <w:rsid w:val="005A0B0B"/>
    <w:rsid w:val="005A2269"/>
    <w:rsid w:val="005A3507"/>
    <w:rsid w:val="005A382A"/>
    <w:rsid w:val="005A436D"/>
    <w:rsid w:val="005A5B12"/>
    <w:rsid w:val="005A6507"/>
    <w:rsid w:val="005B1403"/>
    <w:rsid w:val="005B2D21"/>
    <w:rsid w:val="005B4C95"/>
    <w:rsid w:val="005B56D9"/>
    <w:rsid w:val="005B69AF"/>
    <w:rsid w:val="005B6C38"/>
    <w:rsid w:val="005C3DBB"/>
    <w:rsid w:val="005C5F75"/>
    <w:rsid w:val="005C661F"/>
    <w:rsid w:val="005D0496"/>
    <w:rsid w:val="005D12B7"/>
    <w:rsid w:val="005D1DA9"/>
    <w:rsid w:val="005D2AAF"/>
    <w:rsid w:val="005D2CB4"/>
    <w:rsid w:val="005D3657"/>
    <w:rsid w:val="005D5B5F"/>
    <w:rsid w:val="005E0C11"/>
    <w:rsid w:val="005E28C3"/>
    <w:rsid w:val="005E374D"/>
    <w:rsid w:val="005E3B33"/>
    <w:rsid w:val="005E3E81"/>
    <w:rsid w:val="005F00A1"/>
    <w:rsid w:val="005F0D98"/>
    <w:rsid w:val="005F4220"/>
    <w:rsid w:val="006015D2"/>
    <w:rsid w:val="00602AAE"/>
    <w:rsid w:val="00607F7F"/>
    <w:rsid w:val="0061026F"/>
    <w:rsid w:val="00610A55"/>
    <w:rsid w:val="00610C52"/>
    <w:rsid w:val="006117E5"/>
    <w:rsid w:val="00612226"/>
    <w:rsid w:val="00614536"/>
    <w:rsid w:val="00625BC0"/>
    <w:rsid w:val="00627AA6"/>
    <w:rsid w:val="00630F6B"/>
    <w:rsid w:val="00631829"/>
    <w:rsid w:val="00633565"/>
    <w:rsid w:val="00634BF8"/>
    <w:rsid w:val="00636CF8"/>
    <w:rsid w:val="006407B1"/>
    <w:rsid w:val="0064113A"/>
    <w:rsid w:val="0064310D"/>
    <w:rsid w:val="00644C4A"/>
    <w:rsid w:val="006456F6"/>
    <w:rsid w:val="006475B7"/>
    <w:rsid w:val="006518DC"/>
    <w:rsid w:val="00651E39"/>
    <w:rsid w:val="00651F5B"/>
    <w:rsid w:val="006525E5"/>
    <w:rsid w:val="00660901"/>
    <w:rsid w:val="00660D25"/>
    <w:rsid w:val="00662539"/>
    <w:rsid w:val="00663BBE"/>
    <w:rsid w:val="00664159"/>
    <w:rsid w:val="00665043"/>
    <w:rsid w:val="00666740"/>
    <w:rsid w:val="006669E1"/>
    <w:rsid w:val="00666EBD"/>
    <w:rsid w:val="0067086D"/>
    <w:rsid w:val="00671664"/>
    <w:rsid w:val="006730CC"/>
    <w:rsid w:val="006754E5"/>
    <w:rsid w:val="00675A7C"/>
    <w:rsid w:val="00676B64"/>
    <w:rsid w:val="006778B3"/>
    <w:rsid w:val="006819F1"/>
    <w:rsid w:val="006838CA"/>
    <w:rsid w:val="00683A75"/>
    <w:rsid w:val="00685607"/>
    <w:rsid w:val="0068611B"/>
    <w:rsid w:val="00686906"/>
    <w:rsid w:val="00691804"/>
    <w:rsid w:val="0069262A"/>
    <w:rsid w:val="00695E2D"/>
    <w:rsid w:val="0069664C"/>
    <w:rsid w:val="00697214"/>
    <w:rsid w:val="006A155A"/>
    <w:rsid w:val="006A2D50"/>
    <w:rsid w:val="006A4CEC"/>
    <w:rsid w:val="006A63F0"/>
    <w:rsid w:val="006A7646"/>
    <w:rsid w:val="006B1695"/>
    <w:rsid w:val="006B21FC"/>
    <w:rsid w:val="006B357E"/>
    <w:rsid w:val="006C0AC1"/>
    <w:rsid w:val="006C0C2E"/>
    <w:rsid w:val="006C35EE"/>
    <w:rsid w:val="006C3656"/>
    <w:rsid w:val="006C4428"/>
    <w:rsid w:val="006C4611"/>
    <w:rsid w:val="006C51DC"/>
    <w:rsid w:val="006C7702"/>
    <w:rsid w:val="006C78EC"/>
    <w:rsid w:val="006D2D05"/>
    <w:rsid w:val="006D475A"/>
    <w:rsid w:val="006D488C"/>
    <w:rsid w:val="006D4F8D"/>
    <w:rsid w:val="006D5CCB"/>
    <w:rsid w:val="006D71A1"/>
    <w:rsid w:val="006E3F0C"/>
    <w:rsid w:val="006E5710"/>
    <w:rsid w:val="006E5E79"/>
    <w:rsid w:val="006E6C23"/>
    <w:rsid w:val="006E76AF"/>
    <w:rsid w:val="006F1146"/>
    <w:rsid w:val="006F4F2A"/>
    <w:rsid w:val="006F68B9"/>
    <w:rsid w:val="006F73A7"/>
    <w:rsid w:val="00700BDE"/>
    <w:rsid w:val="00705B41"/>
    <w:rsid w:val="00707A0E"/>
    <w:rsid w:val="00707C33"/>
    <w:rsid w:val="007106D4"/>
    <w:rsid w:val="00710887"/>
    <w:rsid w:val="00715A60"/>
    <w:rsid w:val="0071646F"/>
    <w:rsid w:val="00723AD9"/>
    <w:rsid w:val="00725158"/>
    <w:rsid w:val="00726034"/>
    <w:rsid w:val="00730ADC"/>
    <w:rsid w:val="00731239"/>
    <w:rsid w:val="007319E6"/>
    <w:rsid w:val="00732A67"/>
    <w:rsid w:val="00735D6A"/>
    <w:rsid w:val="0073722C"/>
    <w:rsid w:val="00737379"/>
    <w:rsid w:val="007379F6"/>
    <w:rsid w:val="00740E86"/>
    <w:rsid w:val="007441EB"/>
    <w:rsid w:val="007444B5"/>
    <w:rsid w:val="00747361"/>
    <w:rsid w:val="00747569"/>
    <w:rsid w:val="00750AF0"/>
    <w:rsid w:val="00754AA5"/>
    <w:rsid w:val="00754FDB"/>
    <w:rsid w:val="00755EB9"/>
    <w:rsid w:val="00761EE6"/>
    <w:rsid w:val="0076359F"/>
    <w:rsid w:val="00765EE9"/>
    <w:rsid w:val="00766493"/>
    <w:rsid w:val="00767A80"/>
    <w:rsid w:val="00771307"/>
    <w:rsid w:val="00771702"/>
    <w:rsid w:val="00771E33"/>
    <w:rsid w:val="0077323B"/>
    <w:rsid w:val="00773270"/>
    <w:rsid w:val="007732FF"/>
    <w:rsid w:val="00774947"/>
    <w:rsid w:val="00774A1E"/>
    <w:rsid w:val="007762E9"/>
    <w:rsid w:val="00777443"/>
    <w:rsid w:val="00781020"/>
    <w:rsid w:val="00782507"/>
    <w:rsid w:val="00782541"/>
    <w:rsid w:val="007856FD"/>
    <w:rsid w:val="0078713A"/>
    <w:rsid w:val="00790177"/>
    <w:rsid w:val="007903EE"/>
    <w:rsid w:val="00791714"/>
    <w:rsid w:val="00791A03"/>
    <w:rsid w:val="007940BD"/>
    <w:rsid w:val="00794B22"/>
    <w:rsid w:val="007951B4"/>
    <w:rsid w:val="007976F4"/>
    <w:rsid w:val="007978A4"/>
    <w:rsid w:val="007A0ACF"/>
    <w:rsid w:val="007A5B84"/>
    <w:rsid w:val="007A6E3F"/>
    <w:rsid w:val="007A7C6A"/>
    <w:rsid w:val="007B21FA"/>
    <w:rsid w:val="007B3914"/>
    <w:rsid w:val="007B4CD7"/>
    <w:rsid w:val="007B5BC0"/>
    <w:rsid w:val="007B70F0"/>
    <w:rsid w:val="007B7DD5"/>
    <w:rsid w:val="007C05A0"/>
    <w:rsid w:val="007C2E37"/>
    <w:rsid w:val="007C5163"/>
    <w:rsid w:val="007C5D1B"/>
    <w:rsid w:val="007D27CE"/>
    <w:rsid w:val="007E47F7"/>
    <w:rsid w:val="007E498E"/>
    <w:rsid w:val="007E5F7C"/>
    <w:rsid w:val="007E7D8B"/>
    <w:rsid w:val="007F08B9"/>
    <w:rsid w:val="007F1B3E"/>
    <w:rsid w:val="007F2F40"/>
    <w:rsid w:val="007F772D"/>
    <w:rsid w:val="00802326"/>
    <w:rsid w:val="00804031"/>
    <w:rsid w:val="008055B0"/>
    <w:rsid w:val="00807A9A"/>
    <w:rsid w:val="008108BE"/>
    <w:rsid w:val="00813AB3"/>
    <w:rsid w:val="008157E3"/>
    <w:rsid w:val="00820E8E"/>
    <w:rsid w:val="008222F1"/>
    <w:rsid w:val="0082240B"/>
    <w:rsid w:val="008227B5"/>
    <w:rsid w:val="0082408D"/>
    <w:rsid w:val="00827B28"/>
    <w:rsid w:val="0083007F"/>
    <w:rsid w:val="0083079C"/>
    <w:rsid w:val="00831131"/>
    <w:rsid w:val="008313E2"/>
    <w:rsid w:val="00832653"/>
    <w:rsid w:val="0083366A"/>
    <w:rsid w:val="00835A93"/>
    <w:rsid w:val="008404A5"/>
    <w:rsid w:val="00840C76"/>
    <w:rsid w:val="008410CD"/>
    <w:rsid w:val="00842929"/>
    <w:rsid w:val="00843EF8"/>
    <w:rsid w:val="00847DA7"/>
    <w:rsid w:val="00847F40"/>
    <w:rsid w:val="0085179F"/>
    <w:rsid w:val="00851B40"/>
    <w:rsid w:val="008529A3"/>
    <w:rsid w:val="00852BCA"/>
    <w:rsid w:val="008536BF"/>
    <w:rsid w:val="008541FA"/>
    <w:rsid w:val="0085533A"/>
    <w:rsid w:val="008611A2"/>
    <w:rsid w:val="00861C26"/>
    <w:rsid w:val="00864F59"/>
    <w:rsid w:val="008722A2"/>
    <w:rsid w:val="008764D6"/>
    <w:rsid w:val="00876C83"/>
    <w:rsid w:val="0087768A"/>
    <w:rsid w:val="00877D62"/>
    <w:rsid w:val="008803AA"/>
    <w:rsid w:val="00882B0C"/>
    <w:rsid w:val="00882B2F"/>
    <w:rsid w:val="00886AA9"/>
    <w:rsid w:val="0088765D"/>
    <w:rsid w:val="008904F6"/>
    <w:rsid w:val="00893C42"/>
    <w:rsid w:val="00894A00"/>
    <w:rsid w:val="00894C65"/>
    <w:rsid w:val="00896B78"/>
    <w:rsid w:val="008A13AE"/>
    <w:rsid w:val="008A1591"/>
    <w:rsid w:val="008A1645"/>
    <w:rsid w:val="008A4363"/>
    <w:rsid w:val="008A4760"/>
    <w:rsid w:val="008A68FD"/>
    <w:rsid w:val="008A6F67"/>
    <w:rsid w:val="008B1698"/>
    <w:rsid w:val="008B1D76"/>
    <w:rsid w:val="008B2F2F"/>
    <w:rsid w:val="008B4A40"/>
    <w:rsid w:val="008B4CB7"/>
    <w:rsid w:val="008B6A92"/>
    <w:rsid w:val="008B6C63"/>
    <w:rsid w:val="008B71E5"/>
    <w:rsid w:val="008C0B32"/>
    <w:rsid w:val="008C0BBB"/>
    <w:rsid w:val="008C184D"/>
    <w:rsid w:val="008C1AD6"/>
    <w:rsid w:val="008C27BB"/>
    <w:rsid w:val="008C34BB"/>
    <w:rsid w:val="008C4568"/>
    <w:rsid w:val="008C685D"/>
    <w:rsid w:val="008C7C72"/>
    <w:rsid w:val="008D0950"/>
    <w:rsid w:val="008D0A90"/>
    <w:rsid w:val="008D0AE0"/>
    <w:rsid w:val="008D1C9A"/>
    <w:rsid w:val="008D2D0E"/>
    <w:rsid w:val="008E2C63"/>
    <w:rsid w:val="008E2E87"/>
    <w:rsid w:val="008E4D7F"/>
    <w:rsid w:val="008E52E0"/>
    <w:rsid w:val="008F07DF"/>
    <w:rsid w:val="008F1C8A"/>
    <w:rsid w:val="008F1EE5"/>
    <w:rsid w:val="008F3949"/>
    <w:rsid w:val="008F6E9B"/>
    <w:rsid w:val="00901524"/>
    <w:rsid w:val="00902394"/>
    <w:rsid w:val="00904B60"/>
    <w:rsid w:val="0090622C"/>
    <w:rsid w:val="00906296"/>
    <w:rsid w:val="00906F9A"/>
    <w:rsid w:val="00907C3D"/>
    <w:rsid w:val="009107E2"/>
    <w:rsid w:val="00912B43"/>
    <w:rsid w:val="00912D0C"/>
    <w:rsid w:val="00913F09"/>
    <w:rsid w:val="00914DBD"/>
    <w:rsid w:val="0092079F"/>
    <w:rsid w:val="00920929"/>
    <w:rsid w:val="009214EA"/>
    <w:rsid w:val="0092182A"/>
    <w:rsid w:val="00922654"/>
    <w:rsid w:val="00922AA3"/>
    <w:rsid w:val="00926346"/>
    <w:rsid w:val="00926613"/>
    <w:rsid w:val="00927FF3"/>
    <w:rsid w:val="00932CA4"/>
    <w:rsid w:val="00932CC6"/>
    <w:rsid w:val="0093558A"/>
    <w:rsid w:val="00937EAD"/>
    <w:rsid w:val="00940B87"/>
    <w:rsid w:val="00940CD3"/>
    <w:rsid w:val="00941A58"/>
    <w:rsid w:val="00952392"/>
    <w:rsid w:val="0095262B"/>
    <w:rsid w:val="00953531"/>
    <w:rsid w:val="00954309"/>
    <w:rsid w:val="00954EF7"/>
    <w:rsid w:val="00957F2E"/>
    <w:rsid w:val="009603E0"/>
    <w:rsid w:val="00960DD9"/>
    <w:rsid w:val="00961382"/>
    <w:rsid w:val="00961A5A"/>
    <w:rsid w:val="00962549"/>
    <w:rsid w:val="00963A77"/>
    <w:rsid w:val="0097078B"/>
    <w:rsid w:val="00971300"/>
    <w:rsid w:val="0098052A"/>
    <w:rsid w:val="009818C3"/>
    <w:rsid w:val="00983CD1"/>
    <w:rsid w:val="0098778C"/>
    <w:rsid w:val="0099073D"/>
    <w:rsid w:val="009913D5"/>
    <w:rsid w:val="00991B37"/>
    <w:rsid w:val="0099223F"/>
    <w:rsid w:val="00994925"/>
    <w:rsid w:val="00994C3B"/>
    <w:rsid w:val="00995253"/>
    <w:rsid w:val="009963D8"/>
    <w:rsid w:val="009A4A5D"/>
    <w:rsid w:val="009A5791"/>
    <w:rsid w:val="009A70D7"/>
    <w:rsid w:val="009B300F"/>
    <w:rsid w:val="009B3518"/>
    <w:rsid w:val="009B421A"/>
    <w:rsid w:val="009B5647"/>
    <w:rsid w:val="009B72AB"/>
    <w:rsid w:val="009C1EC2"/>
    <w:rsid w:val="009C2DA8"/>
    <w:rsid w:val="009C3B41"/>
    <w:rsid w:val="009C41A4"/>
    <w:rsid w:val="009C5A83"/>
    <w:rsid w:val="009C7AB7"/>
    <w:rsid w:val="009C7CCA"/>
    <w:rsid w:val="009D01AD"/>
    <w:rsid w:val="009D19E6"/>
    <w:rsid w:val="009D1AF8"/>
    <w:rsid w:val="009D29AC"/>
    <w:rsid w:val="009E1B78"/>
    <w:rsid w:val="009E1F00"/>
    <w:rsid w:val="009E250E"/>
    <w:rsid w:val="009E2979"/>
    <w:rsid w:val="009E5C20"/>
    <w:rsid w:val="009F138C"/>
    <w:rsid w:val="009F1C2B"/>
    <w:rsid w:val="009F1E01"/>
    <w:rsid w:val="009F2777"/>
    <w:rsid w:val="009F7FCC"/>
    <w:rsid w:val="00A00446"/>
    <w:rsid w:val="00A010B2"/>
    <w:rsid w:val="00A02945"/>
    <w:rsid w:val="00A02998"/>
    <w:rsid w:val="00A0384C"/>
    <w:rsid w:val="00A057F1"/>
    <w:rsid w:val="00A05CF6"/>
    <w:rsid w:val="00A06413"/>
    <w:rsid w:val="00A06FBD"/>
    <w:rsid w:val="00A10678"/>
    <w:rsid w:val="00A10916"/>
    <w:rsid w:val="00A12EAE"/>
    <w:rsid w:val="00A13412"/>
    <w:rsid w:val="00A15712"/>
    <w:rsid w:val="00A15975"/>
    <w:rsid w:val="00A16728"/>
    <w:rsid w:val="00A167C9"/>
    <w:rsid w:val="00A22338"/>
    <w:rsid w:val="00A225CD"/>
    <w:rsid w:val="00A228F4"/>
    <w:rsid w:val="00A2320E"/>
    <w:rsid w:val="00A2401E"/>
    <w:rsid w:val="00A25595"/>
    <w:rsid w:val="00A315FD"/>
    <w:rsid w:val="00A33D5D"/>
    <w:rsid w:val="00A33EBB"/>
    <w:rsid w:val="00A36135"/>
    <w:rsid w:val="00A373F3"/>
    <w:rsid w:val="00A404A1"/>
    <w:rsid w:val="00A42402"/>
    <w:rsid w:val="00A44A06"/>
    <w:rsid w:val="00A46055"/>
    <w:rsid w:val="00A47FA2"/>
    <w:rsid w:val="00A5219A"/>
    <w:rsid w:val="00A56DE0"/>
    <w:rsid w:val="00A56F92"/>
    <w:rsid w:val="00A57716"/>
    <w:rsid w:val="00A60407"/>
    <w:rsid w:val="00A614F0"/>
    <w:rsid w:val="00A676BC"/>
    <w:rsid w:val="00A67D5B"/>
    <w:rsid w:val="00A70104"/>
    <w:rsid w:val="00A70387"/>
    <w:rsid w:val="00A757AF"/>
    <w:rsid w:val="00A772E4"/>
    <w:rsid w:val="00A83A24"/>
    <w:rsid w:val="00A86644"/>
    <w:rsid w:val="00A8741C"/>
    <w:rsid w:val="00A91B7E"/>
    <w:rsid w:val="00AA3FF9"/>
    <w:rsid w:val="00AA416C"/>
    <w:rsid w:val="00AA7546"/>
    <w:rsid w:val="00AA7F70"/>
    <w:rsid w:val="00AB008D"/>
    <w:rsid w:val="00AB1227"/>
    <w:rsid w:val="00AB143D"/>
    <w:rsid w:val="00AB462B"/>
    <w:rsid w:val="00AC212D"/>
    <w:rsid w:val="00AC2262"/>
    <w:rsid w:val="00AC3070"/>
    <w:rsid w:val="00AC622F"/>
    <w:rsid w:val="00AD0B0A"/>
    <w:rsid w:val="00AD0BA7"/>
    <w:rsid w:val="00AD199B"/>
    <w:rsid w:val="00AD2A77"/>
    <w:rsid w:val="00AD2DAF"/>
    <w:rsid w:val="00AD3469"/>
    <w:rsid w:val="00AD68CD"/>
    <w:rsid w:val="00AD6ADA"/>
    <w:rsid w:val="00AD78F6"/>
    <w:rsid w:val="00AE2762"/>
    <w:rsid w:val="00AE2B03"/>
    <w:rsid w:val="00AE4984"/>
    <w:rsid w:val="00AE6B19"/>
    <w:rsid w:val="00AF095F"/>
    <w:rsid w:val="00AF3703"/>
    <w:rsid w:val="00AF3A53"/>
    <w:rsid w:val="00AF3AA7"/>
    <w:rsid w:val="00AF6F6A"/>
    <w:rsid w:val="00B029BF"/>
    <w:rsid w:val="00B02AAE"/>
    <w:rsid w:val="00B034F6"/>
    <w:rsid w:val="00B04BAC"/>
    <w:rsid w:val="00B04F2E"/>
    <w:rsid w:val="00B04FBF"/>
    <w:rsid w:val="00B05677"/>
    <w:rsid w:val="00B05F21"/>
    <w:rsid w:val="00B11362"/>
    <w:rsid w:val="00B1278D"/>
    <w:rsid w:val="00B12A7C"/>
    <w:rsid w:val="00B12E83"/>
    <w:rsid w:val="00B13032"/>
    <w:rsid w:val="00B13810"/>
    <w:rsid w:val="00B14DF9"/>
    <w:rsid w:val="00B165FF"/>
    <w:rsid w:val="00B1679F"/>
    <w:rsid w:val="00B20104"/>
    <w:rsid w:val="00B2162F"/>
    <w:rsid w:val="00B22016"/>
    <w:rsid w:val="00B223EB"/>
    <w:rsid w:val="00B22550"/>
    <w:rsid w:val="00B22DD2"/>
    <w:rsid w:val="00B24087"/>
    <w:rsid w:val="00B26F22"/>
    <w:rsid w:val="00B33496"/>
    <w:rsid w:val="00B337F8"/>
    <w:rsid w:val="00B350E4"/>
    <w:rsid w:val="00B355F7"/>
    <w:rsid w:val="00B35B37"/>
    <w:rsid w:val="00B37FEB"/>
    <w:rsid w:val="00B40FF9"/>
    <w:rsid w:val="00B42E5D"/>
    <w:rsid w:val="00B451BB"/>
    <w:rsid w:val="00B47B38"/>
    <w:rsid w:val="00B50E6C"/>
    <w:rsid w:val="00B5193C"/>
    <w:rsid w:val="00B52E93"/>
    <w:rsid w:val="00B56367"/>
    <w:rsid w:val="00B56E6B"/>
    <w:rsid w:val="00B61935"/>
    <w:rsid w:val="00B61C12"/>
    <w:rsid w:val="00B6310B"/>
    <w:rsid w:val="00B6321F"/>
    <w:rsid w:val="00B65DFB"/>
    <w:rsid w:val="00B66386"/>
    <w:rsid w:val="00B66783"/>
    <w:rsid w:val="00B70875"/>
    <w:rsid w:val="00B754BA"/>
    <w:rsid w:val="00B7624B"/>
    <w:rsid w:val="00B76938"/>
    <w:rsid w:val="00B76DCD"/>
    <w:rsid w:val="00B80EFF"/>
    <w:rsid w:val="00B83396"/>
    <w:rsid w:val="00B83964"/>
    <w:rsid w:val="00B92307"/>
    <w:rsid w:val="00B9335B"/>
    <w:rsid w:val="00B93FD0"/>
    <w:rsid w:val="00B94BA6"/>
    <w:rsid w:val="00B97C98"/>
    <w:rsid w:val="00B97CC1"/>
    <w:rsid w:val="00BA08F5"/>
    <w:rsid w:val="00BA21C9"/>
    <w:rsid w:val="00BA2562"/>
    <w:rsid w:val="00BA4955"/>
    <w:rsid w:val="00BA4A2A"/>
    <w:rsid w:val="00BA4F64"/>
    <w:rsid w:val="00BA6CC4"/>
    <w:rsid w:val="00BB2D37"/>
    <w:rsid w:val="00BC0477"/>
    <w:rsid w:val="00BC0CB7"/>
    <w:rsid w:val="00BC2C81"/>
    <w:rsid w:val="00BC61EE"/>
    <w:rsid w:val="00BC65C2"/>
    <w:rsid w:val="00BC6751"/>
    <w:rsid w:val="00BC6AC9"/>
    <w:rsid w:val="00BD04BA"/>
    <w:rsid w:val="00BD0864"/>
    <w:rsid w:val="00BD1A56"/>
    <w:rsid w:val="00BD4704"/>
    <w:rsid w:val="00BD517E"/>
    <w:rsid w:val="00BD5751"/>
    <w:rsid w:val="00BE1A68"/>
    <w:rsid w:val="00BE32DC"/>
    <w:rsid w:val="00BF167D"/>
    <w:rsid w:val="00BF2B01"/>
    <w:rsid w:val="00BF3DF3"/>
    <w:rsid w:val="00BF6A79"/>
    <w:rsid w:val="00C00077"/>
    <w:rsid w:val="00C02075"/>
    <w:rsid w:val="00C04EF2"/>
    <w:rsid w:val="00C06BF9"/>
    <w:rsid w:val="00C11447"/>
    <w:rsid w:val="00C1271B"/>
    <w:rsid w:val="00C14ECB"/>
    <w:rsid w:val="00C16BFB"/>
    <w:rsid w:val="00C16E5D"/>
    <w:rsid w:val="00C2036D"/>
    <w:rsid w:val="00C206AF"/>
    <w:rsid w:val="00C210D2"/>
    <w:rsid w:val="00C2474A"/>
    <w:rsid w:val="00C24B38"/>
    <w:rsid w:val="00C24D9A"/>
    <w:rsid w:val="00C2535B"/>
    <w:rsid w:val="00C30E67"/>
    <w:rsid w:val="00C32097"/>
    <w:rsid w:val="00C34EF7"/>
    <w:rsid w:val="00C34F57"/>
    <w:rsid w:val="00C35D43"/>
    <w:rsid w:val="00C40D38"/>
    <w:rsid w:val="00C40F03"/>
    <w:rsid w:val="00C41D9F"/>
    <w:rsid w:val="00C441EE"/>
    <w:rsid w:val="00C44B43"/>
    <w:rsid w:val="00C45CF7"/>
    <w:rsid w:val="00C463B6"/>
    <w:rsid w:val="00C55116"/>
    <w:rsid w:val="00C55D88"/>
    <w:rsid w:val="00C5697F"/>
    <w:rsid w:val="00C62A44"/>
    <w:rsid w:val="00C632A0"/>
    <w:rsid w:val="00C63BF4"/>
    <w:rsid w:val="00C66832"/>
    <w:rsid w:val="00C744D8"/>
    <w:rsid w:val="00C747EA"/>
    <w:rsid w:val="00C76841"/>
    <w:rsid w:val="00C7792A"/>
    <w:rsid w:val="00C813AA"/>
    <w:rsid w:val="00C82389"/>
    <w:rsid w:val="00C86A41"/>
    <w:rsid w:val="00C8725F"/>
    <w:rsid w:val="00C90030"/>
    <w:rsid w:val="00C902F8"/>
    <w:rsid w:val="00C90624"/>
    <w:rsid w:val="00C9108D"/>
    <w:rsid w:val="00C94DB3"/>
    <w:rsid w:val="00C97C9B"/>
    <w:rsid w:val="00CA0154"/>
    <w:rsid w:val="00CA2837"/>
    <w:rsid w:val="00CA49FA"/>
    <w:rsid w:val="00CA6611"/>
    <w:rsid w:val="00CB03A7"/>
    <w:rsid w:val="00CB1E69"/>
    <w:rsid w:val="00CB1EE6"/>
    <w:rsid w:val="00CB51B5"/>
    <w:rsid w:val="00CB5A0C"/>
    <w:rsid w:val="00CB601E"/>
    <w:rsid w:val="00CB6867"/>
    <w:rsid w:val="00CB7154"/>
    <w:rsid w:val="00CB7F0E"/>
    <w:rsid w:val="00CC0D3D"/>
    <w:rsid w:val="00CC2067"/>
    <w:rsid w:val="00CC29D1"/>
    <w:rsid w:val="00CC43FC"/>
    <w:rsid w:val="00CC5C94"/>
    <w:rsid w:val="00CC5F24"/>
    <w:rsid w:val="00CC627C"/>
    <w:rsid w:val="00CD04D9"/>
    <w:rsid w:val="00CD0513"/>
    <w:rsid w:val="00CD1385"/>
    <w:rsid w:val="00CD2064"/>
    <w:rsid w:val="00CD2C21"/>
    <w:rsid w:val="00CE38E8"/>
    <w:rsid w:val="00CE458E"/>
    <w:rsid w:val="00CE560A"/>
    <w:rsid w:val="00CE5D60"/>
    <w:rsid w:val="00CE5DBD"/>
    <w:rsid w:val="00CE5EB6"/>
    <w:rsid w:val="00CF0B09"/>
    <w:rsid w:val="00CF271D"/>
    <w:rsid w:val="00CF2938"/>
    <w:rsid w:val="00CF3E5C"/>
    <w:rsid w:val="00CF41CB"/>
    <w:rsid w:val="00CF6715"/>
    <w:rsid w:val="00CF70E3"/>
    <w:rsid w:val="00D01CF3"/>
    <w:rsid w:val="00D01EA2"/>
    <w:rsid w:val="00D0298F"/>
    <w:rsid w:val="00D02F7E"/>
    <w:rsid w:val="00D044F4"/>
    <w:rsid w:val="00D05DE7"/>
    <w:rsid w:val="00D10B0F"/>
    <w:rsid w:val="00D11024"/>
    <w:rsid w:val="00D14356"/>
    <w:rsid w:val="00D144B5"/>
    <w:rsid w:val="00D14A72"/>
    <w:rsid w:val="00D16107"/>
    <w:rsid w:val="00D16882"/>
    <w:rsid w:val="00D20A5D"/>
    <w:rsid w:val="00D228B5"/>
    <w:rsid w:val="00D231EA"/>
    <w:rsid w:val="00D24029"/>
    <w:rsid w:val="00D24E70"/>
    <w:rsid w:val="00D26AF2"/>
    <w:rsid w:val="00D3006D"/>
    <w:rsid w:val="00D3205E"/>
    <w:rsid w:val="00D32990"/>
    <w:rsid w:val="00D3351B"/>
    <w:rsid w:val="00D33A28"/>
    <w:rsid w:val="00D36862"/>
    <w:rsid w:val="00D41929"/>
    <w:rsid w:val="00D41FB7"/>
    <w:rsid w:val="00D424F7"/>
    <w:rsid w:val="00D43B7F"/>
    <w:rsid w:val="00D440A2"/>
    <w:rsid w:val="00D45320"/>
    <w:rsid w:val="00D46678"/>
    <w:rsid w:val="00D5047A"/>
    <w:rsid w:val="00D53A91"/>
    <w:rsid w:val="00D6227B"/>
    <w:rsid w:val="00D63FF9"/>
    <w:rsid w:val="00D65A13"/>
    <w:rsid w:val="00D7134A"/>
    <w:rsid w:val="00D71945"/>
    <w:rsid w:val="00D74A55"/>
    <w:rsid w:val="00D75F84"/>
    <w:rsid w:val="00D80384"/>
    <w:rsid w:val="00D804C2"/>
    <w:rsid w:val="00D81033"/>
    <w:rsid w:val="00D82026"/>
    <w:rsid w:val="00D8696B"/>
    <w:rsid w:val="00D86C90"/>
    <w:rsid w:val="00D95828"/>
    <w:rsid w:val="00D96E3A"/>
    <w:rsid w:val="00D97E39"/>
    <w:rsid w:val="00DA0EDB"/>
    <w:rsid w:val="00DA4B6F"/>
    <w:rsid w:val="00DA5F10"/>
    <w:rsid w:val="00DA6EC0"/>
    <w:rsid w:val="00DA760C"/>
    <w:rsid w:val="00DB15D8"/>
    <w:rsid w:val="00DB287B"/>
    <w:rsid w:val="00DB3591"/>
    <w:rsid w:val="00DB42F1"/>
    <w:rsid w:val="00DB4A43"/>
    <w:rsid w:val="00DB5DCA"/>
    <w:rsid w:val="00DC009C"/>
    <w:rsid w:val="00DC36DA"/>
    <w:rsid w:val="00DC3D96"/>
    <w:rsid w:val="00DC44D4"/>
    <w:rsid w:val="00DD06A1"/>
    <w:rsid w:val="00DD2019"/>
    <w:rsid w:val="00DD354B"/>
    <w:rsid w:val="00DD43EB"/>
    <w:rsid w:val="00DD5331"/>
    <w:rsid w:val="00DE06CA"/>
    <w:rsid w:val="00DE13D9"/>
    <w:rsid w:val="00DE388B"/>
    <w:rsid w:val="00DE4442"/>
    <w:rsid w:val="00DE4ED9"/>
    <w:rsid w:val="00DF234E"/>
    <w:rsid w:val="00DF2CC5"/>
    <w:rsid w:val="00DF357F"/>
    <w:rsid w:val="00DF5CE4"/>
    <w:rsid w:val="00DF6B9C"/>
    <w:rsid w:val="00E0174B"/>
    <w:rsid w:val="00E03530"/>
    <w:rsid w:val="00E05D55"/>
    <w:rsid w:val="00E11300"/>
    <w:rsid w:val="00E13506"/>
    <w:rsid w:val="00E14C42"/>
    <w:rsid w:val="00E14F58"/>
    <w:rsid w:val="00E14FEE"/>
    <w:rsid w:val="00E16372"/>
    <w:rsid w:val="00E16796"/>
    <w:rsid w:val="00E16A26"/>
    <w:rsid w:val="00E24DA5"/>
    <w:rsid w:val="00E25F60"/>
    <w:rsid w:val="00E27A1C"/>
    <w:rsid w:val="00E36936"/>
    <w:rsid w:val="00E371C4"/>
    <w:rsid w:val="00E4177B"/>
    <w:rsid w:val="00E433B0"/>
    <w:rsid w:val="00E436DC"/>
    <w:rsid w:val="00E44BE4"/>
    <w:rsid w:val="00E46543"/>
    <w:rsid w:val="00E52107"/>
    <w:rsid w:val="00E524FA"/>
    <w:rsid w:val="00E53B9B"/>
    <w:rsid w:val="00E5788B"/>
    <w:rsid w:val="00E578D3"/>
    <w:rsid w:val="00E65B67"/>
    <w:rsid w:val="00E65E1A"/>
    <w:rsid w:val="00E667C0"/>
    <w:rsid w:val="00E668FE"/>
    <w:rsid w:val="00E67214"/>
    <w:rsid w:val="00E73162"/>
    <w:rsid w:val="00E74ED3"/>
    <w:rsid w:val="00E75244"/>
    <w:rsid w:val="00E76759"/>
    <w:rsid w:val="00E768CD"/>
    <w:rsid w:val="00E76BD0"/>
    <w:rsid w:val="00E77947"/>
    <w:rsid w:val="00E8156C"/>
    <w:rsid w:val="00E84075"/>
    <w:rsid w:val="00E8518F"/>
    <w:rsid w:val="00E85933"/>
    <w:rsid w:val="00E90476"/>
    <w:rsid w:val="00E90486"/>
    <w:rsid w:val="00E90C94"/>
    <w:rsid w:val="00E92502"/>
    <w:rsid w:val="00E9314C"/>
    <w:rsid w:val="00E935A2"/>
    <w:rsid w:val="00E93C12"/>
    <w:rsid w:val="00E94E9C"/>
    <w:rsid w:val="00E952B1"/>
    <w:rsid w:val="00E96835"/>
    <w:rsid w:val="00E975AA"/>
    <w:rsid w:val="00E979AC"/>
    <w:rsid w:val="00EA0915"/>
    <w:rsid w:val="00EA09F8"/>
    <w:rsid w:val="00EA258A"/>
    <w:rsid w:val="00EA2C47"/>
    <w:rsid w:val="00EA3AD0"/>
    <w:rsid w:val="00EA3B0F"/>
    <w:rsid w:val="00EB073E"/>
    <w:rsid w:val="00EB27ED"/>
    <w:rsid w:val="00EB2A47"/>
    <w:rsid w:val="00EC2AC1"/>
    <w:rsid w:val="00EC2F18"/>
    <w:rsid w:val="00EC494F"/>
    <w:rsid w:val="00ED15AE"/>
    <w:rsid w:val="00ED37C8"/>
    <w:rsid w:val="00ED527F"/>
    <w:rsid w:val="00EE00DE"/>
    <w:rsid w:val="00EE1EBB"/>
    <w:rsid w:val="00EE2673"/>
    <w:rsid w:val="00EE4E10"/>
    <w:rsid w:val="00EE582D"/>
    <w:rsid w:val="00EE7634"/>
    <w:rsid w:val="00EF2072"/>
    <w:rsid w:val="00EF28CF"/>
    <w:rsid w:val="00EF299E"/>
    <w:rsid w:val="00EF2F6B"/>
    <w:rsid w:val="00EF7246"/>
    <w:rsid w:val="00EF7C54"/>
    <w:rsid w:val="00F01900"/>
    <w:rsid w:val="00F01C11"/>
    <w:rsid w:val="00F025D5"/>
    <w:rsid w:val="00F03D2A"/>
    <w:rsid w:val="00F03D6C"/>
    <w:rsid w:val="00F041B1"/>
    <w:rsid w:val="00F06530"/>
    <w:rsid w:val="00F06E83"/>
    <w:rsid w:val="00F06F46"/>
    <w:rsid w:val="00F1261A"/>
    <w:rsid w:val="00F1357B"/>
    <w:rsid w:val="00F1392D"/>
    <w:rsid w:val="00F15579"/>
    <w:rsid w:val="00F227B8"/>
    <w:rsid w:val="00F22C7F"/>
    <w:rsid w:val="00F2301B"/>
    <w:rsid w:val="00F23C1E"/>
    <w:rsid w:val="00F267D6"/>
    <w:rsid w:val="00F32B53"/>
    <w:rsid w:val="00F334B4"/>
    <w:rsid w:val="00F33515"/>
    <w:rsid w:val="00F34D33"/>
    <w:rsid w:val="00F35B56"/>
    <w:rsid w:val="00F370CD"/>
    <w:rsid w:val="00F3727C"/>
    <w:rsid w:val="00F44133"/>
    <w:rsid w:val="00F44C21"/>
    <w:rsid w:val="00F44E22"/>
    <w:rsid w:val="00F450E1"/>
    <w:rsid w:val="00F45AB7"/>
    <w:rsid w:val="00F45B16"/>
    <w:rsid w:val="00F46C04"/>
    <w:rsid w:val="00F50393"/>
    <w:rsid w:val="00F5403F"/>
    <w:rsid w:val="00F54ECF"/>
    <w:rsid w:val="00F5787B"/>
    <w:rsid w:val="00F60568"/>
    <w:rsid w:val="00F61633"/>
    <w:rsid w:val="00F61642"/>
    <w:rsid w:val="00F63B36"/>
    <w:rsid w:val="00F775E6"/>
    <w:rsid w:val="00F82B00"/>
    <w:rsid w:val="00F9024A"/>
    <w:rsid w:val="00F91E27"/>
    <w:rsid w:val="00F93EFA"/>
    <w:rsid w:val="00F9526C"/>
    <w:rsid w:val="00FA0424"/>
    <w:rsid w:val="00FA0DF0"/>
    <w:rsid w:val="00FA1AC6"/>
    <w:rsid w:val="00FA1FE4"/>
    <w:rsid w:val="00FA28CF"/>
    <w:rsid w:val="00FA3419"/>
    <w:rsid w:val="00FA49E0"/>
    <w:rsid w:val="00FA4FD2"/>
    <w:rsid w:val="00FA71FF"/>
    <w:rsid w:val="00FA7967"/>
    <w:rsid w:val="00FB1CF6"/>
    <w:rsid w:val="00FB22DA"/>
    <w:rsid w:val="00FB3291"/>
    <w:rsid w:val="00FB475D"/>
    <w:rsid w:val="00FB4E22"/>
    <w:rsid w:val="00FB59D2"/>
    <w:rsid w:val="00FB69A0"/>
    <w:rsid w:val="00FB7969"/>
    <w:rsid w:val="00FC113B"/>
    <w:rsid w:val="00FC22D8"/>
    <w:rsid w:val="00FC36B3"/>
    <w:rsid w:val="00FC3F38"/>
    <w:rsid w:val="00FC4582"/>
    <w:rsid w:val="00FC5064"/>
    <w:rsid w:val="00FC59ED"/>
    <w:rsid w:val="00FC5F9E"/>
    <w:rsid w:val="00FC6C6E"/>
    <w:rsid w:val="00FD0852"/>
    <w:rsid w:val="00FD50C6"/>
    <w:rsid w:val="00FD5F3B"/>
    <w:rsid w:val="00FD7BDF"/>
    <w:rsid w:val="00FE3A00"/>
    <w:rsid w:val="00FE3C59"/>
    <w:rsid w:val="00FE4360"/>
    <w:rsid w:val="00FF285A"/>
    <w:rsid w:val="00FF2E5F"/>
    <w:rsid w:val="00FF34C4"/>
    <w:rsid w:val="00FF59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oNotEmbedSmartTags/>
  <w:decimalSymbol w:val="."/>
  <w:listSeparator w:val=","/>
  <w14:docId w14:val="179B7C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iPriority="0" w:qFormat="1"/>
    <w:lsdException w:name="List Number" w:semiHidden="1" w:uiPriority="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2"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2"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styleId="NormalWeb">
    <w:name w:val="Normal (Web)"/>
    <w:basedOn w:val="Normal"/>
    <w:uiPriority w:val="99"/>
    <w:unhideWhenUsed/>
    <w:rsid w:val="00F5787B"/>
    <w:pPr>
      <w:spacing w:after="0" w:line="240" w:lineRule="auto"/>
      <w:textAlignment w:val="baseline"/>
    </w:pPr>
    <w:rPr>
      <w:rFonts w:ascii="Times New Roman" w:hAnsi="Times New Roman"/>
      <w:sz w:val="24"/>
      <w:lang w:eastAsia="en-AU"/>
    </w:rPr>
  </w:style>
  <w:style w:type="character" w:styleId="Emphasis">
    <w:name w:val="Emphasis"/>
    <w:basedOn w:val="DefaultParagraphFont"/>
    <w:uiPriority w:val="20"/>
    <w:qFormat/>
    <w:rsid w:val="006F68B9"/>
    <w:rPr>
      <w:i/>
      <w:iCs/>
      <w:sz w:val="24"/>
      <w:szCs w:val="24"/>
      <w:bdr w:val="none" w:sz="0" w:space="0" w:color="auto" w:frame="1"/>
      <w:vertAlign w:val="baseline"/>
    </w:rPr>
  </w:style>
  <w:style w:type="character" w:styleId="Strong">
    <w:name w:val="Strong"/>
    <w:basedOn w:val="DefaultParagraphFont"/>
    <w:uiPriority w:val="22"/>
    <w:qFormat/>
    <w:rsid w:val="002B13BF"/>
    <w:rPr>
      <w:b/>
      <w:bCs/>
      <w:sz w:val="24"/>
      <w:szCs w:val="24"/>
      <w:bdr w:val="none" w:sz="0" w:space="0" w:color="auto" w:frame="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17104">
      <w:bodyDiv w:val="1"/>
      <w:marLeft w:val="0"/>
      <w:marRight w:val="0"/>
      <w:marTop w:val="0"/>
      <w:marBottom w:val="0"/>
      <w:divBdr>
        <w:top w:val="none" w:sz="0" w:space="0" w:color="auto"/>
        <w:left w:val="none" w:sz="0" w:space="0" w:color="auto"/>
        <w:bottom w:val="none" w:sz="0" w:space="0" w:color="auto"/>
        <w:right w:val="none" w:sz="0" w:space="0" w:color="auto"/>
      </w:divBdr>
    </w:div>
    <w:div w:id="118452271">
      <w:bodyDiv w:val="1"/>
      <w:marLeft w:val="0"/>
      <w:marRight w:val="0"/>
      <w:marTop w:val="0"/>
      <w:marBottom w:val="0"/>
      <w:divBdr>
        <w:top w:val="none" w:sz="0" w:space="0" w:color="auto"/>
        <w:left w:val="none" w:sz="0" w:space="0" w:color="auto"/>
        <w:bottom w:val="none" w:sz="0" w:space="0" w:color="auto"/>
        <w:right w:val="none" w:sz="0" w:space="0" w:color="auto"/>
      </w:divBdr>
      <w:divsChild>
        <w:div w:id="1907256248">
          <w:marLeft w:val="0"/>
          <w:marRight w:val="0"/>
          <w:marTop w:val="0"/>
          <w:marBottom w:val="0"/>
          <w:divBdr>
            <w:top w:val="none" w:sz="0" w:space="0" w:color="auto"/>
            <w:left w:val="none" w:sz="0" w:space="0" w:color="auto"/>
            <w:bottom w:val="none" w:sz="0" w:space="0" w:color="auto"/>
            <w:right w:val="none" w:sz="0" w:space="0" w:color="auto"/>
          </w:divBdr>
          <w:divsChild>
            <w:div w:id="1194465972">
              <w:marLeft w:val="0"/>
              <w:marRight w:val="0"/>
              <w:marTop w:val="0"/>
              <w:marBottom w:val="0"/>
              <w:divBdr>
                <w:top w:val="none" w:sz="0" w:space="0" w:color="auto"/>
                <w:left w:val="none" w:sz="0" w:space="0" w:color="auto"/>
                <w:bottom w:val="none" w:sz="0" w:space="0" w:color="auto"/>
                <w:right w:val="none" w:sz="0" w:space="0" w:color="auto"/>
              </w:divBdr>
              <w:divsChild>
                <w:div w:id="122311968">
                  <w:marLeft w:val="0"/>
                  <w:marRight w:val="0"/>
                  <w:marTop w:val="0"/>
                  <w:marBottom w:val="0"/>
                  <w:divBdr>
                    <w:top w:val="none" w:sz="0" w:space="0" w:color="auto"/>
                    <w:left w:val="none" w:sz="0" w:space="0" w:color="auto"/>
                    <w:bottom w:val="none" w:sz="0" w:space="0" w:color="auto"/>
                    <w:right w:val="none" w:sz="0" w:space="0" w:color="auto"/>
                  </w:divBdr>
                  <w:divsChild>
                    <w:div w:id="1788695785">
                      <w:marLeft w:val="150"/>
                      <w:marRight w:val="150"/>
                      <w:marTop w:val="0"/>
                      <w:marBottom w:val="0"/>
                      <w:divBdr>
                        <w:top w:val="none" w:sz="0" w:space="0" w:color="auto"/>
                        <w:left w:val="none" w:sz="0" w:space="0" w:color="auto"/>
                        <w:bottom w:val="none" w:sz="0" w:space="0" w:color="auto"/>
                        <w:right w:val="none" w:sz="0" w:space="0" w:color="auto"/>
                      </w:divBdr>
                      <w:divsChild>
                        <w:div w:id="117265163">
                          <w:marLeft w:val="0"/>
                          <w:marRight w:val="0"/>
                          <w:marTop w:val="0"/>
                          <w:marBottom w:val="0"/>
                          <w:divBdr>
                            <w:top w:val="none" w:sz="0" w:space="0" w:color="auto"/>
                            <w:left w:val="none" w:sz="0" w:space="0" w:color="auto"/>
                            <w:bottom w:val="none" w:sz="0" w:space="0" w:color="auto"/>
                            <w:right w:val="none" w:sz="0" w:space="0" w:color="auto"/>
                          </w:divBdr>
                          <w:divsChild>
                            <w:div w:id="487131837">
                              <w:marLeft w:val="0"/>
                              <w:marRight w:val="0"/>
                              <w:marTop w:val="0"/>
                              <w:marBottom w:val="0"/>
                              <w:divBdr>
                                <w:top w:val="none" w:sz="0" w:space="0" w:color="auto"/>
                                <w:left w:val="none" w:sz="0" w:space="0" w:color="auto"/>
                                <w:bottom w:val="none" w:sz="0" w:space="0" w:color="auto"/>
                                <w:right w:val="none" w:sz="0" w:space="0" w:color="auto"/>
                              </w:divBdr>
                              <w:divsChild>
                                <w:div w:id="402795891">
                                  <w:marLeft w:val="0"/>
                                  <w:marRight w:val="0"/>
                                  <w:marTop w:val="0"/>
                                  <w:marBottom w:val="0"/>
                                  <w:divBdr>
                                    <w:top w:val="none" w:sz="0" w:space="0" w:color="auto"/>
                                    <w:left w:val="none" w:sz="0" w:space="0" w:color="auto"/>
                                    <w:bottom w:val="none" w:sz="0" w:space="0" w:color="auto"/>
                                    <w:right w:val="none" w:sz="0" w:space="0" w:color="auto"/>
                                  </w:divBdr>
                                  <w:divsChild>
                                    <w:div w:id="1831868818">
                                      <w:marLeft w:val="0"/>
                                      <w:marRight w:val="0"/>
                                      <w:marTop w:val="0"/>
                                      <w:marBottom w:val="0"/>
                                      <w:divBdr>
                                        <w:top w:val="none" w:sz="0" w:space="0" w:color="auto"/>
                                        <w:left w:val="none" w:sz="0" w:space="0" w:color="auto"/>
                                        <w:bottom w:val="none" w:sz="0" w:space="0" w:color="auto"/>
                                        <w:right w:val="none" w:sz="0" w:space="0" w:color="auto"/>
                                      </w:divBdr>
                                      <w:divsChild>
                                        <w:div w:id="1101877683">
                                          <w:marLeft w:val="0"/>
                                          <w:marRight w:val="0"/>
                                          <w:marTop w:val="0"/>
                                          <w:marBottom w:val="0"/>
                                          <w:divBdr>
                                            <w:top w:val="none" w:sz="0" w:space="0" w:color="auto"/>
                                            <w:left w:val="none" w:sz="0" w:space="0" w:color="auto"/>
                                            <w:bottom w:val="none" w:sz="0" w:space="0" w:color="auto"/>
                                            <w:right w:val="none" w:sz="0" w:space="0" w:color="auto"/>
                                          </w:divBdr>
                                          <w:divsChild>
                                            <w:div w:id="1522474161">
                                              <w:marLeft w:val="0"/>
                                              <w:marRight w:val="0"/>
                                              <w:marTop w:val="0"/>
                                              <w:marBottom w:val="0"/>
                                              <w:divBdr>
                                                <w:top w:val="none" w:sz="0" w:space="0" w:color="auto"/>
                                                <w:left w:val="none" w:sz="0" w:space="0" w:color="auto"/>
                                                <w:bottom w:val="none" w:sz="0" w:space="0" w:color="auto"/>
                                                <w:right w:val="none" w:sz="0" w:space="0" w:color="auto"/>
                                              </w:divBdr>
                                              <w:divsChild>
                                                <w:div w:id="1223251913">
                                                  <w:marLeft w:val="0"/>
                                                  <w:marRight w:val="0"/>
                                                  <w:marTop w:val="0"/>
                                                  <w:marBottom w:val="0"/>
                                                  <w:divBdr>
                                                    <w:top w:val="none" w:sz="0" w:space="0" w:color="auto"/>
                                                    <w:left w:val="none" w:sz="0" w:space="0" w:color="auto"/>
                                                    <w:bottom w:val="none" w:sz="0" w:space="0" w:color="auto"/>
                                                    <w:right w:val="none" w:sz="0" w:space="0" w:color="auto"/>
                                                  </w:divBdr>
                                                  <w:divsChild>
                                                    <w:div w:id="10647959">
                                                      <w:marLeft w:val="0"/>
                                                      <w:marRight w:val="0"/>
                                                      <w:marTop w:val="0"/>
                                                      <w:marBottom w:val="0"/>
                                                      <w:divBdr>
                                                        <w:top w:val="none" w:sz="0" w:space="0" w:color="auto"/>
                                                        <w:left w:val="none" w:sz="0" w:space="0" w:color="auto"/>
                                                        <w:bottom w:val="none" w:sz="0" w:space="0" w:color="auto"/>
                                                        <w:right w:val="none" w:sz="0" w:space="0" w:color="auto"/>
                                                      </w:divBdr>
                                                      <w:divsChild>
                                                        <w:div w:id="177867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241732">
      <w:bodyDiv w:val="1"/>
      <w:marLeft w:val="0"/>
      <w:marRight w:val="0"/>
      <w:marTop w:val="0"/>
      <w:marBottom w:val="0"/>
      <w:divBdr>
        <w:top w:val="none" w:sz="0" w:space="0" w:color="auto"/>
        <w:left w:val="none" w:sz="0" w:space="0" w:color="auto"/>
        <w:bottom w:val="none" w:sz="0" w:space="0" w:color="auto"/>
        <w:right w:val="none" w:sz="0" w:space="0" w:color="auto"/>
      </w:divBdr>
    </w:div>
    <w:div w:id="137234775">
      <w:bodyDiv w:val="1"/>
      <w:marLeft w:val="0"/>
      <w:marRight w:val="0"/>
      <w:marTop w:val="0"/>
      <w:marBottom w:val="0"/>
      <w:divBdr>
        <w:top w:val="none" w:sz="0" w:space="0" w:color="auto"/>
        <w:left w:val="none" w:sz="0" w:space="0" w:color="auto"/>
        <w:bottom w:val="none" w:sz="0" w:space="0" w:color="auto"/>
        <w:right w:val="none" w:sz="0" w:space="0" w:color="auto"/>
      </w:divBdr>
    </w:div>
    <w:div w:id="180973459">
      <w:bodyDiv w:val="1"/>
      <w:marLeft w:val="0"/>
      <w:marRight w:val="0"/>
      <w:marTop w:val="0"/>
      <w:marBottom w:val="0"/>
      <w:divBdr>
        <w:top w:val="none" w:sz="0" w:space="0" w:color="auto"/>
        <w:left w:val="none" w:sz="0" w:space="0" w:color="auto"/>
        <w:bottom w:val="none" w:sz="0" w:space="0" w:color="auto"/>
        <w:right w:val="none" w:sz="0" w:space="0" w:color="auto"/>
      </w:divBdr>
    </w:div>
    <w:div w:id="231625369">
      <w:bodyDiv w:val="1"/>
      <w:marLeft w:val="0"/>
      <w:marRight w:val="0"/>
      <w:marTop w:val="0"/>
      <w:marBottom w:val="0"/>
      <w:divBdr>
        <w:top w:val="none" w:sz="0" w:space="0" w:color="auto"/>
        <w:left w:val="none" w:sz="0" w:space="0" w:color="auto"/>
        <w:bottom w:val="none" w:sz="0" w:space="0" w:color="auto"/>
        <w:right w:val="none" w:sz="0" w:space="0" w:color="auto"/>
      </w:divBdr>
    </w:div>
    <w:div w:id="315229492">
      <w:bodyDiv w:val="1"/>
      <w:marLeft w:val="0"/>
      <w:marRight w:val="0"/>
      <w:marTop w:val="0"/>
      <w:marBottom w:val="0"/>
      <w:divBdr>
        <w:top w:val="none" w:sz="0" w:space="0" w:color="auto"/>
        <w:left w:val="none" w:sz="0" w:space="0" w:color="auto"/>
        <w:bottom w:val="none" w:sz="0" w:space="0" w:color="auto"/>
        <w:right w:val="none" w:sz="0" w:space="0" w:color="auto"/>
      </w:divBdr>
      <w:divsChild>
        <w:div w:id="636836507">
          <w:marLeft w:val="0"/>
          <w:marRight w:val="0"/>
          <w:marTop w:val="0"/>
          <w:marBottom w:val="0"/>
          <w:divBdr>
            <w:top w:val="none" w:sz="0" w:space="0" w:color="auto"/>
            <w:left w:val="none" w:sz="0" w:space="0" w:color="auto"/>
            <w:bottom w:val="none" w:sz="0" w:space="0" w:color="auto"/>
            <w:right w:val="none" w:sz="0" w:space="0" w:color="auto"/>
          </w:divBdr>
          <w:divsChild>
            <w:div w:id="1792166454">
              <w:marLeft w:val="0"/>
              <w:marRight w:val="0"/>
              <w:marTop w:val="0"/>
              <w:marBottom w:val="0"/>
              <w:divBdr>
                <w:top w:val="none" w:sz="0" w:space="0" w:color="auto"/>
                <w:left w:val="none" w:sz="0" w:space="0" w:color="auto"/>
                <w:bottom w:val="none" w:sz="0" w:space="0" w:color="auto"/>
                <w:right w:val="none" w:sz="0" w:space="0" w:color="auto"/>
              </w:divBdr>
              <w:divsChild>
                <w:div w:id="1964071855">
                  <w:marLeft w:val="0"/>
                  <w:marRight w:val="0"/>
                  <w:marTop w:val="0"/>
                  <w:marBottom w:val="0"/>
                  <w:divBdr>
                    <w:top w:val="none" w:sz="0" w:space="0" w:color="auto"/>
                    <w:left w:val="none" w:sz="0" w:space="0" w:color="auto"/>
                    <w:bottom w:val="none" w:sz="0" w:space="0" w:color="auto"/>
                    <w:right w:val="none" w:sz="0" w:space="0" w:color="auto"/>
                  </w:divBdr>
                  <w:divsChild>
                    <w:div w:id="1654984718">
                      <w:marLeft w:val="150"/>
                      <w:marRight w:val="150"/>
                      <w:marTop w:val="0"/>
                      <w:marBottom w:val="0"/>
                      <w:divBdr>
                        <w:top w:val="none" w:sz="0" w:space="0" w:color="auto"/>
                        <w:left w:val="none" w:sz="0" w:space="0" w:color="auto"/>
                        <w:bottom w:val="none" w:sz="0" w:space="0" w:color="auto"/>
                        <w:right w:val="none" w:sz="0" w:space="0" w:color="auto"/>
                      </w:divBdr>
                      <w:divsChild>
                        <w:div w:id="1020743314">
                          <w:marLeft w:val="0"/>
                          <w:marRight w:val="0"/>
                          <w:marTop w:val="0"/>
                          <w:marBottom w:val="0"/>
                          <w:divBdr>
                            <w:top w:val="none" w:sz="0" w:space="0" w:color="auto"/>
                            <w:left w:val="none" w:sz="0" w:space="0" w:color="auto"/>
                            <w:bottom w:val="none" w:sz="0" w:space="0" w:color="auto"/>
                            <w:right w:val="none" w:sz="0" w:space="0" w:color="auto"/>
                          </w:divBdr>
                          <w:divsChild>
                            <w:div w:id="1938246983">
                              <w:marLeft w:val="0"/>
                              <w:marRight w:val="0"/>
                              <w:marTop w:val="0"/>
                              <w:marBottom w:val="0"/>
                              <w:divBdr>
                                <w:top w:val="none" w:sz="0" w:space="0" w:color="auto"/>
                                <w:left w:val="none" w:sz="0" w:space="0" w:color="auto"/>
                                <w:bottom w:val="none" w:sz="0" w:space="0" w:color="auto"/>
                                <w:right w:val="none" w:sz="0" w:space="0" w:color="auto"/>
                              </w:divBdr>
                              <w:divsChild>
                                <w:div w:id="882212509">
                                  <w:marLeft w:val="0"/>
                                  <w:marRight w:val="0"/>
                                  <w:marTop w:val="0"/>
                                  <w:marBottom w:val="0"/>
                                  <w:divBdr>
                                    <w:top w:val="none" w:sz="0" w:space="0" w:color="auto"/>
                                    <w:left w:val="none" w:sz="0" w:space="0" w:color="auto"/>
                                    <w:bottom w:val="none" w:sz="0" w:space="0" w:color="auto"/>
                                    <w:right w:val="none" w:sz="0" w:space="0" w:color="auto"/>
                                  </w:divBdr>
                                  <w:divsChild>
                                    <w:div w:id="1141921469">
                                      <w:marLeft w:val="0"/>
                                      <w:marRight w:val="0"/>
                                      <w:marTop w:val="0"/>
                                      <w:marBottom w:val="0"/>
                                      <w:divBdr>
                                        <w:top w:val="none" w:sz="0" w:space="0" w:color="auto"/>
                                        <w:left w:val="none" w:sz="0" w:space="0" w:color="auto"/>
                                        <w:bottom w:val="none" w:sz="0" w:space="0" w:color="auto"/>
                                        <w:right w:val="none" w:sz="0" w:space="0" w:color="auto"/>
                                      </w:divBdr>
                                      <w:divsChild>
                                        <w:div w:id="1179657574">
                                          <w:marLeft w:val="0"/>
                                          <w:marRight w:val="0"/>
                                          <w:marTop w:val="0"/>
                                          <w:marBottom w:val="0"/>
                                          <w:divBdr>
                                            <w:top w:val="none" w:sz="0" w:space="0" w:color="auto"/>
                                            <w:left w:val="none" w:sz="0" w:space="0" w:color="auto"/>
                                            <w:bottom w:val="none" w:sz="0" w:space="0" w:color="auto"/>
                                            <w:right w:val="none" w:sz="0" w:space="0" w:color="auto"/>
                                          </w:divBdr>
                                          <w:divsChild>
                                            <w:div w:id="1025012632">
                                              <w:marLeft w:val="0"/>
                                              <w:marRight w:val="0"/>
                                              <w:marTop w:val="0"/>
                                              <w:marBottom w:val="0"/>
                                              <w:divBdr>
                                                <w:top w:val="none" w:sz="0" w:space="0" w:color="auto"/>
                                                <w:left w:val="none" w:sz="0" w:space="0" w:color="auto"/>
                                                <w:bottom w:val="none" w:sz="0" w:space="0" w:color="auto"/>
                                                <w:right w:val="none" w:sz="0" w:space="0" w:color="auto"/>
                                              </w:divBdr>
                                              <w:divsChild>
                                                <w:div w:id="134109212">
                                                  <w:marLeft w:val="0"/>
                                                  <w:marRight w:val="0"/>
                                                  <w:marTop w:val="0"/>
                                                  <w:marBottom w:val="0"/>
                                                  <w:divBdr>
                                                    <w:top w:val="none" w:sz="0" w:space="0" w:color="auto"/>
                                                    <w:left w:val="none" w:sz="0" w:space="0" w:color="auto"/>
                                                    <w:bottom w:val="none" w:sz="0" w:space="0" w:color="auto"/>
                                                    <w:right w:val="none" w:sz="0" w:space="0" w:color="auto"/>
                                                  </w:divBdr>
                                                  <w:divsChild>
                                                    <w:div w:id="508181462">
                                                      <w:marLeft w:val="0"/>
                                                      <w:marRight w:val="0"/>
                                                      <w:marTop w:val="0"/>
                                                      <w:marBottom w:val="0"/>
                                                      <w:divBdr>
                                                        <w:top w:val="none" w:sz="0" w:space="0" w:color="auto"/>
                                                        <w:left w:val="none" w:sz="0" w:space="0" w:color="auto"/>
                                                        <w:bottom w:val="none" w:sz="0" w:space="0" w:color="auto"/>
                                                        <w:right w:val="none" w:sz="0" w:space="0" w:color="auto"/>
                                                      </w:divBdr>
                                                      <w:divsChild>
                                                        <w:div w:id="7711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3412645">
      <w:bodyDiv w:val="1"/>
      <w:marLeft w:val="0"/>
      <w:marRight w:val="0"/>
      <w:marTop w:val="0"/>
      <w:marBottom w:val="0"/>
      <w:divBdr>
        <w:top w:val="none" w:sz="0" w:space="0" w:color="auto"/>
        <w:left w:val="none" w:sz="0" w:space="0" w:color="auto"/>
        <w:bottom w:val="none" w:sz="0" w:space="0" w:color="auto"/>
        <w:right w:val="none" w:sz="0" w:space="0" w:color="auto"/>
      </w:divBdr>
      <w:divsChild>
        <w:div w:id="864514656">
          <w:marLeft w:val="0"/>
          <w:marRight w:val="0"/>
          <w:marTop w:val="0"/>
          <w:marBottom w:val="0"/>
          <w:divBdr>
            <w:top w:val="none" w:sz="0" w:space="0" w:color="auto"/>
            <w:left w:val="none" w:sz="0" w:space="0" w:color="auto"/>
            <w:bottom w:val="none" w:sz="0" w:space="0" w:color="auto"/>
            <w:right w:val="none" w:sz="0" w:space="0" w:color="auto"/>
          </w:divBdr>
          <w:divsChild>
            <w:div w:id="18875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643121764">
      <w:bodyDiv w:val="1"/>
      <w:marLeft w:val="0"/>
      <w:marRight w:val="0"/>
      <w:marTop w:val="0"/>
      <w:marBottom w:val="0"/>
      <w:divBdr>
        <w:top w:val="none" w:sz="0" w:space="0" w:color="auto"/>
        <w:left w:val="none" w:sz="0" w:space="0" w:color="auto"/>
        <w:bottom w:val="none" w:sz="0" w:space="0" w:color="auto"/>
        <w:right w:val="none" w:sz="0" w:space="0" w:color="auto"/>
      </w:divBdr>
    </w:div>
    <w:div w:id="664825677">
      <w:bodyDiv w:val="1"/>
      <w:marLeft w:val="0"/>
      <w:marRight w:val="0"/>
      <w:marTop w:val="0"/>
      <w:marBottom w:val="0"/>
      <w:divBdr>
        <w:top w:val="none" w:sz="0" w:space="0" w:color="auto"/>
        <w:left w:val="none" w:sz="0" w:space="0" w:color="auto"/>
        <w:bottom w:val="none" w:sz="0" w:space="0" w:color="auto"/>
        <w:right w:val="none" w:sz="0" w:space="0" w:color="auto"/>
      </w:divBdr>
      <w:divsChild>
        <w:div w:id="1089885041">
          <w:marLeft w:val="0"/>
          <w:marRight w:val="0"/>
          <w:marTop w:val="0"/>
          <w:marBottom w:val="0"/>
          <w:divBdr>
            <w:top w:val="none" w:sz="0" w:space="0" w:color="auto"/>
            <w:left w:val="none" w:sz="0" w:space="0" w:color="auto"/>
            <w:bottom w:val="none" w:sz="0" w:space="0" w:color="auto"/>
            <w:right w:val="none" w:sz="0" w:space="0" w:color="auto"/>
          </w:divBdr>
          <w:divsChild>
            <w:div w:id="1841191010">
              <w:marLeft w:val="0"/>
              <w:marRight w:val="0"/>
              <w:marTop w:val="0"/>
              <w:marBottom w:val="0"/>
              <w:divBdr>
                <w:top w:val="none" w:sz="0" w:space="0" w:color="auto"/>
                <w:left w:val="none" w:sz="0" w:space="0" w:color="auto"/>
                <w:bottom w:val="none" w:sz="0" w:space="0" w:color="auto"/>
                <w:right w:val="none" w:sz="0" w:space="0" w:color="auto"/>
              </w:divBdr>
              <w:divsChild>
                <w:div w:id="2059938128">
                  <w:marLeft w:val="0"/>
                  <w:marRight w:val="0"/>
                  <w:marTop w:val="0"/>
                  <w:marBottom w:val="0"/>
                  <w:divBdr>
                    <w:top w:val="none" w:sz="0" w:space="0" w:color="auto"/>
                    <w:left w:val="none" w:sz="0" w:space="0" w:color="auto"/>
                    <w:bottom w:val="none" w:sz="0" w:space="0" w:color="auto"/>
                    <w:right w:val="none" w:sz="0" w:space="0" w:color="auto"/>
                  </w:divBdr>
                  <w:divsChild>
                    <w:div w:id="1798179484">
                      <w:marLeft w:val="150"/>
                      <w:marRight w:val="150"/>
                      <w:marTop w:val="0"/>
                      <w:marBottom w:val="0"/>
                      <w:divBdr>
                        <w:top w:val="none" w:sz="0" w:space="0" w:color="auto"/>
                        <w:left w:val="none" w:sz="0" w:space="0" w:color="auto"/>
                        <w:bottom w:val="none" w:sz="0" w:space="0" w:color="auto"/>
                        <w:right w:val="none" w:sz="0" w:space="0" w:color="auto"/>
                      </w:divBdr>
                      <w:divsChild>
                        <w:div w:id="867832829">
                          <w:marLeft w:val="0"/>
                          <w:marRight w:val="0"/>
                          <w:marTop w:val="0"/>
                          <w:marBottom w:val="0"/>
                          <w:divBdr>
                            <w:top w:val="none" w:sz="0" w:space="0" w:color="auto"/>
                            <w:left w:val="none" w:sz="0" w:space="0" w:color="auto"/>
                            <w:bottom w:val="none" w:sz="0" w:space="0" w:color="auto"/>
                            <w:right w:val="none" w:sz="0" w:space="0" w:color="auto"/>
                          </w:divBdr>
                          <w:divsChild>
                            <w:div w:id="695158183">
                              <w:marLeft w:val="0"/>
                              <w:marRight w:val="0"/>
                              <w:marTop w:val="0"/>
                              <w:marBottom w:val="0"/>
                              <w:divBdr>
                                <w:top w:val="none" w:sz="0" w:space="0" w:color="auto"/>
                                <w:left w:val="none" w:sz="0" w:space="0" w:color="auto"/>
                                <w:bottom w:val="none" w:sz="0" w:space="0" w:color="auto"/>
                                <w:right w:val="none" w:sz="0" w:space="0" w:color="auto"/>
                              </w:divBdr>
                              <w:divsChild>
                                <w:div w:id="821041405">
                                  <w:marLeft w:val="0"/>
                                  <w:marRight w:val="0"/>
                                  <w:marTop w:val="0"/>
                                  <w:marBottom w:val="0"/>
                                  <w:divBdr>
                                    <w:top w:val="none" w:sz="0" w:space="0" w:color="auto"/>
                                    <w:left w:val="none" w:sz="0" w:space="0" w:color="auto"/>
                                    <w:bottom w:val="none" w:sz="0" w:space="0" w:color="auto"/>
                                    <w:right w:val="none" w:sz="0" w:space="0" w:color="auto"/>
                                  </w:divBdr>
                                  <w:divsChild>
                                    <w:div w:id="1658147557">
                                      <w:marLeft w:val="0"/>
                                      <w:marRight w:val="0"/>
                                      <w:marTop w:val="0"/>
                                      <w:marBottom w:val="0"/>
                                      <w:divBdr>
                                        <w:top w:val="none" w:sz="0" w:space="0" w:color="auto"/>
                                        <w:left w:val="none" w:sz="0" w:space="0" w:color="auto"/>
                                        <w:bottom w:val="none" w:sz="0" w:space="0" w:color="auto"/>
                                        <w:right w:val="none" w:sz="0" w:space="0" w:color="auto"/>
                                      </w:divBdr>
                                      <w:divsChild>
                                        <w:div w:id="1361392529">
                                          <w:marLeft w:val="0"/>
                                          <w:marRight w:val="0"/>
                                          <w:marTop w:val="0"/>
                                          <w:marBottom w:val="0"/>
                                          <w:divBdr>
                                            <w:top w:val="none" w:sz="0" w:space="0" w:color="auto"/>
                                            <w:left w:val="none" w:sz="0" w:space="0" w:color="auto"/>
                                            <w:bottom w:val="none" w:sz="0" w:space="0" w:color="auto"/>
                                            <w:right w:val="none" w:sz="0" w:space="0" w:color="auto"/>
                                          </w:divBdr>
                                          <w:divsChild>
                                            <w:div w:id="322780456">
                                              <w:marLeft w:val="0"/>
                                              <w:marRight w:val="0"/>
                                              <w:marTop w:val="0"/>
                                              <w:marBottom w:val="0"/>
                                              <w:divBdr>
                                                <w:top w:val="none" w:sz="0" w:space="0" w:color="auto"/>
                                                <w:left w:val="none" w:sz="0" w:space="0" w:color="auto"/>
                                                <w:bottom w:val="none" w:sz="0" w:space="0" w:color="auto"/>
                                                <w:right w:val="none" w:sz="0" w:space="0" w:color="auto"/>
                                              </w:divBdr>
                                              <w:divsChild>
                                                <w:div w:id="1640260225">
                                                  <w:marLeft w:val="0"/>
                                                  <w:marRight w:val="0"/>
                                                  <w:marTop w:val="0"/>
                                                  <w:marBottom w:val="0"/>
                                                  <w:divBdr>
                                                    <w:top w:val="none" w:sz="0" w:space="0" w:color="auto"/>
                                                    <w:left w:val="none" w:sz="0" w:space="0" w:color="auto"/>
                                                    <w:bottom w:val="none" w:sz="0" w:space="0" w:color="auto"/>
                                                    <w:right w:val="none" w:sz="0" w:space="0" w:color="auto"/>
                                                  </w:divBdr>
                                                  <w:divsChild>
                                                    <w:div w:id="601760132">
                                                      <w:marLeft w:val="0"/>
                                                      <w:marRight w:val="0"/>
                                                      <w:marTop w:val="0"/>
                                                      <w:marBottom w:val="0"/>
                                                      <w:divBdr>
                                                        <w:top w:val="none" w:sz="0" w:space="0" w:color="auto"/>
                                                        <w:left w:val="none" w:sz="0" w:space="0" w:color="auto"/>
                                                        <w:bottom w:val="none" w:sz="0" w:space="0" w:color="auto"/>
                                                        <w:right w:val="none" w:sz="0" w:space="0" w:color="auto"/>
                                                      </w:divBdr>
                                                      <w:divsChild>
                                                        <w:div w:id="54926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02096055">
      <w:bodyDiv w:val="1"/>
      <w:marLeft w:val="0"/>
      <w:marRight w:val="0"/>
      <w:marTop w:val="0"/>
      <w:marBottom w:val="0"/>
      <w:divBdr>
        <w:top w:val="none" w:sz="0" w:space="0" w:color="auto"/>
        <w:left w:val="none" w:sz="0" w:space="0" w:color="auto"/>
        <w:bottom w:val="none" w:sz="0" w:space="0" w:color="auto"/>
        <w:right w:val="none" w:sz="0" w:space="0" w:color="auto"/>
      </w:divBdr>
      <w:divsChild>
        <w:div w:id="538277200">
          <w:marLeft w:val="0"/>
          <w:marRight w:val="0"/>
          <w:marTop w:val="0"/>
          <w:marBottom w:val="0"/>
          <w:divBdr>
            <w:top w:val="none" w:sz="0" w:space="0" w:color="auto"/>
            <w:left w:val="none" w:sz="0" w:space="0" w:color="auto"/>
            <w:bottom w:val="none" w:sz="0" w:space="0" w:color="auto"/>
            <w:right w:val="none" w:sz="0" w:space="0" w:color="auto"/>
          </w:divBdr>
          <w:divsChild>
            <w:div w:id="1860317849">
              <w:marLeft w:val="0"/>
              <w:marRight w:val="0"/>
              <w:marTop w:val="0"/>
              <w:marBottom w:val="0"/>
              <w:divBdr>
                <w:top w:val="none" w:sz="0" w:space="0" w:color="auto"/>
                <w:left w:val="none" w:sz="0" w:space="0" w:color="auto"/>
                <w:bottom w:val="none" w:sz="0" w:space="0" w:color="auto"/>
                <w:right w:val="none" w:sz="0" w:space="0" w:color="auto"/>
              </w:divBdr>
              <w:divsChild>
                <w:div w:id="1796825418">
                  <w:marLeft w:val="0"/>
                  <w:marRight w:val="0"/>
                  <w:marTop w:val="0"/>
                  <w:marBottom w:val="0"/>
                  <w:divBdr>
                    <w:top w:val="none" w:sz="0" w:space="0" w:color="auto"/>
                    <w:left w:val="none" w:sz="0" w:space="0" w:color="auto"/>
                    <w:bottom w:val="none" w:sz="0" w:space="0" w:color="auto"/>
                    <w:right w:val="none" w:sz="0" w:space="0" w:color="auto"/>
                  </w:divBdr>
                  <w:divsChild>
                    <w:div w:id="1458525112">
                      <w:marLeft w:val="150"/>
                      <w:marRight w:val="150"/>
                      <w:marTop w:val="0"/>
                      <w:marBottom w:val="0"/>
                      <w:divBdr>
                        <w:top w:val="none" w:sz="0" w:space="0" w:color="auto"/>
                        <w:left w:val="none" w:sz="0" w:space="0" w:color="auto"/>
                        <w:bottom w:val="none" w:sz="0" w:space="0" w:color="auto"/>
                        <w:right w:val="none" w:sz="0" w:space="0" w:color="auto"/>
                      </w:divBdr>
                      <w:divsChild>
                        <w:div w:id="1233125738">
                          <w:marLeft w:val="0"/>
                          <w:marRight w:val="0"/>
                          <w:marTop w:val="0"/>
                          <w:marBottom w:val="0"/>
                          <w:divBdr>
                            <w:top w:val="none" w:sz="0" w:space="0" w:color="auto"/>
                            <w:left w:val="none" w:sz="0" w:space="0" w:color="auto"/>
                            <w:bottom w:val="none" w:sz="0" w:space="0" w:color="auto"/>
                            <w:right w:val="none" w:sz="0" w:space="0" w:color="auto"/>
                          </w:divBdr>
                          <w:divsChild>
                            <w:div w:id="1599093839">
                              <w:marLeft w:val="0"/>
                              <w:marRight w:val="0"/>
                              <w:marTop w:val="0"/>
                              <w:marBottom w:val="0"/>
                              <w:divBdr>
                                <w:top w:val="none" w:sz="0" w:space="0" w:color="auto"/>
                                <w:left w:val="none" w:sz="0" w:space="0" w:color="auto"/>
                                <w:bottom w:val="none" w:sz="0" w:space="0" w:color="auto"/>
                                <w:right w:val="none" w:sz="0" w:space="0" w:color="auto"/>
                              </w:divBdr>
                              <w:divsChild>
                                <w:div w:id="1010566931">
                                  <w:marLeft w:val="0"/>
                                  <w:marRight w:val="0"/>
                                  <w:marTop w:val="0"/>
                                  <w:marBottom w:val="0"/>
                                  <w:divBdr>
                                    <w:top w:val="none" w:sz="0" w:space="0" w:color="auto"/>
                                    <w:left w:val="none" w:sz="0" w:space="0" w:color="auto"/>
                                    <w:bottom w:val="none" w:sz="0" w:space="0" w:color="auto"/>
                                    <w:right w:val="none" w:sz="0" w:space="0" w:color="auto"/>
                                  </w:divBdr>
                                  <w:divsChild>
                                    <w:div w:id="293144561">
                                      <w:marLeft w:val="0"/>
                                      <w:marRight w:val="0"/>
                                      <w:marTop w:val="0"/>
                                      <w:marBottom w:val="0"/>
                                      <w:divBdr>
                                        <w:top w:val="none" w:sz="0" w:space="0" w:color="auto"/>
                                        <w:left w:val="none" w:sz="0" w:space="0" w:color="auto"/>
                                        <w:bottom w:val="none" w:sz="0" w:space="0" w:color="auto"/>
                                        <w:right w:val="none" w:sz="0" w:space="0" w:color="auto"/>
                                      </w:divBdr>
                                      <w:divsChild>
                                        <w:div w:id="579021480">
                                          <w:marLeft w:val="0"/>
                                          <w:marRight w:val="0"/>
                                          <w:marTop w:val="0"/>
                                          <w:marBottom w:val="0"/>
                                          <w:divBdr>
                                            <w:top w:val="none" w:sz="0" w:space="0" w:color="auto"/>
                                            <w:left w:val="none" w:sz="0" w:space="0" w:color="auto"/>
                                            <w:bottom w:val="none" w:sz="0" w:space="0" w:color="auto"/>
                                            <w:right w:val="none" w:sz="0" w:space="0" w:color="auto"/>
                                          </w:divBdr>
                                          <w:divsChild>
                                            <w:div w:id="314723828">
                                              <w:marLeft w:val="0"/>
                                              <w:marRight w:val="0"/>
                                              <w:marTop w:val="0"/>
                                              <w:marBottom w:val="0"/>
                                              <w:divBdr>
                                                <w:top w:val="none" w:sz="0" w:space="0" w:color="auto"/>
                                                <w:left w:val="none" w:sz="0" w:space="0" w:color="auto"/>
                                                <w:bottom w:val="none" w:sz="0" w:space="0" w:color="auto"/>
                                                <w:right w:val="none" w:sz="0" w:space="0" w:color="auto"/>
                                              </w:divBdr>
                                              <w:divsChild>
                                                <w:div w:id="853346732">
                                                  <w:marLeft w:val="0"/>
                                                  <w:marRight w:val="0"/>
                                                  <w:marTop w:val="0"/>
                                                  <w:marBottom w:val="0"/>
                                                  <w:divBdr>
                                                    <w:top w:val="none" w:sz="0" w:space="0" w:color="auto"/>
                                                    <w:left w:val="none" w:sz="0" w:space="0" w:color="auto"/>
                                                    <w:bottom w:val="none" w:sz="0" w:space="0" w:color="auto"/>
                                                    <w:right w:val="none" w:sz="0" w:space="0" w:color="auto"/>
                                                  </w:divBdr>
                                                  <w:divsChild>
                                                    <w:div w:id="829978750">
                                                      <w:marLeft w:val="0"/>
                                                      <w:marRight w:val="0"/>
                                                      <w:marTop w:val="0"/>
                                                      <w:marBottom w:val="0"/>
                                                      <w:divBdr>
                                                        <w:top w:val="none" w:sz="0" w:space="0" w:color="auto"/>
                                                        <w:left w:val="none" w:sz="0" w:space="0" w:color="auto"/>
                                                        <w:bottom w:val="none" w:sz="0" w:space="0" w:color="auto"/>
                                                        <w:right w:val="none" w:sz="0" w:space="0" w:color="auto"/>
                                                      </w:divBdr>
                                                      <w:divsChild>
                                                        <w:div w:id="162608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2074327">
      <w:bodyDiv w:val="1"/>
      <w:marLeft w:val="0"/>
      <w:marRight w:val="0"/>
      <w:marTop w:val="0"/>
      <w:marBottom w:val="0"/>
      <w:divBdr>
        <w:top w:val="none" w:sz="0" w:space="0" w:color="auto"/>
        <w:left w:val="none" w:sz="0" w:space="0" w:color="auto"/>
        <w:bottom w:val="none" w:sz="0" w:space="0" w:color="auto"/>
        <w:right w:val="none" w:sz="0" w:space="0" w:color="auto"/>
      </w:divBdr>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784077175">
      <w:bodyDiv w:val="1"/>
      <w:marLeft w:val="0"/>
      <w:marRight w:val="0"/>
      <w:marTop w:val="0"/>
      <w:marBottom w:val="0"/>
      <w:divBdr>
        <w:top w:val="none" w:sz="0" w:space="0" w:color="auto"/>
        <w:left w:val="none" w:sz="0" w:space="0" w:color="auto"/>
        <w:bottom w:val="none" w:sz="0" w:space="0" w:color="auto"/>
        <w:right w:val="none" w:sz="0" w:space="0" w:color="auto"/>
      </w:divBdr>
    </w:div>
    <w:div w:id="819610961">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49416410">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40988917">
      <w:bodyDiv w:val="1"/>
      <w:marLeft w:val="0"/>
      <w:marRight w:val="0"/>
      <w:marTop w:val="0"/>
      <w:marBottom w:val="0"/>
      <w:divBdr>
        <w:top w:val="none" w:sz="0" w:space="0" w:color="auto"/>
        <w:left w:val="none" w:sz="0" w:space="0" w:color="auto"/>
        <w:bottom w:val="none" w:sz="0" w:space="0" w:color="auto"/>
        <w:right w:val="none" w:sz="0" w:space="0" w:color="auto"/>
      </w:divBdr>
      <w:divsChild>
        <w:div w:id="1702707683">
          <w:marLeft w:val="0"/>
          <w:marRight w:val="0"/>
          <w:marTop w:val="0"/>
          <w:marBottom w:val="0"/>
          <w:divBdr>
            <w:top w:val="none" w:sz="0" w:space="0" w:color="auto"/>
            <w:left w:val="none" w:sz="0" w:space="0" w:color="auto"/>
            <w:bottom w:val="none" w:sz="0" w:space="0" w:color="auto"/>
            <w:right w:val="none" w:sz="0" w:space="0" w:color="auto"/>
          </w:divBdr>
          <w:divsChild>
            <w:div w:id="5304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0230">
      <w:bodyDiv w:val="1"/>
      <w:marLeft w:val="0"/>
      <w:marRight w:val="0"/>
      <w:marTop w:val="0"/>
      <w:marBottom w:val="0"/>
      <w:divBdr>
        <w:top w:val="none" w:sz="0" w:space="0" w:color="auto"/>
        <w:left w:val="none" w:sz="0" w:space="0" w:color="auto"/>
        <w:bottom w:val="none" w:sz="0" w:space="0" w:color="auto"/>
        <w:right w:val="none" w:sz="0" w:space="0" w:color="auto"/>
      </w:divBdr>
      <w:divsChild>
        <w:div w:id="142284700">
          <w:marLeft w:val="0"/>
          <w:marRight w:val="0"/>
          <w:marTop w:val="0"/>
          <w:marBottom w:val="0"/>
          <w:divBdr>
            <w:top w:val="none" w:sz="0" w:space="0" w:color="auto"/>
            <w:left w:val="none" w:sz="0" w:space="0" w:color="auto"/>
            <w:bottom w:val="none" w:sz="0" w:space="0" w:color="auto"/>
            <w:right w:val="none" w:sz="0" w:space="0" w:color="auto"/>
          </w:divBdr>
          <w:divsChild>
            <w:div w:id="12757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0864">
      <w:bodyDiv w:val="1"/>
      <w:marLeft w:val="0"/>
      <w:marRight w:val="0"/>
      <w:marTop w:val="0"/>
      <w:marBottom w:val="0"/>
      <w:divBdr>
        <w:top w:val="none" w:sz="0" w:space="0" w:color="auto"/>
        <w:left w:val="none" w:sz="0" w:space="0" w:color="auto"/>
        <w:bottom w:val="none" w:sz="0" w:space="0" w:color="auto"/>
        <w:right w:val="none" w:sz="0" w:space="0" w:color="auto"/>
      </w:divBdr>
    </w:div>
    <w:div w:id="1081683536">
      <w:bodyDiv w:val="1"/>
      <w:marLeft w:val="0"/>
      <w:marRight w:val="0"/>
      <w:marTop w:val="0"/>
      <w:marBottom w:val="0"/>
      <w:divBdr>
        <w:top w:val="none" w:sz="0" w:space="0" w:color="auto"/>
        <w:left w:val="none" w:sz="0" w:space="0" w:color="auto"/>
        <w:bottom w:val="none" w:sz="0" w:space="0" w:color="auto"/>
        <w:right w:val="none" w:sz="0" w:space="0" w:color="auto"/>
      </w:divBdr>
      <w:divsChild>
        <w:div w:id="708337535">
          <w:marLeft w:val="0"/>
          <w:marRight w:val="0"/>
          <w:marTop w:val="0"/>
          <w:marBottom w:val="0"/>
          <w:divBdr>
            <w:top w:val="none" w:sz="0" w:space="0" w:color="auto"/>
            <w:left w:val="none" w:sz="0" w:space="0" w:color="auto"/>
            <w:bottom w:val="none" w:sz="0" w:space="0" w:color="auto"/>
            <w:right w:val="none" w:sz="0" w:space="0" w:color="auto"/>
          </w:divBdr>
          <w:divsChild>
            <w:div w:id="1237668290">
              <w:marLeft w:val="0"/>
              <w:marRight w:val="0"/>
              <w:marTop w:val="0"/>
              <w:marBottom w:val="0"/>
              <w:divBdr>
                <w:top w:val="none" w:sz="0" w:space="0" w:color="auto"/>
                <w:left w:val="none" w:sz="0" w:space="0" w:color="auto"/>
                <w:bottom w:val="none" w:sz="0" w:space="0" w:color="auto"/>
                <w:right w:val="none" w:sz="0" w:space="0" w:color="auto"/>
              </w:divBdr>
              <w:divsChild>
                <w:div w:id="485711126">
                  <w:marLeft w:val="0"/>
                  <w:marRight w:val="0"/>
                  <w:marTop w:val="0"/>
                  <w:marBottom w:val="0"/>
                  <w:divBdr>
                    <w:top w:val="none" w:sz="0" w:space="0" w:color="auto"/>
                    <w:left w:val="none" w:sz="0" w:space="0" w:color="auto"/>
                    <w:bottom w:val="none" w:sz="0" w:space="0" w:color="auto"/>
                    <w:right w:val="none" w:sz="0" w:space="0" w:color="auto"/>
                  </w:divBdr>
                  <w:divsChild>
                    <w:div w:id="607125611">
                      <w:marLeft w:val="150"/>
                      <w:marRight w:val="150"/>
                      <w:marTop w:val="0"/>
                      <w:marBottom w:val="0"/>
                      <w:divBdr>
                        <w:top w:val="none" w:sz="0" w:space="0" w:color="auto"/>
                        <w:left w:val="none" w:sz="0" w:space="0" w:color="auto"/>
                        <w:bottom w:val="none" w:sz="0" w:space="0" w:color="auto"/>
                        <w:right w:val="none" w:sz="0" w:space="0" w:color="auto"/>
                      </w:divBdr>
                      <w:divsChild>
                        <w:div w:id="584916758">
                          <w:marLeft w:val="0"/>
                          <w:marRight w:val="0"/>
                          <w:marTop w:val="0"/>
                          <w:marBottom w:val="0"/>
                          <w:divBdr>
                            <w:top w:val="none" w:sz="0" w:space="0" w:color="auto"/>
                            <w:left w:val="none" w:sz="0" w:space="0" w:color="auto"/>
                            <w:bottom w:val="none" w:sz="0" w:space="0" w:color="auto"/>
                            <w:right w:val="none" w:sz="0" w:space="0" w:color="auto"/>
                          </w:divBdr>
                          <w:divsChild>
                            <w:div w:id="871845554">
                              <w:marLeft w:val="0"/>
                              <w:marRight w:val="0"/>
                              <w:marTop w:val="0"/>
                              <w:marBottom w:val="0"/>
                              <w:divBdr>
                                <w:top w:val="none" w:sz="0" w:space="0" w:color="auto"/>
                                <w:left w:val="none" w:sz="0" w:space="0" w:color="auto"/>
                                <w:bottom w:val="none" w:sz="0" w:space="0" w:color="auto"/>
                                <w:right w:val="none" w:sz="0" w:space="0" w:color="auto"/>
                              </w:divBdr>
                              <w:divsChild>
                                <w:div w:id="1268738704">
                                  <w:marLeft w:val="0"/>
                                  <w:marRight w:val="0"/>
                                  <w:marTop w:val="0"/>
                                  <w:marBottom w:val="0"/>
                                  <w:divBdr>
                                    <w:top w:val="none" w:sz="0" w:space="0" w:color="auto"/>
                                    <w:left w:val="none" w:sz="0" w:space="0" w:color="auto"/>
                                    <w:bottom w:val="none" w:sz="0" w:space="0" w:color="auto"/>
                                    <w:right w:val="none" w:sz="0" w:space="0" w:color="auto"/>
                                  </w:divBdr>
                                  <w:divsChild>
                                    <w:div w:id="1527980139">
                                      <w:marLeft w:val="0"/>
                                      <w:marRight w:val="0"/>
                                      <w:marTop w:val="0"/>
                                      <w:marBottom w:val="0"/>
                                      <w:divBdr>
                                        <w:top w:val="none" w:sz="0" w:space="0" w:color="auto"/>
                                        <w:left w:val="none" w:sz="0" w:space="0" w:color="auto"/>
                                        <w:bottom w:val="none" w:sz="0" w:space="0" w:color="auto"/>
                                        <w:right w:val="none" w:sz="0" w:space="0" w:color="auto"/>
                                      </w:divBdr>
                                      <w:divsChild>
                                        <w:div w:id="832137432">
                                          <w:marLeft w:val="0"/>
                                          <w:marRight w:val="0"/>
                                          <w:marTop w:val="0"/>
                                          <w:marBottom w:val="0"/>
                                          <w:divBdr>
                                            <w:top w:val="none" w:sz="0" w:space="0" w:color="auto"/>
                                            <w:left w:val="none" w:sz="0" w:space="0" w:color="auto"/>
                                            <w:bottom w:val="none" w:sz="0" w:space="0" w:color="auto"/>
                                            <w:right w:val="none" w:sz="0" w:space="0" w:color="auto"/>
                                          </w:divBdr>
                                          <w:divsChild>
                                            <w:div w:id="1572809325">
                                              <w:marLeft w:val="0"/>
                                              <w:marRight w:val="0"/>
                                              <w:marTop w:val="0"/>
                                              <w:marBottom w:val="0"/>
                                              <w:divBdr>
                                                <w:top w:val="none" w:sz="0" w:space="0" w:color="auto"/>
                                                <w:left w:val="none" w:sz="0" w:space="0" w:color="auto"/>
                                                <w:bottom w:val="none" w:sz="0" w:space="0" w:color="auto"/>
                                                <w:right w:val="none" w:sz="0" w:space="0" w:color="auto"/>
                                              </w:divBdr>
                                              <w:divsChild>
                                                <w:div w:id="701589380">
                                                  <w:marLeft w:val="0"/>
                                                  <w:marRight w:val="0"/>
                                                  <w:marTop w:val="0"/>
                                                  <w:marBottom w:val="0"/>
                                                  <w:divBdr>
                                                    <w:top w:val="none" w:sz="0" w:space="0" w:color="auto"/>
                                                    <w:left w:val="none" w:sz="0" w:space="0" w:color="auto"/>
                                                    <w:bottom w:val="none" w:sz="0" w:space="0" w:color="auto"/>
                                                    <w:right w:val="none" w:sz="0" w:space="0" w:color="auto"/>
                                                  </w:divBdr>
                                                  <w:divsChild>
                                                    <w:div w:id="1490173997">
                                                      <w:marLeft w:val="0"/>
                                                      <w:marRight w:val="0"/>
                                                      <w:marTop w:val="0"/>
                                                      <w:marBottom w:val="0"/>
                                                      <w:divBdr>
                                                        <w:top w:val="none" w:sz="0" w:space="0" w:color="auto"/>
                                                        <w:left w:val="none" w:sz="0" w:space="0" w:color="auto"/>
                                                        <w:bottom w:val="none" w:sz="0" w:space="0" w:color="auto"/>
                                                        <w:right w:val="none" w:sz="0" w:space="0" w:color="auto"/>
                                                      </w:divBdr>
                                                      <w:divsChild>
                                                        <w:div w:id="74996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3124960">
      <w:bodyDiv w:val="1"/>
      <w:marLeft w:val="0"/>
      <w:marRight w:val="0"/>
      <w:marTop w:val="0"/>
      <w:marBottom w:val="0"/>
      <w:divBdr>
        <w:top w:val="none" w:sz="0" w:space="0" w:color="auto"/>
        <w:left w:val="none" w:sz="0" w:space="0" w:color="auto"/>
        <w:bottom w:val="none" w:sz="0" w:space="0" w:color="auto"/>
        <w:right w:val="none" w:sz="0" w:space="0" w:color="auto"/>
      </w:divBdr>
    </w:div>
    <w:div w:id="1245335964">
      <w:bodyDiv w:val="1"/>
      <w:marLeft w:val="0"/>
      <w:marRight w:val="0"/>
      <w:marTop w:val="0"/>
      <w:marBottom w:val="0"/>
      <w:divBdr>
        <w:top w:val="none" w:sz="0" w:space="0" w:color="auto"/>
        <w:left w:val="none" w:sz="0" w:space="0" w:color="auto"/>
        <w:bottom w:val="none" w:sz="0" w:space="0" w:color="auto"/>
        <w:right w:val="none" w:sz="0" w:space="0" w:color="auto"/>
      </w:divBdr>
    </w:div>
    <w:div w:id="1330064562">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24054442">
      <w:bodyDiv w:val="1"/>
      <w:marLeft w:val="0"/>
      <w:marRight w:val="0"/>
      <w:marTop w:val="0"/>
      <w:marBottom w:val="0"/>
      <w:divBdr>
        <w:top w:val="none" w:sz="0" w:space="0" w:color="auto"/>
        <w:left w:val="none" w:sz="0" w:space="0" w:color="auto"/>
        <w:bottom w:val="none" w:sz="0" w:space="0" w:color="auto"/>
        <w:right w:val="none" w:sz="0" w:space="0" w:color="auto"/>
      </w:divBdr>
    </w:div>
    <w:div w:id="1535384020">
      <w:bodyDiv w:val="1"/>
      <w:marLeft w:val="0"/>
      <w:marRight w:val="0"/>
      <w:marTop w:val="0"/>
      <w:marBottom w:val="0"/>
      <w:divBdr>
        <w:top w:val="none" w:sz="0" w:space="0" w:color="auto"/>
        <w:left w:val="none" w:sz="0" w:space="0" w:color="auto"/>
        <w:bottom w:val="none" w:sz="0" w:space="0" w:color="auto"/>
        <w:right w:val="none" w:sz="0" w:space="0" w:color="auto"/>
      </w:divBdr>
    </w:div>
    <w:div w:id="1578710640">
      <w:bodyDiv w:val="1"/>
      <w:marLeft w:val="0"/>
      <w:marRight w:val="0"/>
      <w:marTop w:val="0"/>
      <w:marBottom w:val="0"/>
      <w:divBdr>
        <w:top w:val="none" w:sz="0" w:space="0" w:color="auto"/>
        <w:left w:val="none" w:sz="0" w:space="0" w:color="auto"/>
        <w:bottom w:val="none" w:sz="0" w:space="0" w:color="auto"/>
        <w:right w:val="none" w:sz="0" w:space="0" w:color="auto"/>
      </w:divBdr>
    </w:div>
    <w:div w:id="1636642437">
      <w:bodyDiv w:val="1"/>
      <w:marLeft w:val="0"/>
      <w:marRight w:val="0"/>
      <w:marTop w:val="0"/>
      <w:marBottom w:val="0"/>
      <w:divBdr>
        <w:top w:val="none" w:sz="0" w:space="0" w:color="auto"/>
        <w:left w:val="none" w:sz="0" w:space="0" w:color="auto"/>
        <w:bottom w:val="none" w:sz="0" w:space="0" w:color="auto"/>
        <w:right w:val="none" w:sz="0" w:space="0" w:color="auto"/>
      </w:divBdr>
      <w:divsChild>
        <w:div w:id="2082174747">
          <w:marLeft w:val="0"/>
          <w:marRight w:val="0"/>
          <w:marTop w:val="0"/>
          <w:marBottom w:val="0"/>
          <w:divBdr>
            <w:top w:val="none" w:sz="0" w:space="0" w:color="auto"/>
            <w:left w:val="none" w:sz="0" w:space="0" w:color="auto"/>
            <w:bottom w:val="none" w:sz="0" w:space="0" w:color="auto"/>
            <w:right w:val="none" w:sz="0" w:space="0" w:color="auto"/>
          </w:divBdr>
          <w:divsChild>
            <w:div w:id="1103653098">
              <w:marLeft w:val="0"/>
              <w:marRight w:val="0"/>
              <w:marTop w:val="0"/>
              <w:marBottom w:val="0"/>
              <w:divBdr>
                <w:top w:val="none" w:sz="0" w:space="0" w:color="auto"/>
                <w:left w:val="none" w:sz="0" w:space="0" w:color="auto"/>
                <w:bottom w:val="none" w:sz="0" w:space="0" w:color="auto"/>
                <w:right w:val="none" w:sz="0" w:space="0" w:color="auto"/>
              </w:divBdr>
              <w:divsChild>
                <w:div w:id="248776009">
                  <w:marLeft w:val="0"/>
                  <w:marRight w:val="0"/>
                  <w:marTop w:val="0"/>
                  <w:marBottom w:val="0"/>
                  <w:divBdr>
                    <w:top w:val="none" w:sz="0" w:space="0" w:color="auto"/>
                    <w:left w:val="none" w:sz="0" w:space="0" w:color="auto"/>
                    <w:bottom w:val="none" w:sz="0" w:space="0" w:color="auto"/>
                    <w:right w:val="none" w:sz="0" w:space="0" w:color="auto"/>
                  </w:divBdr>
                  <w:divsChild>
                    <w:div w:id="160896295">
                      <w:marLeft w:val="150"/>
                      <w:marRight w:val="150"/>
                      <w:marTop w:val="0"/>
                      <w:marBottom w:val="0"/>
                      <w:divBdr>
                        <w:top w:val="none" w:sz="0" w:space="0" w:color="auto"/>
                        <w:left w:val="none" w:sz="0" w:space="0" w:color="auto"/>
                        <w:bottom w:val="none" w:sz="0" w:space="0" w:color="auto"/>
                        <w:right w:val="none" w:sz="0" w:space="0" w:color="auto"/>
                      </w:divBdr>
                      <w:divsChild>
                        <w:div w:id="1795099102">
                          <w:marLeft w:val="0"/>
                          <w:marRight w:val="0"/>
                          <w:marTop w:val="0"/>
                          <w:marBottom w:val="0"/>
                          <w:divBdr>
                            <w:top w:val="none" w:sz="0" w:space="0" w:color="auto"/>
                            <w:left w:val="none" w:sz="0" w:space="0" w:color="auto"/>
                            <w:bottom w:val="none" w:sz="0" w:space="0" w:color="auto"/>
                            <w:right w:val="none" w:sz="0" w:space="0" w:color="auto"/>
                          </w:divBdr>
                          <w:divsChild>
                            <w:div w:id="1490170206">
                              <w:marLeft w:val="0"/>
                              <w:marRight w:val="0"/>
                              <w:marTop w:val="0"/>
                              <w:marBottom w:val="0"/>
                              <w:divBdr>
                                <w:top w:val="none" w:sz="0" w:space="0" w:color="auto"/>
                                <w:left w:val="none" w:sz="0" w:space="0" w:color="auto"/>
                                <w:bottom w:val="none" w:sz="0" w:space="0" w:color="auto"/>
                                <w:right w:val="none" w:sz="0" w:space="0" w:color="auto"/>
                              </w:divBdr>
                              <w:divsChild>
                                <w:div w:id="1211846724">
                                  <w:marLeft w:val="0"/>
                                  <w:marRight w:val="0"/>
                                  <w:marTop w:val="0"/>
                                  <w:marBottom w:val="0"/>
                                  <w:divBdr>
                                    <w:top w:val="none" w:sz="0" w:space="0" w:color="auto"/>
                                    <w:left w:val="none" w:sz="0" w:space="0" w:color="auto"/>
                                    <w:bottom w:val="none" w:sz="0" w:space="0" w:color="auto"/>
                                    <w:right w:val="none" w:sz="0" w:space="0" w:color="auto"/>
                                  </w:divBdr>
                                  <w:divsChild>
                                    <w:div w:id="1047291393">
                                      <w:marLeft w:val="0"/>
                                      <w:marRight w:val="0"/>
                                      <w:marTop w:val="0"/>
                                      <w:marBottom w:val="0"/>
                                      <w:divBdr>
                                        <w:top w:val="none" w:sz="0" w:space="0" w:color="auto"/>
                                        <w:left w:val="none" w:sz="0" w:space="0" w:color="auto"/>
                                        <w:bottom w:val="none" w:sz="0" w:space="0" w:color="auto"/>
                                        <w:right w:val="none" w:sz="0" w:space="0" w:color="auto"/>
                                      </w:divBdr>
                                      <w:divsChild>
                                        <w:div w:id="573973391">
                                          <w:marLeft w:val="0"/>
                                          <w:marRight w:val="0"/>
                                          <w:marTop w:val="0"/>
                                          <w:marBottom w:val="0"/>
                                          <w:divBdr>
                                            <w:top w:val="none" w:sz="0" w:space="0" w:color="auto"/>
                                            <w:left w:val="none" w:sz="0" w:space="0" w:color="auto"/>
                                            <w:bottom w:val="none" w:sz="0" w:space="0" w:color="auto"/>
                                            <w:right w:val="none" w:sz="0" w:space="0" w:color="auto"/>
                                          </w:divBdr>
                                          <w:divsChild>
                                            <w:div w:id="1984889286">
                                              <w:marLeft w:val="0"/>
                                              <w:marRight w:val="0"/>
                                              <w:marTop w:val="0"/>
                                              <w:marBottom w:val="0"/>
                                              <w:divBdr>
                                                <w:top w:val="none" w:sz="0" w:space="0" w:color="auto"/>
                                                <w:left w:val="none" w:sz="0" w:space="0" w:color="auto"/>
                                                <w:bottom w:val="none" w:sz="0" w:space="0" w:color="auto"/>
                                                <w:right w:val="none" w:sz="0" w:space="0" w:color="auto"/>
                                              </w:divBdr>
                                              <w:divsChild>
                                                <w:div w:id="1746798105">
                                                  <w:marLeft w:val="0"/>
                                                  <w:marRight w:val="0"/>
                                                  <w:marTop w:val="0"/>
                                                  <w:marBottom w:val="0"/>
                                                  <w:divBdr>
                                                    <w:top w:val="none" w:sz="0" w:space="0" w:color="auto"/>
                                                    <w:left w:val="none" w:sz="0" w:space="0" w:color="auto"/>
                                                    <w:bottom w:val="none" w:sz="0" w:space="0" w:color="auto"/>
                                                    <w:right w:val="none" w:sz="0" w:space="0" w:color="auto"/>
                                                  </w:divBdr>
                                                  <w:divsChild>
                                                    <w:div w:id="266547740">
                                                      <w:marLeft w:val="0"/>
                                                      <w:marRight w:val="0"/>
                                                      <w:marTop w:val="0"/>
                                                      <w:marBottom w:val="0"/>
                                                      <w:divBdr>
                                                        <w:top w:val="none" w:sz="0" w:space="0" w:color="auto"/>
                                                        <w:left w:val="none" w:sz="0" w:space="0" w:color="auto"/>
                                                        <w:bottom w:val="none" w:sz="0" w:space="0" w:color="auto"/>
                                                        <w:right w:val="none" w:sz="0" w:space="0" w:color="auto"/>
                                                      </w:divBdr>
                                                      <w:divsChild>
                                                        <w:div w:id="157512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6274588">
      <w:bodyDiv w:val="1"/>
      <w:marLeft w:val="0"/>
      <w:marRight w:val="0"/>
      <w:marTop w:val="0"/>
      <w:marBottom w:val="0"/>
      <w:divBdr>
        <w:top w:val="none" w:sz="0" w:space="0" w:color="auto"/>
        <w:left w:val="none" w:sz="0" w:space="0" w:color="auto"/>
        <w:bottom w:val="none" w:sz="0" w:space="0" w:color="auto"/>
        <w:right w:val="none" w:sz="0" w:space="0" w:color="auto"/>
      </w:divBdr>
    </w:div>
    <w:div w:id="1711296068">
      <w:bodyDiv w:val="1"/>
      <w:marLeft w:val="0"/>
      <w:marRight w:val="0"/>
      <w:marTop w:val="0"/>
      <w:marBottom w:val="0"/>
      <w:divBdr>
        <w:top w:val="none" w:sz="0" w:space="0" w:color="auto"/>
        <w:left w:val="none" w:sz="0" w:space="0" w:color="auto"/>
        <w:bottom w:val="none" w:sz="0" w:space="0" w:color="auto"/>
        <w:right w:val="none" w:sz="0" w:space="0" w:color="auto"/>
      </w:divBdr>
    </w:div>
    <w:div w:id="1732070492">
      <w:bodyDiv w:val="1"/>
      <w:marLeft w:val="0"/>
      <w:marRight w:val="0"/>
      <w:marTop w:val="0"/>
      <w:marBottom w:val="0"/>
      <w:divBdr>
        <w:top w:val="none" w:sz="0" w:space="0" w:color="auto"/>
        <w:left w:val="none" w:sz="0" w:space="0" w:color="auto"/>
        <w:bottom w:val="none" w:sz="0" w:space="0" w:color="auto"/>
        <w:right w:val="none" w:sz="0" w:space="0" w:color="auto"/>
      </w:divBdr>
    </w:div>
    <w:div w:id="1803108495">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854562427">
      <w:bodyDiv w:val="1"/>
      <w:marLeft w:val="0"/>
      <w:marRight w:val="0"/>
      <w:marTop w:val="0"/>
      <w:marBottom w:val="0"/>
      <w:divBdr>
        <w:top w:val="none" w:sz="0" w:space="0" w:color="auto"/>
        <w:left w:val="none" w:sz="0" w:space="0" w:color="auto"/>
        <w:bottom w:val="none" w:sz="0" w:space="0" w:color="auto"/>
        <w:right w:val="none" w:sz="0" w:space="0" w:color="auto"/>
      </w:divBdr>
    </w:div>
    <w:div w:id="1872763078">
      <w:bodyDiv w:val="1"/>
      <w:marLeft w:val="0"/>
      <w:marRight w:val="0"/>
      <w:marTop w:val="0"/>
      <w:marBottom w:val="0"/>
      <w:divBdr>
        <w:top w:val="none" w:sz="0" w:space="0" w:color="auto"/>
        <w:left w:val="none" w:sz="0" w:space="0" w:color="auto"/>
        <w:bottom w:val="none" w:sz="0" w:space="0" w:color="auto"/>
        <w:right w:val="none" w:sz="0" w:space="0" w:color="auto"/>
      </w:divBdr>
      <w:divsChild>
        <w:div w:id="669060950">
          <w:marLeft w:val="0"/>
          <w:marRight w:val="0"/>
          <w:marTop w:val="0"/>
          <w:marBottom w:val="0"/>
          <w:divBdr>
            <w:top w:val="none" w:sz="0" w:space="0" w:color="auto"/>
            <w:left w:val="none" w:sz="0" w:space="0" w:color="auto"/>
            <w:bottom w:val="none" w:sz="0" w:space="0" w:color="auto"/>
            <w:right w:val="none" w:sz="0" w:space="0" w:color="auto"/>
          </w:divBdr>
          <w:divsChild>
            <w:div w:id="1193495151">
              <w:marLeft w:val="0"/>
              <w:marRight w:val="0"/>
              <w:marTop w:val="0"/>
              <w:marBottom w:val="0"/>
              <w:divBdr>
                <w:top w:val="none" w:sz="0" w:space="0" w:color="auto"/>
                <w:left w:val="none" w:sz="0" w:space="0" w:color="auto"/>
                <w:bottom w:val="none" w:sz="0" w:space="0" w:color="auto"/>
                <w:right w:val="none" w:sz="0" w:space="0" w:color="auto"/>
              </w:divBdr>
              <w:divsChild>
                <w:div w:id="1692105929">
                  <w:marLeft w:val="0"/>
                  <w:marRight w:val="0"/>
                  <w:marTop w:val="0"/>
                  <w:marBottom w:val="0"/>
                  <w:divBdr>
                    <w:top w:val="none" w:sz="0" w:space="0" w:color="auto"/>
                    <w:left w:val="none" w:sz="0" w:space="0" w:color="auto"/>
                    <w:bottom w:val="none" w:sz="0" w:space="0" w:color="auto"/>
                    <w:right w:val="none" w:sz="0" w:space="0" w:color="auto"/>
                  </w:divBdr>
                  <w:divsChild>
                    <w:div w:id="493762076">
                      <w:marLeft w:val="150"/>
                      <w:marRight w:val="150"/>
                      <w:marTop w:val="0"/>
                      <w:marBottom w:val="0"/>
                      <w:divBdr>
                        <w:top w:val="none" w:sz="0" w:space="0" w:color="auto"/>
                        <w:left w:val="none" w:sz="0" w:space="0" w:color="auto"/>
                        <w:bottom w:val="none" w:sz="0" w:space="0" w:color="auto"/>
                        <w:right w:val="none" w:sz="0" w:space="0" w:color="auto"/>
                      </w:divBdr>
                      <w:divsChild>
                        <w:div w:id="531193650">
                          <w:marLeft w:val="0"/>
                          <w:marRight w:val="0"/>
                          <w:marTop w:val="0"/>
                          <w:marBottom w:val="0"/>
                          <w:divBdr>
                            <w:top w:val="none" w:sz="0" w:space="0" w:color="auto"/>
                            <w:left w:val="none" w:sz="0" w:space="0" w:color="auto"/>
                            <w:bottom w:val="none" w:sz="0" w:space="0" w:color="auto"/>
                            <w:right w:val="none" w:sz="0" w:space="0" w:color="auto"/>
                          </w:divBdr>
                          <w:divsChild>
                            <w:div w:id="1354646193">
                              <w:marLeft w:val="0"/>
                              <w:marRight w:val="0"/>
                              <w:marTop w:val="0"/>
                              <w:marBottom w:val="0"/>
                              <w:divBdr>
                                <w:top w:val="none" w:sz="0" w:space="0" w:color="auto"/>
                                <w:left w:val="none" w:sz="0" w:space="0" w:color="auto"/>
                                <w:bottom w:val="none" w:sz="0" w:space="0" w:color="auto"/>
                                <w:right w:val="none" w:sz="0" w:space="0" w:color="auto"/>
                              </w:divBdr>
                              <w:divsChild>
                                <w:div w:id="1863326313">
                                  <w:marLeft w:val="0"/>
                                  <w:marRight w:val="0"/>
                                  <w:marTop w:val="0"/>
                                  <w:marBottom w:val="0"/>
                                  <w:divBdr>
                                    <w:top w:val="none" w:sz="0" w:space="0" w:color="auto"/>
                                    <w:left w:val="none" w:sz="0" w:space="0" w:color="auto"/>
                                    <w:bottom w:val="none" w:sz="0" w:space="0" w:color="auto"/>
                                    <w:right w:val="none" w:sz="0" w:space="0" w:color="auto"/>
                                  </w:divBdr>
                                  <w:divsChild>
                                    <w:div w:id="1260288478">
                                      <w:marLeft w:val="0"/>
                                      <w:marRight w:val="0"/>
                                      <w:marTop w:val="0"/>
                                      <w:marBottom w:val="0"/>
                                      <w:divBdr>
                                        <w:top w:val="none" w:sz="0" w:space="0" w:color="auto"/>
                                        <w:left w:val="none" w:sz="0" w:space="0" w:color="auto"/>
                                        <w:bottom w:val="none" w:sz="0" w:space="0" w:color="auto"/>
                                        <w:right w:val="none" w:sz="0" w:space="0" w:color="auto"/>
                                      </w:divBdr>
                                      <w:divsChild>
                                        <w:div w:id="1567951151">
                                          <w:marLeft w:val="0"/>
                                          <w:marRight w:val="0"/>
                                          <w:marTop w:val="0"/>
                                          <w:marBottom w:val="0"/>
                                          <w:divBdr>
                                            <w:top w:val="none" w:sz="0" w:space="0" w:color="auto"/>
                                            <w:left w:val="none" w:sz="0" w:space="0" w:color="auto"/>
                                            <w:bottom w:val="none" w:sz="0" w:space="0" w:color="auto"/>
                                            <w:right w:val="none" w:sz="0" w:space="0" w:color="auto"/>
                                          </w:divBdr>
                                          <w:divsChild>
                                            <w:div w:id="168712607">
                                              <w:marLeft w:val="0"/>
                                              <w:marRight w:val="0"/>
                                              <w:marTop w:val="0"/>
                                              <w:marBottom w:val="0"/>
                                              <w:divBdr>
                                                <w:top w:val="none" w:sz="0" w:space="0" w:color="auto"/>
                                                <w:left w:val="none" w:sz="0" w:space="0" w:color="auto"/>
                                                <w:bottom w:val="none" w:sz="0" w:space="0" w:color="auto"/>
                                                <w:right w:val="none" w:sz="0" w:space="0" w:color="auto"/>
                                              </w:divBdr>
                                              <w:divsChild>
                                                <w:div w:id="1249457683">
                                                  <w:marLeft w:val="0"/>
                                                  <w:marRight w:val="0"/>
                                                  <w:marTop w:val="0"/>
                                                  <w:marBottom w:val="0"/>
                                                  <w:divBdr>
                                                    <w:top w:val="none" w:sz="0" w:space="0" w:color="auto"/>
                                                    <w:left w:val="none" w:sz="0" w:space="0" w:color="auto"/>
                                                    <w:bottom w:val="none" w:sz="0" w:space="0" w:color="auto"/>
                                                    <w:right w:val="none" w:sz="0" w:space="0" w:color="auto"/>
                                                  </w:divBdr>
                                                  <w:divsChild>
                                                    <w:div w:id="1942030702">
                                                      <w:marLeft w:val="0"/>
                                                      <w:marRight w:val="0"/>
                                                      <w:marTop w:val="0"/>
                                                      <w:marBottom w:val="0"/>
                                                      <w:divBdr>
                                                        <w:top w:val="none" w:sz="0" w:space="0" w:color="auto"/>
                                                        <w:left w:val="none" w:sz="0" w:space="0" w:color="auto"/>
                                                        <w:bottom w:val="none" w:sz="0" w:space="0" w:color="auto"/>
                                                        <w:right w:val="none" w:sz="0" w:space="0" w:color="auto"/>
                                                      </w:divBdr>
                                                      <w:divsChild>
                                                        <w:div w:id="78866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15642839">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 w:id="212758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emc.gov.au/rule-changes/dwgm-simpler-wholesale-pric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file:///H:\web%20posts\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9B58D7D72C3ED54C851955501673F8AC" ma:contentTypeVersion="12" ma:contentTypeDescription="ShareHub Document" ma:contentTypeScope="" ma:versionID="97f9b7b7c78848d4214b9782eb89bc56">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76f1aafd45aee4e06fde14cce240cffd"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c4a8f51d7584793bcee84017ea96cb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57;#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c4a8f51d7584793bcee84017ea96cb3" ma:index="18" nillable="true" ma:taxonomy="true" ma:internalName="hc4a8f51d7584793bcee84017ea96cb3" ma:taxonomyFieldName="ESearchTags" ma:displayName="Tags" ma:fieldId="{1c4a8f51-d758-4793-bcee-84017ea96cb3}"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nRecordJustification xmlns="685f9fda-bd71-4433-b331-92feb9553089">None</NonRecordJustification>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ShareHubID xmlns="166541c0-0594-4e6a-9105-c24d4b6de6f7">DOC20-265134</ShareHubID>
    <TaxCatchAll xmlns="166541c0-0594-4e6a-9105-c24d4b6de6f7">
      <Value>1</Value>
    </TaxCatchAll>
    <jd1c641577414dfdab1686c9d5d0dbd0 xmlns="166541c0-0594-4e6a-9105-c24d4b6de6f7">
      <Terms xmlns="http://schemas.microsoft.com/office/infopath/2007/PartnerControls"/>
    </jd1c641577414dfdab1686c9d5d0dbd0>
    <PMCNotes xmlns="166541c0-0594-4e6a-9105-c24d4b6de6f7" xsi:nil="true"/>
    <hc4a8f51d7584793bcee84017ea96cb3 xmlns="166541c0-0594-4e6a-9105-c24d4b6de6f7">
      <Terms xmlns="http://schemas.microsoft.com/office/infopath/2007/PartnerControls"/>
    </hc4a8f51d7584793bcee84017ea96cb3>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D892-554E-4ECE-8225-D2DE8BFFC44B}">
  <ds:schemaRefs>
    <ds:schemaRef ds:uri="http://schemas.microsoft.com/office/2006/metadata/longProperties"/>
  </ds:schemaRefs>
</ds:datastoreItem>
</file>

<file path=customXml/itemProps2.xml><?xml version="1.0" encoding="utf-8"?>
<ds:datastoreItem xmlns:ds="http://schemas.openxmlformats.org/officeDocument/2006/customXml" ds:itemID="{9992B1A4-49F8-4847-B5D5-9C23E0F29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541c0-0594-4e6a-9105-c24d4b6de6f7"/>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1E5850-5EA0-44A8-99C7-AD4BDABDBB47}">
  <ds:schemaRefs>
    <ds:schemaRef ds:uri="http://schemas.microsoft.com/sharepoint/v3/contenttype/forms"/>
  </ds:schemaRefs>
</ds:datastoreItem>
</file>

<file path=customXml/itemProps4.xml><?xml version="1.0" encoding="utf-8"?>
<ds:datastoreItem xmlns:ds="http://schemas.openxmlformats.org/officeDocument/2006/customXml" ds:itemID="{534EF19E-9233-45C3-BBFB-50FE7611C940}">
  <ds:schemaRefs>
    <ds:schemaRef ds:uri="http://purl.org/dc/elements/1.1/"/>
    <ds:schemaRef ds:uri="166541c0-0594-4e6a-9105-c24d4b6de6f7"/>
    <ds:schemaRef ds:uri="http://purl.org/dc/dcmitype/"/>
    <ds:schemaRef ds:uri="http://www.w3.org/XML/1998/namespace"/>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685f9fda-bd71-4433-b331-92feb9553089"/>
    <ds:schemaRef ds:uri="http://schemas.microsoft.com/office/2006/metadata/properties"/>
  </ds:schemaRefs>
</ds:datastoreItem>
</file>

<file path=customXml/itemProps5.xml><?xml version="1.0" encoding="utf-8"?>
<ds:datastoreItem xmlns:ds="http://schemas.openxmlformats.org/officeDocument/2006/customXml" ds:itemID="{EDFC7814-989D-4577-B7D5-AB5F86DFC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3236</Words>
  <Characters>19935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COAG Regulation Impact Statement status: 2018-19</vt:lpstr>
    </vt:vector>
  </TitlesOfParts>
  <LinksUpToDate>false</LinksUpToDate>
  <CharactersWithSpaces>23125</CharactersWithSpaces>
  <SharedDoc>false</SharedDoc>
  <HLinks>
    <vt:vector size="72" baseType="variant">
      <vt:variant>
        <vt:i4>1376317</vt:i4>
      </vt:variant>
      <vt:variant>
        <vt:i4>62</vt:i4>
      </vt:variant>
      <vt:variant>
        <vt:i4>0</vt:i4>
      </vt:variant>
      <vt:variant>
        <vt:i4>5</vt:i4>
      </vt:variant>
      <vt:variant>
        <vt:lpwstr/>
      </vt:variant>
      <vt:variant>
        <vt:lpwstr>_Toc513735813</vt:lpwstr>
      </vt:variant>
      <vt:variant>
        <vt:i4>1376317</vt:i4>
      </vt:variant>
      <vt:variant>
        <vt:i4>56</vt:i4>
      </vt:variant>
      <vt:variant>
        <vt:i4>0</vt:i4>
      </vt:variant>
      <vt:variant>
        <vt:i4>5</vt:i4>
      </vt:variant>
      <vt:variant>
        <vt:lpwstr/>
      </vt:variant>
      <vt:variant>
        <vt:lpwstr>_Toc513735812</vt:lpwstr>
      </vt:variant>
      <vt:variant>
        <vt:i4>1376317</vt:i4>
      </vt:variant>
      <vt:variant>
        <vt:i4>50</vt:i4>
      </vt:variant>
      <vt:variant>
        <vt:i4>0</vt:i4>
      </vt:variant>
      <vt:variant>
        <vt:i4>5</vt:i4>
      </vt:variant>
      <vt:variant>
        <vt:lpwstr/>
      </vt:variant>
      <vt:variant>
        <vt:lpwstr>_Toc513735811</vt:lpwstr>
      </vt:variant>
      <vt:variant>
        <vt:i4>1376317</vt:i4>
      </vt:variant>
      <vt:variant>
        <vt:i4>44</vt:i4>
      </vt:variant>
      <vt:variant>
        <vt:i4>0</vt:i4>
      </vt:variant>
      <vt:variant>
        <vt:i4>5</vt:i4>
      </vt:variant>
      <vt:variant>
        <vt:lpwstr/>
      </vt:variant>
      <vt:variant>
        <vt:lpwstr>_Toc513735810</vt:lpwstr>
      </vt:variant>
      <vt:variant>
        <vt:i4>1310781</vt:i4>
      </vt:variant>
      <vt:variant>
        <vt:i4>38</vt:i4>
      </vt:variant>
      <vt:variant>
        <vt:i4>0</vt:i4>
      </vt:variant>
      <vt:variant>
        <vt:i4>5</vt:i4>
      </vt:variant>
      <vt:variant>
        <vt:lpwstr/>
      </vt:variant>
      <vt:variant>
        <vt:lpwstr>_Toc513735809</vt:lpwstr>
      </vt:variant>
      <vt:variant>
        <vt:i4>1310781</vt:i4>
      </vt:variant>
      <vt:variant>
        <vt:i4>32</vt:i4>
      </vt:variant>
      <vt:variant>
        <vt:i4>0</vt:i4>
      </vt:variant>
      <vt:variant>
        <vt:i4>5</vt:i4>
      </vt:variant>
      <vt:variant>
        <vt:lpwstr/>
      </vt:variant>
      <vt:variant>
        <vt:lpwstr>_Toc513735808</vt:lpwstr>
      </vt:variant>
      <vt:variant>
        <vt:i4>1310781</vt:i4>
      </vt:variant>
      <vt:variant>
        <vt:i4>26</vt:i4>
      </vt:variant>
      <vt:variant>
        <vt:i4>0</vt:i4>
      </vt:variant>
      <vt:variant>
        <vt:i4>5</vt:i4>
      </vt:variant>
      <vt:variant>
        <vt:lpwstr/>
      </vt:variant>
      <vt:variant>
        <vt:lpwstr>_Toc513735807</vt:lpwstr>
      </vt:variant>
      <vt:variant>
        <vt:i4>1310781</vt:i4>
      </vt:variant>
      <vt:variant>
        <vt:i4>20</vt:i4>
      </vt:variant>
      <vt:variant>
        <vt:i4>0</vt:i4>
      </vt:variant>
      <vt:variant>
        <vt:i4>5</vt:i4>
      </vt:variant>
      <vt:variant>
        <vt:lpwstr/>
      </vt:variant>
      <vt:variant>
        <vt:lpwstr>_Toc513735806</vt:lpwstr>
      </vt:variant>
      <vt:variant>
        <vt:i4>1310781</vt:i4>
      </vt:variant>
      <vt:variant>
        <vt:i4>14</vt:i4>
      </vt:variant>
      <vt:variant>
        <vt:i4>0</vt:i4>
      </vt:variant>
      <vt:variant>
        <vt:i4>5</vt:i4>
      </vt:variant>
      <vt:variant>
        <vt:lpwstr/>
      </vt:variant>
      <vt:variant>
        <vt:lpwstr>_Toc513735805</vt:lpwstr>
      </vt:variant>
      <vt:variant>
        <vt:i4>1310781</vt:i4>
      </vt:variant>
      <vt:variant>
        <vt:i4>8</vt:i4>
      </vt:variant>
      <vt:variant>
        <vt:i4>0</vt:i4>
      </vt:variant>
      <vt:variant>
        <vt:i4>5</vt:i4>
      </vt:variant>
      <vt:variant>
        <vt:lpwstr/>
      </vt:variant>
      <vt:variant>
        <vt:lpwstr>_Toc513735804</vt:lpwstr>
      </vt:variant>
      <vt:variant>
        <vt:i4>1310781</vt:i4>
      </vt:variant>
      <vt:variant>
        <vt:i4>2</vt:i4>
      </vt:variant>
      <vt:variant>
        <vt:i4>0</vt:i4>
      </vt:variant>
      <vt:variant>
        <vt:i4>5</vt:i4>
      </vt:variant>
      <vt:variant>
        <vt:lpwstr/>
      </vt:variant>
      <vt:variant>
        <vt:lpwstr>_Toc513735803</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COAG Regulation Impact Statement status: 2019-20</dc:title>
  <dc:subject/>
  <dc:creator/>
  <cp:keywords/>
  <cp:lastModifiedBy/>
  <cp:revision>1</cp:revision>
  <dcterms:created xsi:type="dcterms:W3CDTF">2020-09-15T07:08:00Z</dcterms:created>
  <dcterms:modified xsi:type="dcterms:W3CDTF">2020-09-16T01:25:00Z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PRMSecurityLevel">
    <vt:lpwstr>1;#UNCLASSIFIED|9c49a7c7-17c7-412f-8077-62dec89b9196</vt:lpwstr>
  </property>
  <property fmtid="{D5CDD505-2E9C-101B-9397-08002B2CF9AE}" pid="3" name="ContentTypeId">
    <vt:lpwstr>0x0101002825A64A6E1845A99A9D8EE8A5686ECB009B58D7D72C3ED54C851955501673F8AC</vt:lpwstr>
  </property>
  <property fmtid="{D5CDD505-2E9C-101B-9397-08002B2CF9AE}" pid="4" name="ESearchTags">
    <vt:lpwstr/>
  </property>
  <property fmtid="{D5CDD505-2E9C-101B-9397-08002B2CF9AE}" pid="5" name="PMC.ESearch.TagGeneratedTime">
    <vt:lpwstr>2020-09-16T11:35:26</vt:lpwstr>
  </property>
  <property fmtid="{D5CDD505-2E9C-101B-9397-08002B2CF9AE}" pid="6" name="HPRMSecurityCaveat">
    <vt:lpwstr/>
  </property>
</Properties>
</file>