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56639" w14:textId="75B53E2F" w:rsidR="00E77B59" w:rsidRDefault="00E77B59" w:rsidP="00543137">
      <w:bookmarkStart w:id="0" w:name="_Toc432437392"/>
    </w:p>
    <w:p w14:paraId="35B9757B" w14:textId="45CA7CB5" w:rsidR="003D18C7" w:rsidRPr="00984951" w:rsidRDefault="00A60C37" w:rsidP="00984951">
      <w:pPr>
        <w:pStyle w:val="Title"/>
        <w:spacing w:before="12600" w:after="100" w:afterAutospacing="1"/>
        <w:ind w:right="-1644"/>
        <w:jc w:val="right"/>
        <w:rPr>
          <w:sz w:val="32"/>
        </w:rPr>
      </w:pPr>
      <w:bookmarkStart w:id="1" w:name="_Toc237333129"/>
      <w:bookmarkStart w:id="2" w:name="_Toc243330645"/>
      <w:r>
        <w:rPr>
          <w:sz w:val="32"/>
        </w:rPr>
        <w:t>Meta</w:t>
      </w:r>
      <w:r w:rsidR="00BF3C93">
        <w:rPr>
          <w:sz w:val="32"/>
        </w:rPr>
        <w:t>-</w:t>
      </w:r>
      <w:r>
        <w:rPr>
          <w:sz w:val="32"/>
        </w:rPr>
        <w:t>analysis of</w:t>
      </w:r>
      <w:r w:rsidR="00B130F1">
        <w:rPr>
          <w:sz w:val="32"/>
        </w:rPr>
        <w:t xml:space="preserve"> our</w:t>
      </w:r>
      <w:r w:rsidR="009654DA">
        <w:rPr>
          <w:sz w:val="32"/>
        </w:rPr>
        <w:t xml:space="preserve"> </w:t>
      </w:r>
      <w:r w:rsidR="003C02D5" w:rsidRPr="003D18C7">
        <w:rPr>
          <w:sz w:val="32"/>
        </w:rPr>
        <w:t>behavioural</w:t>
      </w:r>
      <w:r w:rsidR="003D18C7" w:rsidRPr="003D18C7">
        <w:rPr>
          <w:sz w:val="32"/>
        </w:rPr>
        <w:t xml:space="preserve"> </w:t>
      </w:r>
      <w:r w:rsidR="003C02D5" w:rsidRPr="003D18C7">
        <w:rPr>
          <w:sz w:val="32"/>
        </w:rPr>
        <w:t>trials</w:t>
      </w:r>
      <w:bookmarkEnd w:id="1"/>
      <w:r w:rsidR="00984951">
        <w:rPr>
          <w:sz w:val="32"/>
        </w:rPr>
        <w:br/>
      </w:r>
      <w:r w:rsidR="003D18C7" w:rsidRPr="00984951">
        <w:rPr>
          <w:color w:val="14837A" w:themeColor="accent1"/>
          <w:sz w:val="24"/>
          <w:szCs w:val="24"/>
        </w:rPr>
        <w:t>November 2026</w:t>
      </w:r>
      <w:bookmarkEnd w:id="2"/>
    </w:p>
    <w:p w14:paraId="3BC2D058" w14:textId="77777777" w:rsidR="003D18C7" w:rsidRPr="003D18C7" w:rsidRDefault="003D18C7" w:rsidP="003D18C7">
      <w:pPr>
        <w:spacing w:before="12300"/>
        <w:ind w:right="-1645"/>
        <w:jc w:val="right"/>
        <w:rPr>
          <w:rFonts w:ascii="Helvetica" w:hAnsi="Helvetica" w:cs="Helvetica"/>
          <w:b/>
          <w:bCs/>
          <w:sz w:val="32"/>
          <w:szCs w:val="32"/>
        </w:rPr>
      </w:pPr>
    </w:p>
    <w:bookmarkEnd w:id="0" w:displacedByCustomXml="next"/>
    <w:bookmarkStart w:id="3" w:name="_Toc227931737" w:displacedByCustomXml="next"/>
    <w:sdt>
      <w:sdtPr>
        <w:rPr>
          <w:rFonts w:ascii="Helvetica" w:eastAsiaTheme="majorEastAsia" w:hAnsi="Helvetica" w:cstheme="majorBidi"/>
          <w:b/>
          <w:bCs/>
          <w:color w:val="FFFFFF" w:themeColor="background1"/>
          <w:sz w:val="28"/>
          <w:szCs w:val="28"/>
        </w:rPr>
        <w:id w:val="667208857"/>
        <w:docPartObj>
          <w:docPartGallery w:val="Table of Contents"/>
          <w:docPartUnique/>
        </w:docPartObj>
      </w:sdtPr>
      <w:sdtEndPr>
        <w:rPr>
          <w:rFonts w:asciiTheme="minorHAnsi" w:hAnsiTheme="minorHAnsi"/>
          <w:b w:val="0"/>
          <w:bCs w:val="0"/>
          <w:color w:val="auto"/>
          <w:sz w:val="20"/>
          <w:szCs w:val="20"/>
        </w:rPr>
      </w:sdtEndPr>
      <w:sdtContent>
        <w:p w14:paraId="08D2AF7D" w14:textId="59950496" w:rsidR="0050338C" w:rsidRPr="00E54D94" w:rsidRDefault="0050338C" w:rsidP="003D18C7">
          <w:pPr>
            <w:rPr>
              <w:noProof/>
              <w:sz w:val="22"/>
              <w:szCs w:val="22"/>
            </w:rPr>
          </w:pPr>
        </w:p>
        <w:bookmarkStart w:id="4" w:name="_Toc228914048"/>
        <w:bookmarkStart w:id="5" w:name="_Toc230870339"/>
        <w:bookmarkStart w:id="6" w:name="_Toc230871005"/>
        <w:bookmarkEnd w:id="3"/>
        <w:p w14:paraId="52F08243" w14:textId="77777777" w:rsidR="00E54D94" w:rsidRDefault="00452BD6" w:rsidP="00976E55">
          <w:pPr>
            <w:pStyle w:val="TOCHeading"/>
            <w:rPr>
              <w:noProof/>
            </w:rPr>
          </w:pPr>
          <w:r w:rsidRPr="006F73A8">
            <w:rPr>
              <w:noProof/>
              <w:color w:val="F2F2F2" w:themeColor="background1" w:themeShade="F2"/>
            </w:rPr>
            <mc:AlternateContent>
              <mc:Choice Requires="wps">
                <w:drawing>
                  <wp:anchor distT="0" distB="0" distL="114300" distR="114300" simplePos="0" relativeHeight="251658240" behindDoc="1" locked="0" layoutInCell="1" allowOverlap="1" wp14:anchorId="6FD4138B" wp14:editId="1C7CB103">
                    <wp:simplePos x="0" y="0"/>
                    <wp:positionH relativeFrom="page">
                      <wp:align>right</wp:align>
                    </wp:positionH>
                    <wp:positionV relativeFrom="page">
                      <wp:posOffset>3865</wp:posOffset>
                    </wp:positionV>
                    <wp:extent cx="7560000" cy="10692000"/>
                    <wp:effectExtent l="0" t="0" r="3175" b="0"/>
                    <wp:wrapNone/>
                    <wp:docPr id="430723951" name="Rectangle 43072395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FDED7B7" id="Rectangle 430723951" o:spid="_x0000_s1026" style="position:absolute;margin-left:544.1pt;margin-top:.3pt;width:595.3pt;height:841.9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" fillcolor="#132d3e [3215]" stroked="f" strokeweight="2pt">
                    <w10:wrap anchorx="page" anchory="page"/>
                  </v:rect>
                </w:pict>
              </mc:Fallback>
            </mc:AlternateContent>
          </w:r>
          <w:r w:rsidR="004909C3" w:rsidRPr="006F73A8">
            <w:rPr>
              <w:rFonts w:cs="Helvetica"/>
              <w:color w:val="F2F2F2" w:themeColor="background1" w:themeShade="F2"/>
            </w:rPr>
            <w:t>Contents</w:t>
          </w:r>
          <w:bookmarkEnd w:id="4"/>
          <w:bookmarkEnd w:id="5"/>
          <w:bookmarkEnd w:id="6"/>
        </w:p>
        <w:p w14:paraId="58A322C7" w14:textId="2BC0C566" w:rsidR="00BF3C93" w:rsidRDefault="00976E55">
          <w:pPr>
            <w:pStyle w:val="TOC1"/>
            <w:rPr>
              <w:rFonts w:asciiTheme="minorHAnsi" w:eastAsiaTheme="minorEastAsia" w:hAnsiTheme="minorHAnsi" w:cstheme="minorBidi"/>
              <w:b w:val="0"/>
              <w:color w:val="auto"/>
              <w:kern w:val="2"/>
              <w:sz w:val="24"/>
              <w14:ligatures w14:val="standardContextual"/>
            </w:rPr>
          </w:pPr>
          <w:r>
            <w:fldChar w:fldCharType="begin"/>
          </w:r>
          <w:r w:rsidR="00E54D94">
            <w:instrText>TOC \o "1-1" \z \u</w:instrText>
          </w:r>
          <w:r>
            <w:fldChar w:fldCharType="separate"/>
          </w:r>
          <w:r w:rsidR="00BF3C93">
            <w:t>Technical appendix</w:t>
          </w:r>
          <w:r w:rsidR="00BF3C93">
            <w:rPr>
              <w:webHidden/>
            </w:rPr>
            <w:tab/>
          </w:r>
          <w:r w:rsidR="00BF3C93">
            <w:rPr>
              <w:webHidden/>
            </w:rPr>
            <w:fldChar w:fldCharType="begin"/>
          </w:r>
          <w:r w:rsidR="00BF3C93">
            <w:rPr>
              <w:webHidden/>
            </w:rPr>
            <w:instrText xml:space="preserve"> PAGEREF _Toc243330646 \h </w:instrText>
          </w:r>
          <w:r w:rsidR="00BF3C93">
            <w:rPr>
              <w:webHidden/>
            </w:rPr>
          </w:r>
          <w:r w:rsidR="00BF3C93">
            <w:rPr>
              <w:webHidden/>
            </w:rPr>
            <w:fldChar w:fldCharType="separate"/>
          </w:r>
          <w:r w:rsidR="00BF3C93">
            <w:rPr>
              <w:webHidden/>
            </w:rPr>
            <w:t>3</w:t>
          </w:r>
          <w:r w:rsidR="00BF3C93">
            <w:rPr>
              <w:webHidden/>
            </w:rPr>
            <w:fldChar w:fldCharType="end"/>
          </w:r>
        </w:p>
        <w:p w14:paraId="0579FFC4" w14:textId="47A3F0D9" w:rsidR="00BF3C93" w:rsidRDefault="00BF3C93">
          <w:pPr>
            <w:pStyle w:val="TOC1"/>
            <w:rPr>
              <w:rFonts w:asciiTheme="minorHAnsi" w:eastAsiaTheme="minorEastAsia" w:hAnsiTheme="minorHAnsi" w:cstheme="minorBidi"/>
              <w:b w:val="0"/>
              <w:color w:val="auto"/>
              <w:kern w:val="2"/>
              <w:sz w:val="24"/>
              <w14:ligatures w14:val="standardContextual"/>
            </w:rPr>
          </w:pPr>
          <w:r>
            <w:t>References</w:t>
          </w:r>
          <w:r>
            <w:rPr>
              <w:webHidden/>
            </w:rPr>
            <w:tab/>
          </w:r>
          <w:r>
            <w:rPr>
              <w:webHidden/>
            </w:rPr>
            <w:fldChar w:fldCharType="begin"/>
          </w:r>
          <w:r>
            <w:rPr>
              <w:webHidden/>
            </w:rPr>
            <w:instrText xml:space="preserve"> PAGEREF _Toc243330647 \h </w:instrText>
          </w:r>
          <w:r>
            <w:rPr>
              <w:webHidden/>
            </w:rPr>
          </w:r>
          <w:r>
            <w:rPr>
              <w:webHidden/>
            </w:rPr>
            <w:fldChar w:fldCharType="separate"/>
          </w:r>
          <w:r>
            <w:rPr>
              <w:webHidden/>
            </w:rPr>
            <w:t>17</w:t>
          </w:r>
          <w:r>
            <w:rPr>
              <w:webHidden/>
            </w:rPr>
            <w:fldChar w:fldCharType="end"/>
          </w:r>
        </w:p>
        <w:p w14:paraId="14DC56DC" w14:textId="3455C304" w:rsidR="00932DBC" w:rsidRDefault="00976E55" w:rsidP="00DE4B91">
          <w:r>
            <w:rPr>
              <w:rFonts w:cs="Helvetica"/>
              <w:color w:val="F2F2F2" w:themeColor="background1" w:themeShade="F2"/>
            </w:rPr>
            <w:fldChar w:fldCharType="end"/>
          </w:r>
        </w:p>
      </w:sdtContent>
    </w:sdt>
    <w:p w14:paraId="20BE7C01" w14:textId="3A97A06E" w:rsidR="008253C4" w:rsidRPr="00F11C43" w:rsidRDefault="00932DBC" w:rsidP="009217CE">
      <w:pPr>
        <w:spacing w:after="0" w:line="240" w:lineRule="auto"/>
        <w:sectPr w:rsidR="008253C4" w:rsidRPr="00F11C43" w:rsidSect="00984951">
          <w:headerReference w:type="even" r:id="rId12"/>
          <w:headerReference w:type="default" r:id="rId13"/>
          <w:footerReference w:type="even" r:id="rId14"/>
          <w:footerReference w:type="default" r:id="rId15"/>
          <w:headerReference w:type="first" r:id="rId16"/>
          <w:footerReference w:type="first" r:id="rId17"/>
          <w:pgSz w:w="11906" w:h="16838" w:code="9"/>
          <w:pgMar w:top="2041" w:right="2381" w:bottom="1247" w:left="1247" w:header="720" w:footer="340" w:gutter="0"/>
          <w:cols w:space="708"/>
          <w:docGrid w:linePitch="360"/>
        </w:sectPr>
      </w:pPr>
      <w:r>
        <w:br w:type="page"/>
      </w:r>
    </w:p>
    <w:p w14:paraId="573EE1E6" w14:textId="77777777" w:rsidR="008A5F45" w:rsidRDefault="008A5F45">
      <w:pPr>
        <w:spacing w:after="0" w:line="240" w:lineRule="auto"/>
        <w:rPr>
          <w:rFonts w:ascii="Helvetica" w:hAnsi="Helvetica"/>
          <w:b/>
          <w:sz w:val="72"/>
          <w:szCs w:val="44"/>
        </w:rPr>
      </w:pPr>
      <w:bookmarkStart w:id="7" w:name="_Toc237333130"/>
      <w:r>
        <w:br w:type="page"/>
      </w:r>
    </w:p>
    <w:p w14:paraId="2FDE3C4D" w14:textId="5D927928" w:rsidR="003C02D5" w:rsidRPr="00E54D94" w:rsidRDefault="003C02D5" w:rsidP="009217CE">
      <w:pPr>
        <w:pStyle w:val="Heading1"/>
        <w:rPr>
          <w:rFonts w:asciiTheme="majorHAnsi" w:hAnsiTheme="majorHAnsi"/>
        </w:rPr>
      </w:pPr>
      <w:bookmarkStart w:id="8" w:name="_Toc243330646"/>
      <w:r>
        <w:lastRenderedPageBreak/>
        <w:t>Technical appendix</w:t>
      </w:r>
      <w:bookmarkEnd w:id="7"/>
      <w:bookmarkEnd w:id="8"/>
    </w:p>
    <w:p w14:paraId="5EC4F707" w14:textId="77777777" w:rsidR="00556F94" w:rsidRDefault="00556F94" w:rsidP="00556F94">
      <w:pPr>
        <w:pStyle w:val="Heading2"/>
        <w:rPr>
          <w:kern w:val="2"/>
          <w:szCs w:val="28"/>
          <w14:ligatures w14:val="standardContextual"/>
        </w:rPr>
      </w:pPr>
      <w:r>
        <w:t>Overview</w:t>
      </w:r>
    </w:p>
    <w:p w14:paraId="6F457B77" w14:textId="77777777" w:rsidR="00005AC0" w:rsidRDefault="5FE00750" w:rsidP="00710F74">
      <w:r>
        <w:t>For the last decade, the Behavioural Economics Team of the Australian Government (BETA) has helped the Australian Public Service (APS) and policymakers design and test evidence-informed solutions, evaluate how interventions are working in the real world</w:t>
      </w:r>
      <w:r w:rsidR="2B8D4CB4">
        <w:t>, and increase the use of Randomised Controlled Trials</w:t>
      </w:r>
      <w:r w:rsidR="006523B5">
        <w:t xml:space="preserve"> (RCTs)</w:t>
      </w:r>
      <w:r>
        <w:t xml:space="preserve">. </w:t>
      </w:r>
    </w:p>
    <w:p w14:paraId="18C99B0C" w14:textId="7665CE77" w:rsidR="00B80732" w:rsidRDefault="00005AC0" w:rsidP="00710F74">
      <w:r>
        <w:t>This meta-analysis</w:t>
      </w:r>
      <w:r w:rsidR="005D6D41">
        <w:t xml:space="preserve"> synthesises </w:t>
      </w:r>
      <w:r w:rsidR="00974B66">
        <w:t>evidence from BETA</w:t>
      </w:r>
      <w:r w:rsidR="007C18BB">
        <w:t xml:space="preserve">’s </w:t>
      </w:r>
      <w:r w:rsidR="00DE00F5">
        <w:t xml:space="preserve">RCTs that compared behavioural interventions with an eligible control condition. </w:t>
      </w:r>
      <w:r w:rsidR="00032B42">
        <w:t xml:space="preserve">The final analysis included </w:t>
      </w:r>
      <w:r w:rsidR="00A91287">
        <w:t>148 effect estimates</w:t>
      </w:r>
      <w:r w:rsidR="000554D0">
        <w:t xml:space="preserve"> from 52 trials across 40 projects and found a small positive average effect. </w:t>
      </w:r>
      <w:r w:rsidR="005A2576">
        <w:t xml:space="preserve">This effect corresponds approximately to an additional </w:t>
      </w:r>
      <w:r w:rsidR="51132E74" w:rsidRPr="00784F16">
        <w:rPr>
          <w:rFonts w:eastAsia="Segoe UI"/>
        </w:rPr>
        <w:t>10 to 20 people out of every 1,000 taking the action compared with what would have happened without the intervention.</w:t>
      </w:r>
      <w:r w:rsidR="00B051BC" w:rsidRPr="006523B5">
        <w:t xml:space="preserve"> </w:t>
      </w:r>
      <w:r w:rsidR="5427186F" w:rsidRPr="00784F16">
        <w:rPr>
          <w:rFonts w:eastAsia="Segoe UI"/>
        </w:rPr>
        <w:t>Th</w:t>
      </w:r>
      <w:r w:rsidR="00971391" w:rsidRPr="00784F16">
        <w:rPr>
          <w:rFonts w:eastAsia="Helvetica"/>
        </w:rPr>
        <w:t>e</w:t>
      </w:r>
      <w:r w:rsidR="5427186F" w:rsidRPr="00784F16">
        <w:rPr>
          <w:rFonts w:eastAsia="Segoe UI"/>
        </w:rPr>
        <w:t xml:space="preserve"> estimate was derived from the primary meta-analysis result (d = 0.07) by translating the average standardised effect size into an approximate absolute change in behaviour using benchmark assumptions about baseline behaviour rates.</w:t>
      </w:r>
      <w:r w:rsidR="00AB7E75" w:rsidRPr="00784F16">
        <w:rPr>
          <w:rFonts w:eastAsia="Helvetica"/>
        </w:rPr>
        <w:t xml:space="preserve"> </w:t>
      </w:r>
      <w:r w:rsidR="716688C4">
        <w:t>These small but important improvements accumulate into significant societal benefits.</w:t>
      </w:r>
    </w:p>
    <w:p w14:paraId="2F091D08" w14:textId="53416AF6" w:rsidR="00ED0D04" w:rsidRDefault="30E53415" w:rsidP="00710F74">
      <w:r>
        <w:t xml:space="preserve">This </w:t>
      </w:r>
      <w:r w:rsidR="009C38E7">
        <w:t>meta-analysis</w:t>
      </w:r>
      <w:r>
        <w:t xml:space="preserve"> includes</w:t>
      </w:r>
      <w:r w:rsidDel="00875110">
        <w:t xml:space="preserve"> </w:t>
      </w:r>
      <w:r w:rsidR="00875110">
        <w:t xml:space="preserve">our </w:t>
      </w:r>
      <w:r>
        <w:t>published trials</w:t>
      </w:r>
      <w:r w:rsidR="003A1E0F">
        <w:t xml:space="preserve"> where BETA’s behavioural interventions </w:t>
      </w:r>
      <w:r w:rsidR="00875110">
        <w:t>were</w:t>
      </w:r>
      <w:r w:rsidR="003A1E0F">
        <w:t xml:space="preserve"> relative to a contro</w:t>
      </w:r>
      <w:r w:rsidR="006F23DC">
        <w:t>l</w:t>
      </w:r>
      <w:r>
        <w:t xml:space="preserve">. </w:t>
      </w:r>
      <w:r w:rsidR="00875110">
        <w:t>As such,</w:t>
      </w:r>
      <w:r w:rsidDel="00875110">
        <w:t xml:space="preserve"> </w:t>
      </w:r>
      <w:r>
        <w:t>other impactful work completed by BETA</w:t>
      </w:r>
      <w:r w:rsidR="00875110">
        <w:t xml:space="preserve"> </w:t>
      </w:r>
      <w:r w:rsidR="00504502">
        <w:t>is</w:t>
      </w:r>
      <w:r w:rsidR="00712535">
        <w:t xml:space="preserve"> outside the scope of this</w:t>
      </w:r>
      <w:r w:rsidR="00875110">
        <w:t xml:space="preserve"> analysis (</w:t>
      </w:r>
      <w:r w:rsidR="00710F74">
        <w:fldChar w:fldCharType="begin"/>
      </w:r>
      <w:r w:rsidR="00710F74">
        <w:instrText xml:space="preserve"> REF _Ref243916690 \r \h  \* MERGEFORMAT </w:instrText>
      </w:r>
      <w:r w:rsidR="00710F74">
        <w:fldChar w:fldCharType="separate"/>
      </w:r>
      <w:r w:rsidR="00710F74">
        <w:t>Figure 1</w:t>
      </w:r>
      <w:r w:rsidR="00710F74">
        <w:fldChar w:fldCharType="end"/>
      </w:r>
      <w:r w:rsidR="00875110">
        <w:t>)</w:t>
      </w:r>
      <w:r w:rsidR="00E9374D">
        <w:t xml:space="preserve">. </w:t>
      </w:r>
      <w:r w:rsidR="00875110">
        <w:t>This includes</w:t>
      </w:r>
      <w:r w:rsidR="00ED76CA">
        <w:t xml:space="preserve"> </w:t>
      </w:r>
      <w:r w:rsidR="71082339">
        <w:t xml:space="preserve">advice, </w:t>
      </w:r>
      <w:r w:rsidR="09DABFC8">
        <w:t>qualitative or exploratory work</w:t>
      </w:r>
      <w:r w:rsidR="00ED76CA">
        <w:t>,</w:t>
      </w:r>
      <w:r w:rsidR="00712535">
        <w:t xml:space="preserve"> </w:t>
      </w:r>
      <w:r w:rsidR="00875110">
        <w:t xml:space="preserve">as well as </w:t>
      </w:r>
      <w:r w:rsidR="71082339">
        <w:t xml:space="preserve">trials or trial arms that compared interventions </w:t>
      </w:r>
      <w:r w:rsidR="00CF32EA">
        <w:t>with each other</w:t>
      </w:r>
      <w:r w:rsidR="003E1B12">
        <w:t xml:space="preserve"> rather than a control condition</w:t>
      </w:r>
      <w:r w:rsidR="71082339">
        <w:t>.</w:t>
      </w:r>
      <w:r w:rsidR="6AF91DAD">
        <w:t xml:space="preserve"> </w:t>
      </w:r>
      <w:r w:rsidR="00BD5681">
        <w:t>As such</w:t>
      </w:r>
      <w:r w:rsidR="6AF91DAD">
        <w:t xml:space="preserve">, the meta-analysis </w:t>
      </w:r>
      <w:r w:rsidR="00BD5681">
        <w:t>provides a robust estimate</w:t>
      </w:r>
      <w:r w:rsidR="001D1448">
        <w:t xml:space="preserve"> of </w:t>
      </w:r>
      <w:r w:rsidR="6AF91DAD">
        <w:t xml:space="preserve">the average impact </w:t>
      </w:r>
      <w:r w:rsidR="00245532">
        <w:t>of eligible behavioural interventions relative to a control condition</w:t>
      </w:r>
      <w:r w:rsidR="43843E11">
        <w:t xml:space="preserve"> but is not a comprehensive account of all BETA’s work.</w:t>
      </w:r>
      <w:r w:rsidR="5C1F37ED">
        <w:t xml:space="preserve"> </w:t>
      </w:r>
    </w:p>
    <w:p w14:paraId="391ACB5C" w14:textId="04034F4D" w:rsidR="00AD38DF" w:rsidRDefault="00AD38DF" w:rsidP="00AD38DF">
      <w:pPr>
        <w:pStyle w:val="Caption"/>
        <w:keepNext/>
      </w:pPr>
      <w:r>
        <w:t xml:space="preserve">Figure </w:t>
      </w:r>
      <w:fldSimple w:instr=" SEQ Figure \* ARABIC ">
        <w:r w:rsidR="00716933">
          <w:rPr>
            <w:noProof/>
          </w:rPr>
          <w:t>1</w:t>
        </w:r>
      </w:fldSimple>
      <w:r>
        <w:t xml:space="preserve"> </w:t>
      </w:r>
      <w:r w:rsidRPr="007424F2">
        <w:t>The subset of trials included in the meta-analysis</w:t>
      </w:r>
    </w:p>
    <w:p w14:paraId="79089135" w14:textId="77777777" w:rsidR="009D0A2C" w:rsidRPr="00ED0D04" w:rsidRDefault="0317C664" w:rsidP="00486927">
      <w:pPr>
        <w:keepNext/>
      </w:pPr>
      <w:r>
        <w:rPr>
          <w:noProof/>
        </w:rPr>
        <w:drawing>
          <wp:inline distT="0" distB="0" distL="0" distR="0" wp14:anchorId="5C384BE8" wp14:editId="2C1B128F">
            <wp:extent cx="5249695" cy="2458285"/>
            <wp:effectExtent l="0" t="0" r="0" b="0"/>
            <wp:docPr id="1217201016" name="Picture 2" descr="The focus of this appendix is on RCTs that test a behavioural intervention against a control condition. This is a small component of BETA's overall work which includes capability building, advice, research and insights, design and testing and impact eval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01016" name="Picture 2" descr="The focus of this appendix is on RCTs that test a behavioural intervention against a control condition. This is a small component of BETA's overall work which includes capability building, advice, research and insights, design and testing and impact evaluatio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49695" cy="2458285"/>
                    </a:xfrm>
                    <a:prstGeom prst="rect">
                      <a:avLst/>
                    </a:prstGeom>
                  </pic:spPr>
                </pic:pic>
              </a:graphicData>
            </a:graphic>
          </wp:inline>
        </w:drawing>
      </w:r>
    </w:p>
    <w:p w14:paraId="4F8FED09" w14:textId="77777777" w:rsidR="00710F74" w:rsidRDefault="00710F74">
      <w:pPr>
        <w:spacing w:after="0" w:line="240" w:lineRule="auto"/>
      </w:pPr>
      <w:r>
        <w:br w:type="page"/>
      </w:r>
    </w:p>
    <w:p w14:paraId="26A9E7C4" w14:textId="05A937D5" w:rsidR="662FEFF5" w:rsidRPr="00684D9C" w:rsidRDefault="662FEFF5" w:rsidP="00710F74">
      <w:pPr>
        <w:rPr>
          <w:rFonts w:ascii="Helvetica" w:eastAsia="Helvetica" w:hAnsi="Helvetica" w:cs="Helvetica"/>
          <w:color w:val="242424"/>
          <w:szCs w:val="20"/>
        </w:rPr>
      </w:pPr>
      <w:r>
        <w:lastRenderedPageBreak/>
        <w:t xml:space="preserve">A 3-level random-effects model was used because some </w:t>
      </w:r>
      <w:r w:rsidR="30981B35">
        <w:t>trials</w:t>
      </w:r>
      <w:r>
        <w:t xml:space="preserve"> contributed multiple eligible effect estimates.</w:t>
      </w:r>
      <w:r w:rsidR="2C3DA686">
        <w:t xml:space="preserve"> </w:t>
      </w:r>
      <w:r w:rsidR="4D71B7FF">
        <w:t xml:space="preserve">We found </w:t>
      </w:r>
      <w:r w:rsidR="6D1F7456">
        <w:t>a small positive effect across BETA’s portfoli</w:t>
      </w:r>
      <w:r w:rsidR="71C923CD">
        <w:t xml:space="preserve">o. </w:t>
      </w:r>
      <w:r w:rsidR="7F11BB30">
        <w:t>This finding was robust to</w:t>
      </w:r>
      <w:r w:rsidR="0C9C6363">
        <w:t xml:space="preserve"> </w:t>
      </w:r>
      <w:r w:rsidR="269DEFB1">
        <w:t>alternative modelling approaches</w:t>
      </w:r>
      <w:r w:rsidR="00875F95">
        <w:t xml:space="preserve"> </w:t>
      </w:r>
      <w:r w:rsidR="2D9E57E7">
        <w:t xml:space="preserve">and was </w:t>
      </w:r>
      <w:r w:rsidR="6A9F7DA1">
        <w:t>supported by the primary frequentist and</w:t>
      </w:r>
      <w:r w:rsidR="1AAC319A">
        <w:t xml:space="preserve"> Bayesian </w:t>
      </w:r>
      <w:r w:rsidR="50FFB226">
        <w:t>meta-analytic models</w:t>
      </w:r>
      <w:r w:rsidR="6179AC09">
        <w:t>.</w:t>
      </w:r>
      <w:r w:rsidR="0577FA7E">
        <w:t xml:space="preserve"> </w:t>
      </w:r>
      <w:r w:rsidR="07C00522">
        <w:t xml:space="preserve">Moderator analyses found no evidence that intervention or trial characteristics </w:t>
      </w:r>
      <w:r w:rsidR="00875F95">
        <w:t>systematically</w:t>
      </w:r>
      <w:r w:rsidR="07C00522">
        <w:t xml:space="preserve"> explained variation in effect </w:t>
      </w:r>
      <w:r w:rsidR="07C00522" w:rsidRPr="01806D53">
        <w:rPr>
          <w:rFonts w:cstheme="minorBidi"/>
        </w:rPr>
        <w:t>sizes.</w:t>
      </w:r>
      <w:r w:rsidR="35D37A87" w:rsidRPr="00684D9C">
        <w:rPr>
          <w:rFonts w:eastAsia="Segoe UI" w:cstheme="minorBidi"/>
        </w:rPr>
        <w:t xml:space="preserve"> While the average effect was positive, there was substantial variation in effects across trials and projects. This suggests that behavioural interventions cannot be assumed to work equally well across all settings</w:t>
      </w:r>
      <w:r w:rsidR="35D37A87" w:rsidRPr="214F6E28">
        <w:rPr>
          <w:rFonts w:eastAsia="Segoe UI" w:cstheme="minorBidi"/>
        </w:rPr>
        <w:t xml:space="preserve"> </w:t>
      </w:r>
      <w:r w:rsidR="7A6B19C9" w:rsidRPr="214F6E28">
        <w:rPr>
          <w:rFonts w:eastAsia="Segoe UI" w:cstheme="minorBidi"/>
        </w:rPr>
        <w:t xml:space="preserve">and </w:t>
      </w:r>
      <w:r w:rsidR="7A6B19C9" w:rsidRPr="774D448D">
        <w:rPr>
          <w:rFonts w:eastAsia="Segoe UI" w:cstheme="minorBidi"/>
        </w:rPr>
        <w:t xml:space="preserve">emphasises </w:t>
      </w:r>
      <w:r w:rsidR="7A6B19C9" w:rsidRPr="00684D9C">
        <w:rPr>
          <w:rFonts w:ascii="Helvetica" w:eastAsia="Helvetica" w:hAnsi="Helvetica" w:cs="Helvetica"/>
          <w:color w:val="242424"/>
          <w:szCs w:val="20"/>
        </w:rPr>
        <w:t>the need to test solutions with people within the specific policy context as a cost-effective way to deliver policy.</w:t>
      </w:r>
    </w:p>
    <w:p w14:paraId="592D352B" w14:textId="0BBBD04C" w:rsidR="00FE7632" w:rsidRDefault="00FE7632" w:rsidP="23A154E8">
      <w:pPr>
        <w:spacing w:after="0" w:line="240" w:lineRule="auto"/>
        <w:rPr>
          <w:rFonts w:ascii="Helvetica" w:hAnsi="Helvetica"/>
          <w:b/>
          <w:bCs/>
          <w:color w:val="14837A" w:themeColor="accent1"/>
          <w:sz w:val="40"/>
          <w:szCs w:val="40"/>
        </w:rPr>
      </w:pPr>
      <w:r>
        <w:br w:type="page"/>
      </w:r>
    </w:p>
    <w:p w14:paraId="5915E4FD" w14:textId="58EFB824" w:rsidR="009E3948" w:rsidRDefault="00FE7632" w:rsidP="00556F94">
      <w:pPr>
        <w:pStyle w:val="Heading2"/>
        <w:spacing w:before="180"/>
        <w:contextualSpacing w:val="0"/>
      </w:pPr>
      <w:r>
        <w:lastRenderedPageBreak/>
        <w:t>Method</w:t>
      </w:r>
      <w:r w:rsidR="009E3948">
        <w:t>s</w:t>
      </w:r>
    </w:p>
    <w:p w14:paraId="29CA5DFA" w14:textId="308E2B0A" w:rsidR="00556F94" w:rsidRPr="00DB1A89" w:rsidRDefault="00556F94" w:rsidP="00DB1A89">
      <w:pPr>
        <w:pStyle w:val="Heading3"/>
      </w:pPr>
      <w:r>
        <w:t>Study scope and eligibility</w:t>
      </w:r>
    </w:p>
    <w:p w14:paraId="4084072A" w14:textId="2ECE064C" w:rsidR="00ED0D04" w:rsidRPr="00ED0D04" w:rsidRDefault="00ED0D04" w:rsidP="00ED0D04">
      <w:r w:rsidRPr="00ED0D04">
        <w:t xml:space="preserve">The evidence base </w:t>
      </w:r>
      <w:r w:rsidR="00491621">
        <w:t>for the meta-analysis</w:t>
      </w:r>
      <w:r w:rsidR="00B510E1">
        <w:t xml:space="preserve"> </w:t>
      </w:r>
      <w:r w:rsidRPr="00ED0D04">
        <w:t>comprised completed randomised controlled trials conducted by BETA over the past 10 year</w:t>
      </w:r>
      <w:r w:rsidR="006D07D9">
        <w:t>s (</w:t>
      </w:r>
      <w:r w:rsidR="00F932B7">
        <w:t>2016-2026)</w:t>
      </w:r>
      <w:r w:rsidRPr="00ED0D04">
        <w:t>.</w:t>
      </w:r>
    </w:p>
    <w:p w14:paraId="2413ADDA" w14:textId="77777777" w:rsidR="00ED0D04" w:rsidRPr="00ED0D04" w:rsidRDefault="00ED0D04" w:rsidP="00ED0D04">
      <w:r w:rsidRPr="00ED0D04">
        <w:t>An outcome was eligible for quantitative synthesis if it:</w:t>
      </w:r>
    </w:p>
    <w:p w14:paraId="79595469" w14:textId="77777777" w:rsidR="003C02D5" w:rsidRPr="00DB1A89" w:rsidRDefault="003C02D5" w:rsidP="00D06B8A">
      <w:pPr>
        <w:pStyle w:val="ListBullet"/>
      </w:pPr>
      <w:r w:rsidRPr="00D06B8A">
        <w:t>came from a BETA randomised controlled trial</w:t>
      </w:r>
    </w:p>
    <w:p w14:paraId="7308304F" w14:textId="77777777" w:rsidR="003C02D5" w:rsidRPr="00D06B8A" w:rsidRDefault="003C02D5" w:rsidP="00D06B8A">
      <w:pPr>
        <w:pStyle w:val="ListBullet"/>
      </w:pPr>
      <w:r w:rsidRPr="00D06B8A">
        <w:t>measured an eligible behavioural outcome</w:t>
      </w:r>
    </w:p>
    <w:p w14:paraId="1C3243C2" w14:textId="77777777" w:rsidR="003C02D5" w:rsidRPr="00D06B8A" w:rsidRDefault="003C02D5" w:rsidP="00D06B8A">
      <w:pPr>
        <w:pStyle w:val="ListBullet"/>
      </w:pPr>
      <w:r w:rsidRPr="00D06B8A">
        <w:t>compared an intervention with a stable control or other eligible baseline</w:t>
      </w:r>
    </w:p>
    <w:p w14:paraId="4F5E2319" w14:textId="77777777" w:rsidR="003C02D5" w:rsidRPr="00D06B8A" w:rsidRDefault="003C02D5" w:rsidP="00D06B8A">
      <w:pPr>
        <w:pStyle w:val="ListBullet"/>
      </w:pPr>
      <w:r w:rsidRPr="00D06B8A">
        <w:t>provided sufficient information to calculate an effect size and its sampling variance.</w:t>
      </w:r>
    </w:p>
    <w:p w14:paraId="46EA80F5" w14:textId="77777777" w:rsidR="00ED0D04" w:rsidRPr="00ED0D04" w:rsidRDefault="00ED0D04" w:rsidP="00ED0D04">
      <w:r w:rsidRPr="00ED0D04">
        <w:t>Eligibility and selection decisions were applied separately to each outcome within a trial. A trial could therefore contribute estimates for multiple distinct behavioural outcomes.</w:t>
      </w:r>
    </w:p>
    <w:p w14:paraId="0C0A965B" w14:textId="63D881FF" w:rsidR="00556F94" w:rsidRDefault="00556F94" w:rsidP="00DB1A89">
      <w:pPr>
        <w:pStyle w:val="Heading3"/>
        <w:rPr>
          <w:kern w:val="2"/>
          <w:szCs w:val="28"/>
          <w14:ligatures w14:val="standardContextual"/>
        </w:rPr>
      </w:pPr>
      <w:r>
        <w:t>Selection of outcomes and contrasts</w:t>
      </w:r>
    </w:p>
    <w:p w14:paraId="39B38E46" w14:textId="11AC74C9" w:rsidR="00502F1B" w:rsidRDefault="0008193B">
      <w:pPr>
        <w:rPr>
          <w:kern w:val="2"/>
          <w:szCs w:val="20"/>
          <w14:ligatures w14:val="standardContextual"/>
        </w:rPr>
      </w:pPr>
      <w:r>
        <w:t>Trial e</w:t>
      </w:r>
      <w:r w:rsidR="00502F1B">
        <w:t>ffect estimates were selected</w:t>
      </w:r>
      <w:r w:rsidR="0079583C">
        <w:t xml:space="preserve"> for the meta-analysis</w:t>
      </w:r>
      <w:r w:rsidR="00502F1B">
        <w:t xml:space="preserve"> to maintain a consistent intervention–control comparison and avoid </w:t>
      </w:r>
      <w:r w:rsidR="00127CE6">
        <w:t xml:space="preserve">biases by </w:t>
      </w:r>
      <w:r w:rsidR="00502F1B">
        <w:t>counting the same evidence more than once.</w:t>
      </w:r>
    </w:p>
    <w:p w14:paraId="00F3530A" w14:textId="77777777" w:rsidR="00556F94" w:rsidRDefault="00556F94" w:rsidP="006C677C">
      <w:pPr>
        <w:pStyle w:val="Heading4"/>
        <w:rPr>
          <w:kern w:val="2"/>
          <w14:ligatures w14:val="standardContextual"/>
        </w:rPr>
      </w:pPr>
      <w:r>
        <w:t>Comparators</w:t>
      </w:r>
    </w:p>
    <w:p w14:paraId="7EF0A18A" w14:textId="3F4729B5" w:rsidR="00ED0D04" w:rsidRPr="00ED0D04" w:rsidRDefault="00ED0D04" w:rsidP="00710F74">
      <w:r w:rsidRPr="00ED0D04">
        <w:t>The primary analysis included comparisons between an intervention and a stable</w:t>
      </w:r>
      <w:r w:rsidR="00866BA5">
        <w:t xml:space="preserve"> baseline or</w:t>
      </w:r>
      <w:r w:rsidRPr="00ED0D04">
        <w:t xml:space="preserve"> control condition, such as</w:t>
      </w:r>
      <w:r w:rsidR="00B3501B">
        <w:t>,</w:t>
      </w:r>
      <w:r w:rsidRPr="00ED0D04">
        <w:t xml:space="preserve"> business</w:t>
      </w:r>
      <w:r w:rsidR="00D517CE">
        <w:t>-</w:t>
      </w:r>
      <w:r w:rsidRPr="00ED0D04">
        <w:t>as</w:t>
      </w:r>
      <w:r w:rsidR="00B3501B">
        <w:t>-</w:t>
      </w:r>
      <w:r w:rsidRPr="00ED0D04">
        <w:t>usual or an inert attention control</w:t>
      </w:r>
      <w:r w:rsidR="00C33B2C">
        <w:t xml:space="preserve"> (that is, where </w:t>
      </w:r>
      <w:r w:rsidR="00907EA5">
        <w:t xml:space="preserve">the treatment </w:t>
      </w:r>
      <w:r w:rsidR="00A71C8E">
        <w:t>group received some contact, such as general information or check-in calls, but without the active intervention</w:t>
      </w:r>
      <w:r w:rsidR="00C33B2C">
        <w:t>)</w:t>
      </w:r>
      <w:r w:rsidRPr="00ED0D04">
        <w:t xml:space="preserve">. </w:t>
      </w:r>
    </w:p>
    <w:p w14:paraId="70723334" w14:textId="4667DBB6" w:rsidR="00ED0D04" w:rsidRPr="00ED0D04" w:rsidRDefault="00ED0D04" w:rsidP="00710F74">
      <w:r w:rsidRPr="00ED0D04">
        <w:t xml:space="preserve">Where a trial did not include a conventional control condition, another </w:t>
      </w:r>
      <w:r w:rsidR="00286D32">
        <w:t>t</w:t>
      </w:r>
      <w:r w:rsidR="00286D32" w:rsidRPr="00D436DA">
        <w:t>rial</w:t>
      </w:r>
      <w:r w:rsidRPr="00ED0D04">
        <w:t xml:space="preserve"> arm could be used as the comparator only if it:</w:t>
      </w:r>
    </w:p>
    <w:p w14:paraId="7E8C59FE" w14:textId="5E1E468F" w:rsidR="003C02D5" w:rsidRPr="003C02D5" w:rsidRDefault="003C02D5" w:rsidP="00C836E1">
      <w:pPr>
        <w:pStyle w:val="ListBullet"/>
        <w:rPr>
          <w:kern w:val="2"/>
          <w14:ligatures w14:val="standardContextual"/>
        </w:rPr>
      </w:pPr>
      <w:r>
        <w:t>provided a stable baseline</w:t>
      </w:r>
    </w:p>
    <w:p w14:paraId="69655297" w14:textId="77777777" w:rsidR="003C02D5" w:rsidRDefault="003C02D5" w:rsidP="00C836E1">
      <w:pPr>
        <w:pStyle w:val="ListBullet"/>
      </w:pPr>
      <w:r>
        <w:t>contained no active behavioural content</w:t>
      </w:r>
    </w:p>
    <w:p w14:paraId="6F1E6BA8" w14:textId="77777777" w:rsidR="003C02D5" w:rsidRDefault="003C02D5" w:rsidP="00C836E1">
      <w:pPr>
        <w:pStyle w:val="ListBullet"/>
      </w:pPr>
      <w:r>
        <w:t>was not treated as an intervention elsewhere in the trial.</w:t>
      </w:r>
    </w:p>
    <w:p w14:paraId="20C88800" w14:textId="19649F60" w:rsidR="00ED0D04" w:rsidRPr="00ED0D04" w:rsidRDefault="00FD05AF" w:rsidP="00ED0D04">
      <w:r>
        <w:t>T</w:t>
      </w:r>
      <w:r w:rsidR="00FE0651" w:rsidRPr="00ED0D04">
        <w:t>reatment–treatment comparisons were excluded.</w:t>
      </w:r>
      <w:r w:rsidR="00FE0651">
        <w:t xml:space="preserve"> </w:t>
      </w:r>
      <w:r w:rsidR="00ED0D04" w:rsidRPr="00ED0D04">
        <w:t>Comparisons between 2 active interventions estimate their relative effectiveness rather than the effect of an intervention against a stable baseline and were therefore outside the scope of the primary analysis.</w:t>
      </w:r>
    </w:p>
    <w:p w14:paraId="58877587" w14:textId="77777777" w:rsidR="00556F94" w:rsidRDefault="00556F94" w:rsidP="006C677C">
      <w:pPr>
        <w:pStyle w:val="Heading4"/>
        <w:rPr>
          <w:kern w:val="2"/>
          <w14:ligatures w14:val="standardContextual"/>
        </w:rPr>
      </w:pPr>
      <w:r>
        <w:t>Multiple outcomes and timepoints</w:t>
      </w:r>
    </w:p>
    <w:p w14:paraId="7526CEAF" w14:textId="03D52A07" w:rsidR="00ED0D04" w:rsidRPr="00ED0D04" w:rsidRDefault="00ED0D04" w:rsidP="00710F74">
      <w:r w:rsidRPr="00ED0D04">
        <w:t xml:space="preserve">A trial could contribute </w:t>
      </w:r>
      <w:r w:rsidR="0008193B">
        <w:t xml:space="preserve">to the meta-analysis </w:t>
      </w:r>
      <w:r w:rsidRPr="00ED0D04">
        <w:t xml:space="preserve">separate </w:t>
      </w:r>
      <w:r w:rsidR="003036D6">
        <w:t xml:space="preserve">effect </w:t>
      </w:r>
      <w:r w:rsidRPr="00ED0D04">
        <w:t>estimates for distinct eligible behavioural outcomes, but only one estimate was retained for each outcome. Repeated measurements, alternative specifications and multiple representations of the same outcome were not treated as independent evidence.</w:t>
      </w:r>
    </w:p>
    <w:p w14:paraId="6CD3FDB7" w14:textId="1C10091D" w:rsidR="00ED0D04" w:rsidRPr="00ED0D04" w:rsidRDefault="00ED0D04" w:rsidP="00710F74">
      <w:r w:rsidRPr="00ED0D04">
        <w:t>Where an outcome was measured at multiple timepoints, the pre</w:t>
      </w:r>
      <w:r w:rsidR="00CA76D5">
        <w:t>-</w:t>
      </w:r>
      <w:r w:rsidRPr="00ED0D04">
        <w:t>specified primary endpoint was used. If this was unclear, the measurement taken at the end of the intervention period was selected.</w:t>
      </w:r>
    </w:p>
    <w:p w14:paraId="10404177" w14:textId="77777777" w:rsidR="00556F94" w:rsidRDefault="00556F94" w:rsidP="006C677C">
      <w:pPr>
        <w:pStyle w:val="Heading4"/>
        <w:rPr>
          <w:kern w:val="2"/>
          <w14:ligatures w14:val="standardContextual"/>
        </w:rPr>
      </w:pPr>
      <w:r>
        <w:lastRenderedPageBreak/>
        <w:t>Multi-arm trials</w:t>
      </w:r>
    </w:p>
    <w:p w14:paraId="6A3C4A84" w14:textId="4442D993" w:rsidR="00E07108" w:rsidRPr="00E07108" w:rsidRDefault="00E07108" w:rsidP="00710F74">
      <w:r w:rsidRPr="00E07108">
        <w:t>In trials with multiple intervention arms, each eligible intervention arm could be compared with the common control group where the comparisons represented pre</w:t>
      </w:r>
      <w:r w:rsidR="00A64957">
        <w:t>-</w:t>
      </w:r>
      <w:r w:rsidRPr="00E07108">
        <w:t xml:space="preserve">specified primary hypotheses. This meant that some control groups contributed to more than one effect estimate. The resulting effect estimates were treated as dependent observations within the same </w:t>
      </w:r>
      <w:r w:rsidR="00074A4F">
        <w:t>t</w:t>
      </w:r>
      <w:r w:rsidR="00074A4F" w:rsidRPr="00D436DA">
        <w:t>rial</w:t>
      </w:r>
      <w:r w:rsidRPr="00E07108">
        <w:t xml:space="preserve"> and modelled using the 3-level meta-analytic framework.</w:t>
      </w:r>
    </w:p>
    <w:p w14:paraId="61A3E4C4" w14:textId="77777777" w:rsidR="00593541" w:rsidRDefault="00E07108" w:rsidP="00710F74">
      <w:r w:rsidRPr="00E07108">
        <w:t xml:space="preserve">Pooled and arm-specific comparisons were not both included for the same outcome. </w:t>
      </w:r>
    </w:p>
    <w:p w14:paraId="32A71E8B" w14:textId="77777777" w:rsidR="00593541" w:rsidRDefault="00E07108" w:rsidP="00710F74">
      <w:pPr>
        <w:pStyle w:val="ListBullet"/>
      </w:pPr>
      <w:r w:rsidRPr="00E07108">
        <w:t xml:space="preserve">Where the pooled comparison represented the primary research question, the pooled estimate was </w:t>
      </w:r>
      <w:proofErr w:type="gramStart"/>
      <w:r w:rsidRPr="00E07108">
        <w:t>retained</w:t>
      </w:r>
      <w:proofErr w:type="gramEnd"/>
      <w:r w:rsidRPr="00E07108">
        <w:t xml:space="preserve"> and the arm-specific estimates were excluded. </w:t>
      </w:r>
    </w:p>
    <w:p w14:paraId="260395B4" w14:textId="0666D933" w:rsidR="00E07108" w:rsidRPr="00E07108" w:rsidRDefault="00E07108" w:rsidP="00710F74">
      <w:pPr>
        <w:pStyle w:val="ListBullet"/>
      </w:pPr>
      <w:r w:rsidRPr="00E07108">
        <w:t>Otherwise, the pre</w:t>
      </w:r>
      <w:r w:rsidR="00593541">
        <w:t>-</w:t>
      </w:r>
      <w:r w:rsidRPr="00E07108">
        <w:t>specified arm-specific comparisons were retained.</w:t>
      </w:r>
    </w:p>
    <w:p w14:paraId="097A1CE4" w14:textId="77777777" w:rsidR="00556F94" w:rsidRDefault="00556F94" w:rsidP="006C677C">
      <w:pPr>
        <w:pStyle w:val="Heading4"/>
        <w:rPr>
          <w:kern w:val="2"/>
          <w14:ligatures w14:val="standardContextual"/>
        </w:rPr>
      </w:pPr>
      <w:r>
        <w:t>Factorial designs</w:t>
      </w:r>
    </w:p>
    <w:p w14:paraId="2EDB5BA5" w14:textId="53A1C2FA" w:rsidR="00F945AF" w:rsidRPr="00F945AF" w:rsidRDefault="00F945AF" w:rsidP="00710F74">
      <w:r w:rsidRPr="00F945AF">
        <w:t>For fully randomised factorial trials</w:t>
      </w:r>
      <w:r w:rsidR="009E7362">
        <w:t xml:space="preserve"> that</w:t>
      </w:r>
      <w:r w:rsidR="00C537DE">
        <w:t xml:space="preserve"> tested 2 or more interventions </w:t>
      </w:r>
      <w:r w:rsidR="00225AEF">
        <w:t>including whether the interventions work differently when combined</w:t>
      </w:r>
      <w:r w:rsidRPr="00F945AF">
        <w:t>, the analysis included the main effect corresponding to the behavioural intervention of interest, averaged across levels of the other randomised factor. Interactions were recorded but were not included as separate effect estimate</w:t>
      </w:r>
      <w:r w:rsidR="00161396">
        <w:t xml:space="preserve"> in the meta-analysis </w:t>
      </w:r>
      <w:r w:rsidRPr="00F945AF">
        <w:t xml:space="preserve">unless comparable interaction effects were available across multiple </w:t>
      </w:r>
      <w:r w:rsidR="00851DEE">
        <w:t>t</w:t>
      </w:r>
      <w:r w:rsidR="00851DEE" w:rsidRPr="00D436DA">
        <w:t>rial</w:t>
      </w:r>
      <w:r w:rsidR="00851DEE">
        <w:t>s</w:t>
      </w:r>
      <w:r w:rsidRPr="00F945AF">
        <w:t>.</w:t>
      </w:r>
    </w:p>
    <w:p w14:paraId="30579CCA" w14:textId="7FC1E435" w:rsidR="00F945AF" w:rsidRPr="00F945AF" w:rsidRDefault="00F945AF" w:rsidP="00710F74">
      <w:r w:rsidRPr="00F945AF">
        <w:t xml:space="preserve">Comparisons from incremental or component-based designs were excluded where the </w:t>
      </w:r>
      <w:r w:rsidR="00A72283">
        <w:t>t</w:t>
      </w:r>
      <w:r w:rsidR="00A72283" w:rsidRPr="00D436DA">
        <w:t>rial</w:t>
      </w:r>
      <w:r w:rsidRPr="00F945AF">
        <w:t xml:space="preserve"> arms progressively added behavioural components and no arm provided a stable control condition. In these cases, the resulting </w:t>
      </w:r>
      <w:r w:rsidR="00BB6019">
        <w:t>analysis estimates</w:t>
      </w:r>
      <w:r w:rsidR="008D1C4A">
        <w:t xml:space="preserve"> </w:t>
      </w:r>
      <w:r w:rsidRPr="00F945AF">
        <w:t>the contribution of individual components rather than the intervention–control effect targeted by the meta-analysis.</w:t>
      </w:r>
    </w:p>
    <w:p w14:paraId="24EDA840" w14:textId="77777777" w:rsidR="00556F94" w:rsidRDefault="00556F94" w:rsidP="006C677C">
      <w:pPr>
        <w:pStyle w:val="Heading4"/>
        <w:rPr>
          <w:kern w:val="2"/>
          <w14:ligatures w14:val="standardContextual"/>
        </w:rPr>
      </w:pPr>
      <w:r>
        <w:t>Omnibus tests</w:t>
      </w:r>
    </w:p>
    <w:p w14:paraId="6307ECA6" w14:textId="4C5CBAF7" w:rsidR="00292C9A" w:rsidRPr="00F945AF" w:rsidRDefault="00292C9A" w:rsidP="00710F74">
      <w:r>
        <w:t>T</w:t>
      </w:r>
      <w:r w:rsidRPr="00F945AF">
        <w:t>rial</w:t>
      </w:r>
      <w:r>
        <w:t xml:space="preserve"> r</w:t>
      </w:r>
      <w:r w:rsidRPr="00F945AF">
        <w:t xml:space="preserve">esults reported only through omnibus tests, such as an overall analysis of variance across several trial arms, were not included because these tests do not identify the direction or magnitude of individual treatment–control comparisons. Outcomes were included where sufficient information was available to recover an eligible </w:t>
      </w:r>
      <w:r>
        <w:t xml:space="preserve">treatment-control comparison and calculate </w:t>
      </w:r>
      <w:r w:rsidR="000E4031">
        <w:t>an</w:t>
      </w:r>
      <w:r>
        <w:t xml:space="preserve"> effect estimate</w:t>
      </w:r>
      <w:r w:rsidRPr="00F945AF">
        <w:t>.</w:t>
      </w:r>
    </w:p>
    <w:p w14:paraId="18F8B256" w14:textId="4ADED2A3" w:rsidR="00B52845" w:rsidRDefault="00F945AF" w:rsidP="00710F74">
      <w:r>
        <w:t>These rules reflect the pre</w:t>
      </w:r>
      <w:r w:rsidR="00837055">
        <w:t>-</w:t>
      </w:r>
      <w:r>
        <w:t xml:space="preserve">specified treatment–control estimand and the outcome-level contrast-selection framework in the methodology plan. </w:t>
      </w:r>
    </w:p>
    <w:p w14:paraId="7989AB24" w14:textId="2A3A0C64" w:rsidR="00556F94" w:rsidRDefault="00556F94" w:rsidP="006C677C">
      <w:pPr>
        <w:pStyle w:val="Heading3"/>
        <w:rPr>
          <w:kern w:val="2"/>
          <w:szCs w:val="28"/>
          <w14:ligatures w14:val="standardContextual"/>
        </w:rPr>
      </w:pPr>
      <w:r>
        <w:t>Data extraction and preparation</w:t>
      </w:r>
    </w:p>
    <w:p w14:paraId="5AD73B92" w14:textId="0FFA1EC4" w:rsidR="00807F72" w:rsidRPr="00807F72" w:rsidRDefault="00807F72" w:rsidP="00710F74">
      <w:pPr>
        <w:rPr>
          <w:rFonts w:cstheme="minorHAnsi"/>
          <w:szCs w:val="20"/>
        </w:rPr>
      </w:pPr>
      <w:r w:rsidRPr="00807F72">
        <w:rPr>
          <w:rFonts w:cstheme="minorHAnsi"/>
          <w:szCs w:val="20"/>
        </w:rPr>
        <w:t>Trial information was extracted from</w:t>
      </w:r>
      <w:r w:rsidR="009908A9">
        <w:rPr>
          <w:rFonts w:cstheme="minorHAnsi"/>
          <w:szCs w:val="20"/>
        </w:rPr>
        <w:t xml:space="preserve"> published</w:t>
      </w:r>
      <w:r w:rsidRPr="00807F72">
        <w:rPr>
          <w:rFonts w:cstheme="minorHAnsi"/>
          <w:szCs w:val="20"/>
        </w:rPr>
        <w:t xml:space="preserve"> BETA reports, technical appendices and supporting analysis materials. The extracted data captured the </w:t>
      </w:r>
      <w:r w:rsidR="00A72283">
        <w:t>t</w:t>
      </w:r>
      <w:r w:rsidR="00A72283" w:rsidRPr="00D436DA">
        <w:t>rial</w:t>
      </w:r>
      <w:r w:rsidRPr="00807F72">
        <w:rPr>
          <w:rFonts w:cstheme="minorHAnsi"/>
          <w:szCs w:val="20"/>
        </w:rPr>
        <w:t xml:space="preserve"> design, intervention and control conditions, outcomes, sample sizes, statistical results and characteristics used in the moderator analyses.</w:t>
      </w:r>
    </w:p>
    <w:p w14:paraId="0E15362B" w14:textId="77777777" w:rsidR="00807F72" w:rsidRPr="00807F72" w:rsidRDefault="00807F72" w:rsidP="00710F74">
      <w:pPr>
        <w:rPr>
          <w:rFonts w:cstheme="minorHAnsi"/>
          <w:szCs w:val="20"/>
        </w:rPr>
      </w:pPr>
      <w:r w:rsidRPr="00807F72">
        <w:rPr>
          <w:rFonts w:cstheme="minorHAnsi"/>
          <w:szCs w:val="20"/>
        </w:rPr>
        <w:t>The source data were processed using reproducible R scripts. Data preparation included:</w:t>
      </w:r>
    </w:p>
    <w:p w14:paraId="5ECBD933" w14:textId="77777777" w:rsidR="00807F72" w:rsidRPr="00710F74" w:rsidRDefault="00807F72" w:rsidP="00710F74">
      <w:pPr>
        <w:pStyle w:val="ListBullet"/>
      </w:pPr>
      <w:r w:rsidRPr="00710F74">
        <w:t>standardising variable names and category labels</w:t>
      </w:r>
    </w:p>
    <w:p w14:paraId="4D58619A" w14:textId="097AEECB" w:rsidR="00807F72" w:rsidRPr="00710F74" w:rsidRDefault="00807F72" w:rsidP="00710F74">
      <w:pPr>
        <w:pStyle w:val="ListBullet"/>
      </w:pPr>
      <w:r w:rsidRPr="00710F74">
        <w:t xml:space="preserve">creating identifiers for projects, </w:t>
      </w:r>
      <w:r w:rsidR="00D7215D" w:rsidRPr="00710F74">
        <w:t>trials</w:t>
      </w:r>
      <w:r w:rsidRPr="00710F74">
        <w:t xml:space="preserve"> and individual effect estimates</w:t>
      </w:r>
    </w:p>
    <w:p w14:paraId="52A5363F" w14:textId="77777777" w:rsidR="00807F72" w:rsidRPr="00710F74" w:rsidRDefault="00807F72" w:rsidP="00710F74">
      <w:pPr>
        <w:pStyle w:val="ListBullet"/>
      </w:pPr>
      <w:r w:rsidRPr="00710F74">
        <w:t>converting relevant fields to numeric or date formats</w:t>
      </w:r>
    </w:p>
    <w:p w14:paraId="271EFEE8" w14:textId="3D13F062" w:rsidR="00807F72" w:rsidRPr="00710F74" w:rsidRDefault="00807F72" w:rsidP="00710F74">
      <w:pPr>
        <w:pStyle w:val="ListBullet"/>
      </w:pPr>
      <w:r w:rsidRPr="00710F74">
        <w:t xml:space="preserve">harmonising the coding of outcome types, expected effect directions and 1- or 2-sided </w:t>
      </w:r>
      <w:r w:rsidR="0098130A" w:rsidRPr="00710F74">
        <w:t>hypothes</w:t>
      </w:r>
      <w:r w:rsidR="05473CE9" w:rsidRPr="00710F74">
        <w:t>i</w:t>
      </w:r>
      <w:r w:rsidR="0098130A" w:rsidRPr="00710F74">
        <w:t xml:space="preserve">s </w:t>
      </w:r>
      <w:r w:rsidRPr="00710F74">
        <w:t>tests</w:t>
      </w:r>
    </w:p>
    <w:p w14:paraId="6B25D2F6" w14:textId="77777777" w:rsidR="00807F72" w:rsidRPr="00710F74" w:rsidRDefault="00807F72" w:rsidP="00710F74">
      <w:pPr>
        <w:pStyle w:val="ListBullet"/>
      </w:pPr>
      <w:r w:rsidRPr="00710F74">
        <w:t>standardising binary outcomes reported as either percentages or proportions</w:t>
      </w:r>
    </w:p>
    <w:p w14:paraId="251B088D" w14:textId="77777777" w:rsidR="00807F72" w:rsidRPr="00710F74" w:rsidRDefault="00807F72" w:rsidP="00710F74">
      <w:pPr>
        <w:pStyle w:val="ListBullet"/>
      </w:pPr>
      <w:r w:rsidRPr="00710F74">
        <w:lastRenderedPageBreak/>
        <w:t>checking and correcting the ordering of confidence interval bounds</w:t>
      </w:r>
    </w:p>
    <w:p w14:paraId="1923D354" w14:textId="6E27F572" w:rsidR="00807F72" w:rsidRPr="00710F74" w:rsidRDefault="00807F72" w:rsidP="00710F74">
      <w:pPr>
        <w:pStyle w:val="ListBullet"/>
      </w:pPr>
      <w:r w:rsidRPr="00710F74">
        <w:t>identifying the type of variability estimate reported, such as</w:t>
      </w:r>
      <w:r w:rsidR="00FB45EC" w:rsidRPr="00710F74">
        <w:t>,</w:t>
      </w:r>
      <w:r w:rsidRPr="00710F74">
        <w:t xml:space="preserve"> a group-level standard deviation or a regression standard error.</w:t>
      </w:r>
    </w:p>
    <w:p w14:paraId="616E7760" w14:textId="13DF48D0" w:rsidR="003C02D5" w:rsidRDefault="003C02D5">
      <w:pPr>
        <w:rPr>
          <w:kern w:val="2"/>
          <w:szCs w:val="20"/>
          <w14:ligatures w14:val="standardContextual"/>
        </w:rPr>
      </w:pPr>
      <w:r>
        <w:t>Where</w:t>
      </w:r>
      <w:r w:rsidR="00C72761">
        <w:t xml:space="preserve"> </w:t>
      </w:r>
      <w:r w:rsidR="00896E90">
        <w:t>the source material did not include the</w:t>
      </w:r>
      <w:r>
        <w:t xml:space="preserve"> treatment and control mean</w:t>
      </w:r>
      <w:r w:rsidR="00650EE5">
        <w:t xml:space="preserve"> </w:t>
      </w:r>
      <w:proofErr w:type="gramStart"/>
      <w:r w:rsidR="00650EE5">
        <w:t>statistics</w:t>
      </w:r>
      <w:proofErr w:type="gramEnd"/>
      <w:r>
        <w:t xml:space="preserve"> but a control-group outcome and an average treatment effect w</w:t>
      </w:r>
      <w:r w:rsidR="00E742B5">
        <w:t>as</w:t>
      </w:r>
      <w:r>
        <w:t xml:space="preserve"> available, the treatment mean was derived from those values. These cases were identified as </w:t>
      </w:r>
      <w:r w:rsidR="00FA6E57">
        <w:t>derived</w:t>
      </w:r>
      <w:r>
        <w:t xml:space="preserve"> estimates in the dataset.</w:t>
      </w:r>
    </w:p>
    <w:p w14:paraId="54D1C765" w14:textId="40897714" w:rsidR="00807F72" w:rsidRPr="00807F72" w:rsidRDefault="00807F72" w:rsidP="00807F72">
      <w:pPr>
        <w:spacing w:after="0" w:line="300" w:lineRule="atLeast"/>
        <w:rPr>
          <w:rFonts w:cstheme="minorHAnsi"/>
          <w:szCs w:val="20"/>
        </w:rPr>
      </w:pPr>
      <w:r w:rsidRPr="00807F72">
        <w:rPr>
          <w:rFonts w:cstheme="minorHAnsi"/>
          <w:szCs w:val="20"/>
        </w:rPr>
        <w:t xml:space="preserve">The preparation </w:t>
      </w:r>
      <w:r w:rsidR="0004262C">
        <w:rPr>
          <w:rFonts w:cstheme="minorHAnsi"/>
          <w:szCs w:val="20"/>
        </w:rPr>
        <w:t xml:space="preserve">R </w:t>
      </w:r>
      <w:r w:rsidRPr="00807F72">
        <w:rPr>
          <w:rFonts w:cstheme="minorHAnsi"/>
          <w:szCs w:val="20"/>
        </w:rPr>
        <w:t xml:space="preserve">script also created the treatment-minus-control difference used in subsequent effect-size calculations. </w:t>
      </w:r>
    </w:p>
    <w:p w14:paraId="108A1EE7" w14:textId="03ECAC3D" w:rsidR="00556F94" w:rsidRDefault="00556F94" w:rsidP="006C677C">
      <w:pPr>
        <w:pStyle w:val="Heading3"/>
        <w:rPr>
          <w:kern w:val="2"/>
          <w:szCs w:val="28"/>
          <w14:ligatures w14:val="standardContextual"/>
        </w:rPr>
      </w:pPr>
      <w:r>
        <w:t>Effect-size calculation</w:t>
      </w:r>
    </w:p>
    <w:p w14:paraId="76EEB0CB" w14:textId="29984A0C" w:rsidR="00292C9A" w:rsidRDefault="00292C9A">
      <w:r>
        <w:t xml:space="preserve">Effect estimates were converted to Cohen’s </w:t>
      </w:r>
      <w:r>
        <w:rPr>
          <w:i/>
          <w:iCs/>
        </w:rPr>
        <w:t>d</w:t>
      </w:r>
      <w:r>
        <w:t xml:space="preserve"> measure of size effect so results measured in different units could be compared on a common scale. The calculation used the most direct calculation route available for each outcome, with treatment and control group results preferred over confidence </w:t>
      </w:r>
      <w:r w:rsidR="00722AC9">
        <w:t>intervals</w:t>
      </w:r>
      <w:r>
        <w:t>, and confidence intervals preferred over p-values</w:t>
      </w:r>
      <w:r w:rsidDel="00184E87">
        <w:t>.</w:t>
      </w:r>
    </w:p>
    <w:p w14:paraId="53926AD1" w14:textId="77777777" w:rsidR="00556F94" w:rsidRDefault="00556F94" w:rsidP="006C677C">
      <w:pPr>
        <w:pStyle w:val="Heading4"/>
        <w:rPr>
          <w:kern w:val="2"/>
          <w14:ligatures w14:val="standardContextual"/>
        </w:rPr>
      </w:pPr>
      <w:r>
        <w:t>Continuous outcomes</w:t>
      </w:r>
    </w:p>
    <w:p w14:paraId="46B7FA25" w14:textId="53876822" w:rsidR="003C02D5" w:rsidRDefault="000D34E9" w:rsidP="00710F74">
      <w:r w:rsidRPr="000D34E9">
        <w:t>For continuous outcomes, effect sizes were initially calculated as Hedges' g</w:t>
      </w:r>
      <w:r w:rsidR="00D563B0">
        <w:t xml:space="preserve"> using treatment and control group means, standard deviations</w:t>
      </w:r>
      <w:r w:rsidR="002C365E">
        <w:t xml:space="preserve"> and sample sizes. </w:t>
      </w:r>
      <w:r w:rsidR="00072DE9">
        <w:t xml:space="preserve">Hedges’ </w:t>
      </w:r>
      <w:r w:rsidR="00072DE9" w:rsidRPr="67246294">
        <w:rPr>
          <w:i/>
          <w:iCs/>
        </w:rPr>
        <w:t>g</w:t>
      </w:r>
      <w:r w:rsidRPr="000D34E9">
        <w:t xml:space="preserve"> applies a small-sample correction to the standardised mean difference and is the default effect-size metric used in many meta-analytic procedures</w:t>
      </w:r>
      <w:r w:rsidR="00867CF5">
        <w:t xml:space="preserve"> (</w:t>
      </w:r>
      <w:r w:rsidR="00267F04">
        <w:t>Borenstein</w:t>
      </w:r>
      <w:r w:rsidR="00867CF5">
        <w:t xml:space="preserve"> et al., </w:t>
      </w:r>
      <w:r w:rsidR="00267F04">
        <w:t>2009</w:t>
      </w:r>
      <w:r w:rsidR="00867CF5">
        <w:t>)</w:t>
      </w:r>
      <w:r w:rsidRPr="000D34E9">
        <w:t xml:space="preserve">. </w:t>
      </w:r>
      <w:r w:rsidR="0086234C">
        <w:t>Because the meta</w:t>
      </w:r>
      <w:r w:rsidR="004B6E73">
        <w:t>-analy</w:t>
      </w:r>
      <w:r w:rsidR="00746C71">
        <w:t>sis</w:t>
      </w:r>
      <w:r w:rsidR="00052680">
        <w:t xml:space="preserve"> was conducted and reported on the Cohen’s d s</w:t>
      </w:r>
      <w:r w:rsidR="00617403">
        <w:t xml:space="preserve">cale, </w:t>
      </w:r>
      <w:r w:rsidR="0760DC22">
        <w:t xml:space="preserve">Hedges’ </w:t>
      </w:r>
      <w:r w:rsidR="0760DC22" w:rsidRPr="53FC3E84">
        <w:rPr>
          <w:i/>
          <w:iCs/>
        </w:rPr>
        <w:t>g</w:t>
      </w:r>
      <w:r w:rsidR="512C3F9B" w:rsidRPr="0072A2D1">
        <w:rPr>
          <w:i/>
          <w:iCs/>
        </w:rPr>
        <w:t xml:space="preserve"> </w:t>
      </w:r>
      <w:r w:rsidR="00617403" w:rsidRPr="00596D21">
        <w:t>estimates</w:t>
      </w:r>
      <w:r w:rsidR="00617403">
        <w:rPr>
          <w:i/>
          <w:iCs/>
        </w:rPr>
        <w:t xml:space="preserve"> </w:t>
      </w:r>
      <w:r w:rsidR="00617403">
        <w:t>were</w:t>
      </w:r>
      <w:r w:rsidR="003C02D5">
        <w:t xml:space="preserve"> converted back to Cohen’s </w:t>
      </w:r>
      <w:r w:rsidR="003C02D5">
        <w:rPr>
          <w:i/>
          <w:iCs/>
        </w:rPr>
        <w:t>d</w:t>
      </w:r>
      <w:r w:rsidR="001D5224">
        <w:t xml:space="preserve"> before analysis</w:t>
      </w:r>
      <w:r w:rsidR="003C02D5" w:rsidRPr="67246294" w:rsidDel="003C02D5">
        <w:t>.</w:t>
      </w:r>
      <w:r w:rsidR="003C02D5">
        <w:t xml:space="preserve"> Sampling variances were then calculated on the Cohen’s </w:t>
      </w:r>
      <w:r w:rsidR="003C02D5" w:rsidRPr="67246294">
        <w:rPr>
          <w:i/>
          <w:iCs/>
        </w:rPr>
        <w:t>d</w:t>
      </w:r>
      <w:r w:rsidR="003C02D5">
        <w:t xml:space="preserve"> scale.</w:t>
      </w:r>
    </w:p>
    <w:p w14:paraId="7B3898D4" w14:textId="02849801" w:rsidR="00807F72" w:rsidRPr="00807F72" w:rsidRDefault="00807F72" w:rsidP="00710F74">
      <w:r w:rsidRPr="00807F72">
        <w:t xml:space="preserve">Reported regression standard errors were not treated as group-level standard deviations. </w:t>
      </w:r>
      <w:r w:rsidR="00AE4C8A">
        <w:t>Instead, w</w:t>
      </w:r>
      <w:r w:rsidRPr="00807F72">
        <w:t xml:space="preserve">here a reported standard error represented uncertainty around a group mean, it </w:t>
      </w:r>
      <w:r w:rsidR="00D1677A">
        <w:t>was</w:t>
      </w:r>
      <w:r w:rsidRPr="00807F72">
        <w:t xml:space="preserve"> converted to a standard deviation for a continuous outcome using the relevant group sample size.</w:t>
      </w:r>
    </w:p>
    <w:p w14:paraId="137E0283" w14:textId="77777777" w:rsidR="00556F94" w:rsidRDefault="00556F94" w:rsidP="006C677C">
      <w:pPr>
        <w:pStyle w:val="Heading4"/>
        <w:rPr>
          <w:kern w:val="2"/>
          <w14:ligatures w14:val="standardContextual"/>
        </w:rPr>
      </w:pPr>
      <w:r>
        <w:t>Binary outcomes</w:t>
      </w:r>
    </w:p>
    <w:p w14:paraId="39D79C46" w14:textId="192E280D" w:rsidR="00502F1B" w:rsidRDefault="003C02D5">
      <w:pPr>
        <w:rPr>
          <w:kern w:val="2"/>
          <w:szCs w:val="20"/>
          <w14:ligatures w14:val="standardContextual"/>
        </w:rPr>
      </w:pPr>
      <w:r>
        <w:t xml:space="preserve">For binary outcomes, treatment and control proportions were first standardised to a common scale from 0 to 1. Differences between proportions were transformed using Cohen’s </w:t>
      </w:r>
      <w:r>
        <w:rPr>
          <w:i/>
          <w:iCs/>
        </w:rPr>
        <w:t>h</w:t>
      </w:r>
      <w:r>
        <w:t>, based on an arcsine square-</w:t>
      </w:r>
      <w:proofErr w:type="spellStart"/>
      <w:r>
        <w:t>root</w:t>
      </w:r>
      <w:proofErr w:type="spellEnd"/>
      <w:r>
        <w:t xml:space="preserve"> transformation, and then converted to the standardised mean difference scale.</w:t>
      </w:r>
      <w:r w:rsidR="00D1242E">
        <w:t xml:space="preserve"> </w:t>
      </w:r>
      <w:r w:rsidR="00502F1B">
        <w:t>This placed binary and continuous outcomes on a common effect-size scale.</w:t>
      </w:r>
    </w:p>
    <w:p w14:paraId="0C342E17" w14:textId="3E749EF0" w:rsidR="00556F94" w:rsidRDefault="00556F94" w:rsidP="006C677C">
      <w:pPr>
        <w:pStyle w:val="Heading4"/>
        <w:rPr>
          <w:kern w:val="2"/>
          <w14:ligatures w14:val="standardContextual"/>
        </w:rPr>
      </w:pPr>
      <w:r>
        <w:t xml:space="preserve">Selection of the </w:t>
      </w:r>
      <w:r w:rsidR="00D976BC">
        <w:t>effect</w:t>
      </w:r>
      <w:r w:rsidR="00144D21">
        <w:t>-</w:t>
      </w:r>
      <w:r w:rsidR="00D976BC">
        <w:t xml:space="preserve">size </w:t>
      </w:r>
      <w:r>
        <w:t>calculation method</w:t>
      </w:r>
    </w:p>
    <w:p w14:paraId="65B42F99" w14:textId="20E90391" w:rsidR="00807F72" w:rsidRDefault="00807F72" w:rsidP="00710F74">
      <w:r w:rsidRPr="00807F72">
        <w:t>For each outcome, the analysis selected the most direct effect-size calculation available</w:t>
      </w:r>
      <w:r w:rsidR="00674DBA">
        <w:t xml:space="preserve">. </w:t>
      </w:r>
      <w:r w:rsidR="00486164">
        <w:t xml:space="preserve">Treatment and control group </w:t>
      </w:r>
      <w:r w:rsidR="0013172C">
        <w:t xml:space="preserve">summary statistics, including means, standard deviations and sample sizes, were preferred where available. Where a direct calculation was not possible, effect sizes were derived from reported confidence intervals. Effect sizes could also be recovered from reported p-values </w:t>
      </w:r>
      <w:r w:rsidR="003D28E1">
        <w:t xml:space="preserve">as a final fallback approach, although this was not required for any effect estimate included in the final analysis. </w:t>
      </w:r>
      <w:r w:rsidRPr="00807F72">
        <w:t>The calculation method used for each effect</w:t>
      </w:r>
      <w:r w:rsidR="007B19FD">
        <w:t>-size</w:t>
      </w:r>
      <w:r w:rsidRPr="00807F72">
        <w:t xml:space="preserve"> estimate was retained in the analysis dataset to support quality assurance and sensitivity checks.</w:t>
      </w:r>
    </w:p>
    <w:p w14:paraId="2D693F35" w14:textId="77777777" w:rsidR="00BC0CE8" w:rsidRDefault="00BC0CE8" w:rsidP="006C677C">
      <w:pPr>
        <w:pStyle w:val="Heading4"/>
        <w:rPr>
          <w:kern w:val="2"/>
          <w14:ligatures w14:val="standardContextual"/>
        </w:rPr>
      </w:pPr>
      <w:r>
        <w:lastRenderedPageBreak/>
        <w:t>Estimates derived from confidence intervals</w:t>
      </w:r>
    </w:p>
    <w:p w14:paraId="39AAA6E7" w14:textId="77777777" w:rsidR="00BC0CE8" w:rsidRDefault="00BC0CE8" w:rsidP="00710F74">
      <w:pPr>
        <w:rPr>
          <w:kern w:val="2"/>
          <w:szCs w:val="20"/>
          <w14:ligatures w14:val="standardContextual"/>
        </w:rPr>
      </w:pPr>
      <w:r>
        <w:t>Where the information required for a direct calculation was unavailable, effect sizes were derived from reported confidence intervals. Confidence intervals were converted to standard errors using the appropriate critical value, accounting for the available degrees of freedom and whether the interval related to a 1- or 2-sided test. The standard error and reported treatment–control difference was then used to derive a test statistic and Cohen’s </w:t>
      </w:r>
      <w:r>
        <w:rPr>
          <w:i/>
          <w:iCs/>
        </w:rPr>
        <w:t xml:space="preserve">d </w:t>
      </w:r>
      <w:r>
        <w:t>effect size estimates.</w:t>
      </w:r>
    </w:p>
    <w:p w14:paraId="1EB8B255" w14:textId="18CBF231" w:rsidR="00BC0CE8" w:rsidRPr="006C677C" w:rsidRDefault="00BC0CE8" w:rsidP="00710F74">
      <w:pPr>
        <w:rPr>
          <w:kern w:val="2"/>
          <w:szCs w:val="20"/>
          <w14:ligatures w14:val="standardContextual"/>
        </w:rPr>
      </w:pPr>
      <w:r>
        <w:t xml:space="preserve">The calculation framework also allowed effect sizes to be recovered from </w:t>
      </w:r>
      <w:r>
        <w:rPr>
          <w:i/>
          <w:iCs/>
        </w:rPr>
        <w:t>p</w:t>
      </w:r>
      <w:r>
        <w:t>-values as a final approach. However, this route was not required for any effect estimate included in the final analysis.</w:t>
      </w:r>
    </w:p>
    <w:p w14:paraId="66D99164" w14:textId="77777777" w:rsidR="00556F94" w:rsidRDefault="00556F94" w:rsidP="006C677C">
      <w:pPr>
        <w:pStyle w:val="Heading4"/>
        <w:rPr>
          <w:kern w:val="2"/>
          <w14:ligatures w14:val="standardContextual"/>
        </w:rPr>
      </w:pPr>
      <w:r>
        <w:t>Direction of effects</w:t>
      </w:r>
    </w:p>
    <w:p w14:paraId="3C58CA4C" w14:textId="77777777" w:rsidR="00807F72" w:rsidRPr="00807F72" w:rsidRDefault="00807F72" w:rsidP="00807F72">
      <w:r w:rsidRPr="00807F72">
        <w:t>All effects were initially calculated as the treatment-group outcome minus the control-group outcome. The sign was then aligned with the prespecified direction of the hypothesis:</w:t>
      </w:r>
    </w:p>
    <w:p w14:paraId="3555A957" w14:textId="77777777" w:rsidR="00807F72" w:rsidRPr="00807F72" w:rsidRDefault="00807F72" w:rsidP="00486927">
      <w:pPr>
        <w:pStyle w:val="ListBullet"/>
      </w:pPr>
      <w:r w:rsidRPr="00807F72">
        <w:t>for outcomes expected to increase, a positive effect indicated an increase relative to control</w:t>
      </w:r>
    </w:p>
    <w:p w14:paraId="324E3F61" w14:textId="77777777" w:rsidR="00807F72" w:rsidRPr="00807F72" w:rsidRDefault="00807F72" w:rsidP="00486927">
      <w:pPr>
        <w:pStyle w:val="ListBullet"/>
      </w:pPr>
      <w:r w:rsidRPr="00807F72">
        <w:t>for outcomes expected to decrease, the sign was reversed so that a positive effect indicated a decrease relative to control</w:t>
      </w:r>
    </w:p>
    <w:p w14:paraId="7EE23EBB" w14:textId="77777777" w:rsidR="00807F72" w:rsidRPr="00807F72" w:rsidRDefault="00807F72" w:rsidP="00486927">
      <w:pPr>
        <w:pStyle w:val="ListBullet"/>
      </w:pPr>
      <w:r w:rsidRPr="00807F72">
        <w:t>where no direction was prespecified, the observed treatment-minus-control sign was retained.</w:t>
      </w:r>
    </w:p>
    <w:p w14:paraId="488D8B9C" w14:textId="0D9E6964" w:rsidR="00807F72" w:rsidRPr="00807F72" w:rsidRDefault="00807F72" w:rsidP="00486927">
      <w:r w:rsidRPr="00807F72">
        <w:t xml:space="preserve">Under this convention, positive values generally indicated movement in the </w:t>
      </w:r>
      <w:r w:rsidR="006C677C" w:rsidRPr="00807F72">
        <w:t>hypothes</w:t>
      </w:r>
      <w:r w:rsidR="006C677C">
        <w:t xml:space="preserve">ised </w:t>
      </w:r>
      <w:r w:rsidR="006C677C" w:rsidRPr="00807F72">
        <w:t>direction</w:t>
      </w:r>
      <w:r w:rsidRPr="00807F72">
        <w:t xml:space="preserve"> and negative values indicated movement in the opposite direction. Effects without a prespecified </w:t>
      </w:r>
      <w:r w:rsidR="00141563" w:rsidRPr="00807F72">
        <w:t>hypothes</w:t>
      </w:r>
      <w:r w:rsidR="00141563">
        <w:t xml:space="preserve">ised </w:t>
      </w:r>
      <w:r w:rsidRPr="00807F72">
        <w:t>direction were not classified as having worked or backfired</w:t>
      </w:r>
      <w:r w:rsidR="7904587D">
        <w:t xml:space="preserve"> and therefore retained their observed treatment-minus-control sign</w:t>
      </w:r>
      <w:r w:rsidRPr="00807F72">
        <w:t>.</w:t>
      </w:r>
    </w:p>
    <w:p w14:paraId="279DA39E" w14:textId="77777777" w:rsidR="00556F94" w:rsidRDefault="00556F94" w:rsidP="006C677C">
      <w:pPr>
        <w:pStyle w:val="Heading4"/>
        <w:rPr>
          <w:kern w:val="2"/>
          <w14:ligatures w14:val="standardContextual"/>
        </w:rPr>
      </w:pPr>
      <w:r>
        <w:t>Sampling variances</w:t>
      </w:r>
    </w:p>
    <w:p w14:paraId="34C2816A" w14:textId="0D13C943" w:rsidR="00A074BF" w:rsidRDefault="00AF76CA" w:rsidP="00710F74">
      <w:r>
        <w:t xml:space="preserve">To ensure an overall more robust meta-analysis, more precise estimates were </w:t>
      </w:r>
      <w:r w:rsidR="00904B95">
        <w:t xml:space="preserve">given more </w:t>
      </w:r>
      <w:r>
        <w:t xml:space="preserve">weight </w:t>
      </w:r>
      <w:r w:rsidR="00F67E30">
        <w:t>by calculating a</w:t>
      </w:r>
      <w:r w:rsidR="00807F72" w:rsidRPr="00807F72">
        <w:t xml:space="preserve"> sampling variance for each effect estimate for use in inverse-variance weighting. </w:t>
      </w:r>
    </w:p>
    <w:p w14:paraId="069D8620" w14:textId="517161BA" w:rsidR="00807F72" w:rsidRPr="008C5C0D" w:rsidRDefault="00807F72" w:rsidP="00710F74">
      <w:r w:rsidRPr="00807F72">
        <w:t xml:space="preserve">Extremely </w:t>
      </w:r>
      <w:proofErr w:type="gramStart"/>
      <w:r w:rsidRPr="00807F72">
        <w:t>small estimated</w:t>
      </w:r>
      <w:proofErr w:type="gramEnd"/>
      <w:r w:rsidRPr="00807F72">
        <w:t xml:space="preserve"> variances can give individual results implausibly large weights. A minimum variance threshold was therefore applied</w:t>
      </w:r>
      <w:r w:rsidRPr="00807F72" w:rsidDel="00904B95">
        <w:t xml:space="preserve"> where necessary</w:t>
      </w:r>
      <w:r w:rsidR="3E48377D">
        <w:t>. The threshold was set as the larg</w:t>
      </w:r>
      <w:r w:rsidR="3E48377D" w:rsidRPr="006C677C">
        <w:rPr>
          <w:rFonts w:ascii="Helvetica" w:eastAsia="Helvetica" w:hAnsi="Helvetica" w:cs="Helvetica"/>
        </w:rPr>
        <w:t xml:space="preserve">er of </w:t>
      </w:r>
      <w:r w:rsidR="1BB01FA2" w:rsidRPr="006C677C">
        <w:rPr>
          <w:rFonts w:ascii="Helvetica" w:eastAsia="Helvetica" w:hAnsi="Helvetica" w:cs="Helvetica"/>
        </w:rPr>
        <w:t>1 × 10⁻⁶</w:t>
      </w:r>
      <w:r w:rsidR="1BB01FA2" w:rsidRPr="49B90C7B">
        <w:rPr>
          <w:rFonts w:ascii="Helvetica" w:eastAsia="Helvetica" w:hAnsi="Helvetica" w:cs="Helvetica"/>
        </w:rPr>
        <w:t xml:space="preserve"> or a lower-tail </w:t>
      </w:r>
      <w:r w:rsidR="1BB01FA2" w:rsidRPr="29ACD45F">
        <w:rPr>
          <w:rFonts w:ascii="Helvetica" w:eastAsia="Helvetica" w:hAnsi="Helvetica" w:cs="Helvetica"/>
        </w:rPr>
        <w:t xml:space="preserve">quantile of the observed variance distribution, </w:t>
      </w:r>
      <w:r w:rsidR="1BB01FA2" w:rsidRPr="5F27A863">
        <w:rPr>
          <w:rFonts w:ascii="Helvetica" w:eastAsia="Helvetica" w:hAnsi="Helvetica" w:cs="Helvetica"/>
        </w:rPr>
        <w:t>ensuring that unusually</w:t>
      </w:r>
      <w:r w:rsidR="1BB01FA2" w:rsidRPr="6F8130F6">
        <w:rPr>
          <w:rFonts w:ascii="Helvetica" w:eastAsia="Helvetica" w:hAnsi="Helvetica" w:cs="Helvetica"/>
        </w:rPr>
        <w:t xml:space="preserve"> small variance estimates cou</w:t>
      </w:r>
      <w:r w:rsidR="67E65D4F" w:rsidRPr="6F8130F6">
        <w:rPr>
          <w:rFonts w:ascii="Helvetica" w:eastAsia="Helvetica" w:hAnsi="Helvetica" w:cs="Helvetica"/>
        </w:rPr>
        <w:t xml:space="preserve">ld not dominate the inverse-variance </w:t>
      </w:r>
      <w:r w:rsidR="67E65D4F" w:rsidRPr="1D4A696C">
        <w:rPr>
          <w:rFonts w:ascii="Helvetica" w:eastAsia="Helvetica" w:hAnsi="Helvetica" w:cs="Helvetica"/>
        </w:rPr>
        <w:t>weighting</w:t>
      </w:r>
      <w:r w:rsidR="67E65D4F" w:rsidRPr="62CA03DA">
        <w:rPr>
          <w:rFonts w:ascii="Helvetica" w:eastAsia="Helvetica" w:hAnsi="Helvetica" w:cs="Helvetica"/>
        </w:rPr>
        <w:t>.</w:t>
      </w:r>
      <w:r w:rsidR="00882669">
        <w:rPr>
          <w:rFonts w:ascii="Helvetica" w:eastAsia="Helvetica" w:hAnsi="Helvetica" w:cs="Helvetica"/>
        </w:rPr>
        <w:t xml:space="preserve"> </w:t>
      </w:r>
      <w:r w:rsidR="6102189D">
        <w:t>Only</w:t>
      </w:r>
      <w:r w:rsidR="137DD03D">
        <w:t xml:space="preserve"> one </w:t>
      </w:r>
      <w:r w:rsidR="6102189D">
        <w:t>effect estimate required this adjustment</w:t>
      </w:r>
      <w:r w:rsidR="137DD03D">
        <w:t xml:space="preserve">. </w:t>
      </w:r>
    </w:p>
    <w:p w14:paraId="00765E97" w14:textId="207329BD" w:rsidR="00292C9A" w:rsidRDefault="00292C9A" w:rsidP="006C677C">
      <w:pPr>
        <w:pStyle w:val="Heading3"/>
      </w:pPr>
      <w:r>
        <w:t>Primary meta-analytic model</w:t>
      </w:r>
    </w:p>
    <w:p w14:paraId="3783DCDB" w14:textId="38B81CFE" w:rsidR="00502F1B" w:rsidRDefault="00502F1B" w:rsidP="00710F74">
      <w:pPr>
        <w:rPr>
          <w:rFonts w:ascii="Helvetica" w:eastAsia="Helvetica" w:hAnsi="Helvetica" w:cs="Helvetica"/>
        </w:rPr>
      </w:pPr>
      <w:r>
        <w:t xml:space="preserve">The primary analysis used a 3-level random-effects model to estimate the average effect while accounting for multiple </w:t>
      </w:r>
      <w:r w:rsidR="00A416CE">
        <w:t xml:space="preserve">effect </w:t>
      </w:r>
      <w:r>
        <w:t>estimates within trials and multiple trials within projects.</w:t>
      </w:r>
      <w:r w:rsidR="00A24C64">
        <w:t xml:space="preserve"> </w:t>
      </w:r>
      <w:r w:rsidR="0B6C1688" w:rsidRPr="006C677C">
        <w:rPr>
          <w:rFonts w:ascii="Helvetica" w:eastAsia="Helvetica" w:hAnsi="Helvetica" w:cs="Helvetica"/>
          <w:szCs w:val="20"/>
        </w:rPr>
        <w:t>A random-effects model was used because the effectiveness of behavioural interventions was expected to vary across trials and projects. The 3-level structure also accounted for the dependence among effect estimates from the same trial and allowed heterogeneity to be estimated at both the trial and project levels.</w:t>
      </w:r>
      <w:r w:rsidR="0B6C1688" w:rsidRPr="006C677C">
        <w:rPr>
          <w:rFonts w:ascii="Helvetica" w:eastAsia="Helvetica" w:hAnsi="Helvetica" w:cs="Helvetica"/>
        </w:rPr>
        <w:t xml:space="preserve"> </w:t>
      </w:r>
    </w:p>
    <w:p w14:paraId="004BEE0E" w14:textId="77777777" w:rsidR="00F51E62" w:rsidRPr="00F51E62" w:rsidRDefault="00F51E62" w:rsidP="00710F74">
      <w:r w:rsidRPr="00F51E62">
        <w:t>The model accounted for variation at 3 levels:</w:t>
      </w:r>
    </w:p>
    <w:p w14:paraId="7BF84149" w14:textId="2E098386" w:rsidR="00F51E62" w:rsidRPr="00F51E62" w:rsidRDefault="00F51E62" w:rsidP="00486927">
      <w:pPr>
        <w:pStyle w:val="ListBullet"/>
      </w:pPr>
      <w:r w:rsidRPr="00F51E62">
        <w:rPr>
          <w:b/>
          <w:bCs/>
        </w:rPr>
        <w:t>effect-estimate level</w:t>
      </w:r>
      <w:r w:rsidR="00306B28">
        <w:rPr>
          <w:b/>
          <w:bCs/>
        </w:rPr>
        <w:t xml:space="preserve"> </w:t>
      </w:r>
      <w:r w:rsidR="00306B28" w:rsidRPr="006C677C">
        <w:rPr>
          <w:i/>
          <w:iCs/>
        </w:rPr>
        <w:t>(</w:t>
      </w:r>
      <w:proofErr w:type="spellStart"/>
      <w:r w:rsidR="00306B28" w:rsidRPr="006C677C">
        <w:rPr>
          <w:i/>
          <w:iCs/>
        </w:rPr>
        <w:t>i</w:t>
      </w:r>
      <w:proofErr w:type="spellEnd"/>
      <w:r w:rsidR="00306B28" w:rsidRPr="006C677C">
        <w:rPr>
          <w:i/>
          <w:iCs/>
        </w:rPr>
        <w:t>)</w:t>
      </w:r>
      <w:r w:rsidRPr="006C677C">
        <w:rPr>
          <w:i/>
          <w:iCs/>
        </w:rPr>
        <w:t xml:space="preserve"> </w:t>
      </w:r>
      <w:r w:rsidR="0074420E">
        <w:t>-</w:t>
      </w:r>
      <w:r w:rsidRPr="00F51E62">
        <w:t xml:space="preserve"> the statistical uncertainty around each result</w:t>
      </w:r>
    </w:p>
    <w:p w14:paraId="7DED822E" w14:textId="11022456" w:rsidR="00F51E62" w:rsidRPr="00F51E62" w:rsidRDefault="00F51E62" w:rsidP="00486927">
      <w:pPr>
        <w:pStyle w:val="ListBullet"/>
      </w:pPr>
      <w:r w:rsidRPr="00F51E62">
        <w:rPr>
          <w:b/>
          <w:bCs/>
        </w:rPr>
        <w:lastRenderedPageBreak/>
        <w:t>trial level</w:t>
      </w:r>
      <w:r w:rsidR="00306B28">
        <w:rPr>
          <w:b/>
          <w:bCs/>
        </w:rPr>
        <w:t xml:space="preserve"> </w:t>
      </w:r>
      <w:r w:rsidR="00306B28" w:rsidRPr="00F93B96">
        <w:rPr>
          <w:i/>
          <w:iCs/>
        </w:rPr>
        <w:t>(</w:t>
      </w:r>
      <w:r w:rsidR="00306B28">
        <w:rPr>
          <w:i/>
          <w:iCs/>
        </w:rPr>
        <w:t>j</w:t>
      </w:r>
      <w:r w:rsidR="00306B28" w:rsidRPr="00F93B96">
        <w:rPr>
          <w:i/>
          <w:iCs/>
        </w:rPr>
        <w:t>)</w:t>
      </w:r>
      <w:r w:rsidRPr="00F51E62">
        <w:t xml:space="preserve"> </w:t>
      </w:r>
      <w:r w:rsidR="0074420E">
        <w:t>-</w:t>
      </w:r>
      <w:r w:rsidRPr="00F51E62">
        <w:t xml:space="preserve"> differences between trials within the same BETA project</w:t>
      </w:r>
    </w:p>
    <w:p w14:paraId="1BA82642" w14:textId="55BF0AB1" w:rsidR="00F51E62" w:rsidRPr="00F51E62" w:rsidRDefault="00F51E62" w:rsidP="00486927">
      <w:pPr>
        <w:pStyle w:val="ListBullet"/>
      </w:pPr>
      <w:r w:rsidRPr="00F51E62">
        <w:rPr>
          <w:b/>
          <w:bCs/>
        </w:rPr>
        <w:t>project level</w:t>
      </w:r>
      <w:r w:rsidRPr="00F51E62">
        <w:t xml:space="preserve"> </w:t>
      </w:r>
      <w:r w:rsidR="0087674C" w:rsidRPr="006C677C">
        <w:rPr>
          <w:i/>
          <w:iCs/>
        </w:rPr>
        <w:t>(k)</w:t>
      </w:r>
      <w:r w:rsidR="0087674C">
        <w:t xml:space="preserve"> </w:t>
      </w:r>
      <w:r w:rsidR="0074420E">
        <w:t>-</w:t>
      </w:r>
      <w:r w:rsidRPr="00F51E62">
        <w:t xml:space="preserve"> differences between BETA projects.</w:t>
      </w:r>
    </w:p>
    <w:p w14:paraId="24922523" w14:textId="77777777" w:rsidR="0040158C" w:rsidRPr="0040158C" w:rsidRDefault="0040158C" w:rsidP="0040158C">
      <w:r w:rsidRPr="0040158C">
        <w:t>The model can be expressed as:</w:t>
      </w:r>
    </w:p>
    <w:p w14:paraId="651842F6" w14:textId="77777777" w:rsidR="00A86EA0" w:rsidRDefault="004375B3">
      <w:pPr>
        <w:jc w:val="center"/>
        <w:rPr>
          <w:rFonts w:ascii="Cambria Math" w:hAnsi="Cambria Math"/>
          <w:kern w:val="2"/>
          <w:sz w:val="22"/>
          <w:szCs w:val="22"/>
          <w14:ligatures w14:val="standardContextual"/>
        </w:rPr>
      </w:pPr>
      <w:proofErr w:type="spellStart"/>
      <w:r w:rsidRPr="004375B3">
        <w:rPr>
          <w:rFonts w:ascii="Cambria Math" w:hAnsi="Cambria Math"/>
          <w:i/>
          <w:iCs/>
          <w:sz w:val="22"/>
          <w:szCs w:val="22"/>
        </w:rPr>
        <w:t>d</w:t>
      </w:r>
      <w:r w:rsidRPr="004375B3">
        <w:rPr>
          <w:rFonts w:ascii="Cambria Math" w:hAnsi="Cambria Math"/>
          <w:sz w:val="22"/>
          <w:szCs w:val="22"/>
          <w:vertAlign w:val="subscript"/>
        </w:rPr>
        <w:t>ijk</w:t>
      </w:r>
      <w:proofErr w:type="spellEnd"/>
      <w:r w:rsidRPr="004375B3">
        <w:rPr>
          <w:rFonts w:ascii="Cambria Math" w:hAnsi="Cambria Math"/>
          <w:sz w:val="22"/>
          <w:szCs w:val="22"/>
        </w:rPr>
        <w:t xml:space="preserve"> = μ + </w:t>
      </w:r>
      <w:proofErr w:type="spellStart"/>
      <w:r w:rsidRPr="004375B3">
        <w:rPr>
          <w:rFonts w:ascii="Cambria Math" w:hAnsi="Cambria Math"/>
          <w:i/>
          <w:iCs/>
          <w:sz w:val="22"/>
          <w:szCs w:val="22"/>
        </w:rPr>
        <w:t>u</w:t>
      </w:r>
      <w:r w:rsidRPr="004375B3">
        <w:rPr>
          <w:rFonts w:ascii="Cambria Math" w:hAnsi="Cambria Math"/>
          <w:sz w:val="22"/>
          <w:szCs w:val="22"/>
          <w:vertAlign w:val="subscript"/>
        </w:rPr>
        <w:t>k</w:t>
      </w:r>
      <w:proofErr w:type="spellEnd"/>
      <w:r w:rsidRPr="004375B3">
        <w:rPr>
          <w:rFonts w:ascii="Cambria Math" w:hAnsi="Cambria Math"/>
          <w:sz w:val="22"/>
          <w:szCs w:val="22"/>
        </w:rPr>
        <w:t xml:space="preserve"> + </w:t>
      </w:r>
      <w:proofErr w:type="spellStart"/>
      <w:r w:rsidRPr="004375B3">
        <w:rPr>
          <w:rFonts w:ascii="Cambria Math" w:hAnsi="Cambria Math"/>
          <w:i/>
          <w:iCs/>
          <w:sz w:val="22"/>
          <w:szCs w:val="22"/>
        </w:rPr>
        <w:t>v</w:t>
      </w:r>
      <w:r w:rsidRPr="004375B3">
        <w:rPr>
          <w:rFonts w:ascii="Cambria Math" w:hAnsi="Cambria Math"/>
          <w:sz w:val="22"/>
          <w:szCs w:val="22"/>
          <w:vertAlign w:val="subscript"/>
        </w:rPr>
        <w:t>jk</w:t>
      </w:r>
      <w:proofErr w:type="spellEnd"/>
      <w:r w:rsidRPr="004375B3">
        <w:rPr>
          <w:rFonts w:ascii="Cambria Math" w:hAnsi="Cambria Math"/>
          <w:sz w:val="22"/>
          <w:szCs w:val="22"/>
        </w:rPr>
        <w:t xml:space="preserve"> + </w:t>
      </w:r>
      <w:proofErr w:type="spellStart"/>
      <w:r w:rsidRPr="004375B3">
        <w:rPr>
          <w:rFonts w:ascii="Cambria Math" w:hAnsi="Cambria Math"/>
          <w:i/>
          <w:iCs/>
          <w:sz w:val="22"/>
          <w:szCs w:val="22"/>
        </w:rPr>
        <w:t>e</w:t>
      </w:r>
      <w:r w:rsidRPr="004375B3">
        <w:rPr>
          <w:rFonts w:ascii="Cambria Math" w:hAnsi="Cambria Math"/>
          <w:sz w:val="22"/>
          <w:szCs w:val="22"/>
          <w:vertAlign w:val="subscript"/>
        </w:rPr>
        <w:t>ijk</w:t>
      </w:r>
      <w:proofErr w:type="spellEnd"/>
    </w:p>
    <w:p w14:paraId="569FC667" w14:textId="77777777" w:rsidR="0040158C" w:rsidRPr="0040158C" w:rsidRDefault="0040158C" w:rsidP="00710F74">
      <w:r w:rsidRPr="0040158C">
        <w:t>where:</w:t>
      </w:r>
    </w:p>
    <w:p w14:paraId="59985B28" w14:textId="4AF26BDD" w:rsidR="00A86EA0" w:rsidRDefault="004327A5" w:rsidP="00710F74">
      <w:proofErr w:type="spellStart"/>
      <w:r w:rsidRPr="00486927">
        <w:rPr>
          <w:rFonts w:ascii="Cambria Math" w:eastAsia="Cambria Math" w:hAnsi="Cambria Math" w:cs="Cambria Math"/>
          <w:i/>
          <w:iCs/>
        </w:rPr>
        <w:t>d</w:t>
      </w:r>
      <w:r w:rsidRPr="00486927">
        <w:rPr>
          <w:rFonts w:ascii="Cambria Math" w:eastAsia="Cambria Math" w:hAnsi="Cambria Math" w:cs="Cambria Math"/>
          <w:vertAlign w:val="subscript"/>
        </w:rPr>
        <w:t>ijk</w:t>
      </w:r>
      <w:proofErr w:type="spellEnd"/>
      <w:r w:rsidRPr="00486927">
        <w:rPr>
          <w:rFonts w:ascii="Cambria Math" w:eastAsia="Cambria Math" w:hAnsi="Cambria Math" w:cs="Cambria Math"/>
        </w:rPr>
        <w:t xml:space="preserve"> </w:t>
      </w:r>
      <w:r>
        <w:t xml:space="preserve">is effect estimate </w:t>
      </w:r>
      <w:proofErr w:type="spellStart"/>
      <w:r w:rsidRPr="1D4D53EB">
        <w:rPr>
          <w:i/>
          <w:iCs/>
        </w:rPr>
        <w:t>i</w:t>
      </w:r>
      <w:proofErr w:type="spellEnd"/>
      <w:r>
        <w:t xml:space="preserve"> from </w:t>
      </w:r>
      <w:r w:rsidR="0087674C">
        <w:t>trial</w:t>
      </w:r>
      <w:r>
        <w:t xml:space="preserve"> </w:t>
      </w:r>
      <w:r w:rsidRPr="1D4D53EB">
        <w:rPr>
          <w:i/>
          <w:iCs/>
        </w:rPr>
        <w:t>j</w:t>
      </w:r>
      <w:r>
        <w:t xml:space="preserve"> in project </w:t>
      </w:r>
      <w:r w:rsidRPr="1D4D53EB">
        <w:rPr>
          <w:i/>
          <w:iCs/>
        </w:rPr>
        <w:t>k</w:t>
      </w:r>
    </w:p>
    <w:p w14:paraId="629F7337" w14:textId="5120D7F3" w:rsidR="00A86EA0" w:rsidRDefault="003F5CA2" w:rsidP="00710F74">
      <w:r w:rsidRPr="00486927">
        <w:rPr>
          <w:rFonts w:ascii="Cambria Math" w:eastAsia="Cambria Math" w:hAnsi="Cambria Math" w:cs="Cambria Math" w:hint="eastAsia"/>
        </w:rPr>
        <w:t>μ</w:t>
      </w:r>
      <w:r>
        <w:t xml:space="preserve"> is the estimated average effect across </w:t>
      </w:r>
      <w:r w:rsidR="76893CAA">
        <w:t>BETA’s work</w:t>
      </w:r>
    </w:p>
    <w:p w14:paraId="56944A04" w14:textId="77777777" w:rsidR="00A86EA0" w:rsidRDefault="008E3F2B" w:rsidP="00710F74">
      <w:pPr>
        <w:rPr>
          <w:i/>
        </w:rPr>
      </w:pPr>
      <w:proofErr w:type="spellStart"/>
      <w:r w:rsidRPr="00486927">
        <w:rPr>
          <w:rFonts w:ascii="Cambria Math" w:eastAsia="Cambria Math" w:hAnsi="Cambria Math" w:cs="Cambria Math"/>
          <w:i/>
          <w:iCs/>
        </w:rPr>
        <w:t>u</w:t>
      </w:r>
      <w:r w:rsidRPr="00486927">
        <w:rPr>
          <w:rFonts w:ascii="Cambria Math" w:eastAsia="Cambria Math" w:hAnsi="Cambria Math" w:cs="Cambria Math"/>
          <w:vertAlign w:val="subscript"/>
        </w:rPr>
        <w:t>k</w:t>
      </w:r>
      <w:proofErr w:type="spellEnd"/>
      <w:r>
        <w:t xml:space="preserve"> is the random effect for project </w:t>
      </w:r>
      <w:r w:rsidRPr="1D4D53EB">
        <w:rPr>
          <w:i/>
          <w:iCs/>
        </w:rPr>
        <w:t>k</w:t>
      </w:r>
    </w:p>
    <w:p w14:paraId="3A538840" w14:textId="740956DF" w:rsidR="00A86EA0" w:rsidRDefault="003F25B7" w:rsidP="00710F74">
      <w:proofErr w:type="spellStart"/>
      <w:r w:rsidRPr="00486927">
        <w:rPr>
          <w:rFonts w:ascii="Cambria Math" w:eastAsia="Cambria Math" w:hAnsi="Cambria Math" w:cs="Cambria Math"/>
          <w:i/>
          <w:iCs/>
        </w:rPr>
        <w:t>v</w:t>
      </w:r>
      <w:r w:rsidRPr="00486927">
        <w:rPr>
          <w:rFonts w:ascii="Cambria Math" w:eastAsia="Cambria Math" w:hAnsi="Cambria Math" w:cs="Cambria Math"/>
          <w:vertAlign w:val="subscript"/>
        </w:rPr>
        <w:t>jk</w:t>
      </w:r>
      <w:proofErr w:type="spellEnd"/>
      <w:r>
        <w:t xml:space="preserve"> is the random effect for </w:t>
      </w:r>
      <w:r w:rsidR="003A5499">
        <w:t>trial</w:t>
      </w:r>
      <w:r>
        <w:t xml:space="preserve"> </w:t>
      </w:r>
      <w:r w:rsidRPr="1D4D53EB">
        <w:rPr>
          <w:i/>
          <w:iCs/>
        </w:rPr>
        <w:t>j</w:t>
      </w:r>
      <w:r>
        <w:t xml:space="preserve"> within project </w:t>
      </w:r>
      <w:r w:rsidRPr="1D4D53EB">
        <w:rPr>
          <w:i/>
          <w:iCs/>
        </w:rPr>
        <w:t>k</w:t>
      </w:r>
    </w:p>
    <w:p w14:paraId="7D680AA2" w14:textId="2556A1CC" w:rsidR="00A86EA0" w:rsidRDefault="00185505" w:rsidP="00710F74">
      <w:proofErr w:type="spellStart"/>
      <w:r w:rsidRPr="00486927">
        <w:rPr>
          <w:rFonts w:ascii="Cambria Math" w:eastAsia="Cambria Math" w:hAnsi="Cambria Math" w:cs="Cambria Math"/>
          <w:i/>
          <w:iCs/>
        </w:rPr>
        <w:t>e</w:t>
      </w:r>
      <w:r w:rsidRPr="00486927">
        <w:rPr>
          <w:rFonts w:ascii="Cambria Math" w:eastAsia="Cambria Math" w:hAnsi="Cambria Math" w:cs="Cambria Math"/>
          <w:vertAlign w:val="subscript"/>
        </w:rPr>
        <w:t>ijk</w:t>
      </w:r>
      <w:proofErr w:type="spellEnd"/>
      <w:r>
        <w:t xml:space="preserve"> is sampling error, with variance fixed to the sampling variance of each effect estimate.</w:t>
      </w:r>
    </w:p>
    <w:p w14:paraId="617508FB" w14:textId="4F9B10E2" w:rsidR="0040158C" w:rsidRPr="0040158C" w:rsidRDefault="0040158C" w:rsidP="00710F74">
      <w:r w:rsidRPr="0040158C">
        <w:t xml:space="preserve">The model was estimated using restricted maximum likelihood. </w:t>
      </w:r>
      <w:r w:rsidR="002A16EE">
        <w:t>As noted above, e</w:t>
      </w:r>
      <w:r w:rsidRPr="0040158C">
        <w:t>ffect estimates with smaller sampling variances received greater weight</w:t>
      </w:r>
      <w:r w:rsidR="08316D3C">
        <w:t xml:space="preserve">. </w:t>
      </w:r>
      <w:r w:rsidR="19E8EE94">
        <w:t>T</w:t>
      </w:r>
      <w:r>
        <w:t>he</w:t>
      </w:r>
      <w:r w:rsidRPr="0040158C">
        <w:t xml:space="preserve"> </w:t>
      </w:r>
      <w:proofErr w:type="gramStart"/>
      <w:r w:rsidRPr="0040158C">
        <w:t>random-effects</w:t>
      </w:r>
      <w:proofErr w:type="gramEnd"/>
      <w:r w:rsidRPr="0040158C">
        <w:t xml:space="preserve"> </w:t>
      </w:r>
      <w:proofErr w:type="spellStart"/>
      <w:proofErr w:type="gramStart"/>
      <w:r w:rsidR="6CA9AAAF" w:rsidRPr="4ECB1EAA">
        <w:rPr>
          <w:rFonts w:ascii="Cambria Math" w:eastAsia="Cambria Math" w:hAnsi="Cambria Math" w:cs="Cambria Math"/>
          <w:i/>
          <w:iCs/>
        </w:rPr>
        <w:t>u</w:t>
      </w:r>
      <w:r w:rsidR="6CA9AAAF" w:rsidRPr="4ECB1EAA">
        <w:rPr>
          <w:rFonts w:ascii="Cambria Math" w:eastAsia="Cambria Math" w:hAnsi="Cambria Math" w:cs="Cambria Math"/>
          <w:vertAlign w:val="subscript"/>
        </w:rPr>
        <w:t>k</w:t>
      </w:r>
      <w:proofErr w:type="spellEnd"/>
      <w:r w:rsidR="1919432B" w:rsidRPr="213C2639">
        <w:rPr>
          <w:rFonts w:ascii="Cambria Math" w:eastAsia="Cambria Math" w:hAnsi="Cambria Math" w:cs="Cambria Math"/>
          <w:vertAlign w:val="subscript"/>
        </w:rPr>
        <w:t xml:space="preserve">  </w:t>
      </w:r>
      <w:r w:rsidR="1919432B">
        <w:t>allows</w:t>
      </w:r>
      <w:proofErr w:type="gramEnd"/>
      <w:r w:rsidR="1919432B">
        <w:t xml:space="preserve"> the underlying effect to vary between projects, while </w:t>
      </w:r>
      <w:proofErr w:type="spellStart"/>
      <w:proofErr w:type="gramStart"/>
      <w:r w:rsidR="6CA020B6" w:rsidRPr="7E5CA95F">
        <w:rPr>
          <w:rFonts w:ascii="Cambria Math" w:eastAsia="Cambria Math" w:hAnsi="Cambria Math" w:cs="Cambria Math"/>
          <w:i/>
          <w:iCs/>
        </w:rPr>
        <w:t>v</w:t>
      </w:r>
      <w:r w:rsidR="6CA020B6" w:rsidRPr="7E5CA95F">
        <w:rPr>
          <w:rFonts w:ascii="Cambria Math" w:eastAsia="Cambria Math" w:hAnsi="Cambria Math" w:cs="Cambria Math"/>
          <w:vertAlign w:val="subscript"/>
        </w:rPr>
        <w:t>jk</w:t>
      </w:r>
      <w:proofErr w:type="spellEnd"/>
      <w:r w:rsidR="6CA020B6" w:rsidRPr="6BBB0C6D">
        <w:rPr>
          <w:rFonts w:ascii="Cambria Math" w:eastAsia="Cambria Math" w:hAnsi="Cambria Math" w:cs="Cambria Math"/>
          <w:vertAlign w:val="subscript"/>
        </w:rPr>
        <w:t xml:space="preserve"> </w:t>
      </w:r>
      <w:r w:rsidR="6CA020B6" w:rsidRPr="64A95FC2">
        <w:rPr>
          <w:rFonts w:ascii="Cambria Math" w:eastAsia="Cambria Math" w:hAnsi="Cambria Math" w:cs="Cambria Math"/>
          <w:vertAlign w:val="subscript"/>
        </w:rPr>
        <w:t xml:space="preserve"> </w:t>
      </w:r>
      <w:r w:rsidR="6CA020B6">
        <w:t>allows</w:t>
      </w:r>
      <w:proofErr w:type="gramEnd"/>
      <w:r w:rsidR="6CA020B6">
        <w:t xml:space="preserve"> the underlying effect to vary between trials within projects.</w:t>
      </w:r>
    </w:p>
    <w:p w14:paraId="2D0F93A9" w14:textId="77777777" w:rsidR="00556F94" w:rsidRDefault="00556F94" w:rsidP="006C677C">
      <w:pPr>
        <w:pStyle w:val="Heading4"/>
        <w:rPr>
          <w:kern w:val="2"/>
          <w14:ligatures w14:val="standardContextual"/>
        </w:rPr>
      </w:pPr>
      <w:r>
        <w:t>Robust statistical inference</w:t>
      </w:r>
    </w:p>
    <w:p w14:paraId="1C33CD76" w14:textId="2919B330" w:rsidR="00F51E62" w:rsidRPr="00F51E62" w:rsidRDefault="00F51E62" w:rsidP="00710F74">
      <w:r w:rsidRPr="00F51E62">
        <w:t>Some trials contributed several related effect estimates because they measured more than one outcome or compared several intervention groups with the same control group. These estimates may be correlated because they are based on overlapping groups of participants.</w:t>
      </w:r>
    </w:p>
    <w:p w14:paraId="0A5DDAE6" w14:textId="109A7BCA" w:rsidR="00F51E62" w:rsidRPr="00F51E62" w:rsidRDefault="00F51E62" w:rsidP="00710F74">
      <w:r w:rsidRPr="00F51E62">
        <w:t xml:space="preserve">The analysis therefore used </w:t>
      </w:r>
      <w:r w:rsidR="00A72283">
        <w:t>t</w:t>
      </w:r>
      <w:r w:rsidR="00A72283" w:rsidRPr="00D436DA">
        <w:t>rial</w:t>
      </w:r>
      <w:r w:rsidRPr="00F51E62">
        <w:t xml:space="preserve">-clustered robust standard errors. This reduced the risk of overstating the precision of the average effect when several related estimates came from the same trial. </w:t>
      </w:r>
      <w:r w:rsidR="4032471B">
        <w:t xml:space="preserve"> </w:t>
      </w:r>
      <w:r w:rsidRPr="00F51E62">
        <w:t>Sensitivity analyses also tested whether the result changed under different assumptions about the strength of these correlations</w:t>
      </w:r>
      <w:r w:rsidR="58CDBCFE">
        <w:t xml:space="preserve"> (see Sensitivity section below for more details)</w:t>
      </w:r>
      <w:r>
        <w:t>.</w:t>
      </w:r>
    </w:p>
    <w:p w14:paraId="1A56C7F6" w14:textId="77777777" w:rsidR="00556F94" w:rsidRDefault="00556F94" w:rsidP="006C677C">
      <w:pPr>
        <w:pStyle w:val="Heading4"/>
        <w:rPr>
          <w:kern w:val="2"/>
          <w14:ligatures w14:val="standardContextual"/>
        </w:rPr>
      </w:pPr>
      <w:r>
        <w:t>Heterogeneity</w:t>
      </w:r>
    </w:p>
    <w:p w14:paraId="3283E87B" w14:textId="06F6A89F" w:rsidR="006C2322" w:rsidRDefault="00F51E62" w:rsidP="0040158C">
      <w:r w:rsidRPr="00F51E62">
        <w:t xml:space="preserve">The model estimated how much effects differed between BETA projects and between trials within projects. A 95% prediction interval was also calculated. This shows the range of effects that could plausibly be observed in a comparable new trial, </w:t>
      </w:r>
      <w:r w:rsidR="001A1526">
        <w:t xml:space="preserve">based on </w:t>
      </w:r>
      <w:r w:rsidRPr="00F51E62">
        <w:t xml:space="preserve">the variation </w:t>
      </w:r>
      <w:r w:rsidR="000B38C9">
        <w:t>observed</w:t>
      </w:r>
      <w:r w:rsidR="001A1526" w:rsidRPr="00F51E62">
        <w:t xml:space="preserve"> </w:t>
      </w:r>
      <w:r w:rsidRPr="00F51E62">
        <w:t>across the existing evidence base.</w:t>
      </w:r>
    </w:p>
    <w:p w14:paraId="173B96ED" w14:textId="3FAF96CE" w:rsidR="001D251D" w:rsidRDefault="00B038D1" w:rsidP="00720B50">
      <w:pPr>
        <w:pStyle w:val="Heading2"/>
      </w:pPr>
      <w:r>
        <w:t>Results</w:t>
      </w:r>
    </w:p>
    <w:p w14:paraId="6B58679A" w14:textId="4E393BC5" w:rsidR="00892E4A" w:rsidRDefault="00892E4A" w:rsidP="006C677C">
      <w:pPr>
        <w:pStyle w:val="Heading3"/>
        <w:rPr>
          <w:kern w:val="2"/>
          <w:sz w:val="24"/>
          <w:szCs w:val="24"/>
          <w14:ligatures w14:val="standardContextual"/>
        </w:rPr>
      </w:pPr>
      <w:r>
        <w:t xml:space="preserve">Primary meta-analysis </w:t>
      </w:r>
    </w:p>
    <w:p w14:paraId="7059F89D" w14:textId="1CDEC2C5" w:rsidR="005067EB" w:rsidRPr="006C677C" w:rsidRDefault="2662158E" w:rsidP="00710F74">
      <w:pPr>
        <w:rPr>
          <w:rFonts w:eastAsia="Helvetica"/>
        </w:rPr>
      </w:pPr>
      <w:r>
        <w:t xml:space="preserve">The primary 3-level </w:t>
      </w:r>
      <w:r w:rsidR="004E6984">
        <w:t xml:space="preserve">random-effects </w:t>
      </w:r>
      <w:r>
        <w:t xml:space="preserve">model estimated a small positive </w:t>
      </w:r>
      <w:r w:rsidR="347F7534">
        <w:t>mean</w:t>
      </w:r>
      <w:r>
        <w:t xml:space="preserve"> effect across BETA’s portfoli</w:t>
      </w:r>
      <w:r w:rsidR="273C0BB6">
        <w:t>o (d = 0.07</w:t>
      </w:r>
      <w:r w:rsidR="00B82088">
        <w:t>1</w:t>
      </w:r>
      <w:r w:rsidR="273C0BB6">
        <w:t>).</w:t>
      </w:r>
      <w:r>
        <w:t xml:space="preserve"> </w:t>
      </w:r>
      <w:r w:rsidR="66D925A6" w:rsidRPr="006C677C">
        <w:rPr>
          <w:rFonts w:eastAsia="Helvetica"/>
        </w:rPr>
        <w:t xml:space="preserve">This effect corresponds approximately to an additional 10 to 20 people per 1,000 taking the intended action compared with what would have happened without the intervention, depending on the baseline rate of the behaviour. </w:t>
      </w:r>
    </w:p>
    <w:p w14:paraId="2DD932B7" w14:textId="04A6A68C" w:rsidR="005067EB" w:rsidRDefault="2662158E" w:rsidP="00710F74">
      <w:r>
        <w:t xml:space="preserve">However, substantial heterogeneity and a prediction interval spanning negative and positive effects indicate considerable variation across </w:t>
      </w:r>
      <w:r w:rsidR="002F7675">
        <w:t>BETA</w:t>
      </w:r>
      <w:r w:rsidR="001458AF">
        <w:t>’s</w:t>
      </w:r>
      <w:r w:rsidR="002F7675">
        <w:t xml:space="preserve"> </w:t>
      </w:r>
      <w:r w:rsidR="00D7215D">
        <w:t>t</w:t>
      </w:r>
      <w:r w:rsidR="00D7215D" w:rsidRPr="00D436DA">
        <w:t>rial</w:t>
      </w:r>
      <w:r w:rsidR="00D7215D">
        <w:t>s</w:t>
      </w:r>
      <w:r>
        <w:t xml:space="preserve"> and projects</w:t>
      </w:r>
      <w:r w:rsidR="013B13A6">
        <w:t xml:space="preserve"> (</w:t>
      </w:r>
      <w:r w:rsidR="00E80777">
        <w:fldChar w:fldCharType="begin"/>
      </w:r>
      <w:r w:rsidR="00E80777">
        <w:instrText xml:space="preserve"> REF _Ref241833088 \h </w:instrText>
      </w:r>
      <w:r w:rsidR="00710F74">
        <w:instrText xml:space="preserve"> \* MERGEFORMAT </w:instrText>
      </w:r>
      <w:r w:rsidR="00E80777">
        <w:fldChar w:fldCharType="separate"/>
      </w:r>
      <w:r w:rsidR="00E80777">
        <w:t xml:space="preserve">Table </w:t>
      </w:r>
      <w:r w:rsidR="00E80777" w:rsidRPr="142AFCEF">
        <w:t>1</w:t>
      </w:r>
      <w:r w:rsidR="00E80777">
        <w:fldChar w:fldCharType="end"/>
      </w:r>
      <w:r w:rsidR="013B13A6">
        <w:t>)</w:t>
      </w:r>
      <w:r>
        <w:t>.</w:t>
      </w:r>
      <w:r w:rsidR="26BEDF5F">
        <w:t xml:space="preserve"> </w:t>
      </w:r>
    </w:p>
    <w:p w14:paraId="082D52A3" w14:textId="372A104E" w:rsidR="00292C9A" w:rsidRPr="003C0284" w:rsidRDefault="00292C9A" w:rsidP="00710F74">
      <w:r>
        <w:lastRenderedPageBreak/>
        <w:t xml:space="preserve">This </w:t>
      </w:r>
      <w:r w:rsidR="003C0284">
        <w:rPr>
          <w:color w:val="008080"/>
          <w:u w:val="single"/>
        </w:rPr>
        <w:t>result</w:t>
      </w:r>
      <w:r>
        <w:t xml:space="preserve"> is in line with recent international syntheses of the impact of other </w:t>
      </w:r>
      <w:r w:rsidRPr="001A34E6">
        <w:t>behaviour</w:t>
      </w:r>
      <w:r>
        <w:t xml:space="preserve">al policy </w:t>
      </w:r>
      <w:r w:rsidRPr="001A34E6">
        <w:t>interventions</w:t>
      </w:r>
      <w:r>
        <w:t>. For example,</w:t>
      </w:r>
      <w:r w:rsidRPr="00D061B4">
        <w:t xml:space="preserve"> </w:t>
      </w:r>
      <w:r w:rsidRPr="001A34E6">
        <w:t xml:space="preserve">Kaiser et al. (2025) found that behaviour-change interventions produced a small positive average effect after adjustment for publication bias </w:t>
      </w:r>
      <w:r>
        <w:t>(d</w:t>
      </w:r>
      <w:r w:rsidR="00B82088">
        <w:t>=</w:t>
      </w:r>
      <w:r w:rsidDel="00051677">
        <w:t xml:space="preserve"> </w:t>
      </w:r>
      <w:r>
        <w:t>0.063)</w:t>
      </w:r>
      <w:r w:rsidRPr="001A34E6">
        <w:t>, accompanied by substantial unexplained heterogeneity.</w:t>
      </w:r>
      <w:r>
        <w:t xml:space="preserve"> </w:t>
      </w:r>
    </w:p>
    <w:p w14:paraId="4DFDA7F2" w14:textId="12B61F79" w:rsidR="00C836E1" w:rsidRPr="00C836E1" w:rsidRDefault="00C836E1" w:rsidP="006C677C">
      <w:pPr>
        <w:pStyle w:val="HeadingTable"/>
      </w:pPr>
      <w:bookmarkStart w:id="9" w:name="_Ref241833256"/>
      <w:r w:rsidRPr="00C836E1">
        <w:t>Primary 3-level meta-</w:t>
      </w:r>
      <w:r w:rsidRPr="00FD608D">
        <w:t>analysis</w:t>
      </w:r>
      <w:r w:rsidRPr="00C836E1">
        <w:t xml:space="preserve"> results</w:t>
      </w:r>
      <w:bookmarkEnd w:id="9"/>
      <w:r w:rsidR="00302FCE">
        <w:t xml:space="preserve"> – measure </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5698"/>
        <w:gridCol w:w="2560"/>
      </w:tblGrid>
      <w:tr w:rsidR="00C12126" w14:paraId="65419240" w14:textId="77777777" w:rsidTr="00DF1172">
        <w:tc>
          <w:tcPr>
            <w:tcW w:w="345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7C66065C" w14:textId="77777777" w:rsidR="00C12126" w:rsidRPr="00D8383C" w:rsidRDefault="00C12126" w:rsidP="00772262">
            <w:pPr>
              <w:spacing w:after="120"/>
              <w:ind w:left="57" w:right="57"/>
              <w:rPr>
                <w:b/>
                <w:bCs/>
                <w:color w:val="FFFFFF" w:themeColor="background1"/>
              </w:rPr>
            </w:pPr>
            <w:r w:rsidRPr="00D8383C">
              <w:rPr>
                <w:b/>
                <w:bCs/>
                <w:color w:val="FFFFFF" w:themeColor="background1"/>
              </w:rPr>
              <w:t>Measure</w:t>
            </w:r>
          </w:p>
        </w:tc>
        <w:tc>
          <w:tcPr>
            <w:tcW w:w="155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710EF107" w14:textId="77777777" w:rsidR="00C12126" w:rsidRPr="00D8383C" w:rsidRDefault="00C12126" w:rsidP="00E614F5">
            <w:pPr>
              <w:spacing w:after="120"/>
              <w:ind w:left="57" w:right="57"/>
              <w:jc w:val="right"/>
              <w:rPr>
                <w:b/>
                <w:bCs/>
                <w:color w:val="FFFFFF" w:themeColor="background1"/>
              </w:rPr>
            </w:pPr>
            <w:r w:rsidRPr="00D8383C">
              <w:rPr>
                <w:b/>
                <w:bCs/>
                <w:color w:val="FFFFFF" w:themeColor="background1"/>
              </w:rPr>
              <w:t>Estimate</w:t>
            </w:r>
          </w:p>
        </w:tc>
      </w:tr>
      <w:tr w:rsidR="00C12126" w14:paraId="24AC6F5C" w14:textId="77777777" w:rsidTr="00DF1172">
        <w:tc>
          <w:tcPr>
            <w:tcW w:w="3450" w:type="pct"/>
            <w:tcBorders>
              <w:top w:val="single" w:sz="8" w:space="0" w:color="auto"/>
              <w:left w:val="single" w:sz="8" w:space="0" w:color="132D3E"/>
              <w:bottom w:val="single" w:sz="8" w:space="0" w:color="132D3E"/>
              <w:right w:val="single" w:sz="8" w:space="0" w:color="132D3E"/>
            </w:tcBorders>
            <w:vAlign w:val="center"/>
            <w:hideMark/>
          </w:tcPr>
          <w:p w14:paraId="1B96DBF0" w14:textId="77777777" w:rsidR="00C12126" w:rsidRDefault="00C12126" w:rsidP="00772262">
            <w:pPr>
              <w:spacing w:after="120"/>
              <w:ind w:left="57" w:right="57"/>
            </w:pPr>
            <w:r>
              <w:t>Effect estimates</w:t>
            </w:r>
          </w:p>
        </w:tc>
        <w:tc>
          <w:tcPr>
            <w:tcW w:w="1550" w:type="pct"/>
            <w:tcBorders>
              <w:top w:val="single" w:sz="8" w:space="0" w:color="auto"/>
              <w:left w:val="single" w:sz="8" w:space="0" w:color="132D3E"/>
              <w:bottom w:val="single" w:sz="8" w:space="0" w:color="132D3E"/>
              <w:right w:val="single" w:sz="8" w:space="0" w:color="132D3E"/>
            </w:tcBorders>
            <w:vAlign w:val="center"/>
            <w:hideMark/>
          </w:tcPr>
          <w:p w14:paraId="0580438F" w14:textId="77777777" w:rsidR="00C12126" w:rsidRDefault="00C12126" w:rsidP="00772262">
            <w:pPr>
              <w:spacing w:after="120"/>
              <w:ind w:left="57" w:right="57"/>
              <w:jc w:val="right"/>
            </w:pPr>
            <w:r>
              <w:t>148</w:t>
            </w:r>
          </w:p>
        </w:tc>
      </w:tr>
      <w:tr w:rsidR="00C12126" w14:paraId="1A65D532"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0638EEEC" w14:textId="53ED1370" w:rsidR="00C12126" w:rsidRDefault="00D7215D" w:rsidP="00772262">
            <w:pPr>
              <w:spacing w:after="120"/>
              <w:ind w:left="57" w:right="57"/>
            </w:pPr>
            <w:r>
              <w:t>T</w:t>
            </w:r>
            <w:r w:rsidRPr="00D436DA">
              <w:t>rial</w:t>
            </w:r>
            <w:r>
              <w:t>s</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513286AF" w14:textId="77777777" w:rsidR="00C12126" w:rsidRDefault="00C12126" w:rsidP="00772262">
            <w:pPr>
              <w:spacing w:after="120"/>
              <w:ind w:left="57" w:right="57"/>
              <w:jc w:val="right"/>
            </w:pPr>
            <w:r>
              <w:t>52</w:t>
            </w:r>
          </w:p>
        </w:tc>
      </w:tr>
      <w:tr w:rsidR="00C12126" w14:paraId="22558834"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4FB0AF09" w14:textId="77777777" w:rsidR="00C12126" w:rsidRDefault="00C12126" w:rsidP="00772262">
            <w:pPr>
              <w:spacing w:after="120"/>
              <w:ind w:left="57" w:right="57"/>
            </w:pPr>
            <w:r>
              <w:t>Projects</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4837DE3C" w14:textId="77777777" w:rsidR="00C12126" w:rsidRDefault="00C12126" w:rsidP="00772262">
            <w:pPr>
              <w:spacing w:after="120"/>
              <w:ind w:left="57" w:right="57"/>
              <w:jc w:val="right"/>
            </w:pPr>
            <w:r>
              <w:t>40</w:t>
            </w:r>
          </w:p>
        </w:tc>
      </w:tr>
    </w:tbl>
    <w:p w14:paraId="03B71EB8" w14:textId="0A83B3C2" w:rsidR="0092507C" w:rsidRDefault="00302FCE" w:rsidP="00302FCE">
      <w:pPr>
        <w:pStyle w:val="HeadingTable"/>
      </w:pPr>
      <w:r w:rsidRPr="00C836E1">
        <w:t>Primary 3-level meta-</w:t>
      </w:r>
      <w:r w:rsidRPr="00FD608D">
        <w:t>analysis</w:t>
      </w:r>
      <w:r w:rsidRPr="00C836E1">
        <w:t xml:space="preserve"> results</w:t>
      </w:r>
      <w:r>
        <w:t xml:space="preserve"> – mean effect</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5698"/>
        <w:gridCol w:w="2560"/>
      </w:tblGrid>
      <w:tr w:rsidR="00C12126" w14:paraId="4E613460" w14:textId="77777777" w:rsidTr="00302FCE">
        <w:tc>
          <w:tcPr>
            <w:tcW w:w="3450" w:type="pct"/>
            <w:tcBorders>
              <w:top w:val="single" w:sz="8" w:space="0" w:color="132D3E"/>
              <w:left w:val="single" w:sz="8" w:space="0" w:color="132D3E"/>
              <w:bottom w:val="single" w:sz="8" w:space="0" w:color="132D3E"/>
              <w:right w:val="single" w:sz="8" w:space="0" w:color="132D3E"/>
            </w:tcBorders>
            <w:shd w:val="clear" w:color="auto" w:fill="14837A" w:themeFill="accent1"/>
            <w:vAlign w:val="center"/>
            <w:hideMark/>
          </w:tcPr>
          <w:p w14:paraId="4656F5A7" w14:textId="490F7FEF" w:rsidR="00C12126" w:rsidRPr="00302FCE" w:rsidRDefault="00F81D14" w:rsidP="00772262">
            <w:pPr>
              <w:spacing w:after="120"/>
              <w:ind w:left="57" w:right="57"/>
              <w:rPr>
                <w:b/>
                <w:bCs/>
                <w:color w:val="FFFFFF" w:themeColor="background1"/>
              </w:rPr>
            </w:pPr>
            <w:r w:rsidRPr="00302FCE">
              <w:rPr>
                <w:b/>
                <w:bCs/>
                <w:color w:val="FFFFFF" w:themeColor="background1"/>
              </w:rPr>
              <w:t>Mean</w:t>
            </w:r>
            <w:r w:rsidR="00C12126" w:rsidRPr="00302FCE">
              <w:rPr>
                <w:b/>
                <w:bCs/>
                <w:color w:val="FFFFFF" w:themeColor="background1"/>
              </w:rPr>
              <w:t xml:space="preserve"> effect</w:t>
            </w:r>
          </w:p>
        </w:tc>
        <w:tc>
          <w:tcPr>
            <w:tcW w:w="1550" w:type="pct"/>
            <w:tcBorders>
              <w:top w:val="single" w:sz="8" w:space="0" w:color="132D3E"/>
              <w:left w:val="single" w:sz="8" w:space="0" w:color="132D3E"/>
              <w:bottom w:val="single" w:sz="8" w:space="0" w:color="132D3E"/>
              <w:right w:val="single" w:sz="8" w:space="0" w:color="132D3E"/>
            </w:tcBorders>
            <w:shd w:val="clear" w:color="auto" w:fill="14837A" w:themeFill="accent1"/>
            <w:vAlign w:val="center"/>
            <w:hideMark/>
          </w:tcPr>
          <w:p w14:paraId="111ADB71" w14:textId="50F55ECE" w:rsidR="00C12126" w:rsidRPr="00302FCE" w:rsidRDefault="00302FCE" w:rsidP="00302FCE">
            <w:pPr>
              <w:spacing w:after="120"/>
              <w:ind w:left="57" w:right="57"/>
              <w:jc w:val="right"/>
              <w:rPr>
                <w:b/>
                <w:bCs/>
                <w:color w:val="FFFFFF" w:themeColor="background1"/>
              </w:rPr>
            </w:pPr>
            <w:r w:rsidRPr="00D8383C">
              <w:rPr>
                <w:b/>
                <w:bCs/>
                <w:color w:val="FFFFFF" w:themeColor="background1"/>
              </w:rPr>
              <w:t>Estimate</w:t>
            </w:r>
          </w:p>
        </w:tc>
      </w:tr>
      <w:tr w:rsidR="00C12126" w14:paraId="705D92F1"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022314CE" w14:textId="77777777" w:rsidR="00C12126" w:rsidRDefault="00C12126" w:rsidP="00772262">
            <w:pPr>
              <w:spacing w:after="120"/>
              <w:ind w:left="57" w:right="57"/>
            </w:pPr>
            <w:r>
              <w:t xml:space="preserve">Cohen’s </w:t>
            </w:r>
            <w:r>
              <w:rPr>
                <w:i/>
                <w:iCs/>
              </w:rPr>
              <w:t>d</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16E1D2B8" w14:textId="0D7D10A4" w:rsidR="00C12126" w:rsidRDefault="00C12126" w:rsidP="00772262">
            <w:pPr>
              <w:spacing w:after="120"/>
              <w:ind w:left="57" w:right="57"/>
              <w:jc w:val="right"/>
            </w:pPr>
            <w:r>
              <w:t>0.07</w:t>
            </w:r>
            <w:r w:rsidR="001E1DF1">
              <w:t>1</w:t>
            </w:r>
          </w:p>
        </w:tc>
      </w:tr>
      <w:tr w:rsidR="00C12126" w14:paraId="1E3710BC"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50DB1DF0" w14:textId="77777777" w:rsidR="00C12126" w:rsidRDefault="00C12126" w:rsidP="00772262">
            <w:pPr>
              <w:spacing w:after="120"/>
              <w:ind w:left="57" w:right="57"/>
            </w:pPr>
            <w:r>
              <w:t>95% confidence interval</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011859BB" w14:textId="5B3F42A7" w:rsidR="00C12126" w:rsidRDefault="00592775" w:rsidP="00772262">
            <w:pPr>
              <w:spacing w:after="120"/>
              <w:ind w:left="57" w:right="57"/>
              <w:jc w:val="right"/>
            </w:pPr>
            <w:r w:rsidRPr="00592775">
              <w:t>0.034–0.108</w:t>
            </w:r>
          </w:p>
        </w:tc>
      </w:tr>
      <w:tr w:rsidR="00C12126" w14:paraId="25047E0D"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4189BFCF" w14:textId="77777777" w:rsidR="00C12126" w:rsidRDefault="00C12126" w:rsidP="00772262">
            <w:pPr>
              <w:spacing w:after="120"/>
              <w:ind w:left="57" w:right="57"/>
            </w:pPr>
            <w:r>
              <w:rPr>
                <w:i/>
                <w:iCs/>
              </w:rPr>
              <w:t>z</w:t>
            </w:r>
            <w:r>
              <w:t>-statistic</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5C90406D" w14:textId="35484DC8" w:rsidR="00C12126" w:rsidRDefault="00C12126" w:rsidP="00772262">
            <w:pPr>
              <w:spacing w:after="120"/>
              <w:ind w:left="57" w:right="57"/>
              <w:jc w:val="right"/>
            </w:pPr>
            <w:r>
              <w:t>3.</w:t>
            </w:r>
            <w:r w:rsidR="00592775">
              <w:t>83</w:t>
            </w:r>
          </w:p>
        </w:tc>
      </w:tr>
      <w:tr w:rsidR="00C12126" w14:paraId="22C40054"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38647424" w14:textId="77777777" w:rsidR="00C12126" w:rsidRDefault="00C12126" w:rsidP="00772262">
            <w:pPr>
              <w:spacing w:after="120"/>
              <w:ind w:left="57" w:right="57"/>
            </w:pPr>
            <w:r>
              <w:rPr>
                <w:i/>
                <w:iCs/>
              </w:rPr>
              <w:t>p</w:t>
            </w:r>
            <w:r>
              <w:t>-value</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00C8647F" w14:textId="77777777" w:rsidR="00C12126" w:rsidRDefault="00C12126" w:rsidP="00772262">
            <w:pPr>
              <w:spacing w:after="120"/>
              <w:ind w:left="57" w:right="57"/>
              <w:jc w:val="right"/>
            </w:pPr>
            <w:r>
              <w:t>&lt; .001</w:t>
            </w:r>
          </w:p>
        </w:tc>
      </w:tr>
    </w:tbl>
    <w:p w14:paraId="23222E32" w14:textId="1A31D388" w:rsidR="0092507C" w:rsidRDefault="00302FCE" w:rsidP="00302FCE">
      <w:pPr>
        <w:pStyle w:val="HeadingTable"/>
      </w:pPr>
      <w:r w:rsidRPr="00C836E1">
        <w:t>Primary 3-level meta-</w:t>
      </w:r>
      <w:r w:rsidRPr="00FD608D">
        <w:t>analysis</w:t>
      </w:r>
      <w:r w:rsidRPr="00C836E1">
        <w:t xml:space="preserve"> results</w:t>
      </w:r>
      <w:r>
        <w:t xml:space="preserve"> – variation in effects</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5698"/>
        <w:gridCol w:w="2560"/>
      </w:tblGrid>
      <w:tr w:rsidR="00C12126" w14:paraId="4B84847D" w14:textId="77777777" w:rsidTr="00302FCE">
        <w:tc>
          <w:tcPr>
            <w:tcW w:w="3450" w:type="pct"/>
            <w:tcBorders>
              <w:top w:val="single" w:sz="8" w:space="0" w:color="132D3E"/>
              <w:left w:val="single" w:sz="8" w:space="0" w:color="132D3E"/>
              <w:bottom w:val="single" w:sz="8" w:space="0" w:color="132D3E"/>
              <w:right w:val="single" w:sz="8" w:space="0" w:color="132D3E"/>
            </w:tcBorders>
            <w:shd w:val="clear" w:color="auto" w:fill="14837A" w:themeFill="accent1"/>
            <w:vAlign w:val="center"/>
            <w:hideMark/>
          </w:tcPr>
          <w:p w14:paraId="544D6617" w14:textId="77777777" w:rsidR="00C12126" w:rsidRPr="00302FCE" w:rsidRDefault="00C12126" w:rsidP="00772262">
            <w:pPr>
              <w:spacing w:after="120"/>
              <w:ind w:left="57" w:right="57"/>
              <w:rPr>
                <w:b/>
                <w:bCs/>
                <w:color w:val="FFFFFF" w:themeColor="background1"/>
              </w:rPr>
            </w:pPr>
            <w:r w:rsidRPr="00302FCE">
              <w:rPr>
                <w:b/>
                <w:bCs/>
                <w:color w:val="FFFFFF" w:themeColor="background1"/>
              </w:rPr>
              <w:t>Variation in effects</w:t>
            </w:r>
          </w:p>
        </w:tc>
        <w:tc>
          <w:tcPr>
            <w:tcW w:w="1550" w:type="pct"/>
            <w:tcBorders>
              <w:top w:val="single" w:sz="8" w:space="0" w:color="132D3E"/>
              <w:left w:val="single" w:sz="8" w:space="0" w:color="132D3E"/>
              <w:bottom w:val="single" w:sz="8" w:space="0" w:color="132D3E"/>
              <w:right w:val="single" w:sz="8" w:space="0" w:color="132D3E"/>
            </w:tcBorders>
            <w:shd w:val="clear" w:color="auto" w:fill="14837A" w:themeFill="accent1"/>
            <w:vAlign w:val="center"/>
            <w:hideMark/>
          </w:tcPr>
          <w:p w14:paraId="385261F3" w14:textId="7042DFDF" w:rsidR="00C12126" w:rsidRPr="00302FCE" w:rsidRDefault="00302FCE" w:rsidP="00302FCE">
            <w:pPr>
              <w:spacing w:after="120"/>
              <w:ind w:left="57" w:right="57"/>
              <w:jc w:val="right"/>
              <w:rPr>
                <w:b/>
                <w:bCs/>
                <w:color w:val="FFFFFF" w:themeColor="background1"/>
              </w:rPr>
            </w:pPr>
            <w:r w:rsidRPr="00D8383C">
              <w:rPr>
                <w:b/>
                <w:bCs/>
                <w:color w:val="FFFFFF" w:themeColor="background1"/>
              </w:rPr>
              <w:t>Estimate</w:t>
            </w:r>
          </w:p>
        </w:tc>
      </w:tr>
      <w:tr w:rsidR="00C12126" w14:paraId="18E821B8"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7E686C67" w14:textId="078B57BB" w:rsidR="00C12126" w:rsidRDefault="00C12126" w:rsidP="00772262">
            <w:pPr>
              <w:spacing w:after="120"/>
              <w:ind w:left="57" w:right="57"/>
            </w:pPr>
            <w:r>
              <w:t>Total I²</w:t>
            </w:r>
            <w:r w:rsidR="00351FA6">
              <w:t xml:space="preserve"> </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0713AD33" w14:textId="7EAC2DE4" w:rsidR="00C12126" w:rsidRDefault="00C12126" w:rsidP="00772262">
            <w:pPr>
              <w:spacing w:after="120"/>
              <w:ind w:left="57" w:right="57"/>
              <w:jc w:val="right"/>
            </w:pPr>
            <w:r>
              <w:t>98.</w:t>
            </w:r>
            <w:r w:rsidR="00592775">
              <w:t>27</w:t>
            </w:r>
            <w:r>
              <w:t>%</w:t>
            </w:r>
          </w:p>
        </w:tc>
      </w:tr>
      <w:tr w:rsidR="00C12126" w14:paraId="08020F42"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1C625F6C" w14:textId="77777777" w:rsidR="00C12126" w:rsidRDefault="00C12126" w:rsidP="00772262">
            <w:pPr>
              <w:spacing w:after="120"/>
              <w:ind w:left="57" w:right="57"/>
            </w:pPr>
            <w:r>
              <w:t>Project-level I²</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04F361F8" w14:textId="77777777" w:rsidR="00C12126" w:rsidRDefault="00C12126" w:rsidP="00772262">
            <w:pPr>
              <w:spacing w:after="120"/>
              <w:ind w:left="57" w:right="57"/>
              <w:jc w:val="right"/>
            </w:pPr>
            <w:r>
              <w:t>32.6%</w:t>
            </w:r>
          </w:p>
        </w:tc>
      </w:tr>
      <w:tr w:rsidR="00C12126" w14:paraId="6F4C81D5"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5210183D" w14:textId="72ABE244" w:rsidR="00C12126" w:rsidRDefault="003347AF" w:rsidP="00772262">
            <w:pPr>
              <w:spacing w:after="120"/>
              <w:ind w:left="57" w:right="57"/>
            </w:pPr>
            <w:r>
              <w:t>Trial</w:t>
            </w:r>
            <w:r w:rsidR="00C12126">
              <w:t>-level I²</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4E7EBE04" w14:textId="11E45071" w:rsidR="00C12126" w:rsidRDefault="00C12126" w:rsidP="00772262">
            <w:pPr>
              <w:spacing w:after="120"/>
              <w:ind w:left="57" w:right="57"/>
              <w:jc w:val="right"/>
            </w:pPr>
            <w:r>
              <w:t>65.</w:t>
            </w:r>
            <w:r w:rsidR="00592775">
              <w:t>20</w:t>
            </w:r>
            <w:r>
              <w:t>%</w:t>
            </w:r>
          </w:p>
        </w:tc>
      </w:tr>
      <w:tr w:rsidR="00C12126" w14:paraId="363AE92E" w14:textId="77777777" w:rsidTr="00975D0C">
        <w:tc>
          <w:tcPr>
            <w:tcW w:w="3450" w:type="pct"/>
            <w:tcBorders>
              <w:top w:val="single" w:sz="8" w:space="0" w:color="132D3E"/>
              <w:left w:val="single" w:sz="8" w:space="0" w:color="132D3E"/>
              <w:bottom w:val="single" w:sz="8" w:space="0" w:color="132D3E"/>
              <w:right w:val="single" w:sz="8" w:space="0" w:color="132D3E"/>
            </w:tcBorders>
            <w:vAlign w:val="center"/>
            <w:hideMark/>
          </w:tcPr>
          <w:p w14:paraId="651DB52C" w14:textId="77777777" w:rsidR="00C12126" w:rsidRDefault="00C12126" w:rsidP="00772262">
            <w:pPr>
              <w:spacing w:after="120"/>
              <w:ind w:left="57" w:right="57"/>
            </w:pPr>
            <w:r>
              <w:t>95% prediction interval</w:t>
            </w:r>
          </w:p>
        </w:tc>
        <w:tc>
          <w:tcPr>
            <w:tcW w:w="1550" w:type="pct"/>
            <w:tcBorders>
              <w:top w:val="single" w:sz="8" w:space="0" w:color="132D3E"/>
              <w:left w:val="single" w:sz="8" w:space="0" w:color="132D3E"/>
              <w:bottom w:val="single" w:sz="8" w:space="0" w:color="132D3E"/>
              <w:right w:val="single" w:sz="8" w:space="0" w:color="132D3E"/>
            </w:tcBorders>
            <w:vAlign w:val="center"/>
            <w:hideMark/>
          </w:tcPr>
          <w:p w14:paraId="3FBC4F4C" w14:textId="34AEC861" w:rsidR="00C12126" w:rsidRDefault="00C12126" w:rsidP="00772262">
            <w:pPr>
              <w:spacing w:after="120"/>
              <w:ind w:left="57" w:right="57"/>
              <w:jc w:val="right"/>
            </w:pPr>
            <w:r>
              <w:t>−0.191 to 0.33</w:t>
            </w:r>
            <w:r w:rsidR="00520129">
              <w:t>3</w:t>
            </w:r>
          </w:p>
        </w:tc>
      </w:tr>
    </w:tbl>
    <w:p w14:paraId="47E92A47" w14:textId="65A460D9" w:rsidR="00385B41" w:rsidRDefault="00892E4A" w:rsidP="00B02CF7">
      <w:pPr>
        <w:pStyle w:val="SourceNotesText"/>
      </w:pPr>
      <w:r w:rsidRPr="00486927">
        <w:t>Note:</w:t>
      </w:r>
      <w:r>
        <w:t xml:space="preserve"> </w:t>
      </w:r>
      <w:r w:rsidRPr="00486927">
        <w:t xml:space="preserve">Positive effect sizes indicate movement in the prespecified </w:t>
      </w:r>
      <w:r w:rsidR="00937123" w:rsidRPr="00937123">
        <w:t>hypothesised</w:t>
      </w:r>
      <w:r w:rsidRPr="00486927">
        <w:t xml:space="preserve"> direction. The confidence interval uses </w:t>
      </w:r>
      <w:r w:rsidR="00A72283">
        <w:t>t</w:t>
      </w:r>
      <w:r w:rsidR="00A72283" w:rsidRPr="00D436DA">
        <w:t>rial</w:t>
      </w:r>
      <w:r w:rsidRPr="00486927">
        <w:t xml:space="preserve">-clustered robust standard errors. The prediction interval </w:t>
      </w:r>
      <w:r w:rsidR="00FB417D">
        <w:t>estimates</w:t>
      </w:r>
      <w:r w:rsidR="00FB417D" w:rsidRPr="00486927">
        <w:t xml:space="preserve"> </w:t>
      </w:r>
      <w:r w:rsidRPr="00486927">
        <w:t xml:space="preserve">the range of true effects that may plausibly occur in a comparable new </w:t>
      </w:r>
      <w:r w:rsidR="00A72283">
        <w:t>t</w:t>
      </w:r>
      <w:r w:rsidR="00A72283" w:rsidRPr="00D436DA">
        <w:t>rial</w:t>
      </w:r>
      <w:r w:rsidRPr="00486927">
        <w:t>, allowing for estimated heterogeneity.</w:t>
      </w:r>
    </w:p>
    <w:p w14:paraId="147EF64F" w14:textId="77777777" w:rsidR="00385B41" w:rsidRDefault="00385B41">
      <w:pPr>
        <w:spacing w:after="0" w:line="240" w:lineRule="auto"/>
        <w:rPr>
          <w:i/>
          <w:sz w:val="18"/>
          <w:szCs w:val="16"/>
        </w:rPr>
      </w:pPr>
      <w:r>
        <w:br w:type="page"/>
      </w:r>
    </w:p>
    <w:p w14:paraId="7BB432A8" w14:textId="7800A8A5" w:rsidR="00716933" w:rsidRDefault="00716933" w:rsidP="00716933">
      <w:pPr>
        <w:pStyle w:val="Caption"/>
        <w:keepNext/>
      </w:pPr>
      <w:r>
        <w:lastRenderedPageBreak/>
        <w:t xml:space="preserve">Figure </w:t>
      </w:r>
      <w:fldSimple w:instr=" SEQ Figure \* ARABIC ">
        <w:r>
          <w:rPr>
            <w:noProof/>
          </w:rPr>
          <w:t>2</w:t>
        </w:r>
      </w:fldSimple>
      <w:r>
        <w:t xml:space="preserve"> </w:t>
      </w:r>
      <w:r w:rsidRPr="000B5659">
        <w:t>Distribution of effect estimates included in the meta-analysis</w:t>
      </w:r>
    </w:p>
    <w:p w14:paraId="52EBF3C9" w14:textId="19ACD832" w:rsidR="00555C32" w:rsidRDefault="41A60134" w:rsidP="00C31EAC">
      <w:r>
        <w:rPr>
          <w:noProof/>
        </w:rPr>
        <w:drawing>
          <wp:inline distT="0" distB="0" distL="0" distR="0" wp14:anchorId="1892CFE1" wp14:editId="449D4895">
            <wp:extent cx="5105400" cy="5834743"/>
            <wp:effectExtent l="0" t="0" r="0" b="0"/>
            <wp:docPr id="698946002" name="drawing" descr="Visualisation of the distribution in effects, ranging between -0.05 and 1.0, a vertical black line shows the estimated average effect across BETA's portfolio (d = 0.0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946002" name="drawing" descr="Visualisation of the distribution in effects, ranging between -0.05 and 1.0, a vertical black line shows the estimated average effect across BETA's portfolio (d = 0.07). "/>
                    <pic:cNvPicPr/>
                  </pic:nvPicPr>
                  <pic:blipFill>
                    <a:blip r:embed="rId19">
                      <a:extLst>
                        <a:ext uri="{28A0092B-C50C-407E-A947-70E740481C1C}">
                          <a14:useLocalDpi xmlns:a14="http://schemas.microsoft.com/office/drawing/2010/main"/>
                        </a:ext>
                      </a:extLst>
                    </a:blip>
                    <a:stretch>
                      <a:fillRect/>
                    </a:stretch>
                  </pic:blipFill>
                  <pic:spPr>
                    <a:xfrm>
                      <a:off x="0" y="0"/>
                      <a:ext cx="5109418" cy="5839335"/>
                    </a:xfrm>
                    <a:prstGeom prst="rect">
                      <a:avLst/>
                    </a:prstGeom>
                  </pic:spPr>
                </pic:pic>
              </a:graphicData>
            </a:graphic>
          </wp:inline>
        </w:drawing>
      </w:r>
    </w:p>
    <w:p w14:paraId="3939996F" w14:textId="5A3AF167" w:rsidR="66906B3B" w:rsidRPr="00710F74" w:rsidRDefault="66906B3B" w:rsidP="00710F74">
      <w:pPr>
        <w:pStyle w:val="SourceNotesText"/>
        <w:rPr>
          <w:rFonts w:eastAsia="Helvetica"/>
        </w:rPr>
      </w:pPr>
      <w:r w:rsidRPr="00710F74">
        <w:rPr>
          <w:rFonts w:eastAsia="Helvetica"/>
        </w:rPr>
        <w:t>Note: Each point represents an individual effect estimate included in the meta-analysis and the horizontal lines show 95% confidence intervals. The vertical black line shows the estimated average effect across BETA's portfolio (d = 0.07). The dashed line indicates no effect (that is, an effect size of zero).</w:t>
      </w:r>
    </w:p>
    <w:p w14:paraId="6BB0B7DD" w14:textId="2097F6B8" w:rsidR="00367774" w:rsidRDefault="00367774" w:rsidP="00C31EAC">
      <w:pPr>
        <w:pStyle w:val="Heading3"/>
        <w:rPr>
          <w:kern w:val="2"/>
          <w:sz w:val="24"/>
          <w:szCs w:val="24"/>
          <w14:ligatures w14:val="standardContextual"/>
        </w:rPr>
      </w:pPr>
      <w:r>
        <w:t>Bayesian analysis</w:t>
      </w:r>
    </w:p>
    <w:p w14:paraId="758A7C6A" w14:textId="0DBC4B84" w:rsidR="00367774" w:rsidRDefault="00367774" w:rsidP="00710F74">
      <w:r>
        <w:t xml:space="preserve">A Bayesian 3-level </w:t>
      </w:r>
      <w:r w:rsidR="798D119E">
        <w:t xml:space="preserve">random-effects </w:t>
      </w:r>
      <w:r>
        <w:t xml:space="preserve">model was used as an additional check on the primary findings. </w:t>
      </w:r>
      <w:r w:rsidR="0127D283">
        <w:t>This model</w:t>
      </w:r>
      <w:r>
        <w:t xml:space="preserve"> analysed the same effect estimates and reflected the same </w:t>
      </w:r>
      <w:r w:rsidR="0127D283">
        <w:t xml:space="preserve">3-level </w:t>
      </w:r>
      <w:r>
        <w:t xml:space="preserve">structure of </w:t>
      </w:r>
      <w:r w:rsidR="0A01E522">
        <w:t xml:space="preserve">BETA’s </w:t>
      </w:r>
      <w:r>
        <w:t xml:space="preserve">trials. Unlike the primary analysis, the Bayesian model allowed us to directly estimate the probability that the </w:t>
      </w:r>
      <w:r w:rsidR="64D8EE6E">
        <w:t>mean</w:t>
      </w:r>
      <w:r>
        <w:t xml:space="preserve"> effect was positive or exceeded a specified threshold.</w:t>
      </w:r>
    </w:p>
    <w:p w14:paraId="5BFEB3B5" w14:textId="53C482D1" w:rsidR="00F9057B" w:rsidRDefault="00F9057B" w:rsidP="00710F74">
      <w:r>
        <w:lastRenderedPageBreak/>
        <w:t>The Bayesian estimate closely matched the primary result</w:t>
      </w:r>
      <w:r w:rsidR="00682B9D">
        <w:t xml:space="preserve"> (</w:t>
      </w:r>
      <w:r>
        <w:fldChar w:fldCharType="begin"/>
      </w:r>
      <w:r>
        <w:instrText xml:space="preserve"> REF _Ref241841985 \h </w:instrText>
      </w:r>
      <w:r w:rsidR="00710F74">
        <w:instrText xml:space="preserve"> \* MERGEFORMAT </w:instrText>
      </w:r>
      <w:r>
        <w:fldChar w:fldCharType="separate"/>
      </w:r>
      <w:r w:rsidR="00682B9D">
        <w:t xml:space="preserve">Table </w:t>
      </w:r>
      <w:r w:rsidR="00682B9D" w:rsidRPr="3330D521">
        <w:rPr>
          <w:noProof/>
        </w:rPr>
        <w:t>2</w:t>
      </w:r>
      <w:r>
        <w:fldChar w:fldCharType="end"/>
      </w:r>
      <w:r w:rsidR="00682B9D">
        <w:t xml:space="preserve">, </w:t>
      </w:r>
      <w:r>
        <w:fldChar w:fldCharType="begin"/>
      </w:r>
      <w:r>
        <w:instrText xml:space="preserve"> REF _Ref241842008 \h </w:instrText>
      </w:r>
      <w:r w:rsidR="00710F74">
        <w:instrText xml:space="preserve"> \* MERGEFORMAT </w:instrText>
      </w:r>
      <w:r>
        <w:fldChar w:fldCharType="separate"/>
      </w:r>
      <w:r w:rsidR="00682B9D">
        <w:t xml:space="preserve">Table </w:t>
      </w:r>
      <w:r w:rsidR="00682B9D" w:rsidRPr="3330D521">
        <w:rPr>
          <w:noProof/>
        </w:rPr>
        <w:t>3</w:t>
      </w:r>
      <w:r>
        <w:fldChar w:fldCharType="end"/>
      </w:r>
      <w:r w:rsidR="00682B9D">
        <w:t>)</w:t>
      </w:r>
      <w:r>
        <w:t xml:space="preserve">. There was a greater than 99.9% probability that the </w:t>
      </w:r>
      <w:r w:rsidR="10BA691A">
        <w:t xml:space="preserve">mean </w:t>
      </w:r>
      <w:r>
        <w:t xml:space="preserve">effect across BETA’s portfolio was positive and an 86% probability that it exceeded </w:t>
      </w:r>
      <w:r w:rsidRPr="3330D521">
        <w:rPr>
          <w:i/>
          <w:iCs/>
        </w:rPr>
        <w:t>d</w:t>
      </w:r>
      <w:r>
        <w:t xml:space="preserve"> = 0.05.</w:t>
      </w:r>
    </w:p>
    <w:p w14:paraId="2B14E76B" w14:textId="66DD8298" w:rsidR="00F9057B" w:rsidRPr="00760E68" w:rsidRDefault="75A657C8" w:rsidP="00710F74">
      <w:r>
        <w:t xml:space="preserve">There was substantially greater uncertainty about the effect likely to occur in a comparable new context. The model estimated a 69% probability that the true effect would be positive and a 57% probability that it would exceed </w:t>
      </w:r>
      <w:r w:rsidRPr="70F7AD62">
        <w:rPr>
          <w:i/>
          <w:iCs/>
        </w:rPr>
        <w:t>d</w:t>
      </w:r>
      <w:r>
        <w:t xml:space="preserve"> = 0.05. The wide credible interval, which included both negative and positive effects, reflects the substantial variation observed across </w:t>
      </w:r>
      <w:r w:rsidR="00E47CF6">
        <w:t>BETA’s</w:t>
      </w:r>
      <w:r w:rsidR="00F06952">
        <w:t xml:space="preserve"> portfolio</w:t>
      </w:r>
      <w:r>
        <w:t>.</w:t>
      </w:r>
    </w:p>
    <w:p w14:paraId="07500256" w14:textId="31424575" w:rsidR="000F3850" w:rsidRPr="000F3850" w:rsidRDefault="000F3850" w:rsidP="00C31EAC">
      <w:pPr>
        <w:pStyle w:val="HeadingTable"/>
      </w:pPr>
      <w:bookmarkStart w:id="10" w:name="_Ref241841970"/>
      <w:r w:rsidRPr="3330D521">
        <w:t xml:space="preserve">Bayesian estimates of the </w:t>
      </w:r>
      <w:r w:rsidR="00E317A4" w:rsidRPr="3330D521">
        <w:t>mean</w:t>
      </w:r>
      <w:r w:rsidRPr="3330D521">
        <w:t xml:space="preserve"> effect and effect in a new context</w:t>
      </w:r>
      <w:bookmarkEnd w:id="10"/>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3964"/>
        <w:gridCol w:w="1404"/>
        <w:gridCol w:w="2890"/>
      </w:tblGrid>
      <w:tr w:rsidR="00367774" w14:paraId="56499999" w14:textId="77777777" w:rsidTr="3330D521">
        <w:tc>
          <w:tcPr>
            <w:tcW w:w="2400" w:type="pct"/>
            <w:tcBorders>
              <w:top w:val="single" w:sz="8" w:space="0" w:color="auto"/>
              <w:left w:val="single" w:sz="8" w:space="0" w:color="auto"/>
              <w:bottom w:val="single" w:sz="8" w:space="0" w:color="auto"/>
              <w:right w:val="single" w:sz="8" w:space="0" w:color="auto"/>
            </w:tcBorders>
            <w:shd w:val="clear" w:color="auto" w:fill="14837A" w:themeFill="accent1"/>
            <w:vAlign w:val="center"/>
            <w:hideMark/>
          </w:tcPr>
          <w:p w14:paraId="4585BB63" w14:textId="77777777" w:rsidR="00367774" w:rsidRPr="00DF1172" w:rsidRDefault="00367774" w:rsidP="00DF1172">
            <w:pPr>
              <w:spacing w:after="120"/>
              <w:ind w:left="57" w:right="57"/>
              <w:rPr>
                <w:b/>
                <w:bCs/>
                <w:color w:val="FFFFFF" w:themeColor="background1"/>
              </w:rPr>
            </w:pPr>
            <w:r w:rsidRPr="00DF1172">
              <w:rPr>
                <w:b/>
                <w:bCs/>
                <w:color w:val="FFFFFF" w:themeColor="background1"/>
              </w:rPr>
              <w:t>Quantity</w:t>
            </w:r>
          </w:p>
        </w:tc>
        <w:tc>
          <w:tcPr>
            <w:tcW w:w="850" w:type="pct"/>
            <w:tcBorders>
              <w:top w:val="single" w:sz="8" w:space="0" w:color="auto"/>
              <w:left w:val="single" w:sz="8" w:space="0" w:color="auto"/>
              <w:bottom w:val="single" w:sz="8" w:space="0" w:color="auto"/>
              <w:right w:val="single" w:sz="8" w:space="0" w:color="auto"/>
            </w:tcBorders>
            <w:shd w:val="clear" w:color="auto" w:fill="14837A" w:themeFill="accent1"/>
            <w:vAlign w:val="center"/>
            <w:hideMark/>
          </w:tcPr>
          <w:p w14:paraId="36729E21" w14:textId="77777777" w:rsidR="00367774" w:rsidRPr="00DF1172" w:rsidRDefault="00367774" w:rsidP="004E3811">
            <w:pPr>
              <w:spacing w:after="120"/>
              <w:ind w:left="57" w:right="57"/>
              <w:jc w:val="right"/>
              <w:rPr>
                <w:b/>
                <w:bCs/>
                <w:color w:val="FFFFFF" w:themeColor="background1"/>
              </w:rPr>
            </w:pPr>
            <w:r w:rsidRPr="00DF1172">
              <w:rPr>
                <w:b/>
                <w:bCs/>
                <w:color w:val="FFFFFF" w:themeColor="background1"/>
              </w:rPr>
              <w:t>Estimate</w:t>
            </w:r>
          </w:p>
        </w:tc>
        <w:tc>
          <w:tcPr>
            <w:tcW w:w="1750" w:type="pct"/>
            <w:tcBorders>
              <w:top w:val="single" w:sz="8" w:space="0" w:color="auto"/>
              <w:left w:val="single" w:sz="8" w:space="0" w:color="auto"/>
              <w:bottom w:val="single" w:sz="8" w:space="0" w:color="auto"/>
              <w:right w:val="single" w:sz="8" w:space="0" w:color="auto"/>
            </w:tcBorders>
            <w:shd w:val="clear" w:color="auto" w:fill="14837A" w:themeFill="accent1"/>
            <w:vAlign w:val="center"/>
            <w:hideMark/>
          </w:tcPr>
          <w:p w14:paraId="662937AB" w14:textId="77777777" w:rsidR="00367774" w:rsidRPr="00DF1172" w:rsidRDefault="00367774" w:rsidP="004E3811">
            <w:pPr>
              <w:spacing w:after="120"/>
              <w:ind w:left="57" w:right="57"/>
              <w:jc w:val="right"/>
              <w:rPr>
                <w:b/>
                <w:bCs/>
                <w:color w:val="FFFFFF" w:themeColor="background1"/>
              </w:rPr>
            </w:pPr>
            <w:r w:rsidRPr="00DF1172">
              <w:rPr>
                <w:b/>
                <w:bCs/>
                <w:color w:val="FFFFFF" w:themeColor="background1"/>
              </w:rPr>
              <w:t>95% credible interval</w:t>
            </w:r>
          </w:p>
        </w:tc>
      </w:tr>
      <w:tr w:rsidR="00367774" w14:paraId="735728F8" w14:textId="77777777" w:rsidTr="3330D521">
        <w:tc>
          <w:tcPr>
            <w:tcW w:w="2400" w:type="pct"/>
            <w:tcBorders>
              <w:top w:val="single" w:sz="8" w:space="0" w:color="auto"/>
              <w:left w:val="single" w:sz="8" w:space="0" w:color="132D3E" w:themeColor="text2"/>
              <w:bottom w:val="single" w:sz="8" w:space="0" w:color="132D3E" w:themeColor="text2"/>
              <w:right w:val="single" w:sz="8" w:space="0" w:color="132D3E" w:themeColor="text2"/>
            </w:tcBorders>
            <w:vAlign w:val="center"/>
            <w:hideMark/>
          </w:tcPr>
          <w:p w14:paraId="609673CC" w14:textId="566F6448" w:rsidR="00367774" w:rsidRDefault="00652410" w:rsidP="00772262">
            <w:pPr>
              <w:pStyle w:val="TableTextLeftAligned"/>
              <w:spacing w:after="0"/>
              <w:ind w:left="57" w:right="57"/>
            </w:pPr>
            <w:r>
              <w:t xml:space="preserve">Mean </w:t>
            </w:r>
            <w:r w:rsidR="00367774">
              <w:t>effect, Cohen’s d</w:t>
            </w:r>
          </w:p>
        </w:tc>
        <w:tc>
          <w:tcPr>
            <w:tcW w:w="850" w:type="pct"/>
            <w:tcBorders>
              <w:top w:val="single" w:sz="8" w:space="0" w:color="auto"/>
              <w:left w:val="single" w:sz="8" w:space="0" w:color="132D3E" w:themeColor="text2"/>
              <w:bottom w:val="single" w:sz="8" w:space="0" w:color="132D3E" w:themeColor="text2"/>
              <w:right w:val="single" w:sz="8" w:space="0" w:color="132D3E" w:themeColor="text2"/>
            </w:tcBorders>
            <w:vAlign w:val="center"/>
            <w:hideMark/>
          </w:tcPr>
          <w:p w14:paraId="06E5448F" w14:textId="77777777" w:rsidR="00367774" w:rsidRDefault="00367774" w:rsidP="00772262">
            <w:pPr>
              <w:pStyle w:val="TableTextRightAligned"/>
              <w:spacing w:after="0"/>
              <w:ind w:left="57" w:right="57"/>
              <w:jc w:val="right"/>
            </w:pPr>
            <w:r>
              <w:t>0.072</w:t>
            </w:r>
          </w:p>
        </w:tc>
        <w:tc>
          <w:tcPr>
            <w:tcW w:w="1750" w:type="pct"/>
            <w:tcBorders>
              <w:top w:val="single" w:sz="8" w:space="0" w:color="auto"/>
              <w:left w:val="single" w:sz="8" w:space="0" w:color="132D3E" w:themeColor="text2"/>
              <w:bottom w:val="single" w:sz="8" w:space="0" w:color="132D3E" w:themeColor="text2"/>
              <w:right w:val="single" w:sz="8" w:space="0" w:color="132D3E" w:themeColor="text2"/>
            </w:tcBorders>
            <w:vAlign w:val="center"/>
            <w:hideMark/>
          </w:tcPr>
          <w:p w14:paraId="2483E78F" w14:textId="77777777" w:rsidR="00367774" w:rsidRDefault="00367774" w:rsidP="00772262">
            <w:pPr>
              <w:pStyle w:val="TableTextRightAligned"/>
              <w:spacing w:after="0"/>
              <w:ind w:left="57" w:right="57"/>
              <w:jc w:val="right"/>
            </w:pPr>
            <w:r>
              <w:t>0.031 to 0.113</w:t>
            </w:r>
          </w:p>
        </w:tc>
      </w:tr>
      <w:tr w:rsidR="00367774" w14:paraId="182F200A" w14:textId="77777777" w:rsidTr="3330D521">
        <w:tc>
          <w:tcPr>
            <w:tcW w:w="240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71CBB1FE" w14:textId="0A6702A4" w:rsidR="00367774" w:rsidRDefault="008C73A5" w:rsidP="00772262">
            <w:pPr>
              <w:pStyle w:val="TableTextLeftAligned"/>
              <w:spacing w:after="0"/>
              <w:ind w:left="57" w:right="57"/>
            </w:pPr>
            <w:r>
              <w:t>Estimated t</w:t>
            </w:r>
            <w:r w:rsidR="00367774">
              <w:t>rue effect in a new context</w:t>
            </w:r>
          </w:p>
        </w:tc>
        <w:tc>
          <w:tcPr>
            <w:tcW w:w="85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2E785FE0" w14:textId="77777777" w:rsidR="00367774" w:rsidRDefault="00367774" w:rsidP="00772262">
            <w:pPr>
              <w:pStyle w:val="TableTextRightAligned"/>
              <w:spacing w:after="0"/>
              <w:ind w:left="57" w:right="57"/>
              <w:jc w:val="right"/>
            </w:pPr>
            <w:r>
              <w:t>0.073</w:t>
            </w:r>
          </w:p>
        </w:tc>
        <w:tc>
          <w:tcPr>
            <w:tcW w:w="175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5B02DEED" w14:textId="77777777" w:rsidR="00367774" w:rsidRDefault="00367774" w:rsidP="00772262">
            <w:pPr>
              <w:pStyle w:val="TableTextRightAligned"/>
              <w:spacing w:after="0"/>
              <w:ind w:left="57" w:right="57"/>
              <w:jc w:val="right"/>
            </w:pPr>
            <w:r>
              <w:t>−0.211 to 0.351</w:t>
            </w:r>
          </w:p>
        </w:tc>
      </w:tr>
    </w:tbl>
    <w:p w14:paraId="255069B0" w14:textId="13D9ECCC" w:rsidR="000F3850" w:rsidRPr="00FD608D" w:rsidRDefault="000F3850" w:rsidP="00C31EAC">
      <w:pPr>
        <w:pStyle w:val="HeadingTable"/>
      </w:pPr>
      <w:r w:rsidRPr="00FD608D">
        <w:t>Posterior probabilities</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5946"/>
        <w:gridCol w:w="2312"/>
      </w:tblGrid>
      <w:tr w:rsidR="00367774" w14:paraId="72B2DC1B" w14:textId="77777777" w:rsidTr="3330D521">
        <w:tc>
          <w:tcPr>
            <w:tcW w:w="3600" w:type="pct"/>
            <w:tcBorders>
              <w:top w:val="single" w:sz="8" w:space="0" w:color="auto"/>
              <w:left w:val="single" w:sz="8" w:space="0" w:color="auto"/>
              <w:bottom w:val="single" w:sz="8" w:space="0" w:color="auto"/>
              <w:right w:val="single" w:sz="8" w:space="0" w:color="auto"/>
            </w:tcBorders>
            <w:shd w:val="clear" w:color="auto" w:fill="14837A" w:themeFill="accent1"/>
            <w:vAlign w:val="center"/>
            <w:hideMark/>
          </w:tcPr>
          <w:p w14:paraId="5DC54B53" w14:textId="77777777" w:rsidR="00367774" w:rsidRPr="00DF1172" w:rsidRDefault="00367774" w:rsidP="00DF1172">
            <w:pPr>
              <w:spacing w:after="120"/>
              <w:ind w:left="57" w:right="57"/>
              <w:rPr>
                <w:b/>
                <w:bCs/>
                <w:color w:val="FFFFFF" w:themeColor="background1"/>
              </w:rPr>
            </w:pPr>
            <w:r w:rsidRPr="00DF1172">
              <w:rPr>
                <w:b/>
                <w:bCs/>
                <w:color w:val="FFFFFF" w:themeColor="background1"/>
              </w:rPr>
              <w:t>Quantity</w:t>
            </w:r>
          </w:p>
        </w:tc>
        <w:tc>
          <w:tcPr>
            <w:tcW w:w="1400" w:type="pct"/>
            <w:tcBorders>
              <w:top w:val="single" w:sz="8" w:space="0" w:color="auto"/>
              <w:left w:val="single" w:sz="8" w:space="0" w:color="auto"/>
              <w:bottom w:val="single" w:sz="8" w:space="0" w:color="auto"/>
              <w:right w:val="single" w:sz="8" w:space="0" w:color="auto"/>
            </w:tcBorders>
            <w:shd w:val="clear" w:color="auto" w:fill="14837A" w:themeFill="accent1"/>
            <w:vAlign w:val="center"/>
            <w:hideMark/>
          </w:tcPr>
          <w:p w14:paraId="74E79101" w14:textId="77777777" w:rsidR="00367774" w:rsidRPr="00DF1172" w:rsidRDefault="00367774" w:rsidP="004E3811">
            <w:pPr>
              <w:spacing w:after="120"/>
              <w:ind w:left="57" w:right="57"/>
              <w:jc w:val="right"/>
              <w:rPr>
                <w:b/>
                <w:bCs/>
                <w:color w:val="FFFFFF" w:themeColor="background1"/>
              </w:rPr>
            </w:pPr>
            <w:r w:rsidRPr="00DF1172">
              <w:rPr>
                <w:b/>
                <w:bCs/>
                <w:color w:val="FFFFFF" w:themeColor="background1"/>
              </w:rPr>
              <w:t>Probability</w:t>
            </w:r>
          </w:p>
        </w:tc>
      </w:tr>
      <w:tr w:rsidR="00367774" w14:paraId="5BBCA64F" w14:textId="77777777" w:rsidTr="3330D521">
        <w:tc>
          <w:tcPr>
            <w:tcW w:w="3600" w:type="pct"/>
            <w:tcBorders>
              <w:top w:val="single" w:sz="8" w:space="0" w:color="auto"/>
              <w:left w:val="single" w:sz="8" w:space="0" w:color="132D3E" w:themeColor="text2"/>
              <w:bottom w:val="single" w:sz="8" w:space="0" w:color="132D3E" w:themeColor="text2"/>
              <w:right w:val="single" w:sz="8" w:space="0" w:color="132D3E" w:themeColor="text2"/>
            </w:tcBorders>
            <w:vAlign w:val="center"/>
            <w:hideMark/>
          </w:tcPr>
          <w:p w14:paraId="52B2E4AE" w14:textId="2A5E0615" w:rsidR="00367774" w:rsidRDefault="00652410" w:rsidP="00772262">
            <w:pPr>
              <w:pStyle w:val="TableTextLeftAligned"/>
              <w:ind w:left="57" w:right="57"/>
            </w:pPr>
            <w:r>
              <w:t xml:space="preserve">Mean </w:t>
            </w:r>
            <w:r w:rsidR="00367774">
              <w:t>effect is positive</w:t>
            </w:r>
          </w:p>
        </w:tc>
        <w:tc>
          <w:tcPr>
            <w:tcW w:w="1400" w:type="pct"/>
            <w:tcBorders>
              <w:top w:val="single" w:sz="8" w:space="0" w:color="auto"/>
              <w:left w:val="single" w:sz="8" w:space="0" w:color="132D3E" w:themeColor="text2"/>
              <w:bottom w:val="single" w:sz="8" w:space="0" w:color="132D3E" w:themeColor="text2"/>
              <w:right w:val="single" w:sz="8" w:space="0" w:color="132D3E" w:themeColor="text2"/>
            </w:tcBorders>
            <w:vAlign w:val="center"/>
            <w:hideMark/>
          </w:tcPr>
          <w:p w14:paraId="33FBBE34" w14:textId="77777777" w:rsidR="00367774" w:rsidRDefault="00367774" w:rsidP="00772262">
            <w:pPr>
              <w:pStyle w:val="TableTextRightAligned"/>
              <w:ind w:left="57" w:right="57"/>
              <w:jc w:val="right"/>
            </w:pPr>
            <w:r>
              <w:t>99.96%</w:t>
            </w:r>
          </w:p>
        </w:tc>
      </w:tr>
      <w:tr w:rsidR="00367774" w14:paraId="3FC92D71" w14:textId="77777777" w:rsidTr="3330D521">
        <w:tc>
          <w:tcPr>
            <w:tcW w:w="360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6F45013C" w14:textId="741C2167" w:rsidR="00367774" w:rsidRDefault="00652410" w:rsidP="00772262">
            <w:pPr>
              <w:pStyle w:val="TableTextLeftAligned"/>
              <w:ind w:left="57" w:right="57"/>
            </w:pPr>
            <w:r>
              <w:t xml:space="preserve">Mean </w:t>
            </w:r>
            <w:r w:rsidR="00367774">
              <w:t xml:space="preserve">effect exceeds </w:t>
            </w:r>
            <w:r w:rsidR="00367774">
              <w:rPr>
                <w:i/>
                <w:iCs/>
              </w:rPr>
              <w:t>d</w:t>
            </w:r>
            <w:r w:rsidR="00367774">
              <w:t xml:space="preserve"> = 0.05</w:t>
            </w:r>
          </w:p>
        </w:tc>
        <w:tc>
          <w:tcPr>
            <w:tcW w:w="140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454D4126" w14:textId="77777777" w:rsidR="00367774" w:rsidRDefault="00367774" w:rsidP="00772262">
            <w:pPr>
              <w:pStyle w:val="TableTextRightAligned"/>
              <w:ind w:left="57" w:right="57"/>
              <w:jc w:val="right"/>
            </w:pPr>
            <w:r>
              <w:t>86.01%</w:t>
            </w:r>
          </w:p>
        </w:tc>
      </w:tr>
      <w:tr w:rsidR="00367774" w14:paraId="4BEEFBCD" w14:textId="77777777" w:rsidTr="3330D521">
        <w:tc>
          <w:tcPr>
            <w:tcW w:w="360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23E10B57" w14:textId="763A5B16" w:rsidR="00367774" w:rsidRDefault="008C73A5" w:rsidP="00772262">
            <w:pPr>
              <w:pStyle w:val="TableTextLeftAligned"/>
              <w:ind w:left="57" w:right="57"/>
            </w:pPr>
            <w:r>
              <w:t>Estimated t</w:t>
            </w:r>
            <w:r w:rsidR="00367774">
              <w:t>rue effect in a new context is positive</w:t>
            </w:r>
          </w:p>
        </w:tc>
        <w:tc>
          <w:tcPr>
            <w:tcW w:w="140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0B7CC06E" w14:textId="77777777" w:rsidR="00367774" w:rsidRDefault="00367774" w:rsidP="00772262">
            <w:pPr>
              <w:pStyle w:val="TableTextRightAligned"/>
              <w:ind w:left="57" w:right="57"/>
              <w:jc w:val="right"/>
            </w:pPr>
            <w:r>
              <w:t>69.44%</w:t>
            </w:r>
          </w:p>
        </w:tc>
      </w:tr>
      <w:tr w:rsidR="00367774" w14:paraId="36671A3F" w14:textId="77777777" w:rsidTr="3330D521">
        <w:tc>
          <w:tcPr>
            <w:tcW w:w="360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2A3EB806" w14:textId="37C53FC6" w:rsidR="00367774" w:rsidRDefault="008C73A5" w:rsidP="00772262">
            <w:pPr>
              <w:pStyle w:val="TableTextLeftAligned"/>
              <w:ind w:left="57" w:right="57"/>
            </w:pPr>
            <w:r>
              <w:t>Estimated t</w:t>
            </w:r>
            <w:r w:rsidR="00367774">
              <w:t xml:space="preserve">rue effect in a new context exceeds </w:t>
            </w:r>
            <w:r w:rsidR="00367774">
              <w:rPr>
                <w:i/>
                <w:iCs/>
              </w:rPr>
              <w:t>d</w:t>
            </w:r>
            <w:r w:rsidR="00367774">
              <w:t xml:space="preserve"> = 0.05</w:t>
            </w:r>
          </w:p>
        </w:tc>
        <w:tc>
          <w:tcPr>
            <w:tcW w:w="140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43267BC5" w14:textId="77777777" w:rsidR="00367774" w:rsidRDefault="00367774" w:rsidP="00772262">
            <w:pPr>
              <w:pStyle w:val="TableTextRightAligned"/>
              <w:ind w:left="57" w:right="57"/>
              <w:jc w:val="right"/>
            </w:pPr>
            <w:r>
              <w:t>56.74%</w:t>
            </w:r>
          </w:p>
        </w:tc>
      </w:tr>
      <w:tr w:rsidR="00367774" w14:paraId="324343AB" w14:textId="77777777" w:rsidTr="3330D521">
        <w:tc>
          <w:tcPr>
            <w:tcW w:w="360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2C66A905" w14:textId="252C4E3F" w:rsidR="00367774" w:rsidRDefault="008C73A5" w:rsidP="00772262">
            <w:pPr>
              <w:pStyle w:val="TableTextLeftAligned"/>
              <w:ind w:left="57" w:right="57"/>
            </w:pPr>
            <w:r>
              <w:t>Estimated t</w:t>
            </w:r>
            <w:r w:rsidR="00367774">
              <w:t xml:space="preserve">rue effect in a new context is below </w:t>
            </w:r>
            <w:r w:rsidR="00367774">
              <w:rPr>
                <w:i/>
                <w:iCs/>
              </w:rPr>
              <w:t>d</w:t>
            </w:r>
            <w:r w:rsidR="00367774">
              <w:t xml:space="preserve"> = −0.05</w:t>
            </w:r>
          </w:p>
        </w:tc>
        <w:tc>
          <w:tcPr>
            <w:tcW w:w="1400" w:type="pct"/>
            <w:tcBorders>
              <w:top w:val="single" w:sz="8" w:space="0" w:color="132D3E" w:themeColor="text2"/>
              <w:left w:val="single" w:sz="8" w:space="0" w:color="132D3E" w:themeColor="text2"/>
              <w:bottom w:val="single" w:sz="8" w:space="0" w:color="132D3E" w:themeColor="text2"/>
              <w:right w:val="single" w:sz="8" w:space="0" w:color="132D3E" w:themeColor="text2"/>
            </w:tcBorders>
            <w:vAlign w:val="center"/>
            <w:hideMark/>
          </w:tcPr>
          <w:p w14:paraId="796EFF40" w14:textId="77777777" w:rsidR="00367774" w:rsidRDefault="00367774" w:rsidP="00772262">
            <w:pPr>
              <w:pStyle w:val="TableTextRightAligned"/>
              <w:ind w:left="57" w:right="57"/>
              <w:jc w:val="right"/>
            </w:pPr>
            <w:r>
              <w:t>19.38%</w:t>
            </w:r>
          </w:p>
        </w:tc>
      </w:tr>
    </w:tbl>
    <w:p w14:paraId="5987D60E" w14:textId="2FC28D05" w:rsidR="00367774" w:rsidRPr="00881884" w:rsidRDefault="00367774" w:rsidP="00881884">
      <w:pPr>
        <w:pStyle w:val="SourceNotesText"/>
      </w:pPr>
      <w:r w:rsidRPr="00881884">
        <w:t xml:space="preserve">Note: The threshold of d = 0.05 was used as the smallest effect size of interest. </w:t>
      </w:r>
      <w:r w:rsidR="00703D45">
        <w:t xml:space="preserve">In the </w:t>
      </w:r>
      <w:r w:rsidR="00703D45" w:rsidRPr="000F3850">
        <w:rPr>
          <w:sz w:val="20"/>
          <w:szCs w:val="20"/>
        </w:rPr>
        <w:t>Bayesian</w:t>
      </w:r>
      <w:r w:rsidR="00703D45" w:rsidRPr="00881884">
        <w:t xml:space="preserve"> </w:t>
      </w:r>
      <w:r w:rsidR="00703D45">
        <w:t>analysis, a</w:t>
      </w:r>
      <w:r w:rsidRPr="00881884">
        <w:t xml:space="preserve"> credible interval describes the range containing 95% of the posterior distribution under the model and specified priors.</w:t>
      </w:r>
    </w:p>
    <w:p w14:paraId="541BCE31" w14:textId="77777777" w:rsidR="00367774" w:rsidRDefault="00367774" w:rsidP="00C31EAC">
      <w:pPr>
        <w:pStyle w:val="Heading4"/>
        <w:rPr>
          <w:kern w:val="2"/>
          <w:szCs w:val="20"/>
          <w14:ligatures w14:val="standardContextual"/>
        </w:rPr>
      </w:pPr>
      <w:r>
        <w:t>Prior sensitivity and model diagnostics</w:t>
      </w:r>
    </w:p>
    <w:p w14:paraId="49C216A0" w14:textId="01E71A82" w:rsidR="00367774" w:rsidRDefault="00367774" w:rsidP="00710F74">
      <w:pPr>
        <w:rPr>
          <w:kern w:val="2"/>
          <w:szCs w:val="20"/>
          <w14:ligatures w14:val="standardContextual"/>
        </w:rPr>
      </w:pPr>
      <w:r>
        <w:t xml:space="preserve">The estimated </w:t>
      </w:r>
      <w:r w:rsidR="00115FB8">
        <w:t>mean</w:t>
      </w:r>
      <w:r>
        <w:t xml:space="preserve"> effect was similar under more sceptical and broader prior assumptions. </w:t>
      </w:r>
      <w:r w:rsidR="00D118EF">
        <w:t>The estimated true effects across in a new context, referred to as the p</w:t>
      </w:r>
      <w:r>
        <w:t xml:space="preserve">osterior </w:t>
      </w:r>
      <w:r w:rsidR="0021304A">
        <w:t xml:space="preserve">mean </w:t>
      </w:r>
      <w:r>
        <w:t>effects</w:t>
      </w:r>
      <w:r w:rsidR="00D118EF">
        <w:t>,</w:t>
      </w:r>
      <w:r>
        <w:t xml:space="preserve"> ranged from </w:t>
      </w:r>
      <w:r>
        <w:rPr>
          <w:i/>
          <w:iCs/>
        </w:rPr>
        <w:t>d</w:t>
      </w:r>
      <w:r>
        <w:t xml:space="preserve"> = 0.070 to </w:t>
      </w:r>
      <w:r>
        <w:rPr>
          <w:i/>
          <w:iCs/>
        </w:rPr>
        <w:t>d</w:t>
      </w:r>
      <w:r>
        <w:t xml:space="preserve"> = 0.073, while the probability that the </w:t>
      </w:r>
      <w:r w:rsidR="0021304A">
        <w:t xml:space="preserve">mean </w:t>
      </w:r>
      <w:r>
        <w:t xml:space="preserve">effect exceeded </w:t>
      </w:r>
      <w:r>
        <w:rPr>
          <w:i/>
          <w:iCs/>
        </w:rPr>
        <w:t>d</w:t>
      </w:r>
      <w:r>
        <w:t xml:space="preserve"> = 0.05 ranged from 84% to 86%.</w:t>
      </w:r>
    </w:p>
    <w:p w14:paraId="35EAD663" w14:textId="77777777" w:rsidR="00367774" w:rsidRPr="00760E68" w:rsidRDefault="00367774" w:rsidP="00710F74">
      <w:r w:rsidRPr="00760E68">
        <w:t xml:space="preserve">Standard diagnostic checks indicated that the Bayesian models converged successfully and produced </w:t>
      </w:r>
      <w:proofErr w:type="gramStart"/>
      <w:r w:rsidRPr="00760E68">
        <w:t>a sufficient number of</w:t>
      </w:r>
      <w:proofErr w:type="gramEnd"/>
      <w:r w:rsidRPr="00760E68">
        <w:t xml:space="preserve"> effective posterior samples. No divergent transitions or maximum tree-depth warnings were identified.</w:t>
      </w:r>
    </w:p>
    <w:p w14:paraId="715DD901" w14:textId="19F09CCF" w:rsidR="00892E4A" w:rsidRDefault="00892E4A" w:rsidP="00C31EAC">
      <w:pPr>
        <w:pStyle w:val="Heading3"/>
        <w:rPr>
          <w:kern w:val="2"/>
          <w:sz w:val="24"/>
          <w:szCs w:val="24"/>
          <w14:ligatures w14:val="standardContextual"/>
        </w:rPr>
      </w:pPr>
      <w:r>
        <w:t>Moderator analyses</w:t>
      </w:r>
    </w:p>
    <w:p w14:paraId="17B0455B" w14:textId="34496C7D" w:rsidR="003C0B6A" w:rsidRDefault="00611C61">
      <w:r>
        <w:t xml:space="preserve">We also </w:t>
      </w:r>
      <w:r w:rsidR="008872D5">
        <w:t>undertook</w:t>
      </w:r>
      <w:r w:rsidR="00743395">
        <w:t xml:space="preserve"> </w:t>
      </w:r>
      <w:r w:rsidR="008872D5">
        <w:t xml:space="preserve">moderator analyses to </w:t>
      </w:r>
      <w:r w:rsidR="000802A1">
        <w:t xml:space="preserve">understand why estimated effect sizes </w:t>
      </w:r>
      <w:r w:rsidR="00533BEC">
        <w:t>differed across tr</w:t>
      </w:r>
      <w:r w:rsidR="00743395">
        <w:t xml:space="preserve">ials and projects. </w:t>
      </w:r>
      <w:r w:rsidR="00502F1B">
        <w:t>Moderator analyses examined</w:t>
      </w:r>
      <w:r w:rsidR="00ED2EF2">
        <w:t xml:space="preserve"> the following </w:t>
      </w:r>
      <w:r w:rsidR="00ED2EF2" w:rsidRPr="00105C81">
        <w:t>characteristics</w:t>
      </w:r>
      <w:r w:rsidR="003C0B6A">
        <w:t>:</w:t>
      </w:r>
    </w:p>
    <w:p w14:paraId="626A19DE" w14:textId="3EBC71CA" w:rsidR="0073322D" w:rsidRDefault="0073322D" w:rsidP="00C31EAC">
      <w:pPr>
        <w:pStyle w:val="ListBullet"/>
        <w:rPr>
          <w:kern w:val="2"/>
          <w:szCs w:val="20"/>
          <w14:ligatures w14:val="standardContextual"/>
        </w:rPr>
      </w:pPr>
      <w:r>
        <w:t>behavioural domain (finance, environment, prosocial behaviours that primarily benefit others or society</w:t>
      </w:r>
      <w:r>
        <w:rPr>
          <w:strike/>
          <w:color w:val="FF0000"/>
        </w:rPr>
        <w:t>,</w:t>
      </w:r>
      <w:r>
        <w:t xml:space="preserve"> health and other policy domains</w:t>
      </w:r>
      <w:r w:rsidR="00A75A96">
        <w:t xml:space="preserve">, see </w:t>
      </w:r>
      <w:r>
        <w:t>Table 5)</w:t>
      </w:r>
    </w:p>
    <w:p w14:paraId="0F6BCB9A" w14:textId="41EFCB1B" w:rsidR="003C0B6A" w:rsidRDefault="2928A2DC" w:rsidP="00C31EAC">
      <w:pPr>
        <w:pStyle w:val="ListBullet"/>
      </w:pPr>
      <w:r>
        <w:t>intervention category</w:t>
      </w:r>
      <w:r w:rsidR="1F4F5509">
        <w:t xml:space="preserve"> (</w:t>
      </w:r>
      <w:r w:rsidR="41CCA69B">
        <w:t xml:space="preserve">the broad intervention approach: </w:t>
      </w:r>
      <w:r w:rsidR="1FF605EF">
        <w:t xml:space="preserve"> </w:t>
      </w:r>
      <w:r w:rsidR="0C442E8B">
        <w:t xml:space="preserve">decision </w:t>
      </w:r>
      <w:r w:rsidR="1F4F5509">
        <w:t>information</w:t>
      </w:r>
      <w:r w:rsidR="789CD101">
        <w:t>, d</w:t>
      </w:r>
      <w:r w:rsidR="1F4F5509">
        <w:t>ecision structure</w:t>
      </w:r>
      <w:r w:rsidR="789CD101">
        <w:t xml:space="preserve">, </w:t>
      </w:r>
      <w:r w:rsidR="1FF605EF">
        <w:t>or</w:t>
      </w:r>
      <w:r w:rsidR="1F4F5509">
        <w:t xml:space="preserve"> </w:t>
      </w:r>
      <w:r w:rsidR="3DE820B8">
        <w:t xml:space="preserve">decision </w:t>
      </w:r>
      <w:r w:rsidR="1F4F5509">
        <w:t>assistance</w:t>
      </w:r>
      <w:r w:rsidR="015BDB2C">
        <w:t>, see</w:t>
      </w:r>
      <w:r w:rsidR="00A75A96">
        <w:t xml:space="preserve"> </w:t>
      </w:r>
      <w:r w:rsidR="7C88D4E7">
        <w:t>Table 6</w:t>
      </w:r>
      <w:r w:rsidR="059D3A12">
        <w:t>)</w:t>
      </w:r>
    </w:p>
    <w:p w14:paraId="798D0614" w14:textId="67DDBB89" w:rsidR="003C0B6A" w:rsidRDefault="00502F1B" w:rsidP="00C31EAC">
      <w:pPr>
        <w:pStyle w:val="ListBullet"/>
      </w:pPr>
      <w:r>
        <w:t>behavioural technique</w:t>
      </w:r>
      <w:r w:rsidR="00B01134">
        <w:t xml:space="preserve"> </w:t>
      </w:r>
      <w:r w:rsidR="10F52372">
        <w:t xml:space="preserve">the specific behavioural technique implemented within those broader intervention categories, see </w:t>
      </w:r>
      <w:r w:rsidR="004120F0">
        <w:t>Table 7</w:t>
      </w:r>
    </w:p>
    <w:p w14:paraId="19450472" w14:textId="38E6A511" w:rsidR="003C0B6A" w:rsidRDefault="00502F1B" w:rsidP="00C31EAC">
      <w:pPr>
        <w:pStyle w:val="ListBullet"/>
      </w:pPr>
      <w:r>
        <w:t>experiment type</w:t>
      </w:r>
      <w:r w:rsidR="006F171C">
        <w:t xml:space="preserve"> (survey or field experiment</w:t>
      </w:r>
      <w:r w:rsidR="00977842">
        <w:t xml:space="preserve">, see </w:t>
      </w:r>
      <w:r w:rsidR="004E19B9">
        <w:t xml:space="preserve">Table 8) </w:t>
      </w:r>
      <w:r>
        <w:t xml:space="preserve">and </w:t>
      </w:r>
    </w:p>
    <w:p w14:paraId="3935F750" w14:textId="462693BF" w:rsidR="00675803" w:rsidRDefault="00502F1B" w:rsidP="00C31EAC">
      <w:pPr>
        <w:pStyle w:val="ListBullet"/>
      </w:pPr>
      <w:r>
        <w:lastRenderedPageBreak/>
        <w:t xml:space="preserve">trial year. </w:t>
      </w:r>
    </w:p>
    <w:p w14:paraId="05CEB24A" w14:textId="5F81621E" w:rsidR="00502F1B" w:rsidRPr="00B84DBC" w:rsidRDefault="00502F1B" w:rsidP="00710F74">
      <w:r>
        <w:t>To prevent trials with many outcomes or intervention arms from having disproportionate influence</w:t>
      </w:r>
      <w:r w:rsidR="00444BAD">
        <w:t xml:space="preserve"> in the moderator analyses</w:t>
      </w:r>
      <w:r>
        <w:t>, related estimates were first combined within trials using generalised least squares</w:t>
      </w:r>
      <w:r w:rsidR="00347C27">
        <w:t xml:space="preserve"> (GLS)</w:t>
      </w:r>
      <w:r>
        <w:t>, assuming a within-trial correlation of ρ = 0.50. Random-effects meta-regressions were then estimated using restricted maximum likelihood.</w:t>
      </w:r>
    </w:p>
    <w:p w14:paraId="27C99EFD" w14:textId="1B13E5F5" w:rsidR="00B1346D" w:rsidRPr="00B1346D" w:rsidRDefault="00F51E62" w:rsidP="00710F74">
      <w:r>
        <w:t>None of the omnibus tests were statistically significant</w:t>
      </w:r>
      <w:r w:rsidR="004120F0">
        <w:t xml:space="preserve"> (Table 4)</w:t>
      </w:r>
      <w:r>
        <w:t xml:space="preserve">. </w:t>
      </w:r>
      <w:r w:rsidR="00331520">
        <w:t>That is, t</w:t>
      </w:r>
      <w:r>
        <w:t xml:space="preserve">he analysis did not identify clear evidence that the moderators examined systematically explained variation in </w:t>
      </w:r>
      <w:r w:rsidR="00733B76">
        <w:t xml:space="preserve">estimate </w:t>
      </w:r>
      <w:r>
        <w:t xml:space="preserve">effects. </w:t>
      </w:r>
      <w:r w:rsidR="00B1346D">
        <w:t>Further, a</w:t>
      </w:r>
      <w:r>
        <w:t xml:space="preserve">lthough </w:t>
      </w:r>
      <w:r w:rsidR="00733B76">
        <w:t xml:space="preserve">the size of the mean </w:t>
      </w:r>
      <w:r>
        <w:t>effects differed across some subgroups</w:t>
      </w:r>
      <w:r w:rsidR="00B1346D">
        <w:t xml:space="preserve"> of the moderating factors</w:t>
      </w:r>
      <w:r>
        <w:t xml:space="preserve">, the uncertainty around these estimates was substantial and several subgroups contained relatively few </w:t>
      </w:r>
      <w:r w:rsidR="00D7215D" w:rsidRPr="00D7215D">
        <w:t>trial</w:t>
      </w:r>
      <w:r w:rsidR="00D7215D">
        <w:t>s</w:t>
      </w:r>
      <w:r w:rsidR="00B1346D">
        <w:t xml:space="preserve"> (Tables 5-8)</w:t>
      </w:r>
      <w:r w:rsidRPr="0DC88EF6">
        <w:rPr>
          <w:rFonts w:cstheme="minorBidi"/>
        </w:rPr>
        <w:t>.</w:t>
      </w:r>
      <w:r w:rsidR="00082097" w:rsidRPr="0DC88EF6">
        <w:rPr>
          <w:rFonts w:cstheme="minorBidi"/>
        </w:rPr>
        <w:t xml:space="preserve"> </w:t>
      </w:r>
    </w:p>
    <w:p w14:paraId="7A2F942E" w14:textId="126AD713" w:rsidR="00C37061" w:rsidRDefault="001650C0" w:rsidP="00710F74">
      <w:pPr>
        <w:rPr>
          <w:rFonts w:cstheme="minorBidi"/>
        </w:rPr>
      </w:pPr>
      <w:r w:rsidRPr="0DC88EF6">
        <w:rPr>
          <w:rFonts w:cstheme="minorBidi"/>
        </w:rPr>
        <w:t xml:space="preserve">This is in line with recent second-order </w:t>
      </w:r>
      <w:r w:rsidR="00733B76">
        <w:rPr>
          <w:rFonts w:cstheme="minorBidi"/>
        </w:rPr>
        <w:t xml:space="preserve">international </w:t>
      </w:r>
      <w:r w:rsidRPr="0DC88EF6">
        <w:rPr>
          <w:rFonts w:cstheme="minorBidi"/>
        </w:rPr>
        <w:t>syntheses</w:t>
      </w:r>
      <w:r w:rsidR="00733B76">
        <w:rPr>
          <w:rFonts w:cstheme="minorBidi"/>
        </w:rPr>
        <w:t xml:space="preserve"> of behavioural interventions</w:t>
      </w:r>
      <w:r w:rsidRPr="0DC88EF6">
        <w:rPr>
          <w:rFonts w:cstheme="minorBidi"/>
        </w:rPr>
        <w:t xml:space="preserve"> which </w:t>
      </w:r>
      <w:r w:rsidR="00517205" w:rsidRPr="0DC88EF6">
        <w:rPr>
          <w:rFonts w:cstheme="minorBidi"/>
        </w:rPr>
        <w:t>found</w:t>
      </w:r>
      <w:r w:rsidRPr="0DC88EF6">
        <w:rPr>
          <w:rFonts w:cstheme="minorBidi"/>
        </w:rPr>
        <w:t xml:space="preserve"> substantial uncertainty remain</w:t>
      </w:r>
      <w:r w:rsidR="00517205" w:rsidRPr="0DC88EF6">
        <w:rPr>
          <w:rFonts w:cstheme="minorBidi"/>
        </w:rPr>
        <w:t>ing</w:t>
      </w:r>
      <w:r w:rsidRPr="0DC88EF6">
        <w:rPr>
          <w:rFonts w:cstheme="minorBidi"/>
        </w:rPr>
        <w:t xml:space="preserve"> regarding their effectiveness across contexts (Hu et al., 2025; Kaiser et al., 2025).</w:t>
      </w:r>
    </w:p>
    <w:p w14:paraId="00500700" w14:textId="5C6D8B46" w:rsidR="000F3850" w:rsidRPr="000F3850" w:rsidRDefault="000F3850" w:rsidP="00C31EAC">
      <w:pPr>
        <w:pStyle w:val="HeadingTable"/>
      </w:pPr>
      <w:r w:rsidRPr="000F3850">
        <w:t>Omnibus tests of moderators</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3634"/>
        <w:gridCol w:w="1156"/>
        <w:gridCol w:w="1156"/>
        <w:gridCol w:w="991"/>
        <w:gridCol w:w="1321"/>
      </w:tblGrid>
      <w:tr w:rsidR="00FD2BC4" w14:paraId="22F9A674" w14:textId="77777777" w:rsidTr="00DF1172">
        <w:tc>
          <w:tcPr>
            <w:tcW w:w="22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4FE51CD8" w14:textId="77777777" w:rsidR="00FD2BC4" w:rsidRDefault="00FD2BC4" w:rsidP="00292D3D">
            <w:pPr>
              <w:pStyle w:val="TableTextLeftAligned"/>
              <w:ind w:left="57" w:right="57"/>
              <w:rPr>
                <w:color w:val="FFFFFF"/>
                <w:kern w:val="2"/>
                <w:szCs w:val="20"/>
                <w14:ligatures w14:val="standardContextual"/>
              </w:rPr>
            </w:pPr>
            <w:r>
              <w:rPr>
                <w:b/>
                <w:bCs/>
                <w:color w:val="FFFFFF"/>
              </w:rPr>
              <w:t>Moderator</w:t>
            </w:r>
          </w:p>
        </w:tc>
        <w:tc>
          <w:tcPr>
            <w:tcW w:w="7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23905C71" w14:textId="7184EEEB" w:rsidR="00FD2BC4" w:rsidRPr="00B74D9A" w:rsidRDefault="00183DD9" w:rsidP="00B74D9A">
            <w:pPr>
              <w:pStyle w:val="TableTextLeftAligned"/>
              <w:ind w:left="57" w:right="57"/>
              <w:jc w:val="right"/>
              <w:rPr>
                <w:b/>
                <w:bCs/>
                <w:color w:val="FFFFFF"/>
              </w:rPr>
            </w:pPr>
            <w:r w:rsidRPr="00B74D9A">
              <w:rPr>
                <w:b/>
                <w:bCs/>
                <w:color w:val="FFFFFF"/>
              </w:rPr>
              <w:t>Trials</w:t>
            </w:r>
          </w:p>
        </w:tc>
        <w:tc>
          <w:tcPr>
            <w:tcW w:w="7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743729F3" w14:textId="77777777" w:rsidR="00FD2BC4" w:rsidRDefault="00FD2BC4" w:rsidP="00292D3D">
            <w:pPr>
              <w:pStyle w:val="TableTextRightAligned"/>
              <w:ind w:left="57" w:right="57"/>
              <w:jc w:val="right"/>
              <w:rPr>
                <w:color w:val="FFFFFF"/>
              </w:rPr>
            </w:pPr>
            <w:r>
              <w:rPr>
                <w:b/>
                <w:bCs/>
                <w:color w:val="FFFFFF"/>
              </w:rPr>
              <w:t>Q</w:t>
            </w:r>
            <w:r>
              <w:rPr>
                <w:b/>
                <w:bCs/>
                <w:color w:val="FFFFFF"/>
                <w:vertAlign w:val="subscript"/>
              </w:rPr>
              <w:t>M</w:t>
            </w:r>
          </w:p>
        </w:tc>
        <w:tc>
          <w:tcPr>
            <w:tcW w:w="6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03513363" w14:textId="77777777" w:rsidR="00FD2BC4" w:rsidRDefault="00FD2BC4" w:rsidP="00292D3D">
            <w:pPr>
              <w:pStyle w:val="TableTextRightAligned"/>
              <w:ind w:left="57" w:right="57"/>
              <w:jc w:val="right"/>
              <w:rPr>
                <w:color w:val="FFFFFF"/>
              </w:rPr>
            </w:pPr>
            <w:proofErr w:type="spellStart"/>
            <w:r>
              <w:rPr>
                <w:b/>
                <w:bCs/>
                <w:color w:val="FFFFFF"/>
              </w:rPr>
              <w:t>df</w:t>
            </w:r>
            <w:proofErr w:type="spellEnd"/>
          </w:p>
        </w:tc>
        <w:tc>
          <w:tcPr>
            <w:tcW w:w="8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5D2D03DA" w14:textId="77777777" w:rsidR="00FD2BC4" w:rsidRDefault="00FD2BC4" w:rsidP="00292D3D">
            <w:pPr>
              <w:pStyle w:val="TableTextRightAligned"/>
              <w:ind w:left="57" w:right="57"/>
              <w:jc w:val="right"/>
              <w:rPr>
                <w:color w:val="FFFFFF"/>
              </w:rPr>
            </w:pPr>
            <w:r>
              <w:rPr>
                <w:b/>
                <w:bCs/>
                <w:i/>
                <w:iCs/>
                <w:color w:val="FFFFFF"/>
              </w:rPr>
              <w:t>p</w:t>
            </w:r>
            <w:r>
              <w:rPr>
                <w:b/>
                <w:bCs/>
                <w:color w:val="FFFFFF"/>
              </w:rPr>
              <w:t>-value</w:t>
            </w:r>
          </w:p>
        </w:tc>
      </w:tr>
      <w:tr w:rsidR="00FD2BC4" w14:paraId="488E26DF" w14:textId="77777777" w:rsidTr="00DF1172">
        <w:tc>
          <w:tcPr>
            <w:tcW w:w="2200" w:type="pct"/>
            <w:tcBorders>
              <w:top w:val="single" w:sz="8" w:space="0" w:color="auto"/>
              <w:left w:val="single" w:sz="8" w:space="0" w:color="132D3E"/>
              <w:bottom w:val="single" w:sz="8" w:space="0" w:color="132D3E"/>
              <w:right w:val="single" w:sz="8" w:space="0" w:color="132D3E"/>
            </w:tcBorders>
            <w:vAlign w:val="center"/>
            <w:hideMark/>
          </w:tcPr>
          <w:p w14:paraId="5E737BF7" w14:textId="77777777" w:rsidR="00FD2BC4" w:rsidRDefault="00FD2BC4" w:rsidP="00292D3D">
            <w:pPr>
              <w:pStyle w:val="TableTextLeftAligned"/>
              <w:ind w:left="57" w:right="57"/>
            </w:pPr>
            <w:r>
              <w:t>Behavioural domain</w:t>
            </w:r>
          </w:p>
        </w:tc>
        <w:tc>
          <w:tcPr>
            <w:tcW w:w="700" w:type="pct"/>
            <w:tcBorders>
              <w:top w:val="single" w:sz="8" w:space="0" w:color="auto"/>
              <w:left w:val="single" w:sz="8" w:space="0" w:color="132D3E"/>
              <w:bottom w:val="single" w:sz="8" w:space="0" w:color="132D3E"/>
              <w:right w:val="single" w:sz="8" w:space="0" w:color="132D3E"/>
            </w:tcBorders>
            <w:vAlign w:val="center"/>
            <w:hideMark/>
          </w:tcPr>
          <w:p w14:paraId="0F67AC0B" w14:textId="77777777" w:rsidR="00FD2BC4" w:rsidRDefault="00FD2BC4" w:rsidP="00292D3D">
            <w:pPr>
              <w:pStyle w:val="TableTextRightAligned"/>
              <w:ind w:left="57" w:right="57"/>
              <w:jc w:val="right"/>
            </w:pPr>
            <w:r>
              <w:t>52</w:t>
            </w:r>
          </w:p>
        </w:tc>
        <w:tc>
          <w:tcPr>
            <w:tcW w:w="700" w:type="pct"/>
            <w:tcBorders>
              <w:top w:val="single" w:sz="8" w:space="0" w:color="auto"/>
              <w:left w:val="single" w:sz="8" w:space="0" w:color="132D3E"/>
              <w:bottom w:val="single" w:sz="8" w:space="0" w:color="132D3E"/>
              <w:right w:val="single" w:sz="8" w:space="0" w:color="132D3E"/>
            </w:tcBorders>
            <w:vAlign w:val="center"/>
            <w:hideMark/>
          </w:tcPr>
          <w:p w14:paraId="173FD866" w14:textId="77777777" w:rsidR="00FD2BC4" w:rsidRDefault="00FD2BC4" w:rsidP="00292D3D">
            <w:pPr>
              <w:pStyle w:val="TableTextRightAligned"/>
              <w:ind w:left="57" w:right="57"/>
              <w:jc w:val="right"/>
            </w:pPr>
            <w:r>
              <w:t>3.02</w:t>
            </w:r>
          </w:p>
        </w:tc>
        <w:tc>
          <w:tcPr>
            <w:tcW w:w="600" w:type="pct"/>
            <w:tcBorders>
              <w:top w:val="single" w:sz="8" w:space="0" w:color="auto"/>
              <w:left w:val="single" w:sz="8" w:space="0" w:color="132D3E"/>
              <w:bottom w:val="single" w:sz="8" w:space="0" w:color="132D3E"/>
              <w:right w:val="single" w:sz="8" w:space="0" w:color="132D3E"/>
            </w:tcBorders>
            <w:vAlign w:val="center"/>
            <w:hideMark/>
          </w:tcPr>
          <w:p w14:paraId="075D6F97" w14:textId="77777777" w:rsidR="00FD2BC4" w:rsidRDefault="00FD2BC4" w:rsidP="00292D3D">
            <w:pPr>
              <w:pStyle w:val="TableTextRightAligned"/>
              <w:ind w:left="57" w:right="57"/>
              <w:jc w:val="right"/>
            </w:pPr>
            <w:r>
              <w:t>4</w:t>
            </w:r>
          </w:p>
        </w:tc>
        <w:tc>
          <w:tcPr>
            <w:tcW w:w="800" w:type="pct"/>
            <w:tcBorders>
              <w:top w:val="single" w:sz="8" w:space="0" w:color="auto"/>
              <w:left w:val="single" w:sz="8" w:space="0" w:color="132D3E"/>
              <w:bottom w:val="single" w:sz="8" w:space="0" w:color="132D3E"/>
              <w:right w:val="single" w:sz="8" w:space="0" w:color="132D3E"/>
            </w:tcBorders>
            <w:vAlign w:val="center"/>
            <w:hideMark/>
          </w:tcPr>
          <w:p w14:paraId="268E9F9E" w14:textId="77777777" w:rsidR="00FD2BC4" w:rsidRDefault="00FD2BC4" w:rsidP="00292D3D">
            <w:pPr>
              <w:pStyle w:val="TableTextRightAligned"/>
              <w:ind w:left="57" w:right="57"/>
              <w:jc w:val="right"/>
            </w:pPr>
            <w:r>
              <w:t>.555</w:t>
            </w:r>
          </w:p>
        </w:tc>
      </w:tr>
      <w:tr w:rsidR="00FD2BC4" w14:paraId="1D788F4E" w14:textId="77777777" w:rsidTr="00975D0C">
        <w:tc>
          <w:tcPr>
            <w:tcW w:w="2200" w:type="pct"/>
            <w:tcBorders>
              <w:top w:val="single" w:sz="8" w:space="0" w:color="132D3E"/>
              <w:left w:val="single" w:sz="8" w:space="0" w:color="132D3E"/>
              <w:bottom w:val="single" w:sz="8" w:space="0" w:color="132D3E"/>
              <w:right w:val="single" w:sz="8" w:space="0" w:color="132D3E"/>
            </w:tcBorders>
            <w:vAlign w:val="center"/>
            <w:hideMark/>
          </w:tcPr>
          <w:p w14:paraId="107614E1" w14:textId="77777777" w:rsidR="00FD2BC4" w:rsidRDefault="00FD2BC4" w:rsidP="00292D3D">
            <w:pPr>
              <w:pStyle w:val="TableTextLeftAligned"/>
              <w:ind w:left="57" w:right="57"/>
            </w:pPr>
            <w:r>
              <w:t>Intervention category</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1D0BA361" w14:textId="77777777" w:rsidR="00FD2BC4" w:rsidRDefault="00FD2BC4" w:rsidP="00292D3D">
            <w:pPr>
              <w:pStyle w:val="TableTextRightAligned"/>
              <w:ind w:left="57" w:right="57"/>
              <w:jc w:val="right"/>
            </w:pPr>
            <w:r>
              <w:t>52</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62877716" w14:textId="77777777" w:rsidR="00FD2BC4" w:rsidRDefault="00FD2BC4" w:rsidP="00292D3D">
            <w:pPr>
              <w:pStyle w:val="TableTextRightAligned"/>
              <w:ind w:left="57" w:right="57"/>
              <w:jc w:val="right"/>
            </w:pPr>
            <w:r>
              <w:t>2.15</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01F05F56" w14:textId="77777777" w:rsidR="00FD2BC4" w:rsidRDefault="00FD2BC4" w:rsidP="00292D3D">
            <w:pPr>
              <w:pStyle w:val="TableTextRightAligned"/>
              <w:ind w:left="57" w:right="57"/>
              <w:jc w:val="right"/>
            </w:pPr>
            <w:r>
              <w:t>2</w:t>
            </w:r>
          </w:p>
        </w:tc>
        <w:tc>
          <w:tcPr>
            <w:tcW w:w="800" w:type="pct"/>
            <w:tcBorders>
              <w:top w:val="single" w:sz="8" w:space="0" w:color="132D3E"/>
              <w:left w:val="single" w:sz="8" w:space="0" w:color="132D3E"/>
              <w:bottom w:val="single" w:sz="8" w:space="0" w:color="132D3E"/>
              <w:right w:val="single" w:sz="8" w:space="0" w:color="132D3E"/>
            </w:tcBorders>
            <w:vAlign w:val="center"/>
            <w:hideMark/>
          </w:tcPr>
          <w:p w14:paraId="7D861FA2" w14:textId="77777777" w:rsidR="00FD2BC4" w:rsidRDefault="00FD2BC4" w:rsidP="00292D3D">
            <w:pPr>
              <w:pStyle w:val="TableTextRightAligned"/>
              <w:ind w:left="57" w:right="57"/>
              <w:jc w:val="right"/>
            </w:pPr>
            <w:r>
              <w:t>.342</w:t>
            </w:r>
          </w:p>
        </w:tc>
      </w:tr>
      <w:tr w:rsidR="00FD2BC4" w14:paraId="5858AAB3" w14:textId="77777777" w:rsidTr="00975D0C">
        <w:tc>
          <w:tcPr>
            <w:tcW w:w="2200" w:type="pct"/>
            <w:tcBorders>
              <w:top w:val="single" w:sz="8" w:space="0" w:color="132D3E"/>
              <w:left w:val="single" w:sz="8" w:space="0" w:color="132D3E"/>
              <w:bottom w:val="single" w:sz="8" w:space="0" w:color="132D3E"/>
              <w:right w:val="single" w:sz="8" w:space="0" w:color="132D3E"/>
            </w:tcBorders>
            <w:vAlign w:val="center"/>
            <w:hideMark/>
          </w:tcPr>
          <w:p w14:paraId="351E5AB5" w14:textId="77777777" w:rsidR="00FD2BC4" w:rsidRDefault="00FD2BC4" w:rsidP="00292D3D">
            <w:pPr>
              <w:pStyle w:val="TableTextLeftAligned"/>
              <w:ind w:left="57" w:right="57"/>
            </w:pPr>
            <w:r>
              <w:t>Behavioural technique</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688AB482" w14:textId="77777777" w:rsidR="00FD2BC4" w:rsidRDefault="00FD2BC4" w:rsidP="00292D3D">
            <w:pPr>
              <w:pStyle w:val="TableTextRightAligned"/>
              <w:ind w:left="57" w:right="57"/>
              <w:jc w:val="right"/>
            </w:pPr>
            <w:r>
              <w:t>52</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2C3BC881" w14:textId="77777777" w:rsidR="00FD2BC4" w:rsidRDefault="00FD2BC4" w:rsidP="00292D3D">
            <w:pPr>
              <w:pStyle w:val="TableTextRightAligned"/>
              <w:ind w:left="57" w:right="57"/>
              <w:jc w:val="right"/>
            </w:pPr>
            <w:r>
              <w:t>12.47</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0C87B836" w14:textId="77777777" w:rsidR="00FD2BC4" w:rsidRDefault="00FD2BC4" w:rsidP="00292D3D">
            <w:pPr>
              <w:pStyle w:val="TableTextRightAligned"/>
              <w:ind w:left="57" w:right="57"/>
              <w:jc w:val="right"/>
            </w:pPr>
            <w:r>
              <w:t>8</w:t>
            </w:r>
          </w:p>
        </w:tc>
        <w:tc>
          <w:tcPr>
            <w:tcW w:w="800" w:type="pct"/>
            <w:tcBorders>
              <w:top w:val="single" w:sz="8" w:space="0" w:color="132D3E"/>
              <w:left w:val="single" w:sz="8" w:space="0" w:color="132D3E"/>
              <w:bottom w:val="single" w:sz="8" w:space="0" w:color="132D3E"/>
              <w:right w:val="single" w:sz="8" w:space="0" w:color="132D3E"/>
            </w:tcBorders>
            <w:vAlign w:val="center"/>
            <w:hideMark/>
          </w:tcPr>
          <w:p w14:paraId="4DB29DB3" w14:textId="77777777" w:rsidR="00FD2BC4" w:rsidRDefault="00FD2BC4" w:rsidP="00292D3D">
            <w:pPr>
              <w:pStyle w:val="TableTextRightAligned"/>
              <w:ind w:left="57" w:right="57"/>
              <w:jc w:val="right"/>
            </w:pPr>
            <w:r>
              <w:t>.132</w:t>
            </w:r>
          </w:p>
        </w:tc>
      </w:tr>
      <w:tr w:rsidR="00FD2BC4" w14:paraId="218353EA" w14:textId="77777777" w:rsidTr="00975D0C">
        <w:tc>
          <w:tcPr>
            <w:tcW w:w="2200" w:type="pct"/>
            <w:tcBorders>
              <w:top w:val="single" w:sz="8" w:space="0" w:color="132D3E"/>
              <w:left w:val="single" w:sz="8" w:space="0" w:color="132D3E"/>
              <w:bottom w:val="single" w:sz="8" w:space="0" w:color="132D3E"/>
              <w:right w:val="single" w:sz="8" w:space="0" w:color="132D3E"/>
            </w:tcBorders>
            <w:vAlign w:val="center"/>
            <w:hideMark/>
          </w:tcPr>
          <w:p w14:paraId="5C998A97" w14:textId="77777777" w:rsidR="00FD2BC4" w:rsidRDefault="00FD2BC4" w:rsidP="00292D3D">
            <w:pPr>
              <w:pStyle w:val="TableTextLeftAligned"/>
              <w:ind w:left="57" w:right="57"/>
            </w:pPr>
            <w:r>
              <w:t>Experiment type</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09669C79" w14:textId="77777777" w:rsidR="00FD2BC4" w:rsidRDefault="00FD2BC4" w:rsidP="00292D3D">
            <w:pPr>
              <w:pStyle w:val="TableTextRightAligned"/>
              <w:ind w:left="57" w:right="57"/>
              <w:jc w:val="right"/>
            </w:pPr>
            <w:r>
              <w:t>51</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408D8AB9" w14:textId="77777777" w:rsidR="00FD2BC4" w:rsidRDefault="00FD2BC4" w:rsidP="00292D3D">
            <w:pPr>
              <w:pStyle w:val="TableTextRightAligned"/>
              <w:ind w:left="57" w:right="57"/>
              <w:jc w:val="right"/>
            </w:pPr>
            <w:r>
              <w:t>2.54</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110FC0F6" w14:textId="77777777" w:rsidR="00FD2BC4" w:rsidRDefault="00FD2BC4" w:rsidP="00292D3D">
            <w:pPr>
              <w:pStyle w:val="TableTextRightAligned"/>
              <w:ind w:left="57" w:right="57"/>
              <w:jc w:val="right"/>
            </w:pPr>
            <w:r>
              <w:t>1</w:t>
            </w:r>
          </w:p>
        </w:tc>
        <w:tc>
          <w:tcPr>
            <w:tcW w:w="800" w:type="pct"/>
            <w:tcBorders>
              <w:top w:val="single" w:sz="8" w:space="0" w:color="132D3E"/>
              <w:left w:val="single" w:sz="8" w:space="0" w:color="132D3E"/>
              <w:bottom w:val="single" w:sz="8" w:space="0" w:color="132D3E"/>
              <w:right w:val="single" w:sz="8" w:space="0" w:color="132D3E"/>
            </w:tcBorders>
            <w:vAlign w:val="center"/>
            <w:hideMark/>
          </w:tcPr>
          <w:p w14:paraId="246A6A78" w14:textId="77777777" w:rsidR="00FD2BC4" w:rsidRDefault="00FD2BC4" w:rsidP="00292D3D">
            <w:pPr>
              <w:pStyle w:val="TableTextRightAligned"/>
              <w:ind w:left="57" w:right="57"/>
              <w:jc w:val="right"/>
            </w:pPr>
            <w:r>
              <w:t>.111</w:t>
            </w:r>
          </w:p>
        </w:tc>
      </w:tr>
      <w:tr w:rsidR="00FD2BC4" w14:paraId="708C7AD3" w14:textId="77777777" w:rsidTr="00975D0C">
        <w:tc>
          <w:tcPr>
            <w:tcW w:w="2200" w:type="pct"/>
            <w:tcBorders>
              <w:top w:val="single" w:sz="8" w:space="0" w:color="132D3E"/>
              <w:left w:val="single" w:sz="8" w:space="0" w:color="132D3E"/>
              <w:bottom w:val="single" w:sz="8" w:space="0" w:color="132D3E"/>
              <w:right w:val="single" w:sz="8" w:space="0" w:color="132D3E"/>
            </w:tcBorders>
            <w:vAlign w:val="center"/>
            <w:hideMark/>
          </w:tcPr>
          <w:p w14:paraId="4636F513" w14:textId="77777777" w:rsidR="00FD2BC4" w:rsidRDefault="00FD2BC4" w:rsidP="00292D3D">
            <w:pPr>
              <w:pStyle w:val="TableTextLeftAligned"/>
              <w:ind w:left="57" w:right="57"/>
            </w:pPr>
            <w:r>
              <w:t>Trial year</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4564B52A" w14:textId="77777777" w:rsidR="00FD2BC4" w:rsidRDefault="00FD2BC4" w:rsidP="00292D3D">
            <w:pPr>
              <w:pStyle w:val="TableTextRightAligned"/>
              <w:ind w:left="57" w:right="57"/>
              <w:jc w:val="right"/>
            </w:pPr>
            <w:r>
              <w:t>50</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4386EF3D" w14:textId="77777777" w:rsidR="00FD2BC4" w:rsidRDefault="00FD2BC4" w:rsidP="00292D3D">
            <w:pPr>
              <w:pStyle w:val="TableTextRightAligned"/>
              <w:ind w:left="57" w:right="57"/>
              <w:jc w:val="right"/>
            </w:pPr>
            <w:r>
              <w:t>0.00</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2A94CEFA" w14:textId="77777777" w:rsidR="00FD2BC4" w:rsidRDefault="00FD2BC4" w:rsidP="00292D3D">
            <w:pPr>
              <w:pStyle w:val="TableTextRightAligned"/>
              <w:ind w:left="57" w:right="57"/>
              <w:jc w:val="right"/>
            </w:pPr>
            <w:r>
              <w:t>1</w:t>
            </w:r>
          </w:p>
        </w:tc>
        <w:tc>
          <w:tcPr>
            <w:tcW w:w="800" w:type="pct"/>
            <w:tcBorders>
              <w:top w:val="single" w:sz="8" w:space="0" w:color="132D3E"/>
              <w:left w:val="single" w:sz="8" w:space="0" w:color="132D3E"/>
              <w:bottom w:val="single" w:sz="8" w:space="0" w:color="132D3E"/>
              <w:right w:val="single" w:sz="8" w:space="0" w:color="132D3E"/>
            </w:tcBorders>
            <w:vAlign w:val="center"/>
            <w:hideMark/>
          </w:tcPr>
          <w:p w14:paraId="29D5222A" w14:textId="77777777" w:rsidR="00FD2BC4" w:rsidRDefault="00FD2BC4" w:rsidP="00292D3D">
            <w:pPr>
              <w:pStyle w:val="TableTextRightAligned"/>
              <w:ind w:left="57" w:right="57"/>
              <w:jc w:val="right"/>
            </w:pPr>
            <w:r>
              <w:t>.945</w:t>
            </w:r>
          </w:p>
        </w:tc>
      </w:tr>
      <w:tr w:rsidR="00FD2BC4" w14:paraId="63D1B01F" w14:textId="77777777" w:rsidTr="00975D0C">
        <w:tc>
          <w:tcPr>
            <w:tcW w:w="2200" w:type="pct"/>
            <w:tcBorders>
              <w:top w:val="single" w:sz="8" w:space="0" w:color="132D3E"/>
              <w:left w:val="single" w:sz="8" w:space="0" w:color="132D3E"/>
              <w:bottom w:val="single" w:sz="8" w:space="0" w:color="132D3E"/>
              <w:right w:val="single" w:sz="8" w:space="0" w:color="132D3E"/>
            </w:tcBorders>
            <w:vAlign w:val="center"/>
            <w:hideMark/>
          </w:tcPr>
          <w:p w14:paraId="5850DB20" w14:textId="77777777" w:rsidR="00FD2BC4" w:rsidRDefault="00FD2BC4" w:rsidP="00292D3D">
            <w:pPr>
              <w:pStyle w:val="TableTextLeftAligned"/>
              <w:ind w:left="57" w:right="57"/>
            </w:pPr>
            <w:r>
              <w:t>Intervention category × domain</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30F338D0" w14:textId="77777777" w:rsidR="00FD2BC4" w:rsidRDefault="00FD2BC4" w:rsidP="00292D3D">
            <w:pPr>
              <w:pStyle w:val="TableTextRightAligned"/>
              <w:ind w:left="57" w:right="57"/>
              <w:jc w:val="right"/>
            </w:pPr>
            <w:r>
              <w:t>52</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7DD74366" w14:textId="77777777" w:rsidR="00FD2BC4" w:rsidRDefault="00FD2BC4" w:rsidP="00292D3D">
            <w:pPr>
              <w:pStyle w:val="TableTextRightAligned"/>
              <w:ind w:left="57" w:right="57"/>
              <w:jc w:val="right"/>
            </w:pPr>
            <w:r>
              <w:t>4.40</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464196F7" w14:textId="77777777" w:rsidR="00FD2BC4" w:rsidRDefault="00FD2BC4" w:rsidP="00292D3D">
            <w:pPr>
              <w:pStyle w:val="TableTextRightAligned"/>
              <w:ind w:left="57" w:right="57"/>
              <w:jc w:val="right"/>
            </w:pPr>
            <w:r>
              <w:t>9</w:t>
            </w:r>
          </w:p>
        </w:tc>
        <w:tc>
          <w:tcPr>
            <w:tcW w:w="800" w:type="pct"/>
            <w:tcBorders>
              <w:top w:val="single" w:sz="8" w:space="0" w:color="132D3E"/>
              <w:left w:val="single" w:sz="8" w:space="0" w:color="132D3E"/>
              <w:bottom w:val="single" w:sz="8" w:space="0" w:color="132D3E"/>
              <w:right w:val="single" w:sz="8" w:space="0" w:color="132D3E"/>
            </w:tcBorders>
            <w:vAlign w:val="center"/>
            <w:hideMark/>
          </w:tcPr>
          <w:p w14:paraId="5D4965C2" w14:textId="77777777" w:rsidR="00FD2BC4" w:rsidRDefault="00FD2BC4" w:rsidP="00292D3D">
            <w:pPr>
              <w:pStyle w:val="TableTextRightAligned"/>
              <w:ind w:left="57" w:right="57"/>
              <w:jc w:val="right"/>
            </w:pPr>
            <w:r>
              <w:t>.883</w:t>
            </w:r>
          </w:p>
        </w:tc>
      </w:tr>
      <w:tr w:rsidR="00FD2BC4" w14:paraId="2F8A9BED" w14:textId="77777777" w:rsidTr="00975D0C">
        <w:tc>
          <w:tcPr>
            <w:tcW w:w="2200" w:type="pct"/>
            <w:tcBorders>
              <w:top w:val="single" w:sz="8" w:space="0" w:color="132D3E"/>
              <w:left w:val="single" w:sz="8" w:space="0" w:color="132D3E"/>
              <w:bottom w:val="single" w:sz="8" w:space="0" w:color="132D3E"/>
              <w:right w:val="single" w:sz="8" w:space="0" w:color="132D3E"/>
            </w:tcBorders>
            <w:vAlign w:val="center"/>
            <w:hideMark/>
          </w:tcPr>
          <w:p w14:paraId="7E5E7DA2" w14:textId="77777777" w:rsidR="00FD2BC4" w:rsidRDefault="00FD2BC4" w:rsidP="00292D3D">
            <w:pPr>
              <w:pStyle w:val="TableTextLeftAligned"/>
              <w:ind w:left="57" w:right="57"/>
            </w:pPr>
            <w:r>
              <w:t>Behavioural technique × domain</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0A06B108" w14:textId="77777777" w:rsidR="00FD2BC4" w:rsidRDefault="00FD2BC4" w:rsidP="00292D3D">
            <w:pPr>
              <w:pStyle w:val="TableTextRightAligned"/>
              <w:ind w:left="57" w:right="57"/>
              <w:jc w:val="right"/>
            </w:pPr>
            <w:r>
              <w:t>52</w:t>
            </w:r>
          </w:p>
        </w:tc>
        <w:tc>
          <w:tcPr>
            <w:tcW w:w="700" w:type="pct"/>
            <w:tcBorders>
              <w:top w:val="single" w:sz="8" w:space="0" w:color="132D3E"/>
              <w:left w:val="single" w:sz="8" w:space="0" w:color="132D3E"/>
              <w:bottom w:val="single" w:sz="8" w:space="0" w:color="132D3E"/>
              <w:right w:val="single" w:sz="8" w:space="0" w:color="132D3E"/>
            </w:tcBorders>
            <w:vAlign w:val="center"/>
            <w:hideMark/>
          </w:tcPr>
          <w:p w14:paraId="3DC23914" w14:textId="77777777" w:rsidR="00FD2BC4" w:rsidRDefault="00FD2BC4" w:rsidP="00292D3D">
            <w:pPr>
              <w:pStyle w:val="TableTextRightAligned"/>
              <w:ind w:left="57" w:right="57"/>
              <w:jc w:val="right"/>
            </w:pPr>
            <w:r>
              <w:t>23.53</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5F147E71" w14:textId="77777777" w:rsidR="00FD2BC4" w:rsidRDefault="00FD2BC4" w:rsidP="00292D3D">
            <w:pPr>
              <w:pStyle w:val="TableTextRightAligned"/>
              <w:ind w:left="57" w:right="57"/>
              <w:jc w:val="right"/>
            </w:pPr>
            <w:r>
              <w:t>25</w:t>
            </w:r>
          </w:p>
        </w:tc>
        <w:tc>
          <w:tcPr>
            <w:tcW w:w="800" w:type="pct"/>
            <w:tcBorders>
              <w:top w:val="single" w:sz="8" w:space="0" w:color="132D3E"/>
              <w:left w:val="single" w:sz="8" w:space="0" w:color="132D3E"/>
              <w:bottom w:val="single" w:sz="8" w:space="0" w:color="132D3E"/>
              <w:right w:val="single" w:sz="8" w:space="0" w:color="132D3E"/>
            </w:tcBorders>
            <w:vAlign w:val="center"/>
            <w:hideMark/>
          </w:tcPr>
          <w:p w14:paraId="3043AE83" w14:textId="77777777" w:rsidR="00FD2BC4" w:rsidRDefault="00FD2BC4" w:rsidP="00292D3D">
            <w:pPr>
              <w:pStyle w:val="TableTextRightAligned"/>
              <w:ind w:left="57" w:right="57"/>
              <w:jc w:val="right"/>
            </w:pPr>
            <w:r>
              <w:t>.547</w:t>
            </w:r>
          </w:p>
        </w:tc>
      </w:tr>
    </w:tbl>
    <w:p w14:paraId="43BF7DBE" w14:textId="39957328" w:rsidR="00FD2BC4" w:rsidRPr="00710F74" w:rsidRDefault="5FA0B81E" w:rsidP="00710F74">
      <w:pPr>
        <w:pStyle w:val="SourceNotesText"/>
      </w:pPr>
      <w:r w:rsidRPr="00710F74">
        <w:t xml:space="preserve">Note: QM tests whether effect sizes differ across </w:t>
      </w:r>
      <w:r w:rsidR="735F219F" w:rsidRPr="00710F74">
        <w:t>moderator values. For categorical moderators, this corresponds to differences between levels of the moderator.</w:t>
      </w:r>
      <w:r w:rsidR="00AF62C5" w:rsidRPr="00710F74">
        <w:t xml:space="preserve"> </w:t>
      </w:r>
      <w:r w:rsidRPr="00710F74">
        <w:t>Trial year was modelled</w:t>
      </w:r>
      <w:r w:rsidR="36623377" w:rsidRPr="00710F74">
        <w:t xml:space="preserve"> as a</w:t>
      </w:r>
      <w:r w:rsidRPr="00710F74">
        <w:t xml:space="preserve"> continuous</w:t>
      </w:r>
      <w:r w:rsidR="4622563B" w:rsidRPr="00710F74">
        <w:t xml:space="preserve"> variable to assess whether effect sizes changed systematically over time rather than comparing individual years as separate </w:t>
      </w:r>
      <w:r w:rsidR="35BE613C" w:rsidRPr="00710F74">
        <w:t>categories</w:t>
      </w:r>
      <w:r w:rsidRPr="00710F74">
        <w:t>. Moderator analyses were exploratory and no adjustment was made for multiple testing.</w:t>
      </w:r>
      <w:r w:rsidR="7E5EBE51" w:rsidRPr="00710F74">
        <w:t xml:space="preserve"> This refers to the fact that several moderator analyses were examined, increasing the probability of observing a </w:t>
      </w:r>
      <w:r w:rsidR="00DD7DD9" w:rsidRPr="00710F74">
        <w:t>statistically</w:t>
      </w:r>
      <w:r w:rsidR="7E5EBE51" w:rsidRPr="00710F74">
        <w:t xml:space="preserve"> si</w:t>
      </w:r>
      <w:r w:rsidR="6F780F2A" w:rsidRPr="00710F74">
        <w:t>g</w:t>
      </w:r>
      <w:r w:rsidR="7E5EBE51" w:rsidRPr="00710F74">
        <w:t xml:space="preserve">nificant result by chance alone. </w:t>
      </w:r>
      <w:proofErr w:type="spellStart"/>
      <w:r w:rsidR="3801C038" w:rsidRPr="00710F74">
        <w:t>Df</w:t>
      </w:r>
      <w:proofErr w:type="spellEnd"/>
      <w:r w:rsidR="3801C038" w:rsidRPr="00710F74">
        <w:t xml:space="preserve"> denotes the degrees of freedom associated with each test.</w:t>
      </w:r>
    </w:p>
    <w:p w14:paraId="37ADE40B" w14:textId="77777777" w:rsidR="00556F94" w:rsidRDefault="43774730" w:rsidP="00B74D9A">
      <w:pPr>
        <w:pStyle w:val="Heading4"/>
        <w:rPr>
          <w:kern w:val="2"/>
          <w14:ligatures w14:val="standardContextual"/>
        </w:rPr>
      </w:pPr>
      <w:r>
        <w:t>Behavioural domain</w:t>
      </w:r>
    </w:p>
    <w:p w14:paraId="21C98623" w14:textId="70062A4C" w:rsidR="000F3850" w:rsidRPr="000F3850" w:rsidRDefault="004120F0" w:rsidP="00B74D9A">
      <w:pPr>
        <w:pStyle w:val="HeadingTable"/>
      </w:pPr>
      <w:r>
        <w:t>Mean</w:t>
      </w:r>
      <w:r w:rsidRPr="000F3850">
        <w:t xml:space="preserve"> </w:t>
      </w:r>
      <w:r w:rsidR="000F3850" w:rsidRPr="000F3850">
        <w:t>effects by behavioural domain</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3138"/>
        <w:gridCol w:w="991"/>
        <w:gridCol w:w="1486"/>
        <w:gridCol w:w="2643"/>
      </w:tblGrid>
      <w:tr w:rsidR="00FD2BC4" w14:paraId="298DEB19" w14:textId="77777777" w:rsidTr="00DF1172">
        <w:tc>
          <w:tcPr>
            <w:tcW w:w="19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4C9E382A" w14:textId="77777777" w:rsidR="00FD2BC4" w:rsidRDefault="00FD2BC4" w:rsidP="00292D3D">
            <w:pPr>
              <w:pStyle w:val="TableTextLeftAligned"/>
              <w:ind w:left="57" w:right="57"/>
              <w:rPr>
                <w:color w:val="FFFFFF"/>
                <w:kern w:val="2"/>
                <w:szCs w:val="20"/>
                <w14:ligatures w14:val="standardContextual"/>
              </w:rPr>
            </w:pPr>
            <w:r>
              <w:rPr>
                <w:b/>
                <w:bCs/>
                <w:color w:val="FFFFFF"/>
              </w:rPr>
              <w:t>Domain</w:t>
            </w:r>
          </w:p>
        </w:tc>
        <w:tc>
          <w:tcPr>
            <w:tcW w:w="6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6CDD797F" w14:textId="37918EBC" w:rsidR="00FD2BC4" w:rsidRPr="004E3811" w:rsidRDefault="00C63E96" w:rsidP="00292D3D">
            <w:pPr>
              <w:pStyle w:val="TableTextRightAligned"/>
              <w:ind w:left="57" w:right="57"/>
              <w:jc w:val="right"/>
              <w:rPr>
                <w:b/>
                <w:bCs/>
                <w:color w:val="FFFFFF"/>
              </w:rPr>
            </w:pPr>
            <w:r w:rsidRPr="004E3811">
              <w:rPr>
                <w:b/>
                <w:bCs/>
                <w:color w:val="FFFFFF"/>
              </w:rPr>
              <w:t>Trials</w:t>
            </w:r>
          </w:p>
        </w:tc>
        <w:tc>
          <w:tcPr>
            <w:tcW w:w="9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078AFFF7" w14:textId="77777777" w:rsidR="00FD2BC4" w:rsidRPr="004E3811" w:rsidRDefault="00FD2BC4" w:rsidP="00292D3D">
            <w:pPr>
              <w:pStyle w:val="TableTextRightAligned"/>
              <w:ind w:left="57" w:right="57"/>
              <w:jc w:val="right"/>
              <w:rPr>
                <w:b/>
                <w:bCs/>
                <w:color w:val="FFFFFF"/>
              </w:rPr>
            </w:pPr>
            <w:r>
              <w:rPr>
                <w:b/>
                <w:bCs/>
                <w:color w:val="FFFFFF"/>
              </w:rPr>
              <w:t xml:space="preserve">Cohen’s </w:t>
            </w:r>
            <w:r w:rsidRPr="004E3811">
              <w:rPr>
                <w:b/>
                <w:bCs/>
                <w:color w:val="FFFFFF"/>
              </w:rPr>
              <w:t>d</w:t>
            </w:r>
          </w:p>
        </w:tc>
        <w:tc>
          <w:tcPr>
            <w:tcW w:w="16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7A8A5FE6" w14:textId="77777777" w:rsidR="00FD2BC4" w:rsidRDefault="00FD2BC4" w:rsidP="00292D3D">
            <w:pPr>
              <w:pStyle w:val="TableTextRightAligned"/>
              <w:ind w:left="57" w:right="57"/>
              <w:jc w:val="right"/>
              <w:rPr>
                <w:color w:val="FFFFFF"/>
              </w:rPr>
            </w:pPr>
            <w:r>
              <w:rPr>
                <w:b/>
                <w:bCs/>
                <w:color w:val="FFFFFF"/>
              </w:rPr>
              <w:t>95% confidence interval</w:t>
            </w:r>
          </w:p>
        </w:tc>
      </w:tr>
      <w:tr w:rsidR="00FD2BC4" w14:paraId="3D94A1E7" w14:textId="77777777" w:rsidTr="00DF1172">
        <w:tc>
          <w:tcPr>
            <w:tcW w:w="1900" w:type="pct"/>
            <w:tcBorders>
              <w:top w:val="single" w:sz="8" w:space="0" w:color="auto"/>
              <w:left w:val="single" w:sz="8" w:space="0" w:color="132D3E"/>
              <w:bottom w:val="single" w:sz="8" w:space="0" w:color="132D3E"/>
              <w:right w:val="single" w:sz="8" w:space="0" w:color="132D3E"/>
            </w:tcBorders>
            <w:vAlign w:val="center"/>
            <w:hideMark/>
          </w:tcPr>
          <w:p w14:paraId="4480F154" w14:textId="77777777" w:rsidR="00FD2BC4" w:rsidRPr="00BE1394" w:rsidRDefault="00FD2BC4" w:rsidP="00292D3D">
            <w:pPr>
              <w:pStyle w:val="TableTextLeftAligned"/>
              <w:ind w:left="57" w:right="57"/>
            </w:pPr>
            <w:r w:rsidRPr="00BE1394">
              <w:t>Finance</w:t>
            </w:r>
          </w:p>
        </w:tc>
        <w:tc>
          <w:tcPr>
            <w:tcW w:w="600" w:type="pct"/>
            <w:tcBorders>
              <w:top w:val="single" w:sz="8" w:space="0" w:color="auto"/>
              <w:left w:val="single" w:sz="8" w:space="0" w:color="132D3E"/>
              <w:bottom w:val="single" w:sz="8" w:space="0" w:color="132D3E"/>
              <w:right w:val="single" w:sz="8" w:space="0" w:color="132D3E"/>
            </w:tcBorders>
            <w:vAlign w:val="center"/>
            <w:hideMark/>
          </w:tcPr>
          <w:p w14:paraId="21B6F5CA" w14:textId="77777777" w:rsidR="00FD2BC4" w:rsidRPr="00BE1394" w:rsidRDefault="00FD2BC4" w:rsidP="00292D3D">
            <w:pPr>
              <w:pStyle w:val="TableTextRightAligned"/>
              <w:ind w:left="57" w:right="57"/>
              <w:jc w:val="right"/>
            </w:pPr>
            <w:r w:rsidRPr="00BE1394">
              <w:t>19</w:t>
            </w:r>
          </w:p>
        </w:tc>
        <w:tc>
          <w:tcPr>
            <w:tcW w:w="900" w:type="pct"/>
            <w:tcBorders>
              <w:top w:val="single" w:sz="8" w:space="0" w:color="auto"/>
              <w:left w:val="single" w:sz="8" w:space="0" w:color="132D3E"/>
              <w:bottom w:val="single" w:sz="8" w:space="0" w:color="132D3E"/>
              <w:right w:val="single" w:sz="8" w:space="0" w:color="132D3E"/>
            </w:tcBorders>
            <w:vAlign w:val="center"/>
            <w:hideMark/>
          </w:tcPr>
          <w:p w14:paraId="03000ACC" w14:textId="77777777" w:rsidR="00FD2BC4" w:rsidRPr="00BE1394" w:rsidRDefault="00FD2BC4" w:rsidP="00292D3D">
            <w:pPr>
              <w:pStyle w:val="TableTextRightAligned"/>
              <w:ind w:left="57" w:right="57"/>
              <w:jc w:val="right"/>
            </w:pPr>
            <w:r w:rsidRPr="00BE1394">
              <w:t>0.109</w:t>
            </w:r>
          </w:p>
        </w:tc>
        <w:tc>
          <w:tcPr>
            <w:tcW w:w="1600" w:type="pct"/>
            <w:tcBorders>
              <w:top w:val="single" w:sz="8" w:space="0" w:color="auto"/>
              <w:left w:val="single" w:sz="8" w:space="0" w:color="132D3E"/>
              <w:bottom w:val="single" w:sz="8" w:space="0" w:color="132D3E"/>
              <w:right w:val="single" w:sz="8" w:space="0" w:color="132D3E"/>
            </w:tcBorders>
            <w:vAlign w:val="center"/>
            <w:hideMark/>
          </w:tcPr>
          <w:p w14:paraId="33AAE15E" w14:textId="77777777" w:rsidR="00FD2BC4" w:rsidRDefault="00FD2BC4" w:rsidP="00292D3D">
            <w:pPr>
              <w:pStyle w:val="TableTextRightAligned"/>
              <w:ind w:left="57" w:right="57"/>
              <w:jc w:val="right"/>
            </w:pPr>
            <w:r>
              <w:t>0.034 to 0.184</w:t>
            </w:r>
          </w:p>
        </w:tc>
      </w:tr>
      <w:tr w:rsidR="00FD2BC4" w14:paraId="77C37F81" w14:textId="77777777" w:rsidTr="00975D0C">
        <w:tc>
          <w:tcPr>
            <w:tcW w:w="1900" w:type="pct"/>
            <w:tcBorders>
              <w:top w:val="single" w:sz="8" w:space="0" w:color="132D3E"/>
              <w:left w:val="single" w:sz="8" w:space="0" w:color="132D3E"/>
              <w:bottom w:val="single" w:sz="8" w:space="0" w:color="132D3E"/>
              <w:right w:val="single" w:sz="8" w:space="0" w:color="132D3E"/>
            </w:tcBorders>
            <w:vAlign w:val="center"/>
            <w:hideMark/>
          </w:tcPr>
          <w:p w14:paraId="0A13E1BB" w14:textId="77777777" w:rsidR="00FD2BC4" w:rsidRDefault="00FD2BC4" w:rsidP="00292D3D">
            <w:pPr>
              <w:pStyle w:val="TableTextLeftAligned"/>
              <w:ind w:left="57" w:right="57"/>
            </w:pPr>
            <w:r>
              <w:t>Environment</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37C768FF" w14:textId="77777777" w:rsidR="00FD2BC4" w:rsidRDefault="00FD2BC4" w:rsidP="00292D3D">
            <w:pPr>
              <w:pStyle w:val="TableTextRightAligned"/>
              <w:ind w:left="57" w:right="57"/>
              <w:jc w:val="right"/>
            </w:pPr>
            <w:r>
              <w:t>12</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7813E2F6" w14:textId="77777777" w:rsidR="00FD2BC4" w:rsidRDefault="00FD2BC4" w:rsidP="00292D3D">
            <w:pPr>
              <w:pStyle w:val="TableTextRightAligned"/>
              <w:ind w:left="57" w:right="57"/>
              <w:jc w:val="right"/>
            </w:pPr>
            <w:r>
              <w:t>0.053</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2DF6FFE3" w14:textId="77777777" w:rsidR="00FD2BC4" w:rsidRDefault="00FD2BC4" w:rsidP="00292D3D">
            <w:pPr>
              <w:pStyle w:val="TableTextRightAligned"/>
              <w:ind w:left="57" w:right="57"/>
              <w:jc w:val="right"/>
            </w:pPr>
            <w:r>
              <w:t>−0.020 to 0.127</w:t>
            </w:r>
          </w:p>
        </w:tc>
      </w:tr>
      <w:tr w:rsidR="00FD2BC4" w14:paraId="3E564CDE" w14:textId="77777777" w:rsidTr="00975D0C">
        <w:tc>
          <w:tcPr>
            <w:tcW w:w="1900" w:type="pct"/>
            <w:tcBorders>
              <w:top w:val="single" w:sz="8" w:space="0" w:color="132D3E"/>
              <w:left w:val="single" w:sz="8" w:space="0" w:color="132D3E"/>
              <w:bottom w:val="single" w:sz="8" w:space="0" w:color="132D3E"/>
              <w:right w:val="single" w:sz="8" w:space="0" w:color="132D3E"/>
            </w:tcBorders>
            <w:vAlign w:val="center"/>
            <w:hideMark/>
          </w:tcPr>
          <w:p w14:paraId="21FF621D" w14:textId="77777777" w:rsidR="00FD2BC4" w:rsidRDefault="00FD2BC4" w:rsidP="00292D3D">
            <w:pPr>
              <w:pStyle w:val="TableTextLeftAligned"/>
              <w:ind w:left="57" w:right="57"/>
            </w:pPr>
            <w:r>
              <w:t>Prosocial</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5D63BBE3" w14:textId="77777777" w:rsidR="00FD2BC4" w:rsidRDefault="00FD2BC4" w:rsidP="00292D3D">
            <w:pPr>
              <w:pStyle w:val="TableTextRightAligned"/>
              <w:ind w:left="57" w:right="57"/>
              <w:jc w:val="right"/>
            </w:pPr>
            <w:r>
              <w:t>9</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562BECFF" w14:textId="77777777" w:rsidR="00FD2BC4" w:rsidRDefault="00FD2BC4" w:rsidP="00292D3D">
            <w:pPr>
              <w:pStyle w:val="TableTextRightAligned"/>
              <w:ind w:left="57" w:right="57"/>
              <w:jc w:val="right"/>
            </w:pPr>
            <w:r>
              <w:t>0.029</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6E2FE44D" w14:textId="77777777" w:rsidR="00FD2BC4" w:rsidRDefault="00FD2BC4" w:rsidP="00292D3D">
            <w:pPr>
              <w:pStyle w:val="TableTextRightAligned"/>
              <w:ind w:left="57" w:right="57"/>
              <w:jc w:val="right"/>
            </w:pPr>
            <w:r>
              <w:t>−0.060 to 0.118</w:t>
            </w:r>
          </w:p>
        </w:tc>
      </w:tr>
      <w:tr w:rsidR="00FD2BC4" w14:paraId="1BC9D148" w14:textId="77777777" w:rsidTr="00975D0C">
        <w:tc>
          <w:tcPr>
            <w:tcW w:w="1900" w:type="pct"/>
            <w:tcBorders>
              <w:top w:val="single" w:sz="8" w:space="0" w:color="132D3E"/>
              <w:left w:val="single" w:sz="8" w:space="0" w:color="132D3E"/>
              <w:bottom w:val="single" w:sz="8" w:space="0" w:color="132D3E"/>
              <w:right w:val="single" w:sz="8" w:space="0" w:color="132D3E"/>
            </w:tcBorders>
            <w:vAlign w:val="center"/>
            <w:hideMark/>
          </w:tcPr>
          <w:p w14:paraId="0FCFB3E6" w14:textId="77777777" w:rsidR="00FD2BC4" w:rsidRDefault="00FD2BC4" w:rsidP="00292D3D">
            <w:pPr>
              <w:pStyle w:val="TableTextLeftAligned"/>
              <w:ind w:left="57" w:right="57"/>
            </w:pPr>
            <w:r>
              <w:t>Other</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2E352A77" w14:textId="77777777" w:rsidR="00FD2BC4" w:rsidRDefault="00FD2BC4" w:rsidP="00292D3D">
            <w:pPr>
              <w:pStyle w:val="TableTextRightAligned"/>
              <w:ind w:left="57" w:right="57"/>
              <w:jc w:val="right"/>
            </w:pPr>
            <w:r>
              <w:t>8</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48AADBA4" w14:textId="77777777" w:rsidR="00FD2BC4" w:rsidRDefault="00FD2BC4" w:rsidP="00292D3D">
            <w:pPr>
              <w:pStyle w:val="TableTextRightAligned"/>
              <w:ind w:left="57" w:right="57"/>
              <w:jc w:val="right"/>
            </w:pPr>
            <w:r>
              <w:t>0.031</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5DB8F632" w14:textId="3BDE0528" w:rsidR="00FD2BC4" w:rsidRPr="003C02D5" w:rsidRDefault="003C02D5" w:rsidP="00292D3D">
            <w:pPr>
              <w:pStyle w:val="TableTextRightAligned"/>
              <w:ind w:left="57" w:right="57"/>
              <w:jc w:val="right"/>
              <w:rPr>
                <w:kern w:val="2"/>
                <w:szCs w:val="20"/>
                <w14:ligatures w14:val="standardContextual"/>
              </w:rPr>
            </w:pPr>
            <w:r>
              <w:t>0.000 to 0.063</w:t>
            </w:r>
          </w:p>
        </w:tc>
      </w:tr>
      <w:tr w:rsidR="00FD2BC4" w14:paraId="1FD751E1" w14:textId="77777777" w:rsidTr="00975D0C">
        <w:tc>
          <w:tcPr>
            <w:tcW w:w="1900" w:type="pct"/>
            <w:tcBorders>
              <w:top w:val="single" w:sz="8" w:space="0" w:color="132D3E"/>
              <w:left w:val="single" w:sz="8" w:space="0" w:color="132D3E"/>
              <w:bottom w:val="single" w:sz="8" w:space="0" w:color="132D3E"/>
              <w:right w:val="single" w:sz="8" w:space="0" w:color="132D3E"/>
            </w:tcBorders>
            <w:vAlign w:val="center"/>
            <w:hideMark/>
          </w:tcPr>
          <w:p w14:paraId="286E66F6" w14:textId="77777777" w:rsidR="00FD2BC4" w:rsidRDefault="00FD2BC4" w:rsidP="00292D3D">
            <w:pPr>
              <w:pStyle w:val="TableTextLeftAligned"/>
              <w:ind w:left="57" w:right="57"/>
            </w:pPr>
            <w:r>
              <w:t>Health</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2E70C0DD" w14:textId="77777777" w:rsidR="00FD2BC4" w:rsidRDefault="00FD2BC4" w:rsidP="00292D3D">
            <w:pPr>
              <w:pStyle w:val="TableTextRightAligned"/>
              <w:ind w:left="57" w:right="57"/>
              <w:jc w:val="right"/>
            </w:pPr>
            <w:r>
              <w:t>4</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36A39B6D" w14:textId="77777777" w:rsidR="00FD2BC4" w:rsidRDefault="00FD2BC4" w:rsidP="00292D3D">
            <w:pPr>
              <w:pStyle w:val="TableTextRightAligned"/>
              <w:ind w:left="57" w:right="57"/>
              <w:jc w:val="right"/>
            </w:pPr>
            <w:r>
              <w:t>0.041</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3D8E86D4" w14:textId="77777777" w:rsidR="00FD2BC4" w:rsidRDefault="00FD2BC4" w:rsidP="00292D3D">
            <w:pPr>
              <w:pStyle w:val="TableTextRightAligned"/>
              <w:ind w:left="57" w:right="57"/>
              <w:jc w:val="right"/>
            </w:pPr>
            <w:r>
              <w:t>−0.024 to 0.105</w:t>
            </w:r>
          </w:p>
        </w:tc>
      </w:tr>
    </w:tbl>
    <w:p w14:paraId="1B886258" w14:textId="0B5FC62C" w:rsidR="00556F94" w:rsidRDefault="43774730" w:rsidP="00B74D9A">
      <w:pPr>
        <w:pStyle w:val="Heading4"/>
      </w:pPr>
      <w:r>
        <w:lastRenderedPageBreak/>
        <w:t>Intervention category</w:t>
      </w:r>
    </w:p>
    <w:p w14:paraId="77D310E9" w14:textId="33EF8EC1" w:rsidR="00107B29" w:rsidRPr="00107B29" w:rsidRDefault="06F371FC" w:rsidP="00B74D9A">
      <w:pPr>
        <w:pStyle w:val="HeadingTable"/>
      </w:pPr>
      <w:r w:rsidRPr="3D0A1FBB">
        <w:t>Mean</w:t>
      </w:r>
      <w:r w:rsidR="62BA5497" w:rsidRPr="3D0A1FBB">
        <w:t xml:space="preserve"> effects by intervention category</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3138"/>
        <w:gridCol w:w="991"/>
        <w:gridCol w:w="1486"/>
        <w:gridCol w:w="2643"/>
      </w:tblGrid>
      <w:tr w:rsidR="00FD2BC4" w14:paraId="46172133" w14:textId="77777777" w:rsidTr="00DF1172">
        <w:tc>
          <w:tcPr>
            <w:tcW w:w="19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00BA84A7" w14:textId="77777777" w:rsidR="00FD2BC4" w:rsidRDefault="00FD2BC4" w:rsidP="00292D3D">
            <w:pPr>
              <w:pStyle w:val="TableTextLeftAligned"/>
              <w:ind w:left="57" w:right="57"/>
              <w:rPr>
                <w:color w:val="FFFFFF"/>
                <w:kern w:val="2"/>
                <w:szCs w:val="20"/>
                <w14:ligatures w14:val="standardContextual"/>
              </w:rPr>
            </w:pPr>
            <w:r>
              <w:rPr>
                <w:b/>
                <w:bCs/>
                <w:color w:val="FFFFFF"/>
              </w:rPr>
              <w:t>Category</w:t>
            </w:r>
          </w:p>
        </w:tc>
        <w:tc>
          <w:tcPr>
            <w:tcW w:w="6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0E7FA05C" w14:textId="08444CE5" w:rsidR="00FD2BC4" w:rsidRPr="004E3811" w:rsidRDefault="00C63E96" w:rsidP="00292D3D">
            <w:pPr>
              <w:pStyle w:val="TableTextRightAligned"/>
              <w:ind w:left="57" w:right="57"/>
              <w:jc w:val="right"/>
              <w:rPr>
                <w:b/>
                <w:bCs/>
                <w:color w:val="FFFFFF"/>
              </w:rPr>
            </w:pPr>
            <w:r w:rsidRPr="004E3811">
              <w:rPr>
                <w:b/>
                <w:bCs/>
                <w:color w:val="FFFFFF"/>
              </w:rPr>
              <w:t>Trials</w:t>
            </w:r>
          </w:p>
        </w:tc>
        <w:tc>
          <w:tcPr>
            <w:tcW w:w="9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5137AAE9" w14:textId="77777777" w:rsidR="00FD2BC4" w:rsidRPr="004E3811" w:rsidRDefault="00FD2BC4" w:rsidP="00292D3D">
            <w:pPr>
              <w:pStyle w:val="TableTextRightAligned"/>
              <w:ind w:left="57" w:right="57"/>
              <w:jc w:val="right"/>
              <w:rPr>
                <w:b/>
                <w:bCs/>
                <w:color w:val="FFFFFF"/>
              </w:rPr>
            </w:pPr>
            <w:r>
              <w:rPr>
                <w:b/>
                <w:bCs/>
                <w:color w:val="FFFFFF"/>
              </w:rPr>
              <w:t xml:space="preserve">Cohen’s </w:t>
            </w:r>
            <w:r w:rsidRPr="004E3811">
              <w:rPr>
                <w:b/>
                <w:bCs/>
                <w:color w:val="FFFFFF"/>
              </w:rPr>
              <w:t>d</w:t>
            </w:r>
          </w:p>
        </w:tc>
        <w:tc>
          <w:tcPr>
            <w:tcW w:w="16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5FA4888B" w14:textId="77777777" w:rsidR="00FD2BC4" w:rsidRDefault="00FD2BC4" w:rsidP="00292D3D">
            <w:pPr>
              <w:pStyle w:val="TableTextRightAligned"/>
              <w:ind w:left="57" w:right="57"/>
              <w:jc w:val="right"/>
              <w:rPr>
                <w:color w:val="FFFFFF"/>
              </w:rPr>
            </w:pPr>
            <w:r>
              <w:rPr>
                <w:b/>
                <w:bCs/>
                <w:color w:val="FFFFFF"/>
              </w:rPr>
              <w:t>95% confidence interval</w:t>
            </w:r>
          </w:p>
        </w:tc>
      </w:tr>
      <w:tr w:rsidR="00FD2BC4" w14:paraId="3DAA973A" w14:textId="77777777" w:rsidTr="00DF1172">
        <w:tc>
          <w:tcPr>
            <w:tcW w:w="1900" w:type="pct"/>
            <w:tcBorders>
              <w:top w:val="single" w:sz="8" w:space="0" w:color="auto"/>
              <w:left w:val="single" w:sz="8" w:space="0" w:color="132D3E"/>
              <w:bottom w:val="single" w:sz="8" w:space="0" w:color="132D3E"/>
              <w:right w:val="single" w:sz="8" w:space="0" w:color="132D3E"/>
            </w:tcBorders>
            <w:vAlign w:val="center"/>
            <w:hideMark/>
          </w:tcPr>
          <w:p w14:paraId="0061802A" w14:textId="77777777" w:rsidR="00FD2BC4" w:rsidRPr="00BE1394" w:rsidRDefault="00FD2BC4" w:rsidP="00292D3D">
            <w:pPr>
              <w:pStyle w:val="TableTextLeftAligned"/>
              <w:ind w:left="57" w:right="57"/>
            </w:pPr>
            <w:r w:rsidRPr="00BE1394">
              <w:t>Decision information</w:t>
            </w:r>
          </w:p>
        </w:tc>
        <w:tc>
          <w:tcPr>
            <w:tcW w:w="600" w:type="pct"/>
            <w:tcBorders>
              <w:top w:val="single" w:sz="8" w:space="0" w:color="auto"/>
              <w:left w:val="single" w:sz="8" w:space="0" w:color="132D3E"/>
              <w:bottom w:val="single" w:sz="8" w:space="0" w:color="132D3E"/>
              <w:right w:val="single" w:sz="8" w:space="0" w:color="132D3E"/>
            </w:tcBorders>
            <w:vAlign w:val="center"/>
            <w:hideMark/>
          </w:tcPr>
          <w:p w14:paraId="377E8E8B" w14:textId="77777777" w:rsidR="00FD2BC4" w:rsidRPr="00BE1394" w:rsidRDefault="00FD2BC4" w:rsidP="00292D3D">
            <w:pPr>
              <w:pStyle w:val="TableTextRightAligned"/>
              <w:ind w:left="57" w:right="57"/>
              <w:jc w:val="right"/>
            </w:pPr>
            <w:r w:rsidRPr="00BE1394">
              <w:t>34</w:t>
            </w:r>
          </w:p>
        </w:tc>
        <w:tc>
          <w:tcPr>
            <w:tcW w:w="900" w:type="pct"/>
            <w:tcBorders>
              <w:top w:val="single" w:sz="8" w:space="0" w:color="auto"/>
              <w:left w:val="single" w:sz="8" w:space="0" w:color="132D3E"/>
              <w:bottom w:val="single" w:sz="8" w:space="0" w:color="132D3E"/>
              <w:right w:val="single" w:sz="8" w:space="0" w:color="132D3E"/>
            </w:tcBorders>
            <w:vAlign w:val="center"/>
            <w:hideMark/>
          </w:tcPr>
          <w:p w14:paraId="0D2F48B0" w14:textId="77777777" w:rsidR="00FD2BC4" w:rsidRPr="00BE1394" w:rsidRDefault="00FD2BC4" w:rsidP="00292D3D">
            <w:pPr>
              <w:pStyle w:val="TableTextRightAligned"/>
              <w:ind w:left="57" w:right="57"/>
              <w:jc w:val="right"/>
            </w:pPr>
            <w:r w:rsidRPr="00BE1394">
              <w:t>0.054</w:t>
            </w:r>
          </w:p>
        </w:tc>
        <w:tc>
          <w:tcPr>
            <w:tcW w:w="1600" w:type="pct"/>
            <w:tcBorders>
              <w:top w:val="single" w:sz="8" w:space="0" w:color="auto"/>
              <w:left w:val="single" w:sz="8" w:space="0" w:color="132D3E"/>
              <w:bottom w:val="single" w:sz="8" w:space="0" w:color="132D3E"/>
              <w:right w:val="single" w:sz="8" w:space="0" w:color="132D3E"/>
            </w:tcBorders>
            <w:vAlign w:val="center"/>
            <w:hideMark/>
          </w:tcPr>
          <w:p w14:paraId="6A042FCC" w14:textId="77777777" w:rsidR="00FD2BC4" w:rsidRDefault="00FD2BC4" w:rsidP="00292D3D">
            <w:pPr>
              <w:pStyle w:val="TableTextRightAligned"/>
              <w:ind w:left="57" w:right="57"/>
              <w:jc w:val="right"/>
            </w:pPr>
            <w:r>
              <w:t>0.017 to 0.092</w:t>
            </w:r>
          </w:p>
        </w:tc>
      </w:tr>
      <w:tr w:rsidR="00FD2BC4" w14:paraId="47049DBB" w14:textId="77777777" w:rsidTr="00975D0C">
        <w:tc>
          <w:tcPr>
            <w:tcW w:w="1900" w:type="pct"/>
            <w:tcBorders>
              <w:top w:val="single" w:sz="8" w:space="0" w:color="132D3E"/>
              <w:left w:val="single" w:sz="8" w:space="0" w:color="132D3E"/>
              <w:bottom w:val="single" w:sz="8" w:space="0" w:color="132D3E"/>
              <w:right w:val="single" w:sz="8" w:space="0" w:color="132D3E"/>
            </w:tcBorders>
            <w:vAlign w:val="center"/>
            <w:hideMark/>
          </w:tcPr>
          <w:p w14:paraId="5478580C" w14:textId="77777777" w:rsidR="00FD2BC4" w:rsidRDefault="00FD2BC4" w:rsidP="00292D3D">
            <w:pPr>
              <w:pStyle w:val="TableTextLeftAligned"/>
              <w:ind w:left="57" w:right="57"/>
            </w:pPr>
            <w:r>
              <w:t>Decision structure</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27D6A53E" w14:textId="77777777" w:rsidR="00FD2BC4" w:rsidRDefault="00FD2BC4" w:rsidP="00292D3D">
            <w:pPr>
              <w:pStyle w:val="TableTextRightAligned"/>
              <w:ind w:left="57" w:right="57"/>
              <w:jc w:val="right"/>
            </w:pPr>
            <w:r>
              <w:t>11</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708E100A" w14:textId="77777777" w:rsidR="00FD2BC4" w:rsidRDefault="00FD2BC4" w:rsidP="00292D3D">
            <w:pPr>
              <w:pStyle w:val="TableTextRightAligned"/>
              <w:ind w:left="57" w:right="57"/>
              <w:jc w:val="right"/>
            </w:pPr>
            <w:r>
              <w:t>0.059</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150A4BA4" w14:textId="77777777" w:rsidR="00FD2BC4" w:rsidRDefault="00FD2BC4" w:rsidP="00292D3D">
            <w:pPr>
              <w:pStyle w:val="TableTextRightAligned"/>
              <w:ind w:left="57" w:right="57"/>
              <w:jc w:val="right"/>
            </w:pPr>
            <w:r>
              <w:t>0.003 to 0.115</w:t>
            </w:r>
          </w:p>
        </w:tc>
      </w:tr>
      <w:tr w:rsidR="00FD2BC4" w14:paraId="78BCEE79" w14:textId="77777777" w:rsidTr="00975D0C">
        <w:tc>
          <w:tcPr>
            <w:tcW w:w="1900" w:type="pct"/>
            <w:tcBorders>
              <w:top w:val="single" w:sz="8" w:space="0" w:color="132D3E"/>
              <w:left w:val="single" w:sz="8" w:space="0" w:color="132D3E"/>
              <w:bottom w:val="single" w:sz="8" w:space="0" w:color="132D3E"/>
              <w:right w:val="single" w:sz="8" w:space="0" w:color="132D3E"/>
            </w:tcBorders>
            <w:vAlign w:val="center"/>
            <w:hideMark/>
          </w:tcPr>
          <w:p w14:paraId="1723EFE5" w14:textId="77777777" w:rsidR="00FD2BC4" w:rsidRDefault="00FD2BC4" w:rsidP="00292D3D">
            <w:pPr>
              <w:pStyle w:val="TableTextLeftAligned"/>
              <w:ind w:left="57" w:right="57"/>
            </w:pPr>
            <w:r>
              <w:t>Decision assistance</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58B6D950" w14:textId="77777777" w:rsidR="00FD2BC4" w:rsidRDefault="00FD2BC4" w:rsidP="00292D3D">
            <w:pPr>
              <w:pStyle w:val="TableTextRightAligned"/>
              <w:ind w:left="57" w:right="57"/>
              <w:jc w:val="right"/>
            </w:pPr>
            <w:r>
              <w:t>7</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79BBC9F2" w14:textId="77777777" w:rsidR="00FD2BC4" w:rsidRDefault="00FD2BC4" w:rsidP="00292D3D">
            <w:pPr>
              <w:pStyle w:val="TableTextRightAligned"/>
              <w:ind w:left="57" w:right="57"/>
              <w:jc w:val="right"/>
            </w:pPr>
            <w:r>
              <w:t>0.132</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343F3ABB" w14:textId="77777777" w:rsidR="00FD2BC4" w:rsidRDefault="00FD2BC4" w:rsidP="00292D3D">
            <w:pPr>
              <w:pStyle w:val="TableTextRightAligned"/>
              <w:ind w:left="57" w:right="57"/>
              <w:jc w:val="right"/>
            </w:pPr>
            <w:r>
              <w:t>−0.055 to 0.318</w:t>
            </w:r>
          </w:p>
        </w:tc>
      </w:tr>
    </w:tbl>
    <w:p w14:paraId="2AA065C3" w14:textId="4246BE41" w:rsidR="00556F94" w:rsidRPr="004D687A" w:rsidRDefault="43774730" w:rsidP="00B74D9A">
      <w:pPr>
        <w:pStyle w:val="Heading4"/>
      </w:pPr>
      <w:r>
        <w:t>Behavioural technique</w:t>
      </w:r>
    </w:p>
    <w:p w14:paraId="11A13F93" w14:textId="53B9BDB3" w:rsidR="00FF2B9B" w:rsidRPr="00FF2B9B" w:rsidRDefault="00FD608D" w:rsidP="00B74D9A">
      <w:pPr>
        <w:pStyle w:val="HeadingTable"/>
      </w:pPr>
      <w:r>
        <w:t>M</w:t>
      </w:r>
      <w:r w:rsidR="004120F0">
        <w:t>ean</w:t>
      </w:r>
      <w:r w:rsidR="004120F0" w:rsidRPr="00FF2B9B">
        <w:t xml:space="preserve"> </w:t>
      </w:r>
      <w:r w:rsidR="00FF2B9B" w:rsidRPr="00FF2B9B">
        <w:t>effects by behavioural technique</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3138"/>
        <w:gridCol w:w="991"/>
        <w:gridCol w:w="1486"/>
        <w:gridCol w:w="2643"/>
      </w:tblGrid>
      <w:tr w:rsidR="00FD2BC4" w14:paraId="4D72F758" w14:textId="77777777" w:rsidTr="00DF1172">
        <w:tc>
          <w:tcPr>
            <w:tcW w:w="19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4E2A7FE6" w14:textId="77777777" w:rsidR="00FD2BC4" w:rsidRDefault="00FD2BC4" w:rsidP="00292D3D">
            <w:pPr>
              <w:pStyle w:val="TableTextLeftAligned"/>
              <w:ind w:left="57" w:right="57"/>
              <w:rPr>
                <w:color w:val="FFFFFF"/>
                <w:kern w:val="2"/>
                <w:szCs w:val="20"/>
                <w14:ligatures w14:val="standardContextual"/>
              </w:rPr>
            </w:pPr>
            <w:r>
              <w:rPr>
                <w:b/>
                <w:bCs/>
                <w:color w:val="FFFFFF"/>
              </w:rPr>
              <w:t>Technique</w:t>
            </w:r>
          </w:p>
        </w:tc>
        <w:tc>
          <w:tcPr>
            <w:tcW w:w="6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4F797392" w14:textId="17AF6408" w:rsidR="00FD2BC4" w:rsidRPr="004E3811" w:rsidRDefault="00C63E96" w:rsidP="00292D3D">
            <w:pPr>
              <w:pStyle w:val="TableTextRightAligned"/>
              <w:ind w:left="57" w:right="57"/>
              <w:jc w:val="right"/>
              <w:rPr>
                <w:b/>
                <w:bCs/>
                <w:color w:val="FFFFFF"/>
              </w:rPr>
            </w:pPr>
            <w:r w:rsidRPr="004E3811">
              <w:rPr>
                <w:b/>
                <w:bCs/>
                <w:color w:val="FFFFFF"/>
              </w:rPr>
              <w:t>Trials</w:t>
            </w:r>
          </w:p>
        </w:tc>
        <w:tc>
          <w:tcPr>
            <w:tcW w:w="9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015379CA" w14:textId="77777777" w:rsidR="00FD2BC4" w:rsidRDefault="00FD2BC4" w:rsidP="00292D3D">
            <w:pPr>
              <w:pStyle w:val="TableTextRightAligned"/>
              <w:ind w:left="57" w:right="57"/>
              <w:jc w:val="right"/>
              <w:rPr>
                <w:color w:val="FFFFFF"/>
              </w:rPr>
            </w:pPr>
            <w:r>
              <w:rPr>
                <w:b/>
                <w:bCs/>
                <w:color w:val="FFFFFF"/>
              </w:rPr>
              <w:t xml:space="preserve">Cohen’s </w:t>
            </w:r>
            <w:r>
              <w:rPr>
                <w:b/>
                <w:bCs/>
                <w:i/>
                <w:iCs/>
                <w:color w:val="FFFFFF"/>
              </w:rPr>
              <w:t>d</w:t>
            </w:r>
          </w:p>
        </w:tc>
        <w:tc>
          <w:tcPr>
            <w:tcW w:w="16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7A73F460" w14:textId="77777777" w:rsidR="00FD2BC4" w:rsidRDefault="00FD2BC4" w:rsidP="00292D3D">
            <w:pPr>
              <w:pStyle w:val="TableTextRightAligned"/>
              <w:ind w:left="57" w:right="57"/>
              <w:jc w:val="right"/>
              <w:rPr>
                <w:color w:val="FFFFFF"/>
              </w:rPr>
            </w:pPr>
            <w:r>
              <w:rPr>
                <w:b/>
                <w:bCs/>
                <w:color w:val="FFFFFF"/>
              </w:rPr>
              <w:t>95% confidence interval</w:t>
            </w:r>
          </w:p>
        </w:tc>
      </w:tr>
      <w:tr w:rsidR="00FD2BC4" w14:paraId="0D23B65E" w14:textId="77777777" w:rsidTr="00DF1172">
        <w:tc>
          <w:tcPr>
            <w:tcW w:w="1900" w:type="pct"/>
            <w:tcBorders>
              <w:top w:val="single" w:sz="8" w:space="0" w:color="auto"/>
              <w:left w:val="single" w:sz="8" w:space="0" w:color="132D3E"/>
              <w:bottom w:val="single" w:sz="8" w:space="0" w:color="132D3E"/>
              <w:right w:val="single" w:sz="8" w:space="0" w:color="132D3E"/>
            </w:tcBorders>
            <w:vAlign w:val="center"/>
            <w:hideMark/>
          </w:tcPr>
          <w:p w14:paraId="4E87C2B6" w14:textId="77777777" w:rsidR="00FD2BC4" w:rsidRPr="00BE1394" w:rsidRDefault="00FD2BC4" w:rsidP="00292D3D">
            <w:pPr>
              <w:pStyle w:val="TableTextLeftAligned"/>
              <w:ind w:left="57" w:right="57"/>
            </w:pPr>
            <w:r w:rsidRPr="00BE1394">
              <w:t>Make information visible</w:t>
            </w:r>
          </w:p>
        </w:tc>
        <w:tc>
          <w:tcPr>
            <w:tcW w:w="600" w:type="pct"/>
            <w:tcBorders>
              <w:top w:val="single" w:sz="8" w:space="0" w:color="auto"/>
              <w:left w:val="single" w:sz="8" w:space="0" w:color="132D3E"/>
              <w:bottom w:val="single" w:sz="8" w:space="0" w:color="132D3E"/>
              <w:right w:val="single" w:sz="8" w:space="0" w:color="132D3E"/>
            </w:tcBorders>
            <w:vAlign w:val="center"/>
            <w:hideMark/>
          </w:tcPr>
          <w:p w14:paraId="49458E7E" w14:textId="77777777" w:rsidR="00FD2BC4" w:rsidRPr="00BE1394" w:rsidRDefault="00FD2BC4" w:rsidP="00292D3D">
            <w:pPr>
              <w:pStyle w:val="TableTextRightAligned"/>
              <w:ind w:left="57" w:right="57"/>
              <w:jc w:val="right"/>
            </w:pPr>
            <w:r w:rsidRPr="00BE1394">
              <w:t>14</w:t>
            </w:r>
          </w:p>
        </w:tc>
        <w:tc>
          <w:tcPr>
            <w:tcW w:w="900" w:type="pct"/>
            <w:tcBorders>
              <w:top w:val="single" w:sz="8" w:space="0" w:color="auto"/>
              <w:left w:val="single" w:sz="8" w:space="0" w:color="132D3E"/>
              <w:bottom w:val="single" w:sz="8" w:space="0" w:color="132D3E"/>
              <w:right w:val="single" w:sz="8" w:space="0" w:color="132D3E"/>
            </w:tcBorders>
            <w:vAlign w:val="center"/>
            <w:hideMark/>
          </w:tcPr>
          <w:p w14:paraId="0C785177" w14:textId="77777777" w:rsidR="00FD2BC4" w:rsidRPr="00BE1394" w:rsidRDefault="00FD2BC4" w:rsidP="00292D3D">
            <w:pPr>
              <w:pStyle w:val="TableTextRightAligned"/>
              <w:ind w:left="57" w:right="57"/>
              <w:jc w:val="right"/>
            </w:pPr>
            <w:r w:rsidRPr="00BE1394">
              <w:t>0.093</w:t>
            </w:r>
          </w:p>
        </w:tc>
        <w:tc>
          <w:tcPr>
            <w:tcW w:w="1600" w:type="pct"/>
            <w:tcBorders>
              <w:top w:val="single" w:sz="8" w:space="0" w:color="auto"/>
              <w:left w:val="single" w:sz="8" w:space="0" w:color="132D3E"/>
              <w:bottom w:val="single" w:sz="8" w:space="0" w:color="132D3E"/>
              <w:right w:val="single" w:sz="8" w:space="0" w:color="132D3E"/>
            </w:tcBorders>
            <w:vAlign w:val="center"/>
            <w:hideMark/>
          </w:tcPr>
          <w:p w14:paraId="7EDA05F6" w14:textId="77777777" w:rsidR="00FD2BC4" w:rsidRDefault="00FD2BC4" w:rsidP="00292D3D">
            <w:pPr>
              <w:pStyle w:val="TableTextRightAligned"/>
              <w:ind w:left="57" w:right="57"/>
              <w:jc w:val="right"/>
            </w:pPr>
            <w:r>
              <w:t>0.034 to 0.152</w:t>
            </w:r>
          </w:p>
        </w:tc>
      </w:tr>
      <w:tr w:rsidR="00FD2BC4" w14:paraId="64FFCFCE" w14:textId="77777777" w:rsidTr="00F71B01">
        <w:tc>
          <w:tcPr>
            <w:tcW w:w="1900" w:type="pct"/>
            <w:tcBorders>
              <w:top w:val="single" w:sz="8" w:space="0" w:color="132D3E"/>
              <w:left w:val="single" w:sz="8" w:space="0" w:color="132D3E"/>
              <w:bottom w:val="single" w:sz="8" w:space="0" w:color="132D3E"/>
              <w:right w:val="single" w:sz="8" w:space="0" w:color="132D3E"/>
            </w:tcBorders>
            <w:vAlign w:val="center"/>
            <w:hideMark/>
          </w:tcPr>
          <w:p w14:paraId="2E17DB56" w14:textId="77777777" w:rsidR="00FD2BC4" w:rsidRDefault="00FD2BC4" w:rsidP="00292D3D">
            <w:pPr>
              <w:pStyle w:val="TableTextLeftAligned"/>
              <w:ind w:left="57" w:right="57"/>
            </w:pPr>
            <w:r>
              <w:t>Translate information</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64464C01" w14:textId="77777777" w:rsidR="00FD2BC4" w:rsidRDefault="00FD2BC4" w:rsidP="00292D3D">
            <w:pPr>
              <w:pStyle w:val="TableTextRightAligned"/>
              <w:ind w:left="57" w:right="57"/>
              <w:jc w:val="right"/>
            </w:pPr>
            <w:r>
              <w:t>12</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77DEB36D" w14:textId="77777777" w:rsidR="00FD2BC4" w:rsidRDefault="00FD2BC4" w:rsidP="00292D3D">
            <w:pPr>
              <w:pStyle w:val="TableTextRightAligned"/>
              <w:ind w:left="57" w:right="57"/>
              <w:jc w:val="right"/>
            </w:pPr>
            <w:r>
              <w:t>0.041</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35966079" w14:textId="77777777" w:rsidR="00FD2BC4" w:rsidRDefault="00FD2BC4" w:rsidP="00292D3D">
            <w:pPr>
              <w:pStyle w:val="TableTextRightAligned"/>
              <w:ind w:left="57" w:right="57"/>
              <w:jc w:val="right"/>
            </w:pPr>
            <w:r>
              <w:t>−0.011 to 0.094</w:t>
            </w:r>
          </w:p>
        </w:tc>
      </w:tr>
      <w:tr w:rsidR="00FD2BC4" w14:paraId="34626FD6" w14:textId="77777777" w:rsidTr="00F71B01">
        <w:tc>
          <w:tcPr>
            <w:tcW w:w="1900" w:type="pct"/>
            <w:tcBorders>
              <w:top w:val="single" w:sz="8" w:space="0" w:color="132D3E"/>
              <w:left w:val="single" w:sz="8" w:space="0" w:color="132D3E"/>
              <w:bottom w:val="single" w:sz="8" w:space="0" w:color="132D3E"/>
              <w:right w:val="single" w:sz="8" w:space="0" w:color="132D3E"/>
            </w:tcBorders>
            <w:vAlign w:val="center"/>
            <w:hideMark/>
          </w:tcPr>
          <w:p w14:paraId="44D40779" w14:textId="77777777" w:rsidR="00FD2BC4" w:rsidRDefault="00FD2BC4" w:rsidP="00292D3D">
            <w:pPr>
              <w:pStyle w:val="TableTextLeftAligned"/>
              <w:ind w:left="57" w:right="57"/>
            </w:pPr>
            <w:r>
              <w:t>Change option-related effort</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152F8D8B" w14:textId="77777777" w:rsidR="00FD2BC4" w:rsidRDefault="00FD2BC4" w:rsidP="00292D3D">
            <w:pPr>
              <w:pStyle w:val="TableTextRightAligned"/>
              <w:ind w:left="57" w:right="57"/>
              <w:jc w:val="right"/>
            </w:pPr>
            <w:r>
              <w:t>9</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5C55C624" w14:textId="77777777" w:rsidR="00FD2BC4" w:rsidRDefault="00FD2BC4" w:rsidP="00292D3D">
            <w:pPr>
              <w:pStyle w:val="TableTextRightAligned"/>
              <w:ind w:left="57" w:right="57"/>
              <w:jc w:val="right"/>
            </w:pPr>
            <w:r>
              <w:t>0.134</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619F3934" w14:textId="77777777" w:rsidR="00FD2BC4" w:rsidRDefault="00FD2BC4" w:rsidP="00292D3D">
            <w:pPr>
              <w:pStyle w:val="TableTextRightAligned"/>
              <w:ind w:left="57" w:right="57"/>
              <w:jc w:val="right"/>
            </w:pPr>
            <w:r>
              <w:t>−0.011 to 0.280</w:t>
            </w:r>
          </w:p>
        </w:tc>
      </w:tr>
      <w:tr w:rsidR="00FD2BC4" w14:paraId="7C3F7486" w14:textId="77777777" w:rsidTr="00F71B01">
        <w:tc>
          <w:tcPr>
            <w:tcW w:w="1900" w:type="pct"/>
            <w:tcBorders>
              <w:top w:val="single" w:sz="8" w:space="0" w:color="132D3E"/>
              <w:left w:val="single" w:sz="8" w:space="0" w:color="132D3E"/>
              <w:bottom w:val="single" w:sz="8" w:space="0" w:color="132D3E"/>
              <w:right w:val="single" w:sz="8" w:space="0" w:color="132D3E"/>
            </w:tcBorders>
            <w:vAlign w:val="center"/>
            <w:hideMark/>
          </w:tcPr>
          <w:p w14:paraId="3F692674" w14:textId="77777777" w:rsidR="00FD2BC4" w:rsidRDefault="00FD2BC4" w:rsidP="00292D3D">
            <w:pPr>
              <w:pStyle w:val="TableTextLeftAligned"/>
              <w:ind w:left="57" w:right="57"/>
            </w:pPr>
            <w:r>
              <w:t>Provide social reference</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3FF51572" w14:textId="77777777" w:rsidR="00FD2BC4" w:rsidRDefault="00FD2BC4" w:rsidP="00292D3D">
            <w:pPr>
              <w:pStyle w:val="TableTextRightAligned"/>
              <w:ind w:left="57" w:right="57"/>
              <w:jc w:val="right"/>
            </w:pPr>
            <w:r>
              <w:t>7</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38448012" w14:textId="77777777" w:rsidR="00FD2BC4" w:rsidRDefault="00FD2BC4" w:rsidP="00292D3D">
            <w:pPr>
              <w:pStyle w:val="TableTextRightAligned"/>
              <w:ind w:left="57" w:right="57"/>
              <w:jc w:val="right"/>
            </w:pPr>
            <w:r>
              <w:t>0.044</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36F1FB38" w14:textId="77777777" w:rsidR="00FD2BC4" w:rsidRDefault="00FD2BC4" w:rsidP="00292D3D">
            <w:pPr>
              <w:pStyle w:val="TableTextRightAligned"/>
              <w:ind w:left="57" w:right="57"/>
              <w:jc w:val="right"/>
            </w:pPr>
            <w:r>
              <w:t>−0.009 to 0.097</w:t>
            </w:r>
          </w:p>
        </w:tc>
      </w:tr>
      <w:tr w:rsidR="00FD2BC4" w14:paraId="545A2A59" w14:textId="77777777" w:rsidTr="00F71B01">
        <w:tc>
          <w:tcPr>
            <w:tcW w:w="1900" w:type="pct"/>
            <w:tcBorders>
              <w:top w:val="single" w:sz="8" w:space="0" w:color="132D3E"/>
              <w:left w:val="single" w:sz="8" w:space="0" w:color="132D3E"/>
              <w:bottom w:val="single" w:sz="8" w:space="0" w:color="132D3E"/>
              <w:right w:val="single" w:sz="8" w:space="0" w:color="132D3E"/>
            </w:tcBorders>
            <w:vAlign w:val="center"/>
            <w:hideMark/>
          </w:tcPr>
          <w:p w14:paraId="29662913" w14:textId="77777777" w:rsidR="00FD2BC4" w:rsidRDefault="00FD2BC4" w:rsidP="00292D3D">
            <w:pPr>
              <w:pStyle w:val="TableTextLeftAligned"/>
              <w:ind w:left="57" w:right="57"/>
            </w:pPr>
            <w:r>
              <w:t>Provide reminders</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4F428310" w14:textId="77777777" w:rsidR="00FD2BC4" w:rsidRDefault="00FD2BC4" w:rsidP="00292D3D">
            <w:pPr>
              <w:pStyle w:val="TableTextRightAligned"/>
              <w:ind w:left="57" w:right="57"/>
              <w:jc w:val="right"/>
            </w:pPr>
            <w:r>
              <w:t>4</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45AAC964" w14:textId="77777777" w:rsidR="00FD2BC4" w:rsidRDefault="00FD2BC4" w:rsidP="00292D3D">
            <w:pPr>
              <w:pStyle w:val="TableTextRightAligned"/>
              <w:ind w:left="57" w:right="57"/>
              <w:jc w:val="right"/>
            </w:pPr>
            <w:r>
              <w:t>0.029</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43FCCD3B" w14:textId="77777777" w:rsidR="00FD2BC4" w:rsidRDefault="00FD2BC4" w:rsidP="00292D3D">
            <w:pPr>
              <w:pStyle w:val="TableTextRightAligned"/>
              <w:ind w:left="57" w:right="57"/>
              <w:jc w:val="right"/>
            </w:pPr>
            <w:r>
              <w:t>−0.074 to 0.132</w:t>
            </w:r>
          </w:p>
        </w:tc>
      </w:tr>
      <w:tr w:rsidR="00FD2BC4" w14:paraId="75DDA295" w14:textId="77777777" w:rsidTr="00F71B01">
        <w:tc>
          <w:tcPr>
            <w:tcW w:w="1900" w:type="pct"/>
            <w:tcBorders>
              <w:top w:val="single" w:sz="8" w:space="0" w:color="132D3E"/>
              <w:left w:val="single" w:sz="8" w:space="0" w:color="132D3E"/>
              <w:bottom w:val="single" w:sz="8" w:space="0" w:color="132D3E"/>
              <w:right w:val="single" w:sz="8" w:space="0" w:color="132D3E"/>
            </w:tcBorders>
            <w:vAlign w:val="center"/>
            <w:hideMark/>
          </w:tcPr>
          <w:p w14:paraId="221770F9" w14:textId="77777777" w:rsidR="00FD2BC4" w:rsidRDefault="00FD2BC4" w:rsidP="00292D3D">
            <w:pPr>
              <w:pStyle w:val="TableTextLeftAligned"/>
              <w:ind w:left="57" w:right="57"/>
            </w:pPr>
            <w:r>
              <w:t>Change range or composition</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7855D5B9" w14:textId="77777777" w:rsidR="00FD2BC4" w:rsidRDefault="00FD2BC4" w:rsidP="00292D3D">
            <w:pPr>
              <w:pStyle w:val="TableTextRightAligned"/>
              <w:ind w:left="57" w:right="57"/>
              <w:jc w:val="right"/>
            </w:pPr>
            <w:r>
              <w:t>3</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0FF50F2C" w14:textId="77777777" w:rsidR="00FD2BC4" w:rsidRDefault="00FD2BC4" w:rsidP="00292D3D">
            <w:pPr>
              <w:pStyle w:val="TableTextRightAligned"/>
              <w:ind w:left="57" w:right="57"/>
              <w:jc w:val="right"/>
            </w:pPr>
            <w:r>
              <w:t>0.083</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4753D34A" w14:textId="33AF87C8" w:rsidR="00FD2BC4" w:rsidRPr="003C02D5" w:rsidRDefault="003C02D5" w:rsidP="00292D3D">
            <w:pPr>
              <w:pStyle w:val="TableTextRightAligned"/>
              <w:ind w:left="57" w:right="57"/>
              <w:jc w:val="right"/>
              <w:rPr>
                <w:kern w:val="2"/>
                <w:szCs w:val="20"/>
                <w14:ligatures w14:val="standardContextual"/>
              </w:rPr>
            </w:pPr>
            <w:r>
              <w:t>0.000 to 0.166</w:t>
            </w:r>
          </w:p>
        </w:tc>
      </w:tr>
      <w:tr w:rsidR="00FD2BC4" w14:paraId="54E37CE9" w14:textId="77777777" w:rsidTr="00F71B01">
        <w:tc>
          <w:tcPr>
            <w:tcW w:w="1900" w:type="pct"/>
            <w:tcBorders>
              <w:top w:val="single" w:sz="8" w:space="0" w:color="132D3E"/>
              <w:left w:val="single" w:sz="8" w:space="0" w:color="132D3E"/>
              <w:bottom w:val="single" w:sz="8" w:space="0" w:color="132D3E"/>
              <w:right w:val="single" w:sz="8" w:space="0" w:color="132D3E"/>
            </w:tcBorders>
            <w:vAlign w:val="center"/>
            <w:hideMark/>
          </w:tcPr>
          <w:p w14:paraId="52B33320" w14:textId="77777777" w:rsidR="00FD2BC4" w:rsidRDefault="00FD2BC4" w:rsidP="00292D3D">
            <w:pPr>
              <w:pStyle w:val="TableTextLeftAligned"/>
              <w:ind w:left="57" w:right="57"/>
            </w:pPr>
            <w:r>
              <w:t>Change choice defaults</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3FBD3C59" w14:textId="77777777" w:rsidR="00FD2BC4" w:rsidRDefault="00FD2BC4" w:rsidP="00292D3D">
            <w:pPr>
              <w:pStyle w:val="TableTextRightAligned"/>
              <w:ind w:left="57" w:right="57"/>
              <w:jc w:val="right"/>
            </w:pPr>
            <w:r>
              <w:t>1</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59C1077C" w14:textId="77777777" w:rsidR="00FD2BC4" w:rsidRDefault="00FD2BC4" w:rsidP="00292D3D">
            <w:pPr>
              <w:pStyle w:val="TableTextRightAligned"/>
              <w:ind w:left="57" w:right="57"/>
              <w:jc w:val="right"/>
            </w:pPr>
            <w:r>
              <w:t>—</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5D490220" w14:textId="77777777" w:rsidR="00FD2BC4" w:rsidRDefault="00FD2BC4" w:rsidP="00292D3D">
            <w:pPr>
              <w:pStyle w:val="TableTextRightAligned"/>
              <w:ind w:left="57" w:right="57"/>
              <w:jc w:val="right"/>
            </w:pPr>
            <w:r>
              <w:t>Not estimated</w:t>
            </w:r>
          </w:p>
        </w:tc>
      </w:tr>
      <w:tr w:rsidR="00FD2BC4" w14:paraId="2CD57068" w14:textId="77777777" w:rsidTr="00F71B01">
        <w:tc>
          <w:tcPr>
            <w:tcW w:w="1900" w:type="pct"/>
            <w:tcBorders>
              <w:top w:val="single" w:sz="8" w:space="0" w:color="132D3E"/>
              <w:left w:val="single" w:sz="8" w:space="0" w:color="132D3E"/>
              <w:bottom w:val="single" w:sz="8" w:space="0" w:color="132D3E"/>
              <w:right w:val="single" w:sz="8" w:space="0" w:color="132D3E"/>
            </w:tcBorders>
            <w:vAlign w:val="center"/>
            <w:hideMark/>
          </w:tcPr>
          <w:p w14:paraId="363BD714" w14:textId="77777777" w:rsidR="00FD2BC4" w:rsidRDefault="00FD2BC4" w:rsidP="00292D3D">
            <w:pPr>
              <w:pStyle w:val="TableTextLeftAligned"/>
              <w:ind w:left="57" w:right="57"/>
            </w:pPr>
            <w:r>
              <w:t>Change option consequences</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30B6EB57" w14:textId="77777777" w:rsidR="00FD2BC4" w:rsidRDefault="00FD2BC4" w:rsidP="00292D3D">
            <w:pPr>
              <w:pStyle w:val="TableTextRightAligned"/>
              <w:ind w:left="57" w:right="57"/>
              <w:jc w:val="right"/>
            </w:pPr>
            <w:r>
              <w:t>1</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746F309C" w14:textId="77777777" w:rsidR="00FD2BC4" w:rsidRDefault="00FD2BC4" w:rsidP="00292D3D">
            <w:pPr>
              <w:pStyle w:val="TableTextRightAligned"/>
              <w:ind w:left="57" w:right="57"/>
              <w:jc w:val="right"/>
            </w:pPr>
            <w:r>
              <w:t>—</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68A8BFDD" w14:textId="77777777" w:rsidR="00FD2BC4" w:rsidRDefault="00FD2BC4" w:rsidP="00292D3D">
            <w:pPr>
              <w:pStyle w:val="TableTextRightAligned"/>
              <w:ind w:left="57" w:right="57"/>
              <w:jc w:val="right"/>
            </w:pPr>
            <w:r>
              <w:t>Not estimated</w:t>
            </w:r>
          </w:p>
        </w:tc>
      </w:tr>
      <w:tr w:rsidR="00FD2BC4" w14:paraId="6EFF168F" w14:textId="77777777" w:rsidTr="00F71B01">
        <w:tc>
          <w:tcPr>
            <w:tcW w:w="1900" w:type="pct"/>
            <w:tcBorders>
              <w:top w:val="single" w:sz="8" w:space="0" w:color="132D3E"/>
              <w:left w:val="single" w:sz="8" w:space="0" w:color="132D3E"/>
              <w:bottom w:val="single" w:sz="8" w:space="0" w:color="132D3E"/>
              <w:right w:val="single" w:sz="8" w:space="0" w:color="132D3E"/>
            </w:tcBorders>
            <w:vAlign w:val="center"/>
            <w:hideMark/>
          </w:tcPr>
          <w:p w14:paraId="13460792" w14:textId="77777777" w:rsidR="00FD2BC4" w:rsidRDefault="00FD2BC4" w:rsidP="00292D3D">
            <w:pPr>
              <w:pStyle w:val="TableTextLeftAligned"/>
              <w:ind w:left="57" w:right="57"/>
            </w:pPr>
            <w:r>
              <w:t>Facilitate commitment</w:t>
            </w:r>
          </w:p>
        </w:tc>
        <w:tc>
          <w:tcPr>
            <w:tcW w:w="600" w:type="pct"/>
            <w:tcBorders>
              <w:top w:val="single" w:sz="8" w:space="0" w:color="132D3E"/>
              <w:left w:val="single" w:sz="8" w:space="0" w:color="132D3E"/>
              <w:bottom w:val="single" w:sz="8" w:space="0" w:color="132D3E"/>
              <w:right w:val="single" w:sz="8" w:space="0" w:color="132D3E"/>
            </w:tcBorders>
            <w:vAlign w:val="center"/>
            <w:hideMark/>
          </w:tcPr>
          <w:p w14:paraId="009D31F4" w14:textId="77777777" w:rsidR="00FD2BC4" w:rsidRDefault="00FD2BC4" w:rsidP="00292D3D">
            <w:pPr>
              <w:pStyle w:val="TableTextRightAligned"/>
              <w:ind w:left="57" w:right="57"/>
              <w:jc w:val="right"/>
            </w:pPr>
            <w:r>
              <w:t>1</w:t>
            </w:r>
          </w:p>
        </w:tc>
        <w:tc>
          <w:tcPr>
            <w:tcW w:w="900" w:type="pct"/>
            <w:tcBorders>
              <w:top w:val="single" w:sz="8" w:space="0" w:color="132D3E"/>
              <w:left w:val="single" w:sz="8" w:space="0" w:color="132D3E"/>
              <w:bottom w:val="single" w:sz="8" w:space="0" w:color="132D3E"/>
              <w:right w:val="single" w:sz="8" w:space="0" w:color="132D3E"/>
            </w:tcBorders>
            <w:vAlign w:val="center"/>
            <w:hideMark/>
          </w:tcPr>
          <w:p w14:paraId="2991FCD0" w14:textId="77777777" w:rsidR="00FD2BC4" w:rsidRDefault="00FD2BC4" w:rsidP="00292D3D">
            <w:pPr>
              <w:pStyle w:val="TableTextRightAligned"/>
              <w:ind w:left="57" w:right="57"/>
              <w:jc w:val="right"/>
            </w:pPr>
            <w:r>
              <w:t>—</w:t>
            </w:r>
          </w:p>
        </w:tc>
        <w:tc>
          <w:tcPr>
            <w:tcW w:w="1600" w:type="pct"/>
            <w:tcBorders>
              <w:top w:val="single" w:sz="8" w:space="0" w:color="132D3E"/>
              <w:left w:val="single" w:sz="8" w:space="0" w:color="132D3E"/>
              <w:bottom w:val="single" w:sz="8" w:space="0" w:color="132D3E"/>
              <w:right w:val="single" w:sz="8" w:space="0" w:color="132D3E"/>
            </w:tcBorders>
            <w:vAlign w:val="center"/>
            <w:hideMark/>
          </w:tcPr>
          <w:p w14:paraId="609C809E" w14:textId="77777777" w:rsidR="00FD2BC4" w:rsidRDefault="00FD2BC4" w:rsidP="00292D3D">
            <w:pPr>
              <w:pStyle w:val="TableTextRightAligned"/>
              <w:ind w:left="57" w:right="57"/>
              <w:jc w:val="right"/>
            </w:pPr>
            <w:r>
              <w:t>Not estimated</w:t>
            </w:r>
          </w:p>
        </w:tc>
      </w:tr>
    </w:tbl>
    <w:p w14:paraId="06AA2BCF" w14:textId="77777777" w:rsidR="00556F94" w:rsidRDefault="43774730" w:rsidP="00B74D9A">
      <w:pPr>
        <w:pStyle w:val="Heading4"/>
        <w:rPr>
          <w:kern w:val="2"/>
          <w14:ligatures w14:val="standardContextual"/>
        </w:rPr>
      </w:pPr>
      <w:r>
        <w:t>Experiment type</w:t>
      </w:r>
    </w:p>
    <w:p w14:paraId="138D63EA" w14:textId="6184BBAE" w:rsidR="00FF2B9B" w:rsidRPr="00FF2B9B" w:rsidRDefault="004120F0" w:rsidP="00B74D9A">
      <w:pPr>
        <w:pStyle w:val="HeadingTable"/>
      </w:pPr>
      <w:r>
        <w:t>Mean</w:t>
      </w:r>
      <w:r w:rsidRPr="00FF2B9B">
        <w:t xml:space="preserve"> </w:t>
      </w:r>
      <w:r w:rsidR="00FF2B9B" w:rsidRPr="00FF2B9B">
        <w:t>effects by experiment type</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3092"/>
        <w:gridCol w:w="1128"/>
        <w:gridCol w:w="1440"/>
        <w:gridCol w:w="2598"/>
      </w:tblGrid>
      <w:tr w:rsidR="00FD2BC4" w14:paraId="36D36CFF" w14:textId="77777777" w:rsidTr="00DF1172">
        <w:tc>
          <w:tcPr>
            <w:tcW w:w="1872"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5EE82B79" w14:textId="77777777" w:rsidR="00FD2BC4" w:rsidRDefault="00FD2BC4" w:rsidP="00292D3D">
            <w:pPr>
              <w:pStyle w:val="TableTextLeftAligned"/>
              <w:ind w:left="57" w:right="57"/>
              <w:rPr>
                <w:color w:val="FFFFFF"/>
                <w:kern w:val="2"/>
                <w:szCs w:val="20"/>
                <w14:ligatures w14:val="standardContextual"/>
              </w:rPr>
            </w:pPr>
            <w:r>
              <w:rPr>
                <w:b/>
                <w:bCs/>
                <w:color w:val="FFFFFF"/>
              </w:rPr>
              <w:t>Experiment type</w:t>
            </w:r>
          </w:p>
        </w:tc>
        <w:tc>
          <w:tcPr>
            <w:tcW w:w="683"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0BD8B0C1" w14:textId="3C20E0D9" w:rsidR="00FD2BC4" w:rsidRDefault="00C63E96" w:rsidP="00292D3D">
            <w:pPr>
              <w:pStyle w:val="TableTextRightAligned"/>
              <w:ind w:left="57" w:right="57"/>
              <w:jc w:val="right"/>
              <w:rPr>
                <w:color w:val="FFFFFF"/>
              </w:rPr>
            </w:pPr>
            <w:r w:rsidRPr="004E3811">
              <w:rPr>
                <w:b/>
                <w:bCs/>
                <w:color w:val="FFFFFF"/>
              </w:rPr>
              <w:t>Trials</w:t>
            </w:r>
          </w:p>
        </w:tc>
        <w:tc>
          <w:tcPr>
            <w:tcW w:w="872"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13018FE4" w14:textId="77777777" w:rsidR="00FD2BC4" w:rsidRDefault="00FD2BC4" w:rsidP="00292D3D">
            <w:pPr>
              <w:pStyle w:val="TableTextRightAligned"/>
              <w:ind w:left="57" w:right="57"/>
              <w:jc w:val="right"/>
              <w:rPr>
                <w:color w:val="FFFFFF"/>
              </w:rPr>
            </w:pPr>
            <w:r>
              <w:rPr>
                <w:b/>
                <w:bCs/>
                <w:color w:val="FFFFFF"/>
              </w:rPr>
              <w:t xml:space="preserve">Cohen’s </w:t>
            </w:r>
            <w:r>
              <w:rPr>
                <w:b/>
                <w:bCs/>
                <w:i/>
                <w:iCs/>
                <w:color w:val="FFFFFF"/>
              </w:rPr>
              <w:t>d</w:t>
            </w:r>
          </w:p>
        </w:tc>
        <w:tc>
          <w:tcPr>
            <w:tcW w:w="1573"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3DF9E503" w14:textId="77777777" w:rsidR="00FD2BC4" w:rsidRDefault="00FD2BC4" w:rsidP="00292D3D">
            <w:pPr>
              <w:pStyle w:val="TableTextRightAligned"/>
              <w:ind w:left="57" w:right="57"/>
              <w:jc w:val="right"/>
              <w:rPr>
                <w:color w:val="FFFFFF"/>
              </w:rPr>
            </w:pPr>
            <w:r>
              <w:rPr>
                <w:b/>
                <w:bCs/>
                <w:color w:val="FFFFFF"/>
              </w:rPr>
              <w:t>95% confidence interval</w:t>
            </w:r>
          </w:p>
        </w:tc>
      </w:tr>
      <w:tr w:rsidR="00FD2BC4" w14:paraId="0B1F417D" w14:textId="77777777" w:rsidTr="00DF1172">
        <w:tc>
          <w:tcPr>
            <w:tcW w:w="1872" w:type="pct"/>
            <w:tcBorders>
              <w:top w:val="single" w:sz="8" w:space="0" w:color="auto"/>
              <w:left w:val="single" w:sz="8" w:space="0" w:color="132D3E"/>
              <w:bottom w:val="single" w:sz="8" w:space="0" w:color="132D3E"/>
              <w:right w:val="single" w:sz="8" w:space="0" w:color="132D3E"/>
            </w:tcBorders>
            <w:vAlign w:val="center"/>
            <w:hideMark/>
          </w:tcPr>
          <w:p w14:paraId="6809425C" w14:textId="77777777" w:rsidR="00FD2BC4" w:rsidRPr="001705AC" w:rsidRDefault="00FD2BC4" w:rsidP="00292D3D">
            <w:pPr>
              <w:pStyle w:val="TableTextLeftAligned"/>
              <w:ind w:left="57" w:right="57"/>
            </w:pPr>
            <w:r w:rsidRPr="001705AC">
              <w:t>Survey experiment</w:t>
            </w:r>
          </w:p>
        </w:tc>
        <w:tc>
          <w:tcPr>
            <w:tcW w:w="683" w:type="pct"/>
            <w:tcBorders>
              <w:top w:val="single" w:sz="8" w:space="0" w:color="auto"/>
              <w:left w:val="single" w:sz="8" w:space="0" w:color="132D3E"/>
              <w:bottom w:val="single" w:sz="8" w:space="0" w:color="132D3E"/>
              <w:right w:val="single" w:sz="8" w:space="0" w:color="132D3E"/>
            </w:tcBorders>
            <w:vAlign w:val="center"/>
            <w:hideMark/>
          </w:tcPr>
          <w:p w14:paraId="4643A773" w14:textId="77777777" w:rsidR="00FD2BC4" w:rsidRPr="001705AC" w:rsidRDefault="00FD2BC4" w:rsidP="00292D3D">
            <w:pPr>
              <w:pStyle w:val="TableTextRightAligned"/>
              <w:ind w:left="57" w:right="57"/>
              <w:jc w:val="right"/>
            </w:pPr>
            <w:r w:rsidRPr="001705AC">
              <w:t>29</w:t>
            </w:r>
          </w:p>
        </w:tc>
        <w:tc>
          <w:tcPr>
            <w:tcW w:w="872" w:type="pct"/>
            <w:tcBorders>
              <w:top w:val="single" w:sz="8" w:space="0" w:color="auto"/>
              <w:left w:val="single" w:sz="8" w:space="0" w:color="132D3E"/>
              <w:bottom w:val="single" w:sz="8" w:space="0" w:color="132D3E"/>
              <w:right w:val="single" w:sz="8" w:space="0" w:color="132D3E"/>
            </w:tcBorders>
            <w:vAlign w:val="center"/>
            <w:hideMark/>
          </w:tcPr>
          <w:p w14:paraId="2C7BD36D" w14:textId="77777777" w:rsidR="00FD2BC4" w:rsidRPr="001705AC" w:rsidRDefault="00FD2BC4" w:rsidP="00292D3D">
            <w:pPr>
              <w:pStyle w:val="TableTextRightAligned"/>
              <w:ind w:left="57" w:right="57"/>
              <w:jc w:val="right"/>
            </w:pPr>
            <w:r w:rsidRPr="001705AC">
              <w:t>0.092</w:t>
            </w:r>
          </w:p>
        </w:tc>
        <w:tc>
          <w:tcPr>
            <w:tcW w:w="1573" w:type="pct"/>
            <w:tcBorders>
              <w:top w:val="single" w:sz="8" w:space="0" w:color="auto"/>
              <w:left w:val="single" w:sz="8" w:space="0" w:color="132D3E"/>
              <w:bottom w:val="single" w:sz="8" w:space="0" w:color="132D3E"/>
              <w:right w:val="single" w:sz="8" w:space="0" w:color="132D3E"/>
            </w:tcBorders>
            <w:vAlign w:val="center"/>
            <w:hideMark/>
          </w:tcPr>
          <w:p w14:paraId="256ABE9D" w14:textId="77777777" w:rsidR="00FD2BC4" w:rsidRDefault="00FD2BC4" w:rsidP="00292D3D">
            <w:pPr>
              <w:pStyle w:val="TableTextRightAligned"/>
              <w:ind w:left="57" w:right="57"/>
              <w:jc w:val="right"/>
            </w:pPr>
            <w:r w:rsidRPr="001705AC">
              <w:t>0.031 to 0.153</w:t>
            </w:r>
          </w:p>
        </w:tc>
      </w:tr>
      <w:tr w:rsidR="00FD2BC4" w14:paraId="65E92802" w14:textId="77777777" w:rsidTr="00F71B01">
        <w:tc>
          <w:tcPr>
            <w:tcW w:w="1872" w:type="pct"/>
            <w:tcBorders>
              <w:top w:val="single" w:sz="8" w:space="0" w:color="132D3E"/>
              <w:left w:val="single" w:sz="8" w:space="0" w:color="132D3E"/>
              <w:bottom w:val="single" w:sz="8" w:space="0" w:color="132D3E"/>
              <w:right w:val="single" w:sz="8" w:space="0" w:color="132D3E"/>
            </w:tcBorders>
            <w:vAlign w:val="center"/>
            <w:hideMark/>
          </w:tcPr>
          <w:p w14:paraId="49201195" w14:textId="77777777" w:rsidR="00FD2BC4" w:rsidRDefault="00FD2BC4" w:rsidP="00292D3D">
            <w:pPr>
              <w:pStyle w:val="TableTextLeftAligned"/>
              <w:ind w:left="57" w:right="57"/>
            </w:pPr>
            <w:r>
              <w:t>Field experiment</w:t>
            </w:r>
          </w:p>
        </w:tc>
        <w:tc>
          <w:tcPr>
            <w:tcW w:w="683" w:type="pct"/>
            <w:tcBorders>
              <w:top w:val="single" w:sz="8" w:space="0" w:color="132D3E"/>
              <w:left w:val="single" w:sz="8" w:space="0" w:color="132D3E"/>
              <w:bottom w:val="single" w:sz="8" w:space="0" w:color="132D3E"/>
              <w:right w:val="single" w:sz="8" w:space="0" w:color="132D3E"/>
            </w:tcBorders>
            <w:vAlign w:val="center"/>
            <w:hideMark/>
          </w:tcPr>
          <w:p w14:paraId="6E4F4B4E" w14:textId="77777777" w:rsidR="00FD2BC4" w:rsidRDefault="00FD2BC4" w:rsidP="00292D3D">
            <w:pPr>
              <w:pStyle w:val="TableTextRightAligned"/>
              <w:ind w:left="57" w:right="57"/>
              <w:jc w:val="right"/>
            </w:pPr>
            <w:r>
              <w:t>22</w:t>
            </w:r>
          </w:p>
        </w:tc>
        <w:tc>
          <w:tcPr>
            <w:tcW w:w="872" w:type="pct"/>
            <w:tcBorders>
              <w:top w:val="single" w:sz="8" w:space="0" w:color="132D3E"/>
              <w:left w:val="single" w:sz="8" w:space="0" w:color="132D3E"/>
              <w:bottom w:val="single" w:sz="8" w:space="0" w:color="132D3E"/>
              <w:right w:val="single" w:sz="8" w:space="0" w:color="132D3E"/>
            </w:tcBorders>
            <w:vAlign w:val="center"/>
            <w:hideMark/>
          </w:tcPr>
          <w:p w14:paraId="7308E8CB" w14:textId="77777777" w:rsidR="00FD2BC4" w:rsidRDefault="00FD2BC4" w:rsidP="00292D3D">
            <w:pPr>
              <w:pStyle w:val="TableTextRightAligned"/>
              <w:ind w:left="57" w:right="57"/>
              <w:jc w:val="right"/>
            </w:pPr>
            <w:r>
              <w:t>0.032</w:t>
            </w:r>
          </w:p>
        </w:tc>
        <w:tc>
          <w:tcPr>
            <w:tcW w:w="1573" w:type="pct"/>
            <w:tcBorders>
              <w:top w:val="single" w:sz="8" w:space="0" w:color="132D3E"/>
              <w:left w:val="single" w:sz="8" w:space="0" w:color="132D3E"/>
              <w:bottom w:val="single" w:sz="8" w:space="0" w:color="132D3E"/>
              <w:right w:val="single" w:sz="8" w:space="0" w:color="132D3E"/>
            </w:tcBorders>
            <w:vAlign w:val="center"/>
            <w:hideMark/>
          </w:tcPr>
          <w:p w14:paraId="37D79E85" w14:textId="77777777" w:rsidR="00FD2BC4" w:rsidRDefault="00FD2BC4" w:rsidP="00292D3D">
            <w:pPr>
              <w:pStyle w:val="TableTextRightAligned"/>
              <w:ind w:left="57" w:right="57"/>
              <w:jc w:val="right"/>
            </w:pPr>
            <w:r>
              <w:t>0.004 to 0.059</w:t>
            </w:r>
          </w:p>
        </w:tc>
      </w:tr>
    </w:tbl>
    <w:p w14:paraId="076BAA64" w14:textId="580707ED" w:rsidR="00FD2BC4" w:rsidRPr="00710F74" w:rsidRDefault="00FD2BC4" w:rsidP="00710F74">
      <w:pPr>
        <w:pStyle w:val="SourceNotesText"/>
      </w:pPr>
      <w:r w:rsidRPr="00710F74">
        <w:t>Note: Subgroup estimates are descriptive</w:t>
      </w:r>
      <w:r w:rsidR="66D65BDA" w:rsidRPr="00710F74">
        <w:t xml:space="preserve"> and should </w:t>
      </w:r>
      <w:r w:rsidR="58B24A2C" w:rsidRPr="00710F74">
        <w:t>therefore</w:t>
      </w:r>
      <w:r w:rsidR="66D65BDA" w:rsidRPr="00710F74">
        <w:t xml:space="preserve"> be interpreted </w:t>
      </w:r>
      <w:r w:rsidR="58B24A2C" w:rsidRPr="00710F74">
        <w:t>cautiously because the</w:t>
      </w:r>
      <w:r w:rsidRPr="00710F74">
        <w:t xml:space="preserve"> omnibus moderator tests </w:t>
      </w:r>
      <w:r w:rsidR="00291CFD" w:rsidRPr="00710F74">
        <w:t xml:space="preserve">in Table 4 </w:t>
      </w:r>
      <w:r w:rsidRPr="00710F74">
        <w:t xml:space="preserve">did not detect statistically significant differences between subgroup levels. Technique-level estimates </w:t>
      </w:r>
      <w:r w:rsidR="00291CFD" w:rsidRPr="00710F74">
        <w:t xml:space="preserve">in Table 7 </w:t>
      </w:r>
      <w:r w:rsidRPr="00710F74">
        <w:t xml:space="preserve">were not calculated for categories represented by fewer than 2 </w:t>
      </w:r>
      <w:r w:rsidR="00D7215D" w:rsidRPr="00710F74">
        <w:t>trials</w:t>
      </w:r>
      <w:r w:rsidR="15283F57" w:rsidRPr="00710F74">
        <w:t xml:space="preserve"> because there were insufficient data to estimate a subgroup effect</w:t>
      </w:r>
      <w:r w:rsidRPr="00710F74">
        <w:t>.</w:t>
      </w:r>
    </w:p>
    <w:p w14:paraId="07D5F4F6" w14:textId="77777777" w:rsidR="00556F94" w:rsidRDefault="00556F94" w:rsidP="00B74D9A">
      <w:pPr>
        <w:pStyle w:val="Heading4"/>
        <w:rPr>
          <w:kern w:val="2"/>
          <w14:ligatures w14:val="standardContextual"/>
        </w:rPr>
      </w:pPr>
      <w:r>
        <w:t>Bayesian moderator analysis</w:t>
      </w:r>
    </w:p>
    <w:p w14:paraId="3C062746" w14:textId="31C6FF46" w:rsidR="00805159" w:rsidRDefault="11DF977E" w:rsidP="00105C81">
      <w:r>
        <w:t xml:space="preserve">Bayesian analyses supported the frequentist conclusion that none of the characteristics examined reliably explained variation in effects. The clearest directional pattern was for experiment type: there was a 93% probability that effects were larger in survey experiments than in field experiments, although the 95% credible interval for the difference included zero. There was little indication that </w:t>
      </w:r>
      <w:r w:rsidR="7AC44FF2">
        <w:t xml:space="preserve">the </w:t>
      </w:r>
      <w:r w:rsidR="3092BE47">
        <w:t>mean</w:t>
      </w:r>
      <w:r w:rsidR="7AC44FF2">
        <w:t xml:space="preserve"> </w:t>
      </w:r>
      <w:r>
        <w:t>effect</w:t>
      </w:r>
      <w:r w:rsidR="5A0EE0D6">
        <w:t xml:space="preserve"> size varied by trial year.</w:t>
      </w:r>
    </w:p>
    <w:p w14:paraId="7C03F2CD" w14:textId="3A3BE271" w:rsidR="00105C81" w:rsidRPr="00105C81" w:rsidRDefault="00105C81" w:rsidP="00105C81">
      <w:r w:rsidRPr="00105C81">
        <w:t xml:space="preserve">Overall, the evidence remained too uncertain to identify reliable moderators, particularly for subgroups represented by relatively few </w:t>
      </w:r>
      <w:r w:rsidR="00803342">
        <w:t>t</w:t>
      </w:r>
      <w:r w:rsidR="00803342" w:rsidRPr="00803342">
        <w:t>rials</w:t>
      </w:r>
      <w:r w:rsidRPr="00105C81">
        <w:t>.</w:t>
      </w:r>
    </w:p>
    <w:p w14:paraId="4C717161" w14:textId="266AE3DE" w:rsidR="00D02514" w:rsidRDefault="00CF4452" w:rsidP="00720B50">
      <w:pPr>
        <w:pStyle w:val="Heading2"/>
      </w:pPr>
      <w:r w:rsidRPr="00CF4452">
        <w:lastRenderedPageBreak/>
        <w:t>Robustness</w:t>
      </w:r>
      <w:r w:rsidR="005F462C">
        <w:t xml:space="preserve"> testing</w:t>
      </w:r>
    </w:p>
    <w:p w14:paraId="270E1D98" w14:textId="7C2FAF9F" w:rsidR="00264F4A" w:rsidRDefault="00264F4A" w:rsidP="00B74D9A">
      <w:pPr>
        <w:pStyle w:val="Heading3"/>
        <w:rPr>
          <w:kern w:val="2"/>
          <w:sz w:val="24"/>
          <w:szCs w:val="24"/>
          <w14:ligatures w14:val="standardContextual"/>
        </w:rPr>
      </w:pPr>
      <w:r>
        <w:t>Sensitivity analyses</w:t>
      </w:r>
      <w:r w:rsidR="005F462C">
        <w:t xml:space="preserve"> </w:t>
      </w:r>
    </w:p>
    <w:p w14:paraId="6AAA7C81" w14:textId="6DB474D1" w:rsidR="00713634" w:rsidRDefault="00502F1B">
      <w:r>
        <w:t xml:space="preserve">Sensitivity analyses tested whether the </w:t>
      </w:r>
      <w:r w:rsidR="00AF1F16">
        <w:t xml:space="preserve">estimated </w:t>
      </w:r>
      <w:r w:rsidR="0048451C">
        <w:t xml:space="preserve">mean </w:t>
      </w:r>
      <w:r>
        <w:t xml:space="preserve">effect changed under alternative approaches to handling related results from the same trial. </w:t>
      </w:r>
    </w:p>
    <w:p w14:paraId="1AC82A3E" w14:textId="1814A768" w:rsidR="005E050D" w:rsidRDefault="00502F1B">
      <w:r>
        <w:t>The main sensitivity analysis combined estimates within trials using generalised least squares (GLS), which accounts for their assumed correlation</w:t>
      </w:r>
      <w:r w:rsidR="000E1146">
        <w:t xml:space="preserve"> </w:t>
      </w:r>
      <w:r w:rsidR="00A21878">
        <w:t xml:space="preserve">between </w:t>
      </w:r>
      <w:r w:rsidR="00446E2C">
        <w:t xml:space="preserve">effect-size estimates </w:t>
      </w:r>
      <w:r w:rsidR="000E1146">
        <w:t>(ρ)</w:t>
      </w:r>
      <w:r>
        <w:t xml:space="preserve"> and gives greater weight to more precise estimates.</w:t>
      </w:r>
      <w:r w:rsidR="005E050D">
        <w:t xml:space="preserve"> </w:t>
      </w:r>
      <w:r w:rsidR="2662158E">
        <w:t xml:space="preserve">Additional </w:t>
      </w:r>
      <w:r w:rsidR="004713E4">
        <w:t xml:space="preserve">sensitivity </w:t>
      </w:r>
      <w:r w:rsidR="006843C8">
        <w:t xml:space="preserve">tests modelled </w:t>
      </w:r>
      <w:r w:rsidR="2662158E">
        <w:t xml:space="preserve">one estimate per </w:t>
      </w:r>
      <w:r w:rsidR="00E0405E">
        <w:t>t</w:t>
      </w:r>
      <w:r w:rsidR="00E0405E" w:rsidRPr="00E0405E">
        <w:t>rial</w:t>
      </w:r>
      <w:r w:rsidR="006843C8">
        <w:t>,</w:t>
      </w:r>
      <w:r w:rsidR="2662158E">
        <w:t xml:space="preserve"> and </w:t>
      </w:r>
      <w:r w:rsidR="00D82518">
        <w:t xml:space="preserve">a 2-stage aggregation </w:t>
      </w:r>
      <w:r w:rsidR="001536DB">
        <w:t>(</w:t>
      </w:r>
      <w:r w:rsidR="00D82518">
        <w:t xml:space="preserve">that </w:t>
      </w:r>
      <w:r w:rsidR="2662158E">
        <w:t>aggregated results first to the trial level and then to the project level</w:t>
      </w:r>
      <w:r w:rsidR="001536DB">
        <w:t>)</w:t>
      </w:r>
      <w:r w:rsidR="4BEE6E56">
        <w:t xml:space="preserve"> (</w:t>
      </w:r>
      <w:r w:rsidR="00CC1974">
        <w:fldChar w:fldCharType="begin"/>
      </w:r>
      <w:r w:rsidR="00CC1974">
        <w:instrText xml:space="preserve"> REF _Ref241833388 \h </w:instrText>
      </w:r>
      <w:r w:rsidR="00CC1974">
        <w:fldChar w:fldCharType="separate"/>
      </w:r>
      <w:r w:rsidR="00057DD9">
        <w:rPr>
          <w:szCs w:val="20"/>
        </w:rPr>
        <w:fldChar w:fldCharType="begin"/>
      </w:r>
      <w:r w:rsidR="00057DD9">
        <w:rPr>
          <w:szCs w:val="20"/>
        </w:rPr>
        <w:instrText xml:space="preserve"> REF _Ref241833154 \h </w:instrText>
      </w:r>
      <w:r w:rsidR="00057DD9">
        <w:rPr>
          <w:szCs w:val="20"/>
        </w:rPr>
      </w:r>
      <w:r w:rsidR="00057DD9">
        <w:rPr>
          <w:szCs w:val="20"/>
        </w:rPr>
        <w:fldChar w:fldCharType="separate"/>
      </w:r>
      <w:r w:rsidR="00057DD9" w:rsidRPr="00FA6B71">
        <w:rPr>
          <w:szCs w:val="20"/>
        </w:rPr>
        <w:t xml:space="preserve">Table </w:t>
      </w:r>
      <w:r w:rsidR="00057DD9">
        <w:rPr>
          <w:noProof/>
          <w:szCs w:val="20"/>
        </w:rPr>
        <w:t>9</w:t>
      </w:r>
      <w:r w:rsidR="00057DD9">
        <w:rPr>
          <w:szCs w:val="20"/>
        </w:rPr>
        <w:fldChar w:fldCharType="end"/>
      </w:r>
      <w:r w:rsidR="00CC1974">
        <w:fldChar w:fldCharType="end"/>
      </w:r>
      <w:r w:rsidR="0E1CAF6C">
        <w:t>)</w:t>
      </w:r>
      <w:r w:rsidR="2662158E">
        <w:t>.</w:t>
      </w:r>
      <w:r w:rsidR="0E1CAF6C">
        <w:t xml:space="preserve"> </w:t>
      </w:r>
    </w:p>
    <w:p w14:paraId="30749D94" w14:textId="4641F77C" w:rsidR="00502F1B" w:rsidRDefault="6F758802">
      <w:r>
        <w:t xml:space="preserve">The estimated </w:t>
      </w:r>
      <w:proofErr w:type="gramStart"/>
      <w:r w:rsidR="2976005B">
        <w:t xml:space="preserve">mean </w:t>
      </w:r>
      <w:r>
        <w:t xml:space="preserve"> effect</w:t>
      </w:r>
      <w:proofErr w:type="gramEnd"/>
      <w:r>
        <w:t xml:space="preserve"> remained positive across all </w:t>
      </w:r>
      <w:r w:rsidR="5B6094FC">
        <w:t xml:space="preserve">modelling </w:t>
      </w:r>
      <w:r>
        <w:t xml:space="preserve">approaches, ranging from </w:t>
      </w:r>
      <w:r w:rsidRPr="3D0A1FBB">
        <w:rPr>
          <w:i/>
          <w:iCs/>
        </w:rPr>
        <w:t>d</w:t>
      </w:r>
      <w:r>
        <w:t xml:space="preserve"> = 0.058 to </w:t>
      </w:r>
      <w:r w:rsidRPr="3D0A1FBB">
        <w:rPr>
          <w:i/>
          <w:iCs/>
        </w:rPr>
        <w:t>d</w:t>
      </w:r>
      <w:r>
        <w:t xml:space="preserve"> = 0.077</w:t>
      </w:r>
      <w:r w:rsidR="5A34DA0C">
        <w:t xml:space="preserve"> (</w:t>
      </w:r>
      <w:r w:rsidR="0E1CAF6C">
        <w:fldChar w:fldCharType="begin"/>
      </w:r>
      <w:r w:rsidR="0E1CAF6C">
        <w:instrText xml:space="preserve"> REF _Ref241833388 \h </w:instrText>
      </w:r>
      <w:r w:rsidR="0E1CAF6C">
        <w:fldChar w:fldCharType="separate"/>
      </w:r>
      <w:r w:rsidR="0E1CAF6C">
        <w:fldChar w:fldCharType="begin"/>
      </w:r>
      <w:r w:rsidR="0E1CAF6C">
        <w:instrText xml:space="preserve"> REF _Ref241833154 \h </w:instrText>
      </w:r>
      <w:r w:rsidR="0E1CAF6C">
        <w:fldChar w:fldCharType="separate"/>
      </w:r>
      <w:r w:rsidR="5A34DA0C">
        <w:t xml:space="preserve">Table </w:t>
      </w:r>
      <w:r w:rsidR="5A34DA0C" w:rsidRPr="3D0A1FBB">
        <w:rPr>
          <w:noProof/>
        </w:rPr>
        <w:t>9</w:t>
      </w:r>
      <w:r w:rsidR="0E1CAF6C">
        <w:fldChar w:fldCharType="end"/>
      </w:r>
      <w:r w:rsidR="0E1CAF6C">
        <w:fldChar w:fldCharType="end"/>
      </w:r>
      <w:r w:rsidR="5A34DA0C">
        <w:t>)</w:t>
      </w:r>
      <w:r>
        <w:t xml:space="preserve">. All confidence intervals excluded zero and substantially overlapped with the confidence interval from the primary model. This indicates that the overall finding was not driven by </w:t>
      </w:r>
      <w:r w:rsidR="0B20E70A">
        <w:t>trials</w:t>
      </w:r>
      <w:r>
        <w:t xml:space="preserve"> contributing multiple effect estimates or by the </w:t>
      </w:r>
      <w:proofErr w:type="gramStart"/>
      <w:r>
        <w:t>particular hierarchical</w:t>
      </w:r>
      <w:proofErr w:type="gramEnd"/>
      <w:r>
        <w:t xml:space="preserve"> structure used in the primary analysis.</w:t>
      </w:r>
    </w:p>
    <w:p w14:paraId="28943079" w14:textId="736278FA" w:rsidR="00FF2B9B" w:rsidRPr="00FA6B71" w:rsidRDefault="00FD608D" w:rsidP="00B74D9A">
      <w:pPr>
        <w:pStyle w:val="HeadingTable"/>
      </w:pPr>
      <w:r>
        <w:t>S</w:t>
      </w:r>
      <w:r w:rsidR="18D552B3" w:rsidRPr="09BEF997">
        <w:t xml:space="preserve">ensitivity analyses of the </w:t>
      </w:r>
      <w:r w:rsidR="06F1BC1F" w:rsidRPr="09BEF997">
        <w:t>mean</w:t>
      </w:r>
      <w:r w:rsidR="18D552B3" w:rsidRPr="09BEF997">
        <w:t xml:space="preserve"> effect</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3055"/>
        <w:gridCol w:w="1239"/>
        <w:gridCol w:w="2312"/>
        <w:gridCol w:w="1652"/>
      </w:tblGrid>
      <w:tr w:rsidR="00FD2BC4" w14:paraId="631268C1" w14:textId="77777777" w:rsidTr="00DF1172">
        <w:tc>
          <w:tcPr>
            <w:tcW w:w="185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566FA7AD" w14:textId="77777777" w:rsidR="00FD2BC4" w:rsidRDefault="00FD2BC4" w:rsidP="00292D3D">
            <w:pPr>
              <w:pStyle w:val="TableTextLeftAligned"/>
              <w:ind w:left="57" w:right="57"/>
              <w:rPr>
                <w:color w:val="FFFFFF"/>
                <w:kern w:val="2"/>
                <w:szCs w:val="20"/>
                <w14:ligatures w14:val="standardContextual"/>
              </w:rPr>
            </w:pPr>
            <w:r>
              <w:rPr>
                <w:b/>
                <w:bCs/>
                <w:color w:val="FFFFFF"/>
              </w:rPr>
              <w:t>Analysis</w:t>
            </w:r>
          </w:p>
        </w:tc>
        <w:tc>
          <w:tcPr>
            <w:tcW w:w="75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1480852C" w14:textId="77777777" w:rsidR="00FD2BC4" w:rsidRDefault="00FD2BC4" w:rsidP="00292D3D">
            <w:pPr>
              <w:pStyle w:val="TableTextRightAligned"/>
              <w:ind w:left="57" w:right="57"/>
              <w:jc w:val="right"/>
              <w:rPr>
                <w:color w:val="FFFFFF"/>
              </w:rPr>
            </w:pPr>
            <w:r>
              <w:rPr>
                <w:b/>
                <w:bCs/>
                <w:color w:val="FFFFFF"/>
              </w:rPr>
              <w:t xml:space="preserve">Cohen’s </w:t>
            </w:r>
            <w:r>
              <w:rPr>
                <w:b/>
                <w:bCs/>
                <w:i/>
                <w:iCs/>
                <w:color w:val="FFFFFF"/>
              </w:rPr>
              <w:t>d</w:t>
            </w:r>
          </w:p>
        </w:tc>
        <w:tc>
          <w:tcPr>
            <w:tcW w:w="14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21819CFD" w14:textId="77777777" w:rsidR="00FD2BC4" w:rsidRDefault="00FD2BC4" w:rsidP="00292D3D">
            <w:pPr>
              <w:pStyle w:val="TableTextRightAligned"/>
              <w:ind w:left="57" w:right="57"/>
              <w:jc w:val="right"/>
              <w:rPr>
                <w:color w:val="FFFFFF"/>
              </w:rPr>
            </w:pPr>
            <w:r>
              <w:rPr>
                <w:b/>
                <w:bCs/>
                <w:color w:val="FFFFFF"/>
              </w:rPr>
              <w:t>95% confidence interval</w:t>
            </w:r>
          </w:p>
        </w:tc>
        <w:tc>
          <w:tcPr>
            <w:tcW w:w="10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04704BA3" w14:textId="77777777" w:rsidR="00FD2BC4" w:rsidRDefault="00FD2BC4" w:rsidP="00292D3D">
            <w:pPr>
              <w:pStyle w:val="TableTextRightAligned"/>
              <w:ind w:left="57" w:right="57"/>
              <w:jc w:val="right"/>
              <w:rPr>
                <w:color w:val="FFFFFF"/>
              </w:rPr>
            </w:pPr>
            <w:r>
              <w:rPr>
                <w:b/>
                <w:bCs/>
                <w:color w:val="FFFFFF"/>
              </w:rPr>
              <w:t>Units included</w:t>
            </w:r>
          </w:p>
        </w:tc>
      </w:tr>
      <w:tr w:rsidR="00FD2BC4" w14:paraId="4748278C" w14:textId="77777777" w:rsidTr="00DF1172">
        <w:tc>
          <w:tcPr>
            <w:tcW w:w="1850" w:type="pct"/>
            <w:tcBorders>
              <w:top w:val="single" w:sz="8" w:space="0" w:color="auto"/>
              <w:left w:val="single" w:sz="8" w:space="0" w:color="132D3E"/>
              <w:bottom w:val="single" w:sz="8" w:space="0" w:color="132D3E"/>
              <w:right w:val="single" w:sz="8" w:space="0" w:color="132D3E"/>
            </w:tcBorders>
            <w:vAlign w:val="center"/>
            <w:hideMark/>
          </w:tcPr>
          <w:p w14:paraId="5449AB53" w14:textId="77777777" w:rsidR="00FD2BC4" w:rsidRDefault="00FD2BC4" w:rsidP="00292D3D">
            <w:pPr>
              <w:pStyle w:val="TableTextLeftAligned"/>
              <w:ind w:left="57" w:right="57"/>
            </w:pPr>
            <w:r>
              <w:t>Primary 3-level model</w:t>
            </w:r>
          </w:p>
        </w:tc>
        <w:tc>
          <w:tcPr>
            <w:tcW w:w="750" w:type="pct"/>
            <w:tcBorders>
              <w:top w:val="single" w:sz="8" w:space="0" w:color="auto"/>
              <w:left w:val="single" w:sz="8" w:space="0" w:color="132D3E"/>
              <w:bottom w:val="single" w:sz="8" w:space="0" w:color="132D3E"/>
              <w:right w:val="single" w:sz="8" w:space="0" w:color="132D3E"/>
            </w:tcBorders>
            <w:vAlign w:val="center"/>
            <w:hideMark/>
          </w:tcPr>
          <w:p w14:paraId="293E689E" w14:textId="77777777" w:rsidR="00FD2BC4" w:rsidRDefault="00FD2BC4" w:rsidP="00292D3D">
            <w:pPr>
              <w:pStyle w:val="TableTextRightAligned"/>
              <w:ind w:left="57" w:right="57"/>
              <w:jc w:val="right"/>
            </w:pPr>
            <w:r>
              <w:t>0.073</w:t>
            </w:r>
          </w:p>
        </w:tc>
        <w:tc>
          <w:tcPr>
            <w:tcW w:w="1400" w:type="pct"/>
            <w:tcBorders>
              <w:top w:val="single" w:sz="8" w:space="0" w:color="auto"/>
              <w:left w:val="single" w:sz="8" w:space="0" w:color="132D3E"/>
              <w:bottom w:val="single" w:sz="8" w:space="0" w:color="132D3E"/>
              <w:right w:val="single" w:sz="8" w:space="0" w:color="132D3E"/>
            </w:tcBorders>
            <w:vAlign w:val="center"/>
            <w:hideMark/>
          </w:tcPr>
          <w:p w14:paraId="5A404A97" w14:textId="77777777" w:rsidR="00FD2BC4" w:rsidRDefault="00FD2BC4" w:rsidP="00292D3D">
            <w:pPr>
              <w:pStyle w:val="TableTextRightAligned"/>
              <w:ind w:left="57" w:right="57"/>
              <w:jc w:val="right"/>
            </w:pPr>
            <w:r>
              <w:t>0.035 to 0.110</w:t>
            </w:r>
          </w:p>
        </w:tc>
        <w:tc>
          <w:tcPr>
            <w:tcW w:w="1000" w:type="pct"/>
            <w:tcBorders>
              <w:top w:val="single" w:sz="8" w:space="0" w:color="auto"/>
              <w:left w:val="single" w:sz="8" w:space="0" w:color="132D3E"/>
              <w:bottom w:val="single" w:sz="8" w:space="0" w:color="132D3E"/>
              <w:right w:val="single" w:sz="8" w:space="0" w:color="132D3E"/>
            </w:tcBorders>
            <w:vAlign w:val="center"/>
            <w:hideMark/>
          </w:tcPr>
          <w:p w14:paraId="6F7A70D9" w14:textId="77777777" w:rsidR="00FD2BC4" w:rsidRDefault="00FD2BC4" w:rsidP="00292D3D">
            <w:pPr>
              <w:pStyle w:val="TableTextRightAligned"/>
              <w:ind w:left="57" w:right="57"/>
              <w:jc w:val="right"/>
            </w:pPr>
            <w:r>
              <w:t>148 effects</w:t>
            </w:r>
          </w:p>
        </w:tc>
      </w:tr>
      <w:tr w:rsidR="00FD2BC4" w14:paraId="55FF768C" w14:textId="77777777" w:rsidTr="00F71B01">
        <w:tc>
          <w:tcPr>
            <w:tcW w:w="1850" w:type="pct"/>
            <w:tcBorders>
              <w:top w:val="single" w:sz="8" w:space="0" w:color="132D3E"/>
              <w:left w:val="single" w:sz="8" w:space="0" w:color="132D3E"/>
              <w:bottom w:val="single" w:sz="8" w:space="0" w:color="132D3E"/>
              <w:right w:val="single" w:sz="8" w:space="0" w:color="132D3E"/>
            </w:tcBorders>
            <w:vAlign w:val="center"/>
            <w:hideMark/>
          </w:tcPr>
          <w:p w14:paraId="3622034C" w14:textId="77777777" w:rsidR="00FD2BC4" w:rsidRDefault="00FD2BC4" w:rsidP="00292D3D">
            <w:pPr>
              <w:pStyle w:val="TableTextLeftAligned"/>
              <w:ind w:left="57" w:right="57"/>
            </w:pPr>
            <w:r>
              <w:t>GLS aggregation, ρ = 0.50</w:t>
            </w:r>
          </w:p>
        </w:tc>
        <w:tc>
          <w:tcPr>
            <w:tcW w:w="750" w:type="pct"/>
            <w:tcBorders>
              <w:top w:val="single" w:sz="8" w:space="0" w:color="132D3E"/>
              <w:left w:val="single" w:sz="8" w:space="0" w:color="132D3E"/>
              <w:bottom w:val="single" w:sz="8" w:space="0" w:color="132D3E"/>
              <w:right w:val="single" w:sz="8" w:space="0" w:color="132D3E"/>
            </w:tcBorders>
            <w:vAlign w:val="center"/>
            <w:hideMark/>
          </w:tcPr>
          <w:p w14:paraId="51E5417E" w14:textId="77777777" w:rsidR="00FD2BC4" w:rsidRDefault="00FD2BC4" w:rsidP="00292D3D">
            <w:pPr>
              <w:pStyle w:val="TableTextRightAligned"/>
              <w:ind w:left="57" w:right="57"/>
              <w:jc w:val="right"/>
            </w:pPr>
            <w:r>
              <w:t>0.068</w:t>
            </w:r>
          </w:p>
        </w:tc>
        <w:tc>
          <w:tcPr>
            <w:tcW w:w="1400" w:type="pct"/>
            <w:tcBorders>
              <w:top w:val="single" w:sz="8" w:space="0" w:color="132D3E"/>
              <w:left w:val="single" w:sz="8" w:space="0" w:color="132D3E"/>
              <w:bottom w:val="single" w:sz="8" w:space="0" w:color="132D3E"/>
              <w:right w:val="single" w:sz="8" w:space="0" w:color="132D3E"/>
            </w:tcBorders>
            <w:vAlign w:val="center"/>
            <w:hideMark/>
          </w:tcPr>
          <w:p w14:paraId="630E522B" w14:textId="77777777" w:rsidR="00FD2BC4" w:rsidRDefault="00FD2BC4" w:rsidP="00292D3D">
            <w:pPr>
              <w:pStyle w:val="TableTextRightAligned"/>
              <w:ind w:left="57" w:right="57"/>
              <w:jc w:val="right"/>
            </w:pPr>
            <w:r>
              <w:t>0.031 to 0.105</w:t>
            </w:r>
          </w:p>
        </w:tc>
        <w:tc>
          <w:tcPr>
            <w:tcW w:w="1000" w:type="pct"/>
            <w:tcBorders>
              <w:top w:val="single" w:sz="8" w:space="0" w:color="132D3E"/>
              <w:left w:val="single" w:sz="8" w:space="0" w:color="132D3E"/>
              <w:bottom w:val="single" w:sz="8" w:space="0" w:color="132D3E"/>
              <w:right w:val="single" w:sz="8" w:space="0" w:color="132D3E"/>
            </w:tcBorders>
            <w:vAlign w:val="center"/>
            <w:hideMark/>
          </w:tcPr>
          <w:p w14:paraId="37731BD4" w14:textId="23C7F241" w:rsidR="00FD2BC4" w:rsidRDefault="00FD2BC4" w:rsidP="00292D3D">
            <w:pPr>
              <w:pStyle w:val="TableTextRightAligned"/>
              <w:ind w:left="57" w:right="57"/>
              <w:jc w:val="right"/>
            </w:pPr>
            <w:r>
              <w:t xml:space="preserve">52 </w:t>
            </w:r>
            <w:r w:rsidR="00C63E96">
              <w:t>t</w:t>
            </w:r>
            <w:r w:rsidR="00C63E96" w:rsidRPr="00C63E96">
              <w:t>rials</w:t>
            </w:r>
          </w:p>
        </w:tc>
      </w:tr>
      <w:tr w:rsidR="00FD2BC4" w14:paraId="23B1CDE6" w14:textId="77777777" w:rsidTr="00F71B01">
        <w:tc>
          <w:tcPr>
            <w:tcW w:w="1850" w:type="pct"/>
            <w:tcBorders>
              <w:top w:val="single" w:sz="8" w:space="0" w:color="132D3E"/>
              <w:left w:val="single" w:sz="8" w:space="0" w:color="132D3E"/>
              <w:bottom w:val="single" w:sz="8" w:space="0" w:color="132D3E"/>
              <w:right w:val="single" w:sz="8" w:space="0" w:color="132D3E"/>
            </w:tcBorders>
            <w:vAlign w:val="center"/>
            <w:hideMark/>
          </w:tcPr>
          <w:p w14:paraId="07594393" w14:textId="77777777" w:rsidR="00E57119" w:rsidRDefault="00E57119">
            <w:pPr>
              <w:pStyle w:val="TableTextLeftAligned"/>
              <w:ind w:left="57" w:right="57"/>
              <w:rPr>
                <w:kern w:val="2"/>
                <w:sz w:val="24"/>
                <w14:ligatures w14:val="standardContextual"/>
              </w:rPr>
            </w:pPr>
            <w:r>
              <w:t>One estimate per trial</w:t>
            </w:r>
          </w:p>
          <w:p w14:paraId="4473AD3B" w14:textId="5A7D3F1A" w:rsidR="00FD2BC4" w:rsidRDefault="00FD2BC4" w:rsidP="00292D3D">
            <w:pPr>
              <w:pStyle w:val="TableTextLeftAligned"/>
              <w:ind w:left="57" w:right="57"/>
            </w:pPr>
          </w:p>
        </w:tc>
        <w:tc>
          <w:tcPr>
            <w:tcW w:w="750" w:type="pct"/>
            <w:tcBorders>
              <w:top w:val="single" w:sz="8" w:space="0" w:color="132D3E"/>
              <w:left w:val="single" w:sz="8" w:space="0" w:color="132D3E"/>
              <w:bottom w:val="single" w:sz="8" w:space="0" w:color="132D3E"/>
              <w:right w:val="single" w:sz="8" w:space="0" w:color="132D3E"/>
            </w:tcBorders>
            <w:vAlign w:val="center"/>
            <w:hideMark/>
          </w:tcPr>
          <w:p w14:paraId="24C97824" w14:textId="77777777" w:rsidR="00FD2BC4" w:rsidRDefault="00FD2BC4" w:rsidP="00292D3D">
            <w:pPr>
              <w:pStyle w:val="TableTextRightAligned"/>
              <w:ind w:left="57" w:right="57"/>
              <w:jc w:val="right"/>
            </w:pPr>
            <w:r>
              <w:t>0.077</w:t>
            </w:r>
          </w:p>
        </w:tc>
        <w:tc>
          <w:tcPr>
            <w:tcW w:w="1400" w:type="pct"/>
            <w:tcBorders>
              <w:top w:val="single" w:sz="8" w:space="0" w:color="132D3E"/>
              <w:left w:val="single" w:sz="8" w:space="0" w:color="132D3E"/>
              <w:bottom w:val="single" w:sz="8" w:space="0" w:color="132D3E"/>
              <w:right w:val="single" w:sz="8" w:space="0" w:color="132D3E"/>
            </w:tcBorders>
            <w:vAlign w:val="center"/>
            <w:hideMark/>
          </w:tcPr>
          <w:p w14:paraId="6012D066" w14:textId="77777777" w:rsidR="00FD2BC4" w:rsidRDefault="00FD2BC4" w:rsidP="00292D3D">
            <w:pPr>
              <w:pStyle w:val="TableTextRightAligned"/>
              <w:ind w:left="57" w:right="57"/>
              <w:jc w:val="right"/>
            </w:pPr>
            <w:r>
              <w:t>0.040 to 0.115</w:t>
            </w:r>
          </w:p>
        </w:tc>
        <w:tc>
          <w:tcPr>
            <w:tcW w:w="1000" w:type="pct"/>
            <w:tcBorders>
              <w:top w:val="single" w:sz="8" w:space="0" w:color="132D3E"/>
              <w:left w:val="single" w:sz="8" w:space="0" w:color="132D3E"/>
              <w:bottom w:val="single" w:sz="8" w:space="0" w:color="132D3E"/>
              <w:right w:val="single" w:sz="8" w:space="0" w:color="132D3E"/>
            </w:tcBorders>
            <w:vAlign w:val="center"/>
            <w:hideMark/>
          </w:tcPr>
          <w:p w14:paraId="4CD1B24B" w14:textId="11EAC0DC" w:rsidR="00FD2BC4" w:rsidRDefault="00FD2BC4" w:rsidP="00292D3D">
            <w:pPr>
              <w:pStyle w:val="TableTextRightAligned"/>
              <w:ind w:left="57" w:right="57"/>
              <w:jc w:val="right"/>
            </w:pPr>
            <w:r>
              <w:t xml:space="preserve">52 </w:t>
            </w:r>
            <w:r w:rsidR="00C63E96">
              <w:t>t</w:t>
            </w:r>
            <w:r w:rsidR="00C63E96" w:rsidRPr="00C63E96">
              <w:t>rials</w:t>
            </w:r>
          </w:p>
        </w:tc>
      </w:tr>
      <w:tr w:rsidR="00FD2BC4" w14:paraId="21FA8F60" w14:textId="77777777" w:rsidTr="00F71B01">
        <w:tc>
          <w:tcPr>
            <w:tcW w:w="1850" w:type="pct"/>
            <w:tcBorders>
              <w:top w:val="single" w:sz="8" w:space="0" w:color="132D3E"/>
              <w:left w:val="single" w:sz="8" w:space="0" w:color="132D3E"/>
              <w:bottom w:val="single" w:sz="8" w:space="0" w:color="132D3E"/>
              <w:right w:val="single" w:sz="8" w:space="0" w:color="132D3E"/>
            </w:tcBorders>
            <w:vAlign w:val="center"/>
            <w:hideMark/>
          </w:tcPr>
          <w:p w14:paraId="7734C48C" w14:textId="77777777" w:rsidR="00FD2BC4" w:rsidRDefault="00FD2BC4" w:rsidP="00292D3D">
            <w:pPr>
              <w:pStyle w:val="TableTextLeftAligned"/>
              <w:ind w:left="57" w:right="57"/>
            </w:pPr>
            <w:r>
              <w:t>2-stage aggregation</w:t>
            </w:r>
          </w:p>
        </w:tc>
        <w:tc>
          <w:tcPr>
            <w:tcW w:w="750" w:type="pct"/>
            <w:tcBorders>
              <w:top w:val="single" w:sz="8" w:space="0" w:color="132D3E"/>
              <w:left w:val="single" w:sz="8" w:space="0" w:color="132D3E"/>
              <w:bottom w:val="single" w:sz="8" w:space="0" w:color="132D3E"/>
              <w:right w:val="single" w:sz="8" w:space="0" w:color="132D3E"/>
            </w:tcBorders>
            <w:vAlign w:val="center"/>
            <w:hideMark/>
          </w:tcPr>
          <w:p w14:paraId="3E652073" w14:textId="77777777" w:rsidR="00FD2BC4" w:rsidRDefault="00FD2BC4" w:rsidP="00292D3D">
            <w:pPr>
              <w:pStyle w:val="TableTextRightAligned"/>
              <w:ind w:left="57" w:right="57"/>
              <w:jc w:val="right"/>
            </w:pPr>
            <w:r>
              <w:t>0.058</w:t>
            </w:r>
          </w:p>
        </w:tc>
        <w:tc>
          <w:tcPr>
            <w:tcW w:w="1400" w:type="pct"/>
            <w:tcBorders>
              <w:top w:val="single" w:sz="8" w:space="0" w:color="132D3E"/>
              <w:left w:val="single" w:sz="8" w:space="0" w:color="132D3E"/>
              <w:bottom w:val="single" w:sz="8" w:space="0" w:color="132D3E"/>
              <w:right w:val="single" w:sz="8" w:space="0" w:color="132D3E"/>
            </w:tcBorders>
            <w:vAlign w:val="center"/>
            <w:hideMark/>
          </w:tcPr>
          <w:p w14:paraId="489AC3B4" w14:textId="77777777" w:rsidR="00FD2BC4" w:rsidRDefault="00FD2BC4" w:rsidP="00292D3D">
            <w:pPr>
              <w:pStyle w:val="TableTextRightAligned"/>
              <w:ind w:left="57" w:right="57"/>
              <w:jc w:val="right"/>
            </w:pPr>
            <w:r>
              <w:t>0.024 to 0.091</w:t>
            </w:r>
          </w:p>
        </w:tc>
        <w:tc>
          <w:tcPr>
            <w:tcW w:w="1000" w:type="pct"/>
            <w:tcBorders>
              <w:top w:val="single" w:sz="8" w:space="0" w:color="132D3E"/>
              <w:left w:val="single" w:sz="8" w:space="0" w:color="132D3E"/>
              <w:bottom w:val="single" w:sz="8" w:space="0" w:color="132D3E"/>
              <w:right w:val="single" w:sz="8" w:space="0" w:color="132D3E"/>
            </w:tcBorders>
            <w:vAlign w:val="center"/>
            <w:hideMark/>
          </w:tcPr>
          <w:p w14:paraId="7452A7C1" w14:textId="77777777" w:rsidR="00FD2BC4" w:rsidRDefault="00FD2BC4" w:rsidP="00292D3D">
            <w:pPr>
              <w:pStyle w:val="TableTextRightAligned"/>
              <w:ind w:left="57" w:right="57"/>
              <w:jc w:val="right"/>
            </w:pPr>
            <w:r>
              <w:t>40 projects</w:t>
            </w:r>
          </w:p>
        </w:tc>
      </w:tr>
    </w:tbl>
    <w:p w14:paraId="2DCEAE85" w14:textId="7E2849B7" w:rsidR="00FD2BC4" w:rsidRPr="00710F74" w:rsidRDefault="00FD2BC4" w:rsidP="00710F74">
      <w:pPr>
        <w:pStyle w:val="SourceNotesText"/>
      </w:pPr>
      <w:r w:rsidRPr="00710F74">
        <w:t xml:space="preserve">Note: The 2-stage analysis first combined effects within </w:t>
      </w:r>
      <w:r w:rsidR="00E0405E" w:rsidRPr="00710F74">
        <w:t>trials</w:t>
      </w:r>
      <w:r w:rsidRPr="00710F74">
        <w:t xml:space="preserve"> and then combined </w:t>
      </w:r>
      <w:r w:rsidR="00E0405E" w:rsidRPr="00710F74">
        <w:t>trials</w:t>
      </w:r>
      <w:r w:rsidRPr="00710F74">
        <w:t xml:space="preserve"> within projects. All models were estimated using restricted maximum likelihood.</w:t>
      </w:r>
    </w:p>
    <w:p w14:paraId="47D27A6F" w14:textId="47D19BE4" w:rsidR="70F7AD62" w:rsidRPr="00FA6B71" w:rsidRDefault="2396E0D9" w:rsidP="00FA6B71">
      <w:r>
        <w:t xml:space="preserve">Because the correlations between effect </w:t>
      </w:r>
      <w:proofErr w:type="gramStart"/>
      <w:r>
        <w:t>estimates</w:t>
      </w:r>
      <w:proofErr w:type="gramEnd"/>
      <w:r>
        <w:t xml:space="preserve"> from the same </w:t>
      </w:r>
      <w:r w:rsidR="00D436DA">
        <w:t>t</w:t>
      </w:r>
      <w:r w:rsidR="00D436DA" w:rsidRPr="00D436DA">
        <w:t>rial</w:t>
      </w:r>
      <w:r>
        <w:t xml:space="preserve"> were not available, the GLS analysis was repeated using assumed correlations of ρ = 0.30, 0.50 and 0.70</w:t>
      </w:r>
      <w:r w:rsidR="730737DF">
        <w:t xml:space="preserve"> (</w:t>
      </w:r>
      <w:r w:rsidR="00057DD9">
        <w:fldChar w:fldCharType="begin"/>
      </w:r>
      <w:r w:rsidR="00057DD9">
        <w:instrText xml:space="preserve"> REF _Ref241833157 \h </w:instrText>
      </w:r>
      <w:r w:rsidR="00057DD9">
        <w:fldChar w:fldCharType="separate"/>
      </w:r>
      <w:r w:rsidR="00057DD9">
        <w:t xml:space="preserve">Table </w:t>
      </w:r>
      <w:r w:rsidR="00057DD9" w:rsidRPr="2A0962ED">
        <w:t>10</w:t>
      </w:r>
      <w:r w:rsidR="00057DD9">
        <w:fldChar w:fldCharType="end"/>
      </w:r>
      <w:r w:rsidR="00706C1F">
        <w:t>)</w:t>
      </w:r>
      <w:r w:rsidR="001525F0">
        <w:t>. The</w:t>
      </w:r>
      <w:r w:rsidR="00706C1F">
        <w:t xml:space="preserve"> </w:t>
      </w:r>
      <w:r w:rsidR="730737DF">
        <w:t xml:space="preserve">pooled </w:t>
      </w:r>
      <w:r w:rsidR="75BBE8A1">
        <w:t xml:space="preserve">mean effect size (Cohen’s d) </w:t>
      </w:r>
      <w:r w:rsidR="730737DF">
        <w:t xml:space="preserve">changed very little across the assumed correlations, indicating that the GLS result was not sensitive to the specific </w:t>
      </w:r>
      <w:r w:rsidR="00A075D7">
        <w:t xml:space="preserve">assumed level of </w:t>
      </w:r>
      <w:r w:rsidR="730737DF">
        <w:t>correlation</w:t>
      </w:r>
      <w:r w:rsidR="001B48B3" w:rsidRPr="001B48B3">
        <w:t xml:space="preserve"> </w:t>
      </w:r>
      <w:r w:rsidR="001B48B3">
        <w:t>between effect-size estimates</w:t>
      </w:r>
      <w:r w:rsidR="730737DF">
        <w:t>.</w:t>
      </w:r>
    </w:p>
    <w:p w14:paraId="44B664EB" w14:textId="688DF78F" w:rsidR="00FA6B71" w:rsidRPr="00FA6B71" w:rsidRDefault="00FA6B71" w:rsidP="00B74D9A">
      <w:pPr>
        <w:pStyle w:val="HeadingTable"/>
      </w:pPr>
      <w:r w:rsidRPr="00FA6B71">
        <w:t>GLS estimates across assumed within-</w:t>
      </w:r>
      <w:r w:rsidR="00D436DA" w:rsidRPr="00D436DA">
        <w:t>trial</w:t>
      </w:r>
      <w:r w:rsidRPr="00FA6B71">
        <w:t xml:space="preserve"> correlations</w:t>
      </w:r>
    </w:p>
    <w:tbl>
      <w:tblPr>
        <w:tblW w:w="5000" w:type="pct"/>
        <w:tblBorders>
          <w:top w:val="single" w:sz="8" w:space="0" w:color="132D3E"/>
          <w:left w:val="single" w:sz="8" w:space="0" w:color="132D3E"/>
          <w:bottom w:val="single" w:sz="8" w:space="0" w:color="132D3E"/>
          <w:right w:val="single" w:sz="8" w:space="0" w:color="132D3E"/>
        </w:tblBorders>
        <w:tblCellMar>
          <w:left w:w="0" w:type="dxa"/>
          <w:right w:w="0" w:type="dxa"/>
        </w:tblCellMar>
        <w:tblLook w:val="04A0" w:firstRow="1" w:lastRow="0" w:firstColumn="1" w:lastColumn="0" w:noHBand="0" w:noVBand="1"/>
      </w:tblPr>
      <w:tblGrid>
        <w:gridCol w:w="2477"/>
        <w:gridCol w:w="1817"/>
        <w:gridCol w:w="3964"/>
      </w:tblGrid>
      <w:tr w:rsidR="00FD2BC4" w14:paraId="3CF2DEE5" w14:textId="77777777" w:rsidTr="00DF1172">
        <w:tc>
          <w:tcPr>
            <w:tcW w:w="15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5A38B3C9" w14:textId="6B1F1283" w:rsidR="00FD2BC4" w:rsidRDefault="00FD2BC4" w:rsidP="00292D3D">
            <w:pPr>
              <w:pStyle w:val="TableTextLeftAligned"/>
              <w:ind w:left="57" w:right="57"/>
              <w:rPr>
                <w:color w:val="FFFFFF"/>
                <w:kern w:val="2"/>
                <w:szCs w:val="20"/>
                <w14:ligatures w14:val="standardContextual"/>
              </w:rPr>
            </w:pPr>
            <w:r>
              <w:rPr>
                <w:b/>
                <w:bCs/>
                <w:color w:val="FFFFFF"/>
              </w:rPr>
              <w:t>Assumed correlation</w:t>
            </w:r>
            <w:r w:rsidR="00287B08">
              <w:rPr>
                <w:b/>
                <w:bCs/>
                <w:color w:val="FFFFFF"/>
              </w:rPr>
              <w:t xml:space="preserve"> (</w:t>
            </w:r>
            <w:r w:rsidR="00287B08" w:rsidRPr="004E3811">
              <w:rPr>
                <w:b/>
                <w:bCs/>
                <w:color w:val="FFFFFF"/>
              </w:rPr>
              <w:t>ρ)</w:t>
            </w:r>
          </w:p>
        </w:tc>
        <w:tc>
          <w:tcPr>
            <w:tcW w:w="11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4C560BFF" w14:textId="77777777" w:rsidR="00FD2BC4" w:rsidRPr="00486927" w:rsidRDefault="00FD2BC4" w:rsidP="00FA6B71">
            <w:pPr>
              <w:pStyle w:val="TableTextLeftAligned"/>
              <w:ind w:left="57" w:right="57"/>
              <w:jc w:val="right"/>
              <w:rPr>
                <w:b/>
                <w:bCs/>
                <w:color w:val="FFFFFF"/>
              </w:rPr>
            </w:pPr>
            <w:r w:rsidRPr="00486927">
              <w:rPr>
                <w:b/>
                <w:bCs/>
                <w:color w:val="FFFFFF"/>
              </w:rPr>
              <w:t>Cohen’s d</w:t>
            </w:r>
          </w:p>
        </w:tc>
        <w:tc>
          <w:tcPr>
            <w:tcW w:w="2400" w:type="pct"/>
            <w:tcBorders>
              <w:top w:val="single" w:sz="8" w:space="0" w:color="auto"/>
              <w:left w:val="single" w:sz="8" w:space="0" w:color="auto"/>
              <w:bottom w:val="single" w:sz="8" w:space="0" w:color="auto"/>
              <w:right w:val="single" w:sz="8" w:space="0" w:color="auto"/>
            </w:tcBorders>
            <w:shd w:val="clear" w:color="auto" w:fill="14837A"/>
            <w:vAlign w:val="center"/>
            <w:hideMark/>
          </w:tcPr>
          <w:p w14:paraId="1C1717A5" w14:textId="77777777" w:rsidR="00FD2BC4" w:rsidRPr="00486927" w:rsidRDefault="00FD2BC4" w:rsidP="00FA6B71">
            <w:pPr>
              <w:pStyle w:val="TableTextLeftAligned"/>
              <w:ind w:left="57" w:right="57"/>
              <w:jc w:val="right"/>
              <w:rPr>
                <w:b/>
                <w:bCs/>
                <w:color w:val="FFFFFF"/>
              </w:rPr>
            </w:pPr>
            <w:r w:rsidRPr="00486927">
              <w:rPr>
                <w:b/>
                <w:bCs/>
                <w:color w:val="FFFFFF"/>
              </w:rPr>
              <w:t>95% confidence interval</w:t>
            </w:r>
          </w:p>
        </w:tc>
      </w:tr>
      <w:tr w:rsidR="00FD2BC4" w14:paraId="20895DC1" w14:textId="77777777" w:rsidTr="00DF1172">
        <w:tc>
          <w:tcPr>
            <w:tcW w:w="1500" w:type="pct"/>
            <w:tcBorders>
              <w:top w:val="single" w:sz="8" w:space="0" w:color="auto"/>
              <w:left w:val="single" w:sz="8" w:space="0" w:color="132D3E"/>
              <w:bottom w:val="single" w:sz="8" w:space="0" w:color="132D3E"/>
              <w:right w:val="single" w:sz="8" w:space="0" w:color="132D3E"/>
            </w:tcBorders>
            <w:vAlign w:val="center"/>
            <w:hideMark/>
          </w:tcPr>
          <w:p w14:paraId="4C5DDBBF" w14:textId="77777777" w:rsidR="00FD2BC4" w:rsidRDefault="00FD2BC4" w:rsidP="00292D3D">
            <w:pPr>
              <w:pStyle w:val="TableTextLeftAligned"/>
              <w:ind w:left="57" w:right="57"/>
            </w:pPr>
            <w:r>
              <w:t>0.30</w:t>
            </w:r>
          </w:p>
        </w:tc>
        <w:tc>
          <w:tcPr>
            <w:tcW w:w="1100" w:type="pct"/>
            <w:tcBorders>
              <w:top w:val="single" w:sz="8" w:space="0" w:color="auto"/>
              <w:left w:val="single" w:sz="8" w:space="0" w:color="132D3E"/>
              <w:bottom w:val="single" w:sz="8" w:space="0" w:color="132D3E"/>
              <w:right w:val="single" w:sz="8" w:space="0" w:color="132D3E"/>
            </w:tcBorders>
            <w:vAlign w:val="center"/>
            <w:hideMark/>
          </w:tcPr>
          <w:p w14:paraId="47C3FF16" w14:textId="77777777" w:rsidR="00FD2BC4" w:rsidRPr="00B6078B" w:rsidRDefault="00FD2BC4" w:rsidP="00292D3D">
            <w:pPr>
              <w:pStyle w:val="TableTextRightAligned"/>
              <w:ind w:left="57" w:right="57"/>
              <w:jc w:val="right"/>
            </w:pPr>
            <w:r w:rsidRPr="00B6078B">
              <w:t>0.070</w:t>
            </w:r>
          </w:p>
        </w:tc>
        <w:tc>
          <w:tcPr>
            <w:tcW w:w="2400" w:type="pct"/>
            <w:tcBorders>
              <w:top w:val="single" w:sz="8" w:space="0" w:color="auto"/>
              <w:left w:val="single" w:sz="8" w:space="0" w:color="132D3E"/>
              <w:bottom w:val="single" w:sz="8" w:space="0" w:color="132D3E"/>
              <w:right w:val="single" w:sz="8" w:space="0" w:color="132D3E"/>
            </w:tcBorders>
            <w:vAlign w:val="center"/>
            <w:hideMark/>
          </w:tcPr>
          <w:p w14:paraId="451DBA85" w14:textId="77777777" w:rsidR="00FD2BC4" w:rsidRPr="00B6078B" w:rsidRDefault="00FD2BC4" w:rsidP="00292D3D">
            <w:pPr>
              <w:pStyle w:val="TableTextRightAligned"/>
              <w:ind w:left="57" w:right="57"/>
              <w:jc w:val="right"/>
            </w:pPr>
            <w:r w:rsidRPr="00B6078B">
              <w:t>0.033 to 0.107</w:t>
            </w:r>
          </w:p>
        </w:tc>
      </w:tr>
      <w:tr w:rsidR="00FD2BC4" w14:paraId="4AE56311" w14:textId="77777777" w:rsidTr="00F71B01">
        <w:tc>
          <w:tcPr>
            <w:tcW w:w="1500" w:type="pct"/>
            <w:tcBorders>
              <w:top w:val="single" w:sz="8" w:space="0" w:color="132D3E"/>
              <w:left w:val="single" w:sz="8" w:space="0" w:color="132D3E"/>
              <w:bottom w:val="single" w:sz="8" w:space="0" w:color="132D3E"/>
              <w:right w:val="single" w:sz="8" w:space="0" w:color="132D3E"/>
            </w:tcBorders>
            <w:vAlign w:val="center"/>
            <w:hideMark/>
          </w:tcPr>
          <w:p w14:paraId="50DE7BFF" w14:textId="77777777" w:rsidR="00FD2BC4" w:rsidRDefault="00FD2BC4" w:rsidP="00292D3D">
            <w:pPr>
              <w:pStyle w:val="TableTextLeftAligned"/>
              <w:ind w:left="57" w:right="57"/>
            </w:pPr>
            <w:r>
              <w:t>0.50</w:t>
            </w:r>
          </w:p>
        </w:tc>
        <w:tc>
          <w:tcPr>
            <w:tcW w:w="1100" w:type="pct"/>
            <w:tcBorders>
              <w:top w:val="single" w:sz="8" w:space="0" w:color="132D3E"/>
              <w:left w:val="single" w:sz="8" w:space="0" w:color="132D3E"/>
              <w:bottom w:val="single" w:sz="8" w:space="0" w:color="132D3E"/>
              <w:right w:val="single" w:sz="8" w:space="0" w:color="132D3E"/>
            </w:tcBorders>
            <w:vAlign w:val="center"/>
            <w:hideMark/>
          </w:tcPr>
          <w:p w14:paraId="0247B909" w14:textId="77777777" w:rsidR="00FD2BC4" w:rsidRPr="00B6078B" w:rsidRDefault="00FD2BC4" w:rsidP="00292D3D">
            <w:pPr>
              <w:pStyle w:val="TableTextRightAligned"/>
              <w:ind w:left="57" w:right="57"/>
              <w:jc w:val="right"/>
            </w:pPr>
            <w:r w:rsidRPr="00B6078B">
              <w:t>0.068</w:t>
            </w:r>
          </w:p>
        </w:tc>
        <w:tc>
          <w:tcPr>
            <w:tcW w:w="2400" w:type="pct"/>
            <w:tcBorders>
              <w:top w:val="single" w:sz="8" w:space="0" w:color="132D3E"/>
              <w:left w:val="single" w:sz="8" w:space="0" w:color="132D3E"/>
              <w:bottom w:val="single" w:sz="8" w:space="0" w:color="132D3E"/>
              <w:right w:val="single" w:sz="8" w:space="0" w:color="132D3E"/>
            </w:tcBorders>
            <w:vAlign w:val="center"/>
            <w:hideMark/>
          </w:tcPr>
          <w:p w14:paraId="1492481E" w14:textId="77777777" w:rsidR="00FD2BC4" w:rsidRPr="00B6078B" w:rsidRDefault="00FD2BC4" w:rsidP="00292D3D">
            <w:pPr>
              <w:pStyle w:val="TableTextRightAligned"/>
              <w:ind w:left="57" w:right="57"/>
              <w:jc w:val="right"/>
            </w:pPr>
            <w:r w:rsidRPr="00B6078B">
              <w:t>0.031 to 0.105</w:t>
            </w:r>
          </w:p>
        </w:tc>
      </w:tr>
      <w:tr w:rsidR="00FD2BC4" w14:paraId="7E557C1F" w14:textId="77777777" w:rsidTr="00F71B01">
        <w:tc>
          <w:tcPr>
            <w:tcW w:w="1500" w:type="pct"/>
            <w:tcBorders>
              <w:top w:val="single" w:sz="8" w:space="0" w:color="132D3E"/>
              <w:left w:val="single" w:sz="8" w:space="0" w:color="132D3E"/>
              <w:bottom w:val="single" w:sz="8" w:space="0" w:color="132D3E"/>
              <w:right w:val="single" w:sz="8" w:space="0" w:color="132D3E"/>
            </w:tcBorders>
            <w:vAlign w:val="center"/>
            <w:hideMark/>
          </w:tcPr>
          <w:p w14:paraId="5D166E8C" w14:textId="77777777" w:rsidR="00FD2BC4" w:rsidRDefault="00FD2BC4" w:rsidP="00292D3D">
            <w:pPr>
              <w:pStyle w:val="TableTextLeftAligned"/>
              <w:ind w:left="57" w:right="57"/>
            </w:pPr>
            <w:r>
              <w:t>0.70</w:t>
            </w:r>
          </w:p>
        </w:tc>
        <w:tc>
          <w:tcPr>
            <w:tcW w:w="1100" w:type="pct"/>
            <w:tcBorders>
              <w:top w:val="single" w:sz="8" w:space="0" w:color="132D3E"/>
              <w:left w:val="single" w:sz="8" w:space="0" w:color="132D3E"/>
              <w:bottom w:val="single" w:sz="8" w:space="0" w:color="132D3E"/>
              <w:right w:val="single" w:sz="8" w:space="0" w:color="132D3E"/>
            </w:tcBorders>
            <w:vAlign w:val="center"/>
            <w:hideMark/>
          </w:tcPr>
          <w:p w14:paraId="409BD5DD" w14:textId="77777777" w:rsidR="00FD2BC4" w:rsidRPr="00B6078B" w:rsidRDefault="00FD2BC4" w:rsidP="00292D3D">
            <w:pPr>
              <w:pStyle w:val="TableTextRightAligned"/>
              <w:ind w:left="57" w:right="57"/>
              <w:jc w:val="right"/>
            </w:pPr>
            <w:r w:rsidRPr="00B6078B">
              <w:t>0.066</w:t>
            </w:r>
          </w:p>
        </w:tc>
        <w:tc>
          <w:tcPr>
            <w:tcW w:w="2400" w:type="pct"/>
            <w:tcBorders>
              <w:top w:val="single" w:sz="8" w:space="0" w:color="132D3E"/>
              <w:left w:val="single" w:sz="8" w:space="0" w:color="132D3E"/>
              <w:bottom w:val="single" w:sz="8" w:space="0" w:color="132D3E"/>
              <w:right w:val="single" w:sz="8" w:space="0" w:color="132D3E"/>
            </w:tcBorders>
            <w:vAlign w:val="center"/>
            <w:hideMark/>
          </w:tcPr>
          <w:p w14:paraId="3568536E" w14:textId="77777777" w:rsidR="00FD2BC4" w:rsidRPr="00B6078B" w:rsidRDefault="00FD2BC4" w:rsidP="00292D3D">
            <w:pPr>
              <w:pStyle w:val="TableTextRightAligned"/>
              <w:ind w:left="57" w:right="57"/>
              <w:jc w:val="right"/>
            </w:pPr>
            <w:r w:rsidRPr="00B6078B">
              <w:t>0.028 to 0.103</w:t>
            </w:r>
          </w:p>
        </w:tc>
      </w:tr>
    </w:tbl>
    <w:p w14:paraId="666EF1B1" w14:textId="10D436D2" w:rsidR="002A6F14" w:rsidRPr="002A6F14" w:rsidRDefault="002A6F14" w:rsidP="00B74D9A">
      <w:pPr>
        <w:pStyle w:val="Heading3"/>
      </w:pPr>
      <w:r w:rsidRPr="002A6F14">
        <w:t>Assessment of small-</w:t>
      </w:r>
      <w:r w:rsidR="00D436DA" w:rsidRPr="00D436DA">
        <w:t>trial</w:t>
      </w:r>
      <w:r w:rsidRPr="002A6F14">
        <w:t xml:space="preserve"> effects</w:t>
      </w:r>
    </w:p>
    <w:p w14:paraId="746763E6" w14:textId="3847D95A" w:rsidR="000450D7" w:rsidRDefault="00502F1B" w:rsidP="008B32A2">
      <w:r w:rsidRPr="008B32A2">
        <w:t>We examined whether effect estimates were related to their precision using a funnel plot and a statistical test of small-</w:t>
      </w:r>
      <w:r w:rsidR="00D436DA" w:rsidRPr="008B32A2">
        <w:t>trial</w:t>
      </w:r>
      <w:r w:rsidRPr="008B32A2">
        <w:t xml:space="preserve"> effects</w:t>
      </w:r>
      <w:r w:rsidR="00E14EBF">
        <w:t xml:space="preserve"> methods</w:t>
      </w:r>
      <w:r w:rsidRPr="008B32A2">
        <w:t xml:space="preserve">. </w:t>
      </w:r>
    </w:p>
    <w:p w14:paraId="78F8AF98" w14:textId="1FA7A169" w:rsidR="000450D7" w:rsidRDefault="00502F1B" w:rsidP="008B32A2">
      <w:r w:rsidRPr="008B32A2">
        <w:lastRenderedPageBreak/>
        <w:t xml:space="preserve">Funnel-plot asymmetry can indicate underrepresentation of smaller </w:t>
      </w:r>
      <w:r w:rsidR="008D0482" w:rsidRPr="008B32A2">
        <w:t>trials</w:t>
      </w:r>
      <w:r w:rsidRPr="008B32A2">
        <w:t xml:space="preserve"> with null or negative findings but can also arise from genuine differences between</w:t>
      </w:r>
      <w:r w:rsidR="00831D13" w:rsidRPr="008B32A2">
        <w:t xml:space="preserve"> </w:t>
      </w:r>
      <w:r w:rsidR="007B36EC" w:rsidRPr="008B32A2">
        <w:t>trials</w:t>
      </w:r>
      <w:r w:rsidRPr="008B32A2">
        <w:t>, particularly when interventions, outcomes and settings are diverse.</w:t>
      </w:r>
      <w:r w:rsidR="008B32A2" w:rsidRPr="008B32A2">
        <w:t xml:space="preserve"> </w:t>
      </w:r>
      <w:r w:rsidR="003C02D5">
        <w:t>The funnel plot showed some asymmetry</w:t>
      </w:r>
      <w:r w:rsidR="00591C09">
        <w:t xml:space="preserve"> (</w:t>
      </w:r>
      <w:r w:rsidR="00716933">
        <w:fldChar w:fldCharType="begin"/>
      </w:r>
      <w:r w:rsidR="00716933">
        <w:instrText xml:space="preserve"> REF _Ref244243993 \h </w:instrText>
      </w:r>
      <w:r w:rsidR="00716933">
        <w:fldChar w:fldCharType="separate"/>
      </w:r>
      <w:r w:rsidR="00716933">
        <w:t xml:space="preserve">Figure </w:t>
      </w:r>
      <w:r w:rsidR="00716933">
        <w:rPr>
          <w:noProof/>
        </w:rPr>
        <w:t>3</w:t>
      </w:r>
      <w:r w:rsidR="00716933">
        <w:fldChar w:fldCharType="end"/>
      </w:r>
      <w:r w:rsidR="00591C09">
        <w:t>)</w:t>
      </w:r>
      <w:r w:rsidR="003C02D5">
        <w:t xml:space="preserve">. </w:t>
      </w:r>
    </w:p>
    <w:p w14:paraId="2C42CBB4" w14:textId="77777777" w:rsidR="00B1758F" w:rsidRDefault="003C02D5" w:rsidP="008B32A2">
      <w:r>
        <w:t xml:space="preserve">The </w:t>
      </w:r>
      <w:r w:rsidR="00F2259D">
        <w:t>P</w:t>
      </w:r>
      <w:r w:rsidR="00F2259D" w:rsidRPr="00F2259D">
        <w:t xml:space="preserve">recision-Effect Test </w:t>
      </w:r>
      <w:r w:rsidR="00F2259D">
        <w:t>(</w:t>
      </w:r>
      <w:r>
        <w:t>PET</w:t>
      </w:r>
      <w:r w:rsidR="00F2259D">
        <w:t>)</w:t>
      </w:r>
      <w:r>
        <w:t xml:space="preserve"> model found an association between effect size and standard error (</w:t>
      </w:r>
      <w:r w:rsidRPr="008B32A2">
        <w:rPr>
          <w:i/>
          <w:iCs/>
        </w:rPr>
        <w:t>b</w:t>
      </w:r>
      <w:r>
        <w:t xml:space="preserve"> = 4.69, </w:t>
      </w:r>
      <w:r w:rsidRPr="008B32A2">
        <w:rPr>
          <w:i/>
          <w:iCs/>
        </w:rPr>
        <w:t>p</w:t>
      </w:r>
      <w:r>
        <w:t xml:space="preserve"> = </w:t>
      </w:r>
      <w:r w:rsidR="00EC3342">
        <w:t>0</w:t>
      </w:r>
      <w:r>
        <w:t xml:space="preserve">.021), while the corresponding </w:t>
      </w:r>
      <w:r w:rsidR="00463D7B" w:rsidRPr="00463D7B">
        <w:t xml:space="preserve">Precision-Effect Estimate with Standard Error </w:t>
      </w:r>
      <w:r w:rsidR="00463D7B">
        <w:t>(</w:t>
      </w:r>
      <w:r>
        <w:t>PEESE</w:t>
      </w:r>
      <w:r w:rsidR="00463D7B">
        <w:t>)</w:t>
      </w:r>
      <w:r>
        <w:t xml:space="preserve"> association was weaker (</w:t>
      </w:r>
      <w:r w:rsidRPr="008B32A2">
        <w:rPr>
          <w:i/>
          <w:iCs/>
        </w:rPr>
        <w:t>b</w:t>
      </w:r>
      <w:r>
        <w:t xml:space="preserve"> = 52.31, </w:t>
      </w:r>
      <w:r w:rsidRPr="008B32A2">
        <w:rPr>
          <w:i/>
          <w:iCs/>
        </w:rPr>
        <w:t>p</w:t>
      </w:r>
      <w:r>
        <w:t xml:space="preserve"> = </w:t>
      </w:r>
      <w:r w:rsidR="00EC3342">
        <w:t>0</w:t>
      </w:r>
      <w:r>
        <w:t xml:space="preserve">.095). </w:t>
      </w:r>
    </w:p>
    <w:p w14:paraId="063413CA" w14:textId="47119EF9" w:rsidR="007736BC" w:rsidRDefault="00B1758F" w:rsidP="008B32A2">
      <w:r>
        <w:t>Taken together, t</w:t>
      </w:r>
      <w:r w:rsidR="003C02D5">
        <w:t>hese results suggest that less precise</w:t>
      </w:r>
      <w:r w:rsidR="00DF2D7B">
        <w:t xml:space="preserve"> effect</w:t>
      </w:r>
      <w:r w:rsidR="003C02D5">
        <w:t xml:space="preserve"> estimates tended to</w:t>
      </w:r>
      <w:r w:rsidR="00B70463">
        <w:t xml:space="preserve"> have a</w:t>
      </w:r>
      <w:r w:rsidR="003C02D5">
        <w:t xml:space="preserve"> larger</w:t>
      </w:r>
      <w:r w:rsidR="00B70463">
        <w:t xml:space="preserve"> effect size</w:t>
      </w:r>
      <w:r w:rsidR="003C02D5">
        <w:t>, although the evidence was not consistent across methods.</w:t>
      </w:r>
      <w:r w:rsidR="00E70161">
        <w:t xml:space="preserve"> </w:t>
      </w:r>
      <w:r w:rsidR="002E6D55" w:rsidRPr="008B32A2">
        <w:t xml:space="preserve">This pattern is unlikely to reflect conventional publication bias because the analysis included BETA’s completed trial portfolio rather than only </w:t>
      </w:r>
      <w:r w:rsidR="00831D13">
        <w:t>t</w:t>
      </w:r>
      <w:r w:rsidR="00831D13" w:rsidRPr="00D436DA">
        <w:t>rial</w:t>
      </w:r>
      <w:r w:rsidR="00831D13">
        <w:t>s</w:t>
      </w:r>
      <w:r w:rsidR="002E6D55" w:rsidRPr="00B74D9A">
        <w:t xml:space="preserve"> published externally. It may instead reflect genuine differences between trials, substantial heterogeneity, or dependence among estimates from the same trial. </w:t>
      </w:r>
    </w:p>
    <w:p w14:paraId="079C91E0" w14:textId="1CB2A02F" w:rsidR="00C010DF" w:rsidRPr="000353F3" w:rsidRDefault="002E6D55" w:rsidP="008B32A2">
      <w:r w:rsidRPr="000353F3">
        <w:t>The funnel plot and PET–PEESE results should therefore be treated as diagnostic evidence of small-</w:t>
      </w:r>
      <w:r w:rsidR="00D436DA">
        <w:t>t</w:t>
      </w:r>
      <w:r w:rsidR="00D436DA" w:rsidRPr="00D436DA">
        <w:t>rial</w:t>
      </w:r>
      <w:r w:rsidRPr="00B74D9A">
        <w:t xml:space="preserve"> effects</w:t>
      </w:r>
      <w:r w:rsidR="00D23F87">
        <w:t xml:space="preserve"> </w:t>
      </w:r>
      <w:r w:rsidR="00D23F87" w:rsidRPr="008B32A2">
        <w:t xml:space="preserve">particularly because some trials </w:t>
      </w:r>
      <w:r w:rsidR="00D23F87">
        <w:t xml:space="preserve">in our meta-analysis </w:t>
      </w:r>
      <w:r w:rsidR="00D23F87" w:rsidRPr="008B32A2">
        <w:t xml:space="preserve">contributed multiple related </w:t>
      </w:r>
      <w:r w:rsidR="00D23F87">
        <w:t xml:space="preserve">effect </w:t>
      </w:r>
      <w:r w:rsidR="00D23F87" w:rsidRPr="008B32A2">
        <w:t>estimates</w:t>
      </w:r>
      <w:r w:rsidR="00D23F87">
        <w:t xml:space="preserve">, and </w:t>
      </w:r>
      <w:r w:rsidRPr="000353F3">
        <w:t>not evidence that null or negative BETA trials were unpublished.</w:t>
      </w:r>
    </w:p>
    <w:p w14:paraId="062B012F" w14:textId="2F9588CE" w:rsidR="00716933" w:rsidRDefault="00716933" w:rsidP="00716933">
      <w:pPr>
        <w:pStyle w:val="Caption"/>
        <w:keepNext/>
      </w:pPr>
      <w:bookmarkStart w:id="11" w:name="_Ref244243993"/>
      <w:bookmarkStart w:id="12" w:name="_Ref244243987"/>
      <w:r>
        <w:t xml:space="preserve">Figure </w:t>
      </w:r>
      <w:fldSimple w:instr=" SEQ Figure \* ARABIC ">
        <w:r>
          <w:rPr>
            <w:noProof/>
          </w:rPr>
          <w:t>3</w:t>
        </w:r>
      </w:fldSimple>
      <w:bookmarkEnd w:id="11"/>
      <w:r>
        <w:t xml:space="preserve"> </w:t>
      </w:r>
      <w:r w:rsidRPr="001C729B">
        <w:t>Funnel plot of effect estimates and standard errors</w:t>
      </w:r>
      <w:bookmarkEnd w:id="12"/>
    </w:p>
    <w:p w14:paraId="6A48A559" w14:textId="77777777" w:rsidR="6A620CB7" w:rsidRDefault="6A620CB7">
      <w:r>
        <w:rPr>
          <w:noProof/>
        </w:rPr>
        <w:drawing>
          <wp:inline distT="0" distB="0" distL="0" distR="0" wp14:anchorId="76CC415E" wp14:editId="49F0C6A7">
            <wp:extent cx="5257800" cy="4848225"/>
            <wp:effectExtent l="0" t="0" r="0" b="9525"/>
            <wp:docPr id="584704559" name="Picture 2" descr="Funnel plot of effect estimates against standard errors. Points show some asymmetry around the pooled average effect, with less precise estimates tending to be la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704559" name="Picture 2" descr="Funnel plot of effect estimates against standard errors. Points show some asymmetry around the pooled average effect, with less precise estimates tending to be large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57800" cy="4848225"/>
                    </a:xfrm>
                    <a:prstGeom prst="rect">
                      <a:avLst/>
                    </a:prstGeom>
                    <a:noFill/>
                    <a:ln>
                      <a:noFill/>
                    </a:ln>
                  </pic:spPr>
                </pic:pic>
              </a:graphicData>
            </a:graphic>
          </wp:inline>
        </w:drawing>
      </w:r>
    </w:p>
    <w:p w14:paraId="65A3C8E7" w14:textId="60CB3182" w:rsidR="003C02D5" w:rsidRPr="00710F74" w:rsidRDefault="003C02D5" w:rsidP="00710F74">
      <w:pPr>
        <w:pStyle w:val="SourceNotesText"/>
      </w:pPr>
      <w:r w:rsidRPr="00710F74">
        <w:lastRenderedPageBreak/>
        <w:t xml:space="preserve">Note: Each point represents an effect estimate. The vertical line shows the </w:t>
      </w:r>
      <w:r w:rsidR="00763831" w:rsidRPr="00710F74">
        <w:t xml:space="preserve">estimated mean effect from the primary meta-analysis (d = 0.07). </w:t>
      </w:r>
      <w:r w:rsidRPr="00710F74">
        <w:t xml:space="preserve"> Funnel-plot asymmetry may reflect small-</w:t>
      </w:r>
      <w:r w:rsidR="00D436DA" w:rsidRPr="00710F74">
        <w:t>trial</w:t>
      </w:r>
      <w:r w:rsidRPr="00710F74">
        <w:t xml:space="preserve"> effects, heterogeneity or dependence between estimates and should not be interpreted as evidence of publication bias on its own.</w:t>
      </w:r>
    </w:p>
    <w:p w14:paraId="481164EB" w14:textId="2FF46922" w:rsidR="00B07333" w:rsidRDefault="00B07333" w:rsidP="00B07333">
      <w:pPr>
        <w:pStyle w:val="Heading2"/>
        <w:rPr>
          <w:kern w:val="2"/>
          <w:sz w:val="24"/>
          <w:szCs w:val="24"/>
          <w14:ligatures w14:val="standardContextual"/>
        </w:rPr>
      </w:pPr>
      <w:r>
        <w:t>Limitations</w:t>
      </w:r>
    </w:p>
    <w:p w14:paraId="173E8C81" w14:textId="4E9F646B" w:rsidR="00841D1D" w:rsidRDefault="00841D1D">
      <w:pPr>
        <w:rPr>
          <w:kern w:val="2"/>
          <w14:ligatures w14:val="standardContextual"/>
        </w:rPr>
      </w:pPr>
      <w:r>
        <w:t xml:space="preserve">The meta-analysis methodology was not preregistered. The analysis plan was refined during evidence extraction and methodological development, although the final approach was documented before the final models were run. This </w:t>
      </w:r>
      <w:r w:rsidR="005C1B9F">
        <w:t xml:space="preserve">materially </w:t>
      </w:r>
      <w:r>
        <w:t xml:space="preserve">reduces the risk that decisions were made in response to the </w:t>
      </w:r>
      <w:proofErr w:type="gramStart"/>
      <w:r>
        <w:t>final results</w:t>
      </w:r>
      <w:proofErr w:type="gramEnd"/>
      <w:r>
        <w:t>, but it does not provide the same protection against analytic flexibility as a fully preregistered protocol.</w:t>
      </w:r>
    </w:p>
    <w:p w14:paraId="7D032127" w14:textId="6E373505" w:rsidR="006D20D7" w:rsidRDefault="006D20D7">
      <w:pPr>
        <w:rPr>
          <w:kern w:val="2"/>
          <w14:ligatures w14:val="standardContextual"/>
        </w:rPr>
      </w:pPr>
      <w:r>
        <w:t>The evidence</w:t>
      </w:r>
      <w:r w:rsidR="00EB3D11">
        <w:t>-</w:t>
      </w:r>
      <w:r>
        <w:t xml:space="preserve">base included outcomes reported in different formats, so effect sizes could not always be calculated in the same way. </w:t>
      </w:r>
      <w:r w:rsidR="00756924">
        <w:t>As outlined above, w</w:t>
      </w:r>
      <w:r>
        <w:t>here group-level results were unavailable, estimates were recovered from reported confidence intervals, and binary and continuous outcomes were converted to a common standardised scale. These procedures required assumptions and may have introduced some</w:t>
      </w:r>
      <w:r w:rsidR="00393943">
        <w:t xml:space="preserve"> additional</w:t>
      </w:r>
      <w:r>
        <w:t xml:space="preserve"> measurement error, although the most direct calculation method available was used for each outcome.</w:t>
      </w:r>
    </w:p>
    <w:p w14:paraId="25BCB06F" w14:textId="23DAEA5B" w:rsidR="0074610F" w:rsidRDefault="006D20D7" w:rsidP="00486927">
      <w:r>
        <w:t xml:space="preserve">Some trials contributed multiple effect estimates, including comparisons that reused a common control group. This created dependence between estimates that could not be </w:t>
      </w:r>
      <w:r w:rsidDel="00E55B03">
        <w:t xml:space="preserve">modelled </w:t>
      </w:r>
      <w:r>
        <w:t xml:space="preserve">exactly </w:t>
      </w:r>
      <w:r w:rsidR="00E55B03">
        <w:t>as</w:t>
      </w:r>
      <w:r>
        <w:t xml:space="preserve"> the underlying correlations were generally unavailable. The 3-level </w:t>
      </w:r>
      <w:r w:rsidR="00E55B03">
        <w:t xml:space="preserve">random effects </w:t>
      </w:r>
      <w:r>
        <w:t>model</w:t>
      </w:r>
      <w:r w:rsidR="00DE3EAC">
        <w:t xml:space="preserve"> and</w:t>
      </w:r>
      <w:r>
        <w:t xml:space="preserve"> </w:t>
      </w:r>
      <w:r w:rsidR="00D436DA">
        <w:t>t</w:t>
      </w:r>
      <w:r w:rsidR="00D436DA" w:rsidRPr="00D436DA">
        <w:t>rial</w:t>
      </w:r>
      <w:r>
        <w:t xml:space="preserve">-clustered robust standard errors reduced the risk of overstating precision, but they relied on assumptions about the dependence structure and may not have fully accounted for all </w:t>
      </w:r>
      <w:r w:rsidR="00AD495D">
        <w:t>the correlation between effect estimates</w:t>
      </w:r>
      <w:r>
        <w:t>.</w:t>
      </w:r>
      <w:r w:rsidR="00DE3EAC">
        <w:t xml:space="preserve"> Sensitivity tests showed</w:t>
      </w:r>
      <w:r w:rsidR="207B7AD1">
        <w:t xml:space="preserve"> that the estimated mean effect remained positive and changed little across alternative </w:t>
      </w:r>
      <w:r w:rsidR="000C58C5">
        <w:t>modelling</w:t>
      </w:r>
      <w:r w:rsidR="207B7AD1">
        <w:t xml:space="preserve"> approaches, suggesting that the overall findings were not driven by the specific assumptions used to account for dependence.</w:t>
      </w:r>
    </w:p>
    <w:p w14:paraId="5E96B017" w14:textId="4074B61B" w:rsidR="0074610F" w:rsidRDefault="6361369A" w:rsidP="004E3811">
      <w:pPr>
        <w:spacing w:after="0" w:line="300" w:lineRule="auto"/>
      </w:pPr>
      <w:r w:rsidRPr="00B74D9A">
        <w:rPr>
          <w:rFonts w:ascii="Helvetica" w:eastAsia="Helvetica" w:hAnsi="Helvetica" w:cs="Helvetica"/>
          <w:szCs w:val="20"/>
        </w:rPr>
        <w:t>Furthermore, the funnel plot and PET-PEESE analyses provided some evidence consistent with small-trial effects, although the findings were not consistent across methods and may also reflect substantial heterogeneity or dependence among effect estimates. These results should therefore be interpreted cautiously</w:t>
      </w:r>
      <w:r w:rsidR="00DE3EAC">
        <w:t>.</w:t>
      </w:r>
    </w:p>
    <w:p w14:paraId="55D2C61E" w14:textId="77777777" w:rsidR="00485216" w:rsidRDefault="00485216">
      <w:pPr>
        <w:spacing w:after="0" w:line="240" w:lineRule="auto"/>
        <w:rPr>
          <w:rFonts w:ascii="Helvetica" w:hAnsi="Helvetica"/>
          <w:b/>
          <w:sz w:val="72"/>
          <w:szCs w:val="44"/>
        </w:rPr>
      </w:pPr>
      <w:bookmarkStart w:id="13" w:name="_Toc237333131"/>
      <w:r>
        <w:br w:type="page"/>
      </w:r>
    </w:p>
    <w:p w14:paraId="6C811674" w14:textId="31C75825" w:rsidR="00E54D94" w:rsidRDefault="00E54D94" w:rsidP="00E2595B">
      <w:pPr>
        <w:pStyle w:val="Heading1"/>
      </w:pPr>
      <w:bookmarkStart w:id="14" w:name="_Toc243330647"/>
      <w:r>
        <w:lastRenderedPageBreak/>
        <w:t>References</w:t>
      </w:r>
      <w:bookmarkEnd w:id="13"/>
      <w:bookmarkEnd w:id="14"/>
    </w:p>
    <w:p w14:paraId="2F473FE6" w14:textId="77777777" w:rsidR="00E54D94" w:rsidRDefault="00E54D94" w:rsidP="00E54D94">
      <w:pPr>
        <w:pStyle w:val="Bibliography"/>
        <w:rPr>
          <w:kern w:val="2"/>
          <w:szCs w:val="20"/>
          <w14:ligatures w14:val="standardContextual"/>
        </w:rPr>
      </w:pPr>
      <w:r>
        <w:t xml:space="preserve">Borenstein M, Hedges LV, Higgins JPT and Rothstein HR (2009) </w:t>
      </w:r>
      <w:r>
        <w:rPr>
          <w:i/>
          <w:iCs/>
        </w:rPr>
        <w:t>Introduction to meta-analysis</w:t>
      </w:r>
      <w:r>
        <w:t>, Wiley.</w:t>
      </w:r>
    </w:p>
    <w:p w14:paraId="5B6B39CA" w14:textId="033CC12D" w:rsidR="00E54D94" w:rsidRDefault="6E0ACE4A" w:rsidP="00E54D94">
      <w:pPr>
        <w:pStyle w:val="Bibliography"/>
      </w:pPr>
      <w:r>
        <w:t>Della</w:t>
      </w:r>
      <w:r w:rsidR="3171B0A3">
        <w:t xml:space="preserve"> </w:t>
      </w:r>
      <w:r>
        <w:t xml:space="preserve">Vigna S and Linos E (2022) </w:t>
      </w:r>
      <w:hyperlink r:id="rId21" w:history="1">
        <w:r w:rsidRPr="00486927">
          <w:rPr>
            <w:rStyle w:val="Hyperlink"/>
            <w:i/>
            <w:iCs/>
          </w:rPr>
          <w:t>RCTs to scale: comprehensive evidence from two nudge units</w:t>
        </w:r>
      </w:hyperlink>
      <w:r>
        <w:t xml:space="preserve">, </w:t>
      </w:r>
      <w:proofErr w:type="spellStart"/>
      <w:r w:rsidRPr="00486927">
        <w:t>Econometrica</w:t>
      </w:r>
      <w:proofErr w:type="spellEnd"/>
      <w:r>
        <w:t>, 90(1):81–116.</w:t>
      </w:r>
    </w:p>
    <w:p w14:paraId="3B94CF0D" w14:textId="4CCB871B" w:rsidR="00E54D94" w:rsidRDefault="1853F7FD" w:rsidP="00E54D94">
      <w:pPr>
        <w:pStyle w:val="Bibliography"/>
      </w:pPr>
      <w:r>
        <w:t>Higgins JPT, Thomas J, Chandler J, Cumpston M, Li T, Page MJ and Welch VA (ed</w:t>
      </w:r>
      <w:r w:rsidR="350CC41C">
        <w:t>itors</w:t>
      </w:r>
      <w:r>
        <w:t xml:space="preserve">) (2022) </w:t>
      </w:r>
      <w:r w:rsidRPr="481B8124">
        <w:rPr>
          <w:i/>
          <w:iCs/>
        </w:rPr>
        <w:t>Cochrane handbook for systematic reviews of interventions</w:t>
      </w:r>
      <w:r>
        <w:t>, version 6.3, Cochrane.</w:t>
      </w:r>
    </w:p>
    <w:p w14:paraId="5D348536" w14:textId="29631123" w:rsidR="00346454" w:rsidRDefault="353E1D90" w:rsidP="00346454">
      <w:r>
        <w:t xml:space="preserve">Hu, B., Xia, Z., Guo, Q., Lu, C., Constantino, S. M., </w:t>
      </w:r>
      <w:r w:rsidR="09D210B5">
        <w:t>and</w:t>
      </w:r>
      <w:r>
        <w:t xml:space="preserve"> Ju, X. (2025) </w:t>
      </w:r>
      <w:hyperlink w:history="1">
        <w:r w:rsidRPr="49F3D5F9">
          <w:rPr>
            <w:rStyle w:val="Hyperlink"/>
            <w:i/>
            <w:iCs/>
          </w:rPr>
          <w:t>Assessing nudge impact: A comprehensive second-order meta-analysis</w:t>
        </w:r>
      </w:hyperlink>
      <w:r w:rsidR="0CC1E352">
        <w:t>,</w:t>
      </w:r>
      <w:r>
        <w:t xml:space="preserve"> </w:t>
      </w:r>
      <w:r w:rsidRPr="49F3D5F9">
        <w:rPr>
          <w:i/>
          <w:iCs/>
        </w:rPr>
        <w:t xml:space="preserve">Journal of </w:t>
      </w:r>
      <w:proofErr w:type="spellStart"/>
      <w:r w:rsidRPr="49F3D5F9">
        <w:rPr>
          <w:i/>
          <w:iCs/>
        </w:rPr>
        <w:t>Behavioral</w:t>
      </w:r>
      <w:proofErr w:type="spellEnd"/>
      <w:r w:rsidRPr="49F3D5F9">
        <w:rPr>
          <w:i/>
          <w:iCs/>
        </w:rPr>
        <w:t xml:space="preserve"> Decision Making, 38</w:t>
      </w:r>
      <w:r>
        <w:t xml:space="preserve">(5), e70053. https://doi.org/10.1002/bdm.70053 </w:t>
      </w:r>
      <w:hyperlink r:id="rId22">
        <w:r w:rsidRPr="49F3D5F9">
          <w:rPr>
            <w:rStyle w:val="Hyperlink"/>
          </w:rPr>
          <w:t>[colab.ws]</w:t>
        </w:r>
      </w:hyperlink>
      <w:r>
        <w:t xml:space="preserve">, </w:t>
      </w:r>
      <w:hyperlink r:id="rId23">
        <w:r w:rsidRPr="49F3D5F9">
          <w:rPr>
            <w:rStyle w:val="Hyperlink"/>
          </w:rPr>
          <w:t>[hubo-home.com]</w:t>
        </w:r>
      </w:hyperlink>
    </w:p>
    <w:p w14:paraId="5B9C7199" w14:textId="73B2DAFA" w:rsidR="00346454" w:rsidRPr="00346454" w:rsidRDefault="75141A24" w:rsidP="00346454">
      <w:r>
        <w:t xml:space="preserve">Kaiser T, </w:t>
      </w:r>
      <w:proofErr w:type="spellStart"/>
      <w:r>
        <w:t>Kloidt</w:t>
      </w:r>
      <w:proofErr w:type="spellEnd"/>
      <w:r>
        <w:t xml:space="preserve"> J, Mata J</w:t>
      </w:r>
      <w:r w:rsidR="10FF7CD3">
        <w:t xml:space="preserve"> and</w:t>
      </w:r>
      <w:r>
        <w:t xml:space="preserve"> Hertwig R (2025) </w:t>
      </w:r>
      <w:r w:rsidRPr="6162A599">
        <w:rPr>
          <w:i/>
          <w:iCs/>
        </w:rPr>
        <w:t xml:space="preserve">A meta-meta-analysis of </w:t>
      </w:r>
      <w:proofErr w:type="spellStart"/>
      <w:r w:rsidRPr="6162A599">
        <w:rPr>
          <w:i/>
          <w:iCs/>
        </w:rPr>
        <w:t>behavior</w:t>
      </w:r>
      <w:proofErr w:type="spellEnd"/>
      <w:r w:rsidRPr="6162A599">
        <w:rPr>
          <w:i/>
          <w:iCs/>
        </w:rPr>
        <w:t xml:space="preserve"> change interventions: Two tales of </w:t>
      </w:r>
      <w:proofErr w:type="spellStart"/>
      <w:r w:rsidRPr="6162A599">
        <w:rPr>
          <w:i/>
          <w:iCs/>
        </w:rPr>
        <w:t>behavior</w:t>
      </w:r>
      <w:proofErr w:type="spellEnd"/>
      <w:r w:rsidRPr="6162A599">
        <w:rPr>
          <w:i/>
          <w:iCs/>
        </w:rPr>
        <w:t xml:space="preserve"> change</w:t>
      </w:r>
      <w:r w:rsidR="4845C262" w:rsidRPr="6162A599">
        <w:rPr>
          <w:i/>
          <w:iCs/>
        </w:rPr>
        <w:t>,</w:t>
      </w:r>
      <w:r>
        <w:t xml:space="preserve"> </w:t>
      </w:r>
      <w:proofErr w:type="spellStart"/>
      <w:r>
        <w:t>CESifo</w:t>
      </w:r>
      <w:proofErr w:type="spellEnd"/>
      <w:r>
        <w:t xml:space="preserve"> Working Paper No. </w:t>
      </w:r>
      <w:proofErr w:type="gramStart"/>
      <w:r>
        <w:t>11863</w:t>
      </w:r>
      <w:r w:rsidR="0E18EA60">
        <w:t>,</w:t>
      </w:r>
      <w:r>
        <w:t>.</w:t>
      </w:r>
      <w:proofErr w:type="gramEnd"/>
      <w:r>
        <w:t xml:space="preserve"> </w:t>
      </w:r>
      <w:proofErr w:type="spellStart"/>
      <w:r>
        <w:t>CESifo</w:t>
      </w:r>
      <w:proofErr w:type="spellEnd"/>
      <w:r>
        <w:t xml:space="preserve">. https://www.ifo.de/DocDL/cesifo1_wp11863.pdf </w:t>
      </w:r>
      <w:hyperlink r:id="rId24">
        <w:r w:rsidRPr="6162A599">
          <w:rPr>
            <w:rStyle w:val="Hyperlink"/>
          </w:rPr>
          <w:t>[ifo.de]</w:t>
        </w:r>
      </w:hyperlink>
    </w:p>
    <w:p w14:paraId="56D8094D" w14:textId="002A5700" w:rsidR="00E54D94" w:rsidRDefault="6487BFCB" w:rsidP="00E54D94">
      <w:pPr>
        <w:pStyle w:val="Bibliography"/>
      </w:pPr>
      <w:r>
        <w:t xml:space="preserve">Mertens S, </w:t>
      </w:r>
      <w:proofErr w:type="spellStart"/>
      <w:r>
        <w:t>Herberz</w:t>
      </w:r>
      <w:proofErr w:type="spellEnd"/>
      <w:r>
        <w:t xml:space="preserve"> M, Hahnel UJJ and Brosch T (2022) </w:t>
      </w:r>
      <w:hyperlink r:id="rId25" w:history="1">
        <w:r w:rsidRPr="70A14E50">
          <w:rPr>
            <w:rStyle w:val="Hyperlink"/>
            <w:i/>
            <w:iCs/>
          </w:rPr>
          <w:t xml:space="preserve">The effectiveness of nudging: a meta-analysis of choice architecture interventions across </w:t>
        </w:r>
        <w:proofErr w:type="spellStart"/>
        <w:r w:rsidRPr="70A14E50">
          <w:rPr>
            <w:rStyle w:val="Hyperlink"/>
            <w:i/>
            <w:iCs/>
          </w:rPr>
          <w:t>behavioral</w:t>
        </w:r>
        <w:proofErr w:type="spellEnd"/>
        <w:r w:rsidRPr="70A14E50">
          <w:rPr>
            <w:rStyle w:val="Hyperlink"/>
            <w:i/>
            <w:iCs/>
          </w:rPr>
          <w:t xml:space="preserve"> domains</w:t>
        </w:r>
      </w:hyperlink>
      <w:r>
        <w:t xml:space="preserve">, </w:t>
      </w:r>
      <w:r w:rsidRPr="00486927">
        <w:t>Proceedings of the National Academy of Sciences</w:t>
      </w:r>
      <w:r>
        <w:t>, 119(1</w:t>
      </w:r>
      <w:proofErr w:type="gramStart"/>
      <w:r>
        <w:t>):e</w:t>
      </w:r>
      <w:proofErr w:type="gramEnd"/>
      <w:r>
        <w:t>2107346118.</w:t>
      </w:r>
    </w:p>
    <w:p w14:paraId="38E9B82C" w14:textId="77777777" w:rsidR="00E54D94" w:rsidRDefault="00E54D94" w:rsidP="00E54D94">
      <w:pPr>
        <w:pStyle w:val="Bibliography"/>
        <w:rPr>
          <w:kern w:val="2"/>
          <w:szCs w:val="20"/>
          <w14:ligatures w14:val="standardContextual"/>
        </w:rPr>
      </w:pPr>
      <w:r>
        <w:t xml:space="preserve">Morris SB (2002) ‘Combining effect sizes in meta-analysis with repeated measures and independent-groups designs’, </w:t>
      </w:r>
      <w:r>
        <w:rPr>
          <w:i/>
          <w:iCs/>
        </w:rPr>
        <w:t>Psychological Methods</w:t>
      </w:r>
      <w:r>
        <w:t>, 7(1):105–125.</w:t>
      </w:r>
    </w:p>
    <w:p w14:paraId="794B4AB8" w14:textId="77777777" w:rsidR="00E54D94" w:rsidRDefault="00E54D94" w:rsidP="00E54D94">
      <w:pPr>
        <w:pStyle w:val="Bibliography"/>
        <w:rPr>
          <w:kern w:val="2"/>
          <w:szCs w:val="20"/>
          <w14:ligatures w14:val="standardContextual"/>
        </w:rPr>
      </w:pPr>
      <w:r>
        <w:t xml:space="preserve">Van den </w:t>
      </w:r>
      <w:proofErr w:type="spellStart"/>
      <w:r>
        <w:t>Noortgate</w:t>
      </w:r>
      <w:proofErr w:type="spellEnd"/>
      <w:r>
        <w:t xml:space="preserve"> W, López-López JA, Marín-Martínez F and Sánchez-Meca J (2013) </w:t>
      </w:r>
      <w:r w:rsidR="003438B6">
        <w:t>‘</w:t>
      </w:r>
      <w:r>
        <w:t xml:space="preserve">Meta-analysis of multiple outcomes: a multilevel approach’, </w:t>
      </w:r>
      <w:proofErr w:type="spellStart"/>
      <w:r>
        <w:rPr>
          <w:i/>
          <w:iCs/>
        </w:rPr>
        <w:t>Behavior</w:t>
      </w:r>
      <w:proofErr w:type="spellEnd"/>
      <w:r>
        <w:rPr>
          <w:i/>
          <w:iCs/>
        </w:rPr>
        <w:t xml:space="preserve"> Research Methods</w:t>
      </w:r>
      <w:r>
        <w:t>, 45:576–594.</w:t>
      </w:r>
    </w:p>
    <w:p w14:paraId="433B51CB" w14:textId="08F6A104" w:rsidR="00E54D94" w:rsidRDefault="0C88CFFE" w:rsidP="00C8493A">
      <w:pPr>
        <w:pStyle w:val="Heading2"/>
      </w:pPr>
      <w:r>
        <w:br w:type="page"/>
      </w:r>
      <w:r w:rsidR="3020E204">
        <w:lastRenderedPageBreak/>
        <w:t xml:space="preserve">List and links to included </w:t>
      </w:r>
      <w:r w:rsidR="00831D13">
        <w:t>trials</w:t>
      </w:r>
    </w:p>
    <w:tbl>
      <w:tblPr>
        <w:tblW w:w="0" w:type="auto"/>
        <w:tblLook w:val="06A0" w:firstRow="1" w:lastRow="0" w:firstColumn="1" w:lastColumn="0" w:noHBand="1" w:noVBand="1"/>
      </w:tblPr>
      <w:tblGrid>
        <w:gridCol w:w="6374"/>
        <w:gridCol w:w="1894"/>
      </w:tblGrid>
      <w:tr w:rsidR="007762D6" w14:paraId="27DDA949"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14837A" w:themeFill="accent1"/>
            <w:tcMar>
              <w:top w:w="15" w:type="dxa"/>
              <w:left w:w="15" w:type="dxa"/>
              <w:right w:w="15" w:type="dxa"/>
            </w:tcMar>
            <w:vAlign w:val="center"/>
          </w:tcPr>
          <w:p w14:paraId="1F7E6F9D" w14:textId="6EC835FF" w:rsidR="007762D6" w:rsidRDefault="007762D6" w:rsidP="71A2DA3B">
            <w:pPr>
              <w:spacing w:after="0"/>
            </w:pPr>
            <w:r>
              <w:rPr>
                <w:rFonts w:ascii="Arial" w:eastAsia="Arial" w:hAnsi="Arial" w:cs="Arial"/>
                <w:b/>
                <w:bCs/>
                <w:color w:val="FFFFFF" w:themeColor="background1"/>
              </w:rPr>
              <w:t>P</w:t>
            </w:r>
            <w:r w:rsidRPr="71A2DA3B">
              <w:rPr>
                <w:rFonts w:ascii="Arial" w:eastAsia="Arial" w:hAnsi="Arial" w:cs="Arial"/>
                <w:b/>
                <w:bCs/>
                <w:color w:val="FFFFFF" w:themeColor="background1"/>
              </w:rPr>
              <w:t>roject title</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14837A" w:themeFill="accent1"/>
            <w:tcMar>
              <w:top w:w="15" w:type="dxa"/>
              <w:left w:w="15" w:type="dxa"/>
              <w:right w:w="15" w:type="dxa"/>
            </w:tcMar>
            <w:vAlign w:val="center"/>
          </w:tcPr>
          <w:p w14:paraId="3A16B923" w14:textId="11CC6FFA" w:rsidR="007762D6" w:rsidRDefault="007762D6" w:rsidP="71A2DA3B">
            <w:pPr>
              <w:spacing w:after="0"/>
            </w:pPr>
            <w:r w:rsidRPr="71A2DA3B">
              <w:rPr>
                <w:rFonts w:ascii="Arial" w:eastAsia="Arial" w:hAnsi="Arial" w:cs="Arial"/>
                <w:b/>
                <w:bCs/>
                <w:color w:val="FFFFFF" w:themeColor="background1"/>
              </w:rPr>
              <w:t xml:space="preserve">Link to </w:t>
            </w:r>
            <w:r>
              <w:rPr>
                <w:rFonts w:ascii="Arial" w:eastAsia="Arial" w:hAnsi="Arial" w:cs="Arial"/>
                <w:b/>
                <w:bCs/>
                <w:color w:val="FFFFFF" w:themeColor="background1"/>
              </w:rPr>
              <w:t>report</w:t>
            </w:r>
          </w:p>
        </w:tc>
      </w:tr>
      <w:tr w:rsidR="007762D6" w14:paraId="7726C69D"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74C9A9A9" w14:textId="49407971" w:rsidR="007762D6" w:rsidRPr="00072DE4" w:rsidRDefault="007762D6" w:rsidP="71A2DA3B">
            <w:pPr>
              <w:spacing w:after="0"/>
              <w:rPr>
                <w:sz w:val="18"/>
                <w:szCs w:val="18"/>
              </w:rPr>
            </w:pPr>
            <w:r w:rsidRPr="00072DE4">
              <w:rPr>
                <w:rFonts w:ascii="Arial" w:eastAsia="Arial" w:hAnsi="Arial" w:cs="Arial"/>
                <w:color w:val="000000" w:themeColor="text1"/>
                <w:sz w:val="18"/>
                <w:szCs w:val="18"/>
              </w:rPr>
              <w:t>Increasing participation in the AMEP</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092A8B42" w14:textId="08CF7EAA" w:rsidR="007762D6" w:rsidRPr="00072DE4" w:rsidRDefault="007762D6" w:rsidP="71A2DA3B">
            <w:pPr>
              <w:spacing w:after="0"/>
              <w:rPr>
                <w:color w:val="14837A" w:themeColor="accent1"/>
                <w:sz w:val="18"/>
                <w:szCs w:val="18"/>
              </w:rPr>
            </w:pPr>
            <w:hyperlink r:id="rId26">
              <w:r w:rsidRPr="00072DE4">
                <w:rPr>
                  <w:rStyle w:val="Hyperlink"/>
                  <w:sz w:val="18"/>
                  <w:szCs w:val="18"/>
                </w:rPr>
                <w:t>BETA project page</w:t>
              </w:r>
            </w:hyperlink>
          </w:p>
        </w:tc>
      </w:tr>
      <w:tr w:rsidR="007762D6" w14:paraId="183653AD"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6C257DE2" w14:textId="00779A13" w:rsidR="007762D6" w:rsidRPr="00072DE4" w:rsidRDefault="007762D6" w:rsidP="71A2DA3B">
            <w:pPr>
              <w:spacing w:after="0"/>
              <w:rPr>
                <w:sz w:val="18"/>
                <w:szCs w:val="18"/>
              </w:rPr>
            </w:pPr>
            <w:r w:rsidRPr="00072DE4">
              <w:rPr>
                <w:rFonts w:ascii="Arial" w:eastAsia="Arial" w:hAnsi="Arial" w:cs="Arial"/>
                <w:color w:val="000000" w:themeColor="text1"/>
                <w:sz w:val="18"/>
                <w:szCs w:val="18"/>
              </w:rPr>
              <w:t>Supporting consumer decision-making about add-on insurance</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1E054657" w14:textId="2F4ECE4A" w:rsidR="007762D6" w:rsidRPr="00072DE4" w:rsidRDefault="007762D6" w:rsidP="71A2DA3B">
            <w:pPr>
              <w:spacing w:after="0"/>
              <w:rPr>
                <w:color w:val="14837A" w:themeColor="accent1"/>
                <w:sz w:val="18"/>
                <w:szCs w:val="18"/>
              </w:rPr>
            </w:pPr>
            <w:hyperlink r:id="rId27">
              <w:r w:rsidRPr="00072DE4">
                <w:rPr>
                  <w:rStyle w:val="Hyperlink"/>
                  <w:sz w:val="18"/>
                  <w:szCs w:val="18"/>
                </w:rPr>
                <w:t>BETA project page</w:t>
              </w:r>
            </w:hyperlink>
          </w:p>
        </w:tc>
      </w:tr>
      <w:tr w:rsidR="007762D6" w14:paraId="4D30BD43"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0B61A88C" w14:textId="3A082B1C" w:rsidR="007762D6" w:rsidRPr="00072DE4" w:rsidRDefault="007762D6" w:rsidP="71A2DA3B">
            <w:pPr>
              <w:spacing w:after="0"/>
              <w:rPr>
                <w:sz w:val="18"/>
                <w:szCs w:val="18"/>
              </w:rPr>
            </w:pPr>
            <w:r w:rsidRPr="00072DE4">
              <w:rPr>
                <w:rFonts w:ascii="Arial" w:eastAsia="Arial" w:hAnsi="Arial" w:cs="Arial"/>
                <w:color w:val="000000" w:themeColor="text1"/>
                <w:sz w:val="18"/>
                <w:szCs w:val="18"/>
              </w:rPr>
              <w:t>Nudge vs Superbugs: Reducing the overprescribing of antibiotics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1A788A0F" w14:textId="0C099B9E" w:rsidR="007762D6" w:rsidRPr="00072DE4" w:rsidRDefault="007762D6" w:rsidP="71A2DA3B">
            <w:pPr>
              <w:spacing w:after="0"/>
              <w:rPr>
                <w:color w:val="14837A" w:themeColor="accent1"/>
                <w:sz w:val="18"/>
                <w:szCs w:val="18"/>
              </w:rPr>
            </w:pPr>
            <w:hyperlink r:id="rId28">
              <w:r w:rsidRPr="00072DE4">
                <w:rPr>
                  <w:rStyle w:val="Hyperlink"/>
                  <w:sz w:val="18"/>
                  <w:szCs w:val="18"/>
                </w:rPr>
                <w:t>BETA project page</w:t>
              </w:r>
            </w:hyperlink>
          </w:p>
        </w:tc>
      </w:tr>
      <w:tr w:rsidR="007762D6" w14:paraId="5BDED67B"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0CB0B938" w14:textId="43732B3F" w:rsidR="007762D6" w:rsidRPr="00072DE4" w:rsidRDefault="007762D6" w:rsidP="71A2DA3B">
            <w:pPr>
              <w:spacing w:after="0"/>
              <w:rPr>
                <w:sz w:val="18"/>
                <w:szCs w:val="18"/>
              </w:rPr>
            </w:pPr>
            <w:r w:rsidRPr="00072DE4">
              <w:rPr>
                <w:rFonts w:ascii="Arial" w:eastAsia="Arial" w:hAnsi="Arial" w:cs="Arial"/>
                <w:color w:val="000000" w:themeColor="text1"/>
                <w:sz w:val="18"/>
                <w:szCs w:val="18"/>
              </w:rPr>
              <w:t>Testing incentives to encourage asbestos removal</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35F4EF31" w14:textId="7079DEE3" w:rsidR="007762D6" w:rsidRPr="00072DE4" w:rsidRDefault="007762D6" w:rsidP="71A2DA3B">
            <w:pPr>
              <w:spacing w:after="0"/>
              <w:rPr>
                <w:color w:val="14837A" w:themeColor="accent1"/>
                <w:sz w:val="18"/>
                <w:szCs w:val="18"/>
              </w:rPr>
            </w:pPr>
            <w:hyperlink r:id="rId29">
              <w:r w:rsidRPr="00072DE4">
                <w:rPr>
                  <w:rStyle w:val="Hyperlink"/>
                  <w:sz w:val="18"/>
                  <w:szCs w:val="18"/>
                </w:rPr>
                <w:t>BETA project page</w:t>
              </w:r>
            </w:hyperlink>
          </w:p>
        </w:tc>
      </w:tr>
      <w:tr w:rsidR="007762D6" w14:paraId="14481DFB"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59F17943" w14:textId="0389DC81" w:rsidR="007762D6" w:rsidRPr="00072DE4" w:rsidRDefault="007762D6" w:rsidP="71A2DA3B">
            <w:pPr>
              <w:spacing w:after="0"/>
              <w:rPr>
                <w:sz w:val="18"/>
                <w:szCs w:val="18"/>
              </w:rPr>
            </w:pPr>
            <w:r w:rsidRPr="00072DE4">
              <w:rPr>
                <w:rFonts w:ascii="Arial" w:eastAsia="Arial" w:hAnsi="Arial" w:cs="Arial"/>
                <w:color w:val="000000" w:themeColor="text1"/>
                <w:sz w:val="18"/>
                <w:szCs w:val="18"/>
              </w:rPr>
              <w:t>Building Persistent Compliance with Labour Law</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7D1AB856" w14:textId="63EE3F0F" w:rsidR="007762D6" w:rsidRPr="00072DE4" w:rsidRDefault="007762D6" w:rsidP="71A2DA3B">
            <w:pPr>
              <w:spacing w:after="0"/>
              <w:rPr>
                <w:color w:val="14837A" w:themeColor="accent1"/>
                <w:sz w:val="18"/>
                <w:szCs w:val="18"/>
              </w:rPr>
            </w:pPr>
            <w:hyperlink r:id="rId30">
              <w:r w:rsidRPr="00072DE4">
                <w:rPr>
                  <w:rStyle w:val="Hyperlink"/>
                  <w:sz w:val="18"/>
                  <w:szCs w:val="18"/>
                </w:rPr>
                <w:t>BETA project page</w:t>
              </w:r>
            </w:hyperlink>
          </w:p>
        </w:tc>
      </w:tr>
      <w:tr w:rsidR="007762D6" w14:paraId="54A991D8"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21C753F0" w14:textId="369A8B94" w:rsidR="007762D6" w:rsidRPr="00072DE4" w:rsidRDefault="007762D6" w:rsidP="71A2DA3B">
            <w:pPr>
              <w:spacing w:after="0"/>
              <w:rPr>
                <w:sz w:val="18"/>
                <w:szCs w:val="18"/>
              </w:rPr>
            </w:pPr>
            <w:r w:rsidRPr="00072DE4">
              <w:rPr>
                <w:rFonts w:ascii="Arial" w:eastAsia="Arial" w:hAnsi="Arial" w:cs="Arial"/>
                <w:color w:val="000000" w:themeColor="text1"/>
                <w:sz w:val="18"/>
                <w:szCs w:val="18"/>
              </w:rPr>
              <w:t>Prompting for a better deal: Understanding and overcoming barriers to financial product switching</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706E10AF" w14:textId="1A4A17EC" w:rsidR="007762D6" w:rsidRPr="00072DE4" w:rsidRDefault="007762D6" w:rsidP="71A2DA3B">
            <w:pPr>
              <w:spacing w:after="0"/>
              <w:rPr>
                <w:color w:val="14837A" w:themeColor="accent1"/>
                <w:sz w:val="18"/>
                <w:szCs w:val="18"/>
              </w:rPr>
            </w:pPr>
            <w:hyperlink r:id="rId31">
              <w:r w:rsidRPr="00072DE4">
                <w:rPr>
                  <w:rStyle w:val="Hyperlink"/>
                  <w:sz w:val="18"/>
                  <w:szCs w:val="18"/>
                </w:rPr>
                <w:t>BETA project page</w:t>
              </w:r>
            </w:hyperlink>
          </w:p>
        </w:tc>
      </w:tr>
      <w:tr w:rsidR="007762D6" w14:paraId="72D89C8A"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3028378E" w14:textId="5C96DC35" w:rsidR="007762D6" w:rsidRPr="00072DE4" w:rsidRDefault="007762D6" w:rsidP="71A2DA3B">
            <w:pPr>
              <w:spacing w:after="0"/>
              <w:rPr>
                <w:sz w:val="18"/>
                <w:szCs w:val="18"/>
              </w:rPr>
            </w:pPr>
            <w:r w:rsidRPr="00072DE4">
              <w:rPr>
                <w:rFonts w:ascii="Arial" w:eastAsia="Arial" w:hAnsi="Arial" w:cs="Arial"/>
                <w:color w:val="000000" w:themeColor="text1"/>
                <w:sz w:val="18"/>
                <w:szCs w:val="18"/>
              </w:rPr>
              <w:t>Prompting for a better deal: Understanding and overcoming barriers to financial product switching</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510D1502" w14:textId="556C262C" w:rsidR="007762D6" w:rsidRPr="00072DE4" w:rsidRDefault="007762D6" w:rsidP="71A2DA3B">
            <w:pPr>
              <w:spacing w:after="0"/>
              <w:rPr>
                <w:color w:val="14837A" w:themeColor="accent1"/>
                <w:sz w:val="18"/>
                <w:szCs w:val="18"/>
              </w:rPr>
            </w:pPr>
            <w:hyperlink r:id="rId32">
              <w:r w:rsidRPr="00072DE4">
                <w:rPr>
                  <w:rStyle w:val="Hyperlink"/>
                  <w:sz w:val="18"/>
                  <w:szCs w:val="18"/>
                </w:rPr>
                <w:t>BETA project page</w:t>
              </w:r>
            </w:hyperlink>
          </w:p>
        </w:tc>
      </w:tr>
      <w:tr w:rsidR="007762D6" w14:paraId="3D4E583A"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696470AB" w14:textId="3C04CADA" w:rsidR="007762D6" w:rsidRPr="00072DE4" w:rsidRDefault="007762D6" w:rsidP="71A2DA3B">
            <w:pPr>
              <w:spacing w:after="0"/>
              <w:rPr>
                <w:sz w:val="18"/>
                <w:szCs w:val="18"/>
              </w:rPr>
            </w:pPr>
            <w:r w:rsidRPr="00072DE4">
              <w:rPr>
                <w:rFonts w:ascii="Arial" w:eastAsia="Arial" w:hAnsi="Arial" w:cs="Arial"/>
                <w:color w:val="000000" w:themeColor="text1"/>
                <w:sz w:val="18"/>
                <w:szCs w:val="18"/>
              </w:rPr>
              <w:t>Helping people understand the outcomes of bankruptcy</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09365481" w14:textId="7A94F6EE" w:rsidR="007762D6" w:rsidRPr="00072DE4" w:rsidRDefault="007762D6" w:rsidP="71A2DA3B">
            <w:pPr>
              <w:spacing w:after="0"/>
              <w:rPr>
                <w:color w:val="14837A" w:themeColor="accent1"/>
                <w:sz w:val="18"/>
                <w:szCs w:val="18"/>
              </w:rPr>
            </w:pPr>
            <w:hyperlink r:id="rId33">
              <w:r w:rsidRPr="00072DE4">
                <w:rPr>
                  <w:rStyle w:val="Hyperlink"/>
                  <w:sz w:val="18"/>
                  <w:szCs w:val="18"/>
                </w:rPr>
                <w:t>BETA project page</w:t>
              </w:r>
            </w:hyperlink>
          </w:p>
        </w:tc>
      </w:tr>
      <w:tr w:rsidR="007762D6" w14:paraId="67964A30"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7A526B0F" w14:textId="2F2A7A96" w:rsidR="007762D6" w:rsidRPr="00072DE4" w:rsidRDefault="007762D6" w:rsidP="71A2DA3B">
            <w:pPr>
              <w:spacing w:after="0"/>
              <w:rPr>
                <w:sz w:val="18"/>
                <w:szCs w:val="18"/>
              </w:rPr>
            </w:pPr>
            <w:r w:rsidRPr="00072DE4">
              <w:rPr>
                <w:rFonts w:ascii="Arial" w:eastAsia="Arial" w:hAnsi="Arial" w:cs="Arial"/>
                <w:color w:val="000000" w:themeColor="text1"/>
                <w:sz w:val="18"/>
                <w:szCs w:val="18"/>
              </w:rPr>
              <w:t>Helping people understand the outcomes of bankruptcy</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33B5A840" w14:textId="6B6A9352" w:rsidR="007762D6" w:rsidRPr="00072DE4" w:rsidRDefault="007762D6" w:rsidP="71A2DA3B">
            <w:pPr>
              <w:spacing w:after="0"/>
              <w:rPr>
                <w:color w:val="14837A" w:themeColor="accent1"/>
                <w:sz w:val="18"/>
                <w:szCs w:val="18"/>
              </w:rPr>
            </w:pPr>
            <w:hyperlink r:id="rId34">
              <w:r w:rsidRPr="00072DE4">
                <w:rPr>
                  <w:rStyle w:val="Hyperlink"/>
                  <w:sz w:val="18"/>
                  <w:szCs w:val="18"/>
                </w:rPr>
                <w:t>BETA project page</w:t>
              </w:r>
            </w:hyperlink>
          </w:p>
        </w:tc>
      </w:tr>
      <w:tr w:rsidR="007762D6" w14:paraId="728CA0E8"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3AE6BFE1" w14:textId="4FF56E7A" w:rsidR="007762D6" w:rsidRPr="00072DE4" w:rsidRDefault="007762D6" w:rsidP="71A2DA3B">
            <w:pPr>
              <w:spacing w:after="0"/>
              <w:rPr>
                <w:sz w:val="18"/>
                <w:szCs w:val="18"/>
              </w:rPr>
            </w:pPr>
            <w:r w:rsidRPr="00072DE4">
              <w:rPr>
                <w:rFonts w:ascii="Arial" w:eastAsia="Arial" w:hAnsi="Arial" w:cs="Arial"/>
                <w:color w:val="000000" w:themeColor="text1"/>
                <w:sz w:val="18"/>
                <w:szCs w:val="18"/>
              </w:rPr>
              <w:t>Improving energy bills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05F64A59" w14:textId="627A7D54" w:rsidR="007762D6" w:rsidRPr="00072DE4" w:rsidRDefault="007762D6" w:rsidP="71A2DA3B">
            <w:pPr>
              <w:spacing w:after="0"/>
              <w:rPr>
                <w:color w:val="14837A" w:themeColor="accent1"/>
                <w:sz w:val="18"/>
                <w:szCs w:val="18"/>
              </w:rPr>
            </w:pPr>
            <w:hyperlink r:id="rId35">
              <w:r w:rsidRPr="00072DE4">
                <w:rPr>
                  <w:rStyle w:val="Hyperlink"/>
                  <w:sz w:val="18"/>
                  <w:szCs w:val="18"/>
                </w:rPr>
                <w:t>BETA project page</w:t>
              </w:r>
            </w:hyperlink>
          </w:p>
        </w:tc>
      </w:tr>
      <w:tr w:rsidR="007762D6" w14:paraId="039CA4E7"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4A4135EC" w14:textId="6096E6FB" w:rsidR="007762D6" w:rsidRPr="00072DE4" w:rsidRDefault="007762D6" w:rsidP="71A2DA3B">
            <w:pPr>
              <w:spacing w:after="0"/>
              <w:rPr>
                <w:sz w:val="18"/>
                <w:szCs w:val="18"/>
              </w:rPr>
            </w:pPr>
            <w:r w:rsidRPr="00072DE4">
              <w:rPr>
                <w:rFonts w:ascii="Arial" w:eastAsia="Arial" w:hAnsi="Arial" w:cs="Arial"/>
                <w:color w:val="000000" w:themeColor="text1"/>
                <w:sz w:val="18"/>
                <w:szCs w:val="18"/>
              </w:rPr>
              <w:t>Improving energy bills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2D425485" w14:textId="2AA141EB" w:rsidR="007762D6" w:rsidRPr="00072DE4" w:rsidRDefault="007762D6" w:rsidP="71A2DA3B">
            <w:pPr>
              <w:spacing w:after="0"/>
              <w:rPr>
                <w:color w:val="14837A" w:themeColor="accent1"/>
                <w:sz w:val="18"/>
                <w:szCs w:val="18"/>
              </w:rPr>
            </w:pPr>
            <w:hyperlink r:id="rId36">
              <w:r w:rsidRPr="00072DE4">
                <w:rPr>
                  <w:rStyle w:val="Hyperlink"/>
                  <w:sz w:val="18"/>
                  <w:szCs w:val="18"/>
                </w:rPr>
                <w:t>BETA project page</w:t>
              </w:r>
            </w:hyperlink>
          </w:p>
        </w:tc>
      </w:tr>
      <w:tr w:rsidR="007762D6" w14:paraId="0CC68902"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23BAC43B" w14:textId="38EE3027" w:rsidR="007762D6" w:rsidRPr="00072DE4" w:rsidRDefault="007762D6" w:rsidP="71A2DA3B">
            <w:pPr>
              <w:spacing w:after="0"/>
              <w:rPr>
                <w:sz w:val="18"/>
                <w:szCs w:val="18"/>
              </w:rPr>
            </w:pPr>
            <w:r w:rsidRPr="00072DE4">
              <w:rPr>
                <w:rFonts w:ascii="Arial" w:eastAsia="Arial" w:hAnsi="Arial" w:cs="Arial"/>
                <w:color w:val="000000" w:themeColor="text1"/>
                <w:sz w:val="18"/>
                <w:szCs w:val="18"/>
              </w:rPr>
              <w:t>Improving government confirmation processes using SMS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39A0C37C" w14:textId="59DC07E5" w:rsidR="007762D6" w:rsidRPr="00072DE4" w:rsidRDefault="007762D6" w:rsidP="71A2DA3B">
            <w:pPr>
              <w:spacing w:after="0"/>
              <w:rPr>
                <w:color w:val="14837A" w:themeColor="accent1"/>
                <w:sz w:val="18"/>
                <w:szCs w:val="18"/>
              </w:rPr>
            </w:pPr>
            <w:hyperlink r:id="rId37">
              <w:r w:rsidRPr="00072DE4">
                <w:rPr>
                  <w:rStyle w:val="Hyperlink"/>
                  <w:sz w:val="18"/>
                  <w:szCs w:val="18"/>
                </w:rPr>
                <w:t>BETA project page</w:t>
              </w:r>
            </w:hyperlink>
          </w:p>
        </w:tc>
      </w:tr>
      <w:tr w:rsidR="007762D6" w14:paraId="1705FED3"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6905A49D" w14:textId="60E908E5" w:rsidR="007762D6" w:rsidRPr="00072DE4" w:rsidRDefault="007762D6" w:rsidP="71A2DA3B">
            <w:pPr>
              <w:spacing w:after="0"/>
              <w:rPr>
                <w:sz w:val="18"/>
                <w:szCs w:val="18"/>
              </w:rPr>
            </w:pPr>
            <w:r w:rsidRPr="00072DE4">
              <w:rPr>
                <w:rFonts w:ascii="Arial" w:eastAsia="Arial" w:hAnsi="Arial" w:cs="Arial"/>
                <w:color w:val="000000" w:themeColor="text1"/>
                <w:sz w:val="18"/>
                <w:szCs w:val="18"/>
              </w:rPr>
              <w:t>Counting on us: How start dates affect Census participation</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151C6D87" w14:textId="3EEFAED4" w:rsidR="007762D6" w:rsidRPr="00072DE4" w:rsidRDefault="007762D6" w:rsidP="71A2DA3B">
            <w:pPr>
              <w:spacing w:after="0"/>
              <w:rPr>
                <w:color w:val="14837A" w:themeColor="accent1"/>
                <w:sz w:val="18"/>
                <w:szCs w:val="18"/>
              </w:rPr>
            </w:pPr>
            <w:hyperlink r:id="rId38">
              <w:r w:rsidRPr="00072DE4">
                <w:rPr>
                  <w:rStyle w:val="Hyperlink"/>
                  <w:sz w:val="18"/>
                  <w:szCs w:val="18"/>
                </w:rPr>
                <w:t>BETA project page</w:t>
              </w:r>
            </w:hyperlink>
          </w:p>
        </w:tc>
      </w:tr>
      <w:tr w:rsidR="007762D6" w14:paraId="7264D54D"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5028CD97" w14:textId="1311939A" w:rsidR="007762D6" w:rsidRPr="00072DE4" w:rsidRDefault="007762D6" w:rsidP="71A2DA3B">
            <w:pPr>
              <w:spacing w:after="0"/>
              <w:rPr>
                <w:sz w:val="18"/>
                <w:szCs w:val="18"/>
              </w:rPr>
            </w:pPr>
            <w:r w:rsidRPr="00072DE4">
              <w:rPr>
                <w:rFonts w:ascii="Arial" w:eastAsia="Arial" w:hAnsi="Arial" w:cs="Arial"/>
                <w:color w:val="000000" w:themeColor="text1"/>
                <w:sz w:val="18"/>
                <w:szCs w:val="18"/>
              </w:rPr>
              <w:t>Testing communications strategies for the 2026 Census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163B497D" w14:textId="705E212B" w:rsidR="007762D6" w:rsidRPr="00072DE4" w:rsidRDefault="007762D6" w:rsidP="71A2DA3B">
            <w:pPr>
              <w:spacing w:after="0"/>
              <w:rPr>
                <w:color w:val="14837A" w:themeColor="accent1"/>
                <w:sz w:val="18"/>
                <w:szCs w:val="18"/>
              </w:rPr>
            </w:pPr>
            <w:hyperlink r:id="rId39">
              <w:r w:rsidRPr="00072DE4">
                <w:rPr>
                  <w:rStyle w:val="Hyperlink"/>
                  <w:sz w:val="18"/>
                  <w:szCs w:val="18"/>
                </w:rPr>
                <w:t>BETA project page</w:t>
              </w:r>
            </w:hyperlink>
          </w:p>
        </w:tc>
      </w:tr>
      <w:tr w:rsidR="007762D6" w14:paraId="3B4F33E2"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49507328" w14:textId="2470DD8B" w:rsidR="007762D6" w:rsidRPr="00072DE4" w:rsidRDefault="007762D6" w:rsidP="71A2DA3B">
            <w:pPr>
              <w:spacing w:after="0"/>
              <w:rPr>
                <w:sz w:val="18"/>
                <w:szCs w:val="18"/>
              </w:rPr>
            </w:pPr>
            <w:r w:rsidRPr="00072DE4">
              <w:rPr>
                <w:rFonts w:ascii="Arial" w:eastAsia="Arial" w:hAnsi="Arial" w:cs="Arial"/>
                <w:color w:val="000000" w:themeColor="text1"/>
                <w:sz w:val="18"/>
                <w:szCs w:val="18"/>
              </w:rPr>
              <w:t>Credit when it's due: Reducing credit card debt</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7D61D301" w14:textId="49DA811F" w:rsidR="007762D6" w:rsidRPr="00072DE4" w:rsidRDefault="007762D6" w:rsidP="71A2DA3B">
            <w:pPr>
              <w:spacing w:after="0"/>
              <w:rPr>
                <w:color w:val="14837A" w:themeColor="accent1"/>
                <w:sz w:val="18"/>
                <w:szCs w:val="18"/>
              </w:rPr>
            </w:pPr>
            <w:hyperlink r:id="rId40">
              <w:r w:rsidRPr="00072DE4">
                <w:rPr>
                  <w:rStyle w:val="Hyperlink"/>
                  <w:sz w:val="18"/>
                  <w:szCs w:val="18"/>
                </w:rPr>
                <w:t>BETA project page</w:t>
              </w:r>
            </w:hyperlink>
          </w:p>
        </w:tc>
      </w:tr>
      <w:tr w:rsidR="007762D6" w14:paraId="6B1BADA1"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7CD2DB0F" w14:textId="25F9FB12" w:rsidR="007762D6" w:rsidRPr="00072DE4" w:rsidRDefault="007762D6" w:rsidP="71A2DA3B">
            <w:pPr>
              <w:spacing w:after="0"/>
              <w:rPr>
                <w:sz w:val="18"/>
                <w:szCs w:val="18"/>
              </w:rPr>
            </w:pPr>
            <w:r w:rsidRPr="00072DE4">
              <w:rPr>
                <w:rFonts w:ascii="Arial" w:eastAsia="Arial" w:hAnsi="Arial" w:cs="Arial"/>
                <w:color w:val="000000" w:themeColor="text1"/>
                <w:sz w:val="18"/>
                <w:szCs w:val="18"/>
              </w:rPr>
              <w:t>password123: Applying behavioural insights to cyber security advice</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12873F1B" w14:textId="7B87138C" w:rsidR="007762D6" w:rsidRPr="00072DE4" w:rsidRDefault="007762D6" w:rsidP="71A2DA3B">
            <w:pPr>
              <w:spacing w:after="0"/>
              <w:rPr>
                <w:color w:val="14837A" w:themeColor="accent1"/>
                <w:sz w:val="18"/>
                <w:szCs w:val="18"/>
              </w:rPr>
            </w:pPr>
            <w:hyperlink r:id="rId41">
              <w:r w:rsidRPr="00072DE4">
                <w:rPr>
                  <w:rStyle w:val="Hyperlink"/>
                  <w:sz w:val="18"/>
                  <w:szCs w:val="18"/>
                </w:rPr>
                <w:t>BETA project page</w:t>
              </w:r>
            </w:hyperlink>
          </w:p>
        </w:tc>
      </w:tr>
      <w:tr w:rsidR="007762D6" w14:paraId="3C47F49D"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56DDEEB3" w14:textId="5EC9B9A0" w:rsidR="007762D6" w:rsidRPr="00072DE4" w:rsidRDefault="007762D6" w:rsidP="71A2DA3B">
            <w:pPr>
              <w:spacing w:after="0"/>
              <w:rPr>
                <w:sz w:val="18"/>
                <w:szCs w:val="18"/>
              </w:rPr>
            </w:pPr>
            <w:r w:rsidRPr="00072DE4">
              <w:rPr>
                <w:rFonts w:ascii="Arial" w:eastAsia="Arial" w:hAnsi="Arial" w:cs="Arial"/>
                <w:color w:val="000000" w:themeColor="text1"/>
                <w:sz w:val="18"/>
                <w:szCs w:val="18"/>
              </w:rPr>
              <w:t>Using behavioural insights to boost the impact of cyber security alerts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2A5473F1" w14:textId="6B8DD9F3" w:rsidR="007762D6" w:rsidRPr="00072DE4" w:rsidRDefault="007762D6" w:rsidP="71A2DA3B">
            <w:pPr>
              <w:spacing w:after="0"/>
              <w:rPr>
                <w:color w:val="14837A" w:themeColor="accent1"/>
                <w:sz w:val="18"/>
                <w:szCs w:val="18"/>
              </w:rPr>
            </w:pPr>
            <w:hyperlink r:id="rId42">
              <w:r w:rsidRPr="00072DE4">
                <w:rPr>
                  <w:rStyle w:val="Hyperlink"/>
                  <w:sz w:val="18"/>
                  <w:szCs w:val="18"/>
                </w:rPr>
                <w:t>BETA project page</w:t>
              </w:r>
            </w:hyperlink>
          </w:p>
        </w:tc>
      </w:tr>
      <w:tr w:rsidR="007762D6" w14:paraId="57954C88"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7D1A8E0A" w14:textId="5BCA4E90" w:rsidR="007762D6" w:rsidRPr="00072DE4" w:rsidRDefault="007762D6" w:rsidP="71A2DA3B">
            <w:pPr>
              <w:spacing w:after="0"/>
              <w:rPr>
                <w:sz w:val="18"/>
                <w:szCs w:val="18"/>
              </w:rPr>
            </w:pPr>
            <w:r w:rsidRPr="00072DE4">
              <w:rPr>
                <w:rFonts w:ascii="Arial" w:eastAsia="Arial" w:hAnsi="Arial" w:cs="Arial"/>
                <w:color w:val="000000" w:themeColor="text1"/>
                <w:sz w:val="18"/>
                <w:szCs w:val="18"/>
              </w:rPr>
              <w:t>password123: Applying behavioural insights to cyber security advice</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64602C8E" w14:textId="6B47B87B" w:rsidR="007762D6" w:rsidRPr="00072DE4" w:rsidRDefault="007762D6" w:rsidP="71A2DA3B">
            <w:pPr>
              <w:spacing w:after="0"/>
              <w:rPr>
                <w:color w:val="14837A" w:themeColor="accent1"/>
                <w:sz w:val="18"/>
                <w:szCs w:val="18"/>
              </w:rPr>
            </w:pPr>
            <w:hyperlink r:id="rId43">
              <w:r w:rsidRPr="00072DE4">
                <w:rPr>
                  <w:rStyle w:val="Hyperlink"/>
                  <w:sz w:val="18"/>
                  <w:szCs w:val="18"/>
                </w:rPr>
                <w:t>BETA project page</w:t>
              </w:r>
            </w:hyperlink>
          </w:p>
        </w:tc>
      </w:tr>
      <w:tr w:rsidR="007762D6" w14:paraId="07B5DB30"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469FE16D" w14:textId="0891609B" w:rsidR="007762D6" w:rsidRPr="00072DE4" w:rsidRDefault="007762D6" w:rsidP="71A2DA3B">
            <w:pPr>
              <w:spacing w:after="0"/>
              <w:rPr>
                <w:sz w:val="18"/>
                <w:szCs w:val="18"/>
              </w:rPr>
            </w:pPr>
            <w:r w:rsidRPr="00072DE4">
              <w:rPr>
                <w:rFonts w:ascii="Arial" w:eastAsia="Arial" w:hAnsi="Arial" w:cs="Arial"/>
                <w:color w:val="000000" w:themeColor="text1"/>
                <w:sz w:val="18"/>
                <w:szCs w:val="18"/>
              </w:rPr>
              <w:t>password123: Applying behavioural insights to cyber security advice</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1A9BD7E9" w14:textId="14B3CCC1" w:rsidR="007762D6" w:rsidRPr="00072DE4" w:rsidRDefault="007762D6" w:rsidP="71A2DA3B">
            <w:pPr>
              <w:spacing w:after="0"/>
              <w:rPr>
                <w:color w:val="14837A" w:themeColor="accent1"/>
                <w:sz w:val="18"/>
                <w:szCs w:val="18"/>
              </w:rPr>
            </w:pPr>
            <w:hyperlink r:id="rId44">
              <w:r w:rsidRPr="00072DE4">
                <w:rPr>
                  <w:rStyle w:val="Hyperlink"/>
                  <w:sz w:val="18"/>
                  <w:szCs w:val="18"/>
                </w:rPr>
                <w:t>BETA project page</w:t>
              </w:r>
            </w:hyperlink>
          </w:p>
        </w:tc>
      </w:tr>
      <w:tr w:rsidR="007762D6" w14:paraId="16CA5C6D"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201CCE3B" w14:textId="0E0702AF" w:rsidR="007762D6" w:rsidRPr="00072DE4" w:rsidRDefault="007762D6" w:rsidP="71A2DA3B">
            <w:pPr>
              <w:spacing w:after="0"/>
              <w:rPr>
                <w:sz w:val="18"/>
                <w:szCs w:val="18"/>
              </w:rPr>
            </w:pPr>
            <w:r w:rsidRPr="00072DE4">
              <w:rPr>
                <w:rFonts w:ascii="Arial" w:eastAsia="Arial" w:hAnsi="Arial" w:cs="Arial"/>
                <w:color w:val="000000" w:themeColor="text1"/>
                <w:sz w:val="18"/>
                <w:szCs w:val="18"/>
              </w:rPr>
              <w:t>Encouraging survey participation to evaluate social service program outcomes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72529C58" w14:textId="4BA827C7" w:rsidR="007762D6" w:rsidRPr="00072DE4" w:rsidRDefault="007762D6" w:rsidP="71A2DA3B">
            <w:pPr>
              <w:spacing w:after="0"/>
              <w:rPr>
                <w:color w:val="14837A" w:themeColor="accent1"/>
                <w:sz w:val="18"/>
                <w:szCs w:val="18"/>
              </w:rPr>
            </w:pPr>
            <w:hyperlink r:id="rId45">
              <w:r w:rsidRPr="00072DE4">
                <w:rPr>
                  <w:rStyle w:val="Hyperlink"/>
                  <w:sz w:val="18"/>
                  <w:szCs w:val="18"/>
                </w:rPr>
                <w:t>BETA project page</w:t>
              </w:r>
            </w:hyperlink>
          </w:p>
        </w:tc>
      </w:tr>
      <w:tr w:rsidR="007762D6" w14:paraId="118FBCCE"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1F0D06F0" w14:textId="1B94A2D0" w:rsidR="007762D6" w:rsidRPr="00072DE4" w:rsidRDefault="007762D6" w:rsidP="71A2DA3B">
            <w:pPr>
              <w:spacing w:after="0"/>
              <w:rPr>
                <w:sz w:val="18"/>
                <w:szCs w:val="18"/>
              </w:rPr>
            </w:pPr>
            <w:r w:rsidRPr="00072DE4">
              <w:rPr>
                <w:rFonts w:ascii="Arial" w:eastAsia="Arial" w:hAnsi="Arial" w:cs="Arial"/>
                <w:color w:val="000000" w:themeColor="text1"/>
                <w:sz w:val="18"/>
                <w:szCs w:val="18"/>
              </w:rPr>
              <w:t>Making it less taxing - better compliance with deferred GST</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20610BE5" w14:textId="4458D468" w:rsidR="007762D6" w:rsidRPr="00072DE4" w:rsidRDefault="007762D6" w:rsidP="71A2DA3B">
            <w:pPr>
              <w:spacing w:after="0"/>
              <w:rPr>
                <w:color w:val="14837A" w:themeColor="accent1"/>
                <w:sz w:val="18"/>
                <w:szCs w:val="18"/>
              </w:rPr>
            </w:pPr>
            <w:hyperlink r:id="rId46">
              <w:r w:rsidRPr="00072DE4">
                <w:rPr>
                  <w:rStyle w:val="Hyperlink"/>
                  <w:sz w:val="18"/>
                  <w:szCs w:val="18"/>
                </w:rPr>
                <w:t>BETA project page</w:t>
              </w:r>
            </w:hyperlink>
          </w:p>
        </w:tc>
      </w:tr>
      <w:tr w:rsidR="007762D6" w14:paraId="76F7B533"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3E7F365D" w14:textId="676C4AF2" w:rsidR="007762D6" w:rsidRPr="00072DE4" w:rsidRDefault="007762D6" w:rsidP="71A2DA3B">
            <w:pPr>
              <w:spacing w:after="0"/>
              <w:rPr>
                <w:sz w:val="18"/>
                <w:szCs w:val="18"/>
              </w:rPr>
            </w:pPr>
            <w:r w:rsidRPr="00072DE4">
              <w:rPr>
                <w:rFonts w:ascii="Arial" w:eastAsia="Arial" w:hAnsi="Arial" w:cs="Arial"/>
                <w:color w:val="000000" w:themeColor="text1"/>
                <w:sz w:val="18"/>
                <w:szCs w:val="18"/>
              </w:rPr>
              <w:t>Making it less taxing - better compliance with deferred GST</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4922EFDE" w14:textId="2014F3A4" w:rsidR="007762D6" w:rsidRPr="00072DE4" w:rsidRDefault="007762D6" w:rsidP="71A2DA3B">
            <w:pPr>
              <w:spacing w:after="0"/>
              <w:rPr>
                <w:color w:val="14837A" w:themeColor="accent1"/>
                <w:sz w:val="18"/>
                <w:szCs w:val="18"/>
              </w:rPr>
            </w:pPr>
            <w:hyperlink r:id="rId47">
              <w:r w:rsidRPr="00072DE4">
                <w:rPr>
                  <w:rStyle w:val="Hyperlink"/>
                  <w:sz w:val="18"/>
                  <w:szCs w:val="18"/>
                </w:rPr>
                <w:t>BETA project page</w:t>
              </w:r>
            </w:hyperlink>
          </w:p>
        </w:tc>
      </w:tr>
      <w:tr w:rsidR="007762D6" w14:paraId="655459C4"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782BF1DA" w14:textId="12689B4B" w:rsidR="007762D6" w:rsidRPr="00072DE4" w:rsidRDefault="007762D6" w:rsidP="71A2DA3B">
            <w:pPr>
              <w:spacing w:after="0"/>
              <w:rPr>
                <w:sz w:val="18"/>
                <w:szCs w:val="18"/>
              </w:rPr>
            </w:pPr>
            <w:r w:rsidRPr="00072DE4">
              <w:rPr>
                <w:rFonts w:ascii="Arial" w:eastAsia="Arial" w:hAnsi="Arial" w:cs="Arial"/>
                <w:color w:val="000000" w:themeColor="text1"/>
                <w:sz w:val="18"/>
                <w:szCs w:val="18"/>
              </w:rPr>
              <w:lastRenderedPageBreak/>
              <w:t>Increasing disability identification in the Australian Public Service</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74142D58" w14:textId="3D9D7A56" w:rsidR="007762D6" w:rsidRPr="00072DE4" w:rsidRDefault="007762D6" w:rsidP="71A2DA3B">
            <w:pPr>
              <w:spacing w:after="0"/>
              <w:rPr>
                <w:color w:val="14837A" w:themeColor="accent1"/>
                <w:sz w:val="18"/>
                <w:szCs w:val="18"/>
              </w:rPr>
            </w:pPr>
            <w:hyperlink r:id="rId48">
              <w:r w:rsidRPr="00072DE4">
                <w:rPr>
                  <w:rStyle w:val="Hyperlink"/>
                  <w:sz w:val="18"/>
                  <w:szCs w:val="18"/>
                </w:rPr>
                <w:t>BETA project page</w:t>
              </w:r>
            </w:hyperlink>
          </w:p>
        </w:tc>
      </w:tr>
      <w:tr w:rsidR="007762D6" w14:paraId="55FB439E"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19EF8D8D" w14:textId="7647FEA8" w:rsidR="007762D6" w:rsidRPr="00072DE4" w:rsidRDefault="007762D6" w:rsidP="71A2DA3B">
            <w:pPr>
              <w:spacing w:after="0"/>
              <w:rPr>
                <w:sz w:val="18"/>
                <w:szCs w:val="18"/>
              </w:rPr>
            </w:pPr>
            <w:r w:rsidRPr="00072DE4">
              <w:rPr>
                <w:rFonts w:ascii="Arial" w:eastAsia="Arial" w:hAnsi="Arial" w:cs="Arial"/>
                <w:color w:val="000000" w:themeColor="text1"/>
                <w:sz w:val="18"/>
                <w:szCs w:val="18"/>
              </w:rPr>
              <w:t>Empowered to switch: Energy made easier</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0210B6A6" w14:textId="41450FC6" w:rsidR="007762D6" w:rsidRPr="00072DE4" w:rsidRDefault="007762D6" w:rsidP="71A2DA3B">
            <w:pPr>
              <w:spacing w:after="0"/>
              <w:rPr>
                <w:color w:val="14837A" w:themeColor="accent1"/>
                <w:sz w:val="18"/>
                <w:szCs w:val="18"/>
              </w:rPr>
            </w:pPr>
            <w:hyperlink r:id="rId49">
              <w:r w:rsidRPr="00072DE4">
                <w:rPr>
                  <w:rStyle w:val="Hyperlink"/>
                  <w:sz w:val="18"/>
                  <w:szCs w:val="18"/>
                </w:rPr>
                <w:t>BETA project page</w:t>
              </w:r>
            </w:hyperlink>
          </w:p>
        </w:tc>
      </w:tr>
      <w:tr w:rsidR="007762D6" w14:paraId="4D2B6B4A"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04E0501C" w14:textId="4E948F5C" w:rsidR="007762D6" w:rsidRPr="00072DE4" w:rsidRDefault="007762D6" w:rsidP="71A2DA3B">
            <w:pPr>
              <w:spacing w:after="0"/>
              <w:rPr>
                <w:sz w:val="18"/>
                <w:szCs w:val="18"/>
              </w:rPr>
            </w:pPr>
            <w:r w:rsidRPr="00072DE4">
              <w:rPr>
                <w:rFonts w:ascii="Arial" w:eastAsia="Arial" w:hAnsi="Arial" w:cs="Arial"/>
                <w:color w:val="000000" w:themeColor="text1"/>
                <w:sz w:val="18"/>
                <w:szCs w:val="18"/>
              </w:rPr>
              <w:t>Redesigning electricity bills to support consumer engagement</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4DC25D05" w14:textId="110A352B" w:rsidR="007762D6" w:rsidRPr="00072DE4" w:rsidRDefault="007762D6" w:rsidP="71A2DA3B">
            <w:pPr>
              <w:spacing w:after="0"/>
              <w:rPr>
                <w:color w:val="14837A" w:themeColor="accent1"/>
                <w:sz w:val="18"/>
                <w:szCs w:val="18"/>
              </w:rPr>
            </w:pPr>
            <w:hyperlink r:id="rId50">
              <w:r w:rsidRPr="00072DE4">
                <w:rPr>
                  <w:rStyle w:val="Hyperlink"/>
                  <w:sz w:val="18"/>
                  <w:szCs w:val="18"/>
                </w:rPr>
                <w:t>BETA project page</w:t>
              </w:r>
            </w:hyperlink>
          </w:p>
        </w:tc>
      </w:tr>
      <w:tr w:rsidR="007762D6" w14:paraId="03293FE2"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68AA99B4" w14:textId="306C99EC" w:rsidR="007762D6" w:rsidRPr="00072DE4" w:rsidRDefault="007762D6" w:rsidP="71A2DA3B">
            <w:pPr>
              <w:spacing w:after="0"/>
              <w:rPr>
                <w:sz w:val="18"/>
                <w:szCs w:val="18"/>
              </w:rPr>
            </w:pPr>
            <w:r w:rsidRPr="00072DE4">
              <w:rPr>
                <w:rFonts w:ascii="Arial" w:eastAsia="Arial" w:hAnsi="Arial" w:cs="Arial"/>
                <w:color w:val="000000" w:themeColor="text1"/>
                <w:sz w:val="18"/>
                <w:szCs w:val="18"/>
              </w:rPr>
              <w:t>Simplifying energy fact sheets to improve consumer understanding</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3DB5F7A2" w14:textId="03DDD8AF" w:rsidR="007762D6" w:rsidRPr="00072DE4" w:rsidRDefault="007762D6" w:rsidP="71A2DA3B">
            <w:pPr>
              <w:spacing w:after="0"/>
              <w:rPr>
                <w:color w:val="14837A" w:themeColor="accent1"/>
                <w:sz w:val="18"/>
                <w:szCs w:val="18"/>
              </w:rPr>
            </w:pPr>
            <w:hyperlink r:id="rId51">
              <w:r w:rsidRPr="00072DE4">
                <w:rPr>
                  <w:rStyle w:val="Hyperlink"/>
                  <w:sz w:val="18"/>
                  <w:szCs w:val="18"/>
                </w:rPr>
                <w:t>BETA project page</w:t>
              </w:r>
            </w:hyperlink>
          </w:p>
        </w:tc>
      </w:tr>
      <w:tr w:rsidR="007762D6" w14:paraId="01943C41"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16DCB148" w14:textId="7C96C16D" w:rsidR="007762D6" w:rsidRPr="00072DE4" w:rsidRDefault="007762D6" w:rsidP="71A2DA3B">
            <w:pPr>
              <w:spacing w:after="0"/>
              <w:rPr>
                <w:sz w:val="18"/>
                <w:szCs w:val="18"/>
              </w:rPr>
            </w:pPr>
            <w:r w:rsidRPr="00072DE4">
              <w:rPr>
                <w:rFonts w:ascii="Arial" w:eastAsia="Arial" w:hAnsi="Arial" w:cs="Arial"/>
                <w:color w:val="000000" w:themeColor="text1"/>
                <w:sz w:val="18"/>
                <w:szCs w:val="18"/>
              </w:rPr>
              <w:t>Energy labels that make cents: Testing the effect of appliance energy rating labels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74D02D23" w14:textId="2CBAF2CE" w:rsidR="007762D6" w:rsidRPr="00072DE4" w:rsidRDefault="007762D6" w:rsidP="71A2DA3B">
            <w:pPr>
              <w:spacing w:after="0"/>
              <w:rPr>
                <w:color w:val="14837A" w:themeColor="accent1"/>
                <w:sz w:val="18"/>
                <w:szCs w:val="18"/>
              </w:rPr>
            </w:pPr>
            <w:hyperlink r:id="rId52">
              <w:r w:rsidRPr="00072DE4">
                <w:rPr>
                  <w:rStyle w:val="Hyperlink"/>
                  <w:sz w:val="18"/>
                  <w:szCs w:val="18"/>
                </w:rPr>
                <w:t>BETA project page</w:t>
              </w:r>
            </w:hyperlink>
          </w:p>
        </w:tc>
      </w:tr>
      <w:tr w:rsidR="007762D6" w14:paraId="6E871EFC"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16439EFA" w14:textId="1B9FB76F" w:rsidR="007762D6" w:rsidRPr="00072DE4" w:rsidRDefault="007762D6" w:rsidP="71A2DA3B">
            <w:pPr>
              <w:spacing w:after="0"/>
              <w:rPr>
                <w:sz w:val="18"/>
                <w:szCs w:val="18"/>
              </w:rPr>
            </w:pPr>
            <w:r w:rsidRPr="00072DE4">
              <w:rPr>
                <w:rFonts w:ascii="Arial" w:eastAsia="Arial" w:hAnsi="Arial" w:cs="Arial"/>
                <w:color w:val="000000" w:themeColor="text1"/>
                <w:sz w:val="18"/>
                <w:szCs w:val="18"/>
              </w:rPr>
              <w:t>Paid family and domestic violence leave</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11EE86BC" w14:textId="7D7BA2F9" w:rsidR="007762D6" w:rsidRPr="00072DE4" w:rsidRDefault="007762D6" w:rsidP="71A2DA3B">
            <w:pPr>
              <w:spacing w:after="0"/>
              <w:rPr>
                <w:color w:val="14837A" w:themeColor="accent1"/>
                <w:sz w:val="18"/>
                <w:szCs w:val="18"/>
              </w:rPr>
            </w:pPr>
            <w:hyperlink r:id="rId53">
              <w:r w:rsidRPr="00072DE4">
                <w:rPr>
                  <w:rStyle w:val="Hyperlink"/>
                  <w:sz w:val="18"/>
                  <w:szCs w:val="18"/>
                </w:rPr>
                <w:t>BETA project page</w:t>
              </w:r>
            </w:hyperlink>
          </w:p>
        </w:tc>
      </w:tr>
      <w:tr w:rsidR="007762D6" w14:paraId="4E671A98"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355D9C7D" w14:textId="165F5F9A" w:rsidR="007762D6" w:rsidRPr="00072DE4" w:rsidRDefault="007762D6" w:rsidP="71A2DA3B">
            <w:pPr>
              <w:spacing w:after="0"/>
              <w:rPr>
                <w:sz w:val="18"/>
                <w:szCs w:val="18"/>
              </w:rPr>
            </w:pPr>
            <w:r w:rsidRPr="00072DE4">
              <w:rPr>
                <w:rFonts w:ascii="Arial" w:eastAsia="Arial" w:hAnsi="Arial" w:cs="Arial"/>
                <w:color w:val="000000" w:themeColor="text1"/>
                <w:sz w:val="18"/>
                <w:szCs w:val="18"/>
              </w:rPr>
              <w:t>Strengthening Students’ Resilience</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1D8F366B" w14:textId="0421912B" w:rsidR="007762D6" w:rsidRPr="00072DE4" w:rsidRDefault="007762D6" w:rsidP="71A2DA3B">
            <w:pPr>
              <w:spacing w:after="0"/>
              <w:rPr>
                <w:color w:val="14837A" w:themeColor="accent1"/>
                <w:sz w:val="18"/>
                <w:szCs w:val="18"/>
              </w:rPr>
            </w:pPr>
            <w:hyperlink r:id="rId54">
              <w:r w:rsidRPr="00072DE4">
                <w:rPr>
                  <w:rStyle w:val="Hyperlink"/>
                  <w:sz w:val="18"/>
                  <w:szCs w:val="18"/>
                </w:rPr>
                <w:t>BETA project page</w:t>
              </w:r>
            </w:hyperlink>
          </w:p>
        </w:tc>
      </w:tr>
      <w:tr w:rsidR="007762D6" w14:paraId="10245939"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2E317B3F" w14:textId="7ABBE450" w:rsidR="007762D6" w:rsidRPr="00072DE4" w:rsidRDefault="007762D6" w:rsidP="71A2DA3B">
            <w:pPr>
              <w:spacing w:after="0"/>
              <w:rPr>
                <w:sz w:val="18"/>
                <w:szCs w:val="18"/>
              </w:rPr>
            </w:pPr>
            <w:r w:rsidRPr="00072DE4">
              <w:rPr>
                <w:rFonts w:ascii="Arial" w:eastAsia="Arial" w:hAnsi="Arial" w:cs="Arial"/>
                <w:color w:val="000000" w:themeColor="text1"/>
                <w:sz w:val="18"/>
                <w:szCs w:val="18"/>
              </w:rPr>
              <w:t>The workplace experience of hospitality apprentices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4373D27C" w14:textId="3847FC28" w:rsidR="007762D6" w:rsidRPr="00072DE4" w:rsidRDefault="007762D6" w:rsidP="71A2DA3B">
            <w:pPr>
              <w:spacing w:after="0"/>
              <w:rPr>
                <w:color w:val="14837A" w:themeColor="accent1"/>
                <w:sz w:val="18"/>
                <w:szCs w:val="18"/>
              </w:rPr>
            </w:pPr>
            <w:hyperlink r:id="rId55">
              <w:r w:rsidRPr="00072DE4">
                <w:rPr>
                  <w:rStyle w:val="Hyperlink"/>
                  <w:sz w:val="18"/>
                  <w:szCs w:val="18"/>
                </w:rPr>
                <w:t>BETA project page</w:t>
              </w:r>
            </w:hyperlink>
          </w:p>
        </w:tc>
      </w:tr>
      <w:tr w:rsidR="007762D6" w14:paraId="6A4D9D5F"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28AB04DD" w14:textId="7834BBF4" w:rsidR="007762D6" w:rsidRPr="00072DE4" w:rsidRDefault="007762D6" w:rsidP="71A2DA3B">
            <w:pPr>
              <w:spacing w:after="0"/>
              <w:rPr>
                <w:sz w:val="18"/>
                <w:szCs w:val="18"/>
              </w:rPr>
            </w:pPr>
            <w:r w:rsidRPr="00072DE4">
              <w:rPr>
                <w:rFonts w:ascii="Arial" w:eastAsia="Arial" w:hAnsi="Arial" w:cs="Arial"/>
                <w:color w:val="000000" w:themeColor="text1"/>
                <w:sz w:val="18"/>
                <w:szCs w:val="18"/>
              </w:rPr>
              <w:t>Increasing transparency of online foreign exchange calculators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31F5F33F" w14:textId="16D3B46F" w:rsidR="007762D6" w:rsidRPr="00072DE4" w:rsidRDefault="007762D6" w:rsidP="71A2DA3B">
            <w:pPr>
              <w:spacing w:after="0"/>
              <w:rPr>
                <w:color w:val="14837A" w:themeColor="accent1"/>
                <w:sz w:val="18"/>
                <w:szCs w:val="18"/>
              </w:rPr>
            </w:pPr>
            <w:hyperlink r:id="rId56">
              <w:r w:rsidRPr="00072DE4">
                <w:rPr>
                  <w:rStyle w:val="Hyperlink"/>
                  <w:sz w:val="18"/>
                  <w:szCs w:val="18"/>
                </w:rPr>
                <w:t>BETA project page</w:t>
              </w:r>
            </w:hyperlink>
          </w:p>
        </w:tc>
      </w:tr>
      <w:tr w:rsidR="007762D6" w14:paraId="0DE0CE48"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69C76FC3" w14:textId="3572A697" w:rsidR="007762D6" w:rsidRPr="00072DE4" w:rsidRDefault="007762D6" w:rsidP="71A2DA3B">
            <w:pPr>
              <w:spacing w:after="0"/>
              <w:rPr>
                <w:sz w:val="18"/>
                <w:szCs w:val="18"/>
              </w:rPr>
            </w:pPr>
            <w:r w:rsidRPr="00072DE4">
              <w:rPr>
                <w:rFonts w:ascii="Arial" w:eastAsia="Arial" w:hAnsi="Arial" w:cs="Arial"/>
                <w:color w:val="000000" w:themeColor="text1"/>
                <w:sz w:val="18"/>
                <w:szCs w:val="18"/>
              </w:rPr>
              <w:t>Applying behavioural insights to online wagering</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2D45E4F6" w14:textId="0B912CED" w:rsidR="007762D6" w:rsidRPr="00072DE4" w:rsidRDefault="007762D6" w:rsidP="71A2DA3B">
            <w:pPr>
              <w:spacing w:after="0"/>
              <w:rPr>
                <w:color w:val="14837A" w:themeColor="accent1"/>
                <w:sz w:val="18"/>
                <w:szCs w:val="18"/>
              </w:rPr>
            </w:pPr>
            <w:hyperlink r:id="rId57">
              <w:r w:rsidRPr="00072DE4">
                <w:rPr>
                  <w:rStyle w:val="Hyperlink"/>
                  <w:sz w:val="18"/>
                  <w:szCs w:val="18"/>
                </w:rPr>
                <w:t>BETA project page</w:t>
              </w:r>
            </w:hyperlink>
          </w:p>
        </w:tc>
      </w:tr>
      <w:tr w:rsidR="007762D6" w14:paraId="7D7FDAD9"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4DE754C8" w14:textId="4A1BBAD6" w:rsidR="007762D6" w:rsidRPr="00072DE4" w:rsidRDefault="007762D6" w:rsidP="71A2DA3B">
            <w:pPr>
              <w:spacing w:after="0"/>
              <w:rPr>
                <w:sz w:val="18"/>
                <w:szCs w:val="18"/>
              </w:rPr>
            </w:pPr>
            <w:r w:rsidRPr="00072DE4">
              <w:rPr>
                <w:rFonts w:ascii="Arial" w:eastAsia="Arial" w:hAnsi="Arial" w:cs="Arial"/>
                <w:color w:val="000000" w:themeColor="text1"/>
                <w:sz w:val="18"/>
                <w:szCs w:val="18"/>
              </w:rPr>
              <w:t>Improving organ donor registration among young adults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6863E6F7" w14:textId="63D62B7B" w:rsidR="007762D6" w:rsidRPr="00072DE4" w:rsidRDefault="007762D6" w:rsidP="71A2DA3B">
            <w:pPr>
              <w:spacing w:after="0"/>
              <w:rPr>
                <w:color w:val="14837A" w:themeColor="accent1"/>
                <w:sz w:val="18"/>
                <w:szCs w:val="18"/>
              </w:rPr>
            </w:pPr>
            <w:hyperlink r:id="rId58">
              <w:r w:rsidRPr="00072DE4">
                <w:rPr>
                  <w:rStyle w:val="Hyperlink"/>
                  <w:sz w:val="18"/>
                  <w:szCs w:val="18"/>
                </w:rPr>
                <w:t>BETA project page</w:t>
              </w:r>
            </w:hyperlink>
          </w:p>
        </w:tc>
      </w:tr>
      <w:tr w:rsidR="007762D6" w14:paraId="237F4A4F"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126F2D25" w14:textId="7FBB919C" w:rsidR="007762D6" w:rsidRPr="00072DE4" w:rsidRDefault="007762D6" w:rsidP="71A2DA3B">
            <w:pPr>
              <w:spacing w:after="0"/>
              <w:rPr>
                <w:sz w:val="18"/>
                <w:szCs w:val="18"/>
              </w:rPr>
            </w:pPr>
            <w:r w:rsidRPr="00072DE4">
              <w:rPr>
                <w:rFonts w:ascii="Arial" w:eastAsia="Arial" w:hAnsi="Arial" w:cs="Arial"/>
                <w:color w:val="000000" w:themeColor="text1"/>
                <w:sz w:val="18"/>
                <w:szCs w:val="18"/>
              </w:rPr>
              <w:t>Paid Parental Leave decisions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7996ECBE" w14:textId="5CC633D4" w:rsidR="007762D6" w:rsidRPr="00072DE4" w:rsidRDefault="007762D6" w:rsidP="71A2DA3B">
            <w:pPr>
              <w:spacing w:after="0"/>
              <w:rPr>
                <w:color w:val="14837A" w:themeColor="accent1"/>
                <w:sz w:val="18"/>
                <w:szCs w:val="18"/>
              </w:rPr>
            </w:pPr>
            <w:hyperlink r:id="rId59">
              <w:r w:rsidRPr="00072DE4">
                <w:rPr>
                  <w:rStyle w:val="Hyperlink"/>
                  <w:sz w:val="18"/>
                  <w:szCs w:val="18"/>
                </w:rPr>
                <w:t>BETA project page</w:t>
              </w:r>
            </w:hyperlink>
          </w:p>
        </w:tc>
      </w:tr>
      <w:tr w:rsidR="007762D6" w14:paraId="62B925D1"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73167523" w14:textId="68BF6FB0" w:rsidR="007762D6" w:rsidRPr="00072DE4" w:rsidRDefault="007762D6" w:rsidP="71A2DA3B">
            <w:pPr>
              <w:spacing w:after="0"/>
              <w:rPr>
                <w:sz w:val="18"/>
                <w:szCs w:val="18"/>
              </w:rPr>
            </w:pPr>
            <w:r w:rsidRPr="00072DE4">
              <w:rPr>
                <w:rFonts w:ascii="Arial" w:eastAsia="Arial" w:hAnsi="Arial" w:cs="Arial"/>
                <w:color w:val="000000" w:themeColor="text1"/>
                <w:sz w:val="18"/>
                <w:szCs w:val="18"/>
              </w:rPr>
              <w:t>Introducing behavioural insights to the Personal Property Securities Register</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102E7014" w14:textId="070483CC" w:rsidR="007762D6" w:rsidRPr="00072DE4" w:rsidRDefault="007762D6" w:rsidP="71A2DA3B">
            <w:pPr>
              <w:spacing w:after="0"/>
              <w:rPr>
                <w:color w:val="14837A" w:themeColor="accent1"/>
                <w:sz w:val="18"/>
                <w:szCs w:val="18"/>
              </w:rPr>
            </w:pPr>
            <w:hyperlink r:id="rId60">
              <w:r w:rsidRPr="00072DE4">
                <w:rPr>
                  <w:rStyle w:val="Hyperlink"/>
                  <w:sz w:val="18"/>
                  <w:szCs w:val="18"/>
                </w:rPr>
                <w:t>BETA project page</w:t>
              </w:r>
            </w:hyperlink>
          </w:p>
        </w:tc>
      </w:tr>
      <w:tr w:rsidR="007762D6" w14:paraId="139D0C9D"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6E995583" w14:textId="7D0AE11A" w:rsidR="007762D6" w:rsidRPr="00072DE4" w:rsidRDefault="007762D6" w:rsidP="71A2DA3B">
            <w:pPr>
              <w:spacing w:after="0"/>
              <w:rPr>
                <w:sz w:val="18"/>
                <w:szCs w:val="18"/>
              </w:rPr>
            </w:pPr>
            <w:r w:rsidRPr="00072DE4">
              <w:rPr>
                <w:rFonts w:ascii="Arial" w:eastAsia="Arial" w:hAnsi="Arial" w:cs="Arial"/>
                <w:color w:val="000000" w:themeColor="text1"/>
                <w:sz w:val="18"/>
                <w:szCs w:val="18"/>
              </w:rPr>
              <w:t>Effective use of SMS to encourage timely reporting behaviour using digital channels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7D094E3E" w14:textId="526F1686" w:rsidR="007762D6" w:rsidRPr="00072DE4" w:rsidRDefault="007762D6" w:rsidP="71A2DA3B">
            <w:pPr>
              <w:spacing w:after="0"/>
              <w:rPr>
                <w:color w:val="14837A" w:themeColor="accent1"/>
                <w:sz w:val="18"/>
                <w:szCs w:val="18"/>
              </w:rPr>
            </w:pPr>
            <w:hyperlink r:id="rId61">
              <w:r w:rsidRPr="00072DE4">
                <w:rPr>
                  <w:rStyle w:val="Hyperlink"/>
                  <w:sz w:val="18"/>
                  <w:szCs w:val="18"/>
                </w:rPr>
                <w:t>BETA project page</w:t>
              </w:r>
            </w:hyperlink>
          </w:p>
        </w:tc>
      </w:tr>
      <w:tr w:rsidR="007762D6" w14:paraId="672D7092"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60FF91AA" w14:textId="7A970A5A" w:rsidR="007762D6" w:rsidRPr="00072DE4" w:rsidRDefault="007762D6" w:rsidP="71A2DA3B">
            <w:pPr>
              <w:spacing w:after="0"/>
              <w:rPr>
                <w:sz w:val="18"/>
                <w:szCs w:val="18"/>
              </w:rPr>
            </w:pPr>
            <w:r w:rsidRPr="00072DE4">
              <w:rPr>
                <w:rFonts w:ascii="Arial" w:eastAsia="Arial" w:hAnsi="Arial" w:cs="Arial"/>
                <w:color w:val="000000" w:themeColor="text1"/>
                <w:sz w:val="18"/>
                <w:szCs w:val="18"/>
              </w:rPr>
              <w:t>Supporting retirees in retirement income planning</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2DC902D3" w14:textId="01E2D5C7" w:rsidR="007762D6" w:rsidRPr="00072DE4" w:rsidRDefault="007762D6" w:rsidP="71A2DA3B">
            <w:pPr>
              <w:spacing w:after="0"/>
              <w:rPr>
                <w:color w:val="14837A" w:themeColor="accent1"/>
                <w:sz w:val="18"/>
                <w:szCs w:val="18"/>
              </w:rPr>
            </w:pPr>
            <w:hyperlink r:id="rId62">
              <w:r w:rsidRPr="00072DE4">
                <w:rPr>
                  <w:rStyle w:val="Hyperlink"/>
                  <w:sz w:val="18"/>
                  <w:szCs w:val="18"/>
                </w:rPr>
                <w:t>BETA project page</w:t>
              </w:r>
            </w:hyperlink>
          </w:p>
        </w:tc>
      </w:tr>
      <w:tr w:rsidR="007762D6" w14:paraId="547DEB49"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1A497A02" w14:textId="0E3187B5" w:rsidR="007762D6" w:rsidRPr="00072DE4" w:rsidRDefault="007762D6" w:rsidP="71A2DA3B">
            <w:pPr>
              <w:spacing w:after="0"/>
              <w:rPr>
                <w:sz w:val="18"/>
                <w:szCs w:val="18"/>
              </w:rPr>
            </w:pPr>
            <w:r w:rsidRPr="00072DE4">
              <w:rPr>
                <w:rFonts w:ascii="Arial" w:eastAsia="Arial" w:hAnsi="Arial" w:cs="Arial"/>
                <w:color w:val="000000" w:themeColor="text1"/>
                <w:sz w:val="18"/>
                <w:szCs w:val="18"/>
              </w:rPr>
              <w:t>Unconscious bias in Australian Public Service shortlisting processes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189619D6" w14:textId="26059870" w:rsidR="007762D6" w:rsidRPr="00072DE4" w:rsidRDefault="007762D6" w:rsidP="71A2DA3B">
            <w:pPr>
              <w:spacing w:after="0"/>
              <w:rPr>
                <w:color w:val="14837A" w:themeColor="accent1"/>
                <w:sz w:val="18"/>
                <w:szCs w:val="18"/>
              </w:rPr>
            </w:pPr>
            <w:hyperlink r:id="rId63">
              <w:r w:rsidRPr="00072DE4">
                <w:rPr>
                  <w:rStyle w:val="Hyperlink"/>
                  <w:sz w:val="18"/>
                  <w:szCs w:val="18"/>
                </w:rPr>
                <w:t>BETA project page</w:t>
              </w:r>
            </w:hyperlink>
          </w:p>
        </w:tc>
      </w:tr>
      <w:tr w:rsidR="007762D6" w14:paraId="662CE4C5"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501EFC27" w14:textId="249FCAC9" w:rsidR="007762D6" w:rsidRPr="00072DE4" w:rsidRDefault="007762D6" w:rsidP="71A2DA3B">
            <w:pPr>
              <w:spacing w:after="0"/>
              <w:rPr>
                <w:sz w:val="18"/>
                <w:szCs w:val="18"/>
              </w:rPr>
            </w:pPr>
            <w:r w:rsidRPr="00072DE4">
              <w:rPr>
                <w:rFonts w:ascii="Arial" w:eastAsia="Arial" w:hAnsi="Arial" w:cs="Arial"/>
                <w:color w:val="000000" w:themeColor="text1"/>
                <w:sz w:val="18"/>
                <w:szCs w:val="18"/>
              </w:rPr>
              <w:t>Increasing workplace giving</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624E7963" w14:textId="65278BAE" w:rsidR="007762D6" w:rsidRPr="00072DE4" w:rsidRDefault="007762D6" w:rsidP="71A2DA3B">
            <w:pPr>
              <w:spacing w:after="0"/>
              <w:rPr>
                <w:color w:val="14837A" w:themeColor="accent1"/>
                <w:sz w:val="18"/>
                <w:szCs w:val="18"/>
              </w:rPr>
            </w:pPr>
            <w:hyperlink r:id="rId64">
              <w:r w:rsidRPr="00072DE4">
                <w:rPr>
                  <w:rStyle w:val="Hyperlink"/>
                  <w:sz w:val="18"/>
                  <w:szCs w:val="18"/>
                </w:rPr>
                <w:t>BETA project page</w:t>
              </w:r>
            </w:hyperlink>
          </w:p>
        </w:tc>
      </w:tr>
      <w:tr w:rsidR="007762D6" w14:paraId="79BC78AC"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34B2E197" w14:textId="3EBB6D3E" w:rsidR="007762D6" w:rsidRPr="00072DE4" w:rsidRDefault="007762D6" w:rsidP="71A2DA3B">
            <w:pPr>
              <w:spacing w:after="0"/>
              <w:rPr>
                <w:sz w:val="18"/>
                <w:szCs w:val="18"/>
              </w:rPr>
            </w:pPr>
            <w:r w:rsidRPr="00072DE4">
              <w:rPr>
                <w:rFonts w:ascii="Arial" w:eastAsia="Arial" w:hAnsi="Arial" w:cs="Arial"/>
                <w:color w:val="000000" w:themeColor="text1"/>
                <w:sz w:val="18"/>
                <w:szCs w:val="18"/>
              </w:rPr>
              <w:t>Improving tax compliance for income tax returns filed through tax agents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52D0F0DA" w14:textId="7AA75A7E" w:rsidR="007762D6" w:rsidRPr="00072DE4" w:rsidRDefault="007762D6" w:rsidP="71A2DA3B">
            <w:pPr>
              <w:spacing w:after="0"/>
              <w:rPr>
                <w:color w:val="14837A" w:themeColor="accent1"/>
                <w:sz w:val="18"/>
                <w:szCs w:val="18"/>
              </w:rPr>
            </w:pPr>
            <w:hyperlink r:id="rId65">
              <w:r w:rsidRPr="00072DE4">
                <w:rPr>
                  <w:rStyle w:val="Hyperlink"/>
                  <w:sz w:val="18"/>
                  <w:szCs w:val="18"/>
                </w:rPr>
                <w:t>BETA project page</w:t>
              </w:r>
            </w:hyperlink>
          </w:p>
        </w:tc>
      </w:tr>
      <w:tr w:rsidR="007762D6" w14:paraId="58DF6DAA"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4F650955" w14:textId="4C1A05EA" w:rsidR="007762D6" w:rsidRPr="00072DE4" w:rsidRDefault="007762D6" w:rsidP="71A2DA3B">
            <w:pPr>
              <w:spacing w:after="0"/>
              <w:rPr>
                <w:sz w:val="18"/>
                <w:szCs w:val="18"/>
              </w:rPr>
            </w:pPr>
            <w:r w:rsidRPr="00072DE4">
              <w:rPr>
                <w:rFonts w:ascii="Arial" w:eastAsia="Arial" w:hAnsi="Arial" w:cs="Arial"/>
                <w:color w:val="000000" w:themeColor="text1"/>
                <w:sz w:val="18"/>
                <w:szCs w:val="18"/>
              </w:rPr>
              <w:t>Women in Economics Student Mentoring Program</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4CD926FD" w14:textId="54639864" w:rsidR="007762D6" w:rsidRPr="00072DE4" w:rsidRDefault="007762D6" w:rsidP="71A2DA3B">
            <w:pPr>
              <w:spacing w:after="0"/>
              <w:rPr>
                <w:color w:val="14837A" w:themeColor="accent1"/>
                <w:sz w:val="18"/>
                <w:szCs w:val="18"/>
              </w:rPr>
            </w:pPr>
            <w:hyperlink r:id="rId66">
              <w:r w:rsidRPr="00072DE4">
                <w:rPr>
                  <w:rStyle w:val="Hyperlink"/>
                  <w:sz w:val="18"/>
                  <w:szCs w:val="18"/>
                </w:rPr>
                <w:t>BETA project page</w:t>
              </w:r>
            </w:hyperlink>
          </w:p>
        </w:tc>
      </w:tr>
      <w:tr w:rsidR="007762D6" w14:paraId="2274038D"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324D296F" w14:textId="1D6012B2" w:rsidR="007762D6" w:rsidRPr="00072DE4" w:rsidRDefault="007762D6" w:rsidP="71A2DA3B">
            <w:pPr>
              <w:spacing w:after="0"/>
              <w:rPr>
                <w:sz w:val="18"/>
                <w:szCs w:val="18"/>
              </w:rPr>
            </w:pPr>
            <w:r w:rsidRPr="00072DE4">
              <w:rPr>
                <w:rFonts w:ascii="Arial" w:eastAsia="Arial" w:hAnsi="Arial" w:cs="Arial"/>
                <w:color w:val="000000" w:themeColor="text1"/>
                <w:sz w:val="18"/>
                <w:szCs w:val="18"/>
              </w:rPr>
              <w:t xml:space="preserve">Informing the design of the </w:t>
            </w:r>
            <w:proofErr w:type="spellStart"/>
            <w:r w:rsidRPr="00072DE4">
              <w:rPr>
                <w:rFonts w:ascii="Arial" w:eastAsia="Arial" w:hAnsi="Arial" w:cs="Arial"/>
                <w:color w:val="000000" w:themeColor="text1"/>
                <w:sz w:val="18"/>
                <w:szCs w:val="18"/>
              </w:rPr>
              <w:t>YourSuper</w:t>
            </w:r>
            <w:proofErr w:type="spellEnd"/>
            <w:r w:rsidRPr="00072DE4">
              <w:rPr>
                <w:rFonts w:ascii="Arial" w:eastAsia="Arial" w:hAnsi="Arial" w:cs="Arial"/>
                <w:color w:val="000000" w:themeColor="text1"/>
                <w:sz w:val="18"/>
                <w:szCs w:val="18"/>
              </w:rPr>
              <w:t xml:space="preserve"> Comparison Tool</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shd w:val="clear" w:color="auto" w:fill="EAF7F5"/>
            <w:tcMar>
              <w:top w:w="15" w:type="dxa"/>
              <w:left w:w="15" w:type="dxa"/>
              <w:right w:w="15" w:type="dxa"/>
            </w:tcMar>
            <w:vAlign w:val="center"/>
          </w:tcPr>
          <w:p w14:paraId="4884FC4B" w14:textId="5E742973" w:rsidR="007762D6" w:rsidRPr="00072DE4" w:rsidRDefault="007762D6" w:rsidP="71A2DA3B">
            <w:pPr>
              <w:spacing w:after="0"/>
              <w:rPr>
                <w:color w:val="14837A" w:themeColor="accent1"/>
                <w:sz w:val="18"/>
                <w:szCs w:val="18"/>
              </w:rPr>
            </w:pPr>
            <w:hyperlink r:id="rId67">
              <w:r w:rsidRPr="00072DE4">
                <w:rPr>
                  <w:rStyle w:val="Hyperlink"/>
                  <w:sz w:val="18"/>
                  <w:szCs w:val="18"/>
                </w:rPr>
                <w:t>BETA project page</w:t>
              </w:r>
            </w:hyperlink>
          </w:p>
        </w:tc>
      </w:tr>
      <w:tr w:rsidR="007762D6" w14:paraId="17057E33" w14:textId="77777777" w:rsidTr="00072DE4">
        <w:trPr>
          <w:trHeight w:val="510"/>
        </w:trPr>
        <w:tc>
          <w:tcPr>
            <w:tcW w:w="637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5DEB5204" w14:textId="54AA31B8" w:rsidR="007762D6" w:rsidRPr="00072DE4" w:rsidRDefault="007762D6" w:rsidP="71A2DA3B">
            <w:pPr>
              <w:spacing w:after="0"/>
              <w:rPr>
                <w:sz w:val="18"/>
                <w:szCs w:val="18"/>
              </w:rPr>
            </w:pPr>
            <w:r w:rsidRPr="00072DE4">
              <w:rPr>
                <w:rFonts w:ascii="Arial" w:eastAsia="Arial" w:hAnsi="Arial" w:cs="Arial"/>
                <w:color w:val="000000" w:themeColor="text1"/>
                <w:sz w:val="18"/>
                <w:szCs w:val="18"/>
              </w:rPr>
              <w:t>Home energy upgrades: empowering homeowners to make informed decisions</w:t>
            </w:r>
          </w:p>
        </w:tc>
        <w:tc>
          <w:tcPr>
            <w:tcW w:w="1894" w:type="dxa"/>
            <w:tcBorders>
              <w:top w:val="single" w:sz="4" w:space="0" w:color="132D3E" w:themeColor="text2"/>
              <w:left w:val="single" w:sz="4" w:space="0" w:color="132D3E" w:themeColor="text2"/>
              <w:bottom w:val="single" w:sz="4" w:space="0" w:color="132D3E" w:themeColor="text2"/>
              <w:right w:val="single" w:sz="4" w:space="0" w:color="132D3E" w:themeColor="text2"/>
            </w:tcBorders>
            <w:tcMar>
              <w:top w:w="15" w:type="dxa"/>
              <w:left w:w="15" w:type="dxa"/>
              <w:right w:w="15" w:type="dxa"/>
            </w:tcMar>
            <w:vAlign w:val="center"/>
          </w:tcPr>
          <w:p w14:paraId="4F0E073E" w14:textId="12ABE322" w:rsidR="007762D6" w:rsidRPr="00072DE4" w:rsidRDefault="007762D6" w:rsidP="71A2DA3B">
            <w:pPr>
              <w:spacing w:after="0"/>
              <w:rPr>
                <w:color w:val="14837A" w:themeColor="accent1"/>
                <w:sz w:val="18"/>
                <w:szCs w:val="18"/>
              </w:rPr>
            </w:pPr>
            <w:hyperlink r:id="rId68">
              <w:r w:rsidRPr="00072DE4">
                <w:rPr>
                  <w:rStyle w:val="Hyperlink"/>
                  <w:sz w:val="18"/>
                  <w:szCs w:val="18"/>
                </w:rPr>
                <w:t>BETA project page</w:t>
              </w:r>
            </w:hyperlink>
          </w:p>
        </w:tc>
      </w:tr>
    </w:tbl>
    <w:p w14:paraId="11D9D037" w14:textId="67721C2C" w:rsidR="00E54D94" w:rsidRPr="00E54D94" w:rsidRDefault="00E54D94" w:rsidP="00874606"/>
    <w:p w14:paraId="4026F1D1" w14:textId="646877DF" w:rsidR="00FF390B" w:rsidRPr="004D4BF1" w:rsidRDefault="0050338C" w:rsidP="00486927">
      <w:pPr>
        <w:pStyle w:val="Heading3"/>
      </w:pPr>
      <w:r w:rsidRPr="004D4BF1">
        <w:lastRenderedPageBreak/>
        <w:t>Tell us how you’re using this report via a short survey below:</w:t>
      </w:r>
    </w:p>
    <w:p w14:paraId="6637C270" w14:textId="5FB39046" w:rsidR="00135874" w:rsidRPr="00135874" w:rsidRDefault="00135874" w:rsidP="00072078">
      <w:r>
        <w:rPr>
          <w:noProof/>
        </w:rPr>
        <w:drawing>
          <wp:inline distT="0" distB="0" distL="0" distR="0" wp14:anchorId="06B2AC25" wp14:editId="4DEB9FEE">
            <wp:extent cx="1494000" cy="1494000"/>
            <wp:effectExtent l="0" t="0" r="0" b="0"/>
            <wp:docPr id="1569280367" name="Picture 2" descr="https://youropinion.au1.qualtrics.com/jfe/form/SV_3KTVLrC3vE1cqp0?document=BETA%20impact%20report%20technical%20append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80367" name="Picture 2" descr="https://youropinion.au1.qualtrics.com/jfe/form/SV_3KTVLrC3vE1cqp0?document=BETA%20impact%20report%20technical%20appendix"/>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494000" cy="1494000"/>
                    </a:xfrm>
                    <a:prstGeom prst="rect">
                      <a:avLst/>
                    </a:prstGeom>
                  </pic:spPr>
                </pic:pic>
              </a:graphicData>
            </a:graphic>
          </wp:inline>
        </w:drawing>
      </w:r>
    </w:p>
    <w:p w14:paraId="06AECE77" w14:textId="42CCA6C7" w:rsidR="00CB373B" w:rsidRPr="004D4BF1" w:rsidRDefault="00CB373B" w:rsidP="00486927">
      <w:pPr>
        <w:pStyle w:val="Heading3"/>
        <w:spacing w:before="240"/>
      </w:pPr>
      <w:r w:rsidRPr="004D4BF1">
        <w:t>Other uses</w:t>
      </w:r>
    </w:p>
    <w:p w14:paraId="7B336D17" w14:textId="77777777" w:rsidR="00CB373B" w:rsidRPr="004D4BF1" w:rsidRDefault="00CB373B" w:rsidP="00CB373B">
      <w:pPr>
        <w:spacing w:before="120" w:after="120"/>
      </w:pPr>
      <w:r w:rsidRPr="004D4BF1">
        <w:t>Enquiries regarding this license and any other use of this document are welcome at:</w:t>
      </w:r>
    </w:p>
    <w:p w14:paraId="7EECFE97" w14:textId="77777777" w:rsidR="00CB373B" w:rsidRPr="004D4BF1" w:rsidRDefault="00CB373B" w:rsidP="00CB373B">
      <w:pPr>
        <w:spacing w:after="0"/>
      </w:pPr>
      <w:r w:rsidRPr="004D4BF1">
        <w:t>Managing Director</w:t>
      </w:r>
    </w:p>
    <w:p w14:paraId="64EFF524" w14:textId="77777777" w:rsidR="00CB373B" w:rsidRPr="004D4BF1" w:rsidRDefault="00CB373B" w:rsidP="00CB373B">
      <w:pPr>
        <w:spacing w:after="0"/>
      </w:pPr>
      <w:r w:rsidRPr="004D4BF1">
        <w:t>Behavioural Economics Team of the Australian Government</w:t>
      </w:r>
    </w:p>
    <w:p w14:paraId="649C63E1" w14:textId="77777777" w:rsidR="00CB373B" w:rsidRPr="004D4BF1" w:rsidRDefault="00CB373B" w:rsidP="00CB373B">
      <w:pPr>
        <w:spacing w:after="0"/>
      </w:pPr>
      <w:r w:rsidRPr="004D4BF1">
        <w:t>Department of the Prime Minister and Cabinet</w:t>
      </w:r>
    </w:p>
    <w:p w14:paraId="5EB0ADF7" w14:textId="77777777" w:rsidR="00CB373B" w:rsidRPr="004D4BF1" w:rsidRDefault="00CB373B" w:rsidP="00CB373B">
      <w:pPr>
        <w:spacing w:after="0"/>
      </w:pPr>
      <w:r w:rsidRPr="004D4BF1">
        <w:t>1 National Circuit</w:t>
      </w:r>
    </w:p>
    <w:p w14:paraId="3B0EC6E8" w14:textId="77777777" w:rsidR="00CB373B" w:rsidRPr="004D4BF1" w:rsidRDefault="00CB373B" w:rsidP="00CB373B">
      <w:pPr>
        <w:spacing w:after="0"/>
      </w:pPr>
      <w:r w:rsidRPr="004D4BF1">
        <w:t>Barton ACT 2600</w:t>
      </w:r>
    </w:p>
    <w:p w14:paraId="40F17485" w14:textId="77777777" w:rsidR="00CB373B" w:rsidRPr="004D4BF1" w:rsidRDefault="00CB373B" w:rsidP="00CB373B">
      <w:pPr>
        <w:spacing w:after="0"/>
      </w:pPr>
      <w:r w:rsidRPr="004D4BF1">
        <w:t xml:space="preserve">Email: </w:t>
      </w:r>
      <w:hyperlink r:id="rId70" w:history="1">
        <w:r w:rsidRPr="004D4BF1">
          <w:rPr>
            <w:rStyle w:val="Hyperlink"/>
          </w:rPr>
          <w:t>beta@pmc.gov.au</w:t>
        </w:r>
      </w:hyperlink>
      <w:r w:rsidRPr="004D4BF1">
        <w:t xml:space="preserve"> </w:t>
      </w:r>
    </w:p>
    <w:p w14:paraId="0A0FDBAD" w14:textId="77777777" w:rsidR="00CB373B" w:rsidRPr="004D4BF1" w:rsidRDefault="00CB373B" w:rsidP="00CB373B">
      <w:pPr>
        <w:spacing w:before="120" w:after="120"/>
      </w:pPr>
      <w:r w:rsidRPr="004D4BF1">
        <w:t>The views expressed in this paper are those of the authors and do not necessarily reflect those of the Department of the Prime Minister and Cabinet or the Australian Government.</w:t>
      </w:r>
    </w:p>
    <w:p w14:paraId="1D6B28A8" w14:textId="77777777" w:rsidR="00CB373B" w:rsidRPr="004D4BF1" w:rsidRDefault="00CB373B" w:rsidP="00CB373B">
      <w:pPr>
        <w:pStyle w:val="Heading4"/>
      </w:pPr>
      <w:r w:rsidRPr="004D4BF1">
        <w:t>Research team</w:t>
      </w:r>
    </w:p>
    <w:p w14:paraId="33038056" w14:textId="45E5D8EC" w:rsidR="00CB373B" w:rsidRPr="004D4BF1" w:rsidRDefault="754184B9" w:rsidP="00CB373B">
      <w:pPr>
        <w:spacing w:before="120" w:after="120"/>
      </w:pPr>
      <w:r>
        <w:t xml:space="preserve">Other (current and former) staff who contributed to the report were: </w:t>
      </w:r>
      <w:r w:rsidR="6E32C858">
        <w:t>Dr Angela Bender,</w:t>
      </w:r>
      <w:r w:rsidR="1F75C24F">
        <w:t xml:space="preserve"> </w:t>
      </w:r>
      <w:r w:rsidR="6E32C858">
        <w:t>Dr Bethany Jones</w:t>
      </w:r>
      <w:r w:rsidR="4E5B3E03">
        <w:t xml:space="preserve">, Michael Ridgway, </w:t>
      </w:r>
      <w:r w:rsidR="6E32C858">
        <w:t>Laura Bennet</w:t>
      </w:r>
      <w:r w:rsidR="3F3E1F9D">
        <w:t>t</w:t>
      </w:r>
      <w:r w:rsidR="33BC8EE6">
        <w:t>s</w:t>
      </w:r>
      <w:r w:rsidR="6E32C858">
        <w:t>-Kneebone</w:t>
      </w:r>
      <w:r w:rsidR="4E5B3E03">
        <w:t xml:space="preserve"> and </w:t>
      </w:r>
      <w:r w:rsidR="0835632B">
        <w:t xml:space="preserve">Dr </w:t>
      </w:r>
      <w:r w:rsidR="4E5B3E03">
        <w:t>Thomas Valentini</w:t>
      </w:r>
      <w:r w:rsidR="46BC2A23">
        <w:t>.</w:t>
      </w:r>
    </w:p>
    <w:p w14:paraId="285F2BC6" w14:textId="29B870C3" w:rsidR="00292C9A" w:rsidRPr="004D4BF1" w:rsidRDefault="000940D0" w:rsidP="000940D0">
      <w:pPr>
        <w:pStyle w:val="Heading4"/>
      </w:pPr>
      <w:r>
        <w:t>Acknowledgements</w:t>
      </w:r>
    </w:p>
    <w:p w14:paraId="661F1E2C" w14:textId="50E42D5F" w:rsidR="00CB373B" w:rsidRPr="004D4BF1" w:rsidRDefault="00CB373B" w:rsidP="00CB373B">
      <w:pPr>
        <w:spacing w:before="120" w:after="120"/>
      </w:pPr>
      <w:r w:rsidRPr="004D4BF1">
        <w:t xml:space="preserve">Thank you to </w:t>
      </w:r>
      <w:r w:rsidR="000B2E33" w:rsidRPr="004D4BF1">
        <w:t>BETA’s Academic Advisory Panel</w:t>
      </w:r>
      <w:r w:rsidRPr="004D4BF1">
        <w:t xml:space="preserve"> for their support and valuable contribution in making this project happen. </w:t>
      </w:r>
    </w:p>
    <w:p w14:paraId="33D22241" w14:textId="77777777" w:rsidR="00720B50" w:rsidRPr="004D4BF1" w:rsidRDefault="00CB373B" w:rsidP="00212A8B">
      <w:pPr>
        <w:pStyle w:val="Heading4"/>
      </w:pPr>
      <w:r w:rsidRPr="004D4BF1">
        <w:t>Use of Artificial Intelligence (AI)</w:t>
      </w:r>
    </w:p>
    <w:p w14:paraId="73802A75" w14:textId="28168974" w:rsidR="00292C9A" w:rsidRPr="004D4BF1" w:rsidRDefault="00292C9A" w:rsidP="00486927">
      <w:r w:rsidRPr="004D4BF1">
        <w:t xml:space="preserve">During preparation of this report, the authors used Microsoft Copilot/ChatGPT to assist with drafting, editing, and code development. The authors reviewed, tested, and revised all AI-assisted content and </w:t>
      </w:r>
      <w:r>
        <w:t xml:space="preserve">analysis </w:t>
      </w:r>
      <w:r w:rsidRPr="004D4BF1">
        <w:t>code and take full responsibility for the final report and any associated analyses, results, or software outputs.</w:t>
      </w:r>
    </w:p>
    <w:p w14:paraId="7510EC9E" w14:textId="77777777" w:rsidR="00B76F40" w:rsidRDefault="00B76F40">
      <w:pPr>
        <w:spacing w:after="0" w:line="240" w:lineRule="auto"/>
      </w:pPr>
      <w:r>
        <w:br w:type="page"/>
      </w:r>
    </w:p>
    <w:p w14:paraId="2AA957ED" w14:textId="587B0DD6" w:rsidR="00BC5F0D" w:rsidRPr="004D4BF1" w:rsidRDefault="003A6EB9" w:rsidP="001540CB">
      <w:r w:rsidRPr="004D4BF1">
        <w:lastRenderedPageBreak/>
        <w:t xml:space="preserve">ISBN </w:t>
      </w:r>
      <w:r w:rsidR="007C21AC" w:rsidRPr="00B74D9A">
        <w:t>978-1-925365-95-5</w:t>
      </w:r>
      <w:r w:rsidR="007C21AC" w:rsidRPr="007C21AC" w:rsidDel="007C21AC">
        <w:t xml:space="preserve"> </w:t>
      </w:r>
      <w:r w:rsidR="00520BA4" w:rsidRPr="004D4BF1">
        <w:rPr>
          <w:i/>
          <w:iCs/>
        </w:rPr>
        <w:t>10 years of BETA: Meta</w:t>
      </w:r>
      <w:r w:rsidR="00BF3C93" w:rsidRPr="004D4BF1">
        <w:rPr>
          <w:i/>
          <w:iCs/>
        </w:rPr>
        <w:t>-</w:t>
      </w:r>
      <w:r w:rsidR="00520BA4" w:rsidRPr="004D4BF1">
        <w:rPr>
          <w:i/>
          <w:iCs/>
        </w:rPr>
        <w:t>analysis of our behavioural trials</w:t>
      </w:r>
      <w:r w:rsidR="00EB0609" w:rsidRPr="004D4BF1">
        <w:t xml:space="preserve"> </w:t>
      </w:r>
    </w:p>
    <w:p w14:paraId="59366AD1" w14:textId="77777777" w:rsidR="00EB0609" w:rsidRPr="004D4BF1" w:rsidRDefault="00EB0609" w:rsidP="00B26203">
      <w:pPr>
        <w:pStyle w:val="Heading3"/>
        <w:rPr>
          <w:b w:val="0"/>
          <w:color w:val="AB338A" w:themeColor="accent2"/>
          <w:sz w:val="22"/>
        </w:rPr>
      </w:pPr>
      <w:r w:rsidRPr="004D4BF1">
        <w:t>Copyright Notice</w:t>
      </w:r>
    </w:p>
    <w:p w14:paraId="17ACA9CC" w14:textId="77777777" w:rsidR="000F762E" w:rsidRPr="004D4BF1" w:rsidRDefault="00EB0609" w:rsidP="00EB0609">
      <w:proofErr w:type="gramStart"/>
      <w:r w:rsidRPr="004D4BF1">
        <w:t>With the exception of</w:t>
      </w:r>
      <w:proofErr w:type="gramEnd"/>
      <w:r w:rsidRPr="004D4BF1">
        <w:t xml:space="preserve"> the Commonwealth Coat of Arms, this work is licensed under a Creative Commons Attribution 4.0 International license (CC BY 4.0) </w:t>
      </w:r>
      <w:r w:rsidR="003A6EB9" w:rsidRPr="004D4BF1">
        <w:t>(</w:t>
      </w:r>
      <w:hyperlink r:id="rId71" w:history="1">
        <w:r w:rsidR="000F762E" w:rsidRPr="004D4BF1">
          <w:rPr>
            <w:rStyle w:val="Hyperlink"/>
          </w:rPr>
          <w:t>https://creativecommons.org/licenses/by/4.0/</w:t>
        </w:r>
      </w:hyperlink>
      <w:r w:rsidR="000F762E" w:rsidRPr="004D4BF1">
        <w:t>)</w:t>
      </w:r>
    </w:p>
    <w:p w14:paraId="55FAB0BA" w14:textId="77777777" w:rsidR="00EB0609" w:rsidRPr="004D4BF1" w:rsidRDefault="00EB0609" w:rsidP="00EB0609">
      <w:pPr>
        <w:spacing w:before="240"/>
      </w:pPr>
      <w:r w:rsidRPr="004D4BF1">
        <w:rPr>
          <w:noProof/>
        </w:rPr>
        <w:drawing>
          <wp:inline distT="0" distB="0" distL="0" distR="0" wp14:anchorId="2428D1F6" wp14:editId="262A6DDF">
            <wp:extent cx="771146" cy="307849"/>
            <wp:effectExtent l="0" t="0" r="0" b="0"/>
            <wp:docPr id="2" name="Picture 2" descr="Creative Commons by Attribution 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claimer.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771146" cy="307849"/>
                    </a:xfrm>
                    <a:prstGeom prst="rect">
                      <a:avLst/>
                    </a:prstGeom>
                  </pic:spPr>
                </pic:pic>
              </a:graphicData>
            </a:graphic>
          </wp:inline>
        </w:drawing>
      </w:r>
    </w:p>
    <w:p w14:paraId="0D5AC390" w14:textId="77777777" w:rsidR="00EB0609" w:rsidRPr="004D4BF1" w:rsidRDefault="00EB0609" w:rsidP="003115D9">
      <w:pPr>
        <w:pStyle w:val="Heading3"/>
        <w:rPr>
          <w:b w:val="0"/>
          <w:color w:val="AB338A" w:themeColor="accent2"/>
          <w:sz w:val="22"/>
        </w:rPr>
      </w:pPr>
      <w:r w:rsidRPr="004D4BF1">
        <w:t>Third party copyright</w:t>
      </w:r>
    </w:p>
    <w:p w14:paraId="6E0D25AE" w14:textId="77777777" w:rsidR="00EB0609" w:rsidRPr="004D4BF1" w:rsidRDefault="00EB0609" w:rsidP="001540CB">
      <w:r w:rsidRPr="004D4BF1">
        <w:t>Wherever a third party holds copyright in this material, the copyright remains with that party. Their permission may be required to use the material. Please contact them directly.</w:t>
      </w:r>
    </w:p>
    <w:p w14:paraId="096B7129" w14:textId="77777777" w:rsidR="00EB0609" w:rsidRPr="004D4BF1" w:rsidRDefault="00EB0609" w:rsidP="003115D9">
      <w:pPr>
        <w:pStyle w:val="Heading3"/>
        <w:rPr>
          <w:b w:val="0"/>
          <w:color w:val="AB338A" w:themeColor="accent2"/>
          <w:sz w:val="22"/>
        </w:rPr>
      </w:pPr>
      <w:r w:rsidRPr="004D4BF1">
        <w:t>Attribution</w:t>
      </w:r>
    </w:p>
    <w:p w14:paraId="79E0E990" w14:textId="77777777" w:rsidR="003A6EB9" w:rsidRPr="004D4BF1" w:rsidRDefault="00EB0609" w:rsidP="00EB0609">
      <w:r w:rsidRPr="004D4BF1">
        <w:t xml:space="preserve">This publication should be attributed as follows: </w:t>
      </w:r>
    </w:p>
    <w:p w14:paraId="446D37F1" w14:textId="658A767E" w:rsidR="00EB0609" w:rsidRPr="004D4BF1" w:rsidRDefault="003A6EB9" w:rsidP="00EB0609">
      <w:r w:rsidRPr="004D4BF1">
        <w:t xml:space="preserve">© </w:t>
      </w:r>
      <w:r w:rsidR="00EB0609" w:rsidRPr="004D4BF1">
        <w:t xml:space="preserve">Commonwealth of Australia, Department of the Prime Minister and Cabinet, </w:t>
      </w:r>
      <w:r w:rsidR="00520BA4" w:rsidRPr="004D4BF1">
        <w:rPr>
          <w:iCs/>
        </w:rPr>
        <w:t>1</w:t>
      </w:r>
      <w:r w:rsidR="00520BA4" w:rsidRPr="004D4BF1">
        <w:rPr>
          <w:i/>
        </w:rPr>
        <w:t>0 years of BETA: Meta</w:t>
      </w:r>
      <w:r w:rsidR="00BF3C93" w:rsidRPr="004D4BF1">
        <w:rPr>
          <w:i/>
        </w:rPr>
        <w:t>-</w:t>
      </w:r>
      <w:r w:rsidR="00520BA4" w:rsidRPr="004D4BF1">
        <w:rPr>
          <w:i/>
        </w:rPr>
        <w:t>analysis of our behavioural trials</w:t>
      </w:r>
      <w:r w:rsidR="00520BA4" w:rsidRPr="004D4BF1">
        <w:rPr>
          <w:iCs/>
        </w:rPr>
        <w:t>, 2026</w:t>
      </w:r>
      <w:r w:rsidR="00EB0609" w:rsidRPr="004D4BF1">
        <w:t xml:space="preserve">. </w:t>
      </w:r>
    </w:p>
    <w:p w14:paraId="2D07F17E" w14:textId="77777777" w:rsidR="00EB0609" w:rsidRPr="004D4BF1" w:rsidRDefault="00EB0609" w:rsidP="003115D9">
      <w:pPr>
        <w:pStyle w:val="Heading3"/>
        <w:rPr>
          <w:b w:val="0"/>
          <w:color w:val="AB338A" w:themeColor="accent2"/>
          <w:sz w:val="22"/>
        </w:rPr>
      </w:pPr>
      <w:r w:rsidRPr="004D4BF1">
        <w:t>Use of the Coat of Arms</w:t>
      </w:r>
    </w:p>
    <w:p w14:paraId="24C8398E" w14:textId="77777777" w:rsidR="00EB0609" w:rsidRPr="00514D8C" w:rsidRDefault="00EB0609" w:rsidP="00EB0609">
      <w:pPr>
        <w:rPr>
          <w:rFonts w:cstheme="minorHAnsi"/>
          <w:szCs w:val="20"/>
        </w:rPr>
      </w:pPr>
      <w:r w:rsidRPr="004D4BF1">
        <w:rPr>
          <w:rFonts w:cstheme="minorHAnsi"/>
          <w:szCs w:val="20"/>
        </w:rPr>
        <w:t xml:space="preserve">The terms under which the Coat of Arms can be used are detailed on the following website: </w:t>
      </w:r>
      <w:hyperlink r:id="rId73" w:history="1">
        <w:r w:rsidR="003A6EB9" w:rsidRPr="004D4BF1">
          <w:rPr>
            <w:rStyle w:val="Hyperlink"/>
            <w:rFonts w:cstheme="minorHAnsi"/>
            <w:szCs w:val="20"/>
            <w:lang w:val="en-US"/>
          </w:rPr>
          <w:t>https://pmc.gov.au/cca</w:t>
        </w:r>
      </w:hyperlink>
    </w:p>
    <w:p w14:paraId="3054BAB4" w14:textId="585AA286" w:rsidR="000A48B2" w:rsidRDefault="000A48B2" w:rsidP="00F04EF6"/>
    <w:p w14:paraId="3D8B551F" w14:textId="77777777" w:rsidR="009C7EE6" w:rsidRDefault="009C7EE6" w:rsidP="00C6442A">
      <w:pPr>
        <w:sectPr w:rsidR="009C7EE6" w:rsidSect="001B1EA0">
          <w:headerReference w:type="default" r:id="rId74"/>
          <w:footerReference w:type="default" r:id="rId75"/>
          <w:type w:val="continuous"/>
          <w:pgSz w:w="11906" w:h="16838" w:code="9"/>
          <w:pgMar w:top="2041" w:right="2381" w:bottom="1247" w:left="1247" w:header="720" w:footer="851" w:gutter="0"/>
          <w:cols w:space="708"/>
          <w:docGrid w:linePitch="360"/>
        </w:sectPr>
      </w:pPr>
    </w:p>
    <w:p w14:paraId="254D55EA" w14:textId="65265CD8" w:rsidR="00D10FA1" w:rsidRDefault="00BD395F" w:rsidP="00E320C4">
      <w:pPr>
        <w:ind w:left="-378"/>
      </w:pPr>
      <w:r>
        <w:lastRenderedPageBreak/>
        <w:br w:type="textWrapping" w:clear="all"/>
      </w:r>
    </w:p>
    <w:p w14:paraId="22E5A8B5" w14:textId="7556309E" w:rsidR="001A0BF0" w:rsidRPr="00DF234F" w:rsidRDefault="001A0BF0" w:rsidP="00010A9D">
      <w:pPr>
        <w:pStyle w:val="BackPageH1"/>
        <w:spacing w:before="5600"/>
      </w:pPr>
      <w:r w:rsidRPr="004A1C36">
        <w:rPr>
          <w:color w:val="FFFFFF" w:themeColor="background1"/>
        </w:rPr>
        <w:t>Behavioural</w:t>
      </w:r>
      <w:r>
        <w:t xml:space="preserve"> </w:t>
      </w:r>
      <w:r w:rsidRPr="004A1C36">
        <w:rPr>
          <w:color w:val="FFFFFF" w:themeColor="background1"/>
        </w:rPr>
        <w:t>Economics Team</w:t>
      </w:r>
      <w:r>
        <w:t xml:space="preserve"> </w:t>
      </w:r>
      <w:r>
        <w:br/>
      </w:r>
      <w:r w:rsidRPr="004A1C36">
        <w:rPr>
          <w:color w:val="FFFFFF" w:themeColor="background1"/>
        </w:rPr>
        <w:t>of the</w:t>
      </w:r>
      <w:r>
        <w:t xml:space="preserve"> </w:t>
      </w:r>
      <w:r w:rsidRPr="00BD395F">
        <w:rPr>
          <w:color w:val="FFFFFF" w:themeColor="background1"/>
        </w:rPr>
        <w:t>Australian</w:t>
      </w:r>
      <w:r>
        <w:t xml:space="preserve"> </w:t>
      </w:r>
      <w:r w:rsidRPr="004A1C36">
        <w:rPr>
          <w:color w:val="FFFFFF" w:themeColor="background1"/>
        </w:rPr>
        <w:t>Government</w:t>
      </w:r>
    </w:p>
    <w:p w14:paraId="5F85F228" w14:textId="77777777" w:rsidR="001A0BF0" w:rsidRPr="004A4D74" w:rsidRDefault="001A0BF0" w:rsidP="004A4D74">
      <w:pPr>
        <w:pStyle w:val="BackPageH2"/>
      </w:pPr>
      <w:r w:rsidRPr="00EC7E5F">
        <w:rPr>
          <w:color w:val="FFFFFF" w:themeColor="background1"/>
        </w:rPr>
        <w:t>Gene</w:t>
      </w:r>
      <w:r w:rsidRPr="00BD395F">
        <w:rPr>
          <w:color w:val="FFFFFF" w:themeColor="background1"/>
        </w:rPr>
        <w:t>ral enq</w:t>
      </w:r>
      <w:r w:rsidRPr="00EC7E5F">
        <w:rPr>
          <w:color w:val="FFFFFF" w:themeColor="background1"/>
        </w:rPr>
        <w:t>uiries</w:t>
      </w:r>
      <w:r w:rsidRPr="004A4D74">
        <w:t xml:space="preserve"> </w:t>
      </w:r>
      <w:hyperlink r:id="rId76" w:history="1">
        <w:r w:rsidRPr="004A4D74">
          <w:rPr>
            <w:rStyle w:val="Hyperlink"/>
          </w:rPr>
          <w:t>beta@pmc.gov.au</w:t>
        </w:r>
      </w:hyperlink>
    </w:p>
    <w:p w14:paraId="30A7D088" w14:textId="77777777" w:rsidR="001A0BF0" w:rsidRPr="004A4D74" w:rsidRDefault="001A0BF0" w:rsidP="004A4D74">
      <w:pPr>
        <w:pStyle w:val="BackPageH2"/>
      </w:pPr>
      <w:r w:rsidRPr="00EC7E5F">
        <w:rPr>
          <w:color w:val="FFFFFF" w:themeColor="background1"/>
        </w:rPr>
        <w:t>Media</w:t>
      </w:r>
      <w:r w:rsidRPr="004A4D74">
        <w:t xml:space="preserve"> </w:t>
      </w:r>
      <w:r w:rsidRPr="00EC7E5F">
        <w:rPr>
          <w:color w:val="FFFFFF" w:themeColor="background1"/>
        </w:rPr>
        <w:t>enquiries</w:t>
      </w:r>
      <w:r w:rsidRPr="004A4D74">
        <w:t xml:space="preserve"> </w:t>
      </w:r>
      <w:hyperlink r:id="rId77" w:history="1">
        <w:r w:rsidRPr="004A4D74">
          <w:rPr>
            <w:rStyle w:val="Hyperlink"/>
          </w:rPr>
          <w:t>media@pmc.gov.au</w:t>
        </w:r>
      </w:hyperlink>
    </w:p>
    <w:p w14:paraId="30F7CFBE" w14:textId="5FC51D3E" w:rsidR="00037F3D" w:rsidRPr="00037F3D" w:rsidRDefault="001A0BF0" w:rsidP="007D16C2">
      <w:pPr>
        <w:pStyle w:val="BackPageH2"/>
        <w:rPr>
          <w:sz w:val="2"/>
          <w:szCs w:val="2"/>
        </w:rPr>
      </w:pPr>
      <w:r w:rsidRPr="00EC7E5F">
        <w:rPr>
          <w:color w:val="FFFFFF" w:themeColor="background1"/>
        </w:rPr>
        <w:t>Find out more</w:t>
      </w:r>
      <w:r w:rsidRPr="004A4D74">
        <w:t xml:space="preserve"> </w:t>
      </w:r>
      <w:hyperlink r:id="rId78" w:history="1">
        <w:r w:rsidR="008B321E" w:rsidRPr="00E61241">
          <w:rPr>
            <w:rStyle w:val="Hyperlink"/>
          </w:rPr>
          <w:t>www.pmc.gov.au/BETA</w:t>
        </w:r>
      </w:hyperlink>
    </w:p>
    <w:sectPr w:rsidR="00037F3D" w:rsidRPr="00037F3D" w:rsidSect="00F202CA">
      <w:headerReference w:type="default" r:id="rId79"/>
      <w:footerReference w:type="default" r:id="rId80"/>
      <w:pgSz w:w="11906" w:h="16838" w:code="9"/>
      <w:pgMar w:top="720" w:right="2381" w:bottom="1247" w:left="1247"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D5103" w14:textId="77777777" w:rsidR="000A14C6" w:rsidRDefault="000A14C6">
      <w:r>
        <w:separator/>
      </w:r>
    </w:p>
  </w:endnote>
  <w:endnote w:type="continuationSeparator" w:id="0">
    <w:p w14:paraId="371485C1" w14:textId="77777777" w:rsidR="000A14C6" w:rsidRDefault="000A14C6">
      <w:r>
        <w:continuationSeparator/>
      </w:r>
    </w:p>
  </w:endnote>
  <w:endnote w:type="continuationNotice" w:id="1">
    <w:p w14:paraId="4D597B45" w14:textId="77777777" w:rsidR="000A14C6" w:rsidRDefault="000A14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2AEE" w14:textId="77777777" w:rsidR="001D51B6" w:rsidRDefault="001D51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747F1" w14:textId="2F307BA1" w:rsidR="00C35D4F" w:rsidRPr="008253C4" w:rsidRDefault="00C35D4F" w:rsidP="0054398B">
    <w:pPr>
      <w:pStyle w:val="Footer"/>
      <w:pBdr>
        <w:bottom w:val="none" w:sz="0" w:space="0" w:color="auto"/>
      </w:pBdr>
      <w:rPr>
        <w:color w:val="FFFFFF" w:themeColor="background1"/>
      </w:rPr>
    </w:pPr>
    <w:r w:rsidRPr="008253C4">
      <w:rPr>
        <w:color w:val="FFFFFF" w:themeColor="background1"/>
      </w:rPr>
      <w:t xml:space="preserve">Behavioural Economics Team of the Australian Government </w:t>
    </w:r>
    <w:r w:rsidRPr="008253C4">
      <w:rPr>
        <w:color w:val="FFFFFF" w:themeColor="background1"/>
      </w:rPr>
      <w:tab/>
    </w:r>
    <w:r w:rsidRPr="008253C4">
      <w:rPr>
        <w:color w:val="FFFFFF" w:themeColor="background1"/>
      </w:rPr>
      <w:fldChar w:fldCharType="begin"/>
    </w:r>
    <w:r w:rsidRPr="008253C4">
      <w:rPr>
        <w:color w:val="FFFFFF" w:themeColor="background1"/>
      </w:rPr>
      <w:instrText xml:space="preserve"> PAGE   \* MERGEFORMAT </w:instrText>
    </w:r>
    <w:r w:rsidRPr="008253C4">
      <w:rPr>
        <w:color w:val="FFFFFF" w:themeColor="background1"/>
      </w:rPr>
      <w:fldChar w:fldCharType="separate"/>
    </w:r>
    <w:r w:rsidR="009146AC">
      <w:rPr>
        <w:noProof/>
        <w:color w:val="FFFFFF" w:themeColor="background1"/>
      </w:rPr>
      <w:t>2</w:t>
    </w:r>
    <w:r w:rsidRPr="008253C4">
      <w:rPr>
        <w:noProof/>
        <w:color w:val="FFFFFF" w:themeColor="background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CA32" w14:textId="77777777" w:rsidR="001D51B6" w:rsidRDefault="001D51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6A06" w14:textId="77777777" w:rsidR="00C35D4F" w:rsidRDefault="00C35D4F" w:rsidP="003647C1">
    <w:pPr>
      <w:pStyle w:val="Footer"/>
      <w:pBdr>
        <w:top w:val="single" w:sz="24" w:space="1" w:color="20B8A3" w:themeColor="background2"/>
        <w:bottom w:val="none" w:sz="0" w:space="0" w:color="auto"/>
      </w:pBdr>
    </w:pPr>
  </w:p>
  <w:p w14:paraId="2C174312" w14:textId="5D3B5450" w:rsidR="00C35D4F" w:rsidRDefault="00C35D4F" w:rsidP="003647C1">
    <w:pPr>
      <w:pStyle w:val="Footer"/>
      <w:pBdr>
        <w:top w:val="single" w:sz="24" w:space="1" w:color="20B8A3" w:themeColor="background2"/>
        <w:bottom w:val="none" w:sz="0" w:space="0" w:color="auto"/>
      </w:pBdr>
    </w:pPr>
    <w:r w:rsidRPr="00D91DE4">
      <w:t xml:space="preserve">Behavioural Economics Team of the Australian Government </w:t>
    </w:r>
    <w:r>
      <w:tab/>
    </w:r>
    <w:r w:rsidRPr="00D91DE4">
      <w:fldChar w:fldCharType="begin"/>
    </w:r>
    <w:r w:rsidRPr="00D91DE4">
      <w:instrText xml:space="preserve"> PAGE   \* MERGEFORMAT </w:instrText>
    </w:r>
    <w:r w:rsidRPr="00D91DE4">
      <w:fldChar w:fldCharType="separate"/>
    </w:r>
    <w:r w:rsidR="009146AC">
      <w:rPr>
        <w:noProof/>
      </w:rPr>
      <w:t>12</w:t>
    </w:r>
    <w:r w:rsidRPr="00D91DE4">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FEF4" w14:textId="77777777" w:rsidR="00C35D4F" w:rsidRPr="00F202CA" w:rsidRDefault="00C35D4F" w:rsidP="00F202CA">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4C326" w14:textId="77777777" w:rsidR="000A14C6" w:rsidRDefault="000A14C6">
      <w:r>
        <w:separator/>
      </w:r>
    </w:p>
  </w:footnote>
  <w:footnote w:type="continuationSeparator" w:id="0">
    <w:p w14:paraId="66F913F7" w14:textId="77777777" w:rsidR="000A14C6" w:rsidRDefault="000A14C6">
      <w:r>
        <w:continuationSeparator/>
      </w:r>
    </w:p>
  </w:footnote>
  <w:footnote w:type="continuationNotice" w:id="1">
    <w:p w14:paraId="51E34A51" w14:textId="77777777" w:rsidR="000A14C6" w:rsidRDefault="000A14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D5B7" w14:textId="77777777" w:rsidR="001D51B6" w:rsidRDefault="001D5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AE24" w14:textId="7D212FB7" w:rsidR="00C35D4F" w:rsidRPr="004909C3" w:rsidRDefault="0054398B" w:rsidP="008253C4">
    <w:pPr>
      <w:pStyle w:val="Header"/>
      <w:rPr>
        <w:color w:val="FFFFFF" w:themeColor="background1"/>
      </w:rPr>
    </w:pPr>
    <w:r>
      <w:rPr>
        <w:noProof/>
      </w:rPr>
      <w:drawing>
        <wp:anchor distT="0" distB="0" distL="114300" distR="114300" simplePos="0" relativeHeight="251658241" behindDoc="1" locked="0" layoutInCell="1" allowOverlap="1" wp14:anchorId="7D3076D6" wp14:editId="168B7916">
          <wp:simplePos x="0" y="0"/>
          <wp:positionH relativeFrom="page">
            <wp:posOffset>7951</wp:posOffset>
          </wp:positionH>
          <wp:positionV relativeFrom="page">
            <wp:posOffset>6725</wp:posOffset>
          </wp:positionV>
          <wp:extent cx="7559999" cy="10679092"/>
          <wp:effectExtent l="0" t="0" r="3175" b="8255"/>
          <wp:wrapNone/>
          <wp:docPr id="1391084115" name="Picture 139108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84115" name="Picture 1391084115"/>
                  <pic:cNvPicPr/>
                </pic:nvPicPr>
                <pic:blipFill>
                  <a:blip r:embed="rId1">
                    <a:extLst>
                      <a:ext uri="{28A0092B-C50C-407E-A947-70E740481C1C}">
                        <a14:useLocalDpi xmlns:a14="http://schemas.microsoft.com/office/drawing/2010/main" val="0"/>
                      </a:ext>
                    </a:extLst>
                  </a:blip>
                  <a:stretch>
                    <a:fillRect/>
                  </a:stretch>
                </pic:blipFill>
                <pic:spPr>
                  <a:xfrm>
                    <a:off x="0" y="0"/>
                    <a:ext cx="7559999" cy="10679092"/>
                  </a:xfrm>
                  <a:prstGeom prst="rect">
                    <a:avLst/>
                  </a:prstGeom>
                </pic:spPr>
              </pic:pic>
            </a:graphicData>
          </a:graphic>
          <wp14:sizeRelH relativeFrom="margin">
            <wp14:pctWidth>0</wp14:pctWidth>
          </wp14:sizeRelH>
          <wp14:sizeRelV relativeFrom="margin">
            <wp14:pctHeight>0</wp14:pctHeight>
          </wp14:sizeRelV>
        </wp:anchor>
      </w:drawing>
    </w:r>
    <w:r w:rsidR="00C35D4F">
      <w:rPr>
        <w:color w:val="FFFFFF" w:themeColor="background1"/>
      </w:rPr>
      <w:t>Document title goes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83719" w14:textId="77777777" w:rsidR="001D51B6" w:rsidRDefault="001D51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F38A" w14:textId="5A8D332B" w:rsidR="00BF3C93" w:rsidRDefault="00BF3C93">
    <w:pPr>
      <w:pStyle w:val="Header"/>
    </w:pPr>
    <w:r>
      <w:t>Meta-analysis of our behavioural trials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DE46" w14:textId="481E5E6C" w:rsidR="00C35D4F" w:rsidRPr="00B1241D" w:rsidRDefault="00121516" w:rsidP="00B1241D">
    <w:pPr>
      <w:pStyle w:val="Header"/>
    </w:pPr>
    <w:r>
      <w:rPr>
        <w:noProof/>
      </w:rPr>
      <w:drawing>
        <wp:anchor distT="0" distB="0" distL="114300" distR="114300" simplePos="0" relativeHeight="251658240" behindDoc="1" locked="0" layoutInCell="1" allowOverlap="1" wp14:anchorId="4836582F" wp14:editId="4225E8C3">
          <wp:simplePos x="0" y="0"/>
          <wp:positionH relativeFrom="page">
            <wp:align>right</wp:align>
          </wp:positionH>
          <wp:positionV relativeFrom="paragraph">
            <wp:posOffset>-373380</wp:posOffset>
          </wp:positionV>
          <wp:extent cx="7568700" cy="10692000"/>
          <wp:effectExtent l="0" t="0" r="0" b="0"/>
          <wp:wrapNone/>
          <wp:docPr id="1941895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895849" name="Picture 1941895849"/>
                  <pic:cNvPicPr/>
                </pic:nvPicPr>
                <pic:blipFill>
                  <a:blip r:embed="rId1">
                    <a:extLst>
                      <a:ext uri="{28A0092B-C50C-407E-A947-70E740481C1C}">
                        <a14:useLocalDpi xmlns:a14="http://schemas.microsoft.com/office/drawing/2010/main" val="0"/>
                      </a:ext>
                    </a:extLst>
                  </a:blip>
                  <a:stretch>
                    <a:fillRect/>
                  </a:stretch>
                </pic:blipFill>
                <pic:spPr>
                  <a:xfrm>
                    <a:off x="0" y="0"/>
                    <a:ext cx="75687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30BC"/>
    <w:multiLevelType w:val="hybridMultilevel"/>
    <w:tmpl w:val="1DF823E0"/>
    <w:lvl w:ilvl="0" w:tplc="F2E26BCE">
      <w:start w:val="1"/>
      <w:numFmt w:val="bullet"/>
      <w:pStyle w:val="List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 w15:restartNumberingAfterBreak="0">
    <w:nsid w:val="246A3667"/>
    <w:multiLevelType w:val="hybridMultilevel"/>
    <w:tmpl w:val="6080920A"/>
    <w:lvl w:ilvl="0" w:tplc="580C23F2">
      <w:start w:val="1"/>
      <w:numFmt w:val="decimal"/>
      <w:pStyle w:val="HeadingTable"/>
      <w:lvlText w:val="Table %1."/>
      <w:lvlJc w:val="left"/>
      <w:pPr>
        <w:ind w:left="360" w:hanging="360"/>
      </w:pPr>
      <w:rPr>
        <w:rFonts w:hint="default"/>
        <w:b/>
        <w:i w:val="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9305AC8"/>
    <w:multiLevelType w:val="hybridMultilevel"/>
    <w:tmpl w:val="D076C3B4"/>
    <w:lvl w:ilvl="0" w:tplc="7DCED05C">
      <w:start w:val="1"/>
      <w:numFmt w:val="bullet"/>
      <w:pStyle w:val="EmphasisPane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C92069F"/>
    <w:multiLevelType w:val="multilevel"/>
    <w:tmpl w:val="28FC9A1E"/>
    <w:lvl w:ilvl="0">
      <w:start w:val="1"/>
      <w:numFmt w:val="bullet"/>
      <w:lvlText w:val="•"/>
      <w:lvlJc w:val="left"/>
      <w:pPr>
        <w:ind w:left="360" w:hanging="360"/>
      </w:pPr>
      <w:rPr>
        <w:rFonts w:ascii="Helvetica" w:hAnsi="Helvetica" w:hint="default"/>
      </w:rPr>
    </w:lvl>
    <w:lvl w:ilvl="1">
      <w:start w:val="1"/>
      <w:numFmt w:val="bullet"/>
      <w:pStyle w:val="ListBullet2"/>
      <w:lvlText w:val="–"/>
      <w:lvlJc w:val="left"/>
      <w:pPr>
        <w:ind w:left="720" w:hanging="360"/>
      </w:pPr>
      <w:rPr>
        <w:rFonts w:ascii="Helvetica" w:hAnsi="Helvetica" w:hint="default"/>
      </w:rPr>
    </w:lvl>
    <w:lvl w:ilvl="2">
      <w:start w:val="1"/>
      <w:numFmt w:val="bullet"/>
      <w:pStyle w:val="ListBullet3"/>
      <w:lvlText w:val="•"/>
      <w:lvlJc w:val="left"/>
      <w:pPr>
        <w:ind w:left="1080" w:hanging="360"/>
      </w:pPr>
      <w:rPr>
        <w:rFonts w:ascii="Helvetica" w:hAnsi="Helvetica" w:hint="default"/>
      </w:rPr>
    </w:lvl>
    <w:lvl w:ilvl="3">
      <w:start w:val="1"/>
      <w:numFmt w:val="bullet"/>
      <w:lvlText w:val="–"/>
      <w:lvlJc w:val="left"/>
      <w:pPr>
        <w:ind w:left="1440" w:hanging="360"/>
      </w:pPr>
      <w:rPr>
        <w:rFonts w:ascii="Helvetica" w:hAnsi="Helvetica" w:hint="default"/>
      </w:rPr>
    </w:lvl>
    <w:lvl w:ilvl="4">
      <w:start w:val="1"/>
      <w:numFmt w:val="bullet"/>
      <w:lvlText w:val="•"/>
      <w:lvlJc w:val="left"/>
      <w:pPr>
        <w:ind w:left="1800" w:hanging="360"/>
      </w:pPr>
      <w:rPr>
        <w:rFonts w:ascii="Helvetica" w:hAnsi="Helvetica" w:hint="default"/>
      </w:rPr>
    </w:lvl>
    <w:lvl w:ilvl="5">
      <w:start w:val="1"/>
      <w:numFmt w:val="bullet"/>
      <w:lvlText w:val="–"/>
      <w:lvlJc w:val="left"/>
      <w:pPr>
        <w:ind w:left="2160" w:hanging="360"/>
      </w:pPr>
      <w:rPr>
        <w:rFonts w:ascii="Helvetica" w:hAnsi="Helvetica" w:hint="default"/>
      </w:rPr>
    </w:lvl>
    <w:lvl w:ilvl="6">
      <w:start w:val="1"/>
      <w:numFmt w:val="bullet"/>
      <w:lvlText w:val="•"/>
      <w:lvlJc w:val="left"/>
      <w:pPr>
        <w:ind w:left="2520" w:hanging="360"/>
      </w:pPr>
      <w:rPr>
        <w:rFonts w:ascii="Helvetica" w:hAnsi="Helvetica" w:hint="default"/>
      </w:rPr>
    </w:lvl>
    <w:lvl w:ilvl="7">
      <w:start w:val="1"/>
      <w:numFmt w:val="bullet"/>
      <w:lvlText w:val="–"/>
      <w:lvlJc w:val="left"/>
      <w:pPr>
        <w:ind w:left="2880" w:hanging="360"/>
      </w:pPr>
      <w:rPr>
        <w:rFonts w:ascii="Helvetica" w:hAnsi="Helvetica"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6087F50"/>
    <w:multiLevelType w:val="multilevel"/>
    <w:tmpl w:val="3D2081FC"/>
    <w:lvl w:ilvl="0">
      <w:numFmt w:val="decimal"/>
      <w:pStyle w:val="AppendixHeading"/>
      <w:suff w:val="nothing"/>
      <w:lvlText w:val="Appendix %1 - "/>
      <w:lvlJc w:val="left"/>
      <w:pPr>
        <w:ind w:left="1134" w:hanging="1134"/>
      </w:pPr>
      <w:rPr>
        <w:rFonts w:ascii="Helvetica" w:hAnsi="Helvetica" w:hint="default"/>
        <w:b/>
        <w:i w:val="0"/>
        <w:color w:val="14837A" w:themeColor="accent1"/>
        <w:sz w:val="24"/>
      </w:rPr>
    </w:lvl>
    <w:lvl w:ilvl="1">
      <w:start w:val="1"/>
      <w:numFmt w:val="decimalZero"/>
      <w:isLgl/>
      <w:lvlText w:val="Section %1.%2"/>
      <w:lvlJc w:val="left"/>
      <w:pPr>
        <w:ind w:left="720" w:firstLine="0"/>
      </w:pPr>
      <w:rPr>
        <w:rFonts w:hint="default"/>
      </w:rPr>
    </w:lvl>
    <w:lvl w:ilvl="2">
      <w:start w:val="1"/>
      <w:numFmt w:val="lowerLetter"/>
      <w:lvlText w:val="(%3)"/>
      <w:lvlJc w:val="left"/>
      <w:pPr>
        <w:ind w:left="1440" w:hanging="432"/>
      </w:pPr>
      <w:rPr>
        <w:rFonts w:hint="default"/>
      </w:rPr>
    </w:lvl>
    <w:lvl w:ilvl="3">
      <w:start w:val="1"/>
      <w:numFmt w:val="lowerRoman"/>
      <w:lvlText w:val="(%4)"/>
      <w:lvlJc w:val="right"/>
      <w:pPr>
        <w:ind w:left="1584" w:hanging="144"/>
      </w:pPr>
      <w:rPr>
        <w:rFonts w:hint="default"/>
      </w:rPr>
    </w:lvl>
    <w:lvl w:ilvl="4">
      <w:start w:val="1"/>
      <w:numFmt w:val="decimal"/>
      <w:lvlText w:val="%5)"/>
      <w:lvlJc w:val="left"/>
      <w:pPr>
        <w:ind w:left="1728" w:hanging="432"/>
      </w:pPr>
      <w:rPr>
        <w:rFonts w:hint="default"/>
      </w:rPr>
    </w:lvl>
    <w:lvl w:ilvl="5">
      <w:start w:val="1"/>
      <w:numFmt w:val="lowerLetter"/>
      <w:pStyle w:val="Heading6"/>
      <w:lvlText w:val="%6)"/>
      <w:lvlJc w:val="left"/>
      <w:pPr>
        <w:ind w:left="1872" w:hanging="432"/>
      </w:pPr>
      <w:rPr>
        <w:rFonts w:hint="default"/>
      </w:rPr>
    </w:lvl>
    <w:lvl w:ilvl="6">
      <w:start w:val="1"/>
      <w:numFmt w:val="lowerRoman"/>
      <w:pStyle w:val="Heading7"/>
      <w:lvlText w:val="%7)"/>
      <w:lvlJc w:val="right"/>
      <w:pPr>
        <w:ind w:left="2016" w:hanging="288"/>
      </w:pPr>
      <w:rPr>
        <w:rFonts w:hint="default"/>
      </w:rPr>
    </w:lvl>
    <w:lvl w:ilvl="7">
      <w:start w:val="1"/>
      <w:numFmt w:val="lowerLetter"/>
      <w:pStyle w:val="Heading8"/>
      <w:lvlText w:val="%8."/>
      <w:lvlJc w:val="left"/>
      <w:pPr>
        <w:ind w:left="2160" w:hanging="432"/>
      </w:pPr>
      <w:rPr>
        <w:rFonts w:hint="default"/>
      </w:rPr>
    </w:lvl>
    <w:lvl w:ilvl="8">
      <w:start w:val="1"/>
      <w:numFmt w:val="lowerRoman"/>
      <w:pStyle w:val="Heading9"/>
      <w:lvlText w:val="%9."/>
      <w:lvlJc w:val="right"/>
      <w:pPr>
        <w:ind w:left="2304" w:hanging="144"/>
      </w:pPr>
      <w:rPr>
        <w:rFonts w:hint="default"/>
      </w:rPr>
    </w:lvl>
  </w:abstractNum>
  <w:abstractNum w:abstractNumId="5" w15:restartNumberingAfterBreak="0">
    <w:nsid w:val="436A7891"/>
    <w:multiLevelType w:val="multilevel"/>
    <w:tmpl w:val="29482E1C"/>
    <w:lvl w:ilvl="0">
      <w:start w:val="1"/>
      <w:numFmt w:val="decimal"/>
      <w:pStyle w:val="FigureHeading"/>
      <w:lvlText w:val="Figure %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A9C6C6B"/>
    <w:multiLevelType w:val="multilevel"/>
    <w:tmpl w:val="3258E068"/>
    <w:lvl w:ilvl="0">
      <w:start w:val="1"/>
      <w:numFmt w:val="decimal"/>
      <w:pStyle w:val="ListNumber"/>
      <w:lvlText w:val="%1"/>
      <w:lvlJc w:val="left"/>
      <w:pPr>
        <w:ind w:left="360" w:hanging="360"/>
      </w:pPr>
      <w:rPr>
        <w:rFonts w:hint="default"/>
      </w:rPr>
    </w:lvl>
    <w:lvl w:ilvl="1">
      <w:start w:val="1"/>
      <w:numFmt w:val="upp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bullet"/>
      <w:lvlText w:val="•"/>
      <w:lvlJc w:val="left"/>
      <w:pPr>
        <w:ind w:left="1800" w:hanging="360"/>
      </w:pPr>
      <w:rPr>
        <w:rFonts w:ascii="Helvetica" w:hAnsi="Helvetica" w:hint="default"/>
      </w:rPr>
    </w:lvl>
    <w:lvl w:ilvl="5">
      <w:start w:val="1"/>
      <w:numFmt w:val="bullet"/>
      <w:lvlText w:val="–"/>
      <w:lvlJc w:val="left"/>
      <w:pPr>
        <w:ind w:left="2160" w:hanging="360"/>
      </w:pPr>
      <w:rPr>
        <w:rFonts w:ascii="Helvetica" w:hAnsi="Helvetica" w:hint="default"/>
      </w:rPr>
    </w:lvl>
    <w:lvl w:ilvl="6">
      <w:start w:val="1"/>
      <w:numFmt w:val="bullet"/>
      <w:lvlText w:val="•"/>
      <w:lvlJc w:val="left"/>
      <w:pPr>
        <w:ind w:left="2520" w:hanging="360"/>
      </w:pPr>
      <w:rPr>
        <w:rFonts w:ascii="Helvetica" w:hAnsi="Helvetica" w:hint="default"/>
      </w:rPr>
    </w:lvl>
    <w:lvl w:ilvl="7">
      <w:start w:val="1"/>
      <w:numFmt w:val="bullet"/>
      <w:lvlText w:val="–"/>
      <w:lvlJc w:val="left"/>
      <w:pPr>
        <w:ind w:left="2880" w:hanging="360"/>
      </w:pPr>
      <w:rPr>
        <w:rFonts w:ascii="Helvetica" w:hAnsi="Helvetica" w:hint="default"/>
      </w:rPr>
    </w:lvl>
    <w:lvl w:ilvl="8">
      <w:start w:val="1"/>
      <w:numFmt w:val="bullet"/>
      <w:lvlText w:val="•"/>
      <w:lvlJc w:val="left"/>
      <w:pPr>
        <w:ind w:left="3240" w:hanging="360"/>
      </w:pPr>
      <w:rPr>
        <w:rFonts w:ascii="Helvetica" w:hAnsi="Helvetica" w:hint="default"/>
      </w:rPr>
    </w:lvl>
  </w:abstractNum>
  <w:abstractNum w:abstractNumId="7" w15:restartNumberingAfterBreak="0">
    <w:nsid w:val="79FB6EB1"/>
    <w:multiLevelType w:val="hybridMultilevel"/>
    <w:tmpl w:val="BBD44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8711289">
    <w:abstractNumId w:val="3"/>
  </w:num>
  <w:num w:numId="2" w16cid:durableId="1734934589">
    <w:abstractNumId w:val="6"/>
  </w:num>
  <w:num w:numId="3" w16cid:durableId="1194153190">
    <w:abstractNumId w:val="5"/>
  </w:num>
  <w:num w:numId="4" w16cid:durableId="1660112681">
    <w:abstractNumId w:val="4"/>
  </w:num>
  <w:num w:numId="5" w16cid:durableId="1444883325">
    <w:abstractNumId w:val="1"/>
  </w:num>
  <w:num w:numId="6" w16cid:durableId="815100025">
    <w:abstractNumId w:val="2"/>
  </w:num>
  <w:num w:numId="7" w16cid:durableId="1820804710">
    <w:abstractNumId w:val="0"/>
  </w:num>
  <w:num w:numId="8" w16cid:durableId="194114209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efaultTableStyle w:val="DefaultTab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BBA"/>
    <w:rsid w:val="0000020C"/>
    <w:rsid w:val="000004B7"/>
    <w:rsid w:val="00000533"/>
    <w:rsid w:val="0000082C"/>
    <w:rsid w:val="000008D8"/>
    <w:rsid w:val="00001278"/>
    <w:rsid w:val="00001683"/>
    <w:rsid w:val="00001684"/>
    <w:rsid w:val="00001C56"/>
    <w:rsid w:val="0000271F"/>
    <w:rsid w:val="00002AFC"/>
    <w:rsid w:val="00003283"/>
    <w:rsid w:val="0000387B"/>
    <w:rsid w:val="0000395B"/>
    <w:rsid w:val="00003A5C"/>
    <w:rsid w:val="00003D22"/>
    <w:rsid w:val="00004518"/>
    <w:rsid w:val="0000479C"/>
    <w:rsid w:val="000048AF"/>
    <w:rsid w:val="00004959"/>
    <w:rsid w:val="0000556C"/>
    <w:rsid w:val="00005785"/>
    <w:rsid w:val="00005AC0"/>
    <w:rsid w:val="00005BF2"/>
    <w:rsid w:val="00005F17"/>
    <w:rsid w:val="00006876"/>
    <w:rsid w:val="00007425"/>
    <w:rsid w:val="000078AA"/>
    <w:rsid w:val="000079AD"/>
    <w:rsid w:val="00007BD9"/>
    <w:rsid w:val="00007C07"/>
    <w:rsid w:val="00007D1F"/>
    <w:rsid w:val="00007DFB"/>
    <w:rsid w:val="0001087B"/>
    <w:rsid w:val="000108A7"/>
    <w:rsid w:val="00010964"/>
    <w:rsid w:val="00010A9D"/>
    <w:rsid w:val="00010B2F"/>
    <w:rsid w:val="00010D84"/>
    <w:rsid w:val="00010F15"/>
    <w:rsid w:val="0001130E"/>
    <w:rsid w:val="000116D2"/>
    <w:rsid w:val="00011ABE"/>
    <w:rsid w:val="00011CE3"/>
    <w:rsid w:val="00011FC0"/>
    <w:rsid w:val="00012271"/>
    <w:rsid w:val="00012896"/>
    <w:rsid w:val="00012AB6"/>
    <w:rsid w:val="00012E3B"/>
    <w:rsid w:val="000131D0"/>
    <w:rsid w:val="00013337"/>
    <w:rsid w:val="00013468"/>
    <w:rsid w:val="00013C3E"/>
    <w:rsid w:val="00013C98"/>
    <w:rsid w:val="00013E98"/>
    <w:rsid w:val="00014914"/>
    <w:rsid w:val="00014ABB"/>
    <w:rsid w:val="00014D43"/>
    <w:rsid w:val="00015451"/>
    <w:rsid w:val="00015D87"/>
    <w:rsid w:val="0001622C"/>
    <w:rsid w:val="00016230"/>
    <w:rsid w:val="00016253"/>
    <w:rsid w:val="000167B1"/>
    <w:rsid w:val="00016A1A"/>
    <w:rsid w:val="000175AC"/>
    <w:rsid w:val="000176B5"/>
    <w:rsid w:val="0001771B"/>
    <w:rsid w:val="00017FA1"/>
    <w:rsid w:val="000201B8"/>
    <w:rsid w:val="00020EA3"/>
    <w:rsid w:val="00020EB7"/>
    <w:rsid w:val="00021EB9"/>
    <w:rsid w:val="00021FAB"/>
    <w:rsid w:val="0002238A"/>
    <w:rsid w:val="000223D2"/>
    <w:rsid w:val="00022851"/>
    <w:rsid w:val="00022E9C"/>
    <w:rsid w:val="0002309B"/>
    <w:rsid w:val="000230B4"/>
    <w:rsid w:val="0002347F"/>
    <w:rsid w:val="000238A3"/>
    <w:rsid w:val="00023B66"/>
    <w:rsid w:val="000240BB"/>
    <w:rsid w:val="00024532"/>
    <w:rsid w:val="000248A3"/>
    <w:rsid w:val="000249CC"/>
    <w:rsid w:val="00024EF0"/>
    <w:rsid w:val="00025631"/>
    <w:rsid w:val="00026C55"/>
    <w:rsid w:val="00026E0E"/>
    <w:rsid w:val="00027224"/>
    <w:rsid w:val="000276B6"/>
    <w:rsid w:val="00027713"/>
    <w:rsid w:val="00027A8F"/>
    <w:rsid w:val="00027B26"/>
    <w:rsid w:val="00027E6C"/>
    <w:rsid w:val="0003017F"/>
    <w:rsid w:val="0003058D"/>
    <w:rsid w:val="000306C3"/>
    <w:rsid w:val="00030705"/>
    <w:rsid w:val="0003071A"/>
    <w:rsid w:val="000307CF"/>
    <w:rsid w:val="0003088A"/>
    <w:rsid w:val="00031594"/>
    <w:rsid w:val="000318A4"/>
    <w:rsid w:val="00031CC7"/>
    <w:rsid w:val="00031EEC"/>
    <w:rsid w:val="00032518"/>
    <w:rsid w:val="00032861"/>
    <w:rsid w:val="00032A5E"/>
    <w:rsid w:val="00032B42"/>
    <w:rsid w:val="00032B77"/>
    <w:rsid w:val="00032BAE"/>
    <w:rsid w:val="00033097"/>
    <w:rsid w:val="000330A8"/>
    <w:rsid w:val="00033480"/>
    <w:rsid w:val="00033862"/>
    <w:rsid w:val="00033B5D"/>
    <w:rsid w:val="00033BCE"/>
    <w:rsid w:val="00033E75"/>
    <w:rsid w:val="00034311"/>
    <w:rsid w:val="000349C0"/>
    <w:rsid w:val="00034BEA"/>
    <w:rsid w:val="000353F3"/>
    <w:rsid w:val="00035515"/>
    <w:rsid w:val="000359BB"/>
    <w:rsid w:val="00035FD1"/>
    <w:rsid w:val="00036092"/>
    <w:rsid w:val="0003661B"/>
    <w:rsid w:val="0003666F"/>
    <w:rsid w:val="00036780"/>
    <w:rsid w:val="000375FC"/>
    <w:rsid w:val="00037653"/>
    <w:rsid w:val="000377FF"/>
    <w:rsid w:val="000379CF"/>
    <w:rsid w:val="00037A6C"/>
    <w:rsid w:val="00037F3D"/>
    <w:rsid w:val="000401B5"/>
    <w:rsid w:val="0004036C"/>
    <w:rsid w:val="0004070E"/>
    <w:rsid w:val="00041B37"/>
    <w:rsid w:val="00041BC4"/>
    <w:rsid w:val="00042285"/>
    <w:rsid w:val="0004243F"/>
    <w:rsid w:val="0004262C"/>
    <w:rsid w:val="00042F4A"/>
    <w:rsid w:val="0004307F"/>
    <w:rsid w:val="0004312C"/>
    <w:rsid w:val="00043256"/>
    <w:rsid w:val="000437E5"/>
    <w:rsid w:val="000441CC"/>
    <w:rsid w:val="000450D7"/>
    <w:rsid w:val="00045430"/>
    <w:rsid w:val="00045752"/>
    <w:rsid w:val="000459B2"/>
    <w:rsid w:val="00045A50"/>
    <w:rsid w:val="00045A89"/>
    <w:rsid w:val="00045BD9"/>
    <w:rsid w:val="0004635E"/>
    <w:rsid w:val="00046401"/>
    <w:rsid w:val="00046A38"/>
    <w:rsid w:val="00046F8E"/>
    <w:rsid w:val="00047261"/>
    <w:rsid w:val="00047505"/>
    <w:rsid w:val="00047524"/>
    <w:rsid w:val="00047592"/>
    <w:rsid w:val="00047752"/>
    <w:rsid w:val="000479A0"/>
    <w:rsid w:val="00050037"/>
    <w:rsid w:val="00050140"/>
    <w:rsid w:val="000503F2"/>
    <w:rsid w:val="0005040E"/>
    <w:rsid w:val="0005051C"/>
    <w:rsid w:val="00050854"/>
    <w:rsid w:val="00050878"/>
    <w:rsid w:val="0005087D"/>
    <w:rsid w:val="00050C6C"/>
    <w:rsid w:val="00050F9E"/>
    <w:rsid w:val="000515CF"/>
    <w:rsid w:val="00051677"/>
    <w:rsid w:val="00051761"/>
    <w:rsid w:val="00051A9E"/>
    <w:rsid w:val="00051CA4"/>
    <w:rsid w:val="00051D25"/>
    <w:rsid w:val="00051E7C"/>
    <w:rsid w:val="00052445"/>
    <w:rsid w:val="00052515"/>
    <w:rsid w:val="00052680"/>
    <w:rsid w:val="0005278A"/>
    <w:rsid w:val="00052D61"/>
    <w:rsid w:val="00053705"/>
    <w:rsid w:val="00053A75"/>
    <w:rsid w:val="00053BCF"/>
    <w:rsid w:val="00053F4B"/>
    <w:rsid w:val="00054394"/>
    <w:rsid w:val="000547EF"/>
    <w:rsid w:val="00054937"/>
    <w:rsid w:val="00054DCA"/>
    <w:rsid w:val="000554D0"/>
    <w:rsid w:val="0005553F"/>
    <w:rsid w:val="0005557D"/>
    <w:rsid w:val="00056004"/>
    <w:rsid w:val="000560F5"/>
    <w:rsid w:val="000562BC"/>
    <w:rsid w:val="00056853"/>
    <w:rsid w:val="00056A2A"/>
    <w:rsid w:val="00056AC9"/>
    <w:rsid w:val="00056FB1"/>
    <w:rsid w:val="000570D1"/>
    <w:rsid w:val="00057830"/>
    <w:rsid w:val="00057837"/>
    <w:rsid w:val="00057BCF"/>
    <w:rsid w:val="00057BF3"/>
    <w:rsid w:val="00057CE2"/>
    <w:rsid w:val="00057CFE"/>
    <w:rsid w:val="00057DD9"/>
    <w:rsid w:val="0006044D"/>
    <w:rsid w:val="0006075A"/>
    <w:rsid w:val="00060E11"/>
    <w:rsid w:val="00061698"/>
    <w:rsid w:val="000617CE"/>
    <w:rsid w:val="00061C84"/>
    <w:rsid w:val="00061D6D"/>
    <w:rsid w:val="00062484"/>
    <w:rsid w:val="000624B3"/>
    <w:rsid w:val="0006251A"/>
    <w:rsid w:val="00062A18"/>
    <w:rsid w:val="00062CDF"/>
    <w:rsid w:val="00063129"/>
    <w:rsid w:val="00063B7B"/>
    <w:rsid w:val="00064139"/>
    <w:rsid w:val="0006485F"/>
    <w:rsid w:val="0006489E"/>
    <w:rsid w:val="0006492E"/>
    <w:rsid w:val="00064C07"/>
    <w:rsid w:val="00064DC7"/>
    <w:rsid w:val="00064EE9"/>
    <w:rsid w:val="00065022"/>
    <w:rsid w:val="00065088"/>
    <w:rsid w:val="00065263"/>
    <w:rsid w:val="00065A5E"/>
    <w:rsid w:val="00065F4E"/>
    <w:rsid w:val="0006605B"/>
    <w:rsid w:val="000666A4"/>
    <w:rsid w:val="00066F02"/>
    <w:rsid w:val="00067301"/>
    <w:rsid w:val="00070681"/>
    <w:rsid w:val="00070910"/>
    <w:rsid w:val="0007097B"/>
    <w:rsid w:val="00070F67"/>
    <w:rsid w:val="000716C9"/>
    <w:rsid w:val="00072078"/>
    <w:rsid w:val="0007225A"/>
    <w:rsid w:val="00072DA5"/>
    <w:rsid w:val="00072DE4"/>
    <w:rsid w:val="00072DE9"/>
    <w:rsid w:val="000731A1"/>
    <w:rsid w:val="000733D4"/>
    <w:rsid w:val="00073573"/>
    <w:rsid w:val="00073868"/>
    <w:rsid w:val="00073910"/>
    <w:rsid w:val="00073C2E"/>
    <w:rsid w:val="00073CFB"/>
    <w:rsid w:val="00073EAE"/>
    <w:rsid w:val="00073FFE"/>
    <w:rsid w:val="00074421"/>
    <w:rsid w:val="00074978"/>
    <w:rsid w:val="00074A4F"/>
    <w:rsid w:val="00074EA2"/>
    <w:rsid w:val="000750C2"/>
    <w:rsid w:val="00075632"/>
    <w:rsid w:val="00075696"/>
    <w:rsid w:val="00075B33"/>
    <w:rsid w:val="00075E45"/>
    <w:rsid w:val="000763BE"/>
    <w:rsid w:val="00076B00"/>
    <w:rsid w:val="00076CA8"/>
    <w:rsid w:val="00076CCC"/>
    <w:rsid w:val="00076DF0"/>
    <w:rsid w:val="00076F45"/>
    <w:rsid w:val="00077266"/>
    <w:rsid w:val="0007755D"/>
    <w:rsid w:val="000778B1"/>
    <w:rsid w:val="00077E08"/>
    <w:rsid w:val="000802A1"/>
    <w:rsid w:val="00080A09"/>
    <w:rsid w:val="00080FC0"/>
    <w:rsid w:val="00081366"/>
    <w:rsid w:val="000813B1"/>
    <w:rsid w:val="0008174B"/>
    <w:rsid w:val="000817D6"/>
    <w:rsid w:val="0008193B"/>
    <w:rsid w:val="00081947"/>
    <w:rsid w:val="00081CEB"/>
    <w:rsid w:val="00082097"/>
    <w:rsid w:val="00082B97"/>
    <w:rsid w:val="00082C85"/>
    <w:rsid w:val="00083082"/>
    <w:rsid w:val="00083795"/>
    <w:rsid w:val="00083983"/>
    <w:rsid w:val="00083B80"/>
    <w:rsid w:val="00083C2E"/>
    <w:rsid w:val="00083F36"/>
    <w:rsid w:val="0008409B"/>
    <w:rsid w:val="00084503"/>
    <w:rsid w:val="00084627"/>
    <w:rsid w:val="00084C6E"/>
    <w:rsid w:val="00084E2D"/>
    <w:rsid w:val="0008519C"/>
    <w:rsid w:val="00085455"/>
    <w:rsid w:val="0008668B"/>
    <w:rsid w:val="0008677D"/>
    <w:rsid w:val="00086D9F"/>
    <w:rsid w:val="00087179"/>
    <w:rsid w:val="0008746B"/>
    <w:rsid w:val="000874DF"/>
    <w:rsid w:val="000876CF"/>
    <w:rsid w:val="0008777D"/>
    <w:rsid w:val="00087B2C"/>
    <w:rsid w:val="00087B70"/>
    <w:rsid w:val="00087D4E"/>
    <w:rsid w:val="00087DBD"/>
    <w:rsid w:val="0009041E"/>
    <w:rsid w:val="00090668"/>
    <w:rsid w:val="00090718"/>
    <w:rsid w:val="00090744"/>
    <w:rsid w:val="00090CB3"/>
    <w:rsid w:val="00090EFA"/>
    <w:rsid w:val="0009108A"/>
    <w:rsid w:val="000911B7"/>
    <w:rsid w:val="00091735"/>
    <w:rsid w:val="0009180C"/>
    <w:rsid w:val="00091A0B"/>
    <w:rsid w:val="00091B4E"/>
    <w:rsid w:val="00091B67"/>
    <w:rsid w:val="00091CD7"/>
    <w:rsid w:val="00091DAF"/>
    <w:rsid w:val="00091F2F"/>
    <w:rsid w:val="00091F7A"/>
    <w:rsid w:val="00091F85"/>
    <w:rsid w:val="00091FFA"/>
    <w:rsid w:val="0009237C"/>
    <w:rsid w:val="000927DD"/>
    <w:rsid w:val="000929FB"/>
    <w:rsid w:val="00092BAA"/>
    <w:rsid w:val="00093326"/>
    <w:rsid w:val="000935E6"/>
    <w:rsid w:val="0009384C"/>
    <w:rsid w:val="000938E3"/>
    <w:rsid w:val="00093B65"/>
    <w:rsid w:val="00093B84"/>
    <w:rsid w:val="00093CB5"/>
    <w:rsid w:val="00093DD5"/>
    <w:rsid w:val="000940D0"/>
    <w:rsid w:val="00094108"/>
    <w:rsid w:val="00094717"/>
    <w:rsid w:val="00094D4A"/>
    <w:rsid w:val="00094DCE"/>
    <w:rsid w:val="0009525B"/>
    <w:rsid w:val="00095329"/>
    <w:rsid w:val="00095DE6"/>
    <w:rsid w:val="00095E93"/>
    <w:rsid w:val="00096107"/>
    <w:rsid w:val="00096812"/>
    <w:rsid w:val="00096964"/>
    <w:rsid w:val="00096AEE"/>
    <w:rsid w:val="00096C39"/>
    <w:rsid w:val="00096CA4"/>
    <w:rsid w:val="00097144"/>
    <w:rsid w:val="00097215"/>
    <w:rsid w:val="0009734D"/>
    <w:rsid w:val="00097355"/>
    <w:rsid w:val="0009745A"/>
    <w:rsid w:val="00097C5A"/>
    <w:rsid w:val="000A0024"/>
    <w:rsid w:val="000A03DD"/>
    <w:rsid w:val="000A094C"/>
    <w:rsid w:val="000A0A6C"/>
    <w:rsid w:val="000A0A9B"/>
    <w:rsid w:val="000A0C8E"/>
    <w:rsid w:val="000A1066"/>
    <w:rsid w:val="000A1193"/>
    <w:rsid w:val="000A12E1"/>
    <w:rsid w:val="000A14C6"/>
    <w:rsid w:val="000A1675"/>
    <w:rsid w:val="000A17B4"/>
    <w:rsid w:val="000A186D"/>
    <w:rsid w:val="000A1A09"/>
    <w:rsid w:val="000A1B0D"/>
    <w:rsid w:val="000A1D43"/>
    <w:rsid w:val="000A22F6"/>
    <w:rsid w:val="000A2519"/>
    <w:rsid w:val="000A267B"/>
    <w:rsid w:val="000A298F"/>
    <w:rsid w:val="000A29D9"/>
    <w:rsid w:val="000A2CC7"/>
    <w:rsid w:val="000A316C"/>
    <w:rsid w:val="000A3310"/>
    <w:rsid w:val="000A369A"/>
    <w:rsid w:val="000A396F"/>
    <w:rsid w:val="000A3A31"/>
    <w:rsid w:val="000A47A8"/>
    <w:rsid w:val="000A48B2"/>
    <w:rsid w:val="000A4B5C"/>
    <w:rsid w:val="000A4C19"/>
    <w:rsid w:val="000A5130"/>
    <w:rsid w:val="000A566B"/>
    <w:rsid w:val="000A5D42"/>
    <w:rsid w:val="000A5FC6"/>
    <w:rsid w:val="000A617F"/>
    <w:rsid w:val="000A6E18"/>
    <w:rsid w:val="000A7106"/>
    <w:rsid w:val="000A73FB"/>
    <w:rsid w:val="000A7482"/>
    <w:rsid w:val="000A751C"/>
    <w:rsid w:val="000A7576"/>
    <w:rsid w:val="000A7695"/>
    <w:rsid w:val="000A7AD4"/>
    <w:rsid w:val="000A7E50"/>
    <w:rsid w:val="000B0129"/>
    <w:rsid w:val="000B02C9"/>
    <w:rsid w:val="000B05F6"/>
    <w:rsid w:val="000B0FF8"/>
    <w:rsid w:val="000B1000"/>
    <w:rsid w:val="000B1971"/>
    <w:rsid w:val="000B1C01"/>
    <w:rsid w:val="000B218A"/>
    <w:rsid w:val="000B21AC"/>
    <w:rsid w:val="000B2372"/>
    <w:rsid w:val="000B2970"/>
    <w:rsid w:val="000B2E33"/>
    <w:rsid w:val="000B3048"/>
    <w:rsid w:val="000B312B"/>
    <w:rsid w:val="000B3588"/>
    <w:rsid w:val="000B38C9"/>
    <w:rsid w:val="000B39C7"/>
    <w:rsid w:val="000B3A75"/>
    <w:rsid w:val="000B3FDD"/>
    <w:rsid w:val="000B4073"/>
    <w:rsid w:val="000B4AA1"/>
    <w:rsid w:val="000B4AB4"/>
    <w:rsid w:val="000B53FB"/>
    <w:rsid w:val="000B551E"/>
    <w:rsid w:val="000B5594"/>
    <w:rsid w:val="000B55D1"/>
    <w:rsid w:val="000B58C8"/>
    <w:rsid w:val="000B5A48"/>
    <w:rsid w:val="000B5E7E"/>
    <w:rsid w:val="000B6199"/>
    <w:rsid w:val="000B654D"/>
    <w:rsid w:val="000B658C"/>
    <w:rsid w:val="000B677E"/>
    <w:rsid w:val="000B6ACE"/>
    <w:rsid w:val="000B7000"/>
    <w:rsid w:val="000B7920"/>
    <w:rsid w:val="000B7DE4"/>
    <w:rsid w:val="000B7E1F"/>
    <w:rsid w:val="000C014D"/>
    <w:rsid w:val="000C024B"/>
    <w:rsid w:val="000C0274"/>
    <w:rsid w:val="000C0311"/>
    <w:rsid w:val="000C095B"/>
    <w:rsid w:val="000C0C02"/>
    <w:rsid w:val="000C0DD6"/>
    <w:rsid w:val="000C0F28"/>
    <w:rsid w:val="000C0FEF"/>
    <w:rsid w:val="000C1B6C"/>
    <w:rsid w:val="000C1DB1"/>
    <w:rsid w:val="000C1F89"/>
    <w:rsid w:val="000C2291"/>
    <w:rsid w:val="000C2721"/>
    <w:rsid w:val="000C29B4"/>
    <w:rsid w:val="000C311F"/>
    <w:rsid w:val="000C3AEB"/>
    <w:rsid w:val="000C3D68"/>
    <w:rsid w:val="000C3FEA"/>
    <w:rsid w:val="000C41A2"/>
    <w:rsid w:val="000C457A"/>
    <w:rsid w:val="000C49B2"/>
    <w:rsid w:val="000C4EA7"/>
    <w:rsid w:val="000C54A8"/>
    <w:rsid w:val="000C58C5"/>
    <w:rsid w:val="000C5CD8"/>
    <w:rsid w:val="000C6401"/>
    <w:rsid w:val="000C6D09"/>
    <w:rsid w:val="000C719C"/>
    <w:rsid w:val="000C7276"/>
    <w:rsid w:val="000C7A69"/>
    <w:rsid w:val="000C7BEE"/>
    <w:rsid w:val="000D04B7"/>
    <w:rsid w:val="000D0A3C"/>
    <w:rsid w:val="000D1158"/>
    <w:rsid w:val="000D1238"/>
    <w:rsid w:val="000D1A7D"/>
    <w:rsid w:val="000D2ADB"/>
    <w:rsid w:val="000D34E9"/>
    <w:rsid w:val="000D374E"/>
    <w:rsid w:val="000D37D5"/>
    <w:rsid w:val="000D4703"/>
    <w:rsid w:val="000D47B0"/>
    <w:rsid w:val="000D4892"/>
    <w:rsid w:val="000D4D9B"/>
    <w:rsid w:val="000D4FFC"/>
    <w:rsid w:val="000D5637"/>
    <w:rsid w:val="000D5AC4"/>
    <w:rsid w:val="000D5E11"/>
    <w:rsid w:val="000D629F"/>
    <w:rsid w:val="000D68BD"/>
    <w:rsid w:val="000D69BD"/>
    <w:rsid w:val="000D6EE5"/>
    <w:rsid w:val="000D7388"/>
    <w:rsid w:val="000D757A"/>
    <w:rsid w:val="000D7C45"/>
    <w:rsid w:val="000D7C8F"/>
    <w:rsid w:val="000E049A"/>
    <w:rsid w:val="000E049C"/>
    <w:rsid w:val="000E0C8E"/>
    <w:rsid w:val="000E1146"/>
    <w:rsid w:val="000E12D4"/>
    <w:rsid w:val="000E15D7"/>
    <w:rsid w:val="000E1D4D"/>
    <w:rsid w:val="000E1E56"/>
    <w:rsid w:val="000E2E6C"/>
    <w:rsid w:val="000E34F7"/>
    <w:rsid w:val="000E39EF"/>
    <w:rsid w:val="000E3B26"/>
    <w:rsid w:val="000E4003"/>
    <w:rsid w:val="000E4031"/>
    <w:rsid w:val="000E41FD"/>
    <w:rsid w:val="000E4324"/>
    <w:rsid w:val="000E4530"/>
    <w:rsid w:val="000E468C"/>
    <w:rsid w:val="000E4C5F"/>
    <w:rsid w:val="000E4EA6"/>
    <w:rsid w:val="000E51CE"/>
    <w:rsid w:val="000E575F"/>
    <w:rsid w:val="000E57C9"/>
    <w:rsid w:val="000E5D32"/>
    <w:rsid w:val="000E620E"/>
    <w:rsid w:val="000E632C"/>
    <w:rsid w:val="000E67A5"/>
    <w:rsid w:val="000E6823"/>
    <w:rsid w:val="000E6D64"/>
    <w:rsid w:val="000E6E5A"/>
    <w:rsid w:val="000E76FC"/>
    <w:rsid w:val="000E7874"/>
    <w:rsid w:val="000E78C8"/>
    <w:rsid w:val="000F0D6D"/>
    <w:rsid w:val="000F1279"/>
    <w:rsid w:val="000F2003"/>
    <w:rsid w:val="000F2063"/>
    <w:rsid w:val="000F24EA"/>
    <w:rsid w:val="000F2529"/>
    <w:rsid w:val="000F277E"/>
    <w:rsid w:val="000F2A20"/>
    <w:rsid w:val="000F2FAD"/>
    <w:rsid w:val="000F30FB"/>
    <w:rsid w:val="000F313D"/>
    <w:rsid w:val="000F34A9"/>
    <w:rsid w:val="000F3850"/>
    <w:rsid w:val="000F3C30"/>
    <w:rsid w:val="000F3D28"/>
    <w:rsid w:val="000F4147"/>
    <w:rsid w:val="000F47AC"/>
    <w:rsid w:val="000F4B10"/>
    <w:rsid w:val="000F5509"/>
    <w:rsid w:val="000F5905"/>
    <w:rsid w:val="000F5D0A"/>
    <w:rsid w:val="000F5E52"/>
    <w:rsid w:val="000F62B8"/>
    <w:rsid w:val="000F62EB"/>
    <w:rsid w:val="000F630C"/>
    <w:rsid w:val="000F6386"/>
    <w:rsid w:val="000F63C4"/>
    <w:rsid w:val="000F63FB"/>
    <w:rsid w:val="000F6F61"/>
    <w:rsid w:val="000F7384"/>
    <w:rsid w:val="000F7463"/>
    <w:rsid w:val="000F762E"/>
    <w:rsid w:val="000F7711"/>
    <w:rsid w:val="000F793C"/>
    <w:rsid w:val="000F79E2"/>
    <w:rsid w:val="000F7BB9"/>
    <w:rsid w:val="001001A7"/>
    <w:rsid w:val="001001FE"/>
    <w:rsid w:val="00100200"/>
    <w:rsid w:val="0010064C"/>
    <w:rsid w:val="00100957"/>
    <w:rsid w:val="00100AF0"/>
    <w:rsid w:val="0010104C"/>
    <w:rsid w:val="00101661"/>
    <w:rsid w:val="00101DB1"/>
    <w:rsid w:val="0010259E"/>
    <w:rsid w:val="0010263D"/>
    <w:rsid w:val="00102824"/>
    <w:rsid w:val="00102CEB"/>
    <w:rsid w:val="0010300A"/>
    <w:rsid w:val="00104083"/>
    <w:rsid w:val="00104122"/>
    <w:rsid w:val="001041E4"/>
    <w:rsid w:val="00104AE8"/>
    <w:rsid w:val="00104AEA"/>
    <w:rsid w:val="001058FA"/>
    <w:rsid w:val="001058FC"/>
    <w:rsid w:val="00105C81"/>
    <w:rsid w:val="00105CA3"/>
    <w:rsid w:val="0010628B"/>
    <w:rsid w:val="00106D33"/>
    <w:rsid w:val="0010700F"/>
    <w:rsid w:val="001077FC"/>
    <w:rsid w:val="00107B29"/>
    <w:rsid w:val="00107B75"/>
    <w:rsid w:val="00107F3C"/>
    <w:rsid w:val="0011067E"/>
    <w:rsid w:val="001108E9"/>
    <w:rsid w:val="00111DDB"/>
    <w:rsid w:val="00111FDD"/>
    <w:rsid w:val="001121E7"/>
    <w:rsid w:val="001124A6"/>
    <w:rsid w:val="001130B5"/>
    <w:rsid w:val="001131F0"/>
    <w:rsid w:val="00113775"/>
    <w:rsid w:val="00113876"/>
    <w:rsid w:val="0011392F"/>
    <w:rsid w:val="001139C7"/>
    <w:rsid w:val="00113DDA"/>
    <w:rsid w:val="00113F7B"/>
    <w:rsid w:val="00114331"/>
    <w:rsid w:val="00114EBC"/>
    <w:rsid w:val="0011564C"/>
    <w:rsid w:val="00115FB8"/>
    <w:rsid w:val="00116221"/>
    <w:rsid w:val="00116A08"/>
    <w:rsid w:val="00117186"/>
    <w:rsid w:val="0011732C"/>
    <w:rsid w:val="0012002E"/>
    <w:rsid w:val="0012032C"/>
    <w:rsid w:val="0012042C"/>
    <w:rsid w:val="001204FD"/>
    <w:rsid w:val="0012073F"/>
    <w:rsid w:val="00120A21"/>
    <w:rsid w:val="00120D52"/>
    <w:rsid w:val="001210AE"/>
    <w:rsid w:val="00121516"/>
    <w:rsid w:val="00121607"/>
    <w:rsid w:val="0012169E"/>
    <w:rsid w:val="001216FA"/>
    <w:rsid w:val="001221A8"/>
    <w:rsid w:val="001223ED"/>
    <w:rsid w:val="00122416"/>
    <w:rsid w:val="0012241B"/>
    <w:rsid w:val="001229C3"/>
    <w:rsid w:val="00123449"/>
    <w:rsid w:val="001239A9"/>
    <w:rsid w:val="001239B3"/>
    <w:rsid w:val="0012405E"/>
    <w:rsid w:val="0012427E"/>
    <w:rsid w:val="001247E0"/>
    <w:rsid w:val="001247EA"/>
    <w:rsid w:val="00124F1A"/>
    <w:rsid w:val="001250B3"/>
    <w:rsid w:val="001252F6"/>
    <w:rsid w:val="001254C9"/>
    <w:rsid w:val="00125B54"/>
    <w:rsid w:val="00125F24"/>
    <w:rsid w:val="00126585"/>
    <w:rsid w:val="001265F6"/>
    <w:rsid w:val="00126750"/>
    <w:rsid w:val="00126AB8"/>
    <w:rsid w:val="00126F4D"/>
    <w:rsid w:val="001271A1"/>
    <w:rsid w:val="00127CE6"/>
    <w:rsid w:val="00127D20"/>
    <w:rsid w:val="001302E2"/>
    <w:rsid w:val="00130361"/>
    <w:rsid w:val="001306DB"/>
    <w:rsid w:val="00130B92"/>
    <w:rsid w:val="001316FF"/>
    <w:rsid w:val="0013172C"/>
    <w:rsid w:val="00131960"/>
    <w:rsid w:val="00131C0F"/>
    <w:rsid w:val="00131DB8"/>
    <w:rsid w:val="00131E6F"/>
    <w:rsid w:val="00132571"/>
    <w:rsid w:val="001325BF"/>
    <w:rsid w:val="001329A4"/>
    <w:rsid w:val="001329D0"/>
    <w:rsid w:val="00132F0D"/>
    <w:rsid w:val="0013328D"/>
    <w:rsid w:val="00133713"/>
    <w:rsid w:val="00133A4A"/>
    <w:rsid w:val="00133F6D"/>
    <w:rsid w:val="0013408A"/>
    <w:rsid w:val="001343A4"/>
    <w:rsid w:val="0013447F"/>
    <w:rsid w:val="00134750"/>
    <w:rsid w:val="00134D14"/>
    <w:rsid w:val="00134FC5"/>
    <w:rsid w:val="001350F1"/>
    <w:rsid w:val="00135139"/>
    <w:rsid w:val="00135551"/>
    <w:rsid w:val="00135874"/>
    <w:rsid w:val="00135B62"/>
    <w:rsid w:val="00135B7E"/>
    <w:rsid w:val="00135B81"/>
    <w:rsid w:val="00135C8B"/>
    <w:rsid w:val="00136161"/>
    <w:rsid w:val="00136C57"/>
    <w:rsid w:val="00136C9C"/>
    <w:rsid w:val="00136E57"/>
    <w:rsid w:val="00136FF9"/>
    <w:rsid w:val="0013793B"/>
    <w:rsid w:val="001379B5"/>
    <w:rsid w:val="00137FDB"/>
    <w:rsid w:val="0014039F"/>
    <w:rsid w:val="00140BE3"/>
    <w:rsid w:val="00140C36"/>
    <w:rsid w:val="00140DB1"/>
    <w:rsid w:val="00140FC9"/>
    <w:rsid w:val="001413C5"/>
    <w:rsid w:val="00141563"/>
    <w:rsid w:val="00141593"/>
    <w:rsid w:val="00141723"/>
    <w:rsid w:val="001418D2"/>
    <w:rsid w:val="0014194A"/>
    <w:rsid w:val="0014231B"/>
    <w:rsid w:val="00142792"/>
    <w:rsid w:val="00142956"/>
    <w:rsid w:val="00142B43"/>
    <w:rsid w:val="00142D10"/>
    <w:rsid w:val="00143059"/>
    <w:rsid w:val="0014319E"/>
    <w:rsid w:val="001432B0"/>
    <w:rsid w:val="00143CDB"/>
    <w:rsid w:val="00144102"/>
    <w:rsid w:val="00144180"/>
    <w:rsid w:val="00144868"/>
    <w:rsid w:val="00144D21"/>
    <w:rsid w:val="0014522F"/>
    <w:rsid w:val="0014526C"/>
    <w:rsid w:val="001452BC"/>
    <w:rsid w:val="001453A9"/>
    <w:rsid w:val="00145724"/>
    <w:rsid w:val="001458AF"/>
    <w:rsid w:val="00145A1A"/>
    <w:rsid w:val="00145B7D"/>
    <w:rsid w:val="001461ED"/>
    <w:rsid w:val="00146A43"/>
    <w:rsid w:val="00146B1A"/>
    <w:rsid w:val="001479D4"/>
    <w:rsid w:val="0015010F"/>
    <w:rsid w:val="001502AE"/>
    <w:rsid w:val="001503C2"/>
    <w:rsid w:val="0015048E"/>
    <w:rsid w:val="00150D2A"/>
    <w:rsid w:val="00150E25"/>
    <w:rsid w:val="00150EA9"/>
    <w:rsid w:val="00150EEA"/>
    <w:rsid w:val="00150F95"/>
    <w:rsid w:val="001512BB"/>
    <w:rsid w:val="00151650"/>
    <w:rsid w:val="00151A35"/>
    <w:rsid w:val="00151DBF"/>
    <w:rsid w:val="00151EED"/>
    <w:rsid w:val="0015205D"/>
    <w:rsid w:val="001525F0"/>
    <w:rsid w:val="0015296A"/>
    <w:rsid w:val="00152B33"/>
    <w:rsid w:val="00152B9D"/>
    <w:rsid w:val="00152E59"/>
    <w:rsid w:val="001536DB"/>
    <w:rsid w:val="00153898"/>
    <w:rsid w:val="00153A7D"/>
    <w:rsid w:val="00153D5F"/>
    <w:rsid w:val="00153EB4"/>
    <w:rsid w:val="00153F95"/>
    <w:rsid w:val="001540CB"/>
    <w:rsid w:val="001547E4"/>
    <w:rsid w:val="00154B98"/>
    <w:rsid w:val="00154C5A"/>
    <w:rsid w:val="00154F7E"/>
    <w:rsid w:val="00154FAB"/>
    <w:rsid w:val="0015500A"/>
    <w:rsid w:val="00155132"/>
    <w:rsid w:val="001553DD"/>
    <w:rsid w:val="0015550F"/>
    <w:rsid w:val="00155544"/>
    <w:rsid w:val="00155968"/>
    <w:rsid w:val="00155B98"/>
    <w:rsid w:val="00155CB2"/>
    <w:rsid w:val="00156376"/>
    <w:rsid w:val="00156485"/>
    <w:rsid w:val="001564BD"/>
    <w:rsid w:val="00157001"/>
    <w:rsid w:val="0015704B"/>
    <w:rsid w:val="001575EC"/>
    <w:rsid w:val="00157696"/>
    <w:rsid w:val="001576CA"/>
    <w:rsid w:val="00157709"/>
    <w:rsid w:val="00157CB9"/>
    <w:rsid w:val="00157E95"/>
    <w:rsid w:val="00160092"/>
    <w:rsid w:val="00160A5D"/>
    <w:rsid w:val="00160B66"/>
    <w:rsid w:val="00160E91"/>
    <w:rsid w:val="001612E7"/>
    <w:rsid w:val="00161396"/>
    <w:rsid w:val="0016158F"/>
    <w:rsid w:val="00161848"/>
    <w:rsid w:val="00162046"/>
    <w:rsid w:val="00162690"/>
    <w:rsid w:val="001628FD"/>
    <w:rsid w:val="00162B29"/>
    <w:rsid w:val="00163444"/>
    <w:rsid w:val="00163767"/>
    <w:rsid w:val="00163906"/>
    <w:rsid w:val="001643A9"/>
    <w:rsid w:val="001646F4"/>
    <w:rsid w:val="00164810"/>
    <w:rsid w:val="00164BE1"/>
    <w:rsid w:val="001650C0"/>
    <w:rsid w:val="0016524A"/>
    <w:rsid w:val="00165626"/>
    <w:rsid w:val="00165824"/>
    <w:rsid w:val="00165A03"/>
    <w:rsid w:val="00166272"/>
    <w:rsid w:val="00166589"/>
    <w:rsid w:val="001668A1"/>
    <w:rsid w:val="00166BAD"/>
    <w:rsid w:val="001671D2"/>
    <w:rsid w:val="001671D4"/>
    <w:rsid w:val="0016738D"/>
    <w:rsid w:val="001674ED"/>
    <w:rsid w:val="00167CF4"/>
    <w:rsid w:val="00167FE4"/>
    <w:rsid w:val="001705AC"/>
    <w:rsid w:val="00170A4F"/>
    <w:rsid w:val="00170BE9"/>
    <w:rsid w:val="0017147C"/>
    <w:rsid w:val="0017194E"/>
    <w:rsid w:val="0017201E"/>
    <w:rsid w:val="0017249B"/>
    <w:rsid w:val="001726FD"/>
    <w:rsid w:val="00172769"/>
    <w:rsid w:val="001727A4"/>
    <w:rsid w:val="00172DF7"/>
    <w:rsid w:val="0017312A"/>
    <w:rsid w:val="00173A68"/>
    <w:rsid w:val="00173ED2"/>
    <w:rsid w:val="00174036"/>
    <w:rsid w:val="001740C8"/>
    <w:rsid w:val="0017485B"/>
    <w:rsid w:val="001748A7"/>
    <w:rsid w:val="00174A66"/>
    <w:rsid w:val="00174BAB"/>
    <w:rsid w:val="00175178"/>
    <w:rsid w:val="00175355"/>
    <w:rsid w:val="001754E4"/>
    <w:rsid w:val="00175BB2"/>
    <w:rsid w:val="0017608D"/>
    <w:rsid w:val="00176148"/>
    <w:rsid w:val="0017647C"/>
    <w:rsid w:val="0017692C"/>
    <w:rsid w:val="001772E1"/>
    <w:rsid w:val="0017734A"/>
    <w:rsid w:val="00177EC4"/>
    <w:rsid w:val="00180029"/>
    <w:rsid w:val="0018055C"/>
    <w:rsid w:val="00180CAA"/>
    <w:rsid w:val="00180E37"/>
    <w:rsid w:val="00181455"/>
    <w:rsid w:val="00181533"/>
    <w:rsid w:val="00181669"/>
    <w:rsid w:val="0018179F"/>
    <w:rsid w:val="00181954"/>
    <w:rsid w:val="00181AE7"/>
    <w:rsid w:val="00181B72"/>
    <w:rsid w:val="00181C23"/>
    <w:rsid w:val="00181DFE"/>
    <w:rsid w:val="001822C0"/>
    <w:rsid w:val="001822F9"/>
    <w:rsid w:val="001824C8"/>
    <w:rsid w:val="00182698"/>
    <w:rsid w:val="00182B73"/>
    <w:rsid w:val="00182D1C"/>
    <w:rsid w:val="001832B3"/>
    <w:rsid w:val="001838DD"/>
    <w:rsid w:val="00183DD9"/>
    <w:rsid w:val="0018404C"/>
    <w:rsid w:val="00184309"/>
    <w:rsid w:val="00184422"/>
    <w:rsid w:val="00184435"/>
    <w:rsid w:val="00184BFF"/>
    <w:rsid w:val="00184E87"/>
    <w:rsid w:val="00185505"/>
    <w:rsid w:val="0018558D"/>
    <w:rsid w:val="00185F28"/>
    <w:rsid w:val="001860E9"/>
    <w:rsid w:val="0018633F"/>
    <w:rsid w:val="001864FD"/>
    <w:rsid w:val="001871DB"/>
    <w:rsid w:val="00187361"/>
    <w:rsid w:val="00187706"/>
    <w:rsid w:val="00187996"/>
    <w:rsid w:val="00187B3F"/>
    <w:rsid w:val="00187C51"/>
    <w:rsid w:val="00187DAD"/>
    <w:rsid w:val="00187E47"/>
    <w:rsid w:val="00190036"/>
    <w:rsid w:val="0019042E"/>
    <w:rsid w:val="0019070B"/>
    <w:rsid w:val="00190906"/>
    <w:rsid w:val="00190F03"/>
    <w:rsid w:val="001917AC"/>
    <w:rsid w:val="00191A5D"/>
    <w:rsid w:val="0019241A"/>
    <w:rsid w:val="0019259B"/>
    <w:rsid w:val="001928A4"/>
    <w:rsid w:val="00192FAD"/>
    <w:rsid w:val="0019315B"/>
    <w:rsid w:val="00193318"/>
    <w:rsid w:val="00193558"/>
    <w:rsid w:val="001936A7"/>
    <w:rsid w:val="001938F8"/>
    <w:rsid w:val="00193E95"/>
    <w:rsid w:val="001943DD"/>
    <w:rsid w:val="00194541"/>
    <w:rsid w:val="00194554"/>
    <w:rsid w:val="001959C4"/>
    <w:rsid w:val="00196149"/>
    <w:rsid w:val="00196160"/>
    <w:rsid w:val="001963ED"/>
    <w:rsid w:val="0019657D"/>
    <w:rsid w:val="00196BAC"/>
    <w:rsid w:val="00196CCD"/>
    <w:rsid w:val="00196D08"/>
    <w:rsid w:val="0019726F"/>
    <w:rsid w:val="00197531"/>
    <w:rsid w:val="00197599"/>
    <w:rsid w:val="00197FA9"/>
    <w:rsid w:val="001A009A"/>
    <w:rsid w:val="001A02EA"/>
    <w:rsid w:val="001A031C"/>
    <w:rsid w:val="001A03A7"/>
    <w:rsid w:val="001A0485"/>
    <w:rsid w:val="001A0BF0"/>
    <w:rsid w:val="001A0F6F"/>
    <w:rsid w:val="001A0FD5"/>
    <w:rsid w:val="001A1080"/>
    <w:rsid w:val="001A12B6"/>
    <w:rsid w:val="001A13F6"/>
    <w:rsid w:val="001A1526"/>
    <w:rsid w:val="001A2579"/>
    <w:rsid w:val="001A2711"/>
    <w:rsid w:val="001A290C"/>
    <w:rsid w:val="001A2C4F"/>
    <w:rsid w:val="001A2D78"/>
    <w:rsid w:val="001A34E6"/>
    <w:rsid w:val="001A370B"/>
    <w:rsid w:val="001A39AC"/>
    <w:rsid w:val="001A3EB3"/>
    <w:rsid w:val="001A423A"/>
    <w:rsid w:val="001A46B9"/>
    <w:rsid w:val="001A48CF"/>
    <w:rsid w:val="001A5278"/>
    <w:rsid w:val="001A5571"/>
    <w:rsid w:val="001A5751"/>
    <w:rsid w:val="001A5DD6"/>
    <w:rsid w:val="001A607E"/>
    <w:rsid w:val="001A61C4"/>
    <w:rsid w:val="001A6423"/>
    <w:rsid w:val="001A6592"/>
    <w:rsid w:val="001A6611"/>
    <w:rsid w:val="001A6A9A"/>
    <w:rsid w:val="001A7007"/>
    <w:rsid w:val="001A7249"/>
    <w:rsid w:val="001A7483"/>
    <w:rsid w:val="001A7DC4"/>
    <w:rsid w:val="001B011B"/>
    <w:rsid w:val="001B0885"/>
    <w:rsid w:val="001B0FF7"/>
    <w:rsid w:val="001B1259"/>
    <w:rsid w:val="001B15B0"/>
    <w:rsid w:val="001B162D"/>
    <w:rsid w:val="001B18F1"/>
    <w:rsid w:val="001B1CAB"/>
    <w:rsid w:val="001B1EA0"/>
    <w:rsid w:val="001B1FC1"/>
    <w:rsid w:val="001B21DF"/>
    <w:rsid w:val="001B2D39"/>
    <w:rsid w:val="001B385A"/>
    <w:rsid w:val="001B3904"/>
    <w:rsid w:val="001B3AEC"/>
    <w:rsid w:val="001B3CF0"/>
    <w:rsid w:val="001B3E8D"/>
    <w:rsid w:val="001B477B"/>
    <w:rsid w:val="001B48B3"/>
    <w:rsid w:val="001B5255"/>
    <w:rsid w:val="001B5259"/>
    <w:rsid w:val="001B53B8"/>
    <w:rsid w:val="001B54F9"/>
    <w:rsid w:val="001B5565"/>
    <w:rsid w:val="001B5892"/>
    <w:rsid w:val="001B5C64"/>
    <w:rsid w:val="001B5E2E"/>
    <w:rsid w:val="001B609F"/>
    <w:rsid w:val="001B60A3"/>
    <w:rsid w:val="001B60D4"/>
    <w:rsid w:val="001B66E2"/>
    <w:rsid w:val="001B6C97"/>
    <w:rsid w:val="001B6F28"/>
    <w:rsid w:val="001B6FD7"/>
    <w:rsid w:val="001B72B1"/>
    <w:rsid w:val="001B7585"/>
    <w:rsid w:val="001B7C49"/>
    <w:rsid w:val="001B7C94"/>
    <w:rsid w:val="001B7E5D"/>
    <w:rsid w:val="001B7FA9"/>
    <w:rsid w:val="001C062A"/>
    <w:rsid w:val="001C0736"/>
    <w:rsid w:val="001C0E42"/>
    <w:rsid w:val="001C0F86"/>
    <w:rsid w:val="001C12DB"/>
    <w:rsid w:val="001C163C"/>
    <w:rsid w:val="001C16EB"/>
    <w:rsid w:val="001C1B87"/>
    <w:rsid w:val="001C1D6A"/>
    <w:rsid w:val="001C2194"/>
    <w:rsid w:val="001C240C"/>
    <w:rsid w:val="001C25B5"/>
    <w:rsid w:val="001C3341"/>
    <w:rsid w:val="001C348D"/>
    <w:rsid w:val="001C35DA"/>
    <w:rsid w:val="001C38BA"/>
    <w:rsid w:val="001C39E7"/>
    <w:rsid w:val="001C3EEB"/>
    <w:rsid w:val="001C3F84"/>
    <w:rsid w:val="001C402A"/>
    <w:rsid w:val="001C475B"/>
    <w:rsid w:val="001C4F4F"/>
    <w:rsid w:val="001C5D0E"/>
    <w:rsid w:val="001C5ED0"/>
    <w:rsid w:val="001C5F3A"/>
    <w:rsid w:val="001C6121"/>
    <w:rsid w:val="001C676F"/>
    <w:rsid w:val="001C6A59"/>
    <w:rsid w:val="001C6BA1"/>
    <w:rsid w:val="001C6F22"/>
    <w:rsid w:val="001C7430"/>
    <w:rsid w:val="001C7461"/>
    <w:rsid w:val="001C76D2"/>
    <w:rsid w:val="001CA0B0"/>
    <w:rsid w:val="001D0137"/>
    <w:rsid w:val="001D0163"/>
    <w:rsid w:val="001D0780"/>
    <w:rsid w:val="001D0C82"/>
    <w:rsid w:val="001D103F"/>
    <w:rsid w:val="001D13C2"/>
    <w:rsid w:val="001D141C"/>
    <w:rsid w:val="001D1448"/>
    <w:rsid w:val="001D18DE"/>
    <w:rsid w:val="001D2220"/>
    <w:rsid w:val="001D251D"/>
    <w:rsid w:val="001D25E9"/>
    <w:rsid w:val="001D2904"/>
    <w:rsid w:val="001D2DB5"/>
    <w:rsid w:val="001D2FF1"/>
    <w:rsid w:val="001D33EE"/>
    <w:rsid w:val="001D38E8"/>
    <w:rsid w:val="001D40A4"/>
    <w:rsid w:val="001D436A"/>
    <w:rsid w:val="001D51B6"/>
    <w:rsid w:val="001D5224"/>
    <w:rsid w:val="001D5275"/>
    <w:rsid w:val="001D595E"/>
    <w:rsid w:val="001D5CF8"/>
    <w:rsid w:val="001D607E"/>
    <w:rsid w:val="001D63C5"/>
    <w:rsid w:val="001D6518"/>
    <w:rsid w:val="001D652D"/>
    <w:rsid w:val="001D6893"/>
    <w:rsid w:val="001D693F"/>
    <w:rsid w:val="001D6D54"/>
    <w:rsid w:val="001D6EDF"/>
    <w:rsid w:val="001D6F9E"/>
    <w:rsid w:val="001D71B1"/>
    <w:rsid w:val="001D72FE"/>
    <w:rsid w:val="001D7331"/>
    <w:rsid w:val="001D7347"/>
    <w:rsid w:val="001D7D94"/>
    <w:rsid w:val="001E00A1"/>
    <w:rsid w:val="001E00A5"/>
    <w:rsid w:val="001E0367"/>
    <w:rsid w:val="001E0368"/>
    <w:rsid w:val="001E0792"/>
    <w:rsid w:val="001E11A5"/>
    <w:rsid w:val="001E1224"/>
    <w:rsid w:val="001E1DF1"/>
    <w:rsid w:val="001E28EB"/>
    <w:rsid w:val="001E2B03"/>
    <w:rsid w:val="001E2B95"/>
    <w:rsid w:val="001E2C9F"/>
    <w:rsid w:val="001E30FF"/>
    <w:rsid w:val="001E3378"/>
    <w:rsid w:val="001E3576"/>
    <w:rsid w:val="001E3612"/>
    <w:rsid w:val="001E3736"/>
    <w:rsid w:val="001E38FB"/>
    <w:rsid w:val="001E3AED"/>
    <w:rsid w:val="001E3F24"/>
    <w:rsid w:val="001E4766"/>
    <w:rsid w:val="001E510B"/>
    <w:rsid w:val="001E52C2"/>
    <w:rsid w:val="001E53C0"/>
    <w:rsid w:val="001E566B"/>
    <w:rsid w:val="001E5698"/>
    <w:rsid w:val="001E59DE"/>
    <w:rsid w:val="001E66E0"/>
    <w:rsid w:val="001E6947"/>
    <w:rsid w:val="001E6A27"/>
    <w:rsid w:val="001E6E77"/>
    <w:rsid w:val="001E70F8"/>
    <w:rsid w:val="001E7140"/>
    <w:rsid w:val="001E72AA"/>
    <w:rsid w:val="001E73C6"/>
    <w:rsid w:val="001F0059"/>
    <w:rsid w:val="001F034E"/>
    <w:rsid w:val="001F04F4"/>
    <w:rsid w:val="001F0B6A"/>
    <w:rsid w:val="001F0BE1"/>
    <w:rsid w:val="001F0FAF"/>
    <w:rsid w:val="001F101A"/>
    <w:rsid w:val="001F1604"/>
    <w:rsid w:val="001F1A36"/>
    <w:rsid w:val="001F1A5C"/>
    <w:rsid w:val="001F1F5D"/>
    <w:rsid w:val="001F1F99"/>
    <w:rsid w:val="001F24EF"/>
    <w:rsid w:val="001F30F2"/>
    <w:rsid w:val="001F33ED"/>
    <w:rsid w:val="001F3635"/>
    <w:rsid w:val="001F3898"/>
    <w:rsid w:val="001F3C7C"/>
    <w:rsid w:val="001F3C81"/>
    <w:rsid w:val="001F3EF0"/>
    <w:rsid w:val="001F414C"/>
    <w:rsid w:val="001F4335"/>
    <w:rsid w:val="001F46B7"/>
    <w:rsid w:val="001F4A54"/>
    <w:rsid w:val="001F539A"/>
    <w:rsid w:val="001F56C7"/>
    <w:rsid w:val="001F57DE"/>
    <w:rsid w:val="001F5A11"/>
    <w:rsid w:val="001F5D6A"/>
    <w:rsid w:val="001F627E"/>
    <w:rsid w:val="001F6BBE"/>
    <w:rsid w:val="001F6BCA"/>
    <w:rsid w:val="001F6D6F"/>
    <w:rsid w:val="001F71ED"/>
    <w:rsid w:val="001F7764"/>
    <w:rsid w:val="001F779D"/>
    <w:rsid w:val="001F7838"/>
    <w:rsid w:val="001F7D54"/>
    <w:rsid w:val="0020003F"/>
    <w:rsid w:val="0020007C"/>
    <w:rsid w:val="00200287"/>
    <w:rsid w:val="00200733"/>
    <w:rsid w:val="002009C3"/>
    <w:rsid w:val="00201C33"/>
    <w:rsid w:val="00202189"/>
    <w:rsid w:val="00202740"/>
    <w:rsid w:val="00202D42"/>
    <w:rsid w:val="00203039"/>
    <w:rsid w:val="002036F3"/>
    <w:rsid w:val="002038A9"/>
    <w:rsid w:val="00203A42"/>
    <w:rsid w:val="00203F87"/>
    <w:rsid w:val="0020425C"/>
    <w:rsid w:val="00204B17"/>
    <w:rsid w:val="0020508A"/>
    <w:rsid w:val="002050B9"/>
    <w:rsid w:val="002050DF"/>
    <w:rsid w:val="00205139"/>
    <w:rsid w:val="002052DC"/>
    <w:rsid w:val="00205AEC"/>
    <w:rsid w:val="00205B30"/>
    <w:rsid w:val="00205BC5"/>
    <w:rsid w:val="00206250"/>
    <w:rsid w:val="002067D0"/>
    <w:rsid w:val="002069D2"/>
    <w:rsid w:val="00206DF5"/>
    <w:rsid w:val="00206E48"/>
    <w:rsid w:val="00207009"/>
    <w:rsid w:val="00207925"/>
    <w:rsid w:val="0021018F"/>
    <w:rsid w:val="00210A28"/>
    <w:rsid w:val="002111E1"/>
    <w:rsid w:val="00211439"/>
    <w:rsid w:val="002115AD"/>
    <w:rsid w:val="00211DA2"/>
    <w:rsid w:val="00212332"/>
    <w:rsid w:val="00212A8B"/>
    <w:rsid w:val="0021304A"/>
    <w:rsid w:val="00213210"/>
    <w:rsid w:val="00213693"/>
    <w:rsid w:val="0021375F"/>
    <w:rsid w:val="00213927"/>
    <w:rsid w:val="00213F6F"/>
    <w:rsid w:val="00213FDC"/>
    <w:rsid w:val="00214B91"/>
    <w:rsid w:val="00214F13"/>
    <w:rsid w:val="00215137"/>
    <w:rsid w:val="00215479"/>
    <w:rsid w:val="00215CCB"/>
    <w:rsid w:val="002162A4"/>
    <w:rsid w:val="002167B1"/>
    <w:rsid w:val="002169A7"/>
    <w:rsid w:val="00216CF5"/>
    <w:rsid w:val="00217232"/>
    <w:rsid w:val="0021770B"/>
    <w:rsid w:val="00217E9A"/>
    <w:rsid w:val="0022013B"/>
    <w:rsid w:val="0022037B"/>
    <w:rsid w:val="0022064E"/>
    <w:rsid w:val="0022086C"/>
    <w:rsid w:val="002209D0"/>
    <w:rsid w:val="00220A12"/>
    <w:rsid w:val="00220B3B"/>
    <w:rsid w:val="00221320"/>
    <w:rsid w:val="002218D6"/>
    <w:rsid w:val="00221936"/>
    <w:rsid w:val="002222BB"/>
    <w:rsid w:val="00222A02"/>
    <w:rsid w:val="00222A94"/>
    <w:rsid w:val="00222C8D"/>
    <w:rsid w:val="002231A8"/>
    <w:rsid w:val="0022338E"/>
    <w:rsid w:val="00223619"/>
    <w:rsid w:val="00223888"/>
    <w:rsid w:val="00223DBB"/>
    <w:rsid w:val="00224201"/>
    <w:rsid w:val="002242FC"/>
    <w:rsid w:val="0022481B"/>
    <w:rsid w:val="0022524F"/>
    <w:rsid w:val="002256A8"/>
    <w:rsid w:val="00225897"/>
    <w:rsid w:val="00225A61"/>
    <w:rsid w:val="00225AEF"/>
    <w:rsid w:val="00225D99"/>
    <w:rsid w:val="002264FB"/>
    <w:rsid w:val="002265CA"/>
    <w:rsid w:val="002265D3"/>
    <w:rsid w:val="0022661E"/>
    <w:rsid w:val="00226D96"/>
    <w:rsid w:val="00227268"/>
    <w:rsid w:val="00227AD5"/>
    <w:rsid w:val="00227ADA"/>
    <w:rsid w:val="00227D03"/>
    <w:rsid w:val="00227E18"/>
    <w:rsid w:val="0023001A"/>
    <w:rsid w:val="00230261"/>
    <w:rsid w:val="00230E08"/>
    <w:rsid w:val="00230E6B"/>
    <w:rsid w:val="00230F93"/>
    <w:rsid w:val="0023128E"/>
    <w:rsid w:val="002316EA"/>
    <w:rsid w:val="00231771"/>
    <w:rsid w:val="00231B68"/>
    <w:rsid w:val="002320BC"/>
    <w:rsid w:val="00232104"/>
    <w:rsid w:val="002322CD"/>
    <w:rsid w:val="002324F2"/>
    <w:rsid w:val="00232718"/>
    <w:rsid w:val="00232B97"/>
    <w:rsid w:val="00233077"/>
    <w:rsid w:val="00233112"/>
    <w:rsid w:val="0023332B"/>
    <w:rsid w:val="00233A22"/>
    <w:rsid w:val="00233AD4"/>
    <w:rsid w:val="00233C5D"/>
    <w:rsid w:val="00233F22"/>
    <w:rsid w:val="00234A4C"/>
    <w:rsid w:val="0023523A"/>
    <w:rsid w:val="002359D1"/>
    <w:rsid w:val="00235AC7"/>
    <w:rsid w:val="0023703A"/>
    <w:rsid w:val="0023724A"/>
    <w:rsid w:val="0023729C"/>
    <w:rsid w:val="002373C6"/>
    <w:rsid w:val="0023757C"/>
    <w:rsid w:val="00237745"/>
    <w:rsid w:val="00237B45"/>
    <w:rsid w:val="00237C47"/>
    <w:rsid w:val="00237C64"/>
    <w:rsid w:val="002402B9"/>
    <w:rsid w:val="002402E4"/>
    <w:rsid w:val="00240CF0"/>
    <w:rsid w:val="00240ECC"/>
    <w:rsid w:val="0024111E"/>
    <w:rsid w:val="0024123C"/>
    <w:rsid w:val="002414BE"/>
    <w:rsid w:val="00241A68"/>
    <w:rsid w:val="00241B0B"/>
    <w:rsid w:val="00241DAF"/>
    <w:rsid w:val="00241E3D"/>
    <w:rsid w:val="00241E47"/>
    <w:rsid w:val="0024210C"/>
    <w:rsid w:val="002421A0"/>
    <w:rsid w:val="002424AC"/>
    <w:rsid w:val="00242909"/>
    <w:rsid w:val="00242B98"/>
    <w:rsid w:val="0024372F"/>
    <w:rsid w:val="00243BE7"/>
    <w:rsid w:val="002445A1"/>
    <w:rsid w:val="002448A2"/>
    <w:rsid w:val="00245532"/>
    <w:rsid w:val="0024599D"/>
    <w:rsid w:val="00245A9A"/>
    <w:rsid w:val="00245EAB"/>
    <w:rsid w:val="00245F4A"/>
    <w:rsid w:val="00246224"/>
    <w:rsid w:val="002462C4"/>
    <w:rsid w:val="00246B11"/>
    <w:rsid w:val="00246FE6"/>
    <w:rsid w:val="002470DC"/>
    <w:rsid w:val="002470E3"/>
    <w:rsid w:val="002470F3"/>
    <w:rsid w:val="002471EA"/>
    <w:rsid w:val="00247433"/>
    <w:rsid w:val="00247707"/>
    <w:rsid w:val="00247ABA"/>
    <w:rsid w:val="00250111"/>
    <w:rsid w:val="00250751"/>
    <w:rsid w:val="002507B4"/>
    <w:rsid w:val="00251480"/>
    <w:rsid w:val="00251695"/>
    <w:rsid w:val="0025183A"/>
    <w:rsid w:val="00251DA6"/>
    <w:rsid w:val="00251F90"/>
    <w:rsid w:val="00251FEC"/>
    <w:rsid w:val="0025207D"/>
    <w:rsid w:val="00252711"/>
    <w:rsid w:val="002528F5"/>
    <w:rsid w:val="0025293F"/>
    <w:rsid w:val="002535AE"/>
    <w:rsid w:val="00253609"/>
    <w:rsid w:val="00253A78"/>
    <w:rsid w:val="00253B96"/>
    <w:rsid w:val="00254049"/>
    <w:rsid w:val="0025416D"/>
    <w:rsid w:val="002544C0"/>
    <w:rsid w:val="002545A4"/>
    <w:rsid w:val="00254B82"/>
    <w:rsid w:val="00254DE9"/>
    <w:rsid w:val="00255195"/>
    <w:rsid w:val="00255A41"/>
    <w:rsid w:val="00255D50"/>
    <w:rsid w:val="002560E2"/>
    <w:rsid w:val="0025617D"/>
    <w:rsid w:val="002567FD"/>
    <w:rsid w:val="00256988"/>
    <w:rsid w:val="00256C29"/>
    <w:rsid w:val="00257079"/>
    <w:rsid w:val="002572E9"/>
    <w:rsid w:val="0025773C"/>
    <w:rsid w:val="00257A66"/>
    <w:rsid w:val="00257D00"/>
    <w:rsid w:val="00260054"/>
    <w:rsid w:val="002600BC"/>
    <w:rsid w:val="002602FC"/>
    <w:rsid w:val="00260332"/>
    <w:rsid w:val="00260B6D"/>
    <w:rsid w:val="00260D17"/>
    <w:rsid w:val="00260D9E"/>
    <w:rsid w:val="00260E63"/>
    <w:rsid w:val="002615D3"/>
    <w:rsid w:val="00262074"/>
    <w:rsid w:val="0026242A"/>
    <w:rsid w:val="0026268A"/>
    <w:rsid w:val="00262845"/>
    <w:rsid w:val="00263079"/>
    <w:rsid w:val="002632AD"/>
    <w:rsid w:val="00263335"/>
    <w:rsid w:val="0026334C"/>
    <w:rsid w:val="00263417"/>
    <w:rsid w:val="002635FD"/>
    <w:rsid w:val="00263768"/>
    <w:rsid w:val="00263D1D"/>
    <w:rsid w:val="00264057"/>
    <w:rsid w:val="00264125"/>
    <w:rsid w:val="00264674"/>
    <w:rsid w:val="00264815"/>
    <w:rsid w:val="00264A98"/>
    <w:rsid w:val="00264C2F"/>
    <w:rsid w:val="00264F4A"/>
    <w:rsid w:val="002650F3"/>
    <w:rsid w:val="002651D8"/>
    <w:rsid w:val="002658E8"/>
    <w:rsid w:val="00265941"/>
    <w:rsid w:val="00265DA4"/>
    <w:rsid w:val="00265FC5"/>
    <w:rsid w:val="00266273"/>
    <w:rsid w:val="002664E8"/>
    <w:rsid w:val="00266546"/>
    <w:rsid w:val="00266993"/>
    <w:rsid w:val="00266E41"/>
    <w:rsid w:val="002671B7"/>
    <w:rsid w:val="002672F1"/>
    <w:rsid w:val="002673D7"/>
    <w:rsid w:val="00267F04"/>
    <w:rsid w:val="00267F15"/>
    <w:rsid w:val="00267FE8"/>
    <w:rsid w:val="00270134"/>
    <w:rsid w:val="00270231"/>
    <w:rsid w:val="00270DFD"/>
    <w:rsid w:val="00270E42"/>
    <w:rsid w:val="00271137"/>
    <w:rsid w:val="00271414"/>
    <w:rsid w:val="002716FD"/>
    <w:rsid w:val="00271922"/>
    <w:rsid w:val="00271C04"/>
    <w:rsid w:val="002722BC"/>
    <w:rsid w:val="002730A0"/>
    <w:rsid w:val="00273412"/>
    <w:rsid w:val="0027370F"/>
    <w:rsid w:val="0027373F"/>
    <w:rsid w:val="00273909"/>
    <w:rsid w:val="00273933"/>
    <w:rsid w:val="00273D8C"/>
    <w:rsid w:val="00273FE7"/>
    <w:rsid w:val="00274A1E"/>
    <w:rsid w:val="00274ACF"/>
    <w:rsid w:val="00274F99"/>
    <w:rsid w:val="0027572E"/>
    <w:rsid w:val="002757D8"/>
    <w:rsid w:val="00275990"/>
    <w:rsid w:val="00275B55"/>
    <w:rsid w:val="00275EED"/>
    <w:rsid w:val="00276123"/>
    <w:rsid w:val="00277388"/>
    <w:rsid w:val="002774C3"/>
    <w:rsid w:val="00277819"/>
    <w:rsid w:val="002779CF"/>
    <w:rsid w:val="002779D1"/>
    <w:rsid w:val="00277AD1"/>
    <w:rsid w:val="00277C8F"/>
    <w:rsid w:val="00277F9C"/>
    <w:rsid w:val="0028011E"/>
    <w:rsid w:val="00280478"/>
    <w:rsid w:val="0028077F"/>
    <w:rsid w:val="00280A12"/>
    <w:rsid w:val="0028100B"/>
    <w:rsid w:val="002810E4"/>
    <w:rsid w:val="0028134B"/>
    <w:rsid w:val="002813FF"/>
    <w:rsid w:val="0028159B"/>
    <w:rsid w:val="00281993"/>
    <w:rsid w:val="00282270"/>
    <w:rsid w:val="00282671"/>
    <w:rsid w:val="00282861"/>
    <w:rsid w:val="0028306D"/>
    <w:rsid w:val="002834BE"/>
    <w:rsid w:val="00283A50"/>
    <w:rsid w:val="00283A73"/>
    <w:rsid w:val="00283D57"/>
    <w:rsid w:val="0028419B"/>
    <w:rsid w:val="002843E2"/>
    <w:rsid w:val="00284BB9"/>
    <w:rsid w:val="00284CAA"/>
    <w:rsid w:val="002852A3"/>
    <w:rsid w:val="002852D1"/>
    <w:rsid w:val="0028560D"/>
    <w:rsid w:val="00285BAE"/>
    <w:rsid w:val="00285D60"/>
    <w:rsid w:val="00285F41"/>
    <w:rsid w:val="002860B5"/>
    <w:rsid w:val="00286890"/>
    <w:rsid w:val="00286D32"/>
    <w:rsid w:val="00286FD5"/>
    <w:rsid w:val="002870BF"/>
    <w:rsid w:val="002870CC"/>
    <w:rsid w:val="0028718C"/>
    <w:rsid w:val="002876D5"/>
    <w:rsid w:val="00287B08"/>
    <w:rsid w:val="00287BAA"/>
    <w:rsid w:val="00287F37"/>
    <w:rsid w:val="00290007"/>
    <w:rsid w:val="0029015F"/>
    <w:rsid w:val="00290808"/>
    <w:rsid w:val="002909F9"/>
    <w:rsid w:val="00290AD8"/>
    <w:rsid w:val="00290CE0"/>
    <w:rsid w:val="0029180D"/>
    <w:rsid w:val="00291A6A"/>
    <w:rsid w:val="00291CFD"/>
    <w:rsid w:val="002922BD"/>
    <w:rsid w:val="0029252A"/>
    <w:rsid w:val="0029255B"/>
    <w:rsid w:val="00292C9A"/>
    <w:rsid w:val="00292D3D"/>
    <w:rsid w:val="0029314A"/>
    <w:rsid w:val="00293489"/>
    <w:rsid w:val="00293694"/>
    <w:rsid w:val="00293919"/>
    <w:rsid w:val="00293B47"/>
    <w:rsid w:val="0029408A"/>
    <w:rsid w:val="00294711"/>
    <w:rsid w:val="00294C03"/>
    <w:rsid w:val="00294D8D"/>
    <w:rsid w:val="00295223"/>
    <w:rsid w:val="002954D7"/>
    <w:rsid w:val="002955FD"/>
    <w:rsid w:val="00295B30"/>
    <w:rsid w:val="00296419"/>
    <w:rsid w:val="00296999"/>
    <w:rsid w:val="002969DB"/>
    <w:rsid w:val="00296A50"/>
    <w:rsid w:val="00296A52"/>
    <w:rsid w:val="00296F30"/>
    <w:rsid w:val="00296F5E"/>
    <w:rsid w:val="0029789D"/>
    <w:rsid w:val="00297A8D"/>
    <w:rsid w:val="00297AA8"/>
    <w:rsid w:val="00297DC0"/>
    <w:rsid w:val="002A0973"/>
    <w:rsid w:val="002A0B13"/>
    <w:rsid w:val="002A0FAA"/>
    <w:rsid w:val="002A118D"/>
    <w:rsid w:val="002A14A3"/>
    <w:rsid w:val="002A16EE"/>
    <w:rsid w:val="002A1BE8"/>
    <w:rsid w:val="002A1CD0"/>
    <w:rsid w:val="002A213B"/>
    <w:rsid w:val="002A2D83"/>
    <w:rsid w:val="002A30F0"/>
    <w:rsid w:val="002A3131"/>
    <w:rsid w:val="002A318C"/>
    <w:rsid w:val="002A36AD"/>
    <w:rsid w:val="002A36D8"/>
    <w:rsid w:val="002A3779"/>
    <w:rsid w:val="002A38A4"/>
    <w:rsid w:val="002A3A3A"/>
    <w:rsid w:val="002A3B8A"/>
    <w:rsid w:val="002A3EB1"/>
    <w:rsid w:val="002A4223"/>
    <w:rsid w:val="002A4451"/>
    <w:rsid w:val="002A4534"/>
    <w:rsid w:val="002A453C"/>
    <w:rsid w:val="002A4966"/>
    <w:rsid w:val="002A4E1E"/>
    <w:rsid w:val="002A4EF3"/>
    <w:rsid w:val="002A5174"/>
    <w:rsid w:val="002A5781"/>
    <w:rsid w:val="002A5991"/>
    <w:rsid w:val="002A59CD"/>
    <w:rsid w:val="002A5BDA"/>
    <w:rsid w:val="002A5C40"/>
    <w:rsid w:val="002A5EF3"/>
    <w:rsid w:val="002A61E3"/>
    <w:rsid w:val="002A62A1"/>
    <w:rsid w:val="002A6546"/>
    <w:rsid w:val="002A67EF"/>
    <w:rsid w:val="002A6DF5"/>
    <w:rsid w:val="002A6F14"/>
    <w:rsid w:val="002A6F9E"/>
    <w:rsid w:val="002A73E2"/>
    <w:rsid w:val="002A74F9"/>
    <w:rsid w:val="002A75C4"/>
    <w:rsid w:val="002A7BD1"/>
    <w:rsid w:val="002B0074"/>
    <w:rsid w:val="002B0164"/>
    <w:rsid w:val="002B022F"/>
    <w:rsid w:val="002B065E"/>
    <w:rsid w:val="002B089C"/>
    <w:rsid w:val="002B10C6"/>
    <w:rsid w:val="002B1331"/>
    <w:rsid w:val="002B157B"/>
    <w:rsid w:val="002B1744"/>
    <w:rsid w:val="002B1914"/>
    <w:rsid w:val="002B1E60"/>
    <w:rsid w:val="002B1F6E"/>
    <w:rsid w:val="002B2356"/>
    <w:rsid w:val="002B23EF"/>
    <w:rsid w:val="002B24A2"/>
    <w:rsid w:val="002B26E0"/>
    <w:rsid w:val="002B27A3"/>
    <w:rsid w:val="002B2858"/>
    <w:rsid w:val="002B28EF"/>
    <w:rsid w:val="002B2CBC"/>
    <w:rsid w:val="002B3306"/>
    <w:rsid w:val="002B3667"/>
    <w:rsid w:val="002B39B7"/>
    <w:rsid w:val="002B3E2F"/>
    <w:rsid w:val="002B50B4"/>
    <w:rsid w:val="002B50E6"/>
    <w:rsid w:val="002B5C63"/>
    <w:rsid w:val="002B5D19"/>
    <w:rsid w:val="002B6053"/>
    <w:rsid w:val="002B6406"/>
    <w:rsid w:val="002B6579"/>
    <w:rsid w:val="002B6750"/>
    <w:rsid w:val="002B6809"/>
    <w:rsid w:val="002B691C"/>
    <w:rsid w:val="002B7318"/>
    <w:rsid w:val="002B7951"/>
    <w:rsid w:val="002B7BBE"/>
    <w:rsid w:val="002B7D30"/>
    <w:rsid w:val="002B7DF3"/>
    <w:rsid w:val="002C068B"/>
    <w:rsid w:val="002C0887"/>
    <w:rsid w:val="002C0998"/>
    <w:rsid w:val="002C0A0B"/>
    <w:rsid w:val="002C159C"/>
    <w:rsid w:val="002C1804"/>
    <w:rsid w:val="002C188A"/>
    <w:rsid w:val="002C1E54"/>
    <w:rsid w:val="002C1E5C"/>
    <w:rsid w:val="002C1F5E"/>
    <w:rsid w:val="002C20BF"/>
    <w:rsid w:val="002C2341"/>
    <w:rsid w:val="002C29FE"/>
    <w:rsid w:val="002C2AD5"/>
    <w:rsid w:val="002C3489"/>
    <w:rsid w:val="002C365E"/>
    <w:rsid w:val="002C3771"/>
    <w:rsid w:val="002C3CE4"/>
    <w:rsid w:val="002C3D14"/>
    <w:rsid w:val="002C4231"/>
    <w:rsid w:val="002C44DD"/>
    <w:rsid w:val="002C4A9A"/>
    <w:rsid w:val="002C4D15"/>
    <w:rsid w:val="002C4E42"/>
    <w:rsid w:val="002C4F12"/>
    <w:rsid w:val="002C537C"/>
    <w:rsid w:val="002C5601"/>
    <w:rsid w:val="002C58BC"/>
    <w:rsid w:val="002C7080"/>
    <w:rsid w:val="002C76BF"/>
    <w:rsid w:val="002C78ED"/>
    <w:rsid w:val="002C7AE6"/>
    <w:rsid w:val="002C7BEA"/>
    <w:rsid w:val="002C7FC4"/>
    <w:rsid w:val="002D00B0"/>
    <w:rsid w:val="002D07BB"/>
    <w:rsid w:val="002D17D5"/>
    <w:rsid w:val="002D1D26"/>
    <w:rsid w:val="002D2364"/>
    <w:rsid w:val="002D24F6"/>
    <w:rsid w:val="002D2B0A"/>
    <w:rsid w:val="002D2B65"/>
    <w:rsid w:val="002D2E16"/>
    <w:rsid w:val="002D364A"/>
    <w:rsid w:val="002D3919"/>
    <w:rsid w:val="002D3BC6"/>
    <w:rsid w:val="002D3E65"/>
    <w:rsid w:val="002D3FD9"/>
    <w:rsid w:val="002D48B0"/>
    <w:rsid w:val="002D5129"/>
    <w:rsid w:val="002D6050"/>
    <w:rsid w:val="002D6194"/>
    <w:rsid w:val="002D672B"/>
    <w:rsid w:val="002D676B"/>
    <w:rsid w:val="002D6E3E"/>
    <w:rsid w:val="002D7320"/>
    <w:rsid w:val="002D7648"/>
    <w:rsid w:val="002D786A"/>
    <w:rsid w:val="002D78C7"/>
    <w:rsid w:val="002D7AA6"/>
    <w:rsid w:val="002D7E4B"/>
    <w:rsid w:val="002E025F"/>
    <w:rsid w:val="002E0892"/>
    <w:rsid w:val="002E0B99"/>
    <w:rsid w:val="002E0C0C"/>
    <w:rsid w:val="002E1352"/>
    <w:rsid w:val="002E1AB4"/>
    <w:rsid w:val="002E1ACC"/>
    <w:rsid w:val="002E1BB8"/>
    <w:rsid w:val="002E209A"/>
    <w:rsid w:val="002E21D6"/>
    <w:rsid w:val="002E2581"/>
    <w:rsid w:val="002E2CA6"/>
    <w:rsid w:val="002E3886"/>
    <w:rsid w:val="002E3CBC"/>
    <w:rsid w:val="002E3D44"/>
    <w:rsid w:val="002E45F0"/>
    <w:rsid w:val="002E476B"/>
    <w:rsid w:val="002E47BE"/>
    <w:rsid w:val="002E4B90"/>
    <w:rsid w:val="002E4FB8"/>
    <w:rsid w:val="002E53D6"/>
    <w:rsid w:val="002E55CE"/>
    <w:rsid w:val="002E58CA"/>
    <w:rsid w:val="002E5EDD"/>
    <w:rsid w:val="002E60D6"/>
    <w:rsid w:val="002E67EF"/>
    <w:rsid w:val="002E6D55"/>
    <w:rsid w:val="002E7200"/>
    <w:rsid w:val="002E7357"/>
    <w:rsid w:val="002E7778"/>
    <w:rsid w:val="002F09A8"/>
    <w:rsid w:val="002F0A83"/>
    <w:rsid w:val="002F0CA1"/>
    <w:rsid w:val="002F0F10"/>
    <w:rsid w:val="002F1AF7"/>
    <w:rsid w:val="002F20E9"/>
    <w:rsid w:val="002F2346"/>
    <w:rsid w:val="002F27C0"/>
    <w:rsid w:val="002F3541"/>
    <w:rsid w:val="002F367D"/>
    <w:rsid w:val="002F379E"/>
    <w:rsid w:val="002F39B6"/>
    <w:rsid w:val="002F4063"/>
    <w:rsid w:val="002F4EC6"/>
    <w:rsid w:val="002F50D9"/>
    <w:rsid w:val="002F53EE"/>
    <w:rsid w:val="002F5408"/>
    <w:rsid w:val="002F573F"/>
    <w:rsid w:val="002F577F"/>
    <w:rsid w:val="002F592D"/>
    <w:rsid w:val="002F5DB2"/>
    <w:rsid w:val="002F60DF"/>
    <w:rsid w:val="002F62E1"/>
    <w:rsid w:val="002F66E9"/>
    <w:rsid w:val="002F680D"/>
    <w:rsid w:val="002F6DDF"/>
    <w:rsid w:val="002F7675"/>
    <w:rsid w:val="00300483"/>
    <w:rsid w:val="00300493"/>
    <w:rsid w:val="00300979"/>
    <w:rsid w:val="003009DB"/>
    <w:rsid w:val="00300C81"/>
    <w:rsid w:val="0030150E"/>
    <w:rsid w:val="00301B2C"/>
    <w:rsid w:val="00301E16"/>
    <w:rsid w:val="00301EC4"/>
    <w:rsid w:val="00302270"/>
    <w:rsid w:val="003022F1"/>
    <w:rsid w:val="00302FCE"/>
    <w:rsid w:val="0030309C"/>
    <w:rsid w:val="0030354D"/>
    <w:rsid w:val="003036D6"/>
    <w:rsid w:val="003037FD"/>
    <w:rsid w:val="00304011"/>
    <w:rsid w:val="00304222"/>
    <w:rsid w:val="00304263"/>
    <w:rsid w:val="0030452A"/>
    <w:rsid w:val="003047F3"/>
    <w:rsid w:val="00304B3E"/>
    <w:rsid w:val="00304CC4"/>
    <w:rsid w:val="00304D94"/>
    <w:rsid w:val="00304D97"/>
    <w:rsid w:val="00305070"/>
    <w:rsid w:val="003058DE"/>
    <w:rsid w:val="00305D3C"/>
    <w:rsid w:val="003063C6"/>
    <w:rsid w:val="003063C9"/>
    <w:rsid w:val="00306895"/>
    <w:rsid w:val="00306B28"/>
    <w:rsid w:val="00306CFA"/>
    <w:rsid w:val="00306E87"/>
    <w:rsid w:val="00307254"/>
    <w:rsid w:val="003078B0"/>
    <w:rsid w:val="0031018D"/>
    <w:rsid w:val="00310256"/>
    <w:rsid w:val="003105C5"/>
    <w:rsid w:val="00310EBF"/>
    <w:rsid w:val="00311389"/>
    <w:rsid w:val="003115D9"/>
    <w:rsid w:val="0031180A"/>
    <w:rsid w:val="00311961"/>
    <w:rsid w:val="00311F6F"/>
    <w:rsid w:val="003122C7"/>
    <w:rsid w:val="0031246D"/>
    <w:rsid w:val="0031250E"/>
    <w:rsid w:val="003125B9"/>
    <w:rsid w:val="00313127"/>
    <w:rsid w:val="00313304"/>
    <w:rsid w:val="0031358F"/>
    <w:rsid w:val="00313654"/>
    <w:rsid w:val="003139CB"/>
    <w:rsid w:val="00313D6C"/>
    <w:rsid w:val="00314437"/>
    <w:rsid w:val="00315548"/>
    <w:rsid w:val="00315571"/>
    <w:rsid w:val="003155F4"/>
    <w:rsid w:val="003158E6"/>
    <w:rsid w:val="003158EE"/>
    <w:rsid w:val="00315EE8"/>
    <w:rsid w:val="00316163"/>
    <w:rsid w:val="003166F4"/>
    <w:rsid w:val="00316EC1"/>
    <w:rsid w:val="0031766A"/>
    <w:rsid w:val="00317B27"/>
    <w:rsid w:val="00317DEC"/>
    <w:rsid w:val="00317E53"/>
    <w:rsid w:val="0032008A"/>
    <w:rsid w:val="0032008E"/>
    <w:rsid w:val="00320309"/>
    <w:rsid w:val="003203A6"/>
    <w:rsid w:val="003204CA"/>
    <w:rsid w:val="003204DB"/>
    <w:rsid w:val="003210DC"/>
    <w:rsid w:val="003213A1"/>
    <w:rsid w:val="0032145A"/>
    <w:rsid w:val="0032156F"/>
    <w:rsid w:val="00321BCD"/>
    <w:rsid w:val="00321D1E"/>
    <w:rsid w:val="00322256"/>
    <w:rsid w:val="00322950"/>
    <w:rsid w:val="00323B02"/>
    <w:rsid w:val="003246D2"/>
    <w:rsid w:val="00324F7D"/>
    <w:rsid w:val="00324FDC"/>
    <w:rsid w:val="0032530E"/>
    <w:rsid w:val="00325A61"/>
    <w:rsid w:val="00326976"/>
    <w:rsid w:val="00326A94"/>
    <w:rsid w:val="00326B01"/>
    <w:rsid w:val="00326BFA"/>
    <w:rsid w:val="00327158"/>
    <w:rsid w:val="00327437"/>
    <w:rsid w:val="003279D4"/>
    <w:rsid w:val="003279E4"/>
    <w:rsid w:val="00327D7D"/>
    <w:rsid w:val="003301F1"/>
    <w:rsid w:val="00330274"/>
    <w:rsid w:val="00330511"/>
    <w:rsid w:val="003306D3"/>
    <w:rsid w:val="00330844"/>
    <w:rsid w:val="00330CAD"/>
    <w:rsid w:val="00330E27"/>
    <w:rsid w:val="003311D7"/>
    <w:rsid w:val="00331239"/>
    <w:rsid w:val="00331520"/>
    <w:rsid w:val="00331C96"/>
    <w:rsid w:val="00331D43"/>
    <w:rsid w:val="00331FD1"/>
    <w:rsid w:val="0033213B"/>
    <w:rsid w:val="003323AE"/>
    <w:rsid w:val="003324C4"/>
    <w:rsid w:val="00332778"/>
    <w:rsid w:val="00332942"/>
    <w:rsid w:val="00332B8B"/>
    <w:rsid w:val="00332E11"/>
    <w:rsid w:val="0033319B"/>
    <w:rsid w:val="003333C9"/>
    <w:rsid w:val="00333576"/>
    <w:rsid w:val="00333587"/>
    <w:rsid w:val="00333B4D"/>
    <w:rsid w:val="00333CDC"/>
    <w:rsid w:val="00333ED2"/>
    <w:rsid w:val="0033424B"/>
    <w:rsid w:val="003343EE"/>
    <w:rsid w:val="003346B0"/>
    <w:rsid w:val="003347AF"/>
    <w:rsid w:val="00334F0A"/>
    <w:rsid w:val="0033509D"/>
    <w:rsid w:val="0033521E"/>
    <w:rsid w:val="00335A73"/>
    <w:rsid w:val="00335AA7"/>
    <w:rsid w:val="00335AD9"/>
    <w:rsid w:val="00335E34"/>
    <w:rsid w:val="00335EA3"/>
    <w:rsid w:val="00335FA6"/>
    <w:rsid w:val="003363D1"/>
    <w:rsid w:val="003364C7"/>
    <w:rsid w:val="00336E90"/>
    <w:rsid w:val="00336F47"/>
    <w:rsid w:val="0033722A"/>
    <w:rsid w:val="00337646"/>
    <w:rsid w:val="00337C10"/>
    <w:rsid w:val="00337CA2"/>
    <w:rsid w:val="00337DA9"/>
    <w:rsid w:val="00337E5F"/>
    <w:rsid w:val="0034001D"/>
    <w:rsid w:val="00340188"/>
    <w:rsid w:val="003401D8"/>
    <w:rsid w:val="003402FB"/>
    <w:rsid w:val="0034037F"/>
    <w:rsid w:val="003404A4"/>
    <w:rsid w:val="0034060F"/>
    <w:rsid w:val="003407ED"/>
    <w:rsid w:val="003409DB"/>
    <w:rsid w:val="00340A8F"/>
    <w:rsid w:val="00340D14"/>
    <w:rsid w:val="003413F9"/>
    <w:rsid w:val="00341412"/>
    <w:rsid w:val="003415E2"/>
    <w:rsid w:val="003418E4"/>
    <w:rsid w:val="00341F33"/>
    <w:rsid w:val="0034263F"/>
    <w:rsid w:val="00342AFF"/>
    <w:rsid w:val="00343179"/>
    <w:rsid w:val="003431B0"/>
    <w:rsid w:val="003431C8"/>
    <w:rsid w:val="003438B2"/>
    <w:rsid w:val="003438B6"/>
    <w:rsid w:val="003439DB"/>
    <w:rsid w:val="003443A3"/>
    <w:rsid w:val="00344B8A"/>
    <w:rsid w:val="00345DD1"/>
    <w:rsid w:val="00346454"/>
    <w:rsid w:val="00346843"/>
    <w:rsid w:val="00347104"/>
    <w:rsid w:val="00347ABA"/>
    <w:rsid w:val="00347B06"/>
    <w:rsid w:val="00347C27"/>
    <w:rsid w:val="00350259"/>
    <w:rsid w:val="0035065F"/>
    <w:rsid w:val="00350852"/>
    <w:rsid w:val="0035096E"/>
    <w:rsid w:val="00350ADA"/>
    <w:rsid w:val="00350BA0"/>
    <w:rsid w:val="00350FC0"/>
    <w:rsid w:val="00351190"/>
    <w:rsid w:val="0035129C"/>
    <w:rsid w:val="00351723"/>
    <w:rsid w:val="00351B62"/>
    <w:rsid w:val="00351BD8"/>
    <w:rsid w:val="00351C84"/>
    <w:rsid w:val="00351CAE"/>
    <w:rsid w:val="00351FA6"/>
    <w:rsid w:val="0035219F"/>
    <w:rsid w:val="00352AB7"/>
    <w:rsid w:val="00352EC5"/>
    <w:rsid w:val="003531C7"/>
    <w:rsid w:val="00353644"/>
    <w:rsid w:val="00353823"/>
    <w:rsid w:val="00353E13"/>
    <w:rsid w:val="00353FB6"/>
    <w:rsid w:val="003540F4"/>
    <w:rsid w:val="0035436E"/>
    <w:rsid w:val="0035469C"/>
    <w:rsid w:val="0035486E"/>
    <w:rsid w:val="00354885"/>
    <w:rsid w:val="00354C91"/>
    <w:rsid w:val="00354FB3"/>
    <w:rsid w:val="00355502"/>
    <w:rsid w:val="0035578B"/>
    <w:rsid w:val="00355D01"/>
    <w:rsid w:val="00356341"/>
    <w:rsid w:val="003566B0"/>
    <w:rsid w:val="00356F52"/>
    <w:rsid w:val="00357401"/>
    <w:rsid w:val="0035755F"/>
    <w:rsid w:val="003576ED"/>
    <w:rsid w:val="0035771A"/>
    <w:rsid w:val="0035786D"/>
    <w:rsid w:val="00357AFE"/>
    <w:rsid w:val="00357D1E"/>
    <w:rsid w:val="00360413"/>
    <w:rsid w:val="00360A0E"/>
    <w:rsid w:val="00360B81"/>
    <w:rsid w:val="00361031"/>
    <w:rsid w:val="00361B65"/>
    <w:rsid w:val="00362415"/>
    <w:rsid w:val="00362E76"/>
    <w:rsid w:val="003630D0"/>
    <w:rsid w:val="00363235"/>
    <w:rsid w:val="003643C4"/>
    <w:rsid w:val="003645F1"/>
    <w:rsid w:val="003647C1"/>
    <w:rsid w:val="0036492D"/>
    <w:rsid w:val="003649D6"/>
    <w:rsid w:val="00364AE2"/>
    <w:rsid w:val="00364B25"/>
    <w:rsid w:val="00364BEE"/>
    <w:rsid w:val="00364C8B"/>
    <w:rsid w:val="00364CCF"/>
    <w:rsid w:val="00364F4A"/>
    <w:rsid w:val="0036524B"/>
    <w:rsid w:val="00365275"/>
    <w:rsid w:val="003653E9"/>
    <w:rsid w:val="00365619"/>
    <w:rsid w:val="003657EF"/>
    <w:rsid w:val="00365962"/>
    <w:rsid w:val="00365FC4"/>
    <w:rsid w:val="00366283"/>
    <w:rsid w:val="003663BA"/>
    <w:rsid w:val="0036669F"/>
    <w:rsid w:val="00366F99"/>
    <w:rsid w:val="00366FD8"/>
    <w:rsid w:val="003671E8"/>
    <w:rsid w:val="003676AE"/>
    <w:rsid w:val="00367774"/>
    <w:rsid w:val="0036777E"/>
    <w:rsid w:val="0036787C"/>
    <w:rsid w:val="00367B8E"/>
    <w:rsid w:val="00367CAD"/>
    <w:rsid w:val="00367E2F"/>
    <w:rsid w:val="00370147"/>
    <w:rsid w:val="003701FA"/>
    <w:rsid w:val="0037086B"/>
    <w:rsid w:val="0037099A"/>
    <w:rsid w:val="00370D32"/>
    <w:rsid w:val="00370F99"/>
    <w:rsid w:val="003712B7"/>
    <w:rsid w:val="0037133D"/>
    <w:rsid w:val="00371ECA"/>
    <w:rsid w:val="0037271A"/>
    <w:rsid w:val="00372861"/>
    <w:rsid w:val="00372865"/>
    <w:rsid w:val="0037294D"/>
    <w:rsid w:val="00372A26"/>
    <w:rsid w:val="00372E81"/>
    <w:rsid w:val="00372EC7"/>
    <w:rsid w:val="003731C6"/>
    <w:rsid w:val="003733DE"/>
    <w:rsid w:val="0037342C"/>
    <w:rsid w:val="00373653"/>
    <w:rsid w:val="00373A1C"/>
    <w:rsid w:val="00374146"/>
    <w:rsid w:val="003741B6"/>
    <w:rsid w:val="003742CA"/>
    <w:rsid w:val="003743D1"/>
    <w:rsid w:val="0037484C"/>
    <w:rsid w:val="003748C6"/>
    <w:rsid w:val="003749CD"/>
    <w:rsid w:val="00374A6C"/>
    <w:rsid w:val="00374D38"/>
    <w:rsid w:val="00374F02"/>
    <w:rsid w:val="00374F90"/>
    <w:rsid w:val="00375248"/>
    <w:rsid w:val="003757B3"/>
    <w:rsid w:val="00376400"/>
    <w:rsid w:val="00376837"/>
    <w:rsid w:val="00376D5B"/>
    <w:rsid w:val="00377C5D"/>
    <w:rsid w:val="003801AA"/>
    <w:rsid w:val="0038045A"/>
    <w:rsid w:val="00380E4C"/>
    <w:rsid w:val="003812DA"/>
    <w:rsid w:val="003816C8"/>
    <w:rsid w:val="0038180D"/>
    <w:rsid w:val="00381858"/>
    <w:rsid w:val="00381954"/>
    <w:rsid w:val="00382142"/>
    <w:rsid w:val="00382718"/>
    <w:rsid w:val="00382B3B"/>
    <w:rsid w:val="00382C62"/>
    <w:rsid w:val="00382ED6"/>
    <w:rsid w:val="00382FA2"/>
    <w:rsid w:val="00382FD9"/>
    <w:rsid w:val="003831AC"/>
    <w:rsid w:val="00383371"/>
    <w:rsid w:val="00383EAB"/>
    <w:rsid w:val="00383F4D"/>
    <w:rsid w:val="00384672"/>
    <w:rsid w:val="003847E5"/>
    <w:rsid w:val="00384906"/>
    <w:rsid w:val="003849B0"/>
    <w:rsid w:val="00384CD8"/>
    <w:rsid w:val="00384F5D"/>
    <w:rsid w:val="00385194"/>
    <w:rsid w:val="0038557C"/>
    <w:rsid w:val="003858F5"/>
    <w:rsid w:val="00385B41"/>
    <w:rsid w:val="00385ED2"/>
    <w:rsid w:val="003866D6"/>
    <w:rsid w:val="00386755"/>
    <w:rsid w:val="0038690E"/>
    <w:rsid w:val="0038714A"/>
    <w:rsid w:val="0038715C"/>
    <w:rsid w:val="00387388"/>
    <w:rsid w:val="00387404"/>
    <w:rsid w:val="00387625"/>
    <w:rsid w:val="00387A3F"/>
    <w:rsid w:val="00387DCA"/>
    <w:rsid w:val="003912C8"/>
    <w:rsid w:val="00391545"/>
    <w:rsid w:val="003915C3"/>
    <w:rsid w:val="00391B56"/>
    <w:rsid w:val="00391BD6"/>
    <w:rsid w:val="00391F86"/>
    <w:rsid w:val="003923FB"/>
    <w:rsid w:val="0039290A"/>
    <w:rsid w:val="00393006"/>
    <w:rsid w:val="003931C7"/>
    <w:rsid w:val="00393332"/>
    <w:rsid w:val="003933C3"/>
    <w:rsid w:val="003936CB"/>
    <w:rsid w:val="00393729"/>
    <w:rsid w:val="00393943"/>
    <w:rsid w:val="0039398C"/>
    <w:rsid w:val="00393F00"/>
    <w:rsid w:val="00393F35"/>
    <w:rsid w:val="00393FE3"/>
    <w:rsid w:val="003945AF"/>
    <w:rsid w:val="003945C0"/>
    <w:rsid w:val="003952D2"/>
    <w:rsid w:val="003959ED"/>
    <w:rsid w:val="003959F2"/>
    <w:rsid w:val="00396136"/>
    <w:rsid w:val="003963D8"/>
    <w:rsid w:val="00396436"/>
    <w:rsid w:val="003968D5"/>
    <w:rsid w:val="00397037"/>
    <w:rsid w:val="003970FF"/>
    <w:rsid w:val="00397AC8"/>
    <w:rsid w:val="003A048D"/>
    <w:rsid w:val="003A0B07"/>
    <w:rsid w:val="003A1605"/>
    <w:rsid w:val="003A1A75"/>
    <w:rsid w:val="003A1E0F"/>
    <w:rsid w:val="003A1FD5"/>
    <w:rsid w:val="003A2188"/>
    <w:rsid w:val="003A21F2"/>
    <w:rsid w:val="003A2337"/>
    <w:rsid w:val="003A25A7"/>
    <w:rsid w:val="003A2A72"/>
    <w:rsid w:val="003A2B9F"/>
    <w:rsid w:val="003A2C5A"/>
    <w:rsid w:val="003A31C0"/>
    <w:rsid w:val="003A3535"/>
    <w:rsid w:val="003A35FB"/>
    <w:rsid w:val="003A3601"/>
    <w:rsid w:val="003A380C"/>
    <w:rsid w:val="003A41CA"/>
    <w:rsid w:val="003A4254"/>
    <w:rsid w:val="003A4559"/>
    <w:rsid w:val="003A4D23"/>
    <w:rsid w:val="003A4EE2"/>
    <w:rsid w:val="003A5499"/>
    <w:rsid w:val="003A567B"/>
    <w:rsid w:val="003A57B4"/>
    <w:rsid w:val="003A5BC8"/>
    <w:rsid w:val="003A62F7"/>
    <w:rsid w:val="003A680B"/>
    <w:rsid w:val="003A6EB9"/>
    <w:rsid w:val="003A7A0C"/>
    <w:rsid w:val="003A7A12"/>
    <w:rsid w:val="003B0456"/>
    <w:rsid w:val="003B07EC"/>
    <w:rsid w:val="003B1027"/>
    <w:rsid w:val="003B1202"/>
    <w:rsid w:val="003B137A"/>
    <w:rsid w:val="003B1935"/>
    <w:rsid w:val="003B1C31"/>
    <w:rsid w:val="003B2171"/>
    <w:rsid w:val="003B21AD"/>
    <w:rsid w:val="003B21C7"/>
    <w:rsid w:val="003B238E"/>
    <w:rsid w:val="003B23F5"/>
    <w:rsid w:val="003B257A"/>
    <w:rsid w:val="003B271A"/>
    <w:rsid w:val="003B28CC"/>
    <w:rsid w:val="003B2BB8"/>
    <w:rsid w:val="003B3267"/>
    <w:rsid w:val="003B393D"/>
    <w:rsid w:val="003B3BD9"/>
    <w:rsid w:val="003B3C82"/>
    <w:rsid w:val="003B43F8"/>
    <w:rsid w:val="003B455B"/>
    <w:rsid w:val="003B491B"/>
    <w:rsid w:val="003B497C"/>
    <w:rsid w:val="003B499C"/>
    <w:rsid w:val="003B4A27"/>
    <w:rsid w:val="003B4EE0"/>
    <w:rsid w:val="003B52CE"/>
    <w:rsid w:val="003B535C"/>
    <w:rsid w:val="003B5F0C"/>
    <w:rsid w:val="003B624F"/>
    <w:rsid w:val="003B62B8"/>
    <w:rsid w:val="003B6674"/>
    <w:rsid w:val="003B67D8"/>
    <w:rsid w:val="003B699F"/>
    <w:rsid w:val="003B6A0F"/>
    <w:rsid w:val="003B6AD6"/>
    <w:rsid w:val="003B6BCC"/>
    <w:rsid w:val="003B6D8A"/>
    <w:rsid w:val="003B789E"/>
    <w:rsid w:val="003B7AC8"/>
    <w:rsid w:val="003C005D"/>
    <w:rsid w:val="003C0284"/>
    <w:rsid w:val="003C02D5"/>
    <w:rsid w:val="003C0583"/>
    <w:rsid w:val="003C097D"/>
    <w:rsid w:val="003C0AC4"/>
    <w:rsid w:val="003C0B6A"/>
    <w:rsid w:val="003C0B7C"/>
    <w:rsid w:val="003C0E99"/>
    <w:rsid w:val="003C1770"/>
    <w:rsid w:val="003C1DFC"/>
    <w:rsid w:val="003C2120"/>
    <w:rsid w:val="003C23BE"/>
    <w:rsid w:val="003C2CE0"/>
    <w:rsid w:val="003C3283"/>
    <w:rsid w:val="003C3351"/>
    <w:rsid w:val="003C33D3"/>
    <w:rsid w:val="003C3432"/>
    <w:rsid w:val="003C372A"/>
    <w:rsid w:val="003C4196"/>
    <w:rsid w:val="003C44C9"/>
    <w:rsid w:val="003C459E"/>
    <w:rsid w:val="003C46F3"/>
    <w:rsid w:val="003C47C0"/>
    <w:rsid w:val="003C4A7A"/>
    <w:rsid w:val="003C4BB1"/>
    <w:rsid w:val="003C4DE2"/>
    <w:rsid w:val="003C4E04"/>
    <w:rsid w:val="003C50E1"/>
    <w:rsid w:val="003C5288"/>
    <w:rsid w:val="003C576B"/>
    <w:rsid w:val="003C5E73"/>
    <w:rsid w:val="003C63A3"/>
    <w:rsid w:val="003C67D9"/>
    <w:rsid w:val="003C6A6B"/>
    <w:rsid w:val="003C6F19"/>
    <w:rsid w:val="003C70E4"/>
    <w:rsid w:val="003C7AF5"/>
    <w:rsid w:val="003D0061"/>
    <w:rsid w:val="003D030E"/>
    <w:rsid w:val="003D040D"/>
    <w:rsid w:val="003D0474"/>
    <w:rsid w:val="003D0670"/>
    <w:rsid w:val="003D0C65"/>
    <w:rsid w:val="003D12FF"/>
    <w:rsid w:val="003D15DE"/>
    <w:rsid w:val="003D16F9"/>
    <w:rsid w:val="003D17A4"/>
    <w:rsid w:val="003D18C7"/>
    <w:rsid w:val="003D1CEB"/>
    <w:rsid w:val="003D1F49"/>
    <w:rsid w:val="003D2061"/>
    <w:rsid w:val="003D2449"/>
    <w:rsid w:val="003D28E1"/>
    <w:rsid w:val="003D2C1B"/>
    <w:rsid w:val="003D30B7"/>
    <w:rsid w:val="003D30E4"/>
    <w:rsid w:val="003D3C48"/>
    <w:rsid w:val="003D3DB4"/>
    <w:rsid w:val="003D47CE"/>
    <w:rsid w:val="003D4F4C"/>
    <w:rsid w:val="003D51FB"/>
    <w:rsid w:val="003D541A"/>
    <w:rsid w:val="003D543B"/>
    <w:rsid w:val="003D57AA"/>
    <w:rsid w:val="003D6125"/>
    <w:rsid w:val="003D63B6"/>
    <w:rsid w:val="003D63DB"/>
    <w:rsid w:val="003D64D3"/>
    <w:rsid w:val="003D66A9"/>
    <w:rsid w:val="003D6759"/>
    <w:rsid w:val="003D689F"/>
    <w:rsid w:val="003D6AE7"/>
    <w:rsid w:val="003D7602"/>
    <w:rsid w:val="003D7E3D"/>
    <w:rsid w:val="003E02C5"/>
    <w:rsid w:val="003E0639"/>
    <w:rsid w:val="003E0A02"/>
    <w:rsid w:val="003E0C75"/>
    <w:rsid w:val="003E11DB"/>
    <w:rsid w:val="003E1A40"/>
    <w:rsid w:val="003E1B12"/>
    <w:rsid w:val="003E1B35"/>
    <w:rsid w:val="003E1FE3"/>
    <w:rsid w:val="003E2131"/>
    <w:rsid w:val="003E21E1"/>
    <w:rsid w:val="003E24F1"/>
    <w:rsid w:val="003E2AB0"/>
    <w:rsid w:val="003E2D88"/>
    <w:rsid w:val="003E32A7"/>
    <w:rsid w:val="003E3691"/>
    <w:rsid w:val="003E3830"/>
    <w:rsid w:val="003E39FC"/>
    <w:rsid w:val="003E3BBB"/>
    <w:rsid w:val="003E3C9D"/>
    <w:rsid w:val="003E3E9A"/>
    <w:rsid w:val="003E4657"/>
    <w:rsid w:val="003E4700"/>
    <w:rsid w:val="003E4899"/>
    <w:rsid w:val="003E4C52"/>
    <w:rsid w:val="003E5019"/>
    <w:rsid w:val="003E5EEC"/>
    <w:rsid w:val="003E603A"/>
    <w:rsid w:val="003E6102"/>
    <w:rsid w:val="003E625D"/>
    <w:rsid w:val="003E62B3"/>
    <w:rsid w:val="003E690D"/>
    <w:rsid w:val="003E6B75"/>
    <w:rsid w:val="003E6F8B"/>
    <w:rsid w:val="003E71B6"/>
    <w:rsid w:val="003E71C9"/>
    <w:rsid w:val="003E74AE"/>
    <w:rsid w:val="003E78ED"/>
    <w:rsid w:val="003E7956"/>
    <w:rsid w:val="003E7C93"/>
    <w:rsid w:val="003F08AC"/>
    <w:rsid w:val="003F0A42"/>
    <w:rsid w:val="003F1555"/>
    <w:rsid w:val="003F1A02"/>
    <w:rsid w:val="003F1A33"/>
    <w:rsid w:val="003F25B7"/>
    <w:rsid w:val="003F28F8"/>
    <w:rsid w:val="003F2B00"/>
    <w:rsid w:val="003F2BF1"/>
    <w:rsid w:val="003F2E00"/>
    <w:rsid w:val="003F3072"/>
    <w:rsid w:val="003F3173"/>
    <w:rsid w:val="003F31E6"/>
    <w:rsid w:val="003F332C"/>
    <w:rsid w:val="003F3EC3"/>
    <w:rsid w:val="003F3F31"/>
    <w:rsid w:val="003F411E"/>
    <w:rsid w:val="003F4ABD"/>
    <w:rsid w:val="003F4E80"/>
    <w:rsid w:val="003F537B"/>
    <w:rsid w:val="003F54F6"/>
    <w:rsid w:val="003F550D"/>
    <w:rsid w:val="003F5CA2"/>
    <w:rsid w:val="003F5DB6"/>
    <w:rsid w:val="003F6293"/>
    <w:rsid w:val="003F661C"/>
    <w:rsid w:val="003F6A91"/>
    <w:rsid w:val="003F6F86"/>
    <w:rsid w:val="003F70BC"/>
    <w:rsid w:val="003F710F"/>
    <w:rsid w:val="003F755D"/>
    <w:rsid w:val="003F7CC1"/>
    <w:rsid w:val="004004C3"/>
    <w:rsid w:val="00400A49"/>
    <w:rsid w:val="00400ED6"/>
    <w:rsid w:val="00401057"/>
    <w:rsid w:val="0040153F"/>
    <w:rsid w:val="0040158C"/>
    <w:rsid w:val="004016DD"/>
    <w:rsid w:val="00401933"/>
    <w:rsid w:val="004019FF"/>
    <w:rsid w:val="0040207C"/>
    <w:rsid w:val="004023AB"/>
    <w:rsid w:val="004024E4"/>
    <w:rsid w:val="004025BF"/>
    <w:rsid w:val="00402C44"/>
    <w:rsid w:val="00402D24"/>
    <w:rsid w:val="00402D36"/>
    <w:rsid w:val="00402F00"/>
    <w:rsid w:val="004039D0"/>
    <w:rsid w:val="00403E20"/>
    <w:rsid w:val="004044DF"/>
    <w:rsid w:val="004045B1"/>
    <w:rsid w:val="00404BE2"/>
    <w:rsid w:val="00404E0F"/>
    <w:rsid w:val="00404EAD"/>
    <w:rsid w:val="00404ECD"/>
    <w:rsid w:val="00405245"/>
    <w:rsid w:val="00405452"/>
    <w:rsid w:val="0040579A"/>
    <w:rsid w:val="004058B6"/>
    <w:rsid w:val="00405D0C"/>
    <w:rsid w:val="00405E7B"/>
    <w:rsid w:val="004061B4"/>
    <w:rsid w:val="004061FE"/>
    <w:rsid w:val="00406289"/>
    <w:rsid w:val="00406578"/>
    <w:rsid w:val="00407178"/>
    <w:rsid w:val="004074EF"/>
    <w:rsid w:val="004078CC"/>
    <w:rsid w:val="00407BF1"/>
    <w:rsid w:val="00407F77"/>
    <w:rsid w:val="004102C3"/>
    <w:rsid w:val="0041058D"/>
    <w:rsid w:val="00410D35"/>
    <w:rsid w:val="00410DA8"/>
    <w:rsid w:val="00410DAB"/>
    <w:rsid w:val="0041177A"/>
    <w:rsid w:val="00411C11"/>
    <w:rsid w:val="004120F0"/>
    <w:rsid w:val="00412613"/>
    <w:rsid w:val="00412AAB"/>
    <w:rsid w:val="00412E60"/>
    <w:rsid w:val="00413077"/>
    <w:rsid w:val="0041307C"/>
    <w:rsid w:val="004132BD"/>
    <w:rsid w:val="00413389"/>
    <w:rsid w:val="00413699"/>
    <w:rsid w:val="00413ABB"/>
    <w:rsid w:val="00413BCF"/>
    <w:rsid w:val="00414159"/>
    <w:rsid w:val="00414171"/>
    <w:rsid w:val="0041481D"/>
    <w:rsid w:val="00414A1F"/>
    <w:rsid w:val="00414B38"/>
    <w:rsid w:val="00414C1F"/>
    <w:rsid w:val="00414E98"/>
    <w:rsid w:val="00415C98"/>
    <w:rsid w:val="004160F4"/>
    <w:rsid w:val="004167B4"/>
    <w:rsid w:val="004167BC"/>
    <w:rsid w:val="00416A96"/>
    <w:rsid w:val="00416C21"/>
    <w:rsid w:val="00416D8E"/>
    <w:rsid w:val="00416F39"/>
    <w:rsid w:val="0041705C"/>
    <w:rsid w:val="0041710C"/>
    <w:rsid w:val="0041732D"/>
    <w:rsid w:val="004173D6"/>
    <w:rsid w:val="0041741D"/>
    <w:rsid w:val="00417F3B"/>
    <w:rsid w:val="00417F49"/>
    <w:rsid w:val="004202FE"/>
    <w:rsid w:val="0042032D"/>
    <w:rsid w:val="00420622"/>
    <w:rsid w:val="00420B0C"/>
    <w:rsid w:val="00420CE4"/>
    <w:rsid w:val="00421213"/>
    <w:rsid w:val="00421369"/>
    <w:rsid w:val="00421491"/>
    <w:rsid w:val="004215A7"/>
    <w:rsid w:val="004215AF"/>
    <w:rsid w:val="004219EC"/>
    <w:rsid w:val="00421FA7"/>
    <w:rsid w:val="0042256A"/>
    <w:rsid w:val="004225DC"/>
    <w:rsid w:val="004226E6"/>
    <w:rsid w:val="004228E6"/>
    <w:rsid w:val="00422BE7"/>
    <w:rsid w:val="00422C0B"/>
    <w:rsid w:val="0042356E"/>
    <w:rsid w:val="004235A8"/>
    <w:rsid w:val="00423A41"/>
    <w:rsid w:val="00424231"/>
    <w:rsid w:val="0042456C"/>
    <w:rsid w:val="0042461A"/>
    <w:rsid w:val="0042482E"/>
    <w:rsid w:val="00424976"/>
    <w:rsid w:val="00424B92"/>
    <w:rsid w:val="00424BFE"/>
    <w:rsid w:val="00424CC2"/>
    <w:rsid w:val="00424D26"/>
    <w:rsid w:val="00424F7F"/>
    <w:rsid w:val="00425C40"/>
    <w:rsid w:val="00425D03"/>
    <w:rsid w:val="00425DAC"/>
    <w:rsid w:val="00425FBA"/>
    <w:rsid w:val="00425FEA"/>
    <w:rsid w:val="0042625C"/>
    <w:rsid w:val="004274F8"/>
    <w:rsid w:val="004277CD"/>
    <w:rsid w:val="00427C7D"/>
    <w:rsid w:val="0043060C"/>
    <w:rsid w:val="00430A1E"/>
    <w:rsid w:val="00430D7E"/>
    <w:rsid w:val="00431154"/>
    <w:rsid w:val="00431B42"/>
    <w:rsid w:val="00431CD3"/>
    <w:rsid w:val="00432072"/>
    <w:rsid w:val="004322A8"/>
    <w:rsid w:val="00432332"/>
    <w:rsid w:val="00432368"/>
    <w:rsid w:val="004327A5"/>
    <w:rsid w:val="00432B81"/>
    <w:rsid w:val="0043388F"/>
    <w:rsid w:val="00433B04"/>
    <w:rsid w:val="0043403F"/>
    <w:rsid w:val="00434CDC"/>
    <w:rsid w:val="00434F1B"/>
    <w:rsid w:val="004351B5"/>
    <w:rsid w:val="00435422"/>
    <w:rsid w:val="004355CD"/>
    <w:rsid w:val="004356EC"/>
    <w:rsid w:val="00435926"/>
    <w:rsid w:val="00435C39"/>
    <w:rsid w:val="00435F78"/>
    <w:rsid w:val="004362C7"/>
    <w:rsid w:val="004362E1"/>
    <w:rsid w:val="00436319"/>
    <w:rsid w:val="00436906"/>
    <w:rsid w:val="004369D6"/>
    <w:rsid w:val="00436F73"/>
    <w:rsid w:val="004372C7"/>
    <w:rsid w:val="004375B3"/>
    <w:rsid w:val="0043784D"/>
    <w:rsid w:val="00437901"/>
    <w:rsid w:val="00437BBE"/>
    <w:rsid w:val="00437D49"/>
    <w:rsid w:val="00437D86"/>
    <w:rsid w:val="00437DE0"/>
    <w:rsid w:val="00437DF1"/>
    <w:rsid w:val="00440047"/>
    <w:rsid w:val="00440256"/>
    <w:rsid w:val="004404EE"/>
    <w:rsid w:val="00440E22"/>
    <w:rsid w:val="00441239"/>
    <w:rsid w:val="004414AA"/>
    <w:rsid w:val="004415A6"/>
    <w:rsid w:val="0044185A"/>
    <w:rsid w:val="00441968"/>
    <w:rsid w:val="00441CFC"/>
    <w:rsid w:val="00441EC4"/>
    <w:rsid w:val="004423EC"/>
    <w:rsid w:val="00442518"/>
    <w:rsid w:val="0044272C"/>
    <w:rsid w:val="0044274F"/>
    <w:rsid w:val="00442848"/>
    <w:rsid w:val="004429A0"/>
    <w:rsid w:val="00442C2A"/>
    <w:rsid w:val="00442C85"/>
    <w:rsid w:val="00442DAE"/>
    <w:rsid w:val="00442FAF"/>
    <w:rsid w:val="0044370B"/>
    <w:rsid w:val="00443B1C"/>
    <w:rsid w:val="004443B3"/>
    <w:rsid w:val="0044457D"/>
    <w:rsid w:val="00444BAD"/>
    <w:rsid w:val="00444D0B"/>
    <w:rsid w:val="00444DFD"/>
    <w:rsid w:val="00444E3E"/>
    <w:rsid w:val="0044547D"/>
    <w:rsid w:val="00445666"/>
    <w:rsid w:val="00446136"/>
    <w:rsid w:val="004463C6"/>
    <w:rsid w:val="0044685E"/>
    <w:rsid w:val="00446E2C"/>
    <w:rsid w:val="00446F93"/>
    <w:rsid w:val="00446FEE"/>
    <w:rsid w:val="00447220"/>
    <w:rsid w:val="004501F2"/>
    <w:rsid w:val="004503EA"/>
    <w:rsid w:val="004507E8"/>
    <w:rsid w:val="00450902"/>
    <w:rsid w:val="00450AE6"/>
    <w:rsid w:val="00450B23"/>
    <w:rsid w:val="00451A74"/>
    <w:rsid w:val="00451A94"/>
    <w:rsid w:val="0045222E"/>
    <w:rsid w:val="004529BB"/>
    <w:rsid w:val="00452BD6"/>
    <w:rsid w:val="004533A1"/>
    <w:rsid w:val="00453465"/>
    <w:rsid w:val="00453E87"/>
    <w:rsid w:val="004543D9"/>
    <w:rsid w:val="00454D78"/>
    <w:rsid w:val="004552A6"/>
    <w:rsid w:val="004552AB"/>
    <w:rsid w:val="004553FF"/>
    <w:rsid w:val="00455819"/>
    <w:rsid w:val="00455FBD"/>
    <w:rsid w:val="00455FD1"/>
    <w:rsid w:val="0045622C"/>
    <w:rsid w:val="004563CE"/>
    <w:rsid w:val="00456515"/>
    <w:rsid w:val="00456770"/>
    <w:rsid w:val="00456EB9"/>
    <w:rsid w:val="00457108"/>
    <w:rsid w:val="00457345"/>
    <w:rsid w:val="004578B3"/>
    <w:rsid w:val="00457DFB"/>
    <w:rsid w:val="00457E35"/>
    <w:rsid w:val="004600A0"/>
    <w:rsid w:val="004607A5"/>
    <w:rsid w:val="00460D6D"/>
    <w:rsid w:val="00460D95"/>
    <w:rsid w:val="00460E77"/>
    <w:rsid w:val="00461052"/>
    <w:rsid w:val="00461635"/>
    <w:rsid w:val="004620BB"/>
    <w:rsid w:val="00462166"/>
    <w:rsid w:val="00462188"/>
    <w:rsid w:val="0046281D"/>
    <w:rsid w:val="00462936"/>
    <w:rsid w:val="00462BD3"/>
    <w:rsid w:val="00463079"/>
    <w:rsid w:val="004630A9"/>
    <w:rsid w:val="00463382"/>
    <w:rsid w:val="00463610"/>
    <w:rsid w:val="0046387C"/>
    <w:rsid w:val="00463D7B"/>
    <w:rsid w:val="00463F02"/>
    <w:rsid w:val="0046400A"/>
    <w:rsid w:val="00464354"/>
    <w:rsid w:val="00464509"/>
    <w:rsid w:val="00464763"/>
    <w:rsid w:val="00464B1F"/>
    <w:rsid w:val="00464B51"/>
    <w:rsid w:val="00464F6C"/>
    <w:rsid w:val="00464FB1"/>
    <w:rsid w:val="0046542B"/>
    <w:rsid w:val="00466320"/>
    <w:rsid w:val="00466348"/>
    <w:rsid w:val="00466DE2"/>
    <w:rsid w:val="00467185"/>
    <w:rsid w:val="00467219"/>
    <w:rsid w:val="00467736"/>
    <w:rsid w:val="00467A31"/>
    <w:rsid w:val="00467C71"/>
    <w:rsid w:val="00467FEF"/>
    <w:rsid w:val="00470011"/>
    <w:rsid w:val="0047050C"/>
    <w:rsid w:val="00470D31"/>
    <w:rsid w:val="00470EF8"/>
    <w:rsid w:val="004713E4"/>
    <w:rsid w:val="004713E7"/>
    <w:rsid w:val="004716FD"/>
    <w:rsid w:val="00471BB4"/>
    <w:rsid w:val="0047226E"/>
    <w:rsid w:val="00472272"/>
    <w:rsid w:val="00472346"/>
    <w:rsid w:val="004723F4"/>
    <w:rsid w:val="00472A45"/>
    <w:rsid w:val="00472AED"/>
    <w:rsid w:val="00472BA1"/>
    <w:rsid w:val="00473540"/>
    <w:rsid w:val="00473631"/>
    <w:rsid w:val="004736C9"/>
    <w:rsid w:val="00473930"/>
    <w:rsid w:val="00473FC2"/>
    <w:rsid w:val="004745A4"/>
    <w:rsid w:val="0047472B"/>
    <w:rsid w:val="00474ABB"/>
    <w:rsid w:val="00474D25"/>
    <w:rsid w:val="004750DB"/>
    <w:rsid w:val="004750FB"/>
    <w:rsid w:val="004751E7"/>
    <w:rsid w:val="00475206"/>
    <w:rsid w:val="0047592A"/>
    <w:rsid w:val="00475CCA"/>
    <w:rsid w:val="00475CD1"/>
    <w:rsid w:val="00476189"/>
    <w:rsid w:val="0047649C"/>
    <w:rsid w:val="00476CAE"/>
    <w:rsid w:val="00476FFA"/>
    <w:rsid w:val="004770EB"/>
    <w:rsid w:val="004771EA"/>
    <w:rsid w:val="004775B7"/>
    <w:rsid w:val="00477B64"/>
    <w:rsid w:val="00477C66"/>
    <w:rsid w:val="0048044D"/>
    <w:rsid w:val="00480CAA"/>
    <w:rsid w:val="00480F21"/>
    <w:rsid w:val="00480FA7"/>
    <w:rsid w:val="0048108E"/>
    <w:rsid w:val="00481389"/>
    <w:rsid w:val="004819F4"/>
    <w:rsid w:val="00481A0C"/>
    <w:rsid w:val="00481A12"/>
    <w:rsid w:val="00481F03"/>
    <w:rsid w:val="0048215E"/>
    <w:rsid w:val="004821BA"/>
    <w:rsid w:val="0048236F"/>
    <w:rsid w:val="00482508"/>
    <w:rsid w:val="0048270E"/>
    <w:rsid w:val="00483EA3"/>
    <w:rsid w:val="004842F9"/>
    <w:rsid w:val="0048451C"/>
    <w:rsid w:val="00484594"/>
    <w:rsid w:val="004848FD"/>
    <w:rsid w:val="004849F5"/>
    <w:rsid w:val="00485216"/>
    <w:rsid w:val="0048537F"/>
    <w:rsid w:val="00485381"/>
    <w:rsid w:val="00485E87"/>
    <w:rsid w:val="00485F78"/>
    <w:rsid w:val="00486164"/>
    <w:rsid w:val="00486927"/>
    <w:rsid w:val="004869F5"/>
    <w:rsid w:val="004874E5"/>
    <w:rsid w:val="004875C8"/>
    <w:rsid w:val="00487885"/>
    <w:rsid w:val="00487A71"/>
    <w:rsid w:val="00487EC0"/>
    <w:rsid w:val="004900BA"/>
    <w:rsid w:val="004909C3"/>
    <w:rsid w:val="00490A65"/>
    <w:rsid w:val="0049116C"/>
    <w:rsid w:val="0049156D"/>
    <w:rsid w:val="00491621"/>
    <w:rsid w:val="00491705"/>
    <w:rsid w:val="00491968"/>
    <w:rsid w:val="0049235E"/>
    <w:rsid w:val="00492739"/>
    <w:rsid w:val="00492AE2"/>
    <w:rsid w:val="00492EE1"/>
    <w:rsid w:val="004930C9"/>
    <w:rsid w:val="00493774"/>
    <w:rsid w:val="00493A0F"/>
    <w:rsid w:val="00493C66"/>
    <w:rsid w:val="00493C82"/>
    <w:rsid w:val="00493EAC"/>
    <w:rsid w:val="00493F62"/>
    <w:rsid w:val="0049440C"/>
    <w:rsid w:val="00494832"/>
    <w:rsid w:val="00494E2C"/>
    <w:rsid w:val="004956E3"/>
    <w:rsid w:val="00495721"/>
    <w:rsid w:val="00495787"/>
    <w:rsid w:val="004957C2"/>
    <w:rsid w:val="00495AF1"/>
    <w:rsid w:val="00495B33"/>
    <w:rsid w:val="00495D5C"/>
    <w:rsid w:val="00495DA7"/>
    <w:rsid w:val="00495FFD"/>
    <w:rsid w:val="00496724"/>
    <w:rsid w:val="00496938"/>
    <w:rsid w:val="00496C5A"/>
    <w:rsid w:val="00496C5B"/>
    <w:rsid w:val="00496CD1"/>
    <w:rsid w:val="00496D89"/>
    <w:rsid w:val="00497280"/>
    <w:rsid w:val="0049774E"/>
    <w:rsid w:val="00497A55"/>
    <w:rsid w:val="00497A89"/>
    <w:rsid w:val="00497DD4"/>
    <w:rsid w:val="004A01C7"/>
    <w:rsid w:val="004A0637"/>
    <w:rsid w:val="004A0669"/>
    <w:rsid w:val="004A0838"/>
    <w:rsid w:val="004A09F4"/>
    <w:rsid w:val="004A0ADF"/>
    <w:rsid w:val="004A0C01"/>
    <w:rsid w:val="004A0CFD"/>
    <w:rsid w:val="004A0D92"/>
    <w:rsid w:val="004A1191"/>
    <w:rsid w:val="004A1502"/>
    <w:rsid w:val="004A1799"/>
    <w:rsid w:val="004A1A2D"/>
    <w:rsid w:val="004A1C09"/>
    <w:rsid w:val="004A1C36"/>
    <w:rsid w:val="004A1D87"/>
    <w:rsid w:val="004A1DB3"/>
    <w:rsid w:val="004A21ED"/>
    <w:rsid w:val="004A225B"/>
    <w:rsid w:val="004A2509"/>
    <w:rsid w:val="004A2C6E"/>
    <w:rsid w:val="004A34EE"/>
    <w:rsid w:val="004A389D"/>
    <w:rsid w:val="004A3CC1"/>
    <w:rsid w:val="004A45DD"/>
    <w:rsid w:val="004A47E5"/>
    <w:rsid w:val="004A4911"/>
    <w:rsid w:val="004A4AFC"/>
    <w:rsid w:val="004A4CED"/>
    <w:rsid w:val="004A4D74"/>
    <w:rsid w:val="004A4E2E"/>
    <w:rsid w:val="004A55A9"/>
    <w:rsid w:val="004A6BE6"/>
    <w:rsid w:val="004A6CB6"/>
    <w:rsid w:val="004A6F5A"/>
    <w:rsid w:val="004A6F95"/>
    <w:rsid w:val="004A72F1"/>
    <w:rsid w:val="004A757A"/>
    <w:rsid w:val="004A7B36"/>
    <w:rsid w:val="004B020B"/>
    <w:rsid w:val="004B047F"/>
    <w:rsid w:val="004B06F1"/>
    <w:rsid w:val="004B0828"/>
    <w:rsid w:val="004B0A61"/>
    <w:rsid w:val="004B0D2E"/>
    <w:rsid w:val="004B0EC6"/>
    <w:rsid w:val="004B121E"/>
    <w:rsid w:val="004B122C"/>
    <w:rsid w:val="004B1E09"/>
    <w:rsid w:val="004B223A"/>
    <w:rsid w:val="004B2355"/>
    <w:rsid w:val="004B280D"/>
    <w:rsid w:val="004B3237"/>
    <w:rsid w:val="004B3304"/>
    <w:rsid w:val="004B3C1A"/>
    <w:rsid w:val="004B3DF1"/>
    <w:rsid w:val="004B3E1A"/>
    <w:rsid w:val="004B412E"/>
    <w:rsid w:val="004B42FF"/>
    <w:rsid w:val="004B4385"/>
    <w:rsid w:val="004B4455"/>
    <w:rsid w:val="004B452C"/>
    <w:rsid w:val="004B4A73"/>
    <w:rsid w:val="004B4BA7"/>
    <w:rsid w:val="004B4BC0"/>
    <w:rsid w:val="004B4C97"/>
    <w:rsid w:val="004B4CAC"/>
    <w:rsid w:val="004B4CC8"/>
    <w:rsid w:val="004B50BD"/>
    <w:rsid w:val="004B51AB"/>
    <w:rsid w:val="004B5555"/>
    <w:rsid w:val="004B5773"/>
    <w:rsid w:val="004B59A5"/>
    <w:rsid w:val="004B649D"/>
    <w:rsid w:val="004B6647"/>
    <w:rsid w:val="004B6701"/>
    <w:rsid w:val="004B69C7"/>
    <w:rsid w:val="004B6E73"/>
    <w:rsid w:val="004B7030"/>
    <w:rsid w:val="004B7775"/>
    <w:rsid w:val="004B78FF"/>
    <w:rsid w:val="004B790A"/>
    <w:rsid w:val="004B79B8"/>
    <w:rsid w:val="004C0044"/>
    <w:rsid w:val="004C0106"/>
    <w:rsid w:val="004C011C"/>
    <w:rsid w:val="004C01EA"/>
    <w:rsid w:val="004C0273"/>
    <w:rsid w:val="004C028B"/>
    <w:rsid w:val="004C0484"/>
    <w:rsid w:val="004C056B"/>
    <w:rsid w:val="004C1ACB"/>
    <w:rsid w:val="004C1AF8"/>
    <w:rsid w:val="004C21D2"/>
    <w:rsid w:val="004C259B"/>
    <w:rsid w:val="004C29AD"/>
    <w:rsid w:val="004C2A9C"/>
    <w:rsid w:val="004C2C1F"/>
    <w:rsid w:val="004C2DD4"/>
    <w:rsid w:val="004C2E82"/>
    <w:rsid w:val="004C2EE2"/>
    <w:rsid w:val="004C2F5E"/>
    <w:rsid w:val="004C355B"/>
    <w:rsid w:val="004C3895"/>
    <w:rsid w:val="004C3BF2"/>
    <w:rsid w:val="004C3DCC"/>
    <w:rsid w:val="004C40FD"/>
    <w:rsid w:val="004C4169"/>
    <w:rsid w:val="004C474D"/>
    <w:rsid w:val="004C48F5"/>
    <w:rsid w:val="004C4ACA"/>
    <w:rsid w:val="004C4D12"/>
    <w:rsid w:val="004C4DD6"/>
    <w:rsid w:val="004C52D3"/>
    <w:rsid w:val="004C589C"/>
    <w:rsid w:val="004C5D5A"/>
    <w:rsid w:val="004C63B2"/>
    <w:rsid w:val="004C6462"/>
    <w:rsid w:val="004C64E8"/>
    <w:rsid w:val="004C69C6"/>
    <w:rsid w:val="004C69CB"/>
    <w:rsid w:val="004C6A92"/>
    <w:rsid w:val="004C7544"/>
    <w:rsid w:val="004C76DF"/>
    <w:rsid w:val="004C7736"/>
    <w:rsid w:val="004C773A"/>
    <w:rsid w:val="004C7744"/>
    <w:rsid w:val="004C777E"/>
    <w:rsid w:val="004C78A5"/>
    <w:rsid w:val="004C7A09"/>
    <w:rsid w:val="004C7C82"/>
    <w:rsid w:val="004D01E7"/>
    <w:rsid w:val="004D0605"/>
    <w:rsid w:val="004D07A3"/>
    <w:rsid w:val="004D0C54"/>
    <w:rsid w:val="004D0C65"/>
    <w:rsid w:val="004D0EC6"/>
    <w:rsid w:val="004D0EFE"/>
    <w:rsid w:val="004D0FD9"/>
    <w:rsid w:val="004D132C"/>
    <w:rsid w:val="004D1664"/>
    <w:rsid w:val="004D16A4"/>
    <w:rsid w:val="004D17FE"/>
    <w:rsid w:val="004D18FF"/>
    <w:rsid w:val="004D1C68"/>
    <w:rsid w:val="004D2005"/>
    <w:rsid w:val="004D221E"/>
    <w:rsid w:val="004D2C47"/>
    <w:rsid w:val="004D32A3"/>
    <w:rsid w:val="004D3749"/>
    <w:rsid w:val="004D3A8F"/>
    <w:rsid w:val="004D3B77"/>
    <w:rsid w:val="004D3F89"/>
    <w:rsid w:val="004D4344"/>
    <w:rsid w:val="004D474A"/>
    <w:rsid w:val="004D4BF1"/>
    <w:rsid w:val="004D5310"/>
    <w:rsid w:val="004D557D"/>
    <w:rsid w:val="004D5F80"/>
    <w:rsid w:val="004D63AA"/>
    <w:rsid w:val="004D6483"/>
    <w:rsid w:val="004D65E8"/>
    <w:rsid w:val="004D66F4"/>
    <w:rsid w:val="004D687A"/>
    <w:rsid w:val="004D6AAE"/>
    <w:rsid w:val="004D72CF"/>
    <w:rsid w:val="004D7EE4"/>
    <w:rsid w:val="004E0F19"/>
    <w:rsid w:val="004E15C6"/>
    <w:rsid w:val="004E19B9"/>
    <w:rsid w:val="004E1B66"/>
    <w:rsid w:val="004E1E97"/>
    <w:rsid w:val="004E247D"/>
    <w:rsid w:val="004E274E"/>
    <w:rsid w:val="004E2945"/>
    <w:rsid w:val="004E33CF"/>
    <w:rsid w:val="004E37DF"/>
    <w:rsid w:val="004E3811"/>
    <w:rsid w:val="004E3A28"/>
    <w:rsid w:val="004E3EC9"/>
    <w:rsid w:val="004E4107"/>
    <w:rsid w:val="004E4149"/>
    <w:rsid w:val="004E486F"/>
    <w:rsid w:val="004E4CE4"/>
    <w:rsid w:val="004E4F32"/>
    <w:rsid w:val="004E5406"/>
    <w:rsid w:val="004E55D1"/>
    <w:rsid w:val="004E660E"/>
    <w:rsid w:val="004E6682"/>
    <w:rsid w:val="004E6984"/>
    <w:rsid w:val="004E6D8A"/>
    <w:rsid w:val="004E6FBE"/>
    <w:rsid w:val="004E73C6"/>
    <w:rsid w:val="004E7741"/>
    <w:rsid w:val="004E7BAB"/>
    <w:rsid w:val="004E7CF0"/>
    <w:rsid w:val="004E7E3E"/>
    <w:rsid w:val="004F0411"/>
    <w:rsid w:val="004F0A9D"/>
    <w:rsid w:val="004F0C3F"/>
    <w:rsid w:val="004F0CDC"/>
    <w:rsid w:val="004F0E77"/>
    <w:rsid w:val="004F10C1"/>
    <w:rsid w:val="004F122D"/>
    <w:rsid w:val="004F1301"/>
    <w:rsid w:val="004F15EF"/>
    <w:rsid w:val="004F1736"/>
    <w:rsid w:val="004F22FE"/>
    <w:rsid w:val="004F2A0B"/>
    <w:rsid w:val="004F2BD1"/>
    <w:rsid w:val="004F2CCA"/>
    <w:rsid w:val="004F2D76"/>
    <w:rsid w:val="004F2FF5"/>
    <w:rsid w:val="004F3A30"/>
    <w:rsid w:val="004F466D"/>
    <w:rsid w:val="004F4C40"/>
    <w:rsid w:val="004F4C9D"/>
    <w:rsid w:val="004F4CCB"/>
    <w:rsid w:val="004F53E3"/>
    <w:rsid w:val="004F5549"/>
    <w:rsid w:val="004F5AD3"/>
    <w:rsid w:val="004F5C26"/>
    <w:rsid w:val="004F6592"/>
    <w:rsid w:val="004F6A0A"/>
    <w:rsid w:val="004F6E5E"/>
    <w:rsid w:val="004F7047"/>
    <w:rsid w:val="004F774D"/>
    <w:rsid w:val="005002FC"/>
    <w:rsid w:val="005007E4"/>
    <w:rsid w:val="00500C7A"/>
    <w:rsid w:val="00500D56"/>
    <w:rsid w:val="00501059"/>
    <w:rsid w:val="00501093"/>
    <w:rsid w:val="00501207"/>
    <w:rsid w:val="005013B0"/>
    <w:rsid w:val="005015E4"/>
    <w:rsid w:val="005017A6"/>
    <w:rsid w:val="00502052"/>
    <w:rsid w:val="00502379"/>
    <w:rsid w:val="005026D3"/>
    <w:rsid w:val="005027AB"/>
    <w:rsid w:val="005027AF"/>
    <w:rsid w:val="0050291D"/>
    <w:rsid w:val="00502F14"/>
    <w:rsid w:val="00502F1B"/>
    <w:rsid w:val="0050338C"/>
    <w:rsid w:val="00503F21"/>
    <w:rsid w:val="00504021"/>
    <w:rsid w:val="0050440B"/>
    <w:rsid w:val="00504502"/>
    <w:rsid w:val="00504530"/>
    <w:rsid w:val="005049EB"/>
    <w:rsid w:val="00504D12"/>
    <w:rsid w:val="00504D7A"/>
    <w:rsid w:val="00505F1E"/>
    <w:rsid w:val="0050602F"/>
    <w:rsid w:val="005064CD"/>
    <w:rsid w:val="005065B1"/>
    <w:rsid w:val="005067EB"/>
    <w:rsid w:val="00506C00"/>
    <w:rsid w:val="005072AC"/>
    <w:rsid w:val="0050783B"/>
    <w:rsid w:val="0050ED15"/>
    <w:rsid w:val="0051028F"/>
    <w:rsid w:val="00511016"/>
    <w:rsid w:val="00511415"/>
    <w:rsid w:val="005114A7"/>
    <w:rsid w:val="005119B1"/>
    <w:rsid w:val="00511B26"/>
    <w:rsid w:val="00511CDA"/>
    <w:rsid w:val="00512221"/>
    <w:rsid w:val="00512224"/>
    <w:rsid w:val="0051263B"/>
    <w:rsid w:val="00512891"/>
    <w:rsid w:val="00513387"/>
    <w:rsid w:val="005133DF"/>
    <w:rsid w:val="005139F1"/>
    <w:rsid w:val="00513B4C"/>
    <w:rsid w:val="005140C0"/>
    <w:rsid w:val="005146FC"/>
    <w:rsid w:val="00514D8C"/>
    <w:rsid w:val="0051512E"/>
    <w:rsid w:val="0051538B"/>
    <w:rsid w:val="00515554"/>
    <w:rsid w:val="005158AB"/>
    <w:rsid w:val="00515971"/>
    <w:rsid w:val="005159B3"/>
    <w:rsid w:val="00515EE2"/>
    <w:rsid w:val="0051680D"/>
    <w:rsid w:val="00516A50"/>
    <w:rsid w:val="00516B25"/>
    <w:rsid w:val="00516BEC"/>
    <w:rsid w:val="00516D6C"/>
    <w:rsid w:val="0051703B"/>
    <w:rsid w:val="00517205"/>
    <w:rsid w:val="005175B8"/>
    <w:rsid w:val="00517650"/>
    <w:rsid w:val="005179E2"/>
    <w:rsid w:val="00517E6D"/>
    <w:rsid w:val="00520129"/>
    <w:rsid w:val="005205D9"/>
    <w:rsid w:val="00520659"/>
    <w:rsid w:val="00520BA4"/>
    <w:rsid w:val="00520BCC"/>
    <w:rsid w:val="0052146F"/>
    <w:rsid w:val="0052148D"/>
    <w:rsid w:val="00521F63"/>
    <w:rsid w:val="00521FEF"/>
    <w:rsid w:val="005220B2"/>
    <w:rsid w:val="00522C03"/>
    <w:rsid w:val="00523110"/>
    <w:rsid w:val="0052378B"/>
    <w:rsid w:val="00523BD0"/>
    <w:rsid w:val="005243AD"/>
    <w:rsid w:val="0052451A"/>
    <w:rsid w:val="00524672"/>
    <w:rsid w:val="00524918"/>
    <w:rsid w:val="005249AC"/>
    <w:rsid w:val="00524A46"/>
    <w:rsid w:val="00524D88"/>
    <w:rsid w:val="00524DDE"/>
    <w:rsid w:val="005250AC"/>
    <w:rsid w:val="0052520B"/>
    <w:rsid w:val="0052552A"/>
    <w:rsid w:val="0052555F"/>
    <w:rsid w:val="0052566F"/>
    <w:rsid w:val="00525752"/>
    <w:rsid w:val="005259E8"/>
    <w:rsid w:val="00525EA4"/>
    <w:rsid w:val="00526074"/>
    <w:rsid w:val="00526080"/>
    <w:rsid w:val="00526267"/>
    <w:rsid w:val="00526448"/>
    <w:rsid w:val="00526693"/>
    <w:rsid w:val="00526D74"/>
    <w:rsid w:val="00527678"/>
    <w:rsid w:val="005276B7"/>
    <w:rsid w:val="0052791F"/>
    <w:rsid w:val="00527A3F"/>
    <w:rsid w:val="00530A13"/>
    <w:rsid w:val="0053152C"/>
    <w:rsid w:val="00532266"/>
    <w:rsid w:val="00532CFF"/>
    <w:rsid w:val="005337B9"/>
    <w:rsid w:val="005338B8"/>
    <w:rsid w:val="00533BEC"/>
    <w:rsid w:val="0053413F"/>
    <w:rsid w:val="0053418B"/>
    <w:rsid w:val="00534CB5"/>
    <w:rsid w:val="00534D3D"/>
    <w:rsid w:val="00534E1A"/>
    <w:rsid w:val="005351E8"/>
    <w:rsid w:val="0053531F"/>
    <w:rsid w:val="005353F3"/>
    <w:rsid w:val="005358FC"/>
    <w:rsid w:val="00535A13"/>
    <w:rsid w:val="00535E13"/>
    <w:rsid w:val="0053603A"/>
    <w:rsid w:val="005360E7"/>
    <w:rsid w:val="005361F9"/>
    <w:rsid w:val="0053631D"/>
    <w:rsid w:val="005367E8"/>
    <w:rsid w:val="00536880"/>
    <w:rsid w:val="00536D53"/>
    <w:rsid w:val="00536DF9"/>
    <w:rsid w:val="00536F48"/>
    <w:rsid w:val="0053730E"/>
    <w:rsid w:val="0053759C"/>
    <w:rsid w:val="005378FD"/>
    <w:rsid w:val="00537B11"/>
    <w:rsid w:val="00537CEC"/>
    <w:rsid w:val="00540757"/>
    <w:rsid w:val="00540AD0"/>
    <w:rsid w:val="00540BFF"/>
    <w:rsid w:val="00540D09"/>
    <w:rsid w:val="00540FA0"/>
    <w:rsid w:val="005419F1"/>
    <w:rsid w:val="00541A2A"/>
    <w:rsid w:val="00541A3B"/>
    <w:rsid w:val="00541F44"/>
    <w:rsid w:val="0054239B"/>
    <w:rsid w:val="0054278C"/>
    <w:rsid w:val="00542E69"/>
    <w:rsid w:val="00542FC0"/>
    <w:rsid w:val="00543137"/>
    <w:rsid w:val="005434A8"/>
    <w:rsid w:val="0054357A"/>
    <w:rsid w:val="00543625"/>
    <w:rsid w:val="0054398B"/>
    <w:rsid w:val="00543A76"/>
    <w:rsid w:val="00543E4E"/>
    <w:rsid w:val="005442CC"/>
    <w:rsid w:val="0054434D"/>
    <w:rsid w:val="00544D24"/>
    <w:rsid w:val="00544EA6"/>
    <w:rsid w:val="00544F35"/>
    <w:rsid w:val="005452C8"/>
    <w:rsid w:val="00545B9F"/>
    <w:rsid w:val="00545F44"/>
    <w:rsid w:val="005460B8"/>
    <w:rsid w:val="00546B17"/>
    <w:rsid w:val="00547738"/>
    <w:rsid w:val="005478DE"/>
    <w:rsid w:val="0055166A"/>
    <w:rsid w:val="005518D3"/>
    <w:rsid w:val="00551C2D"/>
    <w:rsid w:val="00552188"/>
    <w:rsid w:val="005522F3"/>
    <w:rsid w:val="0055238B"/>
    <w:rsid w:val="005523D1"/>
    <w:rsid w:val="0055270C"/>
    <w:rsid w:val="0055285F"/>
    <w:rsid w:val="00552A6D"/>
    <w:rsid w:val="00552B2F"/>
    <w:rsid w:val="00552C4D"/>
    <w:rsid w:val="005532BD"/>
    <w:rsid w:val="0055346E"/>
    <w:rsid w:val="0055347B"/>
    <w:rsid w:val="00553970"/>
    <w:rsid w:val="00553C8B"/>
    <w:rsid w:val="0055401F"/>
    <w:rsid w:val="005543AC"/>
    <w:rsid w:val="00554A1D"/>
    <w:rsid w:val="00554B4B"/>
    <w:rsid w:val="00554F71"/>
    <w:rsid w:val="0055525B"/>
    <w:rsid w:val="0055532E"/>
    <w:rsid w:val="00555697"/>
    <w:rsid w:val="0055588E"/>
    <w:rsid w:val="005559E4"/>
    <w:rsid w:val="00555A74"/>
    <w:rsid w:val="00555BC3"/>
    <w:rsid w:val="00555C32"/>
    <w:rsid w:val="00555CD4"/>
    <w:rsid w:val="00555CF4"/>
    <w:rsid w:val="00555DDB"/>
    <w:rsid w:val="0055610B"/>
    <w:rsid w:val="00556115"/>
    <w:rsid w:val="0055657F"/>
    <w:rsid w:val="00556745"/>
    <w:rsid w:val="005569D5"/>
    <w:rsid w:val="00556A1C"/>
    <w:rsid w:val="00556D21"/>
    <w:rsid w:val="00556D51"/>
    <w:rsid w:val="00556F94"/>
    <w:rsid w:val="005576AB"/>
    <w:rsid w:val="0055788B"/>
    <w:rsid w:val="00557C8E"/>
    <w:rsid w:val="005605B4"/>
    <w:rsid w:val="005610F2"/>
    <w:rsid w:val="005616FC"/>
    <w:rsid w:val="00561B2B"/>
    <w:rsid w:val="00561B30"/>
    <w:rsid w:val="0056248A"/>
    <w:rsid w:val="0056329D"/>
    <w:rsid w:val="0056357E"/>
    <w:rsid w:val="0056462C"/>
    <w:rsid w:val="00564952"/>
    <w:rsid w:val="00564A2F"/>
    <w:rsid w:val="00564C1E"/>
    <w:rsid w:val="00564E31"/>
    <w:rsid w:val="00565118"/>
    <w:rsid w:val="00565F4D"/>
    <w:rsid w:val="00565FDC"/>
    <w:rsid w:val="0056611D"/>
    <w:rsid w:val="0056645F"/>
    <w:rsid w:val="0056697F"/>
    <w:rsid w:val="00567026"/>
    <w:rsid w:val="005676F0"/>
    <w:rsid w:val="00567BC5"/>
    <w:rsid w:val="00567C47"/>
    <w:rsid w:val="00567D89"/>
    <w:rsid w:val="00567EA4"/>
    <w:rsid w:val="00567F6D"/>
    <w:rsid w:val="0057075C"/>
    <w:rsid w:val="005707E6"/>
    <w:rsid w:val="005708A0"/>
    <w:rsid w:val="00570AF4"/>
    <w:rsid w:val="0057178E"/>
    <w:rsid w:val="005718BA"/>
    <w:rsid w:val="00571A13"/>
    <w:rsid w:val="00571AB1"/>
    <w:rsid w:val="00571C48"/>
    <w:rsid w:val="0057253E"/>
    <w:rsid w:val="00572AC3"/>
    <w:rsid w:val="00573797"/>
    <w:rsid w:val="00573D1A"/>
    <w:rsid w:val="00573E2A"/>
    <w:rsid w:val="005745A6"/>
    <w:rsid w:val="00574986"/>
    <w:rsid w:val="00574B4B"/>
    <w:rsid w:val="005759B7"/>
    <w:rsid w:val="00575AC6"/>
    <w:rsid w:val="00575ADD"/>
    <w:rsid w:val="005765FB"/>
    <w:rsid w:val="005768D6"/>
    <w:rsid w:val="00576C06"/>
    <w:rsid w:val="00576F82"/>
    <w:rsid w:val="005770E1"/>
    <w:rsid w:val="005773DB"/>
    <w:rsid w:val="00577649"/>
    <w:rsid w:val="00577A0B"/>
    <w:rsid w:val="00577AF4"/>
    <w:rsid w:val="00577E1C"/>
    <w:rsid w:val="005800C7"/>
    <w:rsid w:val="005802FC"/>
    <w:rsid w:val="0058061E"/>
    <w:rsid w:val="00580831"/>
    <w:rsid w:val="0058087C"/>
    <w:rsid w:val="00580CF4"/>
    <w:rsid w:val="00580DB1"/>
    <w:rsid w:val="00580E75"/>
    <w:rsid w:val="00580F19"/>
    <w:rsid w:val="00580F90"/>
    <w:rsid w:val="005814AC"/>
    <w:rsid w:val="005822C2"/>
    <w:rsid w:val="00582935"/>
    <w:rsid w:val="00583143"/>
    <w:rsid w:val="005831E0"/>
    <w:rsid w:val="00583B0A"/>
    <w:rsid w:val="00583C1B"/>
    <w:rsid w:val="00583E3F"/>
    <w:rsid w:val="005841AF"/>
    <w:rsid w:val="00584226"/>
    <w:rsid w:val="00584676"/>
    <w:rsid w:val="00584923"/>
    <w:rsid w:val="00584B36"/>
    <w:rsid w:val="00584BCD"/>
    <w:rsid w:val="00584BD8"/>
    <w:rsid w:val="00584CEB"/>
    <w:rsid w:val="005854B7"/>
    <w:rsid w:val="00585708"/>
    <w:rsid w:val="005858C6"/>
    <w:rsid w:val="00585B9F"/>
    <w:rsid w:val="00585BF7"/>
    <w:rsid w:val="00586088"/>
    <w:rsid w:val="00586373"/>
    <w:rsid w:val="00586EE6"/>
    <w:rsid w:val="0058749E"/>
    <w:rsid w:val="00587676"/>
    <w:rsid w:val="00587914"/>
    <w:rsid w:val="00587AB1"/>
    <w:rsid w:val="00587CBF"/>
    <w:rsid w:val="005902B5"/>
    <w:rsid w:val="005905BA"/>
    <w:rsid w:val="0059070B"/>
    <w:rsid w:val="0059089C"/>
    <w:rsid w:val="005917F2"/>
    <w:rsid w:val="00591A7B"/>
    <w:rsid w:val="00591C09"/>
    <w:rsid w:val="00592775"/>
    <w:rsid w:val="0059283C"/>
    <w:rsid w:val="00593541"/>
    <w:rsid w:val="00593970"/>
    <w:rsid w:val="00593B60"/>
    <w:rsid w:val="00593DEA"/>
    <w:rsid w:val="00594070"/>
    <w:rsid w:val="00594305"/>
    <w:rsid w:val="00594A0F"/>
    <w:rsid w:val="00594C03"/>
    <w:rsid w:val="00595082"/>
    <w:rsid w:val="00595888"/>
    <w:rsid w:val="00595AE9"/>
    <w:rsid w:val="00595D4D"/>
    <w:rsid w:val="00595E30"/>
    <w:rsid w:val="00596025"/>
    <w:rsid w:val="00596113"/>
    <w:rsid w:val="00596619"/>
    <w:rsid w:val="00596824"/>
    <w:rsid w:val="005968BB"/>
    <w:rsid w:val="00596C70"/>
    <w:rsid w:val="00596D21"/>
    <w:rsid w:val="005976C0"/>
    <w:rsid w:val="00597BD8"/>
    <w:rsid w:val="00597EDF"/>
    <w:rsid w:val="005A0349"/>
    <w:rsid w:val="005A05B6"/>
    <w:rsid w:val="005A077D"/>
    <w:rsid w:val="005A0D95"/>
    <w:rsid w:val="005A0EA4"/>
    <w:rsid w:val="005A112E"/>
    <w:rsid w:val="005A1547"/>
    <w:rsid w:val="005A15A7"/>
    <w:rsid w:val="005A19EB"/>
    <w:rsid w:val="005A224B"/>
    <w:rsid w:val="005A2576"/>
    <w:rsid w:val="005A2741"/>
    <w:rsid w:val="005A2897"/>
    <w:rsid w:val="005A2F8F"/>
    <w:rsid w:val="005A36BC"/>
    <w:rsid w:val="005A372F"/>
    <w:rsid w:val="005A415C"/>
    <w:rsid w:val="005A42F9"/>
    <w:rsid w:val="005A47AA"/>
    <w:rsid w:val="005A4F79"/>
    <w:rsid w:val="005A4FAF"/>
    <w:rsid w:val="005A530B"/>
    <w:rsid w:val="005A57FE"/>
    <w:rsid w:val="005A5EAE"/>
    <w:rsid w:val="005A602C"/>
    <w:rsid w:val="005A6240"/>
    <w:rsid w:val="005A6436"/>
    <w:rsid w:val="005A6490"/>
    <w:rsid w:val="005A68E9"/>
    <w:rsid w:val="005A6AB4"/>
    <w:rsid w:val="005A7C68"/>
    <w:rsid w:val="005B00D6"/>
    <w:rsid w:val="005B018B"/>
    <w:rsid w:val="005B0399"/>
    <w:rsid w:val="005B0617"/>
    <w:rsid w:val="005B0667"/>
    <w:rsid w:val="005B0750"/>
    <w:rsid w:val="005B077E"/>
    <w:rsid w:val="005B083B"/>
    <w:rsid w:val="005B092D"/>
    <w:rsid w:val="005B09D4"/>
    <w:rsid w:val="005B0DF4"/>
    <w:rsid w:val="005B0E5E"/>
    <w:rsid w:val="005B0F86"/>
    <w:rsid w:val="005B0F98"/>
    <w:rsid w:val="005B0FE2"/>
    <w:rsid w:val="005B10C4"/>
    <w:rsid w:val="005B1225"/>
    <w:rsid w:val="005B14BF"/>
    <w:rsid w:val="005B16A1"/>
    <w:rsid w:val="005B17D8"/>
    <w:rsid w:val="005B1D82"/>
    <w:rsid w:val="005B1FFE"/>
    <w:rsid w:val="005B2020"/>
    <w:rsid w:val="005B2527"/>
    <w:rsid w:val="005B2975"/>
    <w:rsid w:val="005B366F"/>
    <w:rsid w:val="005B38F3"/>
    <w:rsid w:val="005B4077"/>
    <w:rsid w:val="005B416C"/>
    <w:rsid w:val="005B41D1"/>
    <w:rsid w:val="005B48A1"/>
    <w:rsid w:val="005B494A"/>
    <w:rsid w:val="005B4FA2"/>
    <w:rsid w:val="005B50E4"/>
    <w:rsid w:val="005B5225"/>
    <w:rsid w:val="005B5847"/>
    <w:rsid w:val="005B5A00"/>
    <w:rsid w:val="005B5D27"/>
    <w:rsid w:val="005B610B"/>
    <w:rsid w:val="005B65E5"/>
    <w:rsid w:val="005B676E"/>
    <w:rsid w:val="005B6AC6"/>
    <w:rsid w:val="005B74F5"/>
    <w:rsid w:val="005B77C7"/>
    <w:rsid w:val="005B780B"/>
    <w:rsid w:val="005C051D"/>
    <w:rsid w:val="005C07E4"/>
    <w:rsid w:val="005C0EBF"/>
    <w:rsid w:val="005C1311"/>
    <w:rsid w:val="005C13E0"/>
    <w:rsid w:val="005C195D"/>
    <w:rsid w:val="005C1B9F"/>
    <w:rsid w:val="005C2407"/>
    <w:rsid w:val="005C28B0"/>
    <w:rsid w:val="005C2E68"/>
    <w:rsid w:val="005C2EE5"/>
    <w:rsid w:val="005C2F01"/>
    <w:rsid w:val="005C35C4"/>
    <w:rsid w:val="005C388C"/>
    <w:rsid w:val="005C396B"/>
    <w:rsid w:val="005C410B"/>
    <w:rsid w:val="005C43E9"/>
    <w:rsid w:val="005C4A52"/>
    <w:rsid w:val="005C5A4D"/>
    <w:rsid w:val="005C5BB7"/>
    <w:rsid w:val="005C5CCD"/>
    <w:rsid w:val="005C5F3C"/>
    <w:rsid w:val="005C610E"/>
    <w:rsid w:val="005C65E0"/>
    <w:rsid w:val="005C68EE"/>
    <w:rsid w:val="005C6B6D"/>
    <w:rsid w:val="005C6C22"/>
    <w:rsid w:val="005C6DD1"/>
    <w:rsid w:val="005C784D"/>
    <w:rsid w:val="005C7C4C"/>
    <w:rsid w:val="005D01BE"/>
    <w:rsid w:val="005D06BF"/>
    <w:rsid w:val="005D0965"/>
    <w:rsid w:val="005D1177"/>
    <w:rsid w:val="005D1D13"/>
    <w:rsid w:val="005D2189"/>
    <w:rsid w:val="005D254A"/>
    <w:rsid w:val="005D2E31"/>
    <w:rsid w:val="005D3EDC"/>
    <w:rsid w:val="005D423C"/>
    <w:rsid w:val="005D4F0B"/>
    <w:rsid w:val="005D5460"/>
    <w:rsid w:val="005D5842"/>
    <w:rsid w:val="005D5C8C"/>
    <w:rsid w:val="005D6A44"/>
    <w:rsid w:val="005D6D41"/>
    <w:rsid w:val="005D71B7"/>
    <w:rsid w:val="005D71E8"/>
    <w:rsid w:val="005D73ED"/>
    <w:rsid w:val="005D7551"/>
    <w:rsid w:val="005D75CF"/>
    <w:rsid w:val="005D7CE2"/>
    <w:rsid w:val="005E01E9"/>
    <w:rsid w:val="005E050D"/>
    <w:rsid w:val="005E0817"/>
    <w:rsid w:val="005E08CD"/>
    <w:rsid w:val="005E109B"/>
    <w:rsid w:val="005E1386"/>
    <w:rsid w:val="005E17ED"/>
    <w:rsid w:val="005E1A31"/>
    <w:rsid w:val="005E1E99"/>
    <w:rsid w:val="005E2146"/>
    <w:rsid w:val="005E2D27"/>
    <w:rsid w:val="005E37E8"/>
    <w:rsid w:val="005E394E"/>
    <w:rsid w:val="005E39C4"/>
    <w:rsid w:val="005E3A12"/>
    <w:rsid w:val="005E3AB9"/>
    <w:rsid w:val="005E3B81"/>
    <w:rsid w:val="005E3C1E"/>
    <w:rsid w:val="005E45D3"/>
    <w:rsid w:val="005E4945"/>
    <w:rsid w:val="005E4C9A"/>
    <w:rsid w:val="005E5816"/>
    <w:rsid w:val="005E5C10"/>
    <w:rsid w:val="005E5D08"/>
    <w:rsid w:val="005E6B5A"/>
    <w:rsid w:val="005E6DA4"/>
    <w:rsid w:val="005E74C5"/>
    <w:rsid w:val="005E7FE4"/>
    <w:rsid w:val="005F06C2"/>
    <w:rsid w:val="005F0B35"/>
    <w:rsid w:val="005F0E1D"/>
    <w:rsid w:val="005F1298"/>
    <w:rsid w:val="005F1799"/>
    <w:rsid w:val="005F1872"/>
    <w:rsid w:val="005F1D01"/>
    <w:rsid w:val="005F219D"/>
    <w:rsid w:val="005F235D"/>
    <w:rsid w:val="005F2437"/>
    <w:rsid w:val="005F2618"/>
    <w:rsid w:val="005F26D9"/>
    <w:rsid w:val="005F2A08"/>
    <w:rsid w:val="005F2AE1"/>
    <w:rsid w:val="005F318A"/>
    <w:rsid w:val="005F384E"/>
    <w:rsid w:val="005F3CBC"/>
    <w:rsid w:val="005F3D68"/>
    <w:rsid w:val="005F3E57"/>
    <w:rsid w:val="005F408E"/>
    <w:rsid w:val="005F45E1"/>
    <w:rsid w:val="005F462C"/>
    <w:rsid w:val="005F49CD"/>
    <w:rsid w:val="005F4A6B"/>
    <w:rsid w:val="005F4B24"/>
    <w:rsid w:val="005F4CA4"/>
    <w:rsid w:val="005F542F"/>
    <w:rsid w:val="005F5DB6"/>
    <w:rsid w:val="005F5E2B"/>
    <w:rsid w:val="005F5E8F"/>
    <w:rsid w:val="005F616E"/>
    <w:rsid w:val="005F71E5"/>
    <w:rsid w:val="005F76F4"/>
    <w:rsid w:val="005F7710"/>
    <w:rsid w:val="005F7DD1"/>
    <w:rsid w:val="005F7FE5"/>
    <w:rsid w:val="0060036A"/>
    <w:rsid w:val="00600438"/>
    <w:rsid w:val="006004F7"/>
    <w:rsid w:val="00600FA6"/>
    <w:rsid w:val="00601BBB"/>
    <w:rsid w:val="00601F08"/>
    <w:rsid w:val="00601F28"/>
    <w:rsid w:val="00602DE4"/>
    <w:rsid w:val="00603261"/>
    <w:rsid w:val="00603282"/>
    <w:rsid w:val="00603C63"/>
    <w:rsid w:val="0060424D"/>
    <w:rsid w:val="00604427"/>
    <w:rsid w:val="0060452A"/>
    <w:rsid w:val="006049F6"/>
    <w:rsid w:val="00604D93"/>
    <w:rsid w:val="0060507C"/>
    <w:rsid w:val="006056B8"/>
    <w:rsid w:val="00605EF8"/>
    <w:rsid w:val="006060B1"/>
    <w:rsid w:val="00606837"/>
    <w:rsid w:val="006068F4"/>
    <w:rsid w:val="00606A61"/>
    <w:rsid w:val="006072D5"/>
    <w:rsid w:val="00607597"/>
    <w:rsid w:val="0061030A"/>
    <w:rsid w:val="00610557"/>
    <w:rsid w:val="006105D0"/>
    <w:rsid w:val="00610DC2"/>
    <w:rsid w:val="00610F93"/>
    <w:rsid w:val="006115D7"/>
    <w:rsid w:val="00611AA9"/>
    <w:rsid w:val="00611C61"/>
    <w:rsid w:val="00611CAE"/>
    <w:rsid w:val="0061206B"/>
    <w:rsid w:val="006121DB"/>
    <w:rsid w:val="00612433"/>
    <w:rsid w:val="006127CC"/>
    <w:rsid w:val="00612AF0"/>
    <w:rsid w:val="00612DE3"/>
    <w:rsid w:val="00612DFF"/>
    <w:rsid w:val="006135AF"/>
    <w:rsid w:val="006136BF"/>
    <w:rsid w:val="00613ADF"/>
    <w:rsid w:val="00613BFE"/>
    <w:rsid w:val="006145ED"/>
    <w:rsid w:val="00614661"/>
    <w:rsid w:val="00614895"/>
    <w:rsid w:val="00614B92"/>
    <w:rsid w:val="006154C0"/>
    <w:rsid w:val="0061567E"/>
    <w:rsid w:val="0061585A"/>
    <w:rsid w:val="00615CD0"/>
    <w:rsid w:val="00615EE2"/>
    <w:rsid w:val="006162BD"/>
    <w:rsid w:val="00616345"/>
    <w:rsid w:val="006164AD"/>
    <w:rsid w:val="00616548"/>
    <w:rsid w:val="006168FA"/>
    <w:rsid w:val="00617403"/>
    <w:rsid w:val="00617454"/>
    <w:rsid w:val="00617615"/>
    <w:rsid w:val="00617F91"/>
    <w:rsid w:val="0062046F"/>
    <w:rsid w:val="00620B11"/>
    <w:rsid w:val="00620D75"/>
    <w:rsid w:val="006217A1"/>
    <w:rsid w:val="006219D3"/>
    <w:rsid w:val="006219E9"/>
    <w:rsid w:val="00622231"/>
    <w:rsid w:val="00622565"/>
    <w:rsid w:val="00622E41"/>
    <w:rsid w:val="00622FC6"/>
    <w:rsid w:val="00623D91"/>
    <w:rsid w:val="00624307"/>
    <w:rsid w:val="006243C6"/>
    <w:rsid w:val="006248BB"/>
    <w:rsid w:val="00624948"/>
    <w:rsid w:val="00625384"/>
    <w:rsid w:val="0062585F"/>
    <w:rsid w:val="00626270"/>
    <w:rsid w:val="00626798"/>
    <w:rsid w:val="00626B66"/>
    <w:rsid w:val="00626DDA"/>
    <w:rsid w:val="00626FE3"/>
    <w:rsid w:val="0062709E"/>
    <w:rsid w:val="006273BC"/>
    <w:rsid w:val="006275AD"/>
    <w:rsid w:val="006275CA"/>
    <w:rsid w:val="006279E7"/>
    <w:rsid w:val="00627A78"/>
    <w:rsid w:val="00627CD3"/>
    <w:rsid w:val="006305C2"/>
    <w:rsid w:val="006305F8"/>
    <w:rsid w:val="00630A63"/>
    <w:rsid w:val="00630CD4"/>
    <w:rsid w:val="0063110B"/>
    <w:rsid w:val="00632009"/>
    <w:rsid w:val="006324A8"/>
    <w:rsid w:val="006328C7"/>
    <w:rsid w:val="00632916"/>
    <w:rsid w:val="00632933"/>
    <w:rsid w:val="00632B07"/>
    <w:rsid w:val="00632B8B"/>
    <w:rsid w:val="00632D70"/>
    <w:rsid w:val="00633CF1"/>
    <w:rsid w:val="00634138"/>
    <w:rsid w:val="006341FA"/>
    <w:rsid w:val="00634728"/>
    <w:rsid w:val="00634924"/>
    <w:rsid w:val="00635A0D"/>
    <w:rsid w:val="00635A6C"/>
    <w:rsid w:val="00635ACF"/>
    <w:rsid w:val="00636134"/>
    <w:rsid w:val="006367EE"/>
    <w:rsid w:val="00636B70"/>
    <w:rsid w:val="00636B8D"/>
    <w:rsid w:val="00636C34"/>
    <w:rsid w:val="00637091"/>
    <w:rsid w:val="006371D0"/>
    <w:rsid w:val="006372EF"/>
    <w:rsid w:val="0063742E"/>
    <w:rsid w:val="00637A3F"/>
    <w:rsid w:val="00637C2D"/>
    <w:rsid w:val="006402E4"/>
    <w:rsid w:val="006407FC"/>
    <w:rsid w:val="006412B0"/>
    <w:rsid w:val="006416A8"/>
    <w:rsid w:val="0064190D"/>
    <w:rsid w:val="006427D8"/>
    <w:rsid w:val="00642839"/>
    <w:rsid w:val="00642C08"/>
    <w:rsid w:val="00642FC2"/>
    <w:rsid w:val="00643817"/>
    <w:rsid w:val="00643BC4"/>
    <w:rsid w:val="0064404A"/>
    <w:rsid w:val="00644241"/>
    <w:rsid w:val="006446B3"/>
    <w:rsid w:val="00644FD7"/>
    <w:rsid w:val="0064562F"/>
    <w:rsid w:val="006457F8"/>
    <w:rsid w:val="00645CCB"/>
    <w:rsid w:val="00646E84"/>
    <w:rsid w:val="00646ECB"/>
    <w:rsid w:val="00646FAA"/>
    <w:rsid w:val="0064700E"/>
    <w:rsid w:val="006472A3"/>
    <w:rsid w:val="006472FC"/>
    <w:rsid w:val="00647376"/>
    <w:rsid w:val="006473D6"/>
    <w:rsid w:val="006474E0"/>
    <w:rsid w:val="00647543"/>
    <w:rsid w:val="006478CB"/>
    <w:rsid w:val="00647A42"/>
    <w:rsid w:val="006502C4"/>
    <w:rsid w:val="00650B57"/>
    <w:rsid w:val="00650B88"/>
    <w:rsid w:val="00650E2C"/>
    <w:rsid w:val="00650E33"/>
    <w:rsid w:val="00650EE5"/>
    <w:rsid w:val="00651167"/>
    <w:rsid w:val="006514FC"/>
    <w:rsid w:val="00652009"/>
    <w:rsid w:val="006521FE"/>
    <w:rsid w:val="006523B5"/>
    <w:rsid w:val="00652410"/>
    <w:rsid w:val="006524E1"/>
    <w:rsid w:val="0065263E"/>
    <w:rsid w:val="00652994"/>
    <w:rsid w:val="00652C58"/>
    <w:rsid w:val="00652C95"/>
    <w:rsid w:val="006530EF"/>
    <w:rsid w:val="006538D7"/>
    <w:rsid w:val="00653A0A"/>
    <w:rsid w:val="00653AF1"/>
    <w:rsid w:val="00653C3D"/>
    <w:rsid w:val="00653C83"/>
    <w:rsid w:val="006540D3"/>
    <w:rsid w:val="00654FEC"/>
    <w:rsid w:val="00655361"/>
    <w:rsid w:val="006554DD"/>
    <w:rsid w:val="006555B3"/>
    <w:rsid w:val="006557EC"/>
    <w:rsid w:val="00655A5C"/>
    <w:rsid w:val="00655FF5"/>
    <w:rsid w:val="00656027"/>
    <w:rsid w:val="0065604D"/>
    <w:rsid w:val="00656059"/>
    <w:rsid w:val="006562CD"/>
    <w:rsid w:val="006567CE"/>
    <w:rsid w:val="00656D72"/>
    <w:rsid w:val="0065743A"/>
    <w:rsid w:val="00657629"/>
    <w:rsid w:val="006577C8"/>
    <w:rsid w:val="0065780E"/>
    <w:rsid w:val="00657BD7"/>
    <w:rsid w:val="006601DC"/>
    <w:rsid w:val="00660951"/>
    <w:rsid w:val="006609FE"/>
    <w:rsid w:val="00660B12"/>
    <w:rsid w:val="00661114"/>
    <w:rsid w:val="00661470"/>
    <w:rsid w:val="00661CE8"/>
    <w:rsid w:val="00661DD5"/>
    <w:rsid w:val="00662170"/>
    <w:rsid w:val="00662189"/>
    <w:rsid w:val="006622BD"/>
    <w:rsid w:val="006629BF"/>
    <w:rsid w:val="006636E2"/>
    <w:rsid w:val="00663821"/>
    <w:rsid w:val="006639D3"/>
    <w:rsid w:val="00663BC2"/>
    <w:rsid w:val="00663F36"/>
    <w:rsid w:val="006640A1"/>
    <w:rsid w:val="006640CE"/>
    <w:rsid w:val="00664164"/>
    <w:rsid w:val="00664626"/>
    <w:rsid w:val="006649ED"/>
    <w:rsid w:val="00664C4E"/>
    <w:rsid w:val="00665A8A"/>
    <w:rsid w:val="00666273"/>
    <w:rsid w:val="0066650C"/>
    <w:rsid w:val="00667100"/>
    <w:rsid w:val="006671D2"/>
    <w:rsid w:val="006673A1"/>
    <w:rsid w:val="006675D4"/>
    <w:rsid w:val="006675FB"/>
    <w:rsid w:val="00667FA9"/>
    <w:rsid w:val="006705C2"/>
    <w:rsid w:val="0067066A"/>
    <w:rsid w:val="00670746"/>
    <w:rsid w:val="00670A57"/>
    <w:rsid w:val="00670D24"/>
    <w:rsid w:val="006711EC"/>
    <w:rsid w:val="006712AC"/>
    <w:rsid w:val="006716A0"/>
    <w:rsid w:val="0067196C"/>
    <w:rsid w:val="00671DE2"/>
    <w:rsid w:val="00672233"/>
    <w:rsid w:val="0067233D"/>
    <w:rsid w:val="0067251A"/>
    <w:rsid w:val="00672641"/>
    <w:rsid w:val="00672B2E"/>
    <w:rsid w:val="00673071"/>
    <w:rsid w:val="00673232"/>
    <w:rsid w:val="006736B2"/>
    <w:rsid w:val="006737E7"/>
    <w:rsid w:val="0067391A"/>
    <w:rsid w:val="00673A40"/>
    <w:rsid w:val="00673DAC"/>
    <w:rsid w:val="00673F4E"/>
    <w:rsid w:val="00674032"/>
    <w:rsid w:val="00674570"/>
    <w:rsid w:val="006745AE"/>
    <w:rsid w:val="00674DBA"/>
    <w:rsid w:val="00675307"/>
    <w:rsid w:val="00675644"/>
    <w:rsid w:val="00675803"/>
    <w:rsid w:val="006758E6"/>
    <w:rsid w:val="00675E39"/>
    <w:rsid w:val="00675ED8"/>
    <w:rsid w:val="00676061"/>
    <w:rsid w:val="006764B0"/>
    <w:rsid w:val="00676870"/>
    <w:rsid w:val="00676AF3"/>
    <w:rsid w:val="00676B23"/>
    <w:rsid w:val="0067768D"/>
    <w:rsid w:val="0067770B"/>
    <w:rsid w:val="00677874"/>
    <w:rsid w:val="00677895"/>
    <w:rsid w:val="00677BEF"/>
    <w:rsid w:val="00677E7D"/>
    <w:rsid w:val="00680016"/>
    <w:rsid w:val="0068065A"/>
    <w:rsid w:val="00680755"/>
    <w:rsid w:val="00680EB3"/>
    <w:rsid w:val="006810DE"/>
    <w:rsid w:val="006813A1"/>
    <w:rsid w:val="0068147F"/>
    <w:rsid w:val="006814A3"/>
    <w:rsid w:val="00681594"/>
    <w:rsid w:val="006816BF"/>
    <w:rsid w:val="00681894"/>
    <w:rsid w:val="006818C0"/>
    <w:rsid w:val="00682596"/>
    <w:rsid w:val="00682627"/>
    <w:rsid w:val="00682AFC"/>
    <w:rsid w:val="00682B9D"/>
    <w:rsid w:val="00682E60"/>
    <w:rsid w:val="00683344"/>
    <w:rsid w:val="006834E6"/>
    <w:rsid w:val="00683BCA"/>
    <w:rsid w:val="00684013"/>
    <w:rsid w:val="006843C8"/>
    <w:rsid w:val="0068479D"/>
    <w:rsid w:val="00684BEF"/>
    <w:rsid w:val="00684CBD"/>
    <w:rsid w:val="00684D9C"/>
    <w:rsid w:val="00684E58"/>
    <w:rsid w:val="00684FC9"/>
    <w:rsid w:val="006851C3"/>
    <w:rsid w:val="00685584"/>
    <w:rsid w:val="00685676"/>
    <w:rsid w:val="00685AB4"/>
    <w:rsid w:val="00685D21"/>
    <w:rsid w:val="006867EB"/>
    <w:rsid w:val="0068683A"/>
    <w:rsid w:val="00686C90"/>
    <w:rsid w:val="0069068E"/>
    <w:rsid w:val="0069072B"/>
    <w:rsid w:val="0069098C"/>
    <w:rsid w:val="00690AB2"/>
    <w:rsid w:val="0069154C"/>
    <w:rsid w:val="0069174B"/>
    <w:rsid w:val="00692637"/>
    <w:rsid w:val="006929A0"/>
    <w:rsid w:val="00692B89"/>
    <w:rsid w:val="00692DA9"/>
    <w:rsid w:val="00692F2C"/>
    <w:rsid w:val="006930D7"/>
    <w:rsid w:val="00693340"/>
    <w:rsid w:val="0069334D"/>
    <w:rsid w:val="00693538"/>
    <w:rsid w:val="006935CF"/>
    <w:rsid w:val="0069390B"/>
    <w:rsid w:val="00693B91"/>
    <w:rsid w:val="00694013"/>
    <w:rsid w:val="00694059"/>
    <w:rsid w:val="006940C3"/>
    <w:rsid w:val="0069422C"/>
    <w:rsid w:val="00694CF2"/>
    <w:rsid w:val="006963AD"/>
    <w:rsid w:val="00696D7C"/>
    <w:rsid w:val="00696DF9"/>
    <w:rsid w:val="006A03FE"/>
    <w:rsid w:val="006A04C7"/>
    <w:rsid w:val="006A0517"/>
    <w:rsid w:val="006A06C3"/>
    <w:rsid w:val="006A1712"/>
    <w:rsid w:val="006A1792"/>
    <w:rsid w:val="006A17BA"/>
    <w:rsid w:val="006A1801"/>
    <w:rsid w:val="006A1B21"/>
    <w:rsid w:val="006A2502"/>
    <w:rsid w:val="006A2667"/>
    <w:rsid w:val="006A2EF5"/>
    <w:rsid w:val="006A35B7"/>
    <w:rsid w:val="006A3653"/>
    <w:rsid w:val="006A403E"/>
    <w:rsid w:val="006A4227"/>
    <w:rsid w:val="006A4287"/>
    <w:rsid w:val="006A4895"/>
    <w:rsid w:val="006A4973"/>
    <w:rsid w:val="006A49F2"/>
    <w:rsid w:val="006A513C"/>
    <w:rsid w:val="006A51AC"/>
    <w:rsid w:val="006A54A4"/>
    <w:rsid w:val="006A5F84"/>
    <w:rsid w:val="006A6959"/>
    <w:rsid w:val="006A6D3C"/>
    <w:rsid w:val="006A6FF5"/>
    <w:rsid w:val="006A76AD"/>
    <w:rsid w:val="006A7BDF"/>
    <w:rsid w:val="006A7D95"/>
    <w:rsid w:val="006A7F85"/>
    <w:rsid w:val="006B05E3"/>
    <w:rsid w:val="006B09BC"/>
    <w:rsid w:val="006B0D3F"/>
    <w:rsid w:val="006B0D7D"/>
    <w:rsid w:val="006B15B1"/>
    <w:rsid w:val="006B193C"/>
    <w:rsid w:val="006B1CAC"/>
    <w:rsid w:val="006B23BD"/>
    <w:rsid w:val="006B2446"/>
    <w:rsid w:val="006B24D4"/>
    <w:rsid w:val="006B2522"/>
    <w:rsid w:val="006B26A7"/>
    <w:rsid w:val="006B278B"/>
    <w:rsid w:val="006B2ACA"/>
    <w:rsid w:val="006B2BAC"/>
    <w:rsid w:val="006B2C49"/>
    <w:rsid w:val="006B2C59"/>
    <w:rsid w:val="006B2E76"/>
    <w:rsid w:val="006B30B0"/>
    <w:rsid w:val="006B3869"/>
    <w:rsid w:val="006B3A4C"/>
    <w:rsid w:val="006B3EFC"/>
    <w:rsid w:val="006B42F1"/>
    <w:rsid w:val="006B436A"/>
    <w:rsid w:val="006B43B9"/>
    <w:rsid w:val="006B4605"/>
    <w:rsid w:val="006B505E"/>
    <w:rsid w:val="006B50AE"/>
    <w:rsid w:val="006B5365"/>
    <w:rsid w:val="006B544C"/>
    <w:rsid w:val="006B5729"/>
    <w:rsid w:val="006B580F"/>
    <w:rsid w:val="006B583F"/>
    <w:rsid w:val="006B6204"/>
    <w:rsid w:val="006B6318"/>
    <w:rsid w:val="006B6587"/>
    <w:rsid w:val="006B68BC"/>
    <w:rsid w:val="006B6957"/>
    <w:rsid w:val="006B6AA8"/>
    <w:rsid w:val="006B6D5D"/>
    <w:rsid w:val="006B6ED6"/>
    <w:rsid w:val="006B70B4"/>
    <w:rsid w:val="006B739F"/>
    <w:rsid w:val="006B73BE"/>
    <w:rsid w:val="006B7B5A"/>
    <w:rsid w:val="006B7E7E"/>
    <w:rsid w:val="006C029F"/>
    <w:rsid w:val="006C0486"/>
    <w:rsid w:val="006C0801"/>
    <w:rsid w:val="006C0C2C"/>
    <w:rsid w:val="006C13E4"/>
    <w:rsid w:val="006C1463"/>
    <w:rsid w:val="006C16C5"/>
    <w:rsid w:val="006C1763"/>
    <w:rsid w:val="006C1EAA"/>
    <w:rsid w:val="006C216F"/>
    <w:rsid w:val="006C2322"/>
    <w:rsid w:val="006C2396"/>
    <w:rsid w:val="006C2E41"/>
    <w:rsid w:val="006C36A7"/>
    <w:rsid w:val="006C3716"/>
    <w:rsid w:val="006C380D"/>
    <w:rsid w:val="006C3CAE"/>
    <w:rsid w:val="006C3ED9"/>
    <w:rsid w:val="006C3F56"/>
    <w:rsid w:val="006C45D4"/>
    <w:rsid w:val="006C465F"/>
    <w:rsid w:val="006C4792"/>
    <w:rsid w:val="006C48CE"/>
    <w:rsid w:val="006C4C94"/>
    <w:rsid w:val="006C4CBD"/>
    <w:rsid w:val="006C4CD0"/>
    <w:rsid w:val="006C5456"/>
    <w:rsid w:val="006C5470"/>
    <w:rsid w:val="006C5486"/>
    <w:rsid w:val="006C570F"/>
    <w:rsid w:val="006C5720"/>
    <w:rsid w:val="006C5AE8"/>
    <w:rsid w:val="006C637C"/>
    <w:rsid w:val="006C677C"/>
    <w:rsid w:val="006C6C13"/>
    <w:rsid w:val="006C7087"/>
    <w:rsid w:val="006C70E3"/>
    <w:rsid w:val="006C7395"/>
    <w:rsid w:val="006C7C96"/>
    <w:rsid w:val="006D001A"/>
    <w:rsid w:val="006D00D6"/>
    <w:rsid w:val="006D05D6"/>
    <w:rsid w:val="006D07D9"/>
    <w:rsid w:val="006D0CDF"/>
    <w:rsid w:val="006D0D2E"/>
    <w:rsid w:val="006D11BD"/>
    <w:rsid w:val="006D1298"/>
    <w:rsid w:val="006D1F6C"/>
    <w:rsid w:val="006D2042"/>
    <w:rsid w:val="006D20D7"/>
    <w:rsid w:val="006D2145"/>
    <w:rsid w:val="006D31E0"/>
    <w:rsid w:val="006D359D"/>
    <w:rsid w:val="006D37F1"/>
    <w:rsid w:val="006D3911"/>
    <w:rsid w:val="006D3A99"/>
    <w:rsid w:val="006D3F61"/>
    <w:rsid w:val="006D42EC"/>
    <w:rsid w:val="006D437A"/>
    <w:rsid w:val="006D47C5"/>
    <w:rsid w:val="006D4F34"/>
    <w:rsid w:val="006D5226"/>
    <w:rsid w:val="006D533E"/>
    <w:rsid w:val="006D5427"/>
    <w:rsid w:val="006D562F"/>
    <w:rsid w:val="006D5AFD"/>
    <w:rsid w:val="006D5C5F"/>
    <w:rsid w:val="006D5DB4"/>
    <w:rsid w:val="006D5E7C"/>
    <w:rsid w:val="006D5F0D"/>
    <w:rsid w:val="006D64AD"/>
    <w:rsid w:val="006D65B9"/>
    <w:rsid w:val="006D66E3"/>
    <w:rsid w:val="006D6A96"/>
    <w:rsid w:val="006D6B08"/>
    <w:rsid w:val="006D6DCA"/>
    <w:rsid w:val="006D70B7"/>
    <w:rsid w:val="006D75BA"/>
    <w:rsid w:val="006D7855"/>
    <w:rsid w:val="006D7893"/>
    <w:rsid w:val="006D7C76"/>
    <w:rsid w:val="006E010C"/>
    <w:rsid w:val="006E01FB"/>
    <w:rsid w:val="006E04C2"/>
    <w:rsid w:val="006E0A65"/>
    <w:rsid w:val="006E0AE2"/>
    <w:rsid w:val="006E0E2E"/>
    <w:rsid w:val="006E0E70"/>
    <w:rsid w:val="006E1003"/>
    <w:rsid w:val="006E111F"/>
    <w:rsid w:val="006E1417"/>
    <w:rsid w:val="006E152B"/>
    <w:rsid w:val="006E157F"/>
    <w:rsid w:val="006E16BF"/>
    <w:rsid w:val="006E18F0"/>
    <w:rsid w:val="006E1A4C"/>
    <w:rsid w:val="006E1A89"/>
    <w:rsid w:val="006E1AEA"/>
    <w:rsid w:val="006E2038"/>
    <w:rsid w:val="006E2511"/>
    <w:rsid w:val="006E25F1"/>
    <w:rsid w:val="006E2B3A"/>
    <w:rsid w:val="006E2C89"/>
    <w:rsid w:val="006E31EC"/>
    <w:rsid w:val="006E3683"/>
    <w:rsid w:val="006E38AF"/>
    <w:rsid w:val="006E3B4C"/>
    <w:rsid w:val="006E3BEC"/>
    <w:rsid w:val="006E419A"/>
    <w:rsid w:val="006E449E"/>
    <w:rsid w:val="006E486B"/>
    <w:rsid w:val="006E4A02"/>
    <w:rsid w:val="006E4A7E"/>
    <w:rsid w:val="006E4F6C"/>
    <w:rsid w:val="006E4F93"/>
    <w:rsid w:val="006E5016"/>
    <w:rsid w:val="006E584F"/>
    <w:rsid w:val="006E6276"/>
    <w:rsid w:val="006E64F6"/>
    <w:rsid w:val="006E69A6"/>
    <w:rsid w:val="006E6A8C"/>
    <w:rsid w:val="006E77FB"/>
    <w:rsid w:val="006E7B4C"/>
    <w:rsid w:val="006E7DBD"/>
    <w:rsid w:val="006E7F4D"/>
    <w:rsid w:val="006E7F61"/>
    <w:rsid w:val="006F0176"/>
    <w:rsid w:val="006F01EE"/>
    <w:rsid w:val="006F052B"/>
    <w:rsid w:val="006F05F8"/>
    <w:rsid w:val="006F0934"/>
    <w:rsid w:val="006F0EA4"/>
    <w:rsid w:val="006F10FE"/>
    <w:rsid w:val="006F1174"/>
    <w:rsid w:val="006F1603"/>
    <w:rsid w:val="006F171C"/>
    <w:rsid w:val="006F199F"/>
    <w:rsid w:val="006F23DC"/>
    <w:rsid w:val="006F2772"/>
    <w:rsid w:val="006F2DDE"/>
    <w:rsid w:val="006F2E43"/>
    <w:rsid w:val="006F3AD8"/>
    <w:rsid w:val="006F4130"/>
    <w:rsid w:val="006F42E1"/>
    <w:rsid w:val="006F4A9E"/>
    <w:rsid w:val="006F5067"/>
    <w:rsid w:val="006F5465"/>
    <w:rsid w:val="006F5517"/>
    <w:rsid w:val="006F5610"/>
    <w:rsid w:val="006F57F1"/>
    <w:rsid w:val="006F5930"/>
    <w:rsid w:val="006F5CC6"/>
    <w:rsid w:val="006F65B3"/>
    <w:rsid w:val="006F6D66"/>
    <w:rsid w:val="006F7104"/>
    <w:rsid w:val="006F73A8"/>
    <w:rsid w:val="006F76C4"/>
    <w:rsid w:val="006F78E4"/>
    <w:rsid w:val="006F7ACE"/>
    <w:rsid w:val="006F7DC4"/>
    <w:rsid w:val="00700135"/>
    <w:rsid w:val="0070016E"/>
    <w:rsid w:val="00700535"/>
    <w:rsid w:val="00700687"/>
    <w:rsid w:val="0070089C"/>
    <w:rsid w:val="00700CE2"/>
    <w:rsid w:val="007014F1"/>
    <w:rsid w:val="007020AE"/>
    <w:rsid w:val="0070212F"/>
    <w:rsid w:val="007021FF"/>
    <w:rsid w:val="007023AB"/>
    <w:rsid w:val="0070271B"/>
    <w:rsid w:val="00702DB9"/>
    <w:rsid w:val="007034D5"/>
    <w:rsid w:val="00703A9B"/>
    <w:rsid w:val="00703D45"/>
    <w:rsid w:val="00704BCD"/>
    <w:rsid w:val="00704C40"/>
    <w:rsid w:val="00705100"/>
    <w:rsid w:val="0070511D"/>
    <w:rsid w:val="00705180"/>
    <w:rsid w:val="0070525F"/>
    <w:rsid w:val="00705B15"/>
    <w:rsid w:val="00705D90"/>
    <w:rsid w:val="00705D92"/>
    <w:rsid w:val="00706729"/>
    <w:rsid w:val="00706917"/>
    <w:rsid w:val="00706A8D"/>
    <w:rsid w:val="00706C1F"/>
    <w:rsid w:val="007074FC"/>
    <w:rsid w:val="007077C3"/>
    <w:rsid w:val="0071008A"/>
    <w:rsid w:val="0071030A"/>
    <w:rsid w:val="00710318"/>
    <w:rsid w:val="0071071B"/>
    <w:rsid w:val="00710A39"/>
    <w:rsid w:val="00710B3C"/>
    <w:rsid w:val="00710B7C"/>
    <w:rsid w:val="00710C83"/>
    <w:rsid w:val="00710E64"/>
    <w:rsid w:val="00710F74"/>
    <w:rsid w:val="0071109A"/>
    <w:rsid w:val="00711397"/>
    <w:rsid w:val="00711605"/>
    <w:rsid w:val="00711C1A"/>
    <w:rsid w:val="00711CF9"/>
    <w:rsid w:val="00711DF6"/>
    <w:rsid w:val="00711EC1"/>
    <w:rsid w:val="00712535"/>
    <w:rsid w:val="007127F5"/>
    <w:rsid w:val="00712930"/>
    <w:rsid w:val="00712FE7"/>
    <w:rsid w:val="00713211"/>
    <w:rsid w:val="00713419"/>
    <w:rsid w:val="00713634"/>
    <w:rsid w:val="0071416A"/>
    <w:rsid w:val="00714E57"/>
    <w:rsid w:val="0071515A"/>
    <w:rsid w:val="0071591C"/>
    <w:rsid w:val="00715E7C"/>
    <w:rsid w:val="00715F86"/>
    <w:rsid w:val="00716156"/>
    <w:rsid w:val="007161AA"/>
    <w:rsid w:val="0071691A"/>
    <w:rsid w:val="0071692E"/>
    <w:rsid w:val="00716933"/>
    <w:rsid w:val="00716BA2"/>
    <w:rsid w:val="00716FBC"/>
    <w:rsid w:val="00717090"/>
    <w:rsid w:val="00717286"/>
    <w:rsid w:val="007173A5"/>
    <w:rsid w:val="0071744A"/>
    <w:rsid w:val="00717800"/>
    <w:rsid w:val="00720739"/>
    <w:rsid w:val="0072085C"/>
    <w:rsid w:val="00720992"/>
    <w:rsid w:val="00720B50"/>
    <w:rsid w:val="00721012"/>
    <w:rsid w:val="0072150D"/>
    <w:rsid w:val="0072156A"/>
    <w:rsid w:val="007219BF"/>
    <w:rsid w:val="00721D83"/>
    <w:rsid w:val="00722120"/>
    <w:rsid w:val="00722211"/>
    <w:rsid w:val="0072253E"/>
    <w:rsid w:val="007228FF"/>
    <w:rsid w:val="00722AC9"/>
    <w:rsid w:val="0072306F"/>
    <w:rsid w:val="007233B2"/>
    <w:rsid w:val="00723D1B"/>
    <w:rsid w:val="00723E1F"/>
    <w:rsid w:val="007240DE"/>
    <w:rsid w:val="0072443D"/>
    <w:rsid w:val="007246FD"/>
    <w:rsid w:val="007247E5"/>
    <w:rsid w:val="007248B7"/>
    <w:rsid w:val="00724B88"/>
    <w:rsid w:val="007254CA"/>
    <w:rsid w:val="007254F9"/>
    <w:rsid w:val="00725B07"/>
    <w:rsid w:val="007266DC"/>
    <w:rsid w:val="007267D2"/>
    <w:rsid w:val="007273CC"/>
    <w:rsid w:val="0072745C"/>
    <w:rsid w:val="0072A2D1"/>
    <w:rsid w:val="00730065"/>
    <w:rsid w:val="0073013C"/>
    <w:rsid w:val="00730316"/>
    <w:rsid w:val="00730A89"/>
    <w:rsid w:val="00730CF8"/>
    <w:rsid w:val="0073198C"/>
    <w:rsid w:val="00731A90"/>
    <w:rsid w:val="007325E1"/>
    <w:rsid w:val="00732608"/>
    <w:rsid w:val="00732B0E"/>
    <w:rsid w:val="00732C00"/>
    <w:rsid w:val="00732D15"/>
    <w:rsid w:val="00732F81"/>
    <w:rsid w:val="0073322D"/>
    <w:rsid w:val="00733251"/>
    <w:rsid w:val="0073375B"/>
    <w:rsid w:val="00733B76"/>
    <w:rsid w:val="00733BC2"/>
    <w:rsid w:val="00733E70"/>
    <w:rsid w:val="00733F27"/>
    <w:rsid w:val="00734083"/>
    <w:rsid w:val="0073471D"/>
    <w:rsid w:val="007347C5"/>
    <w:rsid w:val="007347E7"/>
    <w:rsid w:val="00734DFC"/>
    <w:rsid w:val="00734FCA"/>
    <w:rsid w:val="00735365"/>
    <w:rsid w:val="007354C1"/>
    <w:rsid w:val="0073572A"/>
    <w:rsid w:val="00735A31"/>
    <w:rsid w:val="007364CB"/>
    <w:rsid w:val="007368EC"/>
    <w:rsid w:val="007369CF"/>
    <w:rsid w:val="00736A50"/>
    <w:rsid w:val="00736CF3"/>
    <w:rsid w:val="00736DCA"/>
    <w:rsid w:val="00737428"/>
    <w:rsid w:val="00737DA5"/>
    <w:rsid w:val="0074000A"/>
    <w:rsid w:val="0074057C"/>
    <w:rsid w:val="007409EE"/>
    <w:rsid w:val="00740A33"/>
    <w:rsid w:val="00740A69"/>
    <w:rsid w:val="00740E4B"/>
    <w:rsid w:val="00741231"/>
    <w:rsid w:val="00741291"/>
    <w:rsid w:val="00741421"/>
    <w:rsid w:val="00741B8D"/>
    <w:rsid w:val="00741D0B"/>
    <w:rsid w:val="00741DE1"/>
    <w:rsid w:val="00742563"/>
    <w:rsid w:val="00742AFB"/>
    <w:rsid w:val="00742E61"/>
    <w:rsid w:val="00743395"/>
    <w:rsid w:val="0074388C"/>
    <w:rsid w:val="007439B6"/>
    <w:rsid w:val="00743BF4"/>
    <w:rsid w:val="00743D4F"/>
    <w:rsid w:val="00744095"/>
    <w:rsid w:val="0074420E"/>
    <w:rsid w:val="00744866"/>
    <w:rsid w:val="007448EF"/>
    <w:rsid w:val="00744DEA"/>
    <w:rsid w:val="00744EC7"/>
    <w:rsid w:val="00744F52"/>
    <w:rsid w:val="00745C47"/>
    <w:rsid w:val="00745E0A"/>
    <w:rsid w:val="00745E49"/>
    <w:rsid w:val="007460F0"/>
    <w:rsid w:val="0074610F"/>
    <w:rsid w:val="007469A2"/>
    <w:rsid w:val="00746C71"/>
    <w:rsid w:val="00747A16"/>
    <w:rsid w:val="00747ABE"/>
    <w:rsid w:val="00747CA7"/>
    <w:rsid w:val="00747CCC"/>
    <w:rsid w:val="00747E2E"/>
    <w:rsid w:val="0075003D"/>
    <w:rsid w:val="007500F4"/>
    <w:rsid w:val="007502A1"/>
    <w:rsid w:val="0075066E"/>
    <w:rsid w:val="00750761"/>
    <w:rsid w:val="0075077F"/>
    <w:rsid w:val="0075176F"/>
    <w:rsid w:val="007518B1"/>
    <w:rsid w:val="007519BC"/>
    <w:rsid w:val="00751C98"/>
    <w:rsid w:val="00751D97"/>
    <w:rsid w:val="00751ED0"/>
    <w:rsid w:val="00752318"/>
    <w:rsid w:val="007526CB"/>
    <w:rsid w:val="00752C55"/>
    <w:rsid w:val="00752F5F"/>
    <w:rsid w:val="007532EF"/>
    <w:rsid w:val="00753369"/>
    <w:rsid w:val="00753608"/>
    <w:rsid w:val="00753703"/>
    <w:rsid w:val="007545EC"/>
    <w:rsid w:val="00755028"/>
    <w:rsid w:val="0075518E"/>
    <w:rsid w:val="0075578C"/>
    <w:rsid w:val="00755C79"/>
    <w:rsid w:val="007562D4"/>
    <w:rsid w:val="007563EA"/>
    <w:rsid w:val="007564FD"/>
    <w:rsid w:val="00756924"/>
    <w:rsid w:val="00756BD7"/>
    <w:rsid w:val="007573FA"/>
    <w:rsid w:val="0075742E"/>
    <w:rsid w:val="00757747"/>
    <w:rsid w:val="007578D2"/>
    <w:rsid w:val="00757C62"/>
    <w:rsid w:val="00757E60"/>
    <w:rsid w:val="00757EF9"/>
    <w:rsid w:val="0076065A"/>
    <w:rsid w:val="00760E34"/>
    <w:rsid w:val="00760E68"/>
    <w:rsid w:val="00760F7B"/>
    <w:rsid w:val="00761283"/>
    <w:rsid w:val="00761BA5"/>
    <w:rsid w:val="00761BFB"/>
    <w:rsid w:val="00761DBF"/>
    <w:rsid w:val="00761FCF"/>
    <w:rsid w:val="00762170"/>
    <w:rsid w:val="0076300D"/>
    <w:rsid w:val="0076310C"/>
    <w:rsid w:val="0076323E"/>
    <w:rsid w:val="00763402"/>
    <w:rsid w:val="0076359A"/>
    <w:rsid w:val="007635AE"/>
    <w:rsid w:val="0076360D"/>
    <w:rsid w:val="00763831"/>
    <w:rsid w:val="00763E45"/>
    <w:rsid w:val="00763EC5"/>
    <w:rsid w:val="00763FED"/>
    <w:rsid w:val="00764762"/>
    <w:rsid w:val="00764D10"/>
    <w:rsid w:val="00764E79"/>
    <w:rsid w:val="00764F1A"/>
    <w:rsid w:val="007653F2"/>
    <w:rsid w:val="00765503"/>
    <w:rsid w:val="0076559D"/>
    <w:rsid w:val="007656D5"/>
    <w:rsid w:val="007658A7"/>
    <w:rsid w:val="007659AF"/>
    <w:rsid w:val="007661DE"/>
    <w:rsid w:val="007661F5"/>
    <w:rsid w:val="00766413"/>
    <w:rsid w:val="007665EA"/>
    <w:rsid w:val="007666AE"/>
    <w:rsid w:val="00766792"/>
    <w:rsid w:val="00766BE4"/>
    <w:rsid w:val="00766C93"/>
    <w:rsid w:val="00766DF0"/>
    <w:rsid w:val="00766DF6"/>
    <w:rsid w:val="007672CC"/>
    <w:rsid w:val="00767397"/>
    <w:rsid w:val="00767599"/>
    <w:rsid w:val="00767B7E"/>
    <w:rsid w:val="00767BFE"/>
    <w:rsid w:val="00767CCB"/>
    <w:rsid w:val="007705E9"/>
    <w:rsid w:val="007707AD"/>
    <w:rsid w:val="00770D54"/>
    <w:rsid w:val="007711EF"/>
    <w:rsid w:val="00771750"/>
    <w:rsid w:val="00771D7D"/>
    <w:rsid w:val="00771E93"/>
    <w:rsid w:val="00772262"/>
    <w:rsid w:val="00772320"/>
    <w:rsid w:val="007727C4"/>
    <w:rsid w:val="00772D5F"/>
    <w:rsid w:val="007736BC"/>
    <w:rsid w:val="00773A25"/>
    <w:rsid w:val="00773AB9"/>
    <w:rsid w:val="00773D71"/>
    <w:rsid w:val="00774380"/>
    <w:rsid w:val="007745B7"/>
    <w:rsid w:val="0077463F"/>
    <w:rsid w:val="00774949"/>
    <w:rsid w:val="007750C8"/>
    <w:rsid w:val="00775453"/>
    <w:rsid w:val="007762D6"/>
    <w:rsid w:val="0077635D"/>
    <w:rsid w:val="00776538"/>
    <w:rsid w:val="00776A46"/>
    <w:rsid w:val="0077703A"/>
    <w:rsid w:val="007770BF"/>
    <w:rsid w:val="0077714E"/>
    <w:rsid w:val="007779B7"/>
    <w:rsid w:val="00777F5E"/>
    <w:rsid w:val="00780039"/>
    <w:rsid w:val="007802BE"/>
    <w:rsid w:val="007805BD"/>
    <w:rsid w:val="007807B6"/>
    <w:rsid w:val="007809DE"/>
    <w:rsid w:val="00780B82"/>
    <w:rsid w:val="00780EEB"/>
    <w:rsid w:val="00780EEF"/>
    <w:rsid w:val="0078134C"/>
    <w:rsid w:val="00781C47"/>
    <w:rsid w:val="00782189"/>
    <w:rsid w:val="00782316"/>
    <w:rsid w:val="00782632"/>
    <w:rsid w:val="007827A0"/>
    <w:rsid w:val="0078283D"/>
    <w:rsid w:val="00782AB3"/>
    <w:rsid w:val="00782C00"/>
    <w:rsid w:val="00782CBF"/>
    <w:rsid w:val="00782D0B"/>
    <w:rsid w:val="007830C4"/>
    <w:rsid w:val="007837C7"/>
    <w:rsid w:val="00784B44"/>
    <w:rsid w:val="00784F16"/>
    <w:rsid w:val="00785416"/>
    <w:rsid w:val="00785465"/>
    <w:rsid w:val="007856EC"/>
    <w:rsid w:val="00785B06"/>
    <w:rsid w:val="00785F56"/>
    <w:rsid w:val="00786B9A"/>
    <w:rsid w:val="00787297"/>
    <w:rsid w:val="00787535"/>
    <w:rsid w:val="00787656"/>
    <w:rsid w:val="0078765C"/>
    <w:rsid w:val="007878D6"/>
    <w:rsid w:val="007878F1"/>
    <w:rsid w:val="00787B7A"/>
    <w:rsid w:val="00787C6C"/>
    <w:rsid w:val="007901CC"/>
    <w:rsid w:val="00790356"/>
    <w:rsid w:val="007903B5"/>
    <w:rsid w:val="00790633"/>
    <w:rsid w:val="00790A51"/>
    <w:rsid w:val="00790C7F"/>
    <w:rsid w:val="00790F31"/>
    <w:rsid w:val="00790F4D"/>
    <w:rsid w:val="00791767"/>
    <w:rsid w:val="0079268A"/>
    <w:rsid w:val="00792841"/>
    <w:rsid w:val="00792898"/>
    <w:rsid w:val="00792EBB"/>
    <w:rsid w:val="0079365F"/>
    <w:rsid w:val="0079384C"/>
    <w:rsid w:val="00793EDE"/>
    <w:rsid w:val="00794859"/>
    <w:rsid w:val="00794959"/>
    <w:rsid w:val="0079583C"/>
    <w:rsid w:val="0079591D"/>
    <w:rsid w:val="007961D5"/>
    <w:rsid w:val="0079655D"/>
    <w:rsid w:val="007967BB"/>
    <w:rsid w:val="00796BE9"/>
    <w:rsid w:val="00796DC3"/>
    <w:rsid w:val="00797086"/>
    <w:rsid w:val="007972CF"/>
    <w:rsid w:val="0079767D"/>
    <w:rsid w:val="007976FE"/>
    <w:rsid w:val="0079798A"/>
    <w:rsid w:val="00797BFA"/>
    <w:rsid w:val="00797C88"/>
    <w:rsid w:val="007A01C5"/>
    <w:rsid w:val="007A0217"/>
    <w:rsid w:val="007A0B76"/>
    <w:rsid w:val="007A0EF1"/>
    <w:rsid w:val="007A1013"/>
    <w:rsid w:val="007A1464"/>
    <w:rsid w:val="007A1BAA"/>
    <w:rsid w:val="007A21FE"/>
    <w:rsid w:val="007A235B"/>
    <w:rsid w:val="007A2595"/>
    <w:rsid w:val="007A271E"/>
    <w:rsid w:val="007A28D9"/>
    <w:rsid w:val="007A2CF8"/>
    <w:rsid w:val="007A2EA1"/>
    <w:rsid w:val="007A304C"/>
    <w:rsid w:val="007A32BF"/>
    <w:rsid w:val="007A3528"/>
    <w:rsid w:val="007A486D"/>
    <w:rsid w:val="007A4CA9"/>
    <w:rsid w:val="007A508B"/>
    <w:rsid w:val="007A50A9"/>
    <w:rsid w:val="007A60B4"/>
    <w:rsid w:val="007A612B"/>
    <w:rsid w:val="007A64AE"/>
    <w:rsid w:val="007A67D0"/>
    <w:rsid w:val="007A67E8"/>
    <w:rsid w:val="007A720A"/>
    <w:rsid w:val="007A74E1"/>
    <w:rsid w:val="007A795A"/>
    <w:rsid w:val="007A7D19"/>
    <w:rsid w:val="007A7D97"/>
    <w:rsid w:val="007A7E98"/>
    <w:rsid w:val="007A7EC2"/>
    <w:rsid w:val="007B042D"/>
    <w:rsid w:val="007B05BB"/>
    <w:rsid w:val="007B0792"/>
    <w:rsid w:val="007B0842"/>
    <w:rsid w:val="007B09E2"/>
    <w:rsid w:val="007B0AB6"/>
    <w:rsid w:val="007B0BD6"/>
    <w:rsid w:val="007B19FD"/>
    <w:rsid w:val="007B1C56"/>
    <w:rsid w:val="007B23E1"/>
    <w:rsid w:val="007B2C6F"/>
    <w:rsid w:val="007B30C4"/>
    <w:rsid w:val="007B318E"/>
    <w:rsid w:val="007B3657"/>
    <w:rsid w:val="007B36EC"/>
    <w:rsid w:val="007B38F3"/>
    <w:rsid w:val="007B3C07"/>
    <w:rsid w:val="007B3CB6"/>
    <w:rsid w:val="007B3DEA"/>
    <w:rsid w:val="007B41A9"/>
    <w:rsid w:val="007B433B"/>
    <w:rsid w:val="007B46D2"/>
    <w:rsid w:val="007B46EB"/>
    <w:rsid w:val="007B478B"/>
    <w:rsid w:val="007B4AB7"/>
    <w:rsid w:val="007B4FDD"/>
    <w:rsid w:val="007B514B"/>
    <w:rsid w:val="007B5449"/>
    <w:rsid w:val="007B5566"/>
    <w:rsid w:val="007B59E3"/>
    <w:rsid w:val="007B6154"/>
    <w:rsid w:val="007B67BC"/>
    <w:rsid w:val="007B68BB"/>
    <w:rsid w:val="007B6CE0"/>
    <w:rsid w:val="007B6E0A"/>
    <w:rsid w:val="007B73D3"/>
    <w:rsid w:val="007B73E0"/>
    <w:rsid w:val="007B764C"/>
    <w:rsid w:val="007B772D"/>
    <w:rsid w:val="007B7924"/>
    <w:rsid w:val="007C0173"/>
    <w:rsid w:val="007C03A2"/>
    <w:rsid w:val="007C07E4"/>
    <w:rsid w:val="007C0F15"/>
    <w:rsid w:val="007C118A"/>
    <w:rsid w:val="007C1575"/>
    <w:rsid w:val="007C16F3"/>
    <w:rsid w:val="007C18BB"/>
    <w:rsid w:val="007C19C0"/>
    <w:rsid w:val="007C2007"/>
    <w:rsid w:val="007C21AC"/>
    <w:rsid w:val="007C2A76"/>
    <w:rsid w:val="007C3268"/>
    <w:rsid w:val="007C3C29"/>
    <w:rsid w:val="007C3DD2"/>
    <w:rsid w:val="007C3FFD"/>
    <w:rsid w:val="007C4617"/>
    <w:rsid w:val="007C4856"/>
    <w:rsid w:val="007C4A95"/>
    <w:rsid w:val="007C4C09"/>
    <w:rsid w:val="007C509A"/>
    <w:rsid w:val="007C53D8"/>
    <w:rsid w:val="007C5613"/>
    <w:rsid w:val="007C589F"/>
    <w:rsid w:val="007C5945"/>
    <w:rsid w:val="007C5FAD"/>
    <w:rsid w:val="007C619E"/>
    <w:rsid w:val="007C630A"/>
    <w:rsid w:val="007C636F"/>
    <w:rsid w:val="007C6549"/>
    <w:rsid w:val="007C6838"/>
    <w:rsid w:val="007C68B4"/>
    <w:rsid w:val="007C6C73"/>
    <w:rsid w:val="007C7366"/>
    <w:rsid w:val="007C782A"/>
    <w:rsid w:val="007C7899"/>
    <w:rsid w:val="007C7B7C"/>
    <w:rsid w:val="007C7CB1"/>
    <w:rsid w:val="007C7CEC"/>
    <w:rsid w:val="007C7D3D"/>
    <w:rsid w:val="007C7D43"/>
    <w:rsid w:val="007C7EC4"/>
    <w:rsid w:val="007C7ECE"/>
    <w:rsid w:val="007D01E4"/>
    <w:rsid w:val="007D02D8"/>
    <w:rsid w:val="007D04DF"/>
    <w:rsid w:val="007D0DD1"/>
    <w:rsid w:val="007D0FC7"/>
    <w:rsid w:val="007D123C"/>
    <w:rsid w:val="007D129B"/>
    <w:rsid w:val="007D16C2"/>
    <w:rsid w:val="007D1D2B"/>
    <w:rsid w:val="007D2469"/>
    <w:rsid w:val="007D254A"/>
    <w:rsid w:val="007D2789"/>
    <w:rsid w:val="007D29E3"/>
    <w:rsid w:val="007D2D4D"/>
    <w:rsid w:val="007D327E"/>
    <w:rsid w:val="007D331D"/>
    <w:rsid w:val="007D39EB"/>
    <w:rsid w:val="007D408B"/>
    <w:rsid w:val="007D4512"/>
    <w:rsid w:val="007D46FF"/>
    <w:rsid w:val="007D48B0"/>
    <w:rsid w:val="007D5459"/>
    <w:rsid w:val="007D57C2"/>
    <w:rsid w:val="007D5AC4"/>
    <w:rsid w:val="007D5D30"/>
    <w:rsid w:val="007D5D8E"/>
    <w:rsid w:val="007D5EBC"/>
    <w:rsid w:val="007D64B3"/>
    <w:rsid w:val="007D64D5"/>
    <w:rsid w:val="007D66C0"/>
    <w:rsid w:val="007D6B72"/>
    <w:rsid w:val="007D6BD4"/>
    <w:rsid w:val="007D72E6"/>
    <w:rsid w:val="007D77BF"/>
    <w:rsid w:val="007D7847"/>
    <w:rsid w:val="007D7B48"/>
    <w:rsid w:val="007D7C74"/>
    <w:rsid w:val="007D7DFF"/>
    <w:rsid w:val="007E01B6"/>
    <w:rsid w:val="007E0ECD"/>
    <w:rsid w:val="007E107E"/>
    <w:rsid w:val="007E112E"/>
    <w:rsid w:val="007E12C8"/>
    <w:rsid w:val="007E1356"/>
    <w:rsid w:val="007E13FC"/>
    <w:rsid w:val="007E1897"/>
    <w:rsid w:val="007E18CE"/>
    <w:rsid w:val="007E1C01"/>
    <w:rsid w:val="007E1C9D"/>
    <w:rsid w:val="007E23DD"/>
    <w:rsid w:val="007E25AE"/>
    <w:rsid w:val="007E3745"/>
    <w:rsid w:val="007E3780"/>
    <w:rsid w:val="007E3A1D"/>
    <w:rsid w:val="007E3EB3"/>
    <w:rsid w:val="007E41F5"/>
    <w:rsid w:val="007E4D2C"/>
    <w:rsid w:val="007E4FAD"/>
    <w:rsid w:val="007E51D0"/>
    <w:rsid w:val="007E55CF"/>
    <w:rsid w:val="007E5601"/>
    <w:rsid w:val="007E5E5B"/>
    <w:rsid w:val="007E5ED8"/>
    <w:rsid w:val="007E5FF7"/>
    <w:rsid w:val="007E66E8"/>
    <w:rsid w:val="007E675D"/>
    <w:rsid w:val="007E7319"/>
    <w:rsid w:val="007E74E1"/>
    <w:rsid w:val="007E77A8"/>
    <w:rsid w:val="007F027E"/>
    <w:rsid w:val="007F048B"/>
    <w:rsid w:val="007F068C"/>
    <w:rsid w:val="007F07C6"/>
    <w:rsid w:val="007F0A47"/>
    <w:rsid w:val="007F0A99"/>
    <w:rsid w:val="007F0D51"/>
    <w:rsid w:val="007F0FFD"/>
    <w:rsid w:val="007F10CB"/>
    <w:rsid w:val="007F11D6"/>
    <w:rsid w:val="007F11DF"/>
    <w:rsid w:val="007F1C05"/>
    <w:rsid w:val="007F1C2D"/>
    <w:rsid w:val="007F1F84"/>
    <w:rsid w:val="007F24BF"/>
    <w:rsid w:val="007F26F0"/>
    <w:rsid w:val="007F2C1B"/>
    <w:rsid w:val="007F2C28"/>
    <w:rsid w:val="007F2C3B"/>
    <w:rsid w:val="007F2CF0"/>
    <w:rsid w:val="007F2E49"/>
    <w:rsid w:val="007F31EB"/>
    <w:rsid w:val="007F4054"/>
    <w:rsid w:val="007F4243"/>
    <w:rsid w:val="007F42E5"/>
    <w:rsid w:val="007F4891"/>
    <w:rsid w:val="007F48BD"/>
    <w:rsid w:val="007F491C"/>
    <w:rsid w:val="007F4B89"/>
    <w:rsid w:val="007F4BD1"/>
    <w:rsid w:val="007F4EF2"/>
    <w:rsid w:val="007F4FA0"/>
    <w:rsid w:val="007F5187"/>
    <w:rsid w:val="007F5306"/>
    <w:rsid w:val="007F5694"/>
    <w:rsid w:val="007F5B93"/>
    <w:rsid w:val="007F6567"/>
    <w:rsid w:val="007F6C6B"/>
    <w:rsid w:val="007F7203"/>
    <w:rsid w:val="007F75B6"/>
    <w:rsid w:val="007F7CFA"/>
    <w:rsid w:val="0080010B"/>
    <w:rsid w:val="00800D07"/>
    <w:rsid w:val="00801334"/>
    <w:rsid w:val="008014FC"/>
    <w:rsid w:val="00801860"/>
    <w:rsid w:val="00801BAD"/>
    <w:rsid w:val="00801D99"/>
    <w:rsid w:val="00801E6D"/>
    <w:rsid w:val="00801EBC"/>
    <w:rsid w:val="00801FB5"/>
    <w:rsid w:val="0080205E"/>
    <w:rsid w:val="008024C7"/>
    <w:rsid w:val="008025F3"/>
    <w:rsid w:val="008028AC"/>
    <w:rsid w:val="00802EDD"/>
    <w:rsid w:val="00803342"/>
    <w:rsid w:val="00803BF8"/>
    <w:rsid w:val="00803F94"/>
    <w:rsid w:val="008041B9"/>
    <w:rsid w:val="0080432A"/>
    <w:rsid w:val="0080441A"/>
    <w:rsid w:val="008047A1"/>
    <w:rsid w:val="008047FB"/>
    <w:rsid w:val="00804B42"/>
    <w:rsid w:val="00804BE8"/>
    <w:rsid w:val="00804D3D"/>
    <w:rsid w:val="00804E23"/>
    <w:rsid w:val="00804FDF"/>
    <w:rsid w:val="00805159"/>
    <w:rsid w:val="0080575B"/>
    <w:rsid w:val="00805F3D"/>
    <w:rsid w:val="008061C9"/>
    <w:rsid w:val="008066D8"/>
    <w:rsid w:val="00806CE8"/>
    <w:rsid w:val="008074BB"/>
    <w:rsid w:val="008077B9"/>
    <w:rsid w:val="00807819"/>
    <w:rsid w:val="00807951"/>
    <w:rsid w:val="00807F72"/>
    <w:rsid w:val="008108AD"/>
    <w:rsid w:val="00810D80"/>
    <w:rsid w:val="008116E9"/>
    <w:rsid w:val="00811828"/>
    <w:rsid w:val="00811880"/>
    <w:rsid w:val="00811A18"/>
    <w:rsid w:val="00811B80"/>
    <w:rsid w:val="00811CFC"/>
    <w:rsid w:val="00811E44"/>
    <w:rsid w:val="00812117"/>
    <w:rsid w:val="00812122"/>
    <w:rsid w:val="008121AF"/>
    <w:rsid w:val="00812358"/>
    <w:rsid w:val="00812E18"/>
    <w:rsid w:val="00812F48"/>
    <w:rsid w:val="008132FC"/>
    <w:rsid w:val="00813711"/>
    <w:rsid w:val="00813920"/>
    <w:rsid w:val="00813AA0"/>
    <w:rsid w:val="00813CA0"/>
    <w:rsid w:val="00813D09"/>
    <w:rsid w:val="00814048"/>
    <w:rsid w:val="00814229"/>
    <w:rsid w:val="00814382"/>
    <w:rsid w:val="0081446B"/>
    <w:rsid w:val="0081473D"/>
    <w:rsid w:val="008147C4"/>
    <w:rsid w:val="00814E65"/>
    <w:rsid w:val="00815267"/>
    <w:rsid w:val="008156D6"/>
    <w:rsid w:val="00815D0A"/>
    <w:rsid w:val="00816291"/>
    <w:rsid w:val="008163D6"/>
    <w:rsid w:val="008164D6"/>
    <w:rsid w:val="00816808"/>
    <w:rsid w:val="008168D9"/>
    <w:rsid w:val="008173D4"/>
    <w:rsid w:val="0081770E"/>
    <w:rsid w:val="008179B6"/>
    <w:rsid w:val="00817A65"/>
    <w:rsid w:val="00817D9F"/>
    <w:rsid w:val="00820016"/>
    <w:rsid w:val="0082056F"/>
    <w:rsid w:val="0082058D"/>
    <w:rsid w:val="0082072A"/>
    <w:rsid w:val="00820EAD"/>
    <w:rsid w:val="00821051"/>
    <w:rsid w:val="00821E64"/>
    <w:rsid w:val="00821EDD"/>
    <w:rsid w:val="00822024"/>
    <w:rsid w:val="008222CE"/>
    <w:rsid w:val="008223E9"/>
    <w:rsid w:val="00822666"/>
    <w:rsid w:val="008226B8"/>
    <w:rsid w:val="00823018"/>
    <w:rsid w:val="008237B5"/>
    <w:rsid w:val="00823950"/>
    <w:rsid w:val="00824453"/>
    <w:rsid w:val="008244D3"/>
    <w:rsid w:val="00824658"/>
    <w:rsid w:val="00824BA0"/>
    <w:rsid w:val="00824F90"/>
    <w:rsid w:val="008253C4"/>
    <w:rsid w:val="008253D3"/>
    <w:rsid w:val="0082542E"/>
    <w:rsid w:val="008257F7"/>
    <w:rsid w:val="00825F8E"/>
    <w:rsid w:val="008260EA"/>
    <w:rsid w:val="008263B4"/>
    <w:rsid w:val="008263C2"/>
    <w:rsid w:val="0082666D"/>
    <w:rsid w:val="00826967"/>
    <w:rsid w:val="00826E9A"/>
    <w:rsid w:val="008270AB"/>
    <w:rsid w:val="00827675"/>
    <w:rsid w:val="00827D57"/>
    <w:rsid w:val="008300AE"/>
    <w:rsid w:val="008307DB"/>
    <w:rsid w:val="00831222"/>
    <w:rsid w:val="00831330"/>
    <w:rsid w:val="00831388"/>
    <w:rsid w:val="0083169B"/>
    <w:rsid w:val="0083180D"/>
    <w:rsid w:val="00831A7E"/>
    <w:rsid w:val="00831D13"/>
    <w:rsid w:val="0083206E"/>
    <w:rsid w:val="00832DDB"/>
    <w:rsid w:val="0083313A"/>
    <w:rsid w:val="00833398"/>
    <w:rsid w:val="00833435"/>
    <w:rsid w:val="00833555"/>
    <w:rsid w:val="0083361C"/>
    <w:rsid w:val="0083366A"/>
    <w:rsid w:val="00833E4A"/>
    <w:rsid w:val="00834977"/>
    <w:rsid w:val="00834A19"/>
    <w:rsid w:val="00834AF0"/>
    <w:rsid w:val="00834C55"/>
    <w:rsid w:val="00834EEE"/>
    <w:rsid w:val="008350D8"/>
    <w:rsid w:val="0083516D"/>
    <w:rsid w:val="00835214"/>
    <w:rsid w:val="00835469"/>
    <w:rsid w:val="00835718"/>
    <w:rsid w:val="00835D9D"/>
    <w:rsid w:val="00835FC9"/>
    <w:rsid w:val="0083644B"/>
    <w:rsid w:val="0083649A"/>
    <w:rsid w:val="00836538"/>
    <w:rsid w:val="008368F8"/>
    <w:rsid w:val="00836C9A"/>
    <w:rsid w:val="00836CFF"/>
    <w:rsid w:val="00837055"/>
    <w:rsid w:val="008370E3"/>
    <w:rsid w:val="00837320"/>
    <w:rsid w:val="00837541"/>
    <w:rsid w:val="008376DA"/>
    <w:rsid w:val="00837A5B"/>
    <w:rsid w:val="00837ED5"/>
    <w:rsid w:val="008402DF"/>
    <w:rsid w:val="008404C9"/>
    <w:rsid w:val="00840938"/>
    <w:rsid w:val="00840F36"/>
    <w:rsid w:val="008410CE"/>
    <w:rsid w:val="0084110C"/>
    <w:rsid w:val="0084148E"/>
    <w:rsid w:val="008418FA"/>
    <w:rsid w:val="00841C78"/>
    <w:rsid w:val="00841D1D"/>
    <w:rsid w:val="00841D6F"/>
    <w:rsid w:val="00841F9E"/>
    <w:rsid w:val="0084233A"/>
    <w:rsid w:val="0084242B"/>
    <w:rsid w:val="008424CE"/>
    <w:rsid w:val="00842959"/>
    <w:rsid w:val="00842B4A"/>
    <w:rsid w:val="00842D28"/>
    <w:rsid w:val="00842D7F"/>
    <w:rsid w:val="00843390"/>
    <w:rsid w:val="00843477"/>
    <w:rsid w:val="008438E9"/>
    <w:rsid w:val="00843E40"/>
    <w:rsid w:val="00844588"/>
    <w:rsid w:val="0084494E"/>
    <w:rsid w:val="00844CCE"/>
    <w:rsid w:val="00844FDE"/>
    <w:rsid w:val="008451C7"/>
    <w:rsid w:val="00845A24"/>
    <w:rsid w:val="008461E6"/>
    <w:rsid w:val="0084645A"/>
    <w:rsid w:val="00847892"/>
    <w:rsid w:val="00847903"/>
    <w:rsid w:val="008479C2"/>
    <w:rsid w:val="00847E3D"/>
    <w:rsid w:val="00850118"/>
    <w:rsid w:val="00851157"/>
    <w:rsid w:val="0085138D"/>
    <w:rsid w:val="008518D6"/>
    <w:rsid w:val="0085190C"/>
    <w:rsid w:val="00851B3D"/>
    <w:rsid w:val="00851D8E"/>
    <w:rsid w:val="00851DEE"/>
    <w:rsid w:val="00851E77"/>
    <w:rsid w:val="0085235A"/>
    <w:rsid w:val="00852477"/>
    <w:rsid w:val="008524F3"/>
    <w:rsid w:val="00852547"/>
    <w:rsid w:val="00852A4F"/>
    <w:rsid w:val="00852D16"/>
    <w:rsid w:val="00852F69"/>
    <w:rsid w:val="008533E3"/>
    <w:rsid w:val="0085342B"/>
    <w:rsid w:val="00853497"/>
    <w:rsid w:val="00853603"/>
    <w:rsid w:val="00853831"/>
    <w:rsid w:val="008539F6"/>
    <w:rsid w:val="00853C7E"/>
    <w:rsid w:val="00853DF9"/>
    <w:rsid w:val="00853E7B"/>
    <w:rsid w:val="00853F8F"/>
    <w:rsid w:val="00854138"/>
    <w:rsid w:val="00854410"/>
    <w:rsid w:val="008544DF"/>
    <w:rsid w:val="00854541"/>
    <w:rsid w:val="0085458A"/>
    <w:rsid w:val="00854781"/>
    <w:rsid w:val="00854D62"/>
    <w:rsid w:val="0085516F"/>
    <w:rsid w:val="008552C4"/>
    <w:rsid w:val="008566A5"/>
    <w:rsid w:val="00856CED"/>
    <w:rsid w:val="0085754C"/>
    <w:rsid w:val="00857784"/>
    <w:rsid w:val="00857AEF"/>
    <w:rsid w:val="008601F8"/>
    <w:rsid w:val="008602B6"/>
    <w:rsid w:val="00860711"/>
    <w:rsid w:val="00860AAD"/>
    <w:rsid w:val="008615EE"/>
    <w:rsid w:val="00861984"/>
    <w:rsid w:val="00861AA6"/>
    <w:rsid w:val="00861BF8"/>
    <w:rsid w:val="00861EB1"/>
    <w:rsid w:val="00861EF7"/>
    <w:rsid w:val="00861F7B"/>
    <w:rsid w:val="0086233E"/>
    <w:rsid w:val="0086234C"/>
    <w:rsid w:val="00863362"/>
    <w:rsid w:val="00863D85"/>
    <w:rsid w:val="00864730"/>
    <w:rsid w:val="0086542D"/>
    <w:rsid w:val="00865493"/>
    <w:rsid w:val="00865704"/>
    <w:rsid w:val="008659AC"/>
    <w:rsid w:val="00866007"/>
    <w:rsid w:val="00866247"/>
    <w:rsid w:val="008667CA"/>
    <w:rsid w:val="00866BA5"/>
    <w:rsid w:val="00866ED7"/>
    <w:rsid w:val="00867251"/>
    <w:rsid w:val="00867490"/>
    <w:rsid w:val="0086796A"/>
    <w:rsid w:val="008679D2"/>
    <w:rsid w:val="00867CF5"/>
    <w:rsid w:val="00870080"/>
    <w:rsid w:val="00870737"/>
    <w:rsid w:val="008708F3"/>
    <w:rsid w:val="00870974"/>
    <w:rsid w:val="0087116B"/>
    <w:rsid w:val="00871354"/>
    <w:rsid w:val="008719E7"/>
    <w:rsid w:val="00871A7B"/>
    <w:rsid w:val="008722E6"/>
    <w:rsid w:val="0087296E"/>
    <w:rsid w:val="00872FCF"/>
    <w:rsid w:val="00873611"/>
    <w:rsid w:val="008737CB"/>
    <w:rsid w:val="00873896"/>
    <w:rsid w:val="00873C8F"/>
    <w:rsid w:val="00873CC8"/>
    <w:rsid w:val="00873CCE"/>
    <w:rsid w:val="00873D1C"/>
    <w:rsid w:val="008744F1"/>
    <w:rsid w:val="008745FE"/>
    <w:rsid w:val="00874606"/>
    <w:rsid w:val="0087485D"/>
    <w:rsid w:val="00874A1E"/>
    <w:rsid w:val="00874A7A"/>
    <w:rsid w:val="00874E54"/>
    <w:rsid w:val="00874F31"/>
    <w:rsid w:val="00874FB3"/>
    <w:rsid w:val="00875110"/>
    <w:rsid w:val="00875575"/>
    <w:rsid w:val="00875E77"/>
    <w:rsid w:val="00875F95"/>
    <w:rsid w:val="00876012"/>
    <w:rsid w:val="0087605B"/>
    <w:rsid w:val="0087674C"/>
    <w:rsid w:val="00877297"/>
    <w:rsid w:val="0087743D"/>
    <w:rsid w:val="00877F7C"/>
    <w:rsid w:val="008800C6"/>
    <w:rsid w:val="008801EF"/>
    <w:rsid w:val="00880504"/>
    <w:rsid w:val="008805F7"/>
    <w:rsid w:val="00880903"/>
    <w:rsid w:val="00880BE3"/>
    <w:rsid w:val="00881359"/>
    <w:rsid w:val="00881403"/>
    <w:rsid w:val="008815E1"/>
    <w:rsid w:val="008815E8"/>
    <w:rsid w:val="00881884"/>
    <w:rsid w:val="00881A8E"/>
    <w:rsid w:val="00882093"/>
    <w:rsid w:val="00882588"/>
    <w:rsid w:val="00882669"/>
    <w:rsid w:val="00882705"/>
    <w:rsid w:val="0088293E"/>
    <w:rsid w:val="00882CC0"/>
    <w:rsid w:val="008837A9"/>
    <w:rsid w:val="0088384D"/>
    <w:rsid w:val="00883911"/>
    <w:rsid w:val="00883FB0"/>
    <w:rsid w:val="00884195"/>
    <w:rsid w:val="0088434D"/>
    <w:rsid w:val="008844B0"/>
    <w:rsid w:val="00884ADE"/>
    <w:rsid w:val="00885224"/>
    <w:rsid w:val="008855F3"/>
    <w:rsid w:val="00885694"/>
    <w:rsid w:val="008856CF"/>
    <w:rsid w:val="00885770"/>
    <w:rsid w:val="00885864"/>
    <w:rsid w:val="008858B2"/>
    <w:rsid w:val="00885E41"/>
    <w:rsid w:val="00886104"/>
    <w:rsid w:val="008863CF"/>
    <w:rsid w:val="0088673B"/>
    <w:rsid w:val="0088676C"/>
    <w:rsid w:val="00887014"/>
    <w:rsid w:val="008872D5"/>
    <w:rsid w:val="00887323"/>
    <w:rsid w:val="008874D7"/>
    <w:rsid w:val="00887C76"/>
    <w:rsid w:val="00887C7A"/>
    <w:rsid w:val="00890182"/>
    <w:rsid w:val="008908A3"/>
    <w:rsid w:val="00890A1D"/>
    <w:rsid w:val="00890D17"/>
    <w:rsid w:val="00890D20"/>
    <w:rsid w:val="0089165C"/>
    <w:rsid w:val="0089175C"/>
    <w:rsid w:val="00891A3E"/>
    <w:rsid w:val="00891E8F"/>
    <w:rsid w:val="00892264"/>
    <w:rsid w:val="008927C2"/>
    <w:rsid w:val="00892A38"/>
    <w:rsid w:val="00892E02"/>
    <w:rsid w:val="00892E4A"/>
    <w:rsid w:val="00892FE5"/>
    <w:rsid w:val="0089354A"/>
    <w:rsid w:val="008935A2"/>
    <w:rsid w:val="0089382B"/>
    <w:rsid w:val="0089383B"/>
    <w:rsid w:val="00893D63"/>
    <w:rsid w:val="00893E2B"/>
    <w:rsid w:val="00894323"/>
    <w:rsid w:val="00894816"/>
    <w:rsid w:val="00894E78"/>
    <w:rsid w:val="0089534B"/>
    <w:rsid w:val="008954A4"/>
    <w:rsid w:val="0089555F"/>
    <w:rsid w:val="0089577C"/>
    <w:rsid w:val="00895C6D"/>
    <w:rsid w:val="00895F41"/>
    <w:rsid w:val="0089616F"/>
    <w:rsid w:val="008962B0"/>
    <w:rsid w:val="00896E6A"/>
    <w:rsid w:val="00896E90"/>
    <w:rsid w:val="008970F0"/>
    <w:rsid w:val="00897166"/>
    <w:rsid w:val="00897439"/>
    <w:rsid w:val="00897805"/>
    <w:rsid w:val="00897815"/>
    <w:rsid w:val="00897E11"/>
    <w:rsid w:val="00897E7A"/>
    <w:rsid w:val="008A0232"/>
    <w:rsid w:val="008A026B"/>
    <w:rsid w:val="008A06E7"/>
    <w:rsid w:val="008A0C85"/>
    <w:rsid w:val="008A10B5"/>
    <w:rsid w:val="008A16DB"/>
    <w:rsid w:val="008A1D63"/>
    <w:rsid w:val="008A1F94"/>
    <w:rsid w:val="008A2053"/>
    <w:rsid w:val="008A293F"/>
    <w:rsid w:val="008A2AE1"/>
    <w:rsid w:val="008A30E9"/>
    <w:rsid w:val="008A3132"/>
    <w:rsid w:val="008A3365"/>
    <w:rsid w:val="008A3534"/>
    <w:rsid w:val="008A35F1"/>
    <w:rsid w:val="008A396F"/>
    <w:rsid w:val="008A3B88"/>
    <w:rsid w:val="008A3E23"/>
    <w:rsid w:val="008A3F57"/>
    <w:rsid w:val="008A4290"/>
    <w:rsid w:val="008A4A05"/>
    <w:rsid w:val="008A4B62"/>
    <w:rsid w:val="008A4E06"/>
    <w:rsid w:val="008A4E6C"/>
    <w:rsid w:val="008A5243"/>
    <w:rsid w:val="008A544D"/>
    <w:rsid w:val="008A595B"/>
    <w:rsid w:val="008A5F45"/>
    <w:rsid w:val="008A5FEA"/>
    <w:rsid w:val="008A65F9"/>
    <w:rsid w:val="008A6E73"/>
    <w:rsid w:val="008A7070"/>
    <w:rsid w:val="008A7507"/>
    <w:rsid w:val="008A7707"/>
    <w:rsid w:val="008A78EC"/>
    <w:rsid w:val="008A7A3F"/>
    <w:rsid w:val="008A7FDF"/>
    <w:rsid w:val="008B0470"/>
    <w:rsid w:val="008B050E"/>
    <w:rsid w:val="008B05E7"/>
    <w:rsid w:val="008B06C5"/>
    <w:rsid w:val="008B0C61"/>
    <w:rsid w:val="008B0F4A"/>
    <w:rsid w:val="008B164E"/>
    <w:rsid w:val="008B1A29"/>
    <w:rsid w:val="008B1C0C"/>
    <w:rsid w:val="008B2216"/>
    <w:rsid w:val="008B2778"/>
    <w:rsid w:val="008B28E7"/>
    <w:rsid w:val="008B321E"/>
    <w:rsid w:val="008B32A2"/>
    <w:rsid w:val="008B3825"/>
    <w:rsid w:val="008B3E0D"/>
    <w:rsid w:val="008B4009"/>
    <w:rsid w:val="008B45AA"/>
    <w:rsid w:val="008B4923"/>
    <w:rsid w:val="008B4DFC"/>
    <w:rsid w:val="008B4E0D"/>
    <w:rsid w:val="008B4E6E"/>
    <w:rsid w:val="008B4F06"/>
    <w:rsid w:val="008B502A"/>
    <w:rsid w:val="008B5065"/>
    <w:rsid w:val="008B5779"/>
    <w:rsid w:val="008B57D8"/>
    <w:rsid w:val="008B5E46"/>
    <w:rsid w:val="008B5EDE"/>
    <w:rsid w:val="008B63B0"/>
    <w:rsid w:val="008B65CF"/>
    <w:rsid w:val="008B6925"/>
    <w:rsid w:val="008B6F9B"/>
    <w:rsid w:val="008B75B2"/>
    <w:rsid w:val="008B78A3"/>
    <w:rsid w:val="008B7A65"/>
    <w:rsid w:val="008B7F00"/>
    <w:rsid w:val="008B7FF6"/>
    <w:rsid w:val="008C080B"/>
    <w:rsid w:val="008C0947"/>
    <w:rsid w:val="008C09C1"/>
    <w:rsid w:val="008C0AB4"/>
    <w:rsid w:val="008C0C71"/>
    <w:rsid w:val="008C0F5D"/>
    <w:rsid w:val="008C11A4"/>
    <w:rsid w:val="008C1219"/>
    <w:rsid w:val="008C123E"/>
    <w:rsid w:val="008C137D"/>
    <w:rsid w:val="008C155D"/>
    <w:rsid w:val="008C166C"/>
    <w:rsid w:val="008C1BBC"/>
    <w:rsid w:val="008C22DD"/>
    <w:rsid w:val="008C2ED0"/>
    <w:rsid w:val="008C379B"/>
    <w:rsid w:val="008C3836"/>
    <w:rsid w:val="008C3DFD"/>
    <w:rsid w:val="008C3E28"/>
    <w:rsid w:val="008C3ED0"/>
    <w:rsid w:val="008C40C6"/>
    <w:rsid w:val="008C4203"/>
    <w:rsid w:val="008C429D"/>
    <w:rsid w:val="008C4439"/>
    <w:rsid w:val="008C47FE"/>
    <w:rsid w:val="008C4937"/>
    <w:rsid w:val="008C5237"/>
    <w:rsid w:val="008C5C0D"/>
    <w:rsid w:val="008C5C3C"/>
    <w:rsid w:val="008C5CAD"/>
    <w:rsid w:val="008C5D03"/>
    <w:rsid w:val="008C5DA5"/>
    <w:rsid w:val="008C5E94"/>
    <w:rsid w:val="008C5EFF"/>
    <w:rsid w:val="008C67E5"/>
    <w:rsid w:val="008C6B74"/>
    <w:rsid w:val="008C6D9B"/>
    <w:rsid w:val="008C70FA"/>
    <w:rsid w:val="008C73A5"/>
    <w:rsid w:val="008C7922"/>
    <w:rsid w:val="008C7DEC"/>
    <w:rsid w:val="008D0482"/>
    <w:rsid w:val="008D074A"/>
    <w:rsid w:val="008D0935"/>
    <w:rsid w:val="008D0FCC"/>
    <w:rsid w:val="008D1135"/>
    <w:rsid w:val="008D122C"/>
    <w:rsid w:val="008D176E"/>
    <w:rsid w:val="008D196A"/>
    <w:rsid w:val="008D1AB4"/>
    <w:rsid w:val="008D1C4A"/>
    <w:rsid w:val="008D1C93"/>
    <w:rsid w:val="008D1FF3"/>
    <w:rsid w:val="008D27BC"/>
    <w:rsid w:val="008D2868"/>
    <w:rsid w:val="008D28F4"/>
    <w:rsid w:val="008D2980"/>
    <w:rsid w:val="008D2B97"/>
    <w:rsid w:val="008D2C7F"/>
    <w:rsid w:val="008D3266"/>
    <w:rsid w:val="008D345C"/>
    <w:rsid w:val="008D34B8"/>
    <w:rsid w:val="008D3CCD"/>
    <w:rsid w:val="008D3D25"/>
    <w:rsid w:val="008D3DC1"/>
    <w:rsid w:val="008D44CF"/>
    <w:rsid w:val="008D4F04"/>
    <w:rsid w:val="008D5168"/>
    <w:rsid w:val="008D551E"/>
    <w:rsid w:val="008D62B8"/>
    <w:rsid w:val="008D68BA"/>
    <w:rsid w:val="008D6A5F"/>
    <w:rsid w:val="008D6CEC"/>
    <w:rsid w:val="008D6E60"/>
    <w:rsid w:val="008D7257"/>
    <w:rsid w:val="008D771A"/>
    <w:rsid w:val="008D78B4"/>
    <w:rsid w:val="008E06A1"/>
    <w:rsid w:val="008E0943"/>
    <w:rsid w:val="008E0D50"/>
    <w:rsid w:val="008E125D"/>
    <w:rsid w:val="008E1447"/>
    <w:rsid w:val="008E197E"/>
    <w:rsid w:val="008E1E0A"/>
    <w:rsid w:val="008E1F7F"/>
    <w:rsid w:val="008E25AD"/>
    <w:rsid w:val="008E282B"/>
    <w:rsid w:val="008E2ABC"/>
    <w:rsid w:val="008E2B45"/>
    <w:rsid w:val="008E3332"/>
    <w:rsid w:val="008E33F9"/>
    <w:rsid w:val="008E3DBA"/>
    <w:rsid w:val="008E3EF2"/>
    <w:rsid w:val="008E3EF7"/>
    <w:rsid w:val="008E3F2B"/>
    <w:rsid w:val="008E47E5"/>
    <w:rsid w:val="008E50A8"/>
    <w:rsid w:val="008E51C9"/>
    <w:rsid w:val="008E5421"/>
    <w:rsid w:val="008E5878"/>
    <w:rsid w:val="008E59BD"/>
    <w:rsid w:val="008E5A64"/>
    <w:rsid w:val="008E5BEB"/>
    <w:rsid w:val="008E5E7F"/>
    <w:rsid w:val="008E5E86"/>
    <w:rsid w:val="008E6306"/>
    <w:rsid w:val="008E6851"/>
    <w:rsid w:val="008E6A9D"/>
    <w:rsid w:val="008E7503"/>
    <w:rsid w:val="008E7639"/>
    <w:rsid w:val="008E7677"/>
    <w:rsid w:val="008E79B5"/>
    <w:rsid w:val="008F0B10"/>
    <w:rsid w:val="008F0C7E"/>
    <w:rsid w:val="008F0CD3"/>
    <w:rsid w:val="008F1002"/>
    <w:rsid w:val="008F1978"/>
    <w:rsid w:val="008F2274"/>
    <w:rsid w:val="008F2C33"/>
    <w:rsid w:val="008F2C5E"/>
    <w:rsid w:val="008F2D3D"/>
    <w:rsid w:val="008F3135"/>
    <w:rsid w:val="008F3225"/>
    <w:rsid w:val="008F3246"/>
    <w:rsid w:val="008F34F8"/>
    <w:rsid w:val="008F3558"/>
    <w:rsid w:val="008F3AD7"/>
    <w:rsid w:val="008F3E08"/>
    <w:rsid w:val="008F3F6A"/>
    <w:rsid w:val="008F40AC"/>
    <w:rsid w:val="008F440F"/>
    <w:rsid w:val="008F45C1"/>
    <w:rsid w:val="008F4614"/>
    <w:rsid w:val="008F4D99"/>
    <w:rsid w:val="008F59F0"/>
    <w:rsid w:val="008F5ECD"/>
    <w:rsid w:val="008F5FA4"/>
    <w:rsid w:val="008F6355"/>
    <w:rsid w:val="008F64F6"/>
    <w:rsid w:val="008F68F7"/>
    <w:rsid w:val="008F69A2"/>
    <w:rsid w:val="008F6A4C"/>
    <w:rsid w:val="008F7037"/>
    <w:rsid w:val="008F7104"/>
    <w:rsid w:val="008F714F"/>
    <w:rsid w:val="008F7730"/>
    <w:rsid w:val="008F7C74"/>
    <w:rsid w:val="00900099"/>
    <w:rsid w:val="009005A6"/>
    <w:rsid w:val="009006CF"/>
    <w:rsid w:val="00900C71"/>
    <w:rsid w:val="00900F11"/>
    <w:rsid w:val="0090129F"/>
    <w:rsid w:val="0090170E"/>
    <w:rsid w:val="00901895"/>
    <w:rsid w:val="009019B6"/>
    <w:rsid w:val="00901F43"/>
    <w:rsid w:val="00902221"/>
    <w:rsid w:val="00902540"/>
    <w:rsid w:val="00902615"/>
    <w:rsid w:val="00902A1C"/>
    <w:rsid w:val="00903228"/>
    <w:rsid w:val="00903260"/>
    <w:rsid w:val="00903682"/>
    <w:rsid w:val="009037B6"/>
    <w:rsid w:val="009039D2"/>
    <w:rsid w:val="00904148"/>
    <w:rsid w:val="00904B95"/>
    <w:rsid w:val="00904E67"/>
    <w:rsid w:val="0090562F"/>
    <w:rsid w:val="00905A83"/>
    <w:rsid w:val="00905DA4"/>
    <w:rsid w:val="009063F3"/>
    <w:rsid w:val="0090644C"/>
    <w:rsid w:val="00906C46"/>
    <w:rsid w:val="00906CBE"/>
    <w:rsid w:val="00906F9B"/>
    <w:rsid w:val="00906FFE"/>
    <w:rsid w:val="009071BE"/>
    <w:rsid w:val="00907698"/>
    <w:rsid w:val="0090774B"/>
    <w:rsid w:val="00907E6D"/>
    <w:rsid w:val="00907EA5"/>
    <w:rsid w:val="00910024"/>
    <w:rsid w:val="009101E4"/>
    <w:rsid w:val="009102AC"/>
    <w:rsid w:val="00910384"/>
    <w:rsid w:val="009109BD"/>
    <w:rsid w:val="00910A8F"/>
    <w:rsid w:val="00910DC6"/>
    <w:rsid w:val="00911046"/>
    <w:rsid w:val="00911346"/>
    <w:rsid w:val="009113B9"/>
    <w:rsid w:val="00911931"/>
    <w:rsid w:val="00911BA6"/>
    <w:rsid w:val="00911DA8"/>
    <w:rsid w:val="00911ED7"/>
    <w:rsid w:val="00911F11"/>
    <w:rsid w:val="009123CD"/>
    <w:rsid w:val="009127C1"/>
    <w:rsid w:val="009128AC"/>
    <w:rsid w:val="00912D98"/>
    <w:rsid w:val="00912EBC"/>
    <w:rsid w:val="00912FF5"/>
    <w:rsid w:val="009132D6"/>
    <w:rsid w:val="00913C4B"/>
    <w:rsid w:val="00913E6A"/>
    <w:rsid w:val="00913FAF"/>
    <w:rsid w:val="00914430"/>
    <w:rsid w:val="009146AC"/>
    <w:rsid w:val="00914B0C"/>
    <w:rsid w:val="00914C12"/>
    <w:rsid w:val="0091503B"/>
    <w:rsid w:val="00915325"/>
    <w:rsid w:val="0091593D"/>
    <w:rsid w:val="00915BB3"/>
    <w:rsid w:val="0091643D"/>
    <w:rsid w:val="00916A8C"/>
    <w:rsid w:val="00916E33"/>
    <w:rsid w:val="00917022"/>
    <w:rsid w:val="00917181"/>
    <w:rsid w:val="009175A6"/>
    <w:rsid w:val="00917AEB"/>
    <w:rsid w:val="00920692"/>
    <w:rsid w:val="0092069F"/>
    <w:rsid w:val="00920834"/>
    <w:rsid w:val="0092093B"/>
    <w:rsid w:val="009209D6"/>
    <w:rsid w:val="00920EF8"/>
    <w:rsid w:val="00920F15"/>
    <w:rsid w:val="0092132A"/>
    <w:rsid w:val="00921633"/>
    <w:rsid w:val="0092172D"/>
    <w:rsid w:val="00921760"/>
    <w:rsid w:val="009217CE"/>
    <w:rsid w:val="00922129"/>
    <w:rsid w:val="0092221A"/>
    <w:rsid w:val="009223A9"/>
    <w:rsid w:val="009231D8"/>
    <w:rsid w:val="0092346A"/>
    <w:rsid w:val="0092381D"/>
    <w:rsid w:val="00923E8D"/>
    <w:rsid w:val="009240D9"/>
    <w:rsid w:val="009243D3"/>
    <w:rsid w:val="00924C22"/>
    <w:rsid w:val="00924DAE"/>
    <w:rsid w:val="0092507C"/>
    <w:rsid w:val="0092520A"/>
    <w:rsid w:val="00925210"/>
    <w:rsid w:val="0092540A"/>
    <w:rsid w:val="009255F5"/>
    <w:rsid w:val="009257E2"/>
    <w:rsid w:val="009257EC"/>
    <w:rsid w:val="0092596B"/>
    <w:rsid w:val="00925973"/>
    <w:rsid w:val="00926440"/>
    <w:rsid w:val="00926677"/>
    <w:rsid w:val="009266BB"/>
    <w:rsid w:val="00926A3D"/>
    <w:rsid w:val="00927205"/>
    <w:rsid w:val="0092768F"/>
    <w:rsid w:val="009279A6"/>
    <w:rsid w:val="00927FBB"/>
    <w:rsid w:val="00930030"/>
    <w:rsid w:val="0093019A"/>
    <w:rsid w:val="00930669"/>
    <w:rsid w:val="00930FD8"/>
    <w:rsid w:val="00931646"/>
    <w:rsid w:val="009316C5"/>
    <w:rsid w:val="009317A2"/>
    <w:rsid w:val="00931F7C"/>
    <w:rsid w:val="00932158"/>
    <w:rsid w:val="00932369"/>
    <w:rsid w:val="009328A5"/>
    <w:rsid w:val="00932A0E"/>
    <w:rsid w:val="00932AA4"/>
    <w:rsid w:val="00932C33"/>
    <w:rsid w:val="00932DBC"/>
    <w:rsid w:val="0093325A"/>
    <w:rsid w:val="009332A1"/>
    <w:rsid w:val="009333FB"/>
    <w:rsid w:val="009335CC"/>
    <w:rsid w:val="00933A2D"/>
    <w:rsid w:val="009342B5"/>
    <w:rsid w:val="00934339"/>
    <w:rsid w:val="009347C7"/>
    <w:rsid w:val="00934982"/>
    <w:rsid w:val="00934E5F"/>
    <w:rsid w:val="00935455"/>
    <w:rsid w:val="00935520"/>
    <w:rsid w:val="00935BB7"/>
    <w:rsid w:val="00936108"/>
    <w:rsid w:val="00936E99"/>
    <w:rsid w:val="00937123"/>
    <w:rsid w:val="00937761"/>
    <w:rsid w:val="0093780A"/>
    <w:rsid w:val="00937C63"/>
    <w:rsid w:val="009401B7"/>
    <w:rsid w:val="00940684"/>
    <w:rsid w:val="00940B14"/>
    <w:rsid w:val="00940C0C"/>
    <w:rsid w:val="00940F80"/>
    <w:rsid w:val="00941279"/>
    <w:rsid w:val="009412E2"/>
    <w:rsid w:val="00941977"/>
    <w:rsid w:val="00941CD3"/>
    <w:rsid w:val="00941E03"/>
    <w:rsid w:val="0094279E"/>
    <w:rsid w:val="009427A1"/>
    <w:rsid w:val="00942A88"/>
    <w:rsid w:val="00942FFE"/>
    <w:rsid w:val="0094350E"/>
    <w:rsid w:val="0094350F"/>
    <w:rsid w:val="00943CF2"/>
    <w:rsid w:val="00943E0F"/>
    <w:rsid w:val="00944553"/>
    <w:rsid w:val="00944F32"/>
    <w:rsid w:val="00945226"/>
    <w:rsid w:val="00945714"/>
    <w:rsid w:val="00945A69"/>
    <w:rsid w:val="00945DE5"/>
    <w:rsid w:val="00946045"/>
    <w:rsid w:val="0094607A"/>
    <w:rsid w:val="009461A8"/>
    <w:rsid w:val="00946AA6"/>
    <w:rsid w:val="009474DB"/>
    <w:rsid w:val="009475DD"/>
    <w:rsid w:val="00947D84"/>
    <w:rsid w:val="00947F12"/>
    <w:rsid w:val="0095039B"/>
    <w:rsid w:val="00950653"/>
    <w:rsid w:val="009509F5"/>
    <w:rsid w:val="00950DF5"/>
    <w:rsid w:val="009512A6"/>
    <w:rsid w:val="009513EF"/>
    <w:rsid w:val="00951457"/>
    <w:rsid w:val="00951B23"/>
    <w:rsid w:val="00951B81"/>
    <w:rsid w:val="00951CA3"/>
    <w:rsid w:val="00951DE8"/>
    <w:rsid w:val="009520B9"/>
    <w:rsid w:val="009528CF"/>
    <w:rsid w:val="00952CC3"/>
    <w:rsid w:val="00952DA6"/>
    <w:rsid w:val="0095367E"/>
    <w:rsid w:val="00953F83"/>
    <w:rsid w:val="00953FD2"/>
    <w:rsid w:val="00954231"/>
    <w:rsid w:val="0095435B"/>
    <w:rsid w:val="00954604"/>
    <w:rsid w:val="009546CD"/>
    <w:rsid w:val="0095472C"/>
    <w:rsid w:val="00954815"/>
    <w:rsid w:val="00954CCC"/>
    <w:rsid w:val="00954D13"/>
    <w:rsid w:val="009551E0"/>
    <w:rsid w:val="0095556A"/>
    <w:rsid w:val="00955607"/>
    <w:rsid w:val="00955718"/>
    <w:rsid w:val="00955B59"/>
    <w:rsid w:val="00955DC1"/>
    <w:rsid w:val="0095609E"/>
    <w:rsid w:val="0095651A"/>
    <w:rsid w:val="0095654E"/>
    <w:rsid w:val="00956735"/>
    <w:rsid w:val="00956828"/>
    <w:rsid w:val="0095693D"/>
    <w:rsid w:val="00956AF7"/>
    <w:rsid w:val="00956F3C"/>
    <w:rsid w:val="00957E05"/>
    <w:rsid w:val="00960089"/>
    <w:rsid w:val="0096030F"/>
    <w:rsid w:val="0096054C"/>
    <w:rsid w:val="009607B1"/>
    <w:rsid w:val="00960CFB"/>
    <w:rsid w:val="00961AD7"/>
    <w:rsid w:val="0096206F"/>
    <w:rsid w:val="009622AB"/>
    <w:rsid w:val="00962551"/>
    <w:rsid w:val="00962586"/>
    <w:rsid w:val="009625A3"/>
    <w:rsid w:val="009628CF"/>
    <w:rsid w:val="00962947"/>
    <w:rsid w:val="00962B91"/>
    <w:rsid w:val="00962C24"/>
    <w:rsid w:val="00962CD3"/>
    <w:rsid w:val="00962F38"/>
    <w:rsid w:val="009632F8"/>
    <w:rsid w:val="00963CB3"/>
    <w:rsid w:val="00963F0F"/>
    <w:rsid w:val="00963F96"/>
    <w:rsid w:val="00964284"/>
    <w:rsid w:val="009645B3"/>
    <w:rsid w:val="0096521D"/>
    <w:rsid w:val="00965286"/>
    <w:rsid w:val="009653AC"/>
    <w:rsid w:val="009654DA"/>
    <w:rsid w:val="009672D6"/>
    <w:rsid w:val="009672FE"/>
    <w:rsid w:val="0096748F"/>
    <w:rsid w:val="00967892"/>
    <w:rsid w:val="009679F2"/>
    <w:rsid w:val="00967DF0"/>
    <w:rsid w:val="0096A9DE"/>
    <w:rsid w:val="009701C5"/>
    <w:rsid w:val="00970678"/>
    <w:rsid w:val="00970962"/>
    <w:rsid w:val="00970F89"/>
    <w:rsid w:val="00971114"/>
    <w:rsid w:val="00971391"/>
    <w:rsid w:val="009714C9"/>
    <w:rsid w:val="00971A4E"/>
    <w:rsid w:val="00971C04"/>
    <w:rsid w:val="00971C34"/>
    <w:rsid w:val="0097203A"/>
    <w:rsid w:val="009723D5"/>
    <w:rsid w:val="00972488"/>
    <w:rsid w:val="009726D0"/>
    <w:rsid w:val="0097297D"/>
    <w:rsid w:val="00972B3D"/>
    <w:rsid w:val="00972CE4"/>
    <w:rsid w:val="00972DB3"/>
    <w:rsid w:val="00973968"/>
    <w:rsid w:val="00973B23"/>
    <w:rsid w:val="00973CC8"/>
    <w:rsid w:val="0097421D"/>
    <w:rsid w:val="0097421E"/>
    <w:rsid w:val="009745ED"/>
    <w:rsid w:val="0097491A"/>
    <w:rsid w:val="00974A1F"/>
    <w:rsid w:val="00974B66"/>
    <w:rsid w:val="00974D1E"/>
    <w:rsid w:val="00975056"/>
    <w:rsid w:val="0097526A"/>
    <w:rsid w:val="00975636"/>
    <w:rsid w:val="00975D0B"/>
    <w:rsid w:val="00975D0C"/>
    <w:rsid w:val="00975E7C"/>
    <w:rsid w:val="00976117"/>
    <w:rsid w:val="00976A20"/>
    <w:rsid w:val="00976A23"/>
    <w:rsid w:val="00976E55"/>
    <w:rsid w:val="00976FA4"/>
    <w:rsid w:val="0097729D"/>
    <w:rsid w:val="0097749C"/>
    <w:rsid w:val="00977842"/>
    <w:rsid w:val="009800BC"/>
    <w:rsid w:val="00980251"/>
    <w:rsid w:val="009804AD"/>
    <w:rsid w:val="00980575"/>
    <w:rsid w:val="00980A53"/>
    <w:rsid w:val="0098130A"/>
    <w:rsid w:val="00981631"/>
    <w:rsid w:val="009816F6"/>
    <w:rsid w:val="00981725"/>
    <w:rsid w:val="0098189D"/>
    <w:rsid w:val="00981ED4"/>
    <w:rsid w:val="009821D3"/>
    <w:rsid w:val="009822EF"/>
    <w:rsid w:val="009823A2"/>
    <w:rsid w:val="009829C0"/>
    <w:rsid w:val="00982ECC"/>
    <w:rsid w:val="00982ECF"/>
    <w:rsid w:val="009835C2"/>
    <w:rsid w:val="00983A99"/>
    <w:rsid w:val="00983BCD"/>
    <w:rsid w:val="009843BA"/>
    <w:rsid w:val="00984538"/>
    <w:rsid w:val="0098456D"/>
    <w:rsid w:val="00984951"/>
    <w:rsid w:val="00984F80"/>
    <w:rsid w:val="00984FD7"/>
    <w:rsid w:val="0098537B"/>
    <w:rsid w:val="0098549A"/>
    <w:rsid w:val="009859B7"/>
    <w:rsid w:val="00986858"/>
    <w:rsid w:val="00987282"/>
    <w:rsid w:val="00987483"/>
    <w:rsid w:val="0098767D"/>
    <w:rsid w:val="00987774"/>
    <w:rsid w:val="00987A19"/>
    <w:rsid w:val="00987D02"/>
    <w:rsid w:val="009900F0"/>
    <w:rsid w:val="009908A9"/>
    <w:rsid w:val="00990B9B"/>
    <w:rsid w:val="00990F8E"/>
    <w:rsid w:val="00991370"/>
    <w:rsid w:val="0099159E"/>
    <w:rsid w:val="00991769"/>
    <w:rsid w:val="00991ACA"/>
    <w:rsid w:val="00991C6F"/>
    <w:rsid w:val="00992049"/>
    <w:rsid w:val="00992416"/>
    <w:rsid w:val="009928B5"/>
    <w:rsid w:val="00992A86"/>
    <w:rsid w:val="00992AEF"/>
    <w:rsid w:val="009930DE"/>
    <w:rsid w:val="00993142"/>
    <w:rsid w:val="00993236"/>
    <w:rsid w:val="0099353A"/>
    <w:rsid w:val="00993811"/>
    <w:rsid w:val="0099396A"/>
    <w:rsid w:val="00993D8C"/>
    <w:rsid w:val="00994781"/>
    <w:rsid w:val="0099489A"/>
    <w:rsid w:val="00994A39"/>
    <w:rsid w:val="00994AFE"/>
    <w:rsid w:val="00994D10"/>
    <w:rsid w:val="00994D99"/>
    <w:rsid w:val="00994E3D"/>
    <w:rsid w:val="00994FC9"/>
    <w:rsid w:val="00994FDE"/>
    <w:rsid w:val="00995CBC"/>
    <w:rsid w:val="00995EC0"/>
    <w:rsid w:val="009969C1"/>
    <w:rsid w:val="00996B15"/>
    <w:rsid w:val="0099719D"/>
    <w:rsid w:val="00997438"/>
    <w:rsid w:val="009977C7"/>
    <w:rsid w:val="009A0295"/>
    <w:rsid w:val="009A0692"/>
    <w:rsid w:val="009A06DA"/>
    <w:rsid w:val="009A0AA1"/>
    <w:rsid w:val="009A0B7E"/>
    <w:rsid w:val="009A0E61"/>
    <w:rsid w:val="009A1A5A"/>
    <w:rsid w:val="009A1DC8"/>
    <w:rsid w:val="009A1E01"/>
    <w:rsid w:val="009A1FAE"/>
    <w:rsid w:val="009A2192"/>
    <w:rsid w:val="009A23DC"/>
    <w:rsid w:val="009A23F0"/>
    <w:rsid w:val="009A297E"/>
    <w:rsid w:val="009A2B76"/>
    <w:rsid w:val="009A2C32"/>
    <w:rsid w:val="009A2C9C"/>
    <w:rsid w:val="009A2ED0"/>
    <w:rsid w:val="009A326A"/>
    <w:rsid w:val="009A32EF"/>
    <w:rsid w:val="009A3FBC"/>
    <w:rsid w:val="009A4708"/>
    <w:rsid w:val="009A48BB"/>
    <w:rsid w:val="009A4FA3"/>
    <w:rsid w:val="009A5FD8"/>
    <w:rsid w:val="009A6055"/>
    <w:rsid w:val="009A6127"/>
    <w:rsid w:val="009A6346"/>
    <w:rsid w:val="009A6393"/>
    <w:rsid w:val="009A6448"/>
    <w:rsid w:val="009A6823"/>
    <w:rsid w:val="009A6A9D"/>
    <w:rsid w:val="009A6EEE"/>
    <w:rsid w:val="009A706D"/>
    <w:rsid w:val="009A7459"/>
    <w:rsid w:val="009A7C76"/>
    <w:rsid w:val="009B0020"/>
    <w:rsid w:val="009B005D"/>
    <w:rsid w:val="009B02F6"/>
    <w:rsid w:val="009B03A8"/>
    <w:rsid w:val="009B06E7"/>
    <w:rsid w:val="009B0CC1"/>
    <w:rsid w:val="009B0E07"/>
    <w:rsid w:val="009B1000"/>
    <w:rsid w:val="009B1168"/>
    <w:rsid w:val="009B1511"/>
    <w:rsid w:val="009B1630"/>
    <w:rsid w:val="009B1652"/>
    <w:rsid w:val="009B1DEE"/>
    <w:rsid w:val="009B1EE2"/>
    <w:rsid w:val="009B2400"/>
    <w:rsid w:val="009B2A43"/>
    <w:rsid w:val="009B2A7D"/>
    <w:rsid w:val="009B2C7D"/>
    <w:rsid w:val="009B2EE4"/>
    <w:rsid w:val="009B33FB"/>
    <w:rsid w:val="009B3532"/>
    <w:rsid w:val="009B35EF"/>
    <w:rsid w:val="009B37ED"/>
    <w:rsid w:val="009B3DDF"/>
    <w:rsid w:val="009B4120"/>
    <w:rsid w:val="009B454E"/>
    <w:rsid w:val="009B4699"/>
    <w:rsid w:val="009B4B63"/>
    <w:rsid w:val="009B4B79"/>
    <w:rsid w:val="009B4F9F"/>
    <w:rsid w:val="009B544D"/>
    <w:rsid w:val="009B55C4"/>
    <w:rsid w:val="009B5804"/>
    <w:rsid w:val="009B5936"/>
    <w:rsid w:val="009B5FC3"/>
    <w:rsid w:val="009B6389"/>
    <w:rsid w:val="009B69F0"/>
    <w:rsid w:val="009B713C"/>
    <w:rsid w:val="009B7173"/>
    <w:rsid w:val="009B737E"/>
    <w:rsid w:val="009B7493"/>
    <w:rsid w:val="009B74D1"/>
    <w:rsid w:val="009B7550"/>
    <w:rsid w:val="009B7583"/>
    <w:rsid w:val="009B7CBC"/>
    <w:rsid w:val="009C038D"/>
    <w:rsid w:val="009C0800"/>
    <w:rsid w:val="009C0AFB"/>
    <w:rsid w:val="009C0F18"/>
    <w:rsid w:val="009C12C6"/>
    <w:rsid w:val="009C1337"/>
    <w:rsid w:val="009C146E"/>
    <w:rsid w:val="009C19D4"/>
    <w:rsid w:val="009C23F2"/>
    <w:rsid w:val="009C2555"/>
    <w:rsid w:val="009C27B7"/>
    <w:rsid w:val="009C2858"/>
    <w:rsid w:val="009C28DC"/>
    <w:rsid w:val="009C2BFD"/>
    <w:rsid w:val="009C2C6A"/>
    <w:rsid w:val="009C2DA6"/>
    <w:rsid w:val="009C2E52"/>
    <w:rsid w:val="009C3099"/>
    <w:rsid w:val="009C30F6"/>
    <w:rsid w:val="009C38E7"/>
    <w:rsid w:val="009C3C10"/>
    <w:rsid w:val="009C403B"/>
    <w:rsid w:val="009C4291"/>
    <w:rsid w:val="009C43C1"/>
    <w:rsid w:val="009C44F2"/>
    <w:rsid w:val="009C4544"/>
    <w:rsid w:val="009C4700"/>
    <w:rsid w:val="009C4CC3"/>
    <w:rsid w:val="009C4E2B"/>
    <w:rsid w:val="009C51B8"/>
    <w:rsid w:val="009C5A81"/>
    <w:rsid w:val="009C5B4F"/>
    <w:rsid w:val="009C6B19"/>
    <w:rsid w:val="009C6BB6"/>
    <w:rsid w:val="009C6EE6"/>
    <w:rsid w:val="009C705A"/>
    <w:rsid w:val="009C7669"/>
    <w:rsid w:val="009C7778"/>
    <w:rsid w:val="009C77D6"/>
    <w:rsid w:val="009C7A66"/>
    <w:rsid w:val="009C7EE6"/>
    <w:rsid w:val="009D02EF"/>
    <w:rsid w:val="009D03A1"/>
    <w:rsid w:val="009D06AE"/>
    <w:rsid w:val="009D0936"/>
    <w:rsid w:val="009D094E"/>
    <w:rsid w:val="009D0962"/>
    <w:rsid w:val="009D09D4"/>
    <w:rsid w:val="009D09E2"/>
    <w:rsid w:val="009D0A2C"/>
    <w:rsid w:val="009D1410"/>
    <w:rsid w:val="009D1469"/>
    <w:rsid w:val="009D1E42"/>
    <w:rsid w:val="009D2205"/>
    <w:rsid w:val="009D2231"/>
    <w:rsid w:val="009D223F"/>
    <w:rsid w:val="009D243A"/>
    <w:rsid w:val="009D27E2"/>
    <w:rsid w:val="009D282B"/>
    <w:rsid w:val="009D2A0F"/>
    <w:rsid w:val="009D2C63"/>
    <w:rsid w:val="009D3645"/>
    <w:rsid w:val="009D42F3"/>
    <w:rsid w:val="009D4323"/>
    <w:rsid w:val="009D43A6"/>
    <w:rsid w:val="009D4720"/>
    <w:rsid w:val="009D47C6"/>
    <w:rsid w:val="009D5450"/>
    <w:rsid w:val="009D587A"/>
    <w:rsid w:val="009D596A"/>
    <w:rsid w:val="009D5B9D"/>
    <w:rsid w:val="009D5C90"/>
    <w:rsid w:val="009D5D5A"/>
    <w:rsid w:val="009D5DAF"/>
    <w:rsid w:val="009D6396"/>
    <w:rsid w:val="009D683E"/>
    <w:rsid w:val="009D6D8F"/>
    <w:rsid w:val="009D6ED6"/>
    <w:rsid w:val="009D7148"/>
    <w:rsid w:val="009D780A"/>
    <w:rsid w:val="009D7D4A"/>
    <w:rsid w:val="009D7D99"/>
    <w:rsid w:val="009E00E1"/>
    <w:rsid w:val="009E02FD"/>
    <w:rsid w:val="009E040C"/>
    <w:rsid w:val="009E08EB"/>
    <w:rsid w:val="009E0DBE"/>
    <w:rsid w:val="009E1065"/>
    <w:rsid w:val="009E14E4"/>
    <w:rsid w:val="009E1666"/>
    <w:rsid w:val="009E1B3F"/>
    <w:rsid w:val="009E1C3D"/>
    <w:rsid w:val="009E2962"/>
    <w:rsid w:val="009E33BB"/>
    <w:rsid w:val="009E34FA"/>
    <w:rsid w:val="009E3775"/>
    <w:rsid w:val="009E3948"/>
    <w:rsid w:val="009E3C58"/>
    <w:rsid w:val="009E3D33"/>
    <w:rsid w:val="009E3FB1"/>
    <w:rsid w:val="009E4106"/>
    <w:rsid w:val="009E4245"/>
    <w:rsid w:val="009E495E"/>
    <w:rsid w:val="009E4C3A"/>
    <w:rsid w:val="009E4C74"/>
    <w:rsid w:val="009E4CFB"/>
    <w:rsid w:val="009E4D29"/>
    <w:rsid w:val="009E5198"/>
    <w:rsid w:val="009E55A7"/>
    <w:rsid w:val="009E5615"/>
    <w:rsid w:val="009E56CC"/>
    <w:rsid w:val="009E573C"/>
    <w:rsid w:val="009E58D3"/>
    <w:rsid w:val="009E59F1"/>
    <w:rsid w:val="009E5B4C"/>
    <w:rsid w:val="009E5CEB"/>
    <w:rsid w:val="009E5F54"/>
    <w:rsid w:val="009E60F8"/>
    <w:rsid w:val="009E62B6"/>
    <w:rsid w:val="009E6651"/>
    <w:rsid w:val="009E699C"/>
    <w:rsid w:val="009E6A9C"/>
    <w:rsid w:val="009E6E0E"/>
    <w:rsid w:val="009E7362"/>
    <w:rsid w:val="009E7555"/>
    <w:rsid w:val="009E76F8"/>
    <w:rsid w:val="009F0205"/>
    <w:rsid w:val="009F04FB"/>
    <w:rsid w:val="009F06C4"/>
    <w:rsid w:val="009F0A1A"/>
    <w:rsid w:val="009F0D35"/>
    <w:rsid w:val="009F0E96"/>
    <w:rsid w:val="009F0EA5"/>
    <w:rsid w:val="009F122D"/>
    <w:rsid w:val="009F2199"/>
    <w:rsid w:val="009F26CA"/>
    <w:rsid w:val="009F2A55"/>
    <w:rsid w:val="009F301C"/>
    <w:rsid w:val="009F31D5"/>
    <w:rsid w:val="009F35DA"/>
    <w:rsid w:val="009F3898"/>
    <w:rsid w:val="009F3C0D"/>
    <w:rsid w:val="009F3D43"/>
    <w:rsid w:val="009F4034"/>
    <w:rsid w:val="009F4082"/>
    <w:rsid w:val="009F43D0"/>
    <w:rsid w:val="009F455F"/>
    <w:rsid w:val="009F488E"/>
    <w:rsid w:val="009F5097"/>
    <w:rsid w:val="009F50D8"/>
    <w:rsid w:val="009F5C5A"/>
    <w:rsid w:val="009F5F56"/>
    <w:rsid w:val="009F6185"/>
    <w:rsid w:val="009F62A3"/>
    <w:rsid w:val="009F64A1"/>
    <w:rsid w:val="009F69E1"/>
    <w:rsid w:val="009F6BF1"/>
    <w:rsid w:val="009F7019"/>
    <w:rsid w:val="009F7A90"/>
    <w:rsid w:val="009F7C59"/>
    <w:rsid w:val="009F7C6D"/>
    <w:rsid w:val="009F7ED6"/>
    <w:rsid w:val="009F7F02"/>
    <w:rsid w:val="00A000F0"/>
    <w:rsid w:val="00A00568"/>
    <w:rsid w:val="00A00751"/>
    <w:rsid w:val="00A0084A"/>
    <w:rsid w:val="00A00884"/>
    <w:rsid w:val="00A00906"/>
    <w:rsid w:val="00A00EEB"/>
    <w:rsid w:val="00A00F4D"/>
    <w:rsid w:val="00A0112F"/>
    <w:rsid w:val="00A0113D"/>
    <w:rsid w:val="00A01327"/>
    <w:rsid w:val="00A017B4"/>
    <w:rsid w:val="00A01CD0"/>
    <w:rsid w:val="00A01E65"/>
    <w:rsid w:val="00A01EF7"/>
    <w:rsid w:val="00A01F89"/>
    <w:rsid w:val="00A020CE"/>
    <w:rsid w:val="00A0280C"/>
    <w:rsid w:val="00A029EC"/>
    <w:rsid w:val="00A02F62"/>
    <w:rsid w:val="00A02FA3"/>
    <w:rsid w:val="00A02FE1"/>
    <w:rsid w:val="00A030C3"/>
    <w:rsid w:val="00A030E5"/>
    <w:rsid w:val="00A0326F"/>
    <w:rsid w:val="00A035D1"/>
    <w:rsid w:val="00A03C4D"/>
    <w:rsid w:val="00A04255"/>
    <w:rsid w:val="00A0447A"/>
    <w:rsid w:val="00A04803"/>
    <w:rsid w:val="00A04A90"/>
    <w:rsid w:val="00A04B8C"/>
    <w:rsid w:val="00A04D55"/>
    <w:rsid w:val="00A05450"/>
    <w:rsid w:val="00A0592E"/>
    <w:rsid w:val="00A05EFE"/>
    <w:rsid w:val="00A06006"/>
    <w:rsid w:val="00A06208"/>
    <w:rsid w:val="00A06463"/>
    <w:rsid w:val="00A0655F"/>
    <w:rsid w:val="00A06611"/>
    <w:rsid w:val="00A06E50"/>
    <w:rsid w:val="00A06EBF"/>
    <w:rsid w:val="00A074BF"/>
    <w:rsid w:val="00A075D7"/>
    <w:rsid w:val="00A10147"/>
    <w:rsid w:val="00A10546"/>
    <w:rsid w:val="00A10AFC"/>
    <w:rsid w:val="00A10B30"/>
    <w:rsid w:val="00A10EDE"/>
    <w:rsid w:val="00A10F4F"/>
    <w:rsid w:val="00A110D9"/>
    <w:rsid w:val="00A11297"/>
    <w:rsid w:val="00A11331"/>
    <w:rsid w:val="00A11708"/>
    <w:rsid w:val="00A118CE"/>
    <w:rsid w:val="00A11BA0"/>
    <w:rsid w:val="00A12300"/>
    <w:rsid w:val="00A12348"/>
    <w:rsid w:val="00A130A2"/>
    <w:rsid w:val="00A131E6"/>
    <w:rsid w:val="00A132B5"/>
    <w:rsid w:val="00A13352"/>
    <w:rsid w:val="00A133C6"/>
    <w:rsid w:val="00A1355F"/>
    <w:rsid w:val="00A13760"/>
    <w:rsid w:val="00A13843"/>
    <w:rsid w:val="00A1387B"/>
    <w:rsid w:val="00A13A93"/>
    <w:rsid w:val="00A13D96"/>
    <w:rsid w:val="00A144F1"/>
    <w:rsid w:val="00A146A5"/>
    <w:rsid w:val="00A14E65"/>
    <w:rsid w:val="00A1521C"/>
    <w:rsid w:val="00A1552C"/>
    <w:rsid w:val="00A15577"/>
    <w:rsid w:val="00A160CA"/>
    <w:rsid w:val="00A164F7"/>
    <w:rsid w:val="00A16DAA"/>
    <w:rsid w:val="00A171DD"/>
    <w:rsid w:val="00A171F8"/>
    <w:rsid w:val="00A17466"/>
    <w:rsid w:val="00A176D0"/>
    <w:rsid w:val="00A176D5"/>
    <w:rsid w:val="00A17EAB"/>
    <w:rsid w:val="00A200C3"/>
    <w:rsid w:val="00A203B1"/>
    <w:rsid w:val="00A204B3"/>
    <w:rsid w:val="00A20576"/>
    <w:rsid w:val="00A20B59"/>
    <w:rsid w:val="00A20D51"/>
    <w:rsid w:val="00A21593"/>
    <w:rsid w:val="00A21878"/>
    <w:rsid w:val="00A21D9F"/>
    <w:rsid w:val="00A21E63"/>
    <w:rsid w:val="00A2210B"/>
    <w:rsid w:val="00A221F7"/>
    <w:rsid w:val="00A2227F"/>
    <w:rsid w:val="00A22C21"/>
    <w:rsid w:val="00A22C42"/>
    <w:rsid w:val="00A22E15"/>
    <w:rsid w:val="00A23412"/>
    <w:rsid w:val="00A23470"/>
    <w:rsid w:val="00A238A1"/>
    <w:rsid w:val="00A23B36"/>
    <w:rsid w:val="00A244CA"/>
    <w:rsid w:val="00A2499E"/>
    <w:rsid w:val="00A24AFA"/>
    <w:rsid w:val="00A24BAE"/>
    <w:rsid w:val="00A24C64"/>
    <w:rsid w:val="00A24F31"/>
    <w:rsid w:val="00A2591A"/>
    <w:rsid w:val="00A25967"/>
    <w:rsid w:val="00A25A18"/>
    <w:rsid w:val="00A25B08"/>
    <w:rsid w:val="00A25CA2"/>
    <w:rsid w:val="00A2604E"/>
    <w:rsid w:val="00A260DD"/>
    <w:rsid w:val="00A26323"/>
    <w:rsid w:val="00A263C8"/>
    <w:rsid w:val="00A264ED"/>
    <w:rsid w:val="00A265D4"/>
    <w:rsid w:val="00A26B44"/>
    <w:rsid w:val="00A27419"/>
    <w:rsid w:val="00A27B73"/>
    <w:rsid w:val="00A27DDE"/>
    <w:rsid w:val="00A30E31"/>
    <w:rsid w:val="00A310B7"/>
    <w:rsid w:val="00A31135"/>
    <w:rsid w:val="00A3160F"/>
    <w:rsid w:val="00A3179D"/>
    <w:rsid w:val="00A31932"/>
    <w:rsid w:val="00A31A83"/>
    <w:rsid w:val="00A31AEC"/>
    <w:rsid w:val="00A31CCE"/>
    <w:rsid w:val="00A32B7C"/>
    <w:rsid w:val="00A32F14"/>
    <w:rsid w:val="00A330BC"/>
    <w:rsid w:val="00A33790"/>
    <w:rsid w:val="00A337AA"/>
    <w:rsid w:val="00A33A3C"/>
    <w:rsid w:val="00A33C2B"/>
    <w:rsid w:val="00A33C95"/>
    <w:rsid w:val="00A33CFC"/>
    <w:rsid w:val="00A3414E"/>
    <w:rsid w:val="00A34FF3"/>
    <w:rsid w:val="00A350DB"/>
    <w:rsid w:val="00A35230"/>
    <w:rsid w:val="00A352B8"/>
    <w:rsid w:val="00A35351"/>
    <w:rsid w:val="00A35888"/>
    <w:rsid w:val="00A35A69"/>
    <w:rsid w:val="00A36016"/>
    <w:rsid w:val="00A361C7"/>
    <w:rsid w:val="00A36723"/>
    <w:rsid w:val="00A3682A"/>
    <w:rsid w:val="00A36866"/>
    <w:rsid w:val="00A36DB5"/>
    <w:rsid w:val="00A3750A"/>
    <w:rsid w:val="00A376D4"/>
    <w:rsid w:val="00A37B7D"/>
    <w:rsid w:val="00A4084B"/>
    <w:rsid w:val="00A41306"/>
    <w:rsid w:val="00A41345"/>
    <w:rsid w:val="00A416CE"/>
    <w:rsid w:val="00A417D1"/>
    <w:rsid w:val="00A418FB"/>
    <w:rsid w:val="00A41F57"/>
    <w:rsid w:val="00A41F6D"/>
    <w:rsid w:val="00A427E5"/>
    <w:rsid w:val="00A42A1E"/>
    <w:rsid w:val="00A42E90"/>
    <w:rsid w:val="00A42FE8"/>
    <w:rsid w:val="00A43140"/>
    <w:rsid w:val="00A43736"/>
    <w:rsid w:val="00A43970"/>
    <w:rsid w:val="00A44692"/>
    <w:rsid w:val="00A4475E"/>
    <w:rsid w:val="00A4496A"/>
    <w:rsid w:val="00A44A92"/>
    <w:rsid w:val="00A44C7B"/>
    <w:rsid w:val="00A44D97"/>
    <w:rsid w:val="00A44F1B"/>
    <w:rsid w:val="00A457C4"/>
    <w:rsid w:val="00A4594A"/>
    <w:rsid w:val="00A46677"/>
    <w:rsid w:val="00A466C0"/>
    <w:rsid w:val="00A46997"/>
    <w:rsid w:val="00A469ED"/>
    <w:rsid w:val="00A46AE1"/>
    <w:rsid w:val="00A46BB8"/>
    <w:rsid w:val="00A46DF5"/>
    <w:rsid w:val="00A470F9"/>
    <w:rsid w:val="00A4723F"/>
    <w:rsid w:val="00A47C7B"/>
    <w:rsid w:val="00A50AC1"/>
    <w:rsid w:val="00A50DB8"/>
    <w:rsid w:val="00A50FAC"/>
    <w:rsid w:val="00A5149A"/>
    <w:rsid w:val="00A5151B"/>
    <w:rsid w:val="00A51544"/>
    <w:rsid w:val="00A5230D"/>
    <w:rsid w:val="00A523FD"/>
    <w:rsid w:val="00A524D7"/>
    <w:rsid w:val="00A528A1"/>
    <w:rsid w:val="00A528D1"/>
    <w:rsid w:val="00A52BB5"/>
    <w:rsid w:val="00A52C4B"/>
    <w:rsid w:val="00A5307A"/>
    <w:rsid w:val="00A53454"/>
    <w:rsid w:val="00A53650"/>
    <w:rsid w:val="00A537F6"/>
    <w:rsid w:val="00A53D6D"/>
    <w:rsid w:val="00A53E51"/>
    <w:rsid w:val="00A54953"/>
    <w:rsid w:val="00A54A65"/>
    <w:rsid w:val="00A54FE1"/>
    <w:rsid w:val="00A55E02"/>
    <w:rsid w:val="00A55E87"/>
    <w:rsid w:val="00A564E0"/>
    <w:rsid w:val="00A5659B"/>
    <w:rsid w:val="00A56A3C"/>
    <w:rsid w:val="00A56F51"/>
    <w:rsid w:val="00A57183"/>
    <w:rsid w:val="00A57A2F"/>
    <w:rsid w:val="00A60294"/>
    <w:rsid w:val="00A60538"/>
    <w:rsid w:val="00A60658"/>
    <w:rsid w:val="00A60693"/>
    <w:rsid w:val="00A60A4C"/>
    <w:rsid w:val="00A60C37"/>
    <w:rsid w:val="00A61340"/>
    <w:rsid w:val="00A6196D"/>
    <w:rsid w:val="00A619C0"/>
    <w:rsid w:val="00A61ADF"/>
    <w:rsid w:val="00A61C89"/>
    <w:rsid w:val="00A61FAA"/>
    <w:rsid w:val="00A62012"/>
    <w:rsid w:val="00A624CB"/>
    <w:rsid w:val="00A62AC0"/>
    <w:rsid w:val="00A62B89"/>
    <w:rsid w:val="00A62BBF"/>
    <w:rsid w:val="00A63738"/>
    <w:rsid w:val="00A63994"/>
    <w:rsid w:val="00A63CD2"/>
    <w:rsid w:val="00A63D4D"/>
    <w:rsid w:val="00A647B6"/>
    <w:rsid w:val="00A64957"/>
    <w:rsid w:val="00A649EA"/>
    <w:rsid w:val="00A64CF8"/>
    <w:rsid w:val="00A6540D"/>
    <w:rsid w:val="00A654A8"/>
    <w:rsid w:val="00A65882"/>
    <w:rsid w:val="00A663E0"/>
    <w:rsid w:val="00A66498"/>
    <w:rsid w:val="00A665A1"/>
    <w:rsid w:val="00A6687F"/>
    <w:rsid w:val="00A66AEF"/>
    <w:rsid w:val="00A66F9E"/>
    <w:rsid w:val="00A674FA"/>
    <w:rsid w:val="00A67CC5"/>
    <w:rsid w:val="00A70146"/>
    <w:rsid w:val="00A703F3"/>
    <w:rsid w:val="00A704D4"/>
    <w:rsid w:val="00A7058D"/>
    <w:rsid w:val="00A70770"/>
    <w:rsid w:val="00A708A5"/>
    <w:rsid w:val="00A71518"/>
    <w:rsid w:val="00A71526"/>
    <w:rsid w:val="00A71AA4"/>
    <w:rsid w:val="00A71C8E"/>
    <w:rsid w:val="00A71CD1"/>
    <w:rsid w:val="00A71E6C"/>
    <w:rsid w:val="00A72283"/>
    <w:rsid w:val="00A72758"/>
    <w:rsid w:val="00A7294A"/>
    <w:rsid w:val="00A72A9C"/>
    <w:rsid w:val="00A72C8A"/>
    <w:rsid w:val="00A73273"/>
    <w:rsid w:val="00A733FD"/>
    <w:rsid w:val="00A735C4"/>
    <w:rsid w:val="00A73632"/>
    <w:rsid w:val="00A738E5"/>
    <w:rsid w:val="00A73C59"/>
    <w:rsid w:val="00A73D91"/>
    <w:rsid w:val="00A73E79"/>
    <w:rsid w:val="00A7460A"/>
    <w:rsid w:val="00A74697"/>
    <w:rsid w:val="00A7474A"/>
    <w:rsid w:val="00A749CA"/>
    <w:rsid w:val="00A74FE6"/>
    <w:rsid w:val="00A75118"/>
    <w:rsid w:val="00A75125"/>
    <w:rsid w:val="00A754FD"/>
    <w:rsid w:val="00A75A96"/>
    <w:rsid w:val="00A761A1"/>
    <w:rsid w:val="00A762F9"/>
    <w:rsid w:val="00A7696A"/>
    <w:rsid w:val="00A76BD2"/>
    <w:rsid w:val="00A76CB6"/>
    <w:rsid w:val="00A77877"/>
    <w:rsid w:val="00A778CD"/>
    <w:rsid w:val="00A77CF6"/>
    <w:rsid w:val="00A80300"/>
    <w:rsid w:val="00A80561"/>
    <w:rsid w:val="00A80922"/>
    <w:rsid w:val="00A81216"/>
    <w:rsid w:val="00A81487"/>
    <w:rsid w:val="00A8166C"/>
    <w:rsid w:val="00A81B6F"/>
    <w:rsid w:val="00A81DFB"/>
    <w:rsid w:val="00A81E48"/>
    <w:rsid w:val="00A822C0"/>
    <w:rsid w:val="00A82387"/>
    <w:rsid w:val="00A824C2"/>
    <w:rsid w:val="00A8267D"/>
    <w:rsid w:val="00A8296B"/>
    <w:rsid w:val="00A82CD3"/>
    <w:rsid w:val="00A82E14"/>
    <w:rsid w:val="00A836F2"/>
    <w:rsid w:val="00A838F8"/>
    <w:rsid w:val="00A83F2B"/>
    <w:rsid w:val="00A84477"/>
    <w:rsid w:val="00A853E0"/>
    <w:rsid w:val="00A8551E"/>
    <w:rsid w:val="00A85862"/>
    <w:rsid w:val="00A85D6B"/>
    <w:rsid w:val="00A85F13"/>
    <w:rsid w:val="00A8688E"/>
    <w:rsid w:val="00A86CFE"/>
    <w:rsid w:val="00A86EA0"/>
    <w:rsid w:val="00A8722B"/>
    <w:rsid w:val="00A87942"/>
    <w:rsid w:val="00A87A2F"/>
    <w:rsid w:val="00A87F59"/>
    <w:rsid w:val="00A87FE0"/>
    <w:rsid w:val="00A900C9"/>
    <w:rsid w:val="00A901DD"/>
    <w:rsid w:val="00A901E9"/>
    <w:rsid w:val="00A90BED"/>
    <w:rsid w:val="00A91287"/>
    <w:rsid w:val="00A917B6"/>
    <w:rsid w:val="00A91831"/>
    <w:rsid w:val="00A91B3B"/>
    <w:rsid w:val="00A91B81"/>
    <w:rsid w:val="00A92194"/>
    <w:rsid w:val="00A92697"/>
    <w:rsid w:val="00A929F2"/>
    <w:rsid w:val="00A92EE2"/>
    <w:rsid w:val="00A93243"/>
    <w:rsid w:val="00A938E0"/>
    <w:rsid w:val="00A93B4F"/>
    <w:rsid w:val="00A93D01"/>
    <w:rsid w:val="00A94160"/>
    <w:rsid w:val="00A94515"/>
    <w:rsid w:val="00A945F3"/>
    <w:rsid w:val="00A94841"/>
    <w:rsid w:val="00A94AF5"/>
    <w:rsid w:val="00A94F7A"/>
    <w:rsid w:val="00A9568E"/>
    <w:rsid w:val="00A9575C"/>
    <w:rsid w:val="00A958E7"/>
    <w:rsid w:val="00A95D3B"/>
    <w:rsid w:val="00A95EA2"/>
    <w:rsid w:val="00A95F80"/>
    <w:rsid w:val="00A96496"/>
    <w:rsid w:val="00A96B0F"/>
    <w:rsid w:val="00A96BA3"/>
    <w:rsid w:val="00A96C32"/>
    <w:rsid w:val="00A9705D"/>
    <w:rsid w:val="00A97341"/>
    <w:rsid w:val="00A97740"/>
    <w:rsid w:val="00A97AF1"/>
    <w:rsid w:val="00A97DA0"/>
    <w:rsid w:val="00AA0081"/>
    <w:rsid w:val="00AA0463"/>
    <w:rsid w:val="00AA054B"/>
    <w:rsid w:val="00AA05D6"/>
    <w:rsid w:val="00AA07E0"/>
    <w:rsid w:val="00AA085E"/>
    <w:rsid w:val="00AA0C07"/>
    <w:rsid w:val="00AA0E56"/>
    <w:rsid w:val="00AA0F8A"/>
    <w:rsid w:val="00AA16CB"/>
    <w:rsid w:val="00AA1ACA"/>
    <w:rsid w:val="00AA21B4"/>
    <w:rsid w:val="00AA24BE"/>
    <w:rsid w:val="00AA2598"/>
    <w:rsid w:val="00AA27A0"/>
    <w:rsid w:val="00AA2C93"/>
    <w:rsid w:val="00AA2FAC"/>
    <w:rsid w:val="00AA31DF"/>
    <w:rsid w:val="00AA355C"/>
    <w:rsid w:val="00AA37EC"/>
    <w:rsid w:val="00AA3865"/>
    <w:rsid w:val="00AA4690"/>
    <w:rsid w:val="00AA495F"/>
    <w:rsid w:val="00AA4E4D"/>
    <w:rsid w:val="00AA4F56"/>
    <w:rsid w:val="00AA4F64"/>
    <w:rsid w:val="00AA4F88"/>
    <w:rsid w:val="00AA50D1"/>
    <w:rsid w:val="00AA569C"/>
    <w:rsid w:val="00AA578B"/>
    <w:rsid w:val="00AA5E38"/>
    <w:rsid w:val="00AA5F90"/>
    <w:rsid w:val="00AA61F1"/>
    <w:rsid w:val="00AA6352"/>
    <w:rsid w:val="00AA6365"/>
    <w:rsid w:val="00AA6480"/>
    <w:rsid w:val="00AA770A"/>
    <w:rsid w:val="00AA784A"/>
    <w:rsid w:val="00AB0647"/>
    <w:rsid w:val="00AB0792"/>
    <w:rsid w:val="00AB09ED"/>
    <w:rsid w:val="00AB0D06"/>
    <w:rsid w:val="00AB14F0"/>
    <w:rsid w:val="00AB1645"/>
    <w:rsid w:val="00AB1784"/>
    <w:rsid w:val="00AB17F2"/>
    <w:rsid w:val="00AB2DB9"/>
    <w:rsid w:val="00AB3270"/>
    <w:rsid w:val="00AB3310"/>
    <w:rsid w:val="00AB36E6"/>
    <w:rsid w:val="00AB3B16"/>
    <w:rsid w:val="00AB3DC0"/>
    <w:rsid w:val="00AB3F84"/>
    <w:rsid w:val="00AB4C07"/>
    <w:rsid w:val="00AB4CBB"/>
    <w:rsid w:val="00AB4F0F"/>
    <w:rsid w:val="00AB540D"/>
    <w:rsid w:val="00AB5808"/>
    <w:rsid w:val="00AB5DF2"/>
    <w:rsid w:val="00AB65A1"/>
    <w:rsid w:val="00AB6751"/>
    <w:rsid w:val="00AB69E9"/>
    <w:rsid w:val="00AB6ECB"/>
    <w:rsid w:val="00AB7451"/>
    <w:rsid w:val="00AB7CF8"/>
    <w:rsid w:val="00AB7E75"/>
    <w:rsid w:val="00AB7FCD"/>
    <w:rsid w:val="00AC06B0"/>
    <w:rsid w:val="00AC0AA6"/>
    <w:rsid w:val="00AC0C36"/>
    <w:rsid w:val="00AC10D6"/>
    <w:rsid w:val="00AC125E"/>
    <w:rsid w:val="00AC1322"/>
    <w:rsid w:val="00AC1481"/>
    <w:rsid w:val="00AC1908"/>
    <w:rsid w:val="00AC20D2"/>
    <w:rsid w:val="00AC2DFE"/>
    <w:rsid w:val="00AC2FDE"/>
    <w:rsid w:val="00AC3262"/>
    <w:rsid w:val="00AC359E"/>
    <w:rsid w:val="00AC36A8"/>
    <w:rsid w:val="00AC3B8F"/>
    <w:rsid w:val="00AC3C36"/>
    <w:rsid w:val="00AC3D51"/>
    <w:rsid w:val="00AC3E43"/>
    <w:rsid w:val="00AC40FD"/>
    <w:rsid w:val="00AC41DB"/>
    <w:rsid w:val="00AC45DF"/>
    <w:rsid w:val="00AC4614"/>
    <w:rsid w:val="00AC474D"/>
    <w:rsid w:val="00AC4C5C"/>
    <w:rsid w:val="00AC4DFD"/>
    <w:rsid w:val="00AC4F47"/>
    <w:rsid w:val="00AC540B"/>
    <w:rsid w:val="00AC5663"/>
    <w:rsid w:val="00AC58FD"/>
    <w:rsid w:val="00AC5AA2"/>
    <w:rsid w:val="00AC5B1E"/>
    <w:rsid w:val="00AC5DB7"/>
    <w:rsid w:val="00AC675F"/>
    <w:rsid w:val="00AC68B5"/>
    <w:rsid w:val="00AC6D35"/>
    <w:rsid w:val="00AC7063"/>
    <w:rsid w:val="00AC7337"/>
    <w:rsid w:val="00AD02C2"/>
    <w:rsid w:val="00AD0E3B"/>
    <w:rsid w:val="00AD0F6D"/>
    <w:rsid w:val="00AD0FCE"/>
    <w:rsid w:val="00AD10A1"/>
    <w:rsid w:val="00AD1156"/>
    <w:rsid w:val="00AD1166"/>
    <w:rsid w:val="00AD1579"/>
    <w:rsid w:val="00AD19D2"/>
    <w:rsid w:val="00AD1A96"/>
    <w:rsid w:val="00AD1CAD"/>
    <w:rsid w:val="00AD1CF2"/>
    <w:rsid w:val="00AD1D13"/>
    <w:rsid w:val="00AD235A"/>
    <w:rsid w:val="00AD2ABA"/>
    <w:rsid w:val="00AD2B7E"/>
    <w:rsid w:val="00AD3042"/>
    <w:rsid w:val="00AD352A"/>
    <w:rsid w:val="00AD38DF"/>
    <w:rsid w:val="00AD39DA"/>
    <w:rsid w:val="00AD3E71"/>
    <w:rsid w:val="00AD406A"/>
    <w:rsid w:val="00AD4206"/>
    <w:rsid w:val="00AD4508"/>
    <w:rsid w:val="00AD462A"/>
    <w:rsid w:val="00AD47A3"/>
    <w:rsid w:val="00AD495D"/>
    <w:rsid w:val="00AD4A07"/>
    <w:rsid w:val="00AD4A9A"/>
    <w:rsid w:val="00AD5434"/>
    <w:rsid w:val="00AD5749"/>
    <w:rsid w:val="00AD5769"/>
    <w:rsid w:val="00AD58CE"/>
    <w:rsid w:val="00AD6410"/>
    <w:rsid w:val="00AD644C"/>
    <w:rsid w:val="00AD65DB"/>
    <w:rsid w:val="00AD67AC"/>
    <w:rsid w:val="00AD6CC0"/>
    <w:rsid w:val="00AD718E"/>
    <w:rsid w:val="00AD769B"/>
    <w:rsid w:val="00AD7927"/>
    <w:rsid w:val="00AD793A"/>
    <w:rsid w:val="00AD7CF0"/>
    <w:rsid w:val="00AE0120"/>
    <w:rsid w:val="00AE03E0"/>
    <w:rsid w:val="00AE0622"/>
    <w:rsid w:val="00AE0708"/>
    <w:rsid w:val="00AE0725"/>
    <w:rsid w:val="00AE078F"/>
    <w:rsid w:val="00AE09B3"/>
    <w:rsid w:val="00AE0ABD"/>
    <w:rsid w:val="00AE0B3E"/>
    <w:rsid w:val="00AE0BE0"/>
    <w:rsid w:val="00AE1D30"/>
    <w:rsid w:val="00AE1F81"/>
    <w:rsid w:val="00AE20C6"/>
    <w:rsid w:val="00AE2A52"/>
    <w:rsid w:val="00AE2DB6"/>
    <w:rsid w:val="00AE3038"/>
    <w:rsid w:val="00AE3189"/>
    <w:rsid w:val="00AE33FE"/>
    <w:rsid w:val="00AE3565"/>
    <w:rsid w:val="00AE3745"/>
    <w:rsid w:val="00AE3893"/>
    <w:rsid w:val="00AE3D4A"/>
    <w:rsid w:val="00AE3FE2"/>
    <w:rsid w:val="00AE4413"/>
    <w:rsid w:val="00AE441A"/>
    <w:rsid w:val="00AE4876"/>
    <w:rsid w:val="00AE4B08"/>
    <w:rsid w:val="00AE4C8A"/>
    <w:rsid w:val="00AE4E96"/>
    <w:rsid w:val="00AE52C1"/>
    <w:rsid w:val="00AE58B8"/>
    <w:rsid w:val="00AE5956"/>
    <w:rsid w:val="00AE619F"/>
    <w:rsid w:val="00AE6311"/>
    <w:rsid w:val="00AE64B3"/>
    <w:rsid w:val="00AE66D0"/>
    <w:rsid w:val="00AE70A7"/>
    <w:rsid w:val="00AE7546"/>
    <w:rsid w:val="00AE7730"/>
    <w:rsid w:val="00AE7843"/>
    <w:rsid w:val="00AE7947"/>
    <w:rsid w:val="00AE7949"/>
    <w:rsid w:val="00AE7A88"/>
    <w:rsid w:val="00AF020B"/>
    <w:rsid w:val="00AF05D7"/>
    <w:rsid w:val="00AF060F"/>
    <w:rsid w:val="00AF0F15"/>
    <w:rsid w:val="00AF10F1"/>
    <w:rsid w:val="00AF118D"/>
    <w:rsid w:val="00AF13D2"/>
    <w:rsid w:val="00AF1778"/>
    <w:rsid w:val="00AF1DD5"/>
    <w:rsid w:val="00AF1F16"/>
    <w:rsid w:val="00AF24AA"/>
    <w:rsid w:val="00AF251D"/>
    <w:rsid w:val="00AF26BE"/>
    <w:rsid w:val="00AF27B9"/>
    <w:rsid w:val="00AF2A0F"/>
    <w:rsid w:val="00AF2A56"/>
    <w:rsid w:val="00AF2B1E"/>
    <w:rsid w:val="00AF30CA"/>
    <w:rsid w:val="00AF3207"/>
    <w:rsid w:val="00AF33FD"/>
    <w:rsid w:val="00AF3951"/>
    <w:rsid w:val="00AF3AB3"/>
    <w:rsid w:val="00AF3ABB"/>
    <w:rsid w:val="00AF402E"/>
    <w:rsid w:val="00AF45B0"/>
    <w:rsid w:val="00AF4931"/>
    <w:rsid w:val="00AF4AB5"/>
    <w:rsid w:val="00AF4FBA"/>
    <w:rsid w:val="00AF51D1"/>
    <w:rsid w:val="00AF522D"/>
    <w:rsid w:val="00AF62C5"/>
    <w:rsid w:val="00AF6321"/>
    <w:rsid w:val="00AF63AB"/>
    <w:rsid w:val="00AF6572"/>
    <w:rsid w:val="00AF669D"/>
    <w:rsid w:val="00AF67AD"/>
    <w:rsid w:val="00AF6F27"/>
    <w:rsid w:val="00AF7013"/>
    <w:rsid w:val="00AF7117"/>
    <w:rsid w:val="00AF717B"/>
    <w:rsid w:val="00AF7210"/>
    <w:rsid w:val="00AF748A"/>
    <w:rsid w:val="00AF760B"/>
    <w:rsid w:val="00AF76CA"/>
    <w:rsid w:val="00AF7B42"/>
    <w:rsid w:val="00B00019"/>
    <w:rsid w:val="00B0017C"/>
    <w:rsid w:val="00B0017D"/>
    <w:rsid w:val="00B00487"/>
    <w:rsid w:val="00B007B8"/>
    <w:rsid w:val="00B00988"/>
    <w:rsid w:val="00B00E96"/>
    <w:rsid w:val="00B00ECD"/>
    <w:rsid w:val="00B01134"/>
    <w:rsid w:val="00B01471"/>
    <w:rsid w:val="00B0166A"/>
    <w:rsid w:val="00B01784"/>
    <w:rsid w:val="00B01D62"/>
    <w:rsid w:val="00B01F1B"/>
    <w:rsid w:val="00B020CB"/>
    <w:rsid w:val="00B02545"/>
    <w:rsid w:val="00B02729"/>
    <w:rsid w:val="00B02888"/>
    <w:rsid w:val="00B02CF7"/>
    <w:rsid w:val="00B02E64"/>
    <w:rsid w:val="00B02EB6"/>
    <w:rsid w:val="00B02FC2"/>
    <w:rsid w:val="00B0300F"/>
    <w:rsid w:val="00B03027"/>
    <w:rsid w:val="00B03496"/>
    <w:rsid w:val="00B03602"/>
    <w:rsid w:val="00B0368C"/>
    <w:rsid w:val="00B036E8"/>
    <w:rsid w:val="00B0388B"/>
    <w:rsid w:val="00B038D1"/>
    <w:rsid w:val="00B0395C"/>
    <w:rsid w:val="00B03AB1"/>
    <w:rsid w:val="00B03BEE"/>
    <w:rsid w:val="00B03ECB"/>
    <w:rsid w:val="00B046F7"/>
    <w:rsid w:val="00B04A29"/>
    <w:rsid w:val="00B04B5B"/>
    <w:rsid w:val="00B050C3"/>
    <w:rsid w:val="00B0517E"/>
    <w:rsid w:val="00B051BC"/>
    <w:rsid w:val="00B051DE"/>
    <w:rsid w:val="00B05409"/>
    <w:rsid w:val="00B0543F"/>
    <w:rsid w:val="00B0544F"/>
    <w:rsid w:val="00B05919"/>
    <w:rsid w:val="00B05B6F"/>
    <w:rsid w:val="00B05C8E"/>
    <w:rsid w:val="00B06195"/>
    <w:rsid w:val="00B065F5"/>
    <w:rsid w:val="00B06AA5"/>
    <w:rsid w:val="00B06B27"/>
    <w:rsid w:val="00B06B8E"/>
    <w:rsid w:val="00B06F1A"/>
    <w:rsid w:val="00B07333"/>
    <w:rsid w:val="00B073A1"/>
    <w:rsid w:val="00B07728"/>
    <w:rsid w:val="00B07C15"/>
    <w:rsid w:val="00B07DCD"/>
    <w:rsid w:val="00B101F5"/>
    <w:rsid w:val="00B10B1C"/>
    <w:rsid w:val="00B10DCB"/>
    <w:rsid w:val="00B11314"/>
    <w:rsid w:val="00B11377"/>
    <w:rsid w:val="00B113E3"/>
    <w:rsid w:val="00B1156A"/>
    <w:rsid w:val="00B11D89"/>
    <w:rsid w:val="00B1241D"/>
    <w:rsid w:val="00B126D1"/>
    <w:rsid w:val="00B128B2"/>
    <w:rsid w:val="00B12953"/>
    <w:rsid w:val="00B12A21"/>
    <w:rsid w:val="00B12B55"/>
    <w:rsid w:val="00B130F1"/>
    <w:rsid w:val="00B1346D"/>
    <w:rsid w:val="00B134AD"/>
    <w:rsid w:val="00B1361F"/>
    <w:rsid w:val="00B136AC"/>
    <w:rsid w:val="00B13791"/>
    <w:rsid w:val="00B1381E"/>
    <w:rsid w:val="00B138E3"/>
    <w:rsid w:val="00B13D8D"/>
    <w:rsid w:val="00B13E04"/>
    <w:rsid w:val="00B13FB5"/>
    <w:rsid w:val="00B14898"/>
    <w:rsid w:val="00B14A07"/>
    <w:rsid w:val="00B14A71"/>
    <w:rsid w:val="00B14BC0"/>
    <w:rsid w:val="00B14CA5"/>
    <w:rsid w:val="00B14DD4"/>
    <w:rsid w:val="00B14EDF"/>
    <w:rsid w:val="00B15493"/>
    <w:rsid w:val="00B15DB7"/>
    <w:rsid w:val="00B15E5E"/>
    <w:rsid w:val="00B1600A"/>
    <w:rsid w:val="00B16A2C"/>
    <w:rsid w:val="00B172BD"/>
    <w:rsid w:val="00B1758F"/>
    <w:rsid w:val="00B178FA"/>
    <w:rsid w:val="00B17A39"/>
    <w:rsid w:val="00B17B63"/>
    <w:rsid w:val="00B17BF7"/>
    <w:rsid w:val="00B17D8E"/>
    <w:rsid w:val="00B17F87"/>
    <w:rsid w:val="00B202FB"/>
    <w:rsid w:val="00B2049E"/>
    <w:rsid w:val="00B204DE"/>
    <w:rsid w:val="00B20691"/>
    <w:rsid w:val="00B207C3"/>
    <w:rsid w:val="00B20FF6"/>
    <w:rsid w:val="00B21443"/>
    <w:rsid w:val="00B2155B"/>
    <w:rsid w:val="00B21D2A"/>
    <w:rsid w:val="00B21D48"/>
    <w:rsid w:val="00B222CF"/>
    <w:rsid w:val="00B223B0"/>
    <w:rsid w:val="00B22410"/>
    <w:rsid w:val="00B22468"/>
    <w:rsid w:val="00B225A4"/>
    <w:rsid w:val="00B229FD"/>
    <w:rsid w:val="00B22AEF"/>
    <w:rsid w:val="00B22CCF"/>
    <w:rsid w:val="00B23267"/>
    <w:rsid w:val="00B233A6"/>
    <w:rsid w:val="00B2377D"/>
    <w:rsid w:val="00B2389B"/>
    <w:rsid w:val="00B23906"/>
    <w:rsid w:val="00B23EB0"/>
    <w:rsid w:val="00B23F96"/>
    <w:rsid w:val="00B23FA7"/>
    <w:rsid w:val="00B2400A"/>
    <w:rsid w:val="00B242EE"/>
    <w:rsid w:val="00B24AB8"/>
    <w:rsid w:val="00B24FB4"/>
    <w:rsid w:val="00B252E2"/>
    <w:rsid w:val="00B253E6"/>
    <w:rsid w:val="00B25484"/>
    <w:rsid w:val="00B257BF"/>
    <w:rsid w:val="00B25841"/>
    <w:rsid w:val="00B25A65"/>
    <w:rsid w:val="00B25ACF"/>
    <w:rsid w:val="00B25E36"/>
    <w:rsid w:val="00B26035"/>
    <w:rsid w:val="00B26203"/>
    <w:rsid w:val="00B26A84"/>
    <w:rsid w:val="00B27149"/>
    <w:rsid w:val="00B27552"/>
    <w:rsid w:val="00B3009A"/>
    <w:rsid w:val="00B302E0"/>
    <w:rsid w:val="00B303F1"/>
    <w:rsid w:val="00B309ED"/>
    <w:rsid w:val="00B30AB2"/>
    <w:rsid w:val="00B30C81"/>
    <w:rsid w:val="00B30F1C"/>
    <w:rsid w:val="00B311C2"/>
    <w:rsid w:val="00B31936"/>
    <w:rsid w:val="00B32755"/>
    <w:rsid w:val="00B3279A"/>
    <w:rsid w:val="00B328C5"/>
    <w:rsid w:val="00B32A66"/>
    <w:rsid w:val="00B33824"/>
    <w:rsid w:val="00B33868"/>
    <w:rsid w:val="00B33ECA"/>
    <w:rsid w:val="00B34091"/>
    <w:rsid w:val="00B3442D"/>
    <w:rsid w:val="00B34A7F"/>
    <w:rsid w:val="00B34BB7"/>
    <w:rsid w:val="00B34EEC"/>
    <w:rsid w:val="00B34FC4"/>
    <w:rsid w:val="00B3501B"/>
    <w:rsid w:val="00B35258"/>
    <w:rsid w:val="00B35832"/>
    <w:rsid w:val="00B35B4D"/>
    <w:rsid w:val="00B35E0E"/>
    <w:rsid w:val="00B362F0"/>
    <w:rsid w:val="00B36652"/>
    <w:rsid w:val="00B36667"/>
    <w:rsid w:val="00B36747"/>
    <w:rsid w:val="00B37017"/>
    <w:rsid w:val="00B37189"/>
    <w:rsid w:val="00B375E1"/>
    <w:rsid w:val="00B37674"/>
    <w:rsid w:val="00B3778E"/>
    <w:rsid w:val="00B37997"/>
    <w:rsid w:val="00B40171"/>
    <w:rsid w:val="00B4018D"/>
    <w:rsid w:val="00B402A2"/>
    <w:rsid w:val="00B4037C"/>
    <w:rsid w:val="00B40C2C"/>
    <w:rsid w:val="00B41298"/>
    <w:rsid w:val="00B41721"/>
    <w:rsid w:val="00B41A6B"/>
    <w:rsid w:val="00B41FAF"/>
    <w:rsid w:val="00B4234C"/>
    <w:rsid w:val="00B425AB"/>
    <w:rsid w:val="00B428DA"/>
    <w:rsid w:val="00B42B94"/>
    <w:rsid w:val="00B43106"/>
    <w:rsid w:val="00B43417"/>
    <w:rsid w:val="00B439BA"/>
    <w:rsid w:val="00B43A2B"/>
    <w:rsid w:val="00B43A65"/>
    <w:rsid w:val="00B43C52"/>
    <w:rsid w:val="00B43D1C"/>
    <w:rsid w:val="00B44223"/>
    <w:rsid w:val="00B4428B"/>
    <w:rsid w:val="00B442DF"/>
    <w:rsid w:val="00B4488C"/>
    <w:rsid w:val="00B44A34"/>
    <w:rsid w:val="00B44C05"/>
    <w:rsid w:val="00B45279"/>
    <w:rsid w:val="00B452B4"/>
    <w:rsid w:val="00B457B3"/>
    <w:rsid w:val="00B459D5"/>
    <w:rsid w:val="00B45AD7"/>
    <w:rsid w:val="00B45EA7"/>
    <w:rsid w:val="00B46717"/>
    <w:rsid w:val="00B4679B"/>
    <w:rsid w:val="00B46D86"/>
    <w:rsid w:val="00B47090"/>
    <w:rsid w:val="00B472B3"/>
    <w:rsid w:val="00B47BAF"/>
    <w:rsid w:val="00B47C2F"/>
    <w:rsid w:val="00B47C64"/>
    <w:rsid w:val="00B47E89"/>
    <w:rsid w:val="00B50005"/>
    <w:rsid w:val="00B5074E"/>
    <w:rsid w:val="00B50896"/>
    <w:rsid w:val="00B50E6F"/>
    <w:rsid w:val="00B510E1"/>
    <w:rsid w:val="00B51359"/>
    <w:rsid w:val="00B514A5"/>
    <w:rsid w:val="00B5154F"/>
    <w:rsid w:val="00B51A65"/>
    <w:rsid w:val="00B51C46"/>
    <w:rsid w:val="00B522DB"/>
    <w:rsid w:val="00B523C8"/>
    <w:rsid w:val="00B52845"/>
    <w:rsid w:val="00B52880"/>
    <w:rsid w:val="00B52D58"/>
    <w:rsid w:val="00B52F04"/>
    <w:rsid w:val="00B52F95"/>
    <w:rsid w:val="00B53248"/>
    <w:rsid w:val="00B532D1"/>
    <w:rsid w:val="00B533D6"/>
    <w:rsid w:val="00B53528"/>
    <w:rsid w:val="00B539A5"/>
    <w:rsid w:val="00B53C79"/>
    <w:rsid w:val="00B53EBD"/>
    <w:rsid w:val="00B54776"/>
    <w:rsid w:val="00B54E31"/>
    <w:rsid w:val="00B54F54"/>
    <w:rsid w:val="00B551B8"/>
    <w:rsid w:val="00B5577F"/>
    <w:rsid w:val="00B557D2"/>
    <w:rsid w:val="00B55870"/>
    <w:rsid w:val="00B558D9"/>
    <w:rsid w:val="00B56273"/>
    <w:rsid w:val="00B56289"/>
    <w:rsid w:val="00B56343"/>
    <w:rsid w:val="00B56A7E"/>
    <w:rsid w:val="00B570FC"/>
    <w:rsid w:val="00B57780"/>
    <w:rsid w:val="00B57925"/>
    <w:rsid w:val="00B57BA5"/>
    <w:rsid w:val="00B57C25"/>
    <w:rsid w:val="00B57DCA"/>
    <w:rsid w:val="00B57E57"/>
    <w:rsid w:val="00B601BB"/>
    <w:rsid w:val="00B6028E"/>
    <w:rsid w:val="00B602A5"/>
    <w:rsid w:val="00B6078B"/>
    <w:rsid w:val="00B607E1"/>
    <w:rsid w:val="00B60BF8"/>
    <w:rsid w:val="00B611C8"/>
    <w:rsid w:val="00B6123F"/>
    <w:rsid w:val="00B612EC"/>
    <w:rsid w:val="00B61386"/>
    <w:rsid w:val="00B615ED"/>
    <w:rsid w:val="00B6163C"/>
    <w:rsid w:val="00B61BEC"/>
    <w:rsid w:val="00B61E3E"/>
    <w:rsid w:val="00B61F0C"/>
    <w:rsid w:val="00B62138"/>
    <w:rsid w:val="00B6213A"/>
    <w:rsid w:val="00B62726"/>
    <w:rsid w:val="00B628C4"/>
    <w:rsid w:val="00B62B21"/>
    <w:rsid w:val="00B631BA"/>
    <w:rsid w:val="00B634B8"/>
    <w:rsid w:val="00B636E7"/>
    <w:rsid w:val="00B639D0"/>
    <w:rsid w:val="00B6432A"/>
    <w:rsid w:val="00B64500"/>
    <w:rsid w:val="00B64B9D"/>
    <w:rsid w:val="00B65AE3"/>
    <w:rsid w:val="00B66058"/>
    <w:rsid w:val="00B66359"/>
    <w:rsid w:val="00B663EB"/>
    <w:rsid w:val="00B66443"/>
    <w:rsid w:val="00B66614"/>
    <w:rsid w:val="00B668A5"/>
    <w:rsid w:val="00B675C1"/>
    <w:rsid w:val="00B67957"/>
    <w:rsid w:val="00B67A79"/>
    <w:rsid w:val="00B67AA7"/>
    <w:rsid w:val="00B67D0F"/>
    <w:rsid w:val="00B700AC"/>
    <w:rsid w:val="00B70150"/>
    <w:rsid w:val="00B70227"/>
    <w:rsid w:val="00B702C5"/>
    <w:rsid w:val="00B70463"/>
    <w:rsid w:val="00B706E0"/>
    <w:rsid w:val="00B70852"/>
    <w:rsid w:val="00B71146"/>
    <w:rsid w:val="00B711BE"/>
    <w:rsid w:val="00B71267"/>
    <w:rsid w:val="00B7152F"/>
    <w:rsid w:val="00B71753"/>
    <w:rsid w:val="00B722AE"/>
    <w:rsid w:val="00B72335"/>
    <w:rsid w:val="00B728E2"/>
    <w:rsid w:val="00B72D62"/>
    <w:rsid w:val="00B730DF"/>
    <w:rsid w:val="00B736B3"/>
    <w:rsid w:val="00B73A78"/>
    <w:rsid w:val="00B73CB1"/>
    <w:rsid w:val="00B74129"/>
    <w:rsid w:val="00B749AB"/>
    <w:rsid w:val="00B74D64"/>
    <w:rsid w:val="00B74D9A"/>
    <w:rsid w:val="00B74F69"/>
    <w:rsid w:val="00B751F8"/>
    <w:rsid w:val="00B75960"/>
    <w:rsid w:val="00B75F6A"/>
    <w:rsid w:val="00B76575"/>
    <w:rsid w:val="00B76746"/>
    <w:rsid w:val="00B7676A"/>
    <w:rsid w:val="00B767AF"/>
    <w:rsid w:val="00B768F3"/>
    <w:rsid w:val="00B76CDF"/>
    <w:rsid w:val="00B76D49"/>
    <w:rsid w:val="00B76F40"/>
    <w:rsid w:val="00B7710B"/>
    <w:rsid w:val="00B77510"/>
    <w:rsid w:val="00B77762"/>
    <w:rsid w:val="00B77926"/>
    <w:rsid w:val="00B77AB0"/>
    <w:rsid w:val="00B802C5"/>
    <w:rsid w:val="00B80511"/>
    <w:rsid w:val="00B80708"/>
    <w:rsid w:val="00B80732"/>
    <w:rsid w:val="00B80798"/>
    <w:rsid w:val="00B807AA"/>
    <w:rsid w:val="00B80876"/>
    <w:rsid w:val="00B80D35"/>
    <w:rsid w:val="00B81EE9"/>
    <w:rsid w:val="00B82088"/>
    <w:rsid w:val="00B8225A"/>
    <w:rsid w:val="00B82331"/>
    <w:rsid w:val="00B82C3C"/>
    <w:rsid w:val="00B82DE6"/>
    <w:rsid w:val="00B831CD"/>
    <w:rsid w:val="00B832E6"/>
    <w:rsid w:val="00B833C5"/>
    <w:rsid w:val="00B833F9"/>
    <w:rsid w:val="00B83535"/>
    <w:rsid w:val="00B8372D"/>
    <w:rsid w:val="00B83F20"/>
    <w:rsid w:val="00B841D0"/>
    <w:rsid w:val="00B843BE"/>
    <w:rsid w:val="00B8444A"/>
    <w:rsid w:val="00B846F6"/>
    <w:rsid w:val="00B84AC7"/>
    <w:rsid w:val="00B84DBC"/>
    <w:rsid w:val="00B84EDC"/>
    <w:rsid w:val="00B85007"/>
    <w:rsid w:val="00B85329"/>
    <w:rsid w:val="00B85446"/>
    <w:rsid w:val="00B858DC"/>
    <w:rsid w:val="00B859C8"/>
    <w:rsid w:val="00B85A5F"/>
    <w:rsid w:val="00B867B2"/>
    <w:rsid w:val="00B86DBA"/>
    <w:rsid w:val="00B8701A"/>
    <w:rsid w:val="00B8726C"/>
    <w:rsid w:val="00B87788"/>
    <w:rsid w:val="00B9003D"/>
    <w:rsid w:val="00B903E0"/>
    <w:rsid w:val="00B9057A"/>
    <w:rsid w:val="00B9078A"/>
    <w:rsid w:val="00B90FDA"/>
    <w:rsid w:val="00B91B73"/>
    <w:rsid w:val="00B91B9D"/>
    <w:rsid w:val="00B91CA7"/>
    <w:rsid w:val="00B91CCB"/>
    <w:rsid w:val="00B9293E"/>
    <w:rsid w:val="00B930C4"/>
    <w:rsid w:val="00B93B97"/>
    <w:rsid w:val="00B93D0C"/>
    <w:rsid w:val="00B93F66"/>
    <w:rsid w:val="00B94E44"/>
    <w:rsid w:val="00B94E6C"/>
    <w:rsid w:val="00B95043"/>
    <w:rsid w:val="00B95379"/>
    <w:rsid w:val="00B95440"/>
    <w:rsid w:val="00B95AB4"/>
    <w:rsid w:val="00B95D81"/>
    <w:rsid w:val="00B95F9B"/>
    <w:rsid w:val="00B96306"/>
    <w:rsid w:val="00B964FA"/>
    <w:rsid w:val="00B96511"/>
    <w:rsid w:val="00B9659E"/>
    <w:rsid w:val="00B965B5"/>
    <w:rsid w:val="00B9661B"/>
    <w:rsid w:val="00B966FB"/>
    <w:rsid w:val="00B96D0F"/>
    <w:rsid w:val="00B97865"/>
    <w:rsid w:val="00B97A37"/>
    <w:rsid w:val="00B97B1B"/>
    <w:rsid w:val="00B97BCF"/>
    <w:rsid w:val="00BA0146"/>
    <w:rsid w:val="00BA0253"/>
    <w:rsid w:val="00BA0D02"/>
    <w:rsid w:val="00BA0EFB"/>
    <w:rsid w:val="00BA1B71"/>
    <w:rsid w:val="00BA24B2"/>
    <w:rsid w:val="00BA273E"/>
    <w:rsid w:val="00BA2755"/>
    <w:rsid w:val="00BA2926"/>
    <w:rsid w:val="00BA2B46"/>
    <w:rsid w:val="00BA2BA4"/>
    <w:rsid w:val="00BA3176"/>
    <w:rsid w:val="00BA3623"/>
    <w:rsid w:val="00BA3924"/>
    <w:rsid w:val="00BA4078"/>
    <w:rsid w:val="00BA4B81"/>
    <w:rsid w:val="00BA4DFE"/>
    <w:rsid w:val="00BA5234"/>
    <w:rsid w:val="00BA5B5F"/>
    <w:rsid w:val="00BA5C69"/>
    <w:rsid w:val="00BA5E20"/>
    <w:rsid w:val="00BA607C"/>
    <w:rsid w:val="00BA60E5"/>
    <w:rsid w:val="00BA6200"/>
    <w:rsid w:val="00BA656F"/>
    <w:rsid w:val="00BA6593"/>
    <w:rsid w:val="00BA6734"/>
    <w:rsid w:val="00BA6D07"/>
    <w:rsid w:val="00BA7285"/>
    <w:rsid w:val="00BA7766"/>
    <w:rsid w:val="00BA778A"/>
    <w:rsid w:val="00BA7D25"/>
    <w:rsid w:val="00BB04F9"/>
    <w:rsid w:val="00BB07C1"/>
    <w:rsid w:val="00BB0B17"/>
    <w:rsid w:val="00BB0D5C"/>
    <w:rsid w:val="00BB1220"/>
    <w:rsid w:val="00BB13A2"/>
    <w:rsid w:val="00BB1BA0"/>
    <w:rsid w:val="00BB2524"/>
    <w:rsid w:val="00BB3349"/>
    <w:rsid w:val="00BB3709"/>
    <w:rsid w:val="00BB389A"/>
    <w:rsid w:val="00BB39D6"/>
    <w:rsid w:val="00BB3E2A"/>
    <w:rsid w:val="00BB3E3C"/>
    <w:rsid w:val="00BB4273"/>
    <w:rsid w:val="00BB442A"/>
    <w:rsid w:val="00BB483F"/>
    <w:rsid w:val="00BB48A7"/>
    <w:rsid w:val="00BB49F5"/>
    <w:rsid w:val="00BB507C"/>
    <w:rsid w:val="00BB518A"/>
    <w:rsid w:val="00BB55C7"/>
    <w:rsid w:val="00BB6019"/>
    <w:rsid w:val="00BB61C5"/>
    <w:rsid w:val="00BB6334"/>
    <w:rsid w:val="00BB64D9"/>
    <w:rsid w:val="00BB6643"/>
    <w:rsid w:val="00BB6D8B"/>
    <w:rsid w:val="00BB7121"/>
    <w:rsid w:val="00BB7389"/>
    <w:rsid w:val="00BB7E56"/>
    <w:rsid w:val="00BB7EE5"/>
    <w:rsid w:val="00BB7F65"/>
    <w:rsid w:val="00BC0068"/>
    <w:rsid w:val="00BC0166"/>
    <w:rsid w:val="00BC031E"/>
    <w:rsid w:val="00BC0479"/>
    <w:rsid w:val="00BC0B12"/>
    <w:rsid w:val="00BC0CE8"/>
    <w:rsid w:val="00BC0E98"/>
    <w:rsid w:val="00BC1492"/>
    <w:rsid w:val="00BC1651"/>
    <w:rsid w:val="00BC16F5"/>
    <w:rsid w:val="00BC175E"/>
    <w:rsid w:val="00BC18F5"/>
    <w:rsid w:val="00BC18FF"/>
    <w:rsid w:val="00BC1A4A"/>
    <w:rsid w:val="00BC1C21"/>
    <w:rsid w:val="00BC201F"/>
    <w:rsid w:val="00BC287D"/>
    <w:rsid w:val="00BC2A38"/>
    <w:rsid w:val="00BC2BC2"/>
    <w:rsid w:val="00BC2FED"/>
    <w:rsid w:val="00BC3211"/>
    <w:rsid w:val="00BC3464"/>
    <w:rsid w:val="00BC3D85"/>
    <w:rsid w:val="00BC4315"/>
    <w:rsid w:val="00BC4538"/>
    <w:rsid w:val="00BC4562"/>
    <w:rsid w:val="00BC46EB"/>
    <w:rsid w:val="00BC4BB5"/>
    <w:rsid w:val="00BC4DB0"/>
    <w:rsid w:val="00BC565F"/>
    <w:rsid w:val="00BC57D0"/>
    <w:rsid w:val="00BC57FE"/>
    <w:rsid w:val="00BC593E"/>
    <w:rsid w:val="00BC5F0D"/>
    <w:rsid w:val="00BC6158"/>
    <w:rsid w:val="00BC62E6"/>
    <w:rsid w:val="00BC643B"/>
    <w:rsid w:val="00BC6A3A"/>
    <w:rsid w:val="00BC7194"/>
    <w:rsid w:val="00BC74B0"/>
    <w:rsid w:val="00BD0246"/>
    <w:rsid w:val="00BD04A6"/>
    <w:rsid w:val="00BD0508"/>
    <w:rsid w:val="00BD0797"/>
    <w:rsid w:val="00BD0DBD"/>
    <w:rsid w:val="00BD0EF5"/>
    <w:rsid w:val="00BD13F0"/>
    <w:rsid w:val="00BD16E6"/>
    <w:rsid w:val="00BD1F56"/>
    <w:rsid w:val="00BD2178"/>
    <w:rsid w:val="00BD2279"/>
    <w:rsid w:val="00BD22DA"/>
    <w:rsid w:val="00BD2A41"/>
    <w:rsid w:val="00BD2AC2"/>
    <w:rsid w:val="00BD2BE5"/>
    <w:rsid w:val="00BD2BF6"/>
    <w:rsid w:val="00BD32E5"/>
    <w:rsid w:val="00BD36C4"/>
    <w:rsid w:val="00BD386A"/>
    <w:rsid w:val="00BD395F"/>
    <w:rsid w:val="00BD3B90"/>
    <w:rsid w:val="00BD4079"/>
    <w:rsid w:val="00BD43AA"/>
    <w:rsid w:val="00BD43F9"/>
    <w:rsid w:val="00BD4443"/>
    <w:rsid w:val="00BD4646"/>
    <w:rsid w:val="00BD48FC"/>
    <w:rsid w:val="00BD49B6"/>
    <w:rsid w:val="00BD49FA"/>
    <w:rsid w:val="00BD4BC6"/>
    <w:rsid w:val="00BD5142"/>
    <w:rsid w:val="00BD559D"/>
    <w:rsid w:val="00BD5681"/>
    <w:rsid w:val="00BD5FD1"/>
    <w:rsid w:val="00BD605C"/>
    <w:rsid w:val="00BD6395"/>
    <w:rsid w:val="00BD654B"/>
    <w:rsid w:val="00BD6980"/>
    <w:rsid w:val="00BD6E1A"/>
    <w:rsid w:val="00BD7008"/>
    <w:rsid w:val="00BD7102"/>
    <w:rsid w:val="00BD7703"/>
    <w:rsid w:val="00BD770D"/>
    <w:rsid w:val="00BD78AC"/>
    <w:rsid w:val="00BD79DE"/>
    <w:rsid w:val="00BD7B9A"/>
    <w:rsid w:val="00BE03E1"/>
    <w:rsid w:val="00BE0461"/>
    <w:rsid w:val="00BE0A87"/>
    <w:rsid w:val="00BE0BBA"/>
    <w:rsid w:val="00BE0BD6"/>
    <w:rsid w:val="00BE0F00"/>
    <w:rsid w:val="00BE1095"/>
    <w:rsid w:val="00BE11EC"/>
    <w:rsid w:val="00BE1394"/>
    <w:rsid w:val="00BE150A"/>
    <w:rsid w:val="00BE1E2C"/>
    <w:rsid w:val="00BE23D3"/>
    <w:rsid w:val="00BE2498"/>
    <w:rsid w:val="00BE29DB"/>
    <w:rsid w:val="00BE346B"/>
    <w:rsid w:val="00BE3A3F"/>
    <w:rsid w:val="00BE3A63"/>
    <w:rsid w:val="00BE4B67"/>
    <w:rsid w:val="00BE4D6E"/>
    <w:rsid w:val="00BE5B29"/>
    <w:rsid w:val="00BE653D"/>
    <w:rsid w:val="00BE6767"/>
    <w:rsid w:val="00BE686C"/>
    <w:rsid w:val="00BE68B0"/>
    <w:rsid w:val="00BE6A5A"/>
    <w:rsid w:val="00BE6E97"/>
    <w:rsid w:val="00BE7179"/>
    <w:rsid w:val="00BE720A"/>
    <w:rsid w:val="00BE77DD"/>
    <w:rsid w:val="00BE78EC"/>
    <w:rsid w:val="00BE7D09"/>
    <w:rsid w:val="00BE7F9E"/>
    <w:rsid w:val="00BE7FDC"/>
    <w:rsid w:val="00BF0707"/>
    <w:rsid w:val="00BF09B6"/>
    <w:rsid w:val="00BF0DB5"/>
    <w:rsid w:val="00BF0FEB"/>
    <w:rsid w:val="00BF11A9"/>
    <w:rsid w:val="00BF187B"/>
    <w:rsid w:val="00BF1B39"/>
    <w:rsid w:val="00BF1EB9"/>
    <w:rsid w:val="00BF1FEA"/>
    <w:rsid w:val="00BF2107"/>
    <w:rsid w:val="00BF2731"/>
    <w:rsid w:val="00BF304C"/>
    <w:rsid w:val="00BF325D"/>
    <w:rsid w:val="00BF3262"/>
    <w:rsid w:val="00BF3610"/>
    <w:rsid w:val="00BF3A34"/>
    <w:rsid w:val="00BF3C93"/>
    <w:rsid w:val="00BF40E6"/>
    <w:rsid w:val="00BF45A1"/>
    <w:rsid w:val="00BF46EE"/>
    <w:rsid w:val="00BF48FB"/>
    <w:rsid w:val="00BF4975"/>
    <w:rsid w:val="00BF4FC9"/>
    <w:rsid w:val="00BF5903"/>
    <w:rsid w:val="00BF5974"/>
    <w:rsid w:val="00BF5BEB"/>
    <w:rsid w:val="00BF635B"/>
    <w:rsid w:val="00BF646E"/>
    <w:rsid w:val="00BF65E0"/>
    <w:rsid w:val="00BF69C5"/>
    <w:rsid w:val="00BF7282"/>
    <w:rsid w:val="00BF7291"/>
    <w:rsid w:val="00BF73D7"/>
    <w:rsid w:val="00BF746D"/>
    <w:rsid w:val="00BF747D"/>
    <w:rsid w:val="00BF7747"/>
    <w:rsid w:val="00BF79F8"/>
    <w:rsid w:val="00C0093C"/>
    <w:rsid w:val="00C00CD3"/>
    <w:rsid w:val="00C010DF"/>
    <w:rsid w:val="00C01337"/>
    <w:rsid w:val="00C0209A"/>
    <w:rsid w:val="00C02373"/>
    <w:rsid w:val="00C0238E"/>
    <w:rsid w:val="00C024F3"/>
    <w:rsid w:val="00C02648"/>
    <w:rsid w:val="00C028C9"/>
    <w:rsid w:val="00C03543"/>
    <w:rsid w:val="00C03B5C"/>
    <w:rsid w:val="00C0428D"/>
    <w:rsid w:val="00C04368"/>
    <w:rsid w:val="00C043A6"/>
    <w:rsid w:val="00C04C13"/>
    <w:rsid w:val="00C04C1A"/>
    <w:rsid w:val="00C05292"/>
    <w:rsid w:val="00C05333"/>
    <w:rsid w:val="00C05B4E"/>
    <w:rsid w:val="00C05B88"/>
    <w:rsid w:val="00C05E81"/>
    <w:rsid w:val="00C05F6F"/>
    <w:rsid w:val="00C06110"/>
    <w:rsid w:val="00C0613C"/>
    <w:rsid w:val="00C0619C"/>
    <w:rsid w:val="00C0658C"/>
    <w:rsid w:val="00C0683F"/>
    <w:rsid w:val="00C06B21"/>
    <w:rsid w:val="00C06F2B"/>
    <w:rsid w:val="00C06F38"/>
    <w:rsid w:val="00C073F2"/>
    <w:rsid w:val="00C07BA6"/>
    <w:rsid w:val="00C07C2A"/>
    <w:rsid w:val="00C07DD1"/>
    <w:rsid w:val="00C07EA3"/>
    <w:rsid w:val="00C10325"/>
    <w:rsid w:val="00C1066E"/>
    <w:rsid w:val="00C108F0"/>
    <w:rsid w:val="00C10AD0"/>
    <w:rsid w:val="00C10C1E"/>
    <w:rsid w:val="00C10D05"/>
    <w:rsid w:val="00C10D8C"/>
    <w:rsid w:val="00C10F0C"/>
    <w:rsid w:val="00C11352"/>
    <w:rsid w:val="00C117CF"/>
    <w:rsid w:val="00C11844"/>
    <w:rsid w:val="00C12126"/>
    <w:rsid w:val="00C12E06"/>
    <w:rsid w:val="00C13970"/>
    <w:rsid w:val="00C13DF9"/>
    <w:rsid w:val="00C1472F"/>
    <w:rsid w:val="00C14769"/>
    <w:rsid w:val="00C14938"/>
    <w:rsid w:val="00C14B4E"/>
    <w:rsid w:val="00C14C49"/>
    <w:rsid w:val="00C14CBB"/>
    <w:rsid w:val="00C14F63"/>
    <w:rsid w:val="00C14FBA"/>
    <w:rsid w:val="00C15102"/>
    <w:rsid w:val="00C15484"/>
    <w:rsid w:val="00C15875"/>
    <w:rsid w:val="00C15957"/>
    <w:rsid w:val="00C15D82"/>
    <w:rsid w:val="00C15EA1"/>
    <w:rsid w:val="00C160A8"/>
    <w:rsid w:val="00C16542"/>
    <w:rsid w:val="00C16D19"/>
    <w:rsid w:val="00C16D62"/>
    <w:rsid w:val="00C16EF7"/>
    <w:rsid w:val="00C171AD"/>
    <w:rsid w:val="00C174DB"/>
    <w:rsid w:val="00C17549"/>
    <w:rsid w:val="00C17771"/>
    <w:rsid w:val="00C17A8E"/>
    <w:rsid w:val="00C20255"/>
    <w:rsid w:val="00C2029E"/>
    <w:rsid w:val="00C20300"/>
    <w:rsid w:val="00C20B65"/>
    <w:rsid w:val="00C21080"/>
    <w:rsid w:val="00C2137E"/>
    <w:rsid w:val="00C217E5"/>
    <w:rsid w:val="00C22407"/>
    <w:rsid w:val="00C22953"/>
    <w:rsid w:val="00C22A30"/>
    <w:rsid w:val="00C22E97"/>
    <w:rsid w:val="00C232D2"/>
    <w:rsid w:val="00C2356A"/>
    <w:rsid w:val="00C2378F"/>
    <w:rsid w:val="00C23FDC"/>
    <w:rsid w:val="00C24B4D"/>
    <w:rsid w:val="00C24D02"/>
    <w:rsid w:val="00C24F70"/>
    <w:rsid w:val="00C25168"/>
    <w:rsid w:val="00C25341"/>
    <w:rsid w:val="00C2541A"/>
    <w:rsid w:val="00C25615"/>
    <w:rsid w:val="00C25C84"/>
    <w:rsid w:val="00C25DC2"/>
    <w:rsid w:val="00C25E0D"/>
    <w:rsid w:val="00C26A06"/>
    <w:rsid w:val="00C26B7C"/>
    <w:rsid w:val="00C26FE1"/>
    <w:rsid w:val="00C3076C"/>
    <w:rsid w:val="00C30C4A"/>
    <w:rsid w:val="00C30FA8"/>
    <w:rsid w:val="00C30FE8"/>
    <w:rsid w:val="00C315C7"/>
    <w:rsid w:val="00C316C3"/>
    <w:rsid w:val="00C317CC"/>
    <w:rsid w:val="00C319BB"/>
    <w:rsid w:val="00C31EAC"/>
    <w:rsid w:val="00C323F9"/>
    <w:rsid w:val="00C32610"/>
    <w:rsid w:val="00C32723"/>
    <w:rsid w:val="00C328CB"/>
    <w:rsid w:val="00C3336F"/>
    <w:rsid w:val="00C333A5"/>
    <w:rsid w:val="00C33479"/>
    <w:rsid w:val="00C334E5"/>
    <w:rsid w:val="00C33941"/>
    <w:rsid w:val="00C33B2C"/>
    <w:rsid w:val="00C33D01"/>
    <w:rsid w:val="00C33DE4"/>
    <w:rsid w:val="00C34029"/>
    <w:rsid w:val="00C3403B"/>
    <w:rsid w:val="00C34158"/>
    <w:rsid w:val="00C3452D"/>
    <w:rsid w:val="00C345F8"/>
    <w:rsid w:val="00C348C2"/>
    <w:rsid w:val="00C3492F"/>
    <w:rsid w:val="00C34EB1"/>
    <w:rsid w:val="00C34F9D"/>
    <w:rsid w:val="00C34FB4"/>
    <w:rsid w:val="00C352B6"/>
    <w:rsid w:val="00C357E8"/>
    <w:rsid w:val="00C35C49"/>
    <w:rsid w:val="00C35D4F"/>
    <w:rsid w:val="00C35E11"/>
    <w:rsid w:val="00C35E1D"/>
    <w:rsid w:val="00C36DAD"/>
    <w:rsid w:val="00C37061"/>
    <w:rsid w:val="00C370A8"/>
    <w:rsid w:val="00C37E82"/>
    <w:rsid w:val="00C401C1"/>
    <w:rsid w:val="00C40296"/>
    <w:rsid w:val="00C403B8"/>
    <w:rsid w:val="00C40ED2"/>
    <w:rsid w:val="00C41062"/>
    <w:rsid w:val="00C41100"/>
    <w:rsid w:val="00C413ED"/>
    <w:rsid w:val="00C413FB"/>
    <w:rsid w:val="00C41426"/>
    <w:rsid w:val="00C41F10"/>
    <w:rsid w:val="00C41F2E"/>
    <w:rsid w:val="00C427AC"/>
    <w:rsid w:val="00C42F94"/>
    <w:rsid w:val="00C432DD"/>
    <w:rsid w:val="00C4423A"/>
    <w:rsid w:val="00C442DD"/>
    <w:rsid w:val="00C44564"/>
    <w:rsid w:val="00C44E3A"/>
    <w:rsid w:val="00C452E1"/>
    <w:rsid w:val="00C45DC5"/>
    <w:rsid w:val="00C4607F"/>
    <w:rsid w:val="00C46950"/>
    <w:rsid w:val="00C46C88"/>
    <w:rsid w:val="00C47014"/>
    <w:rsid w:val="00C4748A"/>
    <w:rsid w:val="00C4757C"/>
    <w:rsid w:val="00C47803"/>
    <w:rsid w:val="00C47AAD"/>
    <w:rsid w:val="00C47C77"/>
    <w:rsid w:val="00C47D01"/>
    <w:rsid w:val="00C47E0A"/>
    <w:rsid w:val="00C5003A"/>
    <w:rsid w:val="00C500E4"/>
    <w:rsid w:val="00C501FE"/>
    <w:rsid w:val="00C50657"/>
    <w:rsid w:val="00C50795"/>
    <w:rsid w:val="00C507BC"/>
    <w:rsid w:val="00C5105E"/>
    <w:rsid w:val="00C5171E"/>
    <w:rsid w:val="00C51F0B"/>
    <w:rsid w:val="00C52020"/>
    <w:rsid w:val="00C52619"/>
    <w:rsid w:val="00C52800"/>
    <w:rsid w:val="00C52B64"/>
    <w:rsid w:val="00C52C4E"/>
    <w:rsid w:val="00C52E72"/>
    <w:rsid w:val="00C537DE"/>
    <w:rsid w:val="00C53A0F"/>
    <w:rsid w:val="00C54180"/>
    <w:rsid w:val="00C54604"/>
    <w:rsid w:val="00C54675"/>
    <w:rsid w:val="00C5537E"/>
    <w:rsid w:val="00C553F0"/>
    <w:rsid w:val="00C5586C"/>
    <w:rsid w:val="00C5598C"/>
    <w:rsid w:val="00C55C04"/>
    <w:rsid w:val="00C55C8D"/>
    <w:rsid w:val="00C55FF5"/>
    <w:rsid w:val="00C560AB"/>
    <w:rsid w:val="00C561AB"/>
    <w:rsid w:val="00C561C1"/>
    <w:rsid w:val="00C56435"/>
    <w:rsid w:val="00C56579"/>
    <w:rsid w:val="00C56957"/>
    <w:rsid w:val="00C5784B"/>
    <w:rsid w:val="00C57852"/>
    <w:rsid w:val="00C57A09"/>
    <w:rsid w:val="00C6031A"/>
    <w:rsid w:val="00C605AC"/>
    <w:rsid w:val="00C60EBA"/>
    <w:rsid w:val="00C610A6"/>
    <w:rsid w:val="00C6118E"/>
    <w:rsid w:val="00C612C1"/>
    <w:rsid w:val="00C61588"/>
    <w:rsid w:val="00C61995"/>
    <w:rsid w:val="00C61A97"/>
    <w:rsid w:val="00C61AC9"/>
    <w:rsid w:val="00C61DB4"/>
    <w:rsid w:val="00C627B0"/>
    <w:rsid w:val="00C62B73"/>
    <w:rsid w:val="00C62D71"/>
    <w:rsid w:val="00C633CD"/>
    <w:rsid w:val="00C639EC"/>
    <w:rsid w:val="00C639FF"/>
    <w:rsid w:val="00C63CB4"/>
    <w:rsid w:val="00C63E96"/>
    <w:rsid w:val="00C6442A"/>
    <w:rsid w:val="00C6462C"/>
    <w:rsid w:val="00C64631"/>
    <w:rsid w:val="00C647FD"/>
    <w:rsid w:val="00C6492D"/>
    <w:rsid w:val="00C64D15"/>
    <w:rsid w:val="00C6591E"/>
    <w:rsid w:val="00C65A34"/>
    <w:rsid w:val="00C65AB1"/>
    <w:rsid w:val="00C65B57"/>
    <w:rsid w:val="00C65CA1"/>
    <w:rsid w:val="00C65D53"/>
    <w:rsid w:val="00C65E22"/>
    <w:rsid w:val="00C6600D"/>
    <w:rsid w:val="00C66088"/>
    <w:rsid w:val="00C66474"/>
    <w:rsid w:val="00C6718B"/>
    <w:rsid w:val="00C6776A"/>
    <w:rsid w:val="00C6790D"/>
    <w:rsid w:val="00C67C4C"/>
    <w:rsid w:val="00C67CF2"/>
    <w:rsid w:val="00C67F21"/>
    <w:rsid w:val="00C7041D"/>
    <w:rsid w:val="00C7099E"/>
    <w:rsid w:val="00C70A8B"/>
    <w:rsid w:val="00C70B0E"/>
    <w:rsid w:val="00C70FDD"/>
    <w:rsid w:val="00C7105F"/>
    <w:rsid w:val="00C711A6"/>
    <w:rsid w:val="00C7178C"/>
    <w:rsid w:val="00C71C41"/>
    <w:rsid w:val="00C71D85"/>
    <w:rsid w:val="00C72060"/>
    <w:rsid w:val="00C723F2"/>
    <w:rsid w:val="00C72571"/>
    <w:rsid w:val="00C725E6"/>
    <w:rsid w:val="00C7275A"/>
    <w:rsid w:val="00C72761"/>
    <w:rsid w:val="00C72A54"/>
    <w:rsid w:val="00C72E2C"/>
    <w:rsid w:val="00C73071"/>
    <w:rsid w:val="00C73533"/>
    <w:rsid w:val="00C73659"/>
    <w:rsid w:val="00C73C2C"/>
    <w:rsid w:val="00C73E98"/>
    <w:rsid w:val="00C74B5D"/>
    <w:rsid w:val="00C74BB7"/>
    <w:rsid w:val="00C74BEA"/>
    <w:rsid w:val="00C74F74"/>
    <w:rsid w:val="00C750A0"/>
    <w:rsid w:val="00C75549"/>
    <w:rsid w:val="00C7554B"/>
    <w:rsid w:val="00C75754"/>
    <w:rsid w:val="00C759CA"/>
    <w:rsid w:val="00C7601D"/>
    <w:rsid w:val="00C76BD4"/>
    <w:rsid w:val="00C76CFF"/>
    <w:rsid w:val="00C7790E"/>
    <w:rsid w:val="00C8094C"/>
    <w:rsid w:val="00C80951"/>
    <w:rsid w:val="00C812B9"/>
    <w:rsid w:val="00C8176F"/>
    <w:rsid w:val="00C8197A"/>
    <w:rsid w:val="00C81CC5"/>
    <w:rsid w:val="00C8205E"/>
    <w:rsid w:val="00C8223A"/>
    <w:rsid w:val="00C823A8"/>
    <w:rsid w:val="00C828FC"/>
    <w:rsid w:val="00C829C8"/>
    <w:rsid w:val="00C82EB5"/>
    <w:rsid w:val="00C831B8"/>
    <w:rsid w:val="00C83310"/>
    <w:rsid w:val="00C836C4"/>
    <w:rsid w:val="00C836E1"/>
    <w:rsid w:val="00C83B21"/>
    <w:rsid w:val="00C83D23"/>
    <w:rsid w:val="00C83E84"/>
    <w:rsid w:val="00C83FE0"/>
    <w:rsid w:val="00C84423"/>
    <w:rsid w:val="00C8448E"/>
    <w:rsid w:val="00C8483B"/>
    <w:rsid w:val="00C8493A"/>
    <w:rsid w:val="00C84A1B"/>
    <w:rsid w:val="00C84F56"/>
    <w:rsid w:val="00C852CC"/>
    <w:rsid w:val="00C85BD3"/>
    <w:rsid w:val="00C85D05"/>
    <w:rsid w:val="00C85D24"/>
    <w:rsid w:val="00C85E8E"/>
    <w:rsid w:val="00C85F19"/>
    <w:rsid w:val="00C86ABA"/>
    <w:rsid w:val="00C86D1E"/>
    <w:rsid w:val="00C86EC2"/>
    <w:rsid w:val="00C87966"/>
    <w:rsid w:val="00C87B57"/>
    <w:rsid w:val="00C902DE"/>
    <w:rsid w:val="00C90404"/>
    <w:rsid w:val="00C90B50"/>
    <w:rsid w:val="00C90CE7"/>
    <w:rsid w:val="00C90F6E"/>
    <w:rsid w:val="00C916AE"/>
    <w:rsid w:val="00C9178B"/>
    <w:rsid w:val="00C91C74"/>
    <w:rsid w:val="00C920AB"/>
    <w:rsid w:val="00C92C82"/>
    <w:rsid w:val="00C92CA9"/>
    <w:rsid w:val="00C92F2B"/>
    <w:rsid w:val="00C9341C"/>
    <w:rsid w:val="00C93AAA"/>
    <w:rsid w:val="00C93AF0"/>
    <w:rsid w:val="00C946C9"/>
    <w:rsid w:val="00C94827"/>
    <w:rsid w:val="00C952DB"/>
    <w:rsid w:val="00C954B7"/>
    <w:rsid w:val="00C95DA4"/>
    <w:rsid w:val="00C95FCD"/>
    <w:rsid w:val="00C9644C"/>
    <w:rsid w:val="00C96B76"/>
    <w:rsid w:val="00C96C72"/>
    <w:rsid w:val="00C96F8F"/>
    <w:rsid w:val="00C97188"/>
    <w:rsid w:val="00C9771F"/>
    <w:rsid w:val="00C97896"/>
    <w:rsid w:val="00C97ABC"/>
    <w:rsid w:val="00CA02D4"/>
    <w:rsid w:val="00CA0639"/>
    <w:rsid w:val="00CA081B"/>
    <w:rsid w:val="00CA0949"/>
    <w:rsid w:val="00CA09FC"/>
    <w:rsid w:val="00CA11D0"/>
    <w:rsid w:val="00CA19F1"/>
    <w:rsid w:val="00CA1C5D"/>
    <w:rsid w:val="00CA1D19"/>
    <w:rsid w:val="00CA1D5F"/>
    <w:rsid w:val="00CA2022"/>
    <w:rsid w:val="00CA20E3"/>
    <w:rsid w:val="00CA2658"/>
    <w:rsid w:val="00CA28C7"/>
    <w:rsid w:val="00CA2E02"/>
    <w:rsid w:val="00CA3CD8"/>
    <w:rsid w:val="00CA3DE3"/>
    <w:rsid w:val="00CA52BE"/>
    <w:rsid w:val="00CA583A"/>
    <w:rsid w:val="00CA5D62"/>
    <w:rsid w:val="00CA5EC6"/>
    <w:rsid w:val="00CA5EEF"/>
    <w:rsid w:val="00CA6007"/>
    <w:rsid w:val="00CA6178"/>
    <w:rsid w:val="00CA6190"/>
    <w:rsid w:val="00CA65D2"/>
    <w:rsid w:val="00CA6D62"/>
    <w:rsid w:val="00CA6EF6"/>
    <w:rsid w:val="00CA7604"/>
    <w:rsid w:val="00CA76D5"/>
    <w:rsid w:val="00CA787C"/>
    <w:rsid w:val="00CA7962"/>
    <w:rsid w:val="00CA7F3B"/>
    <w:rsid w:val="00CB00A7"/>
    <w:rsid w:val="00CB0365"/>
    <w:rsid w:val="00CB074E"/>
    <w:rsid w:val="00CB0A80"/>
    <w:rsid w:val="00CB0C1E"/>
    <w:rsid w:val="00CB0CE1"/>
    <w:rsid w:val="00CB1424"/>
    <w:rsid w:val="00CB1D98"/>
    <w:rsid w:val="00CB1E33"/>
    <w:rsid w:val="00CB1ED4"/>
    <w:rsid w:val="00CB2634"/>
    <w:rsid w:val="00CB28B3"/>
    <w:rsid w:val="00CB2DD1"/>
    <w:rsid w:val="00CB3324"/>
    <w:rsid w:val="00CB345B"/>
    <w:rsid w:val="00CB373B"/>
    <w:rsid w:val="00CB381A"/>
    <w:rsid w:val="00CB48D4"/>
    <w:rsid w:val="00CB4A3D"/>
    <w:rsid w:val="00CB4F93"/>
    <w:rsid w:val="00CB50C7"/>
    <w:rsid w:val="00CB52C7"/>
    <w:rsid w:val="00CB5744"/>
    <w:rsid w:val="00CB574F"/>
    <w:rsid w:val="00CB5A78"/>
    <w:rsid w:val="00CB5E2C"/>
    <w:rsid w:val="00CB63B1"/>
    <w:rsid w:val="00CB68A3"/>
    <w:rsid w:val="00CB6ADB"/>
    <w:rsid w:val="00CB6C30"/>
    <w:rsid w:val="00CB6E44"/>
    <w:rsid w:val="00CB7022"/>
    <w:rsid w:val="00CB71E2"/>
    <w:rsid w:val="00CB731F"/>
    <w:rsid w:val="00CB760C"/>
    <w:rsid w:val="00CB7BC5"/>
    <w:rsid w:val="00CB7D26"/>
    <w:rsid w:val="00CB7EA6"/>
    <w:rsid w:val="00CC019F"/>
    <w:rsid w:val="00CC01A1"/>
    <w:rsid w:val="00CC0373"/>
    <w:rsid w:val="00CC131B"/>
    <w:rsid w:val="00CC141E"/>
    <w:rsid w:val="00CC143B"/>
    <w:rsid w:val="00CC15E5"/>
    <w:rsid w:val="00CC1781"/>
    <w:rsid w:val="00CC18DD"/>
    <w:rsid w:val="00CC1974"/>
    <w:rsid w:val="00CC1A1B"/>
    <w:rsid w:val="00CC2717"/>
    <w:rsid w:val="00CC3162"/>
    <w:rsid w:val="00CC318E"/>
    <w:rsid w:val="00CC35A4"/>
    <w:rsid w:val="00CC369B"/>
    <w:rsid w:val="00CC3C11"/>
    <w:rsid w:val="00CC3C2F"/>
    <w:rsid w:val="00CC3C56"/>
    <w:rsid w:val="00CC3F18"/>
    <w:rsid w:val="00CC3F23"/>
    <w:rsid w:val="00CC44B1"/>
    <w:rsid w:val="00CC4537"/>
    <w:rsid w:val="00CC51F0"/>
    <w:rsid w:val="00CC5280"/>
    <w:rsid w:val="00CC586D"/>
    <w:rsid w:val="00CC595F"/>
    <w:rsid w:val="00CC5CCD"/>
    <w:rsid w:val="00CC5E72"/>
    <w:rsid w:val="00CC5EE2"/>
    <w:rsid w:val="00CC5EFE"/>
    <w:rsid w:val="00CC5F0A"/>
    <w:rsid w:val="00CC65E4"/>
    <w:rsid w:val="00CC68EF"/>
    <w:rsid w:val="00CC6E36"/>
    <w:rsid w:val="00CC6F64"/>
    <w:rsid w:val="00CC7548"/>
    <w:rsid w:val="00CC7601"/>
    <w:rsid w:val="00CC7920"/>
    <w:rsid w:val="00CC7A64"/>
    <w:rsid w:val="00CC7A66"/>
    <w:rsid w:val="00CC7DBC"/>
    <w:rsid w:val="00CC7FD4"/>
    <w:rsid w:val="00CD02F4"/>
    <w:rsid w:val="00CD079C"/>
    <w:rsid w:val="00CD103F"/>
    <w:rsid w:val="00CD1BA3"/>
    <w:rsid w:val="00CD1CCC"/>
    <w:rsid w:val="00CD1D23"/>
    <w:rsid w:val="00CD1EAF"/>
    <w:rsid w:val="00CD22F6"/>
    <w:rsid w:val="00CD232F"/>
    <w:rsid w:val="00CD2651"/>
    <w:rsid w:val="00CD2947"/>
    <w:rsid w:val="00CD2D3E"/>
    <w:rsid w:val="00CD2D7F"/>
    <w:rsid w:val="00CD3508"/>
    <w:rsid w:val="00CD3564"/>
    <w:rsid w:val="00CD3612"/>
    <w:rsid w:val="00CD3749"/>
    <w:rsid w:val="00CD3E69"/>
    <w:rsid w:val="00CD3FF1"/>
    <w:rsid w:val="00CD4224"/>
    <w:rsid w:val="00CD45C7"/>
    <w:rsid w:val="00CD4698"/>
    <w:rsid w:val="00CD4948"/>
    <w:rsid w:val="00CD4A96"/>
    <w:rsid w:val="00CD54E3"/>
    <w:rsid w:val="00CD576D"/>
    <w:rsid w:val="00CD63E7"/>
    <w:rsid w:val="00CD6438"/>
    <w:rsid w:val="00CD6626"/>
    <w:rsid w:val="00CD6747"/>
    <w:rsid w:val="00CD6B7D"/>
    <w:rsid w:val="00CD6DD1"/>
    <w:rsid w:val="00CD70A3"/>
    <w:rsid w:val="00CD71AD"/>
    <w:rsid w:val="00CD729F"/>
    <w:rsid w:val="00CD75D3"/>
    <w:rsid w:val="00CD764C"/>
    <w:rsid w:val="00CD7CE8"/>
    <w:rsid w:val="00CD7D29"/>
    <w:rsid w:val="00CE01A3"/>
    <w:rsid w:val="00CE073D"/>
    <w:rsid w:val="00CE0847"/>
    <w:rsid w:val="00CE0B6C"/>
    <w:rsid w:val="00CE11D0"/>
    <w:rsid w:val="00CE143C"/>
    <w:rsid w:val="00CE1F13"/>
    <w:rsid w:val="00CE2065"/>
    <w:rsid w:val="00CE2677"/>
    <w:rsid w:val="00CE26ED"/>
    <w:rsid w:val="00CE28EF"/>
    <w:rsid w:val="00CE31FC"/>
    <w:rsid w:val="00CE36BF"/>
    <w:rsid w:val="00CE3C75"/>
    <w:rsid w:val="00CE421C"/>
    <w:rsid w:val="00CE4243"/>
    <w:rsid w:val="00CE447B"/>
    <w:rsid w:val="00CE4708"/>
    <w:rsid w:val="00CE4787"/>
    <w:rsid w:val="00CE47E0"/>
    <w:rsid w:val="00CE495B"/>
    <w:rsid w:val="00CE4C50"/>
    <w:rsid w:val="00CE5D4D"/>
    <w:rsid w:val="00CE5F7C"/>
    <w:rsid w:val="00CE611E"/>
    <w:rsid w:val="00CE6245"/>
    <w:rsid w:val="00CE6728"/>
    <w:rsid w:val="00CE682D"/>
    <w:rsid w:val="00CE6858"/>
    <w:rsid w:val="00CE6B45"/>
    <w:rsid w:val="00CE70E3"/>
    <w:rsid w:val="00CE728E"/>
    <w:rsid w:val="00CE7450"/>
    <w:rsid w:val="00CE770C"/>
    <w:rsid w:val="00CE79A4"/>
    <w:rsid w:val="00CE7A4D"/>
    <w:rsid w:val="00CE7E90"/>
    <w:rsid w:val="00CF0200"/>
    <w:rsid w:val="00CF030D"/>
    <w:rsid w:val="00CF070A"/>
    <w:rsid w:val="00CF0E69"/>
    <w:rsid w:val="00CF12F5"/>
    <w:rsid w:val="00CF1510"/>
    <w:rsid w:val="00CF1744"/>
    <w:rsid w:val="00CF1772"/>
    <w:rsid w:val="00CF187C"/>
    <w:rsid w:val="00CF1990"/>
    <w:rsid w:val="00CF1F83"/>
    <w:rsid w:val="00CF20B2"/>
    <w:rsid w:val="00CF213F"/>
    <w:rsid w:val="00CF284A"/>
    <w:rsid w:val="00CF2EA9"/>
    <w:rsid w:val="00CF3019"/>
    <w:rsid w:val="00CF3023"/>
    <w:rsid w:val="00CF308A"/>
    <w:rsid w:val="00CF32EA"/>
    <w:rsid w:val="00CF34AA"/>
    <w:rsid w:val="00CF3851"/>
    <w:rsid w:val="00CF3A54"/>
    <w:rsid w:val="00CF3A63"/>
    <w:rsid w:val="00CF3B53"/>
    <w:rsid w:val="00CF419E"/>
    <w:rsid w:val="00CF4452"/>
    <w:rsid w:val="00CF47A1"/>
    <w:rsid w:val="00CF4BF4"/>
    <w:rsid w:val="00CF4CC9"/>
    <w:rsid w:val="00CF4E5A"/>
    <w:rsid w:val="00CF50BE"/>
    <w:rsid w:val="00CF5163"/>
    <w:rsid w:val="00CF520D"/>
    <w:rsid w:val="00CF538C"/>
    <w:rsid w:val="00CF5DCE"/>
    <w:rsid w:val="00CF6350"/>
    <w:rsid w:val="00CF680A"/>
    <w:rsid w:val="00CF698E"/>
    <w:rsid w:val="00CF6CD3"/>
    <w:rsid w:val="00CF7084"/>
    <w:rsid w:val="00CF72F5"/>
    <w:rsid w:val="00CF7532"/>
    <w:rsid w:val="00CF7625"/>
    <w:rsid w:val="00CF7C9B"/>
    <w:rsid w:val="00CF7EC5"/>
    <w:rsid w:val="00D00D2F"/>
    <w:rsid w:val="00D01735"/>
    <w:rsid w:val="00D01A0E"/>
    <w:rsid w:val="00D01E2E"/>
    <w:rsid w:val="00D01E66"/>
    <w:rsid w:val="00D02514"/>
    <w:rsid w:val="00D026D4"/>
    <w:rsid w:val="00D02BFE"/>
    <w:rsid w:val="00D02F82"/>
    <w:rsid w:val="00D031C7"/>
    <w:rsid w:val="00D03232"/>
    <w:rsid w:val="00D037CE"/>
    <w:rsid w:val="00D03AD4"/>
    <w:rsid w:val="00D04180"/>
    <w:rsid w:val="00D045CC"/>
    <w:rsid w:val="00D04C3D"/>
    <w:rsid w:val="00D0506A"/>
    <w:rsid w:val="00D05101"/>
    <w:rsid w:val="00D05500"/>
    <w:rsid w:val="00D05FA7"/>
    <w:rsid w:val="00D061B4"/>
    <w:rsid w:val="00D0626B"/>
    <w:rsid w:val="00D06553"/>
    <w:rsid w:val="00D06555"/>
    <w:rsid w:val="00D065E7"/>
    <w:rsid w:val="00D066FB"/>
    <w:rsid w:val="00D06A8D"/>
    <w:rsid w:val="00D06B7B"/>
    <w:rsid w:val="00D06B8A"/>
    <w:rsid w:val="00D06C3F"/>
    <w:rsid w:val="00D06F16"/>
    <w:rsid w:val="00D06FE3"/>
    <w:rsid w:val="00D071C5"/>
    <w:rsid w:val="00D0742B"/>
    <w:rsid w:val="00D0782B"/>
    <w:rsid w:val="00D10114"/>
    <w:rsid w:val="00D10462"/>
    <w:rsid w:val="00D105DE"/>
    <w:rsid w:val="00D10B73"/>
    <w:rsid w:val="00D10D34"/>
    <w:rsid w:val="00D10FA1"/>
    <w:rsid w:val="00D11541"/>
    <w:rsid w:val="00D118EF"/>
    <w:rsid w:val="00D11A0F"/>
    <w:rsid w:val="00D11D4B"/>
    <w:rsid w:val="00D11EFC"/>
    <w:rsid w:val="00D12237"/>
    <w:rsid w:val="00D12250"/>
    <w:rsid w:val="00D1242E"/>
    <w:rsid w:val="00D1289C"/>
    <w:rsid w:val="00D12AB9"/>
    <w:rsid w:val="00D130DB"/>
    <w:rsid w:val="00D1385D"/>
    <w:rsid w:val="00D139DE"/>
    <w:rsid w:val="00D13BE2"/>
    <w:rsid w:val="00D14835"/>
    <w:rsid w:val="00D14875"/>
    <w:rsid w:val="00D14D1F"/>
    <w:rsid w:val="00D14DDE"/>
    <w:rsid w:val="00D14F56"/>
    <w:rsid w:val="00D14F80"/>
    <w:rsid w:val="00D151DC"/>
    <w:rsid w:val="00D1655B"/>
    <w:rsid w:val="00D1666F"/>
    <w:rsid w:val="00D1677A"/>
    <w:rsid w:val="00D16945"/>
    <w:rsid w:val="00D16AA6"/>
    <w:rsid w:val="00D16CD8"/>
    <w:rsid w:val="00D1705C"/>
    <w:rsid w:val="00D176AD"/>
    <w:rsid w:val="00D17838"/>
    <w:rsid w:val="00D17B5C"/>
    <w:rsid w:val="00D200FD"/>
    <w:rsid w:val="00D20375"/>
    <w:rsid w:val="00D20647"/>
    <w:rsid w:val="00D2071A"/>
    <w:rsid w:val="00D20946"/>
    <w:rsid w:val="00D209B0"/>
    <w:rsid w:val="00D20B6A"/>
    <w:rsid w:val="00D20E11"/>
    <w:rsid w:val="00D213C2"/>
    <w:rsid w:val="00D2142D"/>
    <w:rsid w:val="00D21E14"/>
    <w:rsid w:val="00D22363"/>
    <w:rsid w:val="00D225C4"/>
    <w:rsid w:val="00D22B43"/>
    <w:rsid w:val="00D22D10"/>
    <w:rsid w:val="00D22D34"/>
    <w:rsid w:val="00D22D7B"/>
    <w:rsid w:val="00D22F44"/>
    <w:rsid w:val="00D2302C"/>
    <w:rsid w:val="00D231F9"/>
    <w:rsid w:val="00D2350E"/>
    <w:rsid w:val="00D23807"/>
    <w:rsid w:val="00D23C2C"/>
    <w:rsid w:val="00D23F87"/>
    <w:rsid w:val="00D24311"/>
    <w:rsid w:val="00D246AD"/>
    <w:rsid w:val="00D25177"/>
    <w:rsid w:val="00D25551"/>
    <w:rsid w:val="00D258AF"/>
    <w:rsid w:val="00D26AFE"/>
    <w:rsid w:val="00D26CF9"/>
    <w:rsid w:val="00D26E49"/>
    <w:rsid w:val="00D2720B"/>
    <w:rsid w:val="00D2728E"/>
    <w:rsid w:val="00D27CBE"/>
    <w:rsid w:val="00D30134"/>
    <w:rsid w:val="00D30D57"/>
    <w:rsid w:val="00D30D66"/>
    <w:rsid w:val="00D30ED2"/>
    <w:rsid w:val="00D30F73"/>
    <w:rsid w:val="00D30F97"/>
    <w:rsid w:val="00D312ED"/>
    <w:rsid w:val="00D313A0"/>
    <w:rsid w:val="00D313C1"/>
    <w:rsid w:val="00D315C2"/>
    <w:rsid w:val="00D320A7"/>
    <w:rsid w:val="00D32244"/>
    <w:rsid w:val="00D322A1"/>
    <w:rsid w:val="00D3281E"/>
    <w:rsid w:val="00D32A31"/>
    <w:rsid w:val="00D32ADE"/>
    <w:rsid w:val="00D32B0D"/>
    <w:rsid w:val="00D32D17"/>
    <w:rsid w:val="00D330E3"/>
    <w:rsid w:val="00D333B5"/>
    <w:rsid w:val="00D337C1"/>
    <w:rsid w:val="00D33C75"/>
    <w:rsid w:val="00D34243"/>
    <w:rsid w:val="00D3476B"/>
    <w:rsid w:val="00D34799"/>
    <w:rsid w:val="00D34BD5"/>
    <w:rsid w:val="00D35077"/>
    <w:rsid w:val="00D3535C"/>
    <w:rsid w:val="00D35460"/>
    <w:rsid w:val="00D3549D"/>
    <w:rsid w:val="00D357F9"/>
    <w:rsid w:val="00D3586A"/>
    <w:rsid w:val="00D35D93"/>
    <w:rsid w:val="00D35DF3"/>
    <w:rsid w:val="00D362CD"/>
    <w:rsid w:val="00D364D1"/>
    <w:rsid w:val="00D36B09"/>
    <w:rsid w:val="00D36C05"/>
    <w:rsid w:val="00D36FE0"/>
    <w:rsid w:val="00D372EA"/>
    <w:rsid w:val="00D3730E"/>
    <w:rsid w:val="00D373B5"/>
    <w:rsid w:val="00D37CDA"/>
    <w:rsid w:val="00D40799"/>
    <w:rsid w:val="00D40AAD"/>
    <w:rsid w:val="00D41184"/>
    <w:rsid w:val="00D41233"/>
    <w:rsid w:val="00D41447"/>
    <w:rsid w:val="00D41743"/>
    <w:rsid w:val="00D41A06"/>
    <w:rsid w:val="00D41BE6"/>
    <w:rsid w:val="00D41CBF"/>
    <w:rsid w:val="00D41EFE"/>
    <w:rsid w:val="00D420D7"/>
    <w:rsid w:val="00D4210B"/>
    <w:rsid w:val="00D424E3"/>
    <w:rsid w:val="00D42ABF"/>
    <w:rsid w:val="00D42F40"/>
    <w:rsid w:val="00D436DA"/>
    <w:rsid w:val="00D43789"/>
    <w:rsid w:val="00D43C21"/>
    <w:rsid w:val="00D43CD3"/>
    <w:rsid w:val="00D44083"/>
    <w:rsid w:val="00D440A8"/>
    <w:rsid w:val="00D441ED"/>
    <w:rsid w:val="00D442AD"/>
    <w:rsid w:val="00D44F24"/>
    <w:rsid w:val="00D4536E"/>
    <w:rsid w:val="00D455B2"/>
    <w:rsid w:val="00D45690"/>
    <w:rsid w:val="00D456DB"/>
    <w:rsid w:val="00D457B7"/>
    <w:rsid w:val="00D45B67"/>
    <w:rsid w:val="00D45CDF"/>
    <w:rsid w:val="00D466AF"/>
    <w:rsid w:val="00D469B2"/>
    <w:rsid w:val="00D472FC"/>
    <w:rsid w:val="00D47533"/>
    <w:rsid w:val="00D475B7"/>
    <w:rsid w:val="00D47DF2"/>
    <w:rsid w:val="00D500B3"/>
    <w:rsid w:val="00D5034A"/>
    <w:rsid w:val="00D50364"/>
    <w:rsid w:val="00D509E7"/>
    <w:rsid w:val="00D50A15"/>
    <w:rsid w:val="00D50A2E"/>
    <w:rsid w:val="00D5100E"/>
    <w:rsid w:val="00D51517"/>
    <w:rsid w:val="00D517CE"/>
    <w:rsid w:val="00D51862"/>
    <w:rsid w:val="00D51E3E"/>
    <w:rsid w:val="00D51EF0"/>
    <w:rsid w:val="00D51F49"/>
    <w:rsid w:val="00D52156"/>
    <w:rsid w:val="00D526A3"/>
    <w:rsid w:val="00D52AE4"/>
    <w:rsid w:val="00D534E4"/>
    <w:rsid w:val="00D53829"/>
    <w:rsid w:val="00D540A2"/>
    <w:rsid w:val="00D55CC3"/>
    <w:rsid w:val="00D55D84"/>
    <w:rsid w:val="00D55EE8"/>
    <w:rsid w:val="00D5605A"/>
    <w:rsid w:val="00D560D1"/>
    <w:rsid w:val="00D562CB"/>
    <w:rsid w:val="00D5631D"/>
    <w:rsid w:val="00D563B0"/>
    <w:rsid w:val="00D56680"/>
    <w:rsid w:val="00D568A1"/>
    <w:rsid w:val="00D569D1"/>
    <w:rsid w:val="00D56AB6"/>
    <w:rsid w:val="00D56AD8"/>
    <w:rsid w:val="00D56C05"/>
    <w:rsid w:val="00D56FC7"/>
    <w:rsid w:val="00D57500"/>
    <w:rsid w:val="00D5757E"/>
    <w:rsid w:val="00D5785A"/>
    <w:rsid w:val="00D57D91"/>
    <w:rsid w:val="00D57F7B"/>
    <w:rsid w:val="00D60087"/>
    <w:rsid w:val="00D60AF8"/>
    <w:rsid w:val="00D60F60"/>
    <w:rsid w:val="00D6115D"/>
    <w:rsid w:val="00D618EA"/>
    <w:rsid w:val="00D61DE7"/>
    <w:rsid w:val="00D62769"/>
    <w:rsid w:val="00D630B8"/>
    <w:rsid w:val="00D63293"/>
    <w:rsid w:val="00D63668"/>
    <w:rsid w:val="00D6375F"/>
    <w:rsid w:val="00D638AD"/>
    <w:rsid w:val="00D63D6F"/>
    <w:rsid w:val="00D63E32"/>
    <w:rsid w:val="00D63E44"/>
    <w:rsid w:val="00D63FBA"/>
    <w:rsid w:val="00D640CF"/>
    <w:rsid w:val="00D64736"/>
    <w:rsid w:val="00D64A9C"/>
    <w:rsid w:val="00D64C48"/>
    <w:rsid w:val="00D650C2"/>
    <w:rsid w:val="00D65372"/>
    <w:rsid w:val="00D65C6E"/>
    <w:rsid w:val="00D65F2F"/>
    <w:rsid w:val="00D66055"/>
    <w:rsid w:val="00D660C7"/>
    <w:rsid w:val="00D6680B"/>
    <w:rsid w:val="00D66938"/>
    <w:rsid w:val="00D678E1"/>
    <w:rsid w:val="00D67B56"/>
    <w:rsid w:val="00D67CC9"/>
    <w:rsid w:val="00D70222"/>
    <w:rsid w:val="00D708CE"/>
    <w:rsid w:val="00D7095A"/>
    <w:rsid w:val="00D70B42"/>
    <w:rsid w:val="00D70C43"/>
    <w:rsid w:val="00D70CA6"/>
    <w:rsid w:val="00D7119F"/>
    <w:rsid w:val="00D718CB"/>
    <w:rsid w:val="00D71E66"/>
    <w:rsid w:val="00D7215D"/>
    <w:rsid w:val="00D72F4F"/>
    <w:rsid w:val="00D731C4"/>
    <w:rsid w:val="00D73241"/>
    <w:rsid w:val="00D732FA"/>
    <w:rsid w:val="00D7384A"/>
    <w:rsid w:val="00D73A41"/>
    <w:rsid w:val="00D73CA0"/>
    <w:rsid w:val="00D7404B"/>
    <w:rsid w:val="00D742E3"/>
    <w:rsid w:val="00D747C6"/>
    <w:rsid w:val="00D74B1E"/>
    <w:rsid w:val="00D74EB4"/>
    <w:rsid w:val="00D756D4"/>
    <w:rsid w:val="00D75882"/>
    <w:rsid w:val="00D75963"/>
    <w:rsid w:val="00D765AB"/>
    <w:rsid w:val="00D765E3"/>
    <w:rsid w:val="00D7748B"/>
    <w:rsid w:val="00D7786D"/>
    <w:rsid w:val="00D77C71"/>
    <w:rsid w:val="00D77E4C"/>
    <w:rsid w:val="00D800E4"/>
    <w:rsid w:val="00D801FC"/>
    <w:rsid w:val="00D80B34"/>
    <w:rsid w:val="00D80E6E"/>
    <w:rsid w:val="00D81900"/>
    <w:rsid w:val="00D81B0A"/>
    <w:rsid w:val="00D81D25"/>
    <w:rsid w:val="00D81EDB"/>
    <w:rsid w:val="00D82518"/>
    <w:rsid w:val="00D829D3"/>
    <w:rsid w:val="00D82C56"/>
    <w:rsid w:val="00D82CFA"/>
    <w:rsid w:val="00D82DC2"/>
    <w:rsid w:val="00D82EEC"/>
    <w:rsid w:val="00D83341"/>
    <w:rsid w:val="00D8383C"/>
    <w:rsid w:val="00D83B07"/>
    <w:rsid w:val="00D84649"/>
    <w:rsid w:val="00D84C87"/>
    <w:rsid w:val="00D850C5"/>
    <w:rsid w:val="00D8553B"/>
    <w:rsid w:val="00D85540"/>
    <w:rsid w:val="00D856FD"/>
    <w:rsid w:val="00D858A6"/>
    <w:rsid w:val="00D85BE0"/>
    <w:rsid w:val="00D85E32"/>
    <w:rsid w:val="00D863E0"/>
    <w:rsid w:val="00D864FF"/>
    <w:rsid w:val="00D865FA"/>
    <w:rsid w:val="00D86ADB"/>
    <w:rsid w:val="00D86F41"/>
    <w:rsid w:val="00D86F7B"/>
    <w:rsid w:val="00D87618"/>
    <w:rsid w:val="00D87DD3"/>
    <w:rsid w:val="00D87FD7"/>
    <w:rsid w:val="00D9020E"/>
    <w:rsid w:val="00D904E1"/>
    <w:rsid w:val="00D90D8D"/>
    <w:rsid w:val="00D90F64"/>
    <w:rsid w:val="00D91346"/>
    <w:rsid w:val="00D91360"/>
    <w:rsid w:val="00D913BF"/>
    <w:rsid w:val="00D91466"/>
    <w:rsid w:val="00D915ED"/>
    <w:rsid w:val="00D91805"/>
    <w:rsid w:val="00D91BB0"/>
    <w:rsid w:val="00D91DE4"/>
    <w:rsid w:val="00D921A5"/>
    <w:rsid w:val="00D9226B"/>
    <w:rsid w:val="00D9227C"/>
    <w:rsid w:val="00D92300"/>
    <w:rsid w:val="00D925A9"/>
    <w:rsid w:val="00D925D8"/>
    <w:rsid w:val="00D925ED"/>
    <w:rsid w:val="00D92EC5"/>
    <w:rsid w:val="00D93976"/>
    <w:rsid w:val="00D93A8A"/>
    <w:rsid w:val="00D93B5A"/>
    <w:rsid w:val="00D942E0"/>
    <w:rsid w:val="00D94939"/>
    <w:rsid w:val="00D94AFC"/>
    <w:rsid w:val="00D950E6"/>
    <w:rsid w:val="00D953DA"/>
    <w:rsid w:val="00D95774"/>
    <w:rsid w:val="00D95824"/>
    <w:rsid w:val="00D9584E"/>
    <w:rsid w:val="00D95E03"/>
    <w:rsid w:val="00D966BA"/>
    <w:rsid w:val="00D96999"/>
    <w:rsid w:val="00D97047"/>
    <w:rsid w:val="00D97523"/>
    <w:rsid w:val="00D97671"/>
    <w:rsid w:val="00D976BC"/>
    <w:rsid w:val="00D97861"/>
    <w:rsid w:val="00D97C68"/>
    <w:rsid w:val="00D97F43"/>
    <w:rsid w:val="00DA044B"/>
    <w:rsid w:val="00DA0795"/>
    <w:rsid w:val="00DA0EAA"/>
    <w:rsid w:val="00DA1916"/>
    <w:rsid w:val="00DA1E0D"/>
    <w:rsid w:val="00DA2533"/>
    <w:rsid w:val="00DA286E"/>
    <w:rsid w:val="00DA2D27"/>
    <w:rsid w:val="00DA2E5B"/>
    <w:rsid w:val="00DA30F2"/>
    <w:rsid w:val="00DA3619"/>
    <w:rsid w:val="00DA4BD3"/>
    <w:rsid w:val="00DA4E2D"/>
    <w:rsid w:val="00DA5337"/>
    <w:rsid w:val="00DA598D"/>
    <w:rsid w:val="00DA6B9A"/>
    <w:rsid w:val="00DA74AB"/>
    <w:rsid w:val="00DA75E0"/>
    <w:rsid w:val="00DA77B5"/>
    <w:rsid w:val="00DA7AE4"/>
    <w:rsid w:val="00DA7B2F"/>
    <w:rsid w:val="00DB074D"/>
    <w:rsid w:val="00DB0B3B"/>
    <w:rsid w:val="00DB0B88"/>
    <w:rsid w:val="00DB0FAC"/>
    <w:rsid w:val="00DB11AF"/>
    <w:rsid w:val="00DB136A"/>
    <w:rsid w:val="00DB1652"/>
    <w:rsid w:val="00DB1A89"/>
    <w:rsid w:val="00DB203E"/>
    <w:rsid w:val="00DB21EE"/>
    <w:rsid w:val="00DB236E"/>
    <w:rsid w:val="00DB252E"/>
    <w:rsid w:val="00DB25FC"/>
    <w:rsid w:val="00DB27EB"/>
    <w:rsid w:val="00DB294B"/>
    <w:rsid w:val="00DB29AD"/>
    <w:rsid w:val="00DB2F29"/>
    <w:rsid w:val="00DB3313"/>
    <w:rsid w:val="00DB3584"/>
    <w:rsid w:val="00DB35B2"/>
    <w:rsid w:val="00DB3880"/>
    <w:rsid w:val="00DB3BFC"/>
    <w:rsid w:val="00DB3E2A"/>
    <w:rsid w:val="00DB44DD"/>
    <w:rsid w:val="00DB461E"/>
    <w:rsid w:val="00DB46F3"/>
    <w:rsid w:val="00DB4840"/>
    <w:rsid w:val="00DB4AFB"/>
    <w:rsid w:val="00DB4BCA"/>
    <w:rsid w:val="00DB4EF4"/>
    <w:rsid w:val="00DB501A"/>
    <w:rsid w:val="00DB5475"/>
    <w:rsid w:val="00DB56B5"/>
    <w:rsid w:val="00DB5773"/>
    <w:rsid w:val="00DB57D7"/>
    <w:rsid w:val="00DB58A6"/>
    <w:rsid w:val="00DB593F"/>
    <w:rsid w:val="00DB5F9A"/>
    <w:rsid w:val="00DB6495"/>
    <w:rsid w:val="00DB6AD8"/>
    <w:rsid w:val="00DB6B99"/>
    <w:rsid w:val="00DB6D0E"/>
    <w:rsid w:val="00DB6D54"/>
    <w:rsid w:val="00DB7141"/>
    <w:rsid w:val="00DB716F"/>
    <w:rsid w:val="00DB7880"/>
    <w:rsid w:val="00DB7ADE"/>
    <w:rsid w:val="00DB7DF6"/>
    <w:rsid w:val="00DC001A"/>
    <w:rsid w:val="00DC02B7"/>
    <w:rsid w:val="00DC0482"/>
    <w:rsid w:val="00DC13D0"/>
    <w:rsid w:val="00DC1A47"/>
    <w:rsid w:val="00DC2121"/>
    <w:rsid w:val="00DC279B"/>
    <w:rsid w:val="00DC294A"/>
    <w:rsid w:val="00DC2CF3"/>
    <w:rsid w:val="00DC2D1F"/>
    <w:rsid w:val="00DC2F03"/>
    <w:rsid w:val="00DC45EE"/>
    <w:rsid w:val="00DC4A89"/>
    <w:rsid w:val="00DC4C87"/>
    <w:rsid w:val="00DC52C9"/>
    <w:rsid w:val="00DC58CE"/>
    <w:rsid w:val="00DC59BF"/>
    <w:rsid w:val="00DC6015"/>
    <w:rsid w:val="00DC6192"/>
    <w:rsid w:val="00DC6697"/>
    <w:rsid w:val="00DC6871"/>
    <w:rsid w:val="00DC6899"/>
    <w:rsid w:val="00DC6B55"/>
    <w:rsid w:val="00DC6E17"/>
    <w:rsid w:val="00DC6F67"/>
    <w:rsid w:val="00DC71DE"/>
    <w:rsid w:val="00DC74AB"/>
    <w:rsid w:val="00DC7766"/>
    <w:rsid w:val="00DC78B0"/>
    <w:rsid w:val="00DC7B15"/>
    <w:rsid w:val="00DC7BDB"/>
    <w:rsid w:val="00DC7DAC"/>
    <w:rsid w:val="00DC7DDF"/>
    <w:rsid w:val="00DD023C"/>
    <w:rsid w:val="00DD099C"/>
    <w:rsid w:val="00DD0A0A"/>
    <w:rsid w:val="00DD0D80"/>
    <w:rsid w:val="00DD1028"/>
    <w:rsid w:val="00DD110D"/>
    <w:rsid w:val="00DD13DF"/>
    <w:rsid w:val="00DD1468"/>
    <w:rsid w:val="00DD19BE"/>
    <w:rsid w:val="00DD1BA9"/>
    <w:rsid w:val="00DD22BB"/>
    <w:rsid w:val="00DD2587"/>
    <w:rsid w:val="00DD2952"/>
    <w:rsid w:val="00DD2EDE"/>
    <w:rsid w:val="00DD2F67"/>
    <w:rsid w:val="00DD355C"/>
    <w:rsid w:val="00DD3813"/>
    <w:rsid w:val="00DD3870"/>
    <w:rsid w:val="00DD39C7"/>
    <w:rsid w:val="00DD40C8"/>
    <w:rsid w:val="00DD421D"/>
    <w:rsid w:val="00DD4A47"/>
    <w:rsid w:val="00DD4BD7"/>
    <w:rsid w:val="00DD4C2B"/>
    <w:rsid w:val="00DD4C70"/>
    <w:rsid w:val="00DD4DEF"/>
    <w:rsid w:val="00DD4F44"/>
    <w:rsid w:val="00DD508E"/>
    <w:rsid w:val="00DD519D"/>
    <w:rsid w:val="00DD57A3"/>
    <w:rsid w:val="00DD5981"/>
    <w:rsid w:val="00DD5D4A"/>
    <w:rsid w:val="00DD5D86"/>
    <w:rsid w:val="00DD64DA"/>
    <w:rsid w:val="00DD6686"/>
    <w:rsid w:val="00DD686C"/>
    <w:rsid w:val="00DD68E0"/>
    <w:rsid w:val="00DD6904"/>
    <w:rsid w:val="00DD6B0B"/>
    <w:rsid w:val="00DD7272"/>
    <w:rsid w:val="00DD73DF"/>
    <w:rsid w:val="00DD77DC"/>
    <w:rsid w:val="00DD7DD9"/>
    <w:rsid w:val="00DD7E0C"/>
    <w:rsid w:val="00DD7FDE"/>
    <w:rsid w:val="00DE00F5"/>
    <w:rsid w:val="00DE0198"/>
    <w:rsid w:val="00DE0990"/>
    <w:rsid w:val="00DE1335"/>
    <w:rsid w:val="00DE140F"/>
    <w:rsid w:val="00DE14CB"/>
    <w:rsid w:val="00DE16AC"/>
    <w:rsid w:val="00DE1B7E"/>
    <w:rsid w:val="00DE2361"/>
    <w:rsid w:val="00DE26E3"/>
    <w:rsid w:val="00DE2884"/>
    <w:rsid w:val="00DE2AC3"/>
    <w:rsid w:val="00DE2E40"/>
    <w:rsid w:val="00DE3598"/>
    <w:rsid w:val="00DE3EAC"/>
    <w:rsid w:val="00DE3FBD"/>
    <w:rsid w:val="00DE43D6"/>
    <w:rsid w:val="00DE43F5"/>
    <w:rsid w:val="00DE4885"/>
    <w:rsid w:val="00DE4952"/>
    <w:rsid w:val="00DE4984"/>
    <w:rsid w:val="00DE4B91"/>
    <w:rsid w:val="00DE4DF6"/>
    <w:rsid w:val="00DE5384"/>
    <w:rsid w:val="00DE55A6"/>
    <w:rsid w:val="00DE56FD"/>
    <w:rsid w:val="00DE5B72"/>
    <w:rsid w:val="00DE5F0E"/>
    <w:rsid w:val="00DE65FB"/>
    <w:rsid w:val="00DE6829"/>
    <w:rsid w:val="00DE69E6"/>
    <w:rsid w:val="00DE6AEB"/>
    <w:rsid w:val="00DE732E"/>
    <w:rsid w:val="00DE7807"/>
    <w:rsid w:val="00DE7876"/>
    <w:rsid w:val="00DE7ADC"/>
    <w:rsid w:val="00DF019C"/>
    <w:rsid w:val="00DF02A7"/>
    <w:rsid w:val="00DF03DD"/>
    <w:rsid w:val="00DF055D"/>
    <w:rsid w:val="00DF0FC0"/>
    <w:rsid w:val="00DF10B1"/>
    <w:rsid w:val="00DF1172"/>
    <w:rsid w:val="00DF1314"/>
    <w:rsid w:val="00DF1A77"/>
    <w:rsid w:val="00DF1AA3"/>
    <w:rsid w:val="00DF1ABB"/>
    <w:rsid w:val="00DF1D34"/>
    <w:rsid w:val="00DF234F"/>
    <w:rsid w:val="00DF2436"/>
    <w:rsid w:val="00DF262F"/>
    <w:rsid w:val="00DF28BB"/>
    <w:rsid w:val="00DF2C82"/>
    <w:rsid w:val="00DF2D38"/>
    <w:rsid w:val="00DF2D7B"/>
    <w:rsid w:val="00DF30A3"/>
    <w:rsid w:val="00DF358F"/>
    <w:rsid w:val="00DF35DD"/>
    <w:rsid w:val="00DF365A"/>
    <w:rsid w:val="00DF367E"/>
    <w:rsid w:val="00DF3FE9"/>
    <w:rsid w:val="00DF400C"/>
    <w:rsid w:val="00DF420A"/>
    <w:rsid w:val="00DF4B6B"/>
    <w:rsid w:val="00DF52A2"/>
    <w:rsid w:val="00DF5838"/>
    <w:rsid w:val="00DF5AA3"/>
    <w:rsid w:val="00DF5BB9"/>
    <w:rsid w:val="00DF5D32"/>
    <w:rsid w:val="00DF60AE"/>
    <w:rsid w:val="00DF6253"/>
    <w:rsid w:val="00DF6C0E"/>
    <w:rsid w:val="00DF6CFA"/>
    <w:rsid w:val="00DF6DE9"/>
    <w:rsid w:val="00DF7584"/>
    <w:rsid w:val="00DF765A"/>
    <w:rsid w:val="00DF7B5C"/>
    <w:rsid w:val="00E00124"/>
    <w:rsid w:val="00E00196"/>
    <w:rsid w:val="00E0041A"/>
    <w:rsid w:val="00E00692"/>
    <w:rsid w:val="00E007EC"/>
    <w:rsid w:val="00E011F2"/>
    <w:rsid w:val="00E0173E"/>
    <w:rsid w:val="00E017F9"/>
    <w:rsid w:val="00E01D5C"/>
    <w:rsid w:val="00E020C1"/>
    <w:rsid w:val="00E02472"/>
    <w:rsid w:val="00E0372C"/>
    <w:rsid w:val="00E0405E"/>
    <w:rsid w:val="00E041F0"/>
    <w:rsid w:val="00E04927"/>
    <w:rsid w:val="00E04D87"/>
    <w:rsid w:val="00E04E74"/>
    <w:rsid w:val="00E051ED"/>
    <w:rsid w:val="00E05C17"/>
    <w:rsid w:val="00E05EA0"/>
    <w:rsid w:val="00E05EBB"/>
    <w:rsid w:val="00E0612D"/>
    <w:rsid w:val="00E0694C"/>
    <w:rsid w:val="00E069AD"/>
    <w:rsid w:val="00E07108"/>
    <w:rsid w:val="00E072DF"/>
    <w:rsid w:val="00E073A2"/>
    <w:rsid w:val="00E075D2"/>
    <w:rsid w:val="00E07A9C"/>
    <w:rsid w:val="00E07E06"/>
    <w:rsid w:val="00E10505"/>
    <w:rsid w:val="00E108CD"/>
    <w:rsid w:val="00E10920"/>
    <w:rsid w:val="00E109F9"/>
    <w:rsid w:val="00E116D0"/>
    <w:rsid w:val="00E120CA"/>
    <w:rsid w:val="00E128D8"/>
    <w:rsid w:val="00E12926"/>
    <w:rsid w:val="00E12A14"/>
    <w:rsid w:val="00E12E7F"/>
    <w:rsid w:val="00E130C3"/>
    <w:rsid w:val="00E131B0"/>
    <w:rsid w:val="00E135B2"/>
    <w:rsid w:val="00E1398F"/>
    <w:rsid w:val="00E13BF9"/>
    <w:rsid w:val="00E13E73"/>
    <w:rsid w:val="00E1401C"/>
    <w:rsid w:val="00E14311"/>
    <w:rsid w:val="00E143AB"/>
    <w:rsid w:val="00E149B3"/>
    <w:rsid w:val="00E14A69"/>
    <w:rsid w:val="00E14C44"/>
    <w:rsid w:val="00E14EBF"/>
    <w:rsid w:val="00E15069"/>
    <w:rsid w:val="00E15125"/>
    <w:rsid w:val="00E154CC"/>
    <w:rsid w:val="00E157D5"/>
    <w:rsid w:val="00E1647E"/>
    <w:rsid w:val="00E167A9"/>
    <w:rsid w:val="00E16D67"/>
    <w:rsid w:val="00E170ED"/>
    <w:rsid w:val="00E17528"/>
    <w:rsid w:val="00E17EDF"/>
    <w:rsid w:val="00E2014C"/>
    <w:rsid w:val="00E2028F"/>
    <w:rsid w:val="00E20809"/>
    <w:rsid w:val="00E2082D"/>
    <w:rsid w:val="00E2083E"/>
    <w:rsid w:val="00E20C67"/>
    <w:rsid w:val="00E20EBC"/>
    <w:rsid w:val="00E21DBA"/>
    <w:rsid w:val="00E221E2"/>
    <w:rsid w:val="00E2287A"/>
    <w:rsid w:val="00E22DBE"/>
    <w:rsid w:val="00E2330D"/>
    <w:rsid w:val="00E23590"/>
    <w:rsid w:val="00E2395A"/>
    <w:rsid w:val="00E24303"/>
    <w:rsid w:val="00E245A4"/>
    <w:rsid w:val="00E246E1"/>
    <w:rsid w:val="00E24A01"/>
    <w:rsid w:val="00E24C06"/>
    <w:rsid w:val="00E24EB9"/>
    <w:rsid w:val="00E25315"/>
    <w:rsid w:val="00E25916"/>
    <w:rsid w:val="00E2595B"/>
    <w:rsid w:val="00E264E3"/>
    <w:rsid w:val="00E26984"/>
    <w:rsid w:val="00E26A39"/>
    <w:rsid w:val="00E26A88"/>
    <w:rsid w:val="00E270E1"/>
    <w:rsid w:val="00E271CD"/>
    <w:rsid w:val="00E2794F"/>
    <w:rsid w:val="00E27A16"/>
    <w:rsid w:val="00E27C4E"/>
    <w:rsid w:val="00E27C9D"/>
    <w:rsid w:val="00E30EAD"/>
    <w:rsid w:val="00E3114B"/>
    <w:rsid w:val="00E31489"/>
    <w:rsid w:val="00E317A4"/>
    <w:rsid w:val="00E31CB5"/>
    <w:rsid w:val="00E31F76"/>
    <w:rsid w:val="00E32064"/>
    <w:rsid w:val="00E320C4"/>
    <w:rsid w:val="00E32428"/>
    <w:rsid w:val="00E32800"/>
    <w:rsid w:val="00E32EF1"/>
    <w:rsid w:val="00E3363F"/>
    <w:rsid w:val="00E338A6"/>
    <w:rsid w:val="00E339BE"/>
    <w:rsid w:val="00E33A99"/>
    <w:rsid w:val="00E33B74"/>
    <w:rsid w:val="00E33C70"/>
    <w:rsid w:val="00E33DFD"/>
    <w:rsid w:val="00E34362"/>
    <w:rsid w:val="00E344B0"/>
    <w:rsid w:val="00E34727"/>
    <w:rsid w:val="00E34B4A"/>
    <w:rsid w:val="00E34B9D"/>
    <w:rsid w:val="00E34D21"/>
    <w:rsid w:val="00E34DAE"/>
    <w:rsid w:val="00E35451"/>
    <w:rsid w:val="00E356F8"/>
    <w:rsid w:val="00E35719"/>
    <w:rsid w:val="00E35962"/>
    <w:rsid w:val="00E35A2A"/>
    <w:rsid w:val="00E35C75"/>
    <w:rsid w:val="00E35EDE"/>
    <w:rsid w:val="00E35FA4"/>
    <w:rsid w:val="00E36649"/>
    <w:rsid w:val="00E36A36"/>
    <w:rsid w:val="00E36C26"/>
    <w:rsid w:val="00E37013"/>
    <w:rsid w:val="00E372B6"/>
    <w:rsid w:val="00E37566"/>
    <w:rsid w:val="00E375B4"/>
    <w:rsid w:val="00E406BD"/>
    <w:rsid w:val="00E406FC"/>
    <w:rsid w:val="00E40F7B"/>
    <w:rsid w:val="00E41086"/>
    <w:rsid w:val="00E410AE"/>
    <w:rsid w:val="00E4110B"/>
    <w:rsid w:val="00E4142A"/>
    <w:rsid w:val="00E419C1"/>
    <w:rsid w:val="00E41A42"/>
    <w:rsid w:val="00E41AF2"/>
    <w:rsid w:val="00E41E9E"/>
    <w:rsid w:val="00E423FB"/>
    <w:rsid w:val="00E42627"/>
    <w:rsid w:val="00E427CE"/>
    <w:rsid w:val="00E42B3D"/>
    <w:rsid w:val="00E43C0A"/>
    <w:rsid w:val="00E43E48"/>
    <w:rsid w:val="00E445B8"/>
    <w:rsid w:val="00E448A6"/>
    <w:rsid w:val="00E44CA7"/>
    <w:rsid w:val="00E4515F"/>
    <w:rsid w:val="00E45617"/>
    <w:rsid w:val="00E459E8"/>
    <w:rsid w:val="00E4670E"/>
    <w:rsid w:val="00E46B9A"/>
    <w:rsid w:val="00E46CB5"/>
    <w:rsid w:val="00E46D60"/>
    <w:rsid w:val="00E46EDE"/>
    <w:rsid w:val="00E46EF9"/>
    <w:rsid w:val="00E4727C"/>
    <w:rsid w:val="00E47507"/>
    <w:rsid w:val="00E4760E"/>
    <w:rsid w:val="00E4775C"/>
    <w:rsid w:val="00E479A4"/>
    <w:rsid w:val="00E47C33"/>
    <w:rsid w:val="00E47CF6"/>
    <w:rsid w:val="00E47E21"/>
    <w:rsid w:val="00E47F58"/>
    <w:rsid w:val="00E505D8"/>
    <w:rsid w:val="00E50B34"/>
    <w:rsid w:val="00E51276"/>
    <w:rsid w:val="00E5156D"/>
    <w:rsid w:val="00E5183D"/>
    <w:rsid w:val="00E52220"/>
    <w:rsid w:val="00E525A3"/>
    <w:rsid w:val="00E525AC"/>
    <w:rsid w:val="00E52650"/>
    <w:rsid w:val="00E53055"/>
    <w:rsid w:val="00E53236"/>
    <w:rsid w:val="00E53F25"/>
    <w:rsid w:val="00E5469B"/>
    <w:rsid w:val="00E5495D"/>
    <w:rsid w:val="00E54BB5"/>
    <w:rsid w:val="00E54BFC"/>
    <w:rsid w:val="00E54D94"/>
    <w:rsid w:val="00E55248"/>
    <w:rsid w:val="00E5567E"/>
    <w:rsid w:val="00E5597E"/>
    <w:rsid w:val="00E55B03"/>
    <w:rsid w:val="00E55D01"/>
    <w:rsid w:val="00E55E24"/>
    <w:rsid w:val="00E55E82"/>
    <w:rsid w:val="00E56581"/>
    <w:rsid w:val="00E56D50"/>
    <w:rsid w:val="00E56D9D"/>
    <w:rsid w:val="00E57119"/>
    <w:rsid w:val="00E571BF"/>
    <w:rsid w:val="00E5727C"/>
    <w:rsid w:val="00E5751F"/>
    <w:rsid w:val="00E576AA"/>
    <w:rsid w:val="00E57AF9"/>
    <w:rsid w:val="00E57FF4"/>
    <w:rsid w:val="00E6006D"/>
    <w:rsid w:val="00E60283"/>
    <w:rsid w:val="00E60390"/>
    <w:rsid w:val="00E6041C"/>
    <w:rsid w:val="00E60A17"/>
    <w:rsid w:val="00E60CD1"/>
    <w:rsid w:val="00E60E2E"/>
    <w:rsid w:val="00E60FA5"/>
    <w:rsid w:val="00E60FFE"/>
    <w:rsid w:val="00E61161"/>
    <w:rsid w:val="00E612E5"/>
    <w:rsid w:val="00E614F5"/>
    <w:rsid w:val="00E61CF2"/>
    <w:rsid w:val="00E61D89"/>
    <w:rsid w:val="00E622FA"/>
    <w:rsid w:val="00E62E99"/>
    <w:rsid w:val="00E63107"/>
    <w:rsid w:val="00E63213"/>
    <w:rsid w:val="00E63459"/>
    <w:rsid w:val="00E63A04"/>
    <w:rsid w:val="00E64550"/>
    <w:rsid w:val="00E6476E"/>
    <w:rsid w:val="00E6493A"/>
    <w:rsid w:val="00E64C06"/>
    <w:rsid w:val="00E653DD"/>
    <w:rsid w:val="00E6572C"/>
    <w:rsid w:val="00E65BB9"/>
    <w:rsid w:val="00E660C5"/>
    <w:rsid w:val="00E6613A"/>
    <w:rsid w:val="00E661EA"/>
    <w:rsid w:val="00E663AA"/>
    <w:rsid w:val="00E66938"/>
    <w:rsid w:val="00E66B35"/>
    <w:rsid w:val="00E673FB"/>
    <w:rsid w:val="00E6742D"/>
    <w:rsid w:val="00E67B7D"/>
    <w:rsid w:val="00E67C78"/>
    <w:rsid w:val="00E700ED"/>
    <w:rsid w:val="00E70161"/>
    <w:rsid w:val="00E70239"/>
    <w:rsid w:val="00E705E7"/>
    <w:rsid w:val="00E708FE"/>
    <w:rsid w:val="00E7098E"/>
    <w:rsid w:val="00E7128D"/>
    <w:rsid w:val="00E716E5"/>
    <w:rsid w:val="00E71A2D"/>
    <w:rsid w:val="00E723BD"/>
    <w:rsid w:val="00E7243A"/>
    <w:rsid w:val="00E724C5"/>
    <w:rsid w:val="00E72621"/>
    <w:rsid w:val="00E72FB3"/>
    <w:rsid w:val="00E7364A"/>
    <w:rsid w:val="00E7381C"/>
    <w:rsid w:val="00E739B1"/>
    <w:rsid w:val="00E742B5"/>
    <w:rsid w:val="00E744EA"/>
    <w:rsid w:val="00E74A73"/>
    <w:rsid w:val="00E74F4A"/>
    <w:rsid w:val="00E75A4A"/>
    <w:rsid w:val="00E75CA7"/>
    <w:rsid w:val="00E75F94"/>
    <w:rsid w:val="00E7679F"/>
    <w:rsid w:val="00E76B1A"/>
    <w:rsid w:val="00E770CB"/>
    <w:rsid w:val="00E77232"/>
    <w:rsid w:val="00E7756B"/>
    <w:rsid w:val="00E77B59"/>
    <w:rsid w:val="00E8016F"/>
    <w:rsid w:val="00E8050C"/>
    <w:rsid w:val="00E80777"/>
    <w:rsid w:val="00E8095E"/>
    <w:rsid w:val="00E80A83"/>
    <w:rsid w:val="00E8120A"/>
    <w:rsid w:val="00E817D7"/>
    <w:rsid w:val="00E81A31"/>
    <w:rsid w:val="00E81CF9"/>
    <w:rsid w:val="00E81DB9"/>
    <w:rsid w:val="00E81E3C"/>
    <w:rsid w:val="00E81FD4"/>
    <w:rsid w:val="00E82078"/>
    <w:rsid w:val="00E8211E"/>
    <w:rsid w:val="00E823C1"/>
    <w:rsid w:val="00E82786"/>
    <w:rsid w:val="00E828EC"/>
    <w:rsid w:val="00E82B86"/>
    <w:rsid w:val="00E82D94"/>
    <w:rsid w:val="00E82DB7"/>
    <w:rsid w:val="00E83265"/>
    <w:rsid w:val="00E8329A"/>
    <w:rsid w:val="00E833FB"/>
    <w:rsid w:val="00E83864"/>
    <w:rsid w:val="00E83C85"/>
    <w:rsid w:val="00E845FD"/>
    <w:rsid w:val="00E84697"/>
    <w:rsid w:val="00E84C77"/>
    <w:rsid w:val="00E853E7"/>
    <w:rsid w:val="00E8579C"/>
    <w:rsid w:val="00E862CC"/>
    <w:rsid w:val="00E865FE"/>
    <w:rsid w:val="00E86609"/>
    <w:rsid w:val="00E86981"/>
    <w:rsid w:val="00E87198"/>
    <w:rsid w:val="00E87498"/>
    <w:rsid w:val="00E904CC"/>
    <w:rsid w:val="00E906D7"/>
    <w:rsid w:val="00E90894"/>
    <w:rsid w:val="00E9094C"/>
    <w:rsid w:val="00E90C2E"/>
    <w:rsid w:val="00E9102A"/>
    <w:rsid w:val="00E91408"/>
    <w:rsid w:val="00E91759"/>
    <w:rsid w:val="00E91A82"/>
    <w:rsid w:val="00E91D0E"/>
    <w:rsid w:val="00E921CA"/>
    <w:rsid w:val="00E9221A"/>
    <w:rsid w:val="00E92462"/>
    <w:rsid w:val="00E92706"/>
    <w:rsid w:val="00E92C0F"/>
    <w:rsid w:val="00E9304C"/>
    <w:rsid w:val="00E9374D"/>
    <w:rsid w:val="00E9392F"/>
    <w:rsid w:val="00E93C38"/>
    <w:rsid w:val="00E93F80"/>
    <w:rsid w:val="00E94275"/>
    <w:rsid w:val="00E94ABA"/>
    <w:rsid w:val="00E95A72"/>
    <w:rsid w:val="00E95ABC"/>
    <w:rsid w:val="00E9636D"/>
    <w:rsid w:val="00E96546"/>
    <w:rsid w:val="00E9654B"/>
    <w:rsid w:val="00E96A3F"/>
    <w:rsid w:val="00E96AE4"/>
    <w:rsid w:val="00E96C77"/>
    <w:rsid w:val="00E970BD"/>
    <w:rsid w:val="00E971BD"/>
    <w:rsid w:val="00E9780B"/>
    <w:rsid w:val="00E97FCB"/>
    <w:rsid w:val="00EA007F"/>
    <w:rsid w:val="00EA0150"/>
    <w:rsid w:val="00EA0204"/>
    <w:rsid w:val="00EA0612"/>
    <w:rsid w:val="00EA1243"/>
    <w:rsid w:val="00EA13E4"/>
    <w:rsid w:val="00EA18DB"/>
    <w:rsid w:val="00EA1CE3"/>
    <w:rsid w:val="00EA1D31"/>
    <w:rsid w:val="00EA1FB5"/>
    <w:rsid w:val="00EA2366"/>
    <w:rsid w:val="00EA2690"/>
    <w:rsid w:val="00EA2A91"/>
    <w:rsid w:val="00EA2D98"/>
    <w:rsid w:val="00EA2DA6"/>
    <w:rsid w:val="00EA2FB7"/>
    <w:rsid w:val="00EA2FBA"/>
    <w:rsid w:val="00EA3744"/>
    <w:rsid w:val="00EA3F54"/>
    <w:rsid w:val="00EA4048"/>
    <w:rsid w:val="00EA4148"/>
    <w:rsid w:val="00EA4382"/>
    <w:rsid w:val="00EA4DC5"/>
    <w:rsid w:val="00EA518A"/>
    <w:rsid w:val="00EA53ED"/>
    <w:rsid w:val="00EA5664"/>
    <w:rsid w:val="00EA5A4F"/>
    <w:rsid w:val="00EA660C"/>
    <w:rsid w:val="00EA66DF"/>
    <w:rsid w:val="00EA6ADC"/>
    <w:rsid w:val="00EA7092"/>
    <w:rsid w:val="00EA7313"/>
    <w:rsid w:val="00EA77B4"/>
    <w:rsid w:val="00EB0161"/>
    <w:rsid w:val="00EB043E"/>
    <w:rsid w:val="00EB04D5"/>
    <w:rsid w:val="00EB0609"/>
    <w:rsid w:val="00EB098D"/>
    <w:rsid w:val="00EB09F6"/>
    <w:rsid w:val="00EB0A16"/>
    <w:rsid w:val="00EB0B3E"/>
    <w:rsid w:val="00EB13A7"/>
    <w:rsid w:val="00EB14DF"/>
    <w:rsid w:val="00EB17FA"/>
    <w:rsid w:val="00EB1A4D"/>
    <w:rsid w:val="00EB1EA4"/>
    <w:rsid w:val="00EB1EE4"/>
    <w:rsid w:val="00EB1F92"/>
    <w:rsid w:val="00EB24E9"/>
    <w:rsid w:val="00EB2535"/>
    <w:rsid w:val="00EB2BAA"/>
    <w:rsid w:val="00EB2C11"/>
    <w:rsid w:val="00EB34EC"/>
    <w:rsid w:val="00EB3A07"/>
    <w:rsid w:val="00EB3D11"/>
    <w:rsid w:val="00EB3D50"/>
    <w:rsid w:val="00EB4644"/>
    <w:rsid w:val="00EB485F"/>
    <w:rsid w:val="00EB54EE"/>
    <w:rsid w:val="00EB54FA"/>
    <w:rsid w:val="00EB5539"/>
    <w:rsid w:val="00EB5DD2"/>
    <w:rsid w:val="00EB5E94"/>
    <w:rsid w:val="00EB6409"/>
    <w:rsid w:val="00EB6422"/>
    <w:rsid w:val="00EB66FB"/>
    <w:rsid w:val="00EB6808"/>
    <w:rsid w:val="00EB6B4E"/>
    <w:rsid w:val="00EB7BEA"/>
    <w:rsid w:val="00EB7C0E"/>
    <w:rsid w:val="00EB7EEA"/>
    <w:rsid w:val="00EB7F10"/>
    <w:rsid w:val="00EC026D"/>
    <w:rsid w:val="00EC0353"/>
    <w:rsid w:val="00EC046E"/>
    <w:rsid w:val="00EC0518"/>
    <w:rsid w:val="00EC05BA"/>
    <w:rsid w:val="00EC088E"/>
    <w:rsid w:val="00EC182C"/>
    <w:rsid w:val="00EC18E2"/>
    <w:rsid w:val="00EC1ACF"/>
    <w:rsid w:val="00EC20B8"/>
    <w:rsid w:val="00EC249A"/>
    <w:rsid w:val="00EC2698"/>
    <w:rsid w:val="00EC275B"/>
    <w:rsid w:val="00EC2A15"/>
    <w:rsid w:val="00EC2E87"/>
    <w:rsid w:val="00EC312A"/>
    <w:rsid w:val="00EC3342"/>
    <w:rsid w:val="00EC3E1D"/>
    <w:rsid w:val="00EC3EE4"/>
    <w:rsid w:val="00EC3F31"/>
    <w:rsid w:val="00EC3FDA"/>
    <w:rsid w:val="00EC42E6"/>
    <w:rsid w:val="00EC47C0"/>
    <w:rsid w:val="00EC4971"/>
    <w:rsid w:val="00EC52E7"/>
    <w:rsid w:val="00EC549F"/>
    <w:rsid w:val="00EC550D"/>
    <w:rsid w:val="00EC5DF9"/>
    <w:rsid w:val="00EC64AD"/>
    <w:rsid w:val="00EC739E"/>
    <w:rsid w:val="00EC73C9"/>
    <w:rsid w:val="00EC73E7"/>
    <w:rsid w:val="00EC743C"/>
    <w:rsid w:val="00EC7677"/>
    <w:rsid w:val="00EC7983"/>
    <w:rsid w:val="00EC7E0E"/>
    <w:rsid w:val="00EC7E5F"/>
    <w:rsid w:val="00ED033A"/>
    <w:rsid w:val="00ED06D1"/>
    <w:rsid w:val="00ED0751"/>
    <w:rsid w:val="00ED085C"/>
    <w:rsid w:val="00ED0D04"/>
    <w:rsid w:val="00ED0E4E"/>
    <w:rsid w:val="00ED0E9F"/>
    <w:rsid w:val="00ED0F60"/>
    <w:rsid w:val="00ED1204"/>
    <w:rsid w:val="00ED12AC"/>
    <w:rsid w:val="00ED12D3"/>
    <w:rsid w:val="00ED14FA"/>
    <w:rsid w:val="00ED1AF8"/>
    <w:rsid w:val="00ED1CBB"/>
    <w:rsid w:val="00ED231F"/>
    <w:rsid w:val="00ED265F"/>
    <w:rsid w:val="00ED2DE7"/>
    <w:rsid w:val="00ED2EF2"/>
    <w:rsid w:val="00ED321C"/>
    <w:rsid w:val="00ED328F"/>
    <w:rsid w:val="00ED332A"/>
    <w:rsid w:val="00ED3698"/>
    <w:rsid w:val="00ED3FBD"/>
    <w:rsid w:val="00ED3FE6"/>
    <w:rsid w:val="00ED4059"/>
    <w:rsid w:val="00ED4552"/>
    <w:rsid w:val="00ED4603"/>
    <w:rsid w:val="00ED4794"/>
    <w:rsid w:val="00ED4B3F"/>
    <w:rsid w:val="00ED4DA1"/>
    <w:rsid w:val="00ED4F50"/>
    <w:rsid w:val="00ED5349"/>
    <w:rsid w:val="00ED5D19"/>
    <w:rsid w:val="00ED5E3F"/>
    <w:rsid w:val="00ED60F1"/>
    <w:rsid w:val="00ED6632"/>
    <w:rsid w:val="00ED679D"/>
    <w:rsid w:val="00ED6884"/>
    <w:rsid w:val="00ED6A2B"/>
    <w:rsid w:val="00ED727C"/>
    <w:rsid w:val="00ED758B"/>
    <w:rsid w:val="00ED76CA"/>
    <w:rsid w:val="00ED7AF4"/>
    <w:rsid w:val="00ED7B59"/>
    <w:rsid w:val="00ED7C33"/>
    <w:rsid w:val="00ED7C3A"/>
    <w:rsid w:val="00EE00C2"/>
    <w:rsid w:val="00EE0152"/>
    <w:rsid w:val="00EE09EB"/>
    <w:rsid w:val="00EE1326"/>
    <w:rsid w:val="00EE14B9"/>
    <w:rsid w:val="00EE213F"/>
    <w:rsid w:val="00EE2156"/>
    <w:rsid w:val="00EE265C"/>
    <w:rsid w:val="00EE289B"/>
    <w:rsid w:val="00EE2DB1"/>
    <w:rsid w:val="00EE32E7"/>
    <w:rsid w:val="00EE3952"/>
    <w:rsid w:val="00EE3A4E"/>
    <w:rsid w:val="00EE3C23"/>
    <w:rsid w:val="00EE44E4"/>
    <w:rsid w:val="00EE44F2"/>
    <w:rsid w:val="00EE4A40"/>
    <w:rsid w:val="00EE4BE1"/>
    <w:rsid w:val="00EE4F31"/>
    <w:rsid w:val="00EE511A"/>
    <w:rsid w:val="00EE5143"/>
    <w:rsid w:val="00EE5A60"/>
    <w:rsid w:val="00EE5B1A"/>
    <w:rsid w:val="00EE5C4F"/>
    <w:rsid w:val="00EE5C63"/>
    <w:rsid w:val="00EE5EDA"/>
    <w:rsid w:val="00EE6050"/>
    <w:rsid w:val="00EE6597"/>
    <w:rsid w:val="00EE67D7"/>
    <w:rsid w:val="00EE6F33"/>
    <w:rsid w:val="00EE6FCE"/>
    <w:rsid w:val="00EE7503"/>
    <w:rsid w:val="00EE76FA"/>
    <w:rsid w:val="00EE791B"/>
    <w:rsid w:val="00EE7C28"/>
    <w:rsid w:val="00EF0458"/>
    <w:rsid w:val="00EF0759"/>
    <w:rsid w:val="00EF0C55"/>
    <w:rsid w:val="00EF1058"/>
    <w:rsid w:val="00EF10EE"/>
    <w:rsid w:val="00EF15E9"/>
    <w:rsid w:val="00EF1DCA"/>
    <w:rsid w:val="00EF20D3"/>
    <w:rsid w:val="00EF22C3"/>
    <w:rsid w:val="00EF26DA"/>
    <w:rsid w:val="00EF2787"/>
    <w:rsid w:val="00EF292A"/>
    <w:rsid w:val="00EF359C"/>
    <w:rsid w:val="00EF37FA"/>
    <w:rsid w:val="00EF40F9"/>
    <w:rsid w:val="00EF416F"/>
    <w:rsid w:val="00EF41EC"/>
    <w:rsid w:val="00EF486A"/>
    <w:rsid w:val="00EF4A1E"/>
    <w:rsid w:val="00EF5C51"/>
    <w:rsid w:val="00EF5F4B"/>
    <w:rsid w:val="00EF6593"/>
    <w:rsid w:val="00EF6C7F"/>
    <w:rsid w:val="00EF7332"/>
    <w:rsid w:val="00EF7427"/>
    <w:rsid w:val="00EF753B"/>
    <w:rsid w:val="00EF7556"/>
    <w:rsid w:val="00EF7D9E"/>
    <w:rsid w:val="00F00449"/>
    <w:rsid w:val="00F00610"/>
    <w:rsid w:val="00F00690"/>
    <w:rsid w:val="00F0095C"/>
    <w:rsid w:val="00F01129"/>
    <w:rsid w:val="00F01920"/>
    <w:rsid w:val="00F01CAE"/>
    <w:rsid w:val="00F01CCA"/>
    <w:rsid w:val="00F01F2C"/>
    <w:rsid w:val="00F02104"/>
    <w:rsid w:val="00F0319E"/>
    <w:rsid w:val="00F03606"/>
    <w:rsid w:val="00F038C8"/>
    <w:rsid w:val="00F0396D"/>
    <w:rsid w:val="00F03DC0"/>
    <w:rsid w:val="00F04108"/>
    <w:rsid w:val="00F04315"/>
    <w:rsid w:val="00F04EF6"/>
    <w:rsid w:val="00F051E1"/>
    <w:rsid w:val="00F053D5"/>
    <w:rsid w:val="00F05485"/>
    <w:rsid w:val="00F0559E"/>
    <w:rsid w:val="00F062C8"/>
    <w:rsid w:val="00F0638D"/>
    <w:rsid w:val="00F06464"/>
    <w:rsid w:val="00F06544"/>
    <w:rsid w:val="00F06651"/>
    <w:rsid w:val="00F066C8"/>
    <w:rsid w:val="00F06952"/>
    <w:rsid w:val="00F06BC7"/>
    <w:rsid w:val="00F06C02"/>
    <w:rsid w:val="00F06C17"/>
    <w:rsid w:val="00F06D57"/>
    <w:rsid w:val="00F06EB6"/>
    <w:rsid w:val="00F06ED8"/>
    <w:rsid w:val="00F071D1"/>
    <w:rsid w:val="00F073B2"/>
    <w:rsid w:val="00F07E60"/>
    <w:rsid w:val="00F1075B"/>
    <w:rsid w:val="00F10DE6"/>
    <w:rsid w:val="00F117DC"/>
    <w:rsid w:val="00F11A9D"/>
    <w:rsid w:val="00F11C43"/>
    <w:rsid w:val="00F121B2"/>
    <w:rsid w:val="00F1224C"/>
    <w:rsid w:val="00F122D8"/>
    <w:rsid w:val="00F125A3"/>
    <w:rsid w:val="00F12D0F"/>
    <w:rsid w:val="00F12ED1"/>
    <w:rsid w:val="00F13150"/>
    <w:rsid w:val="00F13439"/>
    <w:rsid w:val="00F13498"/>
    <w:rsid w:val="00F135F2"/>
    <w:rsid w:val="00F1363E"/>
    <w:rsid w:val="00F138B4"/>
    <w:rsid w:val="00F13C82"/>
    <w:rsid w:val="00F13CFC"/>
    <w:rsid w:val="00F13D95"/>
    <w:rsid w:val="00F14471"/>
    <w:rsid w:val="00F14A11"/>
    <w:rsid w:val="00F14AE8"/>
    <w:rsid w:val="00F14E79"/>
    <w:rsid w:val="00F15033"/>
    <w:rsid w:val="00F151C9"/>
    <w:rsid w:val="00F15C25"/>
    <w:rsid w:val="00F15DD5"/>
    <w:rsid w:val="00F15F57"/>
    <w:rsid w:val="00F1632B"/>
    <w:rsid w:val="00F1662D"/>
    <w:rsid w:val="00F16DBB"/>
    <w:rsid w:val="00F1729F"/>
    <w:rsid w:val="00F17481"/>
    <w:rsid w:val="00F174BB"/>
    <w:rsid w:val="00F176CD"/>
    <w:rsid w:val="00F17DA5"/>
    <w:rsid w:val="00F202CA"/>
    <w:rsid w:val="00F2103A"/>
    <w:rsid w:val="00F213F9"/>
    <w:rsid w:val="00F21445"/>
    <w:rsid w:val="00F214F4"/>
    <w:rsid w:val="00F21849"/>
    <w:rsid w:val="00F223A7"/>
    <w:rsid w:val="00F2259D"/>
    <w:rsid w:val="00F22682"/>
    <w:rsid w:val="00F22917"/>
    <w:rsid w:val="00F22D3C"/>
    <w:rsid w:val="00F22F47"/>
    <w:rsid w:val="00F22F83"/>
    <w:rsid w:val="00F23A01"/>
    <w:rsid w:val="00F23D59"/>
    <w:rsid w:val="00F2425F"/>
    <w:rsid w:val="00F242D5"/>
    <w:rsid w:val="00F24659"/>
    <w:rsid w:val="00F257A8"/>
    <w:rsid w:val="00F25AEB"/>
    <w:rsid w:val="00F25C69"/>
    <w:rsid w:val="00F25F81"/>
    <w:rsid w:val="00F262F2"/>
    <w:rsid w:val="00F26A64"/>
    <w:rsid w:val="00F26ACB"/>
    <w:rsid w:val="00F26F12"/>
    <w:rsid w:val="00F273D6"/>
    <w:rsid w:val="00F273EF"/>
    <w:rsid w:val="00F275BB"/>
    <w:rsid w:val="00F2779E"/>
    <w:rsid w:val="00F278CC"/>
    <w:rsid w:val="00F279FB"/>
    <w:rsid w:val="00F27A11"/>
    <w:rsid w:val="00F27AFF"/>
    <w:rsid w:val="00F30641"/>
    <w:rsid w:val="00F30AE1"/>
    <w:rsid w:val="00F3107D"/>
    <w:rsid w:val="00F310FB"/>
    <w:rsid w:val="00F312F9"/>
    <w:rsid w:val="00F313DD"/>
    <w:rsid w:val="00F314DF"/>
    <w:rsid w:val="00F31DD1"/>
    <w:rsid w:val="00F32145"/>
    <w:rsid w:val="00F32421"/>
    <w:rsid w:val="00F324B0"/>
    <w:rsid w:val="00F3260D"/>
    <w:rsid w:val="00F32895"/>
    <w:rsid w:val="00F33208"/>
    <w:rsid w:val="00F334CB"/>
    <w:rsid w:val="00F33BE5"/>
    <w:rsid w:val="00F342FC"/>
    <w:rsid w:val="00F34401"/>
    <w:rsid w:val="00F34721"/>
    <w:rsid w:val="00F3495A"/>
    <w:rsid w:val="00F34AB1"/>
    <w:rsid w:val="00F34C44"/>
    <w:rsid w:val="00F34C9A"/>
    <w:rsid w:val="00F34CDC"/>
    <w:rsid w:val="00F34E2C"/>
    <w:rsid w:val="00F35BE1"/>
    <w:rsid w:val="00F35BEF"/>
    <w:rsid w:val="00F35F57"/>
    <w:rsid w:val="00F36618"/>
    <w:rsid w:val="00F366CD"/>
    <w:rsid w:val="00F367D4"/>
    <w:rsid w:val="00F36BF8"/>
    <w:rsid w:val="00F36E7C"/>
    <w:rsid w:val="00F36FFC"/>
    <w:rsid w:val="00F370BC"/>
    <w:rsid w:val="00F37143"/>
    <w:rsid w:val="00F37478"/>
    <w:rsid w:val="00F3769A"/>
    <w:rsid w:val="00F377CC"/>
    <w:rsid w:val="00F37CBA"/>
    <w:rsid w:val="00F37FC8"/>
    <w:rsid w:val="00F410AC"/>
    <w:rsid w:val="00F41170"/>
    <w:rsid w:val="00F415B6"/>
    <w:rsid w:val="00F41744"/>
    <w:rsid w:val="00F41E4F"/>
    <w:rsid w:val="00F42263"/>
    <w:rsid w:val="00F42895"/>
    <w:rsid w:val="00F43047"/>
    <w:rsid w:val="00F430C2"/>
    <w:rsid w:val="00F4352F"/>
    <w:rsid w:val="00F43ABA"/>
    <w:rsid w:val="00F43CF8"/>
    <w:rsid w:val="00F43DCC"/>
    <w:rsid w:val="00F43ECC"/>
    <w:rsid w:val="00F441FA"/>
    <w:rsid w:val="00F44824"/>
    <w:rsid w:val="00F44A01"/>
    <w:rsid w:val="00F44C89"/>
    <w:rsid w:val="00F45089"/>
    <w:rsid w:val="00F45268"/>
    <w:rsid w:val="00F457F8"/>
    <w:rsid w:val="00F45BEC"/>
    <w:rsid w:val="00F4606A"/>
    <w:rsid w:val="00F46FBC"/>
    <w:rsid w:val="00F47037"/>
    <w:rsid w:val="00F471B3"/>
    <w:rsid w:val="00F47E51"/>
    <w:rsid w:val="00F50562"/>
    <w:rsid w:val="00F505C6"/>
    <w:rsid w:val="00F507D0"/>
    <w:rsid w:val="00F50A92"/>
    <w:rsid w:val="00F50AF6"/>
    <w:rsid w:val="00F50B0B"/>
    <w:rsid w:val="00F50D01"/>
    <w:rsid w:val="00F51C3B"/>
    <w:rsid w:val="00F51E62"/>
    <w:rsid w:val="00F520FA"/>
    <w:rsid w:val="00F5271D"/>
    <w:rsid w:val="00F5275A"/>
    <w:rsid w:val="00F527FE"/>
    <w:rsid w:val="00F52A5F"/>
    <w:rsid w:val="00F52BF1"/>
    <w:rsid w:val="00F52D4E"/>
    <w:rsid w:val="00F530DF"/>
    <w:rsid w:val="00F537B8"/>
    <w:rsid w:val="00F53FE2"/>
    <w:rsid w:val="00F543E5"/>
    <w:rsid w:val="00F54459"/>
    <w:rsid w:val="00F54688"/>
    <w:rsid w:val="00F546B9"/>
    <w:rsid w:val="00F54AD4"/>
    <w:rsid w:val="00F54D02"/>
    <w:rsid w:val="00F54FE9"/>
    <w:rsid w:val="00F55017"/>
    <w:rsid w:val="00F5516B"/>
    <w:rsid w:val="00F55499"/>
    <w:rsid w:val="00F555CA"/>
    <w:rsid w:val="00F55B40"/>
    <w:rsid w:val="00F55FC1"/>
    <w:rsid w:val="00F5601E"/>
    <w:rsid w:val="00F561F7"/>
    <w:rsid w:val="00F563BD"/>
    <w:rsid w:val="00F566E7"/>
    <w:rsid w:val="00F56BC1"/>
    <w:rsid w:val="00F57376"/>
    <w:rsid w:val="00F573F1"/>
    <w:rsid w:val="00F57C88"/>
    <w:rsid w:val="00F57F53"/>
    <w:rsid w:val="00F6027B"/>
    <w:rsid w:val="00F60834"/>
    <w:rsid w:val="00F60B9D"/>
    <w:rsid w:val="00F60DDD"/>
    <w:rsid w:val="00F6111C"/>
    <w:rsid w:val="00F618C4"/>
    <w:rsid w:val="00F61D22"/>
    <w:rsid w:val="00F625B9"/>
    <w:rsid w:val="00F62D1C"/>
    <w:rsid w:val="00F6352B"/>
    <w:rsid w:val="00F63690"/>
    <w:rsid w:val="00F63927"/>
    <w:rsid w:val="00F6396C"/>
    <w:rsid w:val="00F641AA"/>
    <w:rsid w:val="00F646BA"/>
    <w:rsid w:val="00F646D4"/>
    <w:rsid w:val="00F64AEB"/>
    <w:rsid w:val="00F6544B"/>
    <w:rsid w:val="00F6554C"/>
    <w:rsid w:val="00F65662"/>
    <w:rsid w:val="00F65723"/>
    <w:rsid w:val="00F65774"/>
    <w:rsid w:val="00F65872"/>
    <w:rsid w:val="00F65A34"/>
    <w:rsid w:val="00F65C2C"/>
    <w:rsid w:val="00F65ED5"/>
    <w:rsid w:val="00F65F4C"/>
    <w:rsid w:val="00F661C5"/>
    <w:rsid w:val="00F66A42"/>
    <w:rsid w:val="00F66A56"/>
    <w:rsid w:val="00F66CA2"/>
    <w:rsid w:val="00F66FC1"/>
    <w:rsid w:val="00F670A4"/>
    <w:rsid w:val="00F67B4A"/>
    <w:rsid w:val="00F67E30"/>
    <w:rsid w:val="00F67FA0"/>
    <w:rsid w:val="00F701F1"/>
    <w:rsid w:val="00F708AF"/>
    <w:rsid w:val="00F715E9"/>
    <w:rsid w:val="00F71A60"/>
    <w:rsid w:val="00F71B01"/>
    <w:rsid w:val="00F71DCD"/>
    <w:rsid w:val="00F720E1"/>
    <w:rsid w:val="00F721C0"/>
    <w:rsid w:val="00F722F5"/>
    <w:rsid w:val="00F72371"/>
    <w:rsid w:val="00F72560"/>
    <w:rsid w:val="00F7259E"/>
    <w:rsid w:val="00F725DA"/>
    <w:rsid w:val="00F72C6B"/>
    <w:rsid w:val="00F72D26"/>
    <w:rsid w:val="00F72DEB"/>
    <w:rsid w:val="00F72F3C"/>
    <w:rsid w:val="00F73A1C"/>
    <w:rsid w:val="00F73A57"/>
    <w:rsid w:val="00F73E7F"/>
    <w:rsid w:val="00F7423B"/>
    <w:rsid w:val="00F7465E"/>
    <w:rsid w:val="00F74699"/>
    <w:rsid w:val="00F74CD1"/>
    <w:rsid w:val="00F7536E"/>
    <w:rsid w:val="00F754B8"/>
    <w:rsid w:val="00F75652"/>
    <w:rsid w:val="00F760B0"/>
    <w:rsid w:val="00F76137"/>
    <w:rsid w:val="00F76BC1"/>
    <w:rsid w:val="00F776E4"/>
    <w:rsid w:val="00F7782D"/>
    <w:rsid w:val="00F7789E"/>
    <w:rsid w:val="00F77A34"/>
    <w:rsid w:val="00F77CA9"/>
    <w:rsid w:val="00F77F5D"/>
    <w:rsid w:val="00F77F81"/>
    <w:rsid w:val="00F77FA2"/>
    <w:rsid w:val="00F8037F"/>
    <w:rsid w:val="00F8048D"/>
    <w:rsid w:val="00F80B28"/>
    <w:rsid w:val="00F81328"/>
    <w:rsid w:val="00F81349"/>
    <w:rsid w:val="00F8168B"/>
    <w:rsid w:val="00F81C1C"/>
    <w:rsid w:val="00F81CF2"/>
    <w:rsid w:val="00F81D14"/>
    <w:rsid w:val="00F81DBC"/>
    <w:rsid w:val="00F81E86"/>
    <w:rsid w:val="00F81F93"/>
    <w:rsid w:val="00F821AF"/>
    <w:rsid w:val="00F82303"/>
    <w:rsid w:val="00F82391"/>
    <w:rsid w:val="00F82BC7"/>
    <w:rsid w:val="00F83D69"/>
    <w:rsid w:val="00F84141"/>
    <w:rsid w:val="00F848B4"/>
    <w:rsid w:val="00F85349"/>
    <w:rsid w:val="00F857A3"/>
    <w:rsid w:val="00F857D0"/>
    <w:rsid w:val="00F857D1"/>
    <w:rsid w:val="00F85BE6"/>
    <w:rsid w:val="00F85E2A"/>
    <w:rsid w:val="00F86296"/>
    <w:rsid w:val="00F86469"/>
    <w:rsid w:val="00F86656"/>
    <w:rsid w:val="00F86768"/>
    <w:rsid w:val="00F869AD"/>
    <w:rsid w:val="00F86A3D"/>
    <w:rsid w:val="00F86F42"/>
    <w:rsid w:val="00F86FC5"/>
    <w:rsid w:val="00F86FD9"/>
    <w:rsid w:val="00F87067"/>
    <w:rsid w:val="00F87382"/>
    <w:rsid w:val="00F8772B"/>
    <w:rsid w:val="00F87A65"/>
    <w:rsid w:val="00F87B4A"/>
    <w:rsid w:val="00F87C41"/>
    <w:rsid w:val="00F87ED9"/>
    <w:rsid w:val="00F9023C"/>
    <w:rsid w:val="00F90411"/>
    <w:rsid w:val="00F9057B"/>
    <w:rsid w:val="00F90F7A"/>
    <w:rsid w:val="00F91023"/>
    <w:rsid w:val="00F918AF"/>
    <w:rsid w:val="00F91C2F"/>
    <w:rsid w:val="00F91D0B"/>
    <w:rsid w:val="00F91DCC"/>
    <w:rsid w:val="00F92376"/>
    <w:rsid w:val="00F9287C"/>
    <w:rsid w:val="00F92C06"/>
    <w:rsid w:val="00F9323F"/>
    <w:rsid w:val="00F932B7"/>
    <w:rsid w:val="00F93438"/>
    <w:rsid w:val="00F9373B"/>
    <w:rsid w:val="00F93898"/>
    <w:rsid w:val="00F93E50"/>
    <w:rsid w:val="00F943FE"/>
    <w:rsid w:val="00F945AF"/>
    <w:rsid w:val="00F94789"/>
    <w:rsid w:val="00F948F3"/>
    <w:rsid w:val="00F94D2E"/>
    <w:rsid w:val="00F94D7C"/>
    <w:rsid w:val="00F94D90"/>
    <w:rsid w:val="00F95185"/>
    <w:rsid w:val="00F95814"/>
    <w:rsid w:val="00F95CE9"/>
    <w:rsid w:val="00F95DEF"/>
    <w:rsid w:val="00F96316"/>
    <w:rsid w:val="00F96DB1"/>
    <w:rsid w:val="00F97100"/>
    <w:rsid w:val="00F97D75"/>
    <w:rsid w:val="00FA01D9"/>
    <w:rsid w:val="00FA021A"/>
    <w:rsid w:val="00FA025F"/>
    <w:rsid w:val="00FA0D25"/>
    <w:rsid w:val="00FA0D89"/>
    <w:rsid w:val="00FA1412"/>
    <w:rsid w:val="00FA15DF"/>
    <w:rsid w:val="00FA1998"/>
    <w:rsid w:val="00FA1B53"/>
    <w:rsid w:val="00FA1CBE"/>
    <w:rsid w:val="00FA1DD7"/>
    <w:rsid w:val="00FA1F87"/>
    <w:rsid w:val="00FA2154"/>
    <w:rsid w:val="00FA261E"/>
    <w:rsid w:val="00FA26FF"/>
    <w:rsid w:val="00FA2712"/>
    <w:rsid w:val="00FA299E"/>
    <w:rsid w:val="00FA32E3"/>
    <w:rsid w:val="00FA473D"/>
    <w:rsid w:val="00FA47F1"/>
    <w:rsid w:val="00FA4C2D"/>
    <w:rsid w:val="00FA54E1"/>
    <w:rsid w:val="00FA598C"/>
    <w:rsid w:val="00FA5E16"/>
    <w:rsid w:val="00FA6030"/>
    <w:rsid w:val="00FA605E"/>
    <w:rsid w:val="00FA6270"/>
    <w:rsid w:val="00FA62C9"/>
    <w:rsid w:val="00FA6758"/>
    <w:rsid w:val="00FA6792"/>
    <w:rsid w:val="00FA67F8"/>
    <w:rsid w:val="00FA6A33"/>
    <w:rsid w:val="00FA6B71"/>
    <w:rsid w:val="00FA6D99"/>
    <w:rsid w:val="00FA6E57"/>
    <w:rsid w:val="00FA7065"/>
    <w:rsid w:val="00FA7739"/>
    <w:rsid w:val="00FA777D"/>
    <w:rsid w:val="00FA7956"/>
    <w:rsid w:val="00FB0401"/>
    <w:rsid w:val="00FB0487"/>
    <w:rsid w:val="00FB054F"/>
    <w:rsid w:val="00FB066C"/>
    <w:rsid w:val="00FB12D1"/>
    <w:rsid w:val="00FB150A"/>
    <w:rsid w:val="00FB15EB"/>
    <w:rsid w:val="00FB17B0"/>
    <w:rsid w:val="00FB1B89"/>
    <w:rsid w:val="00FB1BB0"/>
    <w:rsid w:val="00FB1BB3"/>
    <w:rsid w:val="00FB1CD5"/>
    <w:rsid w:val="00FB2119"/>
    <w:rsid w:val="00FB22FB"/>
    <w:rsid w:val="00FB239F"/>
    <w:rsid w:val="00FB2577"/>
    <w:rsid w:val="00FB2701"/>
    <w:rsid w:val="00FB2ECD"/>
    <w:rsid w:val="00FB2FDE"/>
    <w:rsid w:val="00FB3136"/>
    <w:rsid w:val="00FB3568"/>
    <w:rsid w:val="00FB35F9"/>
    <w:rsid w:val="00FB36B1"/>
    <w:rsid w:val="00FB3A07"/>
    <w:rsid w:val="00FB417D"/>
    <w:rsid w:val="00FB41D6"/>
    <w:rsid w:val="00FB4274"/>
    <w:rsid w:val="00FB45EC"/>
    <w:rsid w:val="00FB4702"/>
    <w:rsid w:val="00FB47D0"/>
    <w:rsid w:val="00FB47F1"/>
    <w:rsid w:val="00FB49C6"/>
    <w:rsid w:val="00FB5489"/>
    <w:rsid w:val="00FB586B"/>
    <w:rsid w:val="00FB5F82"/>
    <w:rsid w:val="00FB62B3"/>
    <w:rsid w:val="00FB6645"/>
    <w:rsid w:val="00FB6CDC"/>
    <w:rsid w:val="00FB6F0C"/>
    <w:rsid w:val="00FB7126"/>
    <w:rsid w:val="00FB7193"/>
    <w:rsid w:val="00FB7423"/>
    <w:rsid w:val="00FB7786"/>
    <w:rsid w:val="00FC00D0"/>
    <w:rsid w:val="00FC0720"/>
    <w:rsid w:val="00FC0791"/>
    <w:rsid w:val="00FC0994"/>
    <w:rsid w:val="00FC0D03"/>
    <w:rsid w:val="00FC0E75"/>
    <w:rsid w:val="00FC1275"/>
    <w:rsid w:val="00FC13CC"/>
    <w:rsid w:val="00FC1427"/>
    <w:rsid w:val="00FC17F0"/>
    <w:rsid w:val="00FC1DFB"/>
    <w:rsid w:val="00FC1E93"/>
    <w:rsid w:val="00FC1EF2"/>
    <w:rsid w:val="00FC242A"/>
    <w:rsid w:val="00FC262C"/>
    <w:rsid w:val="00FC28F2"/>
    <w:rsid w:val="00FC3343"/>
    <w:rsid w:val="00FC33BA"/>
    <w:rsid w:val="00FC34AA"/>
    <w:rsid w:val="00FC35AB"/>
    <w:rsid w:val="00FC37B2"/>
    <w:rsid w:val="00FC37B8"/>
    <w:rsid w:val="00FC3B44"/>
    <w:rsid w:val="00FC3D77"/>
    <w:rsid w:val="00FC4464"/>
    <w:rsid w:val="00FC4AC8"/>
    <w:rsid w:val="00FC5330"/>
    <w:rsid w:val="00FC58AF"/>
    <w:rsid w:val="00FC5A35"/>
    <w:rsid w:val="00FC5AF7"/>
    <w:rsid w:val="00FC5BC4"/>
    <w:rsid w:val="00FC6083"/>
    <w:rsid w:val="00FC6134"/>
    <w:rsid w:val="00FC625D"/>
    <w:rsid w:val="00FC63E6"/>
    <w:rsid w:val="00FC654D"/>
    <w:rsid w:val="00FC67F2"/>
    <w:rsid w:val="00FC71AF"/>
    <w:rsid w:val="00FC74E3"/>
    <w:rsid w:val="00FC77CF"/>
    <w:rsid w:val="00FC7B74"/>
    <w:rsid w:val="00FC7DD0"/>
    <w:rsid w:val="00FD0555"/>
    <w:rsid w:val="00FD05AF"/>
    <w:rsid w:val="00FD06F5"/>
    <w:rsid w:val="00FD092D"/>
    <w:rsid w:val="00FD093B"/>
    <w:rsid w:val="00FD1145"/>
    <w:rsid w:val="00FD14EA"/>
    <w:rsid w:val="00FD1C19"/>
    <w:rsid w:val="00FD1D87"/>
    <w:rsid w:val="00FD1F02"/>
    <w:rsid w:val="00FD1FC3"/>
    <w:rsid w:val="00FD2047"/>
    <w:rsid w:val="00FD20B4"/>
    <w:rsid w:val="00FD25B4"/>
    <w:rsid w:val="00FD2964"/>
    <w:rsid w:val="00FD2BC4"/>
    <w:rsid w:val="00FD2C46"/>
    <w:rsid w:val="00FD2CF3"/>
    <w:rsid w:val="00FD335C"/>
    <w:rsid w:val="00FD349A"/>
    <w:rsid w:val="00FD3545"/>
    <w:rsid w:val="00FD38AB"/>
    <w:rsid w:val="00FD3D46"/>
    <w:rsid w:val="00FD3EA5"/>
    <w:rsid w:val="00FD42B4"/>
    <w:rsid w:val="00FD440B"/>
    <w:rsid w:val="00FD44FB"/>
    <w:rsid w:val="00FD4568"/>
    <w:rsid w:val="00FD4991"/>
    <w:rsid w:val="00FD5469"/>
    <w:rsid w:val="00FD5710"/>
    <w:rsid w:val="00FD5961"/>
    <w:rsid w:val="00FD5A9F"/>
    <w:rsid w:val="00FD5D75"/>
    <w:rsid w:val="00FD608D"/>
    <w:rsid w:val="00FD62A4"/>
    <w:rsid w:val="00FD62A5"/>
    <w:rsid w:val="00FD6C6F"/>
    <w:rsid w:val="00FD733F"/>
    <w:rsid w:val="00FD75E9"/>
    <w:rsid w:val="00FD78B5"/>
    <w:rsid w:val="00FE02A7"/>
    <w:rsid w:val="00FE02C6"/>
    <w:rsid w:val="00FE0651"/>
    <w:rsid w:val="00FE077C"/>
    <w:rsid w:val="00FE0936"/>
    <w:rsid w:val="00FE09D7"/>
    <w:rsid w:val="00FE0D23"/>
    <w:rsid w:val="00FE0FF4"/>
    <w:rsid w:val="00FE1A0C"/>
    <w:rsid w:val="00FE1E9D"/>
    <w:rsid w:val="00FE20BD"/>
    <w:rsid w:val="00FE23F9"/>
    <w:rsid w:val="00FE24E0"/>
    <w:rsid w:val="00FE2D6F"/>
    <w:rsid w:val="00FE2DFE"/>
    <w:rsid w:val="00FE2E7D"/>
    <w:rsid w:val="00FE3703"/>
    <w:rsid w:val="00FE394E"/>
    <w:rsid w:val="00FE3B6B"/>
    <w:rsid w:val="00FE3D0A"/>
    <w:rsid w:val="00FE3E9D"/>
    <w:rsid w:val="00FE3EFA"/>
    <w:rsid w:val="00FE423B"/>
    <w:rsid w:val="00FE44ED"/>
    <w:rsid w:val="00FE45C2"/>
    <w:rsid w:val="00FE4D0B"/>
    <w:rsid w:val="00FE566D"/>
    <w:rsid w:val="00FE5889"/>
    <w:rsid w:val="00FE5C56"/>
    <w:rsid w:val="00FE5E20"/>
    <w:rsid w:val="00FE61E8"/>
    <w:rsid w:val="00FE64D6"/>
    <w:rsid w:val="00FE6A8C"/>
    <w:rsid w:val="00FE6B4E"/>
    <w:rsid w:val="00FE7136"/>
    <w:rsid w:val="00FE7163"/>
    <w:rsid w:val="00FE7333"/>
    <w:rsid w:val="00FE7632"/>
    <w:rsid w:val="00FE78DB"/>
    <w:rsid w:val="00FE7AAC"/>
    <w:rsid w:val="00FE7B06"/>
    <w:rsid w:val="00FE7C6D"/>
    <w:rsid w:val="00FE7E98"/>
    <w:rsid w:val="00FF01B3"/>
    <w:rsid w:val="00FF02DC"/>
    <w:rsid w:val="00FF0580"/>
    <w:rsid w:val="00FF05BD"/>
    <w:rsid w:val="00FF0676"/>
    <w:rsid w:val="00FF06BC"/>
    <w:rsid w:val="00FF06E2"/>
    <w:rsid w:val="00FF15AF"/>
    <w:rsid w:val="00FF163C"/>
    <w:rsid w:val="00FF1788"/>
    <w:rsid w:val="00FF193E"/>
    <w:rsid w:val="00FF199F"/>
    <w:rsid w:val="00FF1CE5"/>
    <w:rsid w:val="00FF1E4B"/>
    <w:rsid w:val="00FF20AC"/>
    <w:rsid w:val="00FF21AB"/>
    <w:rsid w:val="00FF25E0"/>
    <w:rsid w:val="00FF2AD6"/>
    <w:rsid w:val="00FF2B9B"/>
    <w:rsid w:val="00FF2C1A"/>
    <w:rsid w:val="00FF2C75"/>
    <w:rsid w:val="00FF2E84"/>
    <w:rsid w:val="00FF345B"/>
    <w:rsid w:val="00FF3801"/>
    <w:rsid w:val="00FF390B"/>
    <w:rsid w:val="00FF3A27"/>
    <w:rsid w:val="00FF3AD7"/>
    <w:rsid w:val="00FF3B06"/>
    <w:rsid w:val="00FF3B27"/>
    <w:rsid w:val="00FF3D1C"/>
    <w:rsid w:val="00FF3DC6"/>
    <w:rsid w:val="00FF4118"/>
    <w:rsid w:val="00FF4415"/>
    <w:rsid w:val="00FF4E8D"/>
    <w:rsid w:val="00FF55F1"/>
    <w:rsid w:val="00FF5AF9"/>
    <w:rsid w:val="00FF5CFA"/>
    <w:rsid w:val="00FF5D10"/>
    <w:rsid w:val="00FF5E8E"/>
    <w:rsid w:val="00FF5F6C"/>
    <w:rsid w:val="00FF61DC"/>
    <w:rsid w:val="00FF6366"/>
    <w:rsid w:val="00FF6544"/>
    <w:rsid w:val="00FF66B2"/>
    <w:rsid w:val="00FF68CF"/>
    <w:rsid w:val="00FF693B"/>
    <w:rsid w:val="00FF6D3D"/>
    <w:rsid w:val="00FF70A5"/>
    <w:rsid w:val="00FF791C"/>
    <w:rsid w:val="00FF7A27"/>
    <w:rsid w:val="00FF7C83"/>
    <w:rsid w:val="0127D283"/>
    <w:rsid w:val="013B13A6"/>
    <w:rsid w:val="014A5F58"/>
    <w:rsid w:val="015BDB2C"/>
    <w:rsid w:val="01806D53"/>
    <w:rsid w:val="01BA3834"/>
    <w:rsid w:val="01E2DD15"/>
    <w:rsid w:val="02827779"/>
    <w:rsid w:val="02CACDF7"/>
    <w:rsid w:val="02E1F02B"/>
    <w:rsid w:val="0317C664"/>
    <w:rsid w:val="03563E04"/>
    <w:rsid w:val="03D4A909"/>
    <w:rsid w:val="049CA7D6"/>
    <w:rsid w:val="04D7D1D9"/>
    <w:rsid w:val="04E98C87"/>
    <w:rsid w:val="04FA4059"/>
    <w:rsid w:val="05473CE9"/>
    <w:rsid w:val="0568918F"/>
    <w:rsid w:val="0577FA7E"/>
    <w:rsid w:val="059D3A12"/>
    <w:rsid w:val="063CE49B"/>
    <w:rsid w:val="06CB9929"/>
    <w:rsid w:val="06F1BC1F"/>
    <w:rsid w:val="06F371FC"/>
    <w:rsid w:val="06F467C1"/>
    <w:rsid w:val="072154DA"/>
    <w:rsid w:val="0760DC22"/>
    <w:rsid w:val="07A36E66"/>
    <w:rsid w:val="07B1036A"/>
    <w:rsid w:val="07B59FBB"/>
    <w:rsid w:val="07B7A83B"/>
    <w:rsid w:val="07BE07EE"/>
    <w:rsid w:val="07C00522"/>
    <w:rsid w:val="07CCE564"/>
    <w:rsid w:val="07DAE897"/>
    <w:rsid w:val="07DC5C1B"/>
    <w:rsid w:val="080788CD"/>
    <w:rsid w:val="08316D3C"/>
    <w:rsid w:val="0835632B"/>
    <w:rsid w:val="083CDE6B"/>
    <w:rsid w:val="08C06D3A"/>
    <w:rsid w:val="08DB3507"/>
    <w:rsid w:val="09210D9E"/>
    <w:rsid w:val="0940285B"/>
    <w:rsid w:val="09770739"/>
    <w:rsid w:val="0979672B"/>
    <w:rsid w:val="09BEF997"/>
    <w:rsid w:val="09C150C8"/>
    <w:rsid w:val="09D210B5"/>
    <w:rsid w:val="09DABFC8"/>
    <w:rsid w:val="0A01E522"/>
    <w:rsid w:val="0A3FF814"/>
    <w:rsid w:val="0B20E70A"/>
    <w:rsid w:val="0B6C1688"/>
    <w:rsid w:val="0BD6AFED"/>
    <w:rsid w:val="0C2567E3"/>
    <w:rsid w:val="0C36DEC8"/>
    <w:rsid w:val="0C43877E"/>
    <w:rsid w:val="0C442E8B"/>
    <w:rsid w:val="0C70250A"/>
    <w:rsid w:val="0C88CFFE"/>
    <w:rsid w:val="0C9C6363"/>
    <w:rsid w:val="0CAB83A2"/>
    <w:rsid w:val="0CB25C86"/>
    <w:rsid w:val="0CC1E352"/>
    <w:rsid w:val="0CEAE220"/>
    <w:rsid w:val="0D24AE22"/>
    <w:rsid w:val="0D3AC7E9"/>
    <w:rsid w:val="0D5EB950"/>
    <w:rsid w:val="0D84C1DF"/>
    <w:rsid w:val="0DA41DAB"/>
    <w:rsid w:val="0DC88EF6"/>
    <w:rsid w:val="0DE6426F"/>
    <w:rsid w:val="0DFFFD91"/>
    <w:rsid w:val="0E17D2DB"/>
    <w:rsid w:val="0E18EA60"/>
    <w:rsid w:val="0E1CAF6C"/>
    <w:rsid w:val="0EE057E0"/>
    <w:rsid w:val="0EFBBBD6"/>
    <w:rsid w:val="0F1D3236"/>
    <w:rsid w:val="0F1E56E7"/>
    <w:rsid w:val="0F3F3618"/>
    <w:rsid w:val="0F7ACC87"/>
    <w:rsid w:val="0F839DF4"/>
    <w:rsid w:val="0F9E0CDC"/>
    <w:rsid w:val="10130A8F"/>
    <w:rsid w:val="10617D89"/>
    <w:rsid w:val="106ED0C5"/>
    <w:rsid w:val="107E9D1E"/>
    <w:rsid w:val="10BA691A"/>
    <w:rsid w:val="10C31C62"/>
    <w:rsid w:val="10F52372"/>
    <w:rsid w:val="10FF7CD3"/>
    <w:rsid w:val="111694D9"/>
    <w:rsid w:val="11377EE2"/>
    <w:rsid w:val="11748406"/>
    <w:rsid w:val="11A6A79F"/>
    <w:rsid w:val="11DCB673"/>
    <w:rsid w:val="11DDBE1F"/>
    <w:rsid w:val="11DF977E"/>
    <w:rsid w:val="12471879"/>
    <w:rsid w:val="125BB12D"/>
    <w:rsid w:val="129BEFB2"/>
    <w:rsid w:val="1311E4C7"/>
    <w:rsid w:val="13153D90"/>
    <w:rsid w:val="1355CD88"/>
    <w:rsid w:val="1361F47C"/>
    <w:rsid w:val="13719B50"/>
    <w:rsid w:val="137DD03D"/>
    <w:rsid w:val="138CB1A7"/>
    <w:rsid w:val="13E5742A"/>
    <w:rsid w:val="1407E268"/>
    <w:rsid w:val="142AFCEF"/>
    <w:rsid w:val="146D3E3A"/>
    <w:rsid w:val="14778413"/>
    <w:rsid w:val="14976062"/>
    <w:rsid w:val="14F92EF5"/>
    <w:rsid w:val="15283F57"/>
    <w:rsid w:val="1550BDC7"/>
    <w:rsid w:val="15F209AD"/>
    <w:rsid w:val="15FD0F30"/>
    <w:rsid w:val="16094838"/>
    <w:rsid w:val="16170F31"/>
    <w:rsid w:val="169FD79F"/>
    <w:rsid w:val="1730E450"/>
    <w:rsid w:val="1743DDAE"/>
    <w:rsid w:val="175C7268"/>
    <w:rsid w:val="1765E0A7"/>
    <w:rsid w:val="17793E2B"/>
    <w:rsid w:val="182345C5"/>
    <w:rsid w:val="1834D952"/>
    <w:rsid w:val="18461AB1"/>
    <w:rsid w:val="1853F7FD"/>
    <w:rsid w:val="185F1575"/>
    <w:rsid w:val="18710FE1"/>
    <w:rsid w:val="18D33A4E"/>
    <w:rsid w:val="18D552B3"/>
    <w:rsid w:val="1919432B"/>
    <w:rsid w:val="19737536"/>
    <w:rsid w:val="199291E1"/>
    <w:rsid w:val="19E31FFD"/>
    <w:rsid w:val="19E8EE94"/>
    <w:rsid w:val="1A18938E"/>
    <w:rsid w:val="1A1F01AE"/>
    <w:rsid w:val="1A450F58"/>
    <w:rsid w:val="1A4BED15"/>
    <w:rsid w:val="1A51FDAE"/>
    <w:rsid w:val="1A573236"/>
    <w:rsid w:val="1A81056E"/>
    <w:rsid w:val="1AAC319A"/>
    <w:rsid w:val="1AD32870"/>
    <w:rsid w:val="1B136B79"/>
    <w:rsid w:val="1B2D4DD7"/>
    <w:rsid w:val="1BB01FA2"/>
    <w:rsid w:val="1C7819C1"/>
    <w:rsid w:val="1CE2FC44"/>
    <w:rsid w:val="1CFBA3E1"/>
    <w:rsid w:val="1D29E464"/>
    <w:rsid w:val="1D4A696C"/>
    <w:rsid w:val="1D4D53EB"/>
    <w:rsid w:val="1D736FB9"/>
    <w:rsid w:val="1D744671"/>
    <w:rsid w:val="1DA74FB8"/>
    <w:rsid w:val="1DC9550D"/>
    <w:rsid w:val="1DD2839B"/>
    <w:rsid w:val="1DE698C1"/>
    <w:rsid w:val="1DFFCB37"/>
    <w:rsid w:val="1E594B37"/>
    <w:rsid w:val="1EDD7F67"/>
    <w:rsid w:val="1F00785D"/>
    <w:rsid w:val="1F086671"/>
    <w:rsid w:val="1F4F5509"/>
    <w:rsid w:val="1F61D288"/>
    <w:rsid w:val="1F7036FD"/>
    <w:rsid w:val="1F75C24F"/>
    <w:rsid w:val="1F7FB57D"/>
    <w:rsid w:val="1F821987"/>
    <w:rsid w:val="1FF605EF"/>
    <w:rsid w:val="202C42CF"/>
    <w:rsid w:val="203121D3"/>
    <w:rsid w:val="20355959"/>
    <w:rsid w:val="204B4358"/>
    <w:rsid w:val="20542057"/>
    <w:rsid w:val="207776D7"/>
    <w:rsid w:val="207B7AD1"/>
    <w:rsid w:val="20D19527"/>
    <w:rsid w:val="20FE2696"/>
    <w:rsid w:val="21311A99"/>
    <w:rsid w:val="213C2639"/>
    <w:rsid w:val="213F5BCB"/>
    <w:rsid w:val="2143D926"/>
    <w:rsid w:val="214F6E28"/>
    <w:rsid w:val="21C0A0AD"/>
    <w:rsid w:val="21C91276"/>
    <w:rsid w:val="21EEEF22"/>
    <w:rsid w:val="21F09789"/>
    <w:rsid w:val="223758C3"/>
    <w:rsid w:val="2272502F"/>
    <w:rsid w:val="22B71279"/>
    <w:rsid w:val="232DD888"/>
    <w:rsid w:val="23422962"/>
    <w:rsid w:val="238D24C2"/>
    <w:rsid w:val="2396E0D9"/>
    <w:rsid w:val="23A154E8"/>
    <w:rsid w:val="23B92DA0"/>
    <w:rsid w:val="24540934"/>
    <w:rsid w:val="246CE5A4"/>
    <w:rsid w:val="24977A1E"/>
    <w:rsid w:val="24A0FD51"/>
    <w:rsid w:val="24BFD11E"/>
    <w:rsid w:val="254928FD"/>
    <w:rsid w:val="256E509C"/>
    <w:rsid w:val="260EFEB0"/>
    <w:rsid w:val="265B29E7"/>
    <w:rsid w:val="265F6C46"/>
    <w:rsid w:val="2662158E"/>
    <w:rsid w:val="26797107"/>
    <w:rsid w:val="2680B00E"/>
    <w:rsid w:val="268B9C42"/>
    <w:rsid w:val="269DEFB1"/>
    <w:rsid w:val="26AA7F5F"/>
    <w:rsid w:val="26BEDF5F"/>
    <w:rsid w:val="27237D03"/>
    <w:rsid w:val="2726FE08"/>
    <w:rsid w:val="273C0BB6"/>
    <w:rsid w:val="278A2356"/>
    <w:rsid w:val="280BB74B"/>
    <w:rsid w:val="280C1A49"/>
    <w:rsid w:val="28336E0E"/>
    <w:rsid w:val="286AD945"/>
    <w:rsid w:val="288C8FD5"/>
    <w:rsid w:val="28BA58D0"/>
    <w:rsid w:val="28D73054"/>
    <w:rsid w:val="28F22D21"/>
    <w:rsid w:val="28F3907F"/>
    <w:rsid w:val="290B4F7E"/>
    <w:rsid w:val="2925302E"/>
    <w:rsid w:val="2928A2DC"/>
    <w:rsid w:val="295778A9"/>
    <w:rsid w:val="2976005B"/>
    <w:rsid w:val="298359BD"/>
    <w:rsid w:val="29ACD45F"/>
    <w:rsid w:val="29FAEB0E"/>
    <w:rsid w:val="2A0962ED"/>
    <w:rsid w:val="2A5DB3BC"/>
    <w:rsid w:val="2A8FA534"/>
    <w:rsid w:val="2ABB92C3"/>
    <w:rsid w:val="2ABE8534"/>
    <w:rsid w:val="2B6826A9"/>
    <w:rsid w:val="2B8D4CB4"/>
    <w:rsid w:val="2BCBC907"/>
    <w:rsid w:val="2BE8418E"/>
    <w:rsid w:val="2BE9C977"/>
    <w:rsid w:val="2C01AAEF"/>
    <w:rsid w:val="2C3DA686"/>
    <w:rsid w:val="2C833F33"/>
    <w:rsid w:val="2CD42D36"/>
    <w:rsid w:val="2CEC6EA8"/>
    <w:rsid w:val="2D21C90B"/>
    <w:rsid w:val="2D674953"/>
    <w:rsid w:val="2D86AA65"/>
    <w:rsid w:val="2D9E57E7"/>
    <w:rsid w:val="2DC56CC0"/>
    <w:rsid w:val="2DC872F7"/>
    <w:rsid w:val="2DD3A7D4"/>
    <w:rsid w:val="2E14B6C6"/>
    <w:rsid w:val="2E5BF2AC"/>
    <w:rsid w:val="2EE0B144"/>
    <w:rsid w:val="2EE898B8"/>
    <w:rsid w:val="2F44AA72"/>
    <w:rsid w:val="2F4B888F"/>
    <w:rsid w:val="2F745AA1"/>
    <w:rsid w:val="3020E204"/>
    <w:rsid w:val="3092BE47"/>
    <w:rsid w:val="30981B35"/>
    <w:rsid w:val="30A20654"/>
    <w:rsid w:val="30B0849A"/>
    <w:rsid w:val="30D90BAD"/>
    <w:rsid w:val="30E53415"/>
    <w:rsid w:val="31044AE8"/>
    <w:rsid w:val="311D75FE"/>
    <w:rsid w:val="3171B0A3"/>
    <w:rsid w:val="3194E1A3"/>
    <w:rsid w:val="31B21826"/>
    <w:rsid w:val="322A6054"/>
    <w:rsid w:val="32D73B00"/>
    <w:rsid w:val="3330D521"/>
    <w:rsid w:val="334A7D9E"/>
    <w:rsid w:val="3360259A"/>
    <w:rsid w:val="33B9B49D"/>
    <w:rsid w:val="33BC8EE6"/>
    <w:rsid w:val="33D66CE7"/>
    <w:rsid w:val="3435C485"/>
    <w:rsid w:val="344AA605"/>
    <w:rsid w:val="344B1A47"/>
    <w:rsid w:val="34626606"/>
    <w:rsid w:val="347F7534"/>
    <w:rsid w:val="34D0AFDC"/>
    <w:rsid w:val="34D2FBD0"/>
    <w:rsid w:val="350CC41C"/>
    <w:rsid w:val="351DC8FA"/>
    <w:rsid w:val="353E1D90"/>
    <w:rsid w:val="3577C0DC"/>
    <w:rsid w:val="35BE613C"/>
    <w:rsid w:val="35D37A87"/>
    <w:rsid w:val="35FE9CA9"/>
    <w:rsid w:val="35FFAFCC"/>
    <w:rsid w:val="3624D070"/>
    <w:rsid w:val="36623377"/>
    <w:rsid w:val="3695F443"/>
    <w:rsid w:val="36AA4846"/>
    <w:rsid w:val="36B89F7F"/>
    <w:rsid w:val="36DB5533"/>
    <w:rsid w:val="37678320"/>
    <w:rsid w:val="37F0C90D"/>
    <w:rsid w:val="37F1B2B4"/>
    <w:rsid w:val="3801C038"/>
    <w:rsid w:val="386F1124"/>
    <w:rsid w:val="38966843"/>
    <w:rsid w:val="389E0CA9"/>
    <w:rsid w:val="38D85FD7"/>
    <w:rsid w:val="391058D6"/>
    <w:rsid w:val="391ACD0C"/>
    <w:rsid w:val="39B3B18E"/>
    <w:rsid w:val="39CDE777"/>
    <w:rsid w:val="3A16FAE0"/>
    <w:rsid w:val="3A2FC682"/>
    <w:rsid w:val="3AC18B35"/>
    <w:rsid w:val="3B5E5672"/>
    <w:rsid w:val="3B809802"/>
    <w:rsid w:val="3BBAD762"/>
    <w:rsid w:val="3C33D7A2"/>
    <w:rsid w:val="3C5F1554"/>
    <w:rsid w:val="3C84CB88"/>
    <w:rsid w:val="3CC54D34"/>
    <w:rsid w:val="3CF3E342"/>
    <w:rsid w:val="3D0A1FBB"/>
    <w:rsid w:val="3D243448"/>
    <w:rsid w:val="3D44B8EF"/>
    <w:rsid w:val="3D8174CE"/>
    <w:rsid w:val="3D880FC4"/>
    <w:rsid w:val="3D8968C3"/>
    <w:rsid w:val="3DE820B8"/>
    <w:rsid w:val="3DEEED0F"/>
    <w:rsid w:val="3DF43033"/>
    <w:rsid w:val="3E48377D"/>
    <w:rsid w:val="3E5CCFB8"/>
    <w:rsid w:val="3E9A8BE8"/>
    <w:rsid w:val="3EA7929D"/>
    <w:rsid w:val="3EC10FAB"/>
    <w:rsid w:val="3EC2EC7D"/>
    <w:rsid w:val="3F3E1F9D"/>
    <w:rsid w:val="3F743249"/>
    <w:rsid w:val="3FCF9932"/>
    <w:rsid w:val="3FD62E4F"/>
    <w:rsid w:val="3FDA4D3C"/>
    <w:rsid w:val="3FDA8F80"/>
    <w:rsid w:val="4002959E"/>
    <w:rsid w:val="401C85C5"/>
    <w:rsid w:val="4032471B"/>
    <w:rsid w:val="40C999F1"/>
    <w:rsid w:val="40D2D241"/>
    <w:rsid w:val="40DE26E4"/>
    <w:rsid w:val="4106D747"/>
    <w:rsid w:val="41093009"/>
    <w:rsid w:val="410CF372"/>
    <w:rsid w:val="41682870"/>
    <w:rsid w:val="41A60134"/>
    <w:rsid w:val="41BD20F4"/>
    <w:rsid w:val="41C23116"/>
    <w:rsid w:val="41CCA69B"/>
    <w:rsid w:val="41D4D0D2"/>
    <w:rsid w:val="41DA07AA"/>
    <w:rsid w:val="425AC863"/>
    <w:rsid w:val="42C88F78"/>
    <w:rsid w:val="42CE2D7F"/>
    <w:rsid w:val="42DBE426"/>
    <w:rsid w:val="434D76E2"/>
    <w:rsid w:val="435FBE93"/>
    <w:rsid w:val="43774730"/>
    <w:rsid w:val="43843E11"/>
    <w:rsid w:val="43BCDFED"/>
    <w:rsid w:val="43C31042"/>
    <w:rsid w:val="443A34F1"/>
    <w:rsid w:val="44605C07"/>
    <w:rsid w:val="4485BCB0"/>
    <w:rsid w:val="4518EA32"/>
    <w:rsid w:val="451BD963"/>
    <w:rsid w:val="45CDE328"/>
    <w:rsid w:val="45CE2C3F"/>
    <w:rsid w:val="45EA443E"/>
    <w:rsid w:val="4622563B"/>
    <w:rsid w:val="46AC1212"/>
    <w:rsid w:val="46BC2A23"/>
    <w:rsid w:val="46BE8B9B"/>
    <w:rsid w:val="46C36EE7"/>
    <w:rsid w:val="46D2D48E"/>
    <w:rsid w:val="47CCCB1C"/>
    <w:rsid w:val="47ED3792"/>
    <w:rsid w:val="47FD6ECD"/>
    <w:rsid w:val="481B8124"/>
    <w:rsid w:val="48375E13"/>
    <w:rsid w:val="4845C262"/>
    <w:rsid w:val="48875B3F"/>
    <w:rsid w:val="490F0A1B"/>
    <w:rsid w:val="491B69E9"/>
    <w:rsid w:val="49977628"/>
    <w:rsid w:val="499D2511"/>
    <w:rsid w:val="49B90C7B"/>
    <w:rsid w:val="49E7758E"/>
    <w:rsid w:val="49F3D5F9"/>
    <w:rsid w:val="49F95165"/>
    <w:rsid w:val="4A009187"/>
    <w:rsid w:val="4A3640DC"/>
    <w:rsid w:val="4A6821BF"/>
    <w:rsid w:val="4A6D0312"/>
    <w:rsid w:val="4AB4AD59"/>
    <w:rsid w:val="4AC43CA8"/>
    <w:rsid w:val="4AE5C017"/>
    <w:rsid w:val="4AFE8E09"/>
    <w:rsid w:val="4B0F14BD"/>
    <w:rsid w:val="4B196555"/>
    <w:rsid w:val="4B36FBC4"/>
    <w:rsid w:val="4B48D7D6"/>
    <w:rsid w:val="4B5DBC30"/>
    <w:rsid w:val="4B842764"/>
    <w:rsid w:val="4BADCD34"/>
    <w:rsid w:val="4BE633B6"/>
    <w:rsid w:val="4BEE6E56"/>
    <w:rsid w:val="4BEFE565"/>
    <w:rsid w:val="4C4C1DE1"/>
    <w:rsid w:val="4C6C198E"/>
    <w:rsid w:val="4CB55C1E"/>
    <w:rsid w:val="4CD11BC1"/>
    <w:rsid w:val="4CD41844"/>
    <w:rsid w:val="4CF682E2"/>
    <w:rsid w:val="4D3E1F29"/>
    <w:rsid w:val="4D71B7FF"/>
    <w:rsid w:val="4E464552"/>
    <w:rsid w:val="4E5B3E03"/>
    <w:rsid w:val="4E9B8440"/>
    <w:rsid w:val="4EA1F52A"/>
    <w:rsid w:val="4EA2A0B1"/>
    <w:rsid w:val="4EC5376B"/>
    <w:rsid w:val="4ECB1EAA"/>
    <w:rsid w:val="4EE59DD5"/>
    <w:rsid w:val="4F5FCCDC"/>
    <w:rsid w:val="4F9160DC"/>
    <w:rsid w:val="4FC13027"/>
    <w:rsid w:val="4FC5ACF4"/>
    <w:rsid w:val="4FC7A140"/>
    <w:rsid w:val="4FD684F9"/>
    <w:rsid w:val="50239238"/>
    <w:rsid w:val="502BF890"/>
    <w:rsid w:val="50FFB226"/>
    <w:rsid w:val="51132E74"/>
    <w:rsid w:val="512C3F9B"/>
    <w:rsid w:val="519019B4"/>
    <w:rsid w:val="51B14FD2"/>
    <w:rsid w:val="51BA37FF"/>
    <w:rsid w:val="52025DAF"/>
    <w:rsid w:val="520A26B5"/>
    <w:rsid w:val="5284FEF3"/>
    <w:rsid w:val="529C804C"/>
    <w:rsid w:val="52F312A3"/>
    <w:rsid w:val="53FC3E84"/>
    <w:rsid w:val="5414F88A"/>
    <w:rsid w:val="5427186F"/>
    <w:rsid w:val="544E70C6"/>
    <w:rsid w:val="54840CC4"/>
    <w:rsid w:val="54BD4576"/>
    <w:rsid w:val="54ED9E21"/>
    <w:rsid w:val="5504BBA3"/>
    <w:rsid w:val="553FF8F0"/>
    <w:rsid w:val="55418E4D"/>
    <w:rsid w:val="554496EC"/>
    <w:rsid w:val="555EF158"/>
    <w:rsid w:val="55B7D231"/>
    <w:rsid w:val="55C502D2"/>
    <w:rsid w:val="55C9849D"/>
    <w:rsid w:val="55E37DBC"/>
    <w:rsid w:val="55EC9675"/>
    <w:rsid w:val="55F44A71"/>
    <w:rsid w:val="55F576C8"/>
    <w:rsid w:val="56744854"/>
    <w:rsid w:val="567786A2"/>
    <w:rsid w:val="5686DF97"/>
    <w:rsid w:val="56E6F2F8"/>
    <w:rsid w:val="56FC5FC5"/>
    <w:rsid w:val="572F9993"/>
    <w:rsid w:val="573655AC"/>
    <w:rsid w:val="573A9A70"/>
    <w:rsid w:val="57580680"/>
    <w:rsid w:val="57DCABB1"/>
    <w:rsid w:val="585B2F5A"/>
    <w:rsid w:val="58A81BA2"/>
    <w:rsid w:val="58B24A2C"/>
    <w:rsid w:val="58B428B1"/>
    <w:rsid w:val="58C2F4E3"/>
    <w:rsid w:val="58CDBCFE"/>
    <w:rsid w:val="58D7EE34"/>
    <w:rsid w:val="590172F1"/>
    <w:rsid w:val="590F501B"/>
    <w:rsid w:val="5928EA27"/>
    <w:rsid w:val="592D5427"/>
    <w:rsid w:val="595F1E12"/>
    <w:rsid w:val="5961CA58"/>
    <w:rsid w:val="5988FE14"/>
    <w:rsid w:val="59BFD732"/>
    <w:rsid w:val="5A0EE0D6"/>
    <w:rsid w:val="5A34DA0C"/>
    <w:rsid w:val="5A78FCDE"/>
    <w:rsid w:val="5A979840"/>
    <w:rsid w:val="5A9ECD1A"/>
    <w:rsid w:val="5ABD6E2E"/>
    <w:rsid w:val="5AC44808"/>
    <w:rsid w:val="5B112641"/>
    <w:rsid w:val="5B4947AB"/>
    <w:rsid w:val="5B4F1A8C"/>
    <w:rsid w:val="5B6094FC"/>
    <w:rsid w:val="5B914608"/>
    <w:rsid w:val="5B9987C0"/>
    <w:rsid w:val="5C0F482D"/>
    <w:rsid w:val="5C1F37ED"/>
    <w:rsid w:val="5C7EDDBB"/>
    <w:rsid w:val="5C891B21"/>
    <w:rsid w:val="5C9AC8EF"/>
    <w:rsid w:val="5CB71352"/>
    <w:rsid w:val="5CF59FE0"/>
    <w:rsid w:val="5D26FB4B"/>
    <w:rsid w:val="5D286F06"/>
    <w:rsid w:val="5D7697F3"/>
    <w:rsid w:val="5E11C1F6"/>
    <w:rsid w:val="5E20CA85"/>
    <w:rsid w:val="5E2ED1E0"/>
    <w:rsid w:val="5F0738D3"/>
    <w:rsid w:val="5F27A863"/>
    <w:rsid w:val="5FA0B81E"/>
    <w:rsid w:val="5FD326BC"/>
    <w:rsid w:val="5FDEA430"/>
    <w:rsid w:val="5FE00750"/>
    <w:rsid w:val="6102189D"/>
    <w:rsid w:val="611FCF61"/>
    <w:rsid w:val="613F4B60"/>
    <w:rsid w:val="614BDCE4"/>
    <w:rsid w:val="6155CFF9"/>
    <w:rsid w:val="6162A599"/>
    <w:rsid w:val="616666FC"/>
    <w:rsid w:val="6179AC09"/>
    <w:rsid w:val="61813A14"/>
    <w:rsid w:val="61A8EB06"/>
    <w:rsid w:val="62021826"/>
    <w:rsid w:val="62BA5497"/>
    <w:rsid w:val="62CA03DA"/>
    <w:rsid w:val="62EE5A5E"/>
    <w:rsid w:val="630CA4D9"/>
    <w:rsid w:val="630F3668"/>
    <w:rsid w:val="6338D8F2"/>
    <w:rsid w:val="6361369A"/>
    <w:rsid w:val="6386E2DE"/>
    <w:rsid w:val="63AFAD31"/>
    <w:rsid w:val="63E3913F"/>
    <w:rsid w:val="643F9B64"/>
    <w:rsid w:val="64768FC5"/>
    <w:rsid w:val="6487BFCB"/>
    <w:rsid w:val="6488BAAB"/>
    <w:rsid w:val="649BACF4"/>
    <w:rsid w:val="64A95FC2"/>
    <w:rsid w:val="64D8EE6E"/>
    <w:rsid w:val="650C56FF"/>
    <w:rsid w:val="651AF27A"/>
    <w:rsid w:val="653178ED"/>
    <w:rsid w:val="654B8B7F"/>
    <w:rsid w:val="654DA8EE"/>
    <w:rsid w:val="65604F6E"/>
    <w:rsid w:val="6575DB27"/>
    <w:rsid w:val="65EB7F9D"/>
    <w:rsid w:val="662FEFF5"/>
    <w:rsid w:val="665D2CDD"/>
    <w:rsid w:val="666156CF"/>
    <w:rsid w:val="66906B3B"/>
    <w:rsid w:val="66D65BDA"/>
    <w:rsid w:val="66D925A6"/>
    <w:rsid w:val="66F8A352"/>
    <w:rsid w:val="67246294"/>
    <w:rsid w:val="67368699"/>
    <w:rsid w:val="67E65D4F"/>
    <w:rsid w:val="67F489E1"/>
    <w:rsid w:val="68275743"/>
    <w:rsid w:val="684E3853"/>
    <w:rsid w:val="688215D3"/>
    <w:rsid w:val="688FCEFE"/>
    <w:rsid w:val="691C1EAE"/>
    <w:rsid w:val="6942B622"/>
    <w:rsid w:val="694959D8"/>
    <w:rsid w:val="6974F798"/>
    <w:rsid w:val="69E32CDD"/>
    <w:rsid w:val="6A22CA6F"/>
    <w:rsid w:val="6A620CB7"/>
    <w:rsid w:val="6A7F4EDE"/>
    <w:rsid w:val="6A9F7DA1"/>
    <w:rsid w:val="6ACCE9EE"/>
    <w:rsid w:val="6AF6B706"/>
    <w:rsid w:val="6AF91DAD"/>
    <w:rsid w:val="6B7D9CDA"/>
    <w:rsid w:val="6BA29586"/>
    <w:rsid w:val="6BAD0A75"/>
    <w:rsid w:val="6BBB0C6D"/>
    <w:rsid w:val="6BF9DE34"/>
    <w:rsid w:val="6C2B35AC"/>
    <w:rsid w:val="6C2D1352"/>
    <w:rsid w:val="6C6E6AA7"/>
    <w:rsid w:val="6CA020B6"/>
    <w:rsid w:val="6CA9AAAF"/>
    <w:rsid w:val="6CB77E07"/>
    <w:rsid w:val="6CB9660B"/>
    <w:rsid w:val="6CFD7BC9"/>
    <w:rsid w:val="6D16C1FC"/>
    <w:rsid w:val="6D1F7456"/>
    <w:rsid w:val="6E041C46"/>
    <w:rsid w:val="6E0ACE4A"/>
    <w:rsid w:val="6E2BA3C3"/>
    <w:rsid w:val="6E32C858"/>
    <w:rsid w:val="6E3D5131"/>
    <w:rsid w:val="6E411EB8"/>
    <w:rsid w:val="6E4EC605"/>
    <w:rsid w:val="6E85804B"/>
    <w:rsid w:val="6F1325BC"/>
    <w:rsid w:val="6F244763"/>
    <w:rsid w:val="6F4BBDC0"/>
    <w:rsid w:val="6F758802"/>
    <w:rsid w:val="6F780F2A"/>
    <w:rsid w:val="6F7B1F69"/>
    <w:rsid w:val="6F8130F6"/>
    <w:rsid w:val="6F9EAB30"/>
    <w:rsid w:val="6FE4644C"/>
    <w:rsid w:val="700CA03D"/>
    <w:rsid w:val="7027C24C"/>
    <w:rsid w:val="704394CB"/>
    <w:rsid w:val="70A14E50"/>
    <w:rsid w:val="70A9C926"/>
    <w:rsid w:val="70C4E457"/>
    <w:rsid w:val="70CAF141"/>
    <w:rsid w:val="70F7AD62"/>
    <w:rsid w:val="7102A487"/>
    <w:rsid w:val="7102A804"/>
    <w:rsid w:val="71082339"/>
    <w:rsid w:val="7134931E"/>
    <w:rsid w:val="716688C4"/>
    <w:rsid w:val="717B25AA"/>
    <w:rsid w:val="71A2DA3B"/>
    <w:rsid w:val="71B1E595"/>
    <w:rsid w:val="71C923CD"/>
    <w:rsid w:val="71FD2E42"/>
    <w:rsid w:val="7209AF31"/>
    <w:rsid w:val="722D4E3C"/>
    <w:rsid w:val="7232554C"/>
    <w:rsid w:val="72B99A4C"/>
    <w:rsid w:val="730737DF"/>
    <w:rsid w:val="7329EC32"/>
    <w:rsid w:val="732AED24"/>
    <w:rsid w:val="735F219F"/>
    <w:rsid w:val="7394426A"/>
    <w:rsid w:val="73CCD620"/>
    <w:rsid w:val="7486ED2A"/>
    <w:rsid w:val="74C14929"/>
    <w:rsid w:val="75141A24"/>
    <w:rsid w:val="753E97A0"/>
    <w:rsid w:val="754184B9"/>
    <w:rsid w:val="75A657C8"/>
    <w:rsid w:val="75BBE8A1"/>
    <w:rsid w:val="75C1C381"/>
    <w:rsid w:val="76321DDD"/>
    <w:rsid w:val="763950B6"/>
    <w:rsid w:val="76893CAA"/>
    <w:rsid w:val="7728E90C"/>
    <w:rsid w:val="774D448D"/>
    <w:rsid w:val="777CF90A"/>
    <w:rsid w:val="77997E7F"/>
    <w:rsid w:val="779F6DE9"/>
    <w:rsid w:val="78135CBE"/>
    <w:rsid w:val="78852D9B"/>
    <w:rsid w:val="789CD101"/>
    <w:rsid w:val="78C7B170"/>
    <w:rsid w:val="7904587D"/>
    <w:rsid w:val="793D545C"/>
    <w:rsid w:val="7944D18D"/>
    <w:rsid w:val="798D119E"/>
    <w:rsid w:val="7996526F"/>
    <w:rsid w:val="79F3C7F6"/>
    <w:rsid w:val="7A194979"/>
    <w:rsid w:val="7A58AA83"/>
    <w:rsid w:val="7A683DD1"/>
    <w:rsid w:val="7A6B19C9"/>
    <w:rsid w:val="7A93C647"/>
    <w:rsid w:val="7AC44FF2"/>
    <w:rsid w:val="7B174109"/>
    <w:rsid w:val="7B654CF5"/>
    <w:rsid w:val="7BCA2AB7"/>
    <w:rsid w:val="7BFF1F90"/>
    <w:rsid w:val="7C1A9171"/>
    <w:rsid w:val="7C6CDE8D"/>
    <w:rsid w:val="7C88D4E7"/>
    <w:rsid w:val="7CA513E7"/>
    <w:rsid w:val="7CBA236A"/>
    <w:rsid w:val="7CC0DF35"/>
    <w:rsid w:val="7D7ED214"/>
    <w:rsid w:val="7D836DE8"/>
    <w:rsid w:val="7D955053"/>
    <w:rsid w:val="7DFB24C5"/>
    <w:rsid w:val="7E168B54"/>
    <w:rsid w:val="7E36B8AA"/>
    <w:rsid w:val="7E5CA95F"/>
    <w:rsid w:val="7E5EBE51"/>
    <w:rsid w:val="7ED011D9"/>
    <w:rsid w:val="7F11BB30"/>
    <w:rsid w:val="7F39CC2D"/>
    <w:rsid w:val="7F54B4A9"/>
    <w:rsid w:val="7F805001"/>
    <w:rsid w:val="7FD9E218"/>
    <w:rsid w:val="7FF40E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2B8C0"/>
  <w15:docId w15:val="{02E4E03A-1B1E-44E6-B79F-E8E637B6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lsdException w:name="toc 4" w:semiHidden="1" w:uiPriority="1"/>
    <w:lsdException w:name="toc 5" w:semiHidden="1" w:uiPriority="1"/>
    <w:lsdException w:name="toc 6" w:semiHidden="1" w:uiPriority="1"/>
    <w:lsdException w:name="toc 7" w:semiHidden="1" w:uiPriority="1"/>
    <w:lsdException w:name="toc 8" w:semiHidden="1" w:uiPriority="1"/>
    <w:lsdException w:name="toc 9" w:semiHidden="1" w:uiPriority="1"/>
    <w:lsdException w:name="Normal Indent" w:semiHidden="1" w:uiPriority="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1" w:unhideWhenUsed="1"/>
    <w:lsdException w:name="macro" w:semiHidden="1" w:unhideWhenUsed="1"/>
    <w:lsdException w:name="toa heading" w:semiHidden="1" w:uiPriority="1" w:unhideWhenUsed="1"/>
    <w:lsdException w:name="List" w:semiHidden="1" w:unhideWhenUsed="1"/>
    <w:lsdException w:name="List Bullet" w:semiHidden="1" w:uiPriority="5" w:unhideWhenUsed="1" w:qFormat="1"/>
    <w:lsdException w:name="List Number" w:uiPriority="5" w:qFormat="1"/>
    <w:lsdException w:name="List 2" w:semiHidden="1" w:unhideWhenUsed="1"/>
    <w:lsdException w:name="List 3" w:semiHidden="1" w:unhideWhenUsed="1"/>
    <w:lsdException w:name="List 4" w:semiHidden="1"/>
    <w:lsdException w:name="List 5" w:semiHidden="1"/>
    <w:lsdException w:name="List Bullet 2" w:semiHidden="1" w:uiPriority="5" w:unhideWhenUsed="1" w:qFormat="1"/>
    <w:lsdException w:name="List Bullet 3" w:semiHidden="1" w:uiPriority="5" w:unhideWhenUsed="1" w:qFormat="1"/>
    <w:lsdException w:name="List Bullet 4" w:semiHidden="1" w:uiPriority="5" w:unhideWhenUsed="1"/>
    <w:lsdException w:name="List Bullet 5" w:semiHidden="1" w:uiPriority="5" w:unhideWhenUsed="1"/>
    <w:lsdException w:name="List Number 2" w:semiHidden="1" w:unhideWhenUsed="1" w:qFormat="1"/>
    <w:lsdException w:name="List Number 3" w:semiHidden="1" w:uiPriority="5" w:unhideWhenUsed="1" w:qFormat="1"/>
    <w:lsdException w:name="List Number 4" w:semiHidden="1" w:uiPriority="5" w:unhideWhenUsed="1"/>
    <w:lsdException w:name="List Number 5" w:semiHidden="1" w:uiPriority="5" w:unhideWhenUsed="1"/>
    <w:lsdException w:name="Title" w:uiPriority="10" w:qFormat="1"/>
    <w:lsdException w:name="Closing" w:semiHidden="1" w:unhideWhenUsed="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1"/>
    <w:lsdException w:name="Salutation" w:semiHidden="1" w:uiPriority="1"/>
    <w:lsdException w:name="Date" w:uiPriority="42"/>
    <w:lsdException w:name="Body Text First Indent" w:semiHidden="1"/>
    <w:lsdException w:name="Body Text First Indent 2" w:semiHidden="1" w:unhideWhenUsed="1"/>
    <w:lsdException w:name="Note Heading" w:semiHidden="1" w:uiPriority="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1"/>
    <w:lsdException w:name="Document Map" w:semiHidden="1" w:unhideWhenUsed="1"/>
    <w:lsdException w:name="Plain Text" w:semiHidden="1" w:uiPriority="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F38"/>
    <w:pPr>
      <w:spacing w:after="160" w:line="280" w:lineRule="atLeast"/>
    </w:pPr>
    <w:rPr>
      <w:rFonts w:asciiTheme="minorHAnsi" w:hAnsiTheme="minorHAnsi"/>
      <w:szCs w:val="24"/>
    </w:rPr>
  </w:style>
  <w:style w:type="paragraph" w:styleId="Heading1">
    <w:name w:val="heading 1"/>
    <w:basedOn w:val="Normal"/>
    <w:next w:val="Normal"/>
    <w:link w:val="Heading1Char"/>
    <w:uiPriority w:val="9"/>
    <w:qFormat/>
    <w:rsid w:val="00FB150A"/>
    <w:pPr>
      <w:keepNext/>
      <w:keepLines/>
      <w:pBdr>
        <w:bottom w:val="single" w:sz="24" w:space="21" w:color="20B8A3" w:themeColor="background2"/>
      </w:pBdr>
      <w:spacing w:after="480" w:line="216" w:lineRule="auto"/>
      <w:contextualSpacing/>
      <w:outlineLvl w:val="0"/>
    </w:pPr>
    <w:rPr>
      <w:rFonts w:ascii="Helvetica" w:hAnsi="Helvetica"/>
      <w:b/>
      <w:sz w:val="72"/>
      <w:szCs w:val="44"/>
    </w:rPr>
  </w:style>
  <w:style w:type="paragraph" w:styleId="Heading2">
    <w:name w:val="heading 2"/>
    <w:basedOn w:val="Heading1"/>
    <w:next w:val="Normal"/>
    <w:link w:val="Heading2Char"/>
    <w:uiPriority w:val="9"/>
    <w:qFormat/>
    <w:rsid w:val="007519BC"/>
    <w:pPr>
      <w:pBdr>
        <w:bottom w:val="none" w:sz="0" w:space="0" w:color="auto"/>
      </w:pBdr>
      <w:spacing w:before="300" w:after="120" w:line="240" w:lineRule="atLeast"/>
      <w:outlineLvl w:val="1"/>
    </w:pPr>
    <w:rPr>
      <w:color w:val="14837A" w:themeColor="accent1"/>
      <w:sz w:val="40"/>
    </w:rPr>
  </w:style>
  <w:style w:type="paragraph" w:styleId="Heading3">
    <w:name w:val="heading 3"/>
    <w:basedOn w:val="WhiteHeading2"/>
    <w:next w:val="Normal"/>
    <w:link w:val="Heading3Char"/>
    <w:uiPriority w:val="9"/>
    <w:qFormat/>
    <w:rsid w:val="00935455"/>
    <w:pPr>
      <w:spacing w:before="180" w:line="280" w:lineRule="atLeast"/>
      <w:outlineLvl w:val="2"/>
    </w:pPr>
    <w:rPr>
      <w:color w:val="14837A" w:themeColor="accent1"/>
      <w:sz w:val="28"/>
    </w:rPr>
  </w:style>
  <w:style w:type="paragraph" w:styleId="Heading4">
    <w:name w:val="heading 4"/>
    <w:basedOn w:val="Normal"/>
    <w:next w:val="Normal"/>
    <w:link w:val="Heading4Char"/>
    <w:uiPriority w:val="9"/>
    <w:qFormat/>
    <w:rsid w:val="006B23BD"/>
    <w:pPr>
      <w:keepNext/>
      <w:keepLines/>
      <w:spacing w:before="180" w:after="120"/>
      <w:outlineLvl w:val="3"/>
    </w:pPr>
    <w:rPr>
      <w:rFonts w:ascii="Helvetica" w:hAnsi="Helvetica"/>
      <w:color w:val="14837A" w:themeColor="accent1"/>
      <w:sz w:val="24"/>
    </w:rPr>
  </w:style>
  <w:style w:type="paragraph" w:styleId="Heading5">
    <w:name w:val="heading 5"/>
    <w:basedOn w:val="Normal"/>
    <w:next w:val="Normal"/>
    <w:link w:val="Heading5Char"/>
    <w:uiPriority w:val="99"/>
    <w:semiHidden/>
    <w:qFormat/>
    <w:rsid w:val="004351B5"/>
    <w:pPr>
      <w:keepNext/>
      <w:spacing w:before="240" w:after="40"/>
      <w:contextualSpacing/>
      <w:outlineLvl w:val="4"/>
    </w:pPr>
    <w:rPr>
      <w:b/>
      <w:color w:val="20B8A3" w:themeColor="background2"/>
      <w:szCs w:val="22"/>
    </w:rPr>
  </w:style>
  <w:style w:type="paragraph" w:styleId="Heading6">
    <w:name w:val="heading 6"/>
    <w:basedOn w:val="Normal"/>
    <w:next w:val="Normal"/>
    <w:link w:val="Heading6Char"/>
    <w:uiPriority w:val="99"/>
    <w:semiHidden/>
    <w:rsid w:val="009F06C4"/>
    <w:pPr>
      <w:keepNext/>
      <w:numPr>
        <w:ilvl w:val="5"/>
        <w:numId w:val="4"/>
      </w:numPr>
      <w:spacing w:before="240"/>
      <w:contextualSpacing/>
      <w:outlineLvl w:val="5"/>
    </w:pPr>
    <w:rPr>
      <w:b/>
      <w:szCs w:val="22"/>
    </w:rPr>
  </w:style>
  <w:style w:type="paragraph" w:styleId="Heading7">
    <w:name w:val="heading 7"/>
    <w:basedOn w:val="Normal"/>
    <w:next w:val="Normal"/>
    <w:link w:val="Heading7Char"/>
    <w:uiPriority w:val="99"/>
    <w:semiHidden/>
    <w:unhideWhenUsed/>
    <w:qFormat/>
    <w:rsid w:val="009F06C4"/>
    <w:pPr>
      <w:keepNext/>
      <w:keepLines/>
      <w:numPr>
        <w:ilvl w:val="6"/>
        <w:numId w:val="4"/>
      </w:numPr>
      <w:spacing w:before="40" w:after="0"/>
      <w:outlineLvl w:val="6"/>
    </w:pPr>
    <w:rPr>
      <w:rFonts w:asciiTheme="majorHAnsi" w:eastAsiaTheme="majorEastAsia" w:hAnsiTheme="majorHAnsi" w:cstheme="majorBidi"/>
      <w:i/>
      <w:iCs/>
      <w:color w:val="0A413C" w:themeColor="accent1" w:themeShade="7F"/>
    </w:rPr>
  </w:style>
  <w:style w:type="paragraph" w:styleId="Heading8">
    <w:name w:val="heading 8"/>
    <w:basedOn w:val="Normal"/>
    <w:next w:val="Normal"/>
    <w:link w:val="Heading8Char"/>
    <w:uiPriority w:val="99"/>
    <w:semiHidden/>
    <w:unhideWhenUsed/>
    <w:qFormat/>
    <w:rsid w:val="009F06C4"/>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9F06C4"/>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rsid w:val="00D91DE4"/>
    <w:pPr>
      <w:tabs>
        <w:tab w:val="right" w:pos="10319"/>
      </w:tabs>
      <w:spacing w:after="0" w:line="240" w:lineRule="auto"/>
    </w:pPr>
    <w:rPr>
      <w:sz w:val="14"/>
    </w:rPr>
  </w:style>
  <w:style w:type="paragraph" w:styleId="Title">
    <w:name w:val="Title"/>
    <w:aliases w:val="Small Title,Small TitleCxSpLast"/>
    <w:basedOn w:val="Normal"/>
    <w:link w:val="TitleChar"/>
    <w:uiPriority w:val="10"/>
    <w:qFormat/>
    <w:rsid w:val="009C705A"/>
    <w:pPr>
      <w:spacing w:after="360" w:line="240" w:lineRule="auto"/>
      <w:contextualSpacing/>
      <w:outlineLvl w:val="0"/>
    </w:pPr>
    <w:rPr>
      <w:rFonts w:asciiTheme="majorHAnsi" w:hAnsiTheme="majorHAnsi" w:cs="Arial"/>
      <w:b/>
      <w:bCs/>
      <w:kern w:val="28"/>
      <w:sz w:val="70"/>
      <w:szCs w:val="32"/>
    </w:rPr>
  </w:style>
  <w:style w:type="paragraph" w:styleId="ListBullet">
    <w:name w:val="List Bullet"/>
    <w:basedOn w:val="ListParagraph"/>
    <w:uiPriority w:val="1"/>
    <w:qFormat/>
    <w:rsid w:val="009127C1"/>
    <w:pPr>
      <w:numPr>
        <w:numId w:val="7"/>
      </w:numPr>
      <w:ind w:left="357" w:hanging="357"/>
      <w:contextualSpacing/>
    </w:pPr>
  </w:style>
  <w:style w:type="paragraph" w:styleId="Footer">
    <w:name w:val="footer"/>
    <w:basedOn w:val="Header"/>
    <w:uiPriority w:val="99"/>
    <w:rsid w:val="00650E2C"/>
    <w:pPr>
      <w:pBdr>
        <w:bottom w:val="single" w:sz="24" w:space="12" w:color="14837A" w:themeColor="accent1"/>
      </w:pBdr>
      <w:tabs>
        <w:tab w:val="clear" w:pos="10319"/>
        <w:tab w:val="right" w:pos="9940"/>
      </w:tabs>
      <w:ind w:right="-1661"/>
    </w:pPr>
  </w:style>
  <w:style w:type="character" w:styleId="Hyperlink">
    <w:name w:val="Hyperlink"/>
    <w:basedOn w:val="DefaultParagraphFont"/>
    <w:uiPriority w:val="99"/>
    <w:rsid w:val="00711C1A"/>
    <w:rPr>
      <w:color w:val="14837A" w:themeColor="accent1"/>
      <w:u w:val="single"/>
    </w:rPr>
  </w:style>
  <w:style w:type="character" w:customStyle="1" w:styleId="Heading5Char">
    <w:name w:val="Heading 5 Char"/>
    <w:basedOn w:val="DefaultParagraphFont"/>
    <w:link w:val="Heading5"/>
    <w:uiPriority w:val="99"/>
    <w:semiHidden/>
    <w:rsid w:val="004351B5"/>
    <w:rPr>
      <w:rFonts w:asciiTheme="minorHAnsi" w:hAnsiTheme="minorHAnsi"/>
      <w:b/>
      <w:color w:val="20B8A3" w:themeColor="background2"/>
      <w:szCs w:val="22"/>
    </w:rPr>
  </w:style>
  <w:style w:type="table" w:styleId="TableGrid">
    <w:name w:val="Table Grid"/>
    <w:basedOn w:val="TableNormal"/>
    <w:rsid w:val="00142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BC57FE"/>
    <w:pPr>
      <w:spacing w:after="0" w:line="240" w:lineRule="auto"/>
    </w:pPr>
    <w:rPr>
      <w:sz w:val="18"/>
      <w:szCs w:val="20"/>
    </w:rPr>
  </w:style>
  <w:style w:type="character" w:customStyle="1" w:styleId="FootnoteTextChar">
    <w:name w:val="Footnote Text Char"/>
    <w:basedOn w:val="DefaultParagraphFont"/>
    <w:link w:val="FootnoteText"/>
    <w:uiPriority w:val="99"/>
    <w:rsid w:val="00BC57FE"/>
    <w:rPr>
      <w:rFonts w:ascii="Arial" w:hAnsi="Arial"/>
      <w:sz w:val="18"/>
    </w:rPr>
  </w:style>
  <w:style w:type="character" w:styleId="FootnoteReference">
    <w:name w:val="footnote reference"/>
    <w:basedOn w:val="DefaultParagraphFont"/>
    <w:uiPriority w:val="99"/>
    <w:rsid w:val="00843390"/>
    <w:rPr>
      <w:vertAlign w:val="superscript"/>
    </w:rPr>
  </w:style>
  <w:style w:type="paragraph" w:styleId="ListParagraph">
    <w:name w:val="List Paragraph"/>
    <w:basedOn w:val="Normal"/>
    <w:uiPriority w:val="34"/>
    <w:qFormat/>
    <w:rsid w:val="00010D84"/>
    <w:pPr>
      <w:ind w:left="720"/>
    </w:pPr>
  </w:style>
  <w:style w:type="character" w:customStyle="1" w:styleId="Heading2Char">
    <w:name w:val="Heading 2 Char"/>
    <w:basedOn w:val="DefaultParagraphFont"/>
    <w:link w:val="Heading2"/>
    <w:uiPriority w:val="9"/>
    <w:rsid w:val="007519BC"/>
    <w:rPr>
      <w:rFonts w:ascii="Helvetica" w:hAnsi="Helvetica"/>
      <w:b/>
      <w:color w:val="14837A" w:themeColor="accent1"/>
      <w:sz w:val="40"/>
      <w:szCs w:val="44"/>
    </w:rPr>
  </w:style>
  <w:style w:type="paragraph" w:styleId="TOC1">
    <w:name w:val="toc 1"/>
    <w:basedOn w:val="Normal"/>
    <w:next w:val="Normal"/>
    <w:autoRedefine/>
    <w:uiPriority w:val="39"/>
    <w:qFormat/>
    <w:rsid w:val="0042356E"/>
    <w:pPr>
      <w:pBdr>
        <w:top w:val="single" w:sz="24" w:space="6" w:color="20B8A3" w:themeColor="background2"/>
        <w:between w:val="single" w:sz="24" w:space="6" w:color="20B8A3" w:themeColor="background2"/>
      </w:pBdr>
      <w:tabs>
        <w:tab w:val="right" w:pos="6577"/>
      </w:tabs>
      <w:spacing w:before="240" w:line="240" w:lineRule="auto"/>
      <w:ind w:right="1758"/>
    </w:pPr>
    <w:rPr>
      <w:rFonts w:ascii="Helvetica" w:hAnsi="Helvetica"/>
      <w:b/>
      <w:noProof/>
      <w:color w:val="FEFEFE"/>
      <w:sz w:val="28"/>
    </w:rPr>
  </w:style>
  <w:style w:type="paragraph" w:styleId="TOC2">
    <w:name w:val="toc 2"/>
    <w:basedOn w:val="TOC1"/>
    <w:next w:val="Normal"/>
    <w:autoRedefine/>
    <w:uiPriority w:val="39"/>
    <w:rsid w:val="00682E60"/>
  </w:style>
  <w:style w:type="paragraph" w:customStyle="1" w:styleId="TableTextLeftAligned">
    <w:name w:val="Table Text Left Aligned"/>
    <w:basedOn w:val="Normal"/>
    <w:link w:val="TableTextLeftAlignedChar"/>
    <w:uiPriority w:val="49"/>
    <w:qFormat/>
    <w:rsid w:val="00DB5773"/>
    <w:pPr>
      <w:spacing w:after="80" w:line="240" w:lineRule="auto"/>
    </w:pPr>
  </w:style>
  <w:style w:type="character" w:styleId="Emphasis">
    <w:name w:val="Emphasis"/>
    <w:basedOn w:val="DefaultParagraphFont"/>
    <w:uiPriority w:val="2"/>
    <w:rsid w:val="00D92300"/>
    <w:rPr>
      <w:i/>
      <w:iCs/>
    </w:rPr>
  </w:style>
  <w:style w:type="character" w:customStyle="1" w:styleId="Heading6Char">
    <w:name w:val="Heading 6 Char"/>
    <w:basedOn w:val="DefaultParagraphFont"/>
    <w:link w:val="Heading6"/>
    <w:uiPriority w:val="99"/>
    <w:semiHidden/>
    <w:rsid w:val="00160B66"/>
    <w:rPr>
      <w:rFonts w:asciiTheme="minorHAnsi" w:hAnsiTheme="minorHAnsi"/>
      <w:b/>
      <w:szCs w:val="22"/>
    </w:rPr>
  </w:style>
  <w:style w:type="table" w:customStyle="1" w:styleId="DefaultTable">
    <w:name w:val="Default Table"/>
    <w:basedOn w:val="TableNormal"/>
    <w:uiPriority w:val="99"/>
    <w:rsid w:val="00710B7C"/>
    <w:pPr>
      <w:spacing w:after="40"/>
    </w:pPr>
    <w:rPr>
      <w:rFonts w:ascii="Helvetica" w:hAnsi="Helvetica"/>
    </w:rPr>
    <w:tblPr>
      <w:tblStyleRowBandSize w:val="1"/>
      <w:tblBorders>
        <w:bottom w:val="single" w:sz="18" w:space="0" w:color="000000" w:themeColor="text1"/>
        <w:insideH w:val="single" w:sz="4" w:space="0" w:color="808080" w:themeColor="background1" w:themeShade="80"/>
      </w:tblBorders>
      <w:tblCellMar>
        <w:left w:w="113" w:type="dxa"/>
        <w:bottom w:w="85" w:type="dxa"/>
        <w:right w:w="113" w:type="dxa"/>
      </w:tblCellMar>
    </w:tblPr>
    <w:trPr>
      <w:cantSplit/>
    </w:trPr>
    <w:tcPr>
      <w:shd w:val="clear" w:color="auto" w:fill="FFFFFF" w:themeFill="background1"/>
    </w:tcPr>
    <w:tblStylePr w:type="firstRow">
      <w:pPr>
        <w:wordWrap/>
        <w:spacing w:beforeLines="0" w:before="0" w:beforeAutospacing="0" w:afterLines="0" w:after="0" w:afterAutospacing="0"/>
        <w:jc w:val="left"/>
      </w:pPr>
      <w:rPr>
        <w:rFonts w:asciiTheme="majorHAnsi" w:hAnsiTheme="majorHAnsi"/>
        <w:b/>
        <w:caps w:val="0"/>
        <w:smallCaps w:val="0"/>
        <w:color w:val="FFFFFF" w:themeColor="background1"/>
        <w:sz w:val="22"/>
      </w:rPr>
      <w:tblPr/>
      <w:trPr>
        <w:tblHeader/>
      </w:trPr>
      <w:tcPr>
        <w:shd w:val="clear" w:color="auto" w:fill="14837A" w:themeFill="accent1"/>
      </w:tcPr>
    </w:tblStylePr>
    <w:tblStylePr w:type="firstCol">
      <w:rPr>
        <w:b w:val="0"/>
      </w:rPr>
      <w:tblPr/>
      <w:tcPr>
        <w:tcBorders>
          <w:top w:val="nil"/>
          <w:left w:val="nil"/>
          <w:bottom w:val="single" w:sz="18" w:space="0" w:color="404040" w:themeColor="text1" w:themeTint="BF"/>
          <w:right w:val="nil"/>
          <w:insideH w:val="single" w:sz="4" w:space="0" w:color="808080" w:themeColor="background1" w:themeShade="80"/>
          <w:insideV w:val="nil"/>
          <w:tl2br w:val="nil"/>
          <w:tr2bl w:val="nil"/>
        </w:tcBorders>
        <w:shd w:val="clear" w:color="auto" w:fill="FFFFFF" w:themeFill="background1"/>
      </w:tcPr>
    </w:tblStylePr>
  </w:style>
  <w:style w:type="paragraph" w:styleId="TOCHeading">
    <w:name w:val="TOC Heading"/>
    <w:basedOn w:val="Heading2"/>
    <w:next w:val="Normal"/>
    <w:uiPriority w:val="39"/>
    <w:qFormat/>
    <w:rsid w:val="00FE423B"/>
    <w:rPr>
      <w:rFonts w:eastAsiaTheme="majorEastAsia" w:cstheme="majorBidi"/>
      <w:bCs/>
      <w:color w:val="FFFFFF" w:themeColor="background1"/>
      <w:sz w:val="72"/>
      <w:szCs w:val="28"/>
    </w:rPr>
  </w:style>
  <w:style w:type="paragraph" w:customStyle="1" w:styleId="SourceNotesText">
    <w:name w:val="Source/Notes Text"/>
    <w:basedOn w:val="Normal"/>
    <w:qFormat/>
    <w:rsid w:val="00EA3F54"/>
    <w:pPr>
      <w:spacing w:before="120" w:line="240" w:lineRule="auto"/>
      <w:contextualSpacing/>
    </w:pPr>
    <w:rPr>
      <w:i/>
      <w:sz w:val="18"/>
      <w:szCs w:val="16"/>
    </w:rPr>
  </w:style>
  <w:style w:type="character" w:styleId="Strong">
    <w:name w:val="Strong"/>
    <w:basedOn w:val="DefaultParagraphFont"/>
    <w:uiPriority w:val="22"/>
    <w:rsid w:val="00D45B67"/>
    <w:rPr>
      <w:b/>
      <w:bCs/>
    </w:rPr>
  </w:style>
  <w:style w:type="paragraph" w:customStyle="1" w:styleId="QuoteBody">
    <w:name w:val="Quote Body"/>
    <w:basedOn w:val="Normal"/>
    <w:next w:val="Normal"/>
    <w:link w:val="QuoteBodyChar"/>
    <w:uiPriority w:val="17"/>
    <w:qFormat/>
    <w:rsid w:val="00C11844"/>
    <w:pPr>
      <w:spacing w:after="120" w:line="264" w:lineRule="auto"/>
      <w:ind w:left="284" w:right="284"/>
      <w:contextualSpacing/>
    </w:pPr>
    <w:rPr>
      <w:b/>
      <w:i/>
      <w:color w:val="14837A" w:themeColor="accent1"/>
      <w:szCs w:val="30"/>
    </w:rPr>
  </w:style>
  <w:style w:type="paragraph" w:styleId="BalloonText">
    <w:name w:val="Balloon Text"/>
    <w:basedOn w:val="Normal"/>
    <w:link w:val="BalloonTextChar"/>
    <w:uiPriority w:val="99"/>
    <w:semiHidden/>
    <w:rsid w:val="001B5259"/>
    <w:rPr>
      <w:rFonts w:ascii="Tahoma" w:hAnsi="Tahoma" w:cs="Tahoma"/>
      <w:sz w:val="16"/>
      <w:szCs w:val="16"/>
    </w:rPr>
  </w:style>
  <w:style w:type="character" w:customStyle="1" w:styleId="BalloonTextChar">
    <w:name w:val="Balloon Text Char"/>
    <w:basedOn w:val="DefaultParagraphFont"/>
    <w:link w:val="BalloonText"/>
    <w:uiPriority w:val="99"/>
    <w:semiHidden/>
    <w:rsid w:val="00160B66"/>
    <w:rPr>
      <w:rFonts w:ascii="Tahoma" w:hAnsi="Tahoma" w:cs="Tahoma"/>
      <w:color w:val="000000" w:themeColor="text1"/>
      <w:sz w:val="16"/>
      <w:szCs w:val="16"/>
    </w:rPr>
  </w:style>
  <w:style w:type="paragraph" w:styleId="NoSpacing">
    <w:name w:val="No Spacing"/>
    <w:link w:val="NoSpacingChar"/>
    <w:uiPriority w:val="1"/>
    <w:rsid w:val="00406578"/>
    <w:rPr>
      <w:rFonts w:ascii="Arial" w:hAnsi="Arial"/>
      <w:sz w:val="22"/>
      <w:szCs w:val="24"/>
    </w:rPr>
  </w:style>
  <w:style w:type="paragraph" w:styleId="EndnoteText">
    <w:name w:val="endnote text"/>
    <w:basedOn w:val="Normal"/>
    <w:link w:val="EndnoteTextChar"/>
    <w:uiPriority w:val="99"/>
    <w:semiHidden/>
    <w:rsid w:val="00EE265C"/>
    <w:rPr>
      <w:szCs w:val="20"/>
    </w:rPr>
  </w:style>
  <w:style w:type="character" w:customStyle="1" w:styleId="EndnoteTextChar">
    <w:name w:val="Endnote Text Char"/>
    <w:basedOn w:val="DefaultParagraphFont"/>
    <w:link w:val="EndnoteText"/>
    <w:uiPriority w:val="99"/>
    <w:semiHidden/>
    <w:rsid w:val="00160B66"/>
    <w:rPr>
      <w:rFonts w:ascii="Arial" w:hAnsi="Arial"/>
      <w:color w:val="000000" w:themeColor="text1"/>
    </w:rPr>
  </w:style>
  <w:style w:type="character" w:styleId="EndnoteReference">
    <w:name w:val="endnote reference"/>
    <w:basedOn w:val="DefaultParagraphFont"/>
    <w:uiPriority w:val="99"/>
    <w:semiHidden/>
    <w:rsid w:val="00EE265C"/>
    <w:rPr>
      <w:vertAlign w:val="superscript"/>
    </w:rPr>
  </w:style>
  <w:style w:type="character" w:styleId="FollowedHyperlink">
    <w:name w:val="FollowedHyperlink"/>
    <w:basedOn w:val="DefaultParagraphFont"/>
    <w:uiPriority w:val="99"/>
    <w:semiHidden/>
    <w:rsid w:val="004351B5"/>
    <w:rPr>
      <w:color w:val="20B8A3" w:themeColor="background2"/>
      <w:u w:val="single"/>
    </w:rPr>
  </w:style>
  <w:style w:type="paragraph" w:styleId="Subtitle">
    <w:name w:val="Subtitle"/>
    <w:basedOn w:val="Normal"/>
    <w:link w:val="SubtitleChar"/>
    <w:uiPriority w:val="41"/>
    <w:rsid w:val="00F76137"/>
    <w:pPr>
      <w:numPr>
        <w:ilvl w:val="1"/>
      </w:numPr>
      <w:spacing w:after="0" w:line="240" w:lineRule="auto"/>
    </w:pPr>
    <w:rPr>
      <w:rFonts w:asciiTheme="majorHAnsi" w:eastAsiaTheme="majorEastAsia" w:hAnsiTheme="majorHAnsi" w:cstheme="majorBidi"/>
      <w:iCs/>
      <w:sz w:val="32"/>
    </w:rPr>
  </w:style>
  <w:style w:type="character" w:customStyle="1" w:styleId="SubtitleChar">
    <w:name w:val="Subtitle Char"/>
    <w:basedOn w:val="DefaultParagraphFont"/>
    <w:link w:val="Subtitle"/>
    <w:uiPriority w:val="41"/>
    <w:rsid w:val="00F76137"/>
    <w:rPr>
      <w:rFonts w:asciiTheme="majorHAnsi" w:eastAsiaTheme="majorEastAsia" w:hAnsiTheme="majorHAnsi" w:cstheme="majorBidi"/>
      <w:iCs/>
      <w:color w:val="000000" w:themeColor="text1"/>
      <w:sz w:val="32"/>
      <w:szCs w:val="24"/>
    </w:rPr>
  </w:style>
  <w:style w:type="paragraph" w:customStyle="1" w:styleId="TableHeading">
    <w:name w:val="Table Heading"/>
    <w:basedOn w:val="Normal"/>
    <w:uiPriority w:val="49"/>
    <w:qFormat/>
    <w:rsid w:val="00C76CFF"/>
    <w:pPr>
      <w:spacing w:after="80" w:line="240" w:lineRule="auto"/>
    </w:pPr>
    <w:rPr>
      <w:rFonts w:asciiTheme="majorHAnsi" w:hAnsiTheme="majorHAnsi"/>
      <w:color w:val="000000"/>
      <w:sz w:val="22"/>
    </w:rPr>
  </w:style>
  <w:style w:type="paragraph" w:customStyle="1" w:styleId="FigureHeading">
    <w:name w:val="Figure Heading"/>
    <w:basedOn w:val="Normal"/>
    <w:next w:val="Normal"/>
    <w:link w:val="FigureHeadingChar"/>
    <w:rsid w:val="004533A1"/>
    <w:pPr>
      <w:keepNext/>
      <w:keepLines/>
      <w:numPr>
        <w:numId w:val="3"/>
      </w:numPr>
      <w:tabs>
        <w:tab w:val="left" w:pos="1361"/>
      </w:tabs>
      <w:spacing w:before="120" w:after="240"/>
      <w:contextualSpacing/>
      <w:outlineLvl w:val="4"/>
    </w:pPr>
    <w:rPr>
      <w:rFonts w:asciiTheme="majorHAnsi" w:hAnsiTheme="majorHAnsi"/>
      <w:b/>
      <w:color w:val="000000"/>
    </w:rPr>
  </w:style>
  <w:style w:type="character" w:customStyle="1" w:styleId="UnresolvedMention1">
    <w:name w:val="Unresolved Mention1"/>
    <w:basedOn w:val="DefaultParagraphFont"/>
    <w:uiPriority w:val="99"/>
    <w:semiHidden/>
    <w:unhideWhenUsed/>
    <w:rsid w:val="00B23F96"/>
    <w:rPr>
      <w:color w:val="808080"/>
      <w:shd w:val="clear" w:color="auto" w:fill="E6E6E6"/>
    </w:rPr>
  </w:style>
  <w:style w:type="paragraph" w:customStyle="1" w:styleId="DisclaimerH1">
    <w:name w:val="Disclaimer H1"/>
    <w:next w:val="Normal"/>
    <w:uiPriority w:val="99"/>
    <w:rsid w:val="00650E2C"/>
    <w:pPr>
      <w:pBdr>
        <w:bottom w:val="single" w:sz="24" w:space="31" w:color="14837A" w:themeColor="accent1"/>
      </w:pBdr>
      <w:spacing w:after="360"/>
      <w:contextualSpacing/>
    </w:pPr>
    <w:rPr>
      <w:rFonts w:asciiTheme="majorHAnsi" w:hAnsiTheme="majorHAnsi"/>
      <w:b/>
      <w:color w:val="F2F2F2" w:themeColor="background1" w:themeShade="F2"/>
      <w:sz w:val="186"/>
      <w:szCs w:val="186"/>
    </w:rPr>
  </w:style>
  <w:style w:type="paragraph" w:customStyle="1" w:styleId="DisclaimerH2">
    <w:name w:val="Disclaimer H2"/>
    <w:basedOn w:val="Normal"/>
    <w:next w:val="Normal"/>
    <w:uiPriority w:val="99"/>
    <w:rsid w:val="004351B5"/>
    <w:pPr>
      <w:spacing w:before="240"/>
      <w:contextualSpacing/>
    </w:pPr>
    <w:rPr>
      <w:b/>
      <w:color w:val="20B8A3" w:themeColor="background2"/>
      <w:sz w:val="22"/>
    </w:rPr>
  </w:style>
  <w:style w:type="paragraph" w:customStyle="1" w:styleId="BackPageH1">
    <w:name w:val="Back Page H1"/>
    <w:basedOn w:val="Normal"/>
    <w:next w:val="Normal"/>
    <w:uiPriority w:val="99"/>
    <w:rsid w:val="00F202CA"/>
    <w:pPr>
      <w:spacing w:before="720" w:after="6000" w:line="240" w:lineRule="auto"/>
      <w:contextualSpacing/>
    </w:pPr>
    <w:rPr>
      <w:sz w:val="48"/>
      <w:szCs w:val="48"/>
    </w:rPr>
  </w:style>
  <w:style w:type="paragraph" w:customStyle="1" w:styleId="BackPageH2">
    <w:name w:val="Back Page H2"/>
    <w:basedOn w:val="Normal"/>
    <w:uiPriority w:val="99"/>
    <w:rsid w:val="004A4D74"/>
    <w:rPr>
      <w:b/>
    </w:rPr>
  </w:style>
  <w:style w:type="character" w:styleId="PageNumber">
    <w:name w:val="page number"/>
    <w:basedOn w:val="DefaultParagraphFont"/>
    <w:uiPriority w:val="1"/>
    <w:semiHidden/>
    <w:unhideWhenUsed/>
    <w:rsid w:val="004351B5"/>
    <w:rPr>
      <w:rFonts w:asciiTheme="minorHAnsi" w:hAnsiTheme="minorHAnsi"/>
      <w:b/>
      <w:color w:val="20B8A3" w:themeColor="background2"/>
      <w:sz w:val="16"/>
    </w:rPr>
  </w:style>
  <w:style w:type="paragraph" w:customStyle="1" w:styleId="LargeH1">
    <w:name w:val="Large H1"/>
    <w:basedOn w:val="Heading1"/>
    <w:next w:val="Normal"/>
    <w:uiPriority w:val="3"/>
    <w:rsid w:val="009843BA"/>
    <w:rPr>
      <w:sz w:val="186"/>
      <w:szCs w:val="186"/>
    </w:rPr>
  </w:style>
  <w:style w:type="paragraph" w:styleId="ListNumber">
    <w:name w:val="List Number"/>
    <w:basedOn w:val="Normal"/>
    <w:uiPriority w:val="1"/>
    <w:qFormat/>
    <w:rsid w:val="00BA3176"/>
    <w:pPr>
      <w:numPr>
        <w:numId w:val="2"/>
      </w:numPr>
    </w:pPr>
  </w:style>
  <w:style w:type="paragraph" w:customStyle="1" w:styleId="LargeTitle">
    <w:name w:val="Large Title"/>
    <w:basedOn w:val="Title"/>
    <w:uiPriority w:val="40"/>
    <w:rsid w:val="00F76137"/>
    <w:pPr>
      <w:spacing w:after="480"/>
    </w:pPr>
    <w:rPr>
      <w:sz w:val="130"/>
      <w:szCs w:val="130"/>
    </w:rPr>
  </w:style>
  <w:style w:type="character" w:styleId="CommentReference">
    <w:name w:val="annotation reference"/>
    <w:basedOn w:val="DefaultParagraphFont"/>
    <w:uiPriority w:val="99"/>
    <w:semiHidden/>
    <w:unhideWhenUsed/>
    <w:rsid w:val="009C705A"/>
    <w:rPr>
      <w:sz w:val="16"/>
      <w:szCs w:val="16"/>
    </w:rPr>
  </w:style>
  <w:style w:type="paragraph" w:styleId="Date">
    <w:name w:val="Date"/>
    <w:aliases w:val="Date &amp; Web"/>
    <w:basedOn w:val="Normal"/>
    <w:next w:val="Normal"/>
    <w:link w:val="DateChar"/>
    <w:uiPriority w:val="42"/>
    <w:rsid w:val="006E2C89"/>
    <w:pPr>
      <w:spacing w:line="240" w:lineRule="auto"/>
      <w:contextualSpacing/>
    </w:pPr>
    <w:rPr>
      <w:b/>
      <w:color w:val="132D3E" w:themeColor="text2"/>
    </w:rPr>
  </w:style>
  <w:style w:type="character" w:customStyle="1" w:styleId="DateChar">
    <w:name w:val="Date Char"/>
    <w:aliases w:val="Date &amp; Web Char"/>
    <w:basedOn w:val="DefaultParagraphFont"/>
    <w:link w:val="Date"/>
    <w:uiPriority w:val="42"/>
    <w:rsid w:val="006E2C89"/>
    <w:rPr>
      <w:rFonts w:asciiTheme="minorHAnsi" w:hAnsiTheme="minorHAnsi"/>
      <w:b/>
      <w:color w:val="132D3E" w:themeColor="text2"/>
      <w:sz w:val="22"/>
      <w:szCs w:val="24"/>
    </w:rPr>
  </w:style>
  <w:style w:type="paragraph" w:styleId="CommentText">
    <w:name w:val="annotation text"/>
    <w:basedOn w:val="Normal"/>
    <w:link w:val="CommentTextChar"/>
    <w:uiPriority w:val="99"/>
    <w:unhideWhenUsed/>
    <w:rsid w:val="009C705A"/>
    <w:pPr>
      <w:spacing w:line="240" w:lineRule="auto"/>
    </w:pPr>
    <w:rPr>
      <w:szCs w:val="20"/>
    </w:rPr>
  </w:style>
  <w:style w:type="character" w:customStyle="1" w:styleId="CommentTextChar">
    <w:name w:val="Comment Text Char"/>
    <w:basedOn w:val="DefaultParagraphFont"/>
    <w:link w:val="CommentText"/>
    <w:uiPriority w:val="99"/>
    <w:rsid w:val="009C705A"/>
    <w:rPr>
      <w:rFonts w:asciiTheme="minorHAnsi" w:hAnsiTheme="minorHAnsi"/>
      <w:color w:val="000000" w:themeColor="text1"/>
    </w:rPr>
  </w:style>
  <w:style w:type="paragraph" w:styleId="CommentSubject">
    <w:name w:val="annotation subject"/>
    <w:basedOn w:val="CommentText"/>
    <w:next w:val="CommentText"/>
    <w:link w:val="CommentSubjectChar"/>
    <w:uiPriority w:val="99"/>
    <w:semiHidden/>
    <w:unhideWhenUsed/>
    <w:rsid w:val="009C705A"/>
    <w:rPr>
      <w:b/>
      <w:bCs/>
    </w:rPr>
  </w:style>
  <w:style w:type="character" w:customStyle="1" w:styleId="CommentSubjectChar">
    <w:name w:val="Comment Subject Char"/>
    <w:basedOn w:val="CommentTextChar"/>
    <w:link w:val="CommentSubject"/>
    <w:uiPriority w:val="99"/>
    <w:semiHidden/>
    <w:rsid w:val="009C705A"/>
    <w:rPr>
      <w:rFonts w:asciiTheme="minorHAnsi" w:hAnsiTheme="minorHAnsi"/>
      <w:b/>
      <w:bCs/>
      <w:color w:val="000000" w:themeColor="text1"/>
    </w:rPr>
  </w:style>
  <w:style w:type="character" w:customStyle="1" w:styleId="TitleChar">
    <w:name w:val="Title Char"/>
    <w:aliases w:val="Small Title Char,Small TitleCxSpLast Char"/>
    <w:basedOn w:val="DefaultParagraphFont"/>
    <w:link w:val="Title"/>
    <w:rsid w:val="007D0FC7"/>
    <w:rPr>
      <w:rFonts w:asciiTheme="majorHAnsi" w:hAnsiTheme="majorHAnsi" w:cs="Arial"/>
      <w:b/>
      <w:bCs/>
      <w:kern w:val="28"/>
      <w:sz w:val="70"/>
      <w:szCs w:val="32"/>
    </w:rPr>
  </w:style>
  <w:style w:type="paragraph" w:customStyle="1" w:styleId="WhiteLargeH1">
    <w:name w:val="White Large H1"/>
    <w:basedOn w:val="LargeH1"/>
    <w:uiPriority w:val="1"/>
    <w:rsid w:val="00650E2C"/>
    <w:rPr>
      <w:color w:val="FFFFFF" w:themeColor="background1"/>
    </w:rPr>
  </w:style>
  <w:style w:type="paragraph" w:customStyle="1" w:styleId="WhiteHeading2">
    <w:name w:val="White Heading 2"/>
    <w:basedOn w:val="Heading2"/>
    <w:uiPriority w:val="1"/>
    <w:rsid w:val="002602FC"/>
    <w:pPr>
      <w:spacing w:before="360"/>
    </w:pPr>
    <w:rPr>
      <w:color w:val="FFFFFF" w:themeColor="background1"/>
      <w:sz w:val="24"/>
    </w:rPr>
  </w:style>
  <w:style w:type="paragraph" w:customStyle="1" w:styleId="WhiteNormal">
    <w:name w:val="White Normal"/>
    <w:basedOn w:val="Normal"/>
    <w:uiPriority w:val="1"/>
    <w:rsid w:val="00554A1D"/>
    <w:rPr>
      <w:color w:val="FFFFFF" w:themeColor="background1"/>
      <w:sz w:val="22"/>
    </w:rPr>
  </w:style>
  <w:style w:type="paragraph" w:customStyle="1" w:styleId="AppendixHeading">
    <w:name w:val="Appendix Heading"/>
    <w:basedOn w:val="ListParagraph"/>
    <w:next w:val="Normal"/>
    <w:uiPriority w:val="5"/>
    <w:rsid w:val="004351B5"/>
    <w:pPr>
      <w:numPr>
        <w:numId w:val="4"/>
      </w:numPr>
      <w:spacing w:before="240"/>
      <w:contextualSpacing/>
      <w:outlineLvl w:val="2"/>
    </w:pPr>
    <w:rPr>
      <w:b/>
      <w:color w:val="20B8A3" w:themeColor="background2"/>
      <w:sz w:val="24"/>
    </w:rPr>
  </w:style>
  <w:style w:type="paragraph" w:styleId="ListBullet2">
    <w:name w:val="List Bullet 2"/>
    <w:basedOn w:val="Normal"/>
    <w:uiPriority w:val="1"/>
    <w:qFormat/>
    <w:rsid w:val="00466320"/>
    <w:pPr>
      <w:numPr>
        <w:ilvl w:val="1"/>
        <w:numId w:val="1"/>
      </w:numPr>
      <w:contextualSpacing/>
    </w:pPr>
  </w:style>
  <w:style w:type="paragraph" w:styleId="ListBullet3">
    <w:name w:val="List Bullet 3"/>
    <w:basedOn w:val="Normal"/>
    <w:uiPriority w:val="1"/>
    <w:qFormat/>
    <w:rsid w:val="00466320"/>
    <w:pPr>
      <w:numPr>
        <w:ilvl w:val="2"/>
        <w:numId w:val="1"/>
      </w:numPr>
      <w:contextualSpacing/>
    </w:pPr>
  </w:style>
  <w:style w:type="paragraph" w:styleId="ListNumber2">
    <w:name w:val="List Number 2"/>
    <w:basedOn w:val="Normal"/>
    <w:uiPriority w:val="99"/>
    <w:qFormat/>
    <w:rsid w:val="000131D0"/>
    <w:pPr>
      <w:numPr>
        <w:ilvl w:val="1"/>
        <w:numId w:val="2"/>
      </w:numPr>
      <w:ind w:left="714" w:hanging="357"/>
    </w:pPr>
  </w:style>
  <w:style w:type="paragraph" w:styleId="ListNumber3">
    <w:name w:val="List Number 3"/>
    <w:basedOn w:val="Normal"/>
    <w:uiPriority w:val="2"/>
    <w:qFormat/>
    <w:rsid w:val="000131D0"/>
    <w:pPr>
      <w:numPr>
        <w:ilvl w:val="2"/>
        <w:numId w:val="2"/>
      </w:numPr>
      <w:ind w:left="1077" w:hanging="357"/>
    </w:pPr>
  </w:style>
  <w:style w:type="paragraph" w:styleId="List">
    <w:name w:val="List"/>
    <w:basedOn w:val="Normal"/>
    <w:uiPriority w:val="99"/>
    <w:semiHidden/>
    <w:unhideWhenUsed/>
    <w:rsid w:val="008D551E"/>
    <w:pPr>
      <w:ind w:left="283" w:hanging="283"/>
      <w:contextualSpacing/>
    </w:pPr>
  </w:style>
  <w:style w:type="character" w:customStyle="1" w:styleId="Heading7Char">
    <w:name w:val="Heading 7 Char"/>
    <w:basedOn w:val="DefaultParagraphFont"/>
    <w:link w:val="Heading7"/>
    <w:uiPriority w:val="99"/>
    <w:semiHidden/>
    <w:rsid w:val="00E419C1"/>
    <w:rPr>
      <w:rFonts w:asciiTheme="majorHAnsi" w:eastAsiaTheme="majorEastAsia" w:hAnsiTheme="majorHAnsi" w:cstheme="majorBidi"/>
      <w:i/>
      <w:iCs/>
      <w:color w:val="0A413C" w:themeColor="accent1" w:themeShade="7F"/>
      <w:szCs w:val="24"/>
    </w:rPr>
  </w:style>
  <w:style w:type="character" w:customStyle="1" w:styleId="Heading8Char">
    <w:name w:val="Heading 8 Char"/>
    <w:basedOn w:val="DefaultParagraphFont"/>
    <w:link w:val="Heading8"/>
    <w:uiPriority w:val="99"/>
    <w:semiHidden/>
    <w:rsid w:val="00E419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E419C1"/>
    <w:rPr>
      <w:rFonts w:asciiTheme="majorHAnsi" w:eastAsiaTheme="majorEastAsia" w:hAnsiTheme="majorHAnsi" w:cstheme="majorBidi"/>
      <w:i/>
      <w:iCs/>
      <w:color w:val="272727" w:themeColor="text1" w:themeTint="D8"/>
      <w:sz w:val="21"/>
      <w:szCs w:val="21"/>
    </w:rPr>
  </w:style>
  <w:style w:type="paragraph" w:customStyle="1" w:styleId="HeadingTable">
    <w:name w:val="Heading Table"/>
    <w:basedOn w:val="FigureHeading"/>
    <w:link w:val="HeadingTableChar"/>
    <w:qFormat/>
    <w:rsid w:val="00501207"/>
    <w:pPr>
      <w:numPr>
        <w:numId w:val="5"/>
      </w:numPr>
      <w:tabs>
        <w:tab w:val="left" w:pos="1021"/>
      </w:tabs>
      <w:outlineLvl w:val="9"/>
    </w:pPr>
  </w:style>
  <w:style w:type="character" w:customStyle="1" w:styleId="FigureHeadingChar">
    <w:name w:val="Figure Heading Char"/>
    <w:basedOn w:val="DefaultParagraphFont"/>
    <w:link w:val="FigureHeading"/>
    <w:rsid w:val="004533A1"/>
    <w:rPr>
      <w:rFonts w:asciiTheme="majorHAnsi" w:hAnsiTheme="majorHAnsi"/>
      <w:b/>
      <w:color w:val="000000"/>
      <w:szCs w:val="24"/>
    </w:rPr>
  </w:style>
  <w:style w:type="character" w:customStyle="1" w:styleId="HeadingTableChar">
    <w:name w:val="Heading Table Char"/>
    <w:basedOn w:val="FigureHeadingChar"/>
    <w:link w:val="HeadingTable"/>
    <w:rsid w:val="00962F38"/>
    <w:rPr>
      <w:rFonts w:asciiTheme="majorHAnsi" w:hAnsiTheme="majorHAnsi"/>
      <w:b/>
      <w:color w:val="000000"/>
      <w:szCs w:val="24"/>
    </w:rPr>
  </w:style>
  <w:style w:type="paragraph" w:customStyle="1" w:styleId="CoverTitle">
    <w:name w:val="Cover Title"/>
    <w:basedOn w:val="NoSpacing"/>
    <w:uiPriority w:val="2"/>
    <w:rsid w:val="00B8701A"/>
    <w:pPr>
      <w:spacing w:before="1320" w:after="400" w:line="252" w:lineRule="auto"/>
    </w:pPr>
    <w:rPr>
      <w:rFonts w:asciiTheme="majorHAnsi" w:hAnsiTheme="majorHAnsi"/>
      <w:b/>
      <w:noProof/>
      <w:sz w:val="130"/>
      <w:szCs w:val="130"/>
    </w:rPr>
  </w:style>
  <w:style w:type="paragraph" w:customStyle="1" w:styleId="CoverByline">
    <w:name w:val="Cover Byline"/>
    <w:basedOn w:val="NoSpacing"/>
    <w:uiPriority w:val="2"/>
    <w:rsid w:val="00E63459"/>
    <w:pPr>
      <w:spacing w:before="200" w:after="600"/>
    </w:pPr>
    <w:rPr>
      <w:rFonts w:asciiTheme="majorHAnsi" w:hAnsiTheme="majorHAnsi" w:cstheme="majorHAnsi"/>
      <w:noProof/>
      <w:sz w:val="32"/>
      <w:szCs w:val="32"/>
    </w:rPr>
  </w:style>
  <w:style w:type="paragraph" w:customStyle="1" w:styleId="EmphasisPanelHeading">
    <w:name w:val="Emphasis Panel Heading"/>
    <w:basedOn w:val="NoSpacing"/>
    <w:link w:val="EmphasisPanelHeadingChar"/>
    <w:uiPriority w:val="7"/>
    <w:qFormat/>
    <w:rsid w:val="007C1575"/>
    <w:pPr>
      <w:pBdr>
        <w:top w:val="single" w:sz="2" w:space="4" w:color="F2F2F2" w:themeColor="background1" w:themeShade="F2"/>
        <w:left w:val="single" w:sz="24" w:space="4" w:color="14837A" w:themeColor="accent1"/>
        <w:bottom w:val="single" w:sz="2" w:space="4" w:color="F2F2F2" w:themeColor="background1" w:themeShade="F2"/>
        <w:right w:val="single" w:sz="2" w:space="4" w:color="F2F2F2" w:themeColor="background1" w:themeShade="F2"/>
      </w:pBdr>
      <w:shd w:val="solid" w:color="F2F2F2" w:themeColor="background1" w:themeShade="F2" w:fill="auto"/>
      <w:spacing w:after="120" w:line="280" w:lineRule="atLeast"/>
      <w:ind w:left="170" w:right="284"/>
      <w:outlineLvl w:val="4"/>
    </w:pPr>
    <w:rPr>
      <w:rFonts w:asciiTheme="majorHAnsi" w:hAnsiTheme="majorHAnsi"/>
      <w:b/>
      <w:color w:val="14837A" w:themeColor="accent1"/>
      <w:sz w:val="20"/>
    </w:rPr>
  </w:style>
  <w:style w:type="paragraph" w:customStyle="1" w:styleId="EmphasisPanelBody">
    <w:name w:val="Emphasis Panel Body"/>
    <w:basedOn w:val="Normal"/>
    <w:link w:val="EmphasisPanelBodyChar"/>
    <w:uiPriority w:val="8"/>
    <w:qFormat/>
    <w:rsid w:val="007C1575"/>
    <w:pPr>
      <w:pBdr>
        <w:top w:val="single" w:sz="2" w:space="4" w:color="F2F2F2" w:themeColor="background1" w:themeShade="F2"/>
        <w:left w:val="single" w:sz="24" w:space="4" w:color="14837A" w:themeColor="accent1"/>
        <w:bottom w:val="single" w:sz="2" w:space="4" w:color="F2F2F2" w:themeColor="background1" w:themeShade="F2"/>
        <w:right w:val="single" w:sz="2" w:space="4" w:color="F2F2F2" w:themeColor="background1" w:themeShade="F2"/>
      </w:pBdr>
      <w:shd w:val="solid" w:color="F2F2F2" w:themeColor="background1" w:themeShade="F2" w:fill="auto"/>
      <w:spacing w:after="120"/>
      <w:ind w:left="170" w:right="284"/>
    </w:pPr>
  </w:style>
  <w:style w:type="paragraph" w:customStyle="1" w:styleId="EmphasisPanelBullet">
    <w:name w:val="Emphasis Panel Bullet"/>
    <w:basedOn w:val="EmphasisPanelBody"/>
    <w:link w:val="EmphasisPanelBulletChar"/>
    <w:uiPriority w:val="9"/>
    <w:qFormat/>
    <w:rsid w:val="001917AC"/>
    <w:pPr>
      <w:numPr>
        <w:numId w:val="6"/>
      </w:numPr>
      <w:ind w:left="527" w:hanging="357"/>
      <w:contextualSpacing/>
    </w:pPr>
  </w:style>
  <w:style w:type="character" w:customStyle="1" w:styleId="NoSpacingChar">
    <w:name w:val="No Spacing Char"/>
    <w:basedOn w:val="DefaultParagraphFont"/>
    <w:link w:val="NoSpacing"/>
    <w:uiPriority w:val="1"/>
    <w:rsid w:val="006F5465"/>
    <w:rPr>
      <w:rFonts w:ascii="Arial" w:hAnsi="Arial"/>
      <w:sz w:val="22"/>
      <w:szCs w:val="24"/>
    </w:rPr>
  </w:style>
  <w:style w:type="character" w:customStyle="1" w:styleId="EmphasisPanelHeadingChar">
    <w:name w:val="Emphasis Panel Heading Char"/>
    <w:basedOn w:val="DefaultParagraphFont"/>
    <w:link w:val="EmphasisPanelHeading"/>
    <w:uiPriority w:val="7"/>
    <w:rsid w:val="00962F38"/>
    <w:rPr>
      <w:rFonts w:asciiTheme="majorHAnsi" w:hAnsiTheme="majorHAnsi"/>
      <w:b/>
      <w:color w:val="14837A" w:themeColor="accent1"/>
      <w:szCs w:val="24"/>
      <w:shd w:val="solid" w:color="F2F2F2" w:themeColor="background1" w:themeShade="F2" w:fill="auto"/>
    </w:rPr>
  </w:style>
  <w:style w:type="character" w:customStyle="1" w:styleId="EmphasisPanelBodyChar">
    <w:name w:val="Emphasis Panel Body Char"/>
    <w:basedOn w:val="DefaultParagraphFont"/>
    <w:link w:val="EmphasisPanelBody"/>
    <w:uiPriority w:val="8"/>
    <w:rsid w:val="00962F38"/>
    <w:rPr>
      <w:rFonts w:asciiTheme="minorHAnsi" w:hAnsiTheme="minorHAnsi"/>
      <w:szCs w:val="24"/>
      <w:shd w:val="solid" w:color="F2F2F2" w:themeColor="background1" w:themeShade="F2" w:fill="auto"/>
    </w:rPr>
  </w:style>
  <w:style w:type="paragraph" w:customStyle="1" w:styleId="TableTextRightAligned">
    <w:name w:val="Table Text Right Aligned"/>
    <w:basedOn w:val="TableTextLeftAligned"/>
    <w:link w:val="TableTextRightAlignedChar"/>
    <w:qFormat/>
    <w:rsid w:val="0035469C"/>
  </w:style>
  <w:style w:type="character" w:customStyle="1" w:styleId="EmphasisPanelBulletChar">
    <w:name w:val="Emphasis Panel Bullet Char"/>
    <w:basedOn w:val="EmphasisPanelBodyChar"/>
    <w:link w:val="EmphasisPanelBullet"/>
    <w:uiPriority w:val="9"/>
    <w:rsid w:val="00962F38"/>
    <w:rPr>
      <w:rFonts w:asciiTheme="minorHAnsi" w:hAnsiTheme="minorHAnsi"/>
      <w:szCs w:val="24"/>
      <w:shd w:val="solid" w:color="F2F2F2" w:themeColor="background1" w:themeShade="F2" w:fill="auto"/>
    </w:rPr>
  </w:style>
  <w:style w:type="character" w:customStyle="1" w:styleId="TableTextLeftAlignedChar">
    <w:name w:val="Table Text Left Aligned Char"/>
    <w:basedOn w:val="DefaultParagraphFont"/>
    <w:link w:val="TableTextLeftAligned"/>
    <w:uiPriority w:val="49"/>
    <w:rsid w:val="00962F38"/>
    <w:rPr>
      <w:rFonts w:asciiTheme="minorHAnsi" w:hAnsiTheme="minorHAnsi"/>
      <w:szCs w:val="24"/>
    </w:rPr>
  </w:style>
  <w:style w:type="character" w:customStyle="1" w:styleId="TableTextRightAlignedChar">
    <w:name w:val="Table Text Right Aligned Char"/>
    <w:basedOn w:val="TableTextLeftAlignedChar"/>
    <w:link w:val="TableTextRightAligned"/>
    <w:rsid w:val="00962F38"/>
    <w:rPr>
      <w:rFonts w:asciiTheme="minorHAnsi" w:hAnsiTheme="minorHAnsi"/>
      <w:szCs w:val="24"/>
    </w:rPr>
  </w:style>
  <w:style w:type="paragraph" w:styleId="EnvelopeReturn">
    <w:name w:val="envelope return"/>
    <w:basedOn w:val="Normal"/>
    <w:uiPriority w:val="99"/>
    <w:unhideWhenUsed/>
    <w:rsid w:val="009175A6"/>
    <w:pPr>
      <w:spacing w:after="0" w:line="240" w:lineRule="auto"/>
    </w:pPr>
    <w:rPr>
      <w:rFonts w:asciiTheme="majorHAnsi" w:eastAsiaTheme="majorEastAsia" w:hAnsiTheme="majorHAnsi" w:cstheme="majorBidi"/>
      <w:szCs w:val="20"/>
    </w:rPr>
  </w:style>
  <w:style w:type="paragraph" w:styleId="TOC3">
    <w:name w:val="toc 3"/>
    <w:basedOn w:val="Normal"/>
    <w:next w:val="Normal"/>
    <w:autoRedefine/>
    <w:uiPriority w:val="39"/>
    <w:unhideWhenUsed/>
    <w:rsid w:val="00350ADA"/>
    <w:pPr>
      <w:spacing w:after="100" w:line="259" w:lineRule="auto"/>
      <w:ind w:left="440"/>
    </w:pPr>
    <w:rPr>
      <w:rFonts w:eastAsiaTheme="minorEastAsia"/>
      <w:sz w:val="22"/>
      <w:szCs w:val="22"/>
      <w:lang w:val="en-US" w:eastAsia="en-US"/>
    </w:rPr>
  </w:style>
  <w:style w:type="paragraph" w:customStyle="1" w:styleId="NormalWhite">
    <w:name w:val="Normal White"/>
    <w:basedOn w:val="Normal"/>
    <w:link w:val="NormalWhiteChar"/>
    <w:uiPriority w:val="10"/>
    <w:qFormat/>
    <w:rsid w:val="00BD0246"/>
    <w:rPr>
      <w:color w:val="FFFFFF" w:themeColor="background1"/>
    </w:rPr>
  </w:style>
  <w:style w:type="character" w:customStyle="1" w:styleId="NormalWhiteChar">
    <w:name w:val="Normal White Char"/>
    <w:basedOn w:val="DefaultParagraphFont"/>
    <w:link w:val="NormalWhite"/>
    <w:uiPriority w:val="10"/>
    <w:rsid w:val="00962F38"/>
    <w:rPr>
      <w:rFonts w:asciiTheme="minorHAnsi" w:hAnsiTheme="minorHAnsi"/>
      <w:color w:val="FFFFFF" w:themeColor="background1"/>
      <w:szCs w:val="24"/>
    </w:rPr>
  </w:style>
  <w:style w:type="paragraph" w:styleId="Bibliography">
    <w:name w:val="Bibliography"/>
    <w:basedOn w:val="Normal"/>
    <w:next w:val="Normal"/>
    <w:uiPriority w:val="37"/>
    <w:unhideWhenUsed/>
    <w:rsid w:val="00CC3C11"/>
    <w:pPr>
      <w:spacing w:before="120" w:after="120"/>
    </w:pPr>
    <w:rPr>
      <w:color w:val="000000" w:themeColor="text1"/>
    </w:rPr>
  </w:style>
  <w:style w:type="paragraph" w:styleId="Revision">
    <w:name w:val="Revision"/>
    <w:hidden/>
    <w:uiPriority w:val="99"/>
    <w:semiHidden/>
    <w:rsid w:val="005A6490"/>
    <w:rPr>
      <w:rFonts w:asciiTheme="minorHAnsi" w:hAnsiTheme="minorHAnsi"/>
      <w:szCs w:val="24"/>
    </w:rPr>
  </w:style>
  <w:style w:type="paragraph" w:styleId="Caption">
    <w:name w:val="caption"/>
    <w:basedOn w:val="Normal"/>
    <w:next w:val="Normal"/>
    <w:uiPriority w:val="99"/>
    <w:unhideWhenUsed/>
    <w:qFormat/>
    <w:rsid w:val="005F5DB6"/>
    <w:pPr>
      <w:spacing w:after="200" w:line="240" w:lineRule="auto"/>
    </w:pPr>
    <w:rPr>
      <w:b/>
      <w:iCs/>
      <w:color w:val="14837A" w:themeColor="accent1"/>
      <w:sz w:val="18"/>
      <w:szCs w:val="18"/>
    </w:rPr>
  </w:style>
  <w:style w:type="character" w:styleId="IntenseEmphasis">
    <w:name w:val="Intense Emphasis"/>
    <w:basedOn w:val="DefaultParagraphFont"/>
    <w:uiPriority w:val="21"/>
    <w:rsid w:val="004351B5"/>
    <w:rPr>
      <w:i/>
      <w:iCs/>
      <w:color w:val="20B8A3" w:themeColor="background2"/>
    </w:rPr>
  </w:style>
  <w:style w:type="paragraph" w:styleId="IntenseQuote">
    <w:name w:val="Intense Quote"/>
    <w:basedOn w:val="Normal"/>
    <w:next w:val="Normal"/>
    <w:link w:val="IntenseQuoteChar"/>
    <w:uiPriority w:val="30"/>
    <w:rsid w:val="004351B5"/>
    <w:pPr>
      <w:pBdr>
        <w:top w:val="single" w:sz="4" w:space="10" w:color="14837A" w:themeColor="accent1"/>
        <w:bottom w:val="single" w:sz="4" w:space="10" w:color="14837A" w:themeColor="accent1"/>
      </w:pBdr>
      <w:spacing w:before="360" w:after="360"/>
      <w:ind w:left="864" w:right="864"/>
      <w:jc w:val="center"/>
    </w:pPr>
    <w:rPr>
      <w:i/>
      <w:iCs/>
      <w:color w:val="20B8A3" w:themeColor="background2"/>
    </w:rPr>
  </w:style>
  <w:style w:type="character" w:customStyle="1" w:styleId="IntenseQuoteChar">
    <w:name w:val="Intense Quote Char"/>
    <w:basedOn w:val="DefaultParagraphFont"/>
    <w:link w:val="IntenseQuote"/>
    <w:uiPriority w:val="30"/>
    <w:rsid w:val="004351B5"/>
    <w:rPr>
      <w:rFonts w:asciiTheme="minorHAnsi" w:hAnsiTheme="minorHAnsi"/>
      <w:i/>
      <w:iCs/>
      <w:color w:val="20B8A3" w:themeColor="background2"/>
      <w:szCs w:val="24"/>
    </w:rPr>
  </w:style>
  <w:style w:type="character" w:styleId="IntenseReference">
    <w:name w:val="Intense Reference"/>
    <w:basedOn w:val="DefaultParagraphFont"/>
    <w:uiPriority w:val="32"/>
    <w:rsid w:val="004351B5"/>
    <w:rPr>
      <w:b/>
      <w:bCs/>
      <w:smallCaps/>
      <w:color w:val="20B8A3" w:themeColor="background2"/>
      <w:spacing w:val="5"/>
    </w:rPr>
  </w:style>
  <w:style w:type="paragraph" w:styleId="BlockText">
    <w:name w:val="Block Text"/>
    <w:basedOn w:val="Normal"/>
    <w:uiPriority w:val="99"/>
    <w:semiHidden/>
    <w:unhideWhenUsed/>
    <w:rsid w:val="004351B5"/>
    <w:pPr>
      <w:pBdr>
        <w:top w:val="single" w:sz="2" w:space="10" w:color="14837A" w:themeColor="accent1" w:shadow="1" w:frame="1"/>
        <w:left w:val="single" w:sz="2" w:space="10" w:color="14837A" w:themeColor="accent1" w:shadow="1" w:frame="1"/>
        <w:bottom w:val="single" w:sz="2" w:space="10" w:color="14837A" w:themeColor="accent1" w:shadow="1" w:frame="1"/>
        <w:right w:val="single" w:sz="2" w:space="10" w:color="14837A" w:themeColor="accent1" w:shadow="1" w:frame="1"/>
      </w:pBdr>
      <w:ind w:left="1152" w:right="1152"/>
    </w:pPr>
    <w:rPr>
      <w:rFonts w:eastAsiaTheme="minorEastAsia" w:cstheme="minorBidi"/>
      <w:i/>
      <w:iCs/>
      <w:color w:val="20B8A3" w:themeColor="background2"/>
    </w:rPr>
  </w:style>
  <w:style w:type="paragraph" w:customStyle="1" w:styleId="Quoteattribution">
    <w:name w:val="Quote attribution"/>
    <w:basedOn w:val="QuoteBody"/>
    <w:link w:val="QuoteattributionChar"/>
    <w:uiPriority w:val="17"/>
    <w:qFormat/>
    <w:rsid w:val="004501F2"/>
    <w:pPr>
      <w:jc w:val="right"/>
    </w:pPr>
    <w:rPr>
      <w:i w:val="0"/>
    </w:rPr>
  </w:style>
  <w:style w:type="paragraph" w:customStyle="1" w:styleId="Quotewithattribution">
    <w:name w:val="Quote with attribution"/>
    <w:basedOn w:val="QuoteBody"/>
    <w:link w:val="QuotewithattributionChar"/>
    <w:uiPriority w:val="17"/>
    <w:qFormat/>
    <w:rsid w:val="00E35C75"/>
    <w:pPr>
      <w:spacing w:after="0"/>
    </w:pPr>
  </w:style>
  <w:style w:type="character" w:customStyle="1" w:styleId="QuoteBodyChar">
    <w:name w:val="Quote Body Char"/>
    <w:basedOn w:val="DefaultParagraphFont"/>
    <w:link w:val="QuoteBody"/>
    <w:uiPriority w:val="17"/>
    <w:rsid w:val="00962F38"/>
    <w:rPr>
      <w:rFonts w:asciiTheme="minorHAnsi" w:hAnsiTheme="minorHAnsi"/>
      <w:b/>
      <w:i/>
      <w:color w:val="14837A" w:themeColor="accent1"/>
      <w:szCs w:val="30"/>
    </w:rPr>
  </w:style>
  <w:style w:type="character" w:customStyle="1" w:styleId="QuoteattributionChar">
    <w:name w:val="Quote attribution Char"/>
    <w:basedOn w:val="QuoteBodyChar"/>
    <w:link w:val="Quoteattribution"/>
    <w:uiPriority w:val="17"/>
    <w:rsid w:val="00962F38"/>
    <w:rPr>
      <w:rFonts w:asciiTheme="minorHAnsi" w:hAnsiTheme="minorHAnsi"/>
      <w:b/>
      <w:i w:val="0"/>
      <w:color w:val="14837A" w:themeColor="accent1"/>
      <w:szCs w:val="30"/>
    </w:rPr>
  </w:style>
  <w:style w:type="character" w:customStyle="1" w:styleId="QuotewithattributionChar">
    <w:name w:val="Quote with attribution Char"/>
    <w:basedOn w:val="QuoteBodyChar"/>
    <w:link w:val="Quotewithattribution"/>
    <w:uiPriority w:val="17"/>
    <w:rsid w:val="00962F38"/>
    <w:rPr>
      <w:rFonts w:asciiTheme="minorHAnsi" w:hAnsiTheme="minorHAnsi"/>
      <w:b/>
      <w:i/>
      <w:color w:val="14837A" w:themeColor="accent1"/>
      <w:szCs w:val="30"/>
    </w:rPr>
  </w:style>
  <w:style w:type="paragraph" w:styleId="NormalWeb">
    <w:name w:val="Normal (Web)"/>
    <w:basedOn w:val="Normal"/>
    <w:uiPriority w:val="99"/>
    <w:semiHidden/>
    <w:unhideWhenUsed/>
    <w:rsid w:val="00601F28"/>
    <w:pPr>
      <w:spacing w:before="100" w:beforeAutospacing="1" w:after="100" w:afterAutospacing="1" w:line="240" w:lineRule="auto"/>
    </w:pPr>
    <w:rPr>
      <w:rFonts w:ascii="Times New Roman" w:eastAsiaTheme="minorEastAsia" w:hAnsi="Times New Roman"/>
      <w:sz w:val="24"/>
    </w:rPr>
  </w:style>
  <w:style w:type="character" w:customStyle="1" w:styleId="Heading3Char">
    <w:name w:val="Heading 3 Char"/>
    <w:basedOn w:val="DefaultParagraphFont"/>
    <w:link w:val="Heading3"/>
    <w:uiPriority w:val="9"/>
    <w:rsid w:val="00935455"/>
    <w:rPr>
      <w:rFonts w:ascii="Helvetica" w:hAnsi="Helvetica"/>
      <w:b/>
      <w:color w:val="14837A" w:themeColor="accent1"/>
      <w:sz w:val="28"/>
      <w:szCs w:val="44"/>
    </w:rPr>
  </w:style>
  <w:style w:type="character" w:customStyle="1" w:styleId="Heading4Char">
    <w:name w:val="Heading 4 Char"/>
    <w:basedOn w:val="DefaultParagraphFont"/>
    <w:link w:val="Heading4"/>
    <w:uiPriority w:val="9"/>
    <w:rsid w:val="006B23BD"/>
    <w:rPr>
      <w:rFonts w:ascii="Helvetica" w:hAnsi="Helvetica"/>
      <w:color w:val="14837A" w:themeColor="accent1"/>
      <w:sz w:val="24"/>
      <w:szCs w:val="24"/>
    </w:rPr>
  </w:style>
  <w:style w:type="table" w:styleId="GridTable1Light-Accent1">
    <w:name w:val="Grid Table 1 Light Accent 1"/>
    <w:basedOn w:val="TableNormal"/>
    <w:uiPriority w:val="46"/>
    <w:rsid w:val="005F5DB6"/>
    <w:tblPr>
      <w:tblStyleRowBandSize w:val="1"/>
      <w:tblStyleColBandSize w:val="1"/>
      <w:tblBorders>
        <w:top w:val="single" w:sz="4" w:space="0" w:color="82ECE3" w:themeColor="accent1" w:themeTint="66"/>
        <w:left w:val="single" w:sz="4" w:space="0" w:color="82ECE3" w:themeColor="accent1" w:themeTint="66"/>
        <w:bottom w:val="single" w:sz="4" w:space="0" w:color="82ECE3" w:themeColor="accent1" w:themeTint="66"/>
        <w:right w:val="single" w:sz="4" w:space="0" w:color="82ECE3" w:themeColor="accent1" w:themeTint="66"/>
        <w:insideH w:val="single" w:sz="4" w:space="0" w:color="82ECE3" w:themeColor="accent1" w:themeTint="66"/>
        <w:insideV w:val="single" w:sz="4" w:space="0" w:color="82ECE3" w:themeColor="accent1" w:themeTint="66"/>
      </w:tblBorders>
    </w:tblPr>
    <w:tblStylePr w:type="firstRow">
      <w:rPr>
        <w:b/>
        <w:bCs/>
      </w:rPr>
      <w:tblPr/>
      <w:tcPr>
        <w:tcBorders>
          <w:bottom w:val="single" w:sz="12" w:space="0" w:color="43E2D5" w:themeColor="accent1" w:themeTint="99"/>
        </w:tcBorders>
      </w:tcPr>
    </w:tblStylePr>
    <w:tblStylePr w:type="lastRow">
      <w:rPr>
        <w:b/>
        <w:bCs/>
      </w:rPr>
      <w:tblPr/>
      <w:tcPr>
        <w:tcBorders>
          <w:top w:val="double" w:sz="2" w:space="0" w:color="43E2D5" w:themeColor="accent1" w:themeTint="99"/>
        </w:tcBorders>
      </w:tcPr>
    </w:tblStylePr>
    <w:tblStylePr w:type="firstCol">
      <w:rPr>
        <w:b/>
        <w:bCs/>
      </w:rPr>
    </w:tblStylePr>
    <w:tblStylePr w:type="lastCol">
      <w:rPr>
        <w:b/>
        <w:bCs/>
      </w:rPr>
    </w:tblStylePr>
  </w:style>
  <w:style w:type="paragraph" w:styleId="DocumentMap">
    <w:name w:val="Document Map"/>
    <w:basedOn w:val="Normal"/>
    <w:link w:val="DocumentMapChar"/>
    <w:uiPriority w:val="99"/>
    <w:unhideWhenUsed/>
    <w:rsid w:val="00834C5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34C55"/>
    <w:rPr>
      <w:rFonts w:ascii="Segoe UI" w:hAnsi="Segoe UI" w:cs="Segoe UI"/>
      <w:sz w:val="16"/>
      <w:szCs w:val="16"/>
    </w:rPr>
  </w:style>
  <w:style w:type="character" w:styleId="HTMLAcronym">
    <w:name w:val="HTML Acronym"/>
    <w:basedOn w:val="DefaultParagraphFont"/>
    <w:uiPriority w:val="99"/>
    <w:unhideWhenUsed/>
    <w:rsid w:val="00712FE7"/>
  </w:style>
  <w:style w:type="character" w:styleId="HTMLKeyboard">
    <w:name w:val="HTML Keyboard"/>
    <w:basedOn w:val="DefaultParagraphFont"/>
    <w:uiPriority w:val="99"/>
    <w:unhideWhenUsed/>
    <w:rsid w:val="00D97523"/>
    <w:rPr>
      <w:rFonts w:ascii="Consolas" w:hAnsi="Consolas"/>
      <w:sz w:val="20"/>
      <w:szCs w:val="20"/>
    </w:rPr>
  </w:style>
  <w:style w:type="character" w:styleId="UnresolvedMention">
    <w:name w:val="Unresolved Mention"/>
    <w:basedOn w:val="DefaultParagraphFont"/>
    <w:uiPriority w:val="99"/>
    <w:semiHidden/>
    <w:unhideWhenUsed/>
    <w:rsid w:val="00D93B5A"/>
    <w:rPr>
      <w:color w:val="605E5C"/>
      <w:shd w:val="clear" w:color="auto" w:fill="E1DFDD"/>
    </w:rPr>
  </w:style>
  <w:style w:type="character" w:styleId="Mention">
    <w:name w:val="Mention"/>
    <w:basedOn w:val="DefaultParagraphFont"/>
    <w:uiPriority w:val="99"/>
    <w:unhideWhenUsed/>
    <w:rsid w:val="000E0C8E"/>
    <w:rPr>
      <w:color w:val="2B579A"/>
      <w:shd w:val="clear" w:color="auto" w:fill="E1DFDD"/>
    </w:rPr>
  </w:style>
  <w:style w:type="paragraph" w:styleId="TableofFigures">
    <w:name w:val="table of figures"/>
    <w:basedOn w:val="Normal"/>
    <w:next w:val="Normal"/>
    <w:uiPriority w:val="99"/>
    <w:unhideWhenUsed/>
    <w:rsid w:val="009127C1"/>
    <w:pPr>
      <w:spacing w:after="0"/>
    </w:pPr>
  </w:style>
  <w:style w:type="character" w:customStyle="1" w:styleId="Heading1Char">
    <w:name w:val="Heading 1 Char"/>
    <w:basedOn w:val="DefaultParagraphFont"/>
    <w:link w:val="Heading1"/>
    <w:uiPriority w:val="9"/>
    <w:rsid w:val="00892E4A"/>
    <w:rPr>
      <w:rFonts w:ascii="Helvetica" w:hAnsi="Helvetica"/>
      <w:b/>
      <w:sz w:val="72"/>
      <w:szCs w:val="44"/>
    </w:rPr>
  </w:style>
  <w:style w:type="character" w:styleId="BookTitle">
    <w:name w:val="Book Title"/>
    <w:basedOn w:val="DefaultParagraphFont"/>
    <w:uiPriority w:val="33"/>
    <w:rsid w:val="00C37061"/>
    <w:rPr>
      <w:b/>
      <w:bCs/>
      <w:i/>
      <w:iCs/>
      <w:spacing w:val="5"/>
    </w:rPr>
  </w:style>
  <w:style w:type="paragraph" w:styleId="Quote">
    <w:name w:val="Quote"/>
    <w:basedOn w:val="Normal"/>
    <w:next w:val="Normal"/>
    <w:link w:val="QuoteChar"/>
    <w:uiPriority w:val="29"/>
    <w:rsid w:val="00C3706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37061"/>
    <w:rPr>
      <w:rFonts w:asciiTheme="minorHAnsi" w:hAnsiTheme="minorHAnsi"/>
      <w:i/>
      <w:iCs/>
      <w:color w:val="404040" w:themeColor="text1" w:themeTint="BF"/>
      <w:szCs w:val="24"/>
    </w:rPr>
  </w:style>
  <w:style w:type="character" w:styleId="SubtleEmphasis">
    <w:name w:val="Subtle Emphasis"/>
    <w:basedOn w:val="DefaultParagraphFont"/>
    <w:uiPriority w:val="19"/>
    <w:rsid w:val="00C37061"/>
    <w:rPr>
      <w:i/>
      <w:iCs/>
      <w:color w:val="404040" w:themeColor="text1" w:themeTint="BF"/>
    </w:rPr>
  </w:style>
  <w:style w:type="character" w:styleId="SubtleReference">
    <w:name w:val="Subtle Reference"/>
    <w:basedOn w:val="DefaultParagraphFont"/>
    <w:uiPriority w:val="31"/>
    <w:rsid w:val="00C37061"/>
    <w:rPr>
      <w:smallCaps/>
      <w:color w:val="5A5A5A" w:themeColor="text1" w:themeTint="A5"/>
    </w:rPr>
  </w:style>
  <w:style w:type="character" w:styleId="PlaceholderText">
    <w:name w:val="Placeholder Text"/>
    <w:basedOn w:val="DefaultParagraphFont"/>
    <w:uiPriority w:val="99"/>
    <w:semiHidden/>
    <w:rsid w:val="00E807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54662">
      <w:bodyDiv w:val="1"/>
      <w:marLeft w:val="0"/>
      <w:marRight w:val="0"/>
      <w:marTop w:val="0"/>
      <w:marBottom w:val="0"/>
      <w:divBdr>
        <w:top w:val="none" w:sz="0" w:space="0" w:color="auto"/>
        <w:left w:val="none" w:sz="0" w:space="0" w:color="auto"/>
        <w:bottom w:val="none" w:sz="0" w:space="0" w:color="auto"/>
        <w:right w:val="none" w:sz="0" w:space="0" w:color="auto"/>
      </w:divBdr>
    </w:div>
    <w:div w:id="751321943">
      <w:bodyDiv w:val="1"/>
      <w:marLeft w:val="0"/>
      <w:marRight w:val="0"/>
      <w:marTop w:val="0"/>
      <w:marBottom w:val="0"/>
      <w:divBdr>
        <w:top w:val="none" w:sz="0" w:space="0" w:color="auto"/>
        <w:left w:val="none" w:sz="0" w:space="0" w:color="auto"/>
        <w:bottom w:val="none" w:sz="0" w:space="0" w:color="auto"/>
        <w:right w:val="none" w:sz="0" w:space="0" w:color="auto"/>
      </w:divBdr>
    </w:div>
    <w:div w:id="794830975">
      <w:bodyDiv w:val="1"/>
      <w:marLeft w:val="0"/>
      <w:marRight w:val="0"/>
      <w:marTop w:val="0"/>
      <w:marBottom w:val="0"/>
      <w:divBdr>
        <w:top w:val="none" w:sz="0" w:space="0" w:color="auto"/>
        <w:left w:val="none" w:sz="0" w:space="0" w:color="auto"/>
        <w:bottom w:val="none" w:sz="0" w:space="0" w:color="auto"/>
        <w:right w:val="none" w:sz="0" w:space="0" w:color="auto"/>
      </w:divBdr>
    </w:div>
    <w:div w:id="1276862347">
      <w:bodyDiv w:val="1"/>
      <w:marLeft w:val="0"/>
      <w:marRight w:val="0"/>
      <w:marTop w:val="0"/>
      <w:marBottom w:val="0"/>
      <w:divBdr>
        <w:top w:val="none" w:sz="0" w:space="0" w:color="auto"/>
        <w:left w:val="none" w:sz="0" w:space="0" w:color="auto"/>
        <w:bottom w:val="none" w:sz="0" w:space="0" w:color="auto"/>
        <w:right w:val="none" w:sz="0" w:space="0" w:color="auto"/>
      </w:divBdr>
    </w:div>
    <w:div w:id="1455177061">
      <w:bodyDiv w:val="1"/>
      <w:marLeft w:val="0"/>
      <w:marRight w:val="0"/>
      <w:marTop w:val="0"/>
      <w:marBottom w:val="0"/>
      <w:divBdr>
        <w:top w:val="none" w:sz="0" w:space="0" w:color="auto"/>
        <w:left w:val="none" w:sz="0" w:space="0" w:color="auto"/>
        <w:bottom w:val="none" w:sz="0" w:space="0" w:color="auto"/>
        <w:right w:val="none" w:sz="0" w:space="0" w:color="auto"/>
      </w:divBdr>
    </w:div>
    <w:div w:id="1523469314">
      <w:bodyDiv w:val="1"/>
      <w:marLeft w:val="0"/>
      <w:marRight w:val="0"/>
      <w:marTop w:val="0"/>
      <w:marBottom w:val="0"/>
      <w:divBdr>
        <w:top w:val="none" w:sz="0" w:space="0" w:color="auto"/>
        <w:left w:val="none" w:sz="0" w:space="0" w:color="auto"/>
        <w:bottom w:val="none" w:sz="0" w:space="0" w:color="auto"/>
        <w:right w:val="none" w:sz="0" w:space="0" w:color="auto"/>
      </w:divBdr>
    </w:div>
    <w:div w:id="205738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mc.gov.au/beta/projects/increasing-participation-adult-migrant-english-program-amep" TargetMode="External"/><Relationship Id="rId21" Type="http://schemas.openxmlformats.org/officeDocument/2006/relationships/hyperlink" Target="https://doi.org/10.3982%2FECTA18709" TargetMode="External"/><Relationship Id="rId42" Type="http://schemas.openxmlformats.org/officeDocument/2006/relationships/hyperlink" Target="https://www.pmc.gov.au/beta/projects/using-behavioural-insights-boost-impact-cyber-security-alerts" TargetMode="External"/><Relationship Id="rId47" Type="http://schemas.openxmlformats.org/officeDocument/2006/relationships/hyperlink" Target="https://www.pmc.gov.au/beta/projects/making-it-less-taxing-better-compliance-deferred-gst" TargetMode="External"/><Relationship Id="rId63" Type="http://schemas.openxmlformats.org/officeDocument/2006/relationships/hyperlink" Target="https://www.pmc.gov.au/beta/projects/unconscious-bias-australian-public-service-shortlisting-processes" TargetMode="External"/><Relationship Id="rId68" Type="http://schemas.openxmlformats.org/officeDocument/2006/relationships/hyperlink" Target="https://www.pmc.gov.au/beta/projects/home-energy-upgrades-empowering-homeowners-make-informed-decisions" TargetMode="External"/><Relationship Id="rId16" Type="http://schemas.openxmlformats.org/officeDocument/2006/relationships/header" Target="header3.xml"/><Relationship Id="rId11" Type="http://schemas.openxmlformats.org/officeDocument/2006/relationships/endnotes" Target="endnotes.xml"/><Relationship Id="rId32" Type="http://schemas.openxmlformats.org/officeDocument/2006/relationships/hyperlink" Target="https://www.pmc.gov.au/beta/projects/prompting-better-deal-understanding-and-overcoming-barriers-financial-product-switching" TargetMode="External"/><Relationship Id="rId37" Type="http://schemas.openxmlformats.org/officeDocument/2006/relationships/hyperlink" Target="https://www.pmc.gov.au/beta/projects/improving-government-confirmation-processes-using-sms" TargetMode="External"/><Relationship Id="rId53" Type="http://schemas.openxmlformats.org/officeDocument/2006/relationships/hyperlink" Target="https://www.pmc.gov.au/beta/projects/paid-family-and-domestic-violence-leave" TargetMode="External"/><Relationship Id="rId58" Type="http://schemas.openxmlformats.org/officeDocument/2006/relationships/hyperlink" Target="https://www.pmc.gov.au/beta/projects/improving-organ-donor-registration-among-young-adults" TargetMode="External"/><Relationship Id="rId74" Type="http://schemas.openxmlformats.org/officeDocument/2006/relationships/header" Target="header4.xml"/><Relationship Id="rId79" Type="http://schemas.openxmlformats.org/officeDocument/2006/relationships/header" Target="header5.xml"/><Relationship Id="rId5" Type="http://schemas.openxmlformats.org/officeDocument/2006/relationships/customXml" Target="../customXml/item5.xml"/><Relationship Id="rId61" Type="http://schemas.openxmlformats.org/officeDocument/2006/relationships/hyperlink" Target="https://www.pmc.gov.au/beta/projects/effective-use-sms-encourage-timely-reporting-behaviour-using-digital-channels" TargetMode="External"/><Relationship Id="rId82" Type="http://schemas.openxmlformats.org/officeDocument/2006/relationships/theme" Target="theme/theme1.xml"/><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yperlink" Target="https://colab.ws/articles/10.1002/bdm.70053" TargetMode="External"/><Relationship Id="rId27" Type="http://schemas.openxmlformats.org/officeDocument/2006/relationships/hyperlink" Target="https://www.pmc.gov.au/beta/projects/supporting-consumer-decision-making-about-add-insurance" TargetMode="External"/><Relationship Id="rId30" Type="http://schemas.openxmlformats.org/officeDocument/2006/relationships/hyperlink" Target="https://www.pmc.gov.au/beta/projects/building-persistent-compliance-labour-law" TargetMode="External"/><Relationship Id="rId35" Type="http://schemas.openxmlformats.org/officeDocument/2006/relationships/hyperlink" Target="https://www.pmc.gov.au/beta/projects/improving-energy-bills" TargetMode="External"/><Relationship Id="rId43" Type="http://schemas.openxmlformats.org/officeDocument/2006/relationships/hyperlink" Target="https://www.pmc.gov.au/beta/projects/password123-applying-behavioural-insights-cyber-security-advice" TargetMode="External"/><Relationship Id="rId48" Type="http://schemas.openxmlformats.org/officeDocument/2006/relationships/hyperlink" Target="https://www.pmc.gov.au/beta/projects/increasing-disability-identification-australian-public-service" TargetMode="External"/><Relationship Id="rId56" Type="http://schemas.openxmlformats.org/officeDocument/2006/relationships/hyperlink" Target="https://www.pmc.gov.au/beta/projects/increasing-transparency-online-foreign-exchange-calculators" TargetMode="External"/><Relationship Id="rId64" Type="http://schemas.openxmlformats.org/officeDocument/2006/relationships/hyperlink" Target="https://www.pmc.gov.au/beta/projects/increasing-workplace-giving" TargetMode="External"/><Relationship Id="rId69" Type="http://schemas.openxmlformats.org/officeDocument/2006/relationships/image" Target="media/image5.png"/><Relationship Id="rId77" Type="http://schemas.openxmlformats.org/officeDocument/2006/relationships/hyperlink" Target="mailto:media@pmc.gov.au" TargetMode="External"/><Relationship Id="rId8" Type="http://schemas.openxmlformats.org/officeDocument/2006/relationships/settings" Target="settings.xml"/><Relationship Id="rId51" Type="http://schemas.openxmlformats.org/officeDocument/2006/relationships/hyperlink" Target="https://www.pmc.gov.au/beta/projects/simplifying-energy-fact-sheets-improve-consumer-understanding" TargetMode="External"/><Relationship Id="rId72" Type="http://schemas.openxmlformats.org/officeDocument/2006/relationships/image" Target="media/image6.png"/><Relationship Id="rId80"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oi.org/10.1073/pnas.210734611" TargetMode="External"/><Relationship Id="rId33" Type="http://schemas.openxmlformats.org/officeDocument/2006/relationships/hyperlink" Target="https://www.pmc.gov.au/beta/projects/helping-people-understand-outcomes-bankruptcy" TargetMode="External"/><Relationship Id="rId38" Type="http://schemas.openxmlformats.org/officeDocument/2006/relationships/hyperlink" Target="https://www.pmc.gov.au/beta/projects/counting-us-how-start-dates-affect-census-participation" TargetMode="External"/><Relationship Id="rId46" Type="http://schemas.openxmlformats.org/officeDocument/2006/relationships/hyperlink" Target="https://www.pmc.gov.au/beta/projects/making-it-less-taxing-better-compliance-deferred-gst" TargetMode="External"/><Relationship Id="rId59" Type="http://schemas.openxmlformats.org/officeDocument/2006/relationships/hyperlink" Target="https://www.pmc.gov.au/beta/projects/paid-parental-leave-decisions" TargetMode="External"/><Relationship Id="rId67" Type="http://schemas.openxmlformats.org/officeDocument/2006/relationships/hyperlink" Target="https://www.pmc.gov.au/beta/projects/informing-design-yoursuper-comparison-tool" TargetMode="External"/><Relationship Id="rId20" Type="http://schemas.openxmlformats.org/officeDocument/2006/relationships/image" Target="media/image4.png"/><Relationship Id="rId41" Type="http://schemas.openxmlformats.org/officeDocument/2006/relationships/hyperlink" Target="https://www.pmc.gov.au/beta/projects/password123-applying-behavioural-insights-cyber-security-advice" TargetMode="External"/><Relationship Id="rId54" Type="http://schemas.openxmlformats.org/officeDocument/2006/relationships/hyperlink" Target="https://www.pmc.gov.au/beta/projects/strengthening-students-resilience" TargetMode="External"/><Relationship Id="rId62" Type="http://schemas.openxmlformats.org/officeDocument/2006/relationships/hyperlink" Target="https://www.pmc.gov.au/beta/projects/supporting-retirees-retirement-income-planning" TargetMode="External"/><Relationship Id="rId70" Type="http://schemas.openxmlformats.org/officeDocument/2006/relationships/hyperlink" Target="mailto:beta@pmc.gov.au" TargetMode="External"/><Relationship Id="rId7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hubo-home.com/publication/assessing-nudge-impact-a-comprehensive-second-order-meta-analysis/" TargetMode="External"/><Relationship Id="rId28" Type="http://schemas.openxmlformats.org/officeDocument/2006/relationships/hyperlink" Target="https://www.pmc.gov.au/beta/projects/nudge-vs-superbugs-reducing-overprescribing-antibiotics" TargetMode="External"/><Relationship Id="rId36" Type="http://schemas.openxmlformats.org/officeDocument/2006/relationships/hyperlink" Target="https://www.pmc.gov.au/beta/projects/improving-energy-bills" TargetMode="External"/><Relationship Id="rId49" Type="http://schemas.openxmlformats.org/officeDocument/2006/relationships/hyperlink" Target="https://www.pmc.gov.au/beta/projects/empowered-switch-energy-made-easier" TargetMode="External"/><Relationship Id="rId57" Type="http://schemas.openxmlformats.org/officeDocument/2006/relationships/hyperlink" Target="https://www.pmc.gov.au/beta/projects/applying-behavioural-insights-online-wagering" TargetMode="External"/><Relationship Id="rId10" Type="http://schemas.openxmlformats.org/officeDocument/2006/relationships/footnotes" Target="footnotes.xml"/><Relationship Id="rId31" Type="http://schemas.openxmlformats.org/officeDocument/2006/relationships/hyperlink" Target="https://www.pmc.gov.au/beta/projects/prompting-better-deal-understanding-and-overcoming-barriers-financial-product-switching" TargetMode="External"/><Relationship Id="rId44" Type="http://schemas.openxmlformats.org/officeDocument/2006/relationships/hyperlink" Target="https://www.pmc.gov.au/beta/projects/password123-applying-behavioural-insights-cyber-security-advice" TargetMode="External"/><Relationship Id="rId52" Type="http://schemas.openxmlformats.org/officeDocument/2006/relationships/hyperlink" Target="https://www.pmc.gov.au/beta/projects/energy-labels-make-cents-testing-effect-appliance-energy-rating-labels" TargetMode="External"/><Relationship Id="rId60" Type="http://schemas.openxmlformats.org/officeDocument/2006/relationships/hyperlink" Target="https://www.pmc.gov.au/beta/projects/introducing-behavioural-insights-personal-property-securities-register" TargetMode="External"/><Relationship Id="rId65" Type="http://schemas.openxmlformats.org/officeDocument/2006/relationships/hyperlink" Target="https://www.pmc.gov.au/beta/projects/improving-tax-compliance-income-tax-returns-filed-through-tax-agents" TargetMode="External"/><Relationship Id="rId73" Type="http://schemas.openxmlformats.org/officeDocument/2006/relationships/hyperlink" Target="https://pmc.gov.au/cca" TargetMode="External"/><Relationship Id="rId78" Type="http://schemas.openxmlformats.org/officeDocument/2006/relationships/hyperlink" Target="http://www.pmc.gov.au/BETA"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9" Type="http://schemas.openxmlformats.org/officeDocument/2006/relationships/hyperlink" Target="https://www.pmc.gov.au/beta/projects/testing-communications-strategies-2026-census" TargetMode="External"/><Relationship Id="rId34" Type="http://schemas.openxmlformats.org/officeDocument/2006/relationships/hyperlink" Target="https://www.pmc.gov.au/beta/projects/helping-people-understand-outcomes-bankruptcy" TargetMode="External"/><Relationship Id="rId50" Type="http://schemas.openxmlformats.org/officeDocument/2006/relationships/hyperlink" Target="https://www.pmc.gov.au/beta/projects/redesigning-electricity-bills-support-consumer-engagement" TargetMode="External"/><Relationship Id="rId55" Type="http://schemas.openxmlformats.org/officeDocument/2006/relationships/hyperlink" Target="https://www.pmc.gov.au/beta/projects/workplace-experience-hospitality-apprentices" TargetMode="External"/><Relationship Id="rId76" Type="http://schemas.openxmlformats.org/officeDocument/2006/relationships/hyperlink" Target="mailto:beta@pmc.gov.au" TargetMode="External"/><Relationship Id="rId7" Type="http://schemas.openxmlformats.org/officeDocument/2006/relationships/styles" Target="styles.xml"/><Relationship Id="rId71" Type="http://schemas.openxmlformats.org/officeDocument/2006/relationships/hyperlink" Target="https://creativecommons.org/licenses/by/4.0/" TargetMode="External"/><Relationship Id="rId2" Type="http://schemas.openxmlformats.org/officeDocument/2006/relationships/customXml" Target="../customXml/item2.xml"/><Relationship Id="rId29" Type="http://schemas.openxmlformats.org/officeDocument/2006/relationships/hyperlink" Target="https://www.pmc.gov.au/beta/projects/testing-incentives-encourage-asbestos-removal" TargetMode="External"/><Relationship Id="rId24" Type="http://schemas.openxmlformats.org/officeDocument/2006/relationships/hyperlink" Target="https://www.ifo.de/DocDL/cesifo1_wp11863.pdf" TargetMode="External"/><Relationship Id="rId40" Type="http://schemas.openxmlformats.org/officeDocument/2006/relationships/hyperlink" Target="https://www.pmc.gov.au/beta/projects/credit-when-its-due-reducing-credit-card-debt" TargetMode="External"/><Relationship Id="rId45" Type="http://schemas.openxmlformats.org/officeDocument/2006/relationships/hyperlink" Target="https://www.pmc.gov.au/beta/projects/encouraging-survey-participation-evaluate-social-service-program-outcomes" TargetMode="External"/><Relationship Id="rId66" Type="http://schemas.openxmlformats.org/officeDocument/2006/relationships/hyperlink" Target="https://www.pmc.gov.au/beta/projects/women-economics-student-mentoring-progra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BETA 2026">
      <a:dk1>
        <a:srgbClr val="000000"/>
      </a:dk1>
      <a:lt1>
        <a:srgbClr val="FFFFFF"/>
      </a:lt1>
      <a:dk2>
        <a:srgbClr val="132D3E"/>
      </a:dk2>
      <a:lt2>
        <a:srgbClr val="20B8A3"/>
      </a:lt2>
      <a:accent1>
        <a:srgbClr val="14837A"/>
      </a:accent1>
      <a:accent2>
        <a:srgbClr val="AB338A"/>
      </a:accent2>
      <a:accent3>
        <a:srgbClr val="4D265D"/>
      </a:accent3>
      <a:accent4>
        <a:srgbClr val="B4E7E0"/>
      </a:accent4>
      <a:accent5>
        <a:srgbClr val="E3BBD8"/>
      </a:accent5>
      <a:accent6>
        <a:srgbClr val="ECECEC"/>
      </a:accent6>
      <a:hlink>
        <a:srgbClr val="18847C"/>
      </a:hlink>
      <a:folHlink>
        <a:srgbClr val="800080"/>
      </a:folHlink>
    </a:clrScheme>
    <a:fontScheme name="BETA">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F285619428CBE4886618267E9F1076D" ma:contentTypeVersion="33" ma:contentTypeDescription="Create a new document." ma:contentTypeScope="" ma:versionID="7d1d28142d0fceada52ba52bd7ce3fa2">
  <xsd:schema xmlns:xsd="http://www.w3.org/2001/XMLSchema" xmlns:xs="http://www.w3.org/2001/XMLSchema" xmlns:p="http://schemas.microsoft.com/office/2006/metadata/properties" xmlns:ns1="http://schemas.microsoft.com/sharepoint/v3" xmlns:ns2="d0dfa800-9ef0-44cb-8a12-633e29de1e0b" xmlns:ns3="e771ab56-0c5d-40e7-b080-2686d2b89623" xmlns:ns4="ce530a30-1469-477c-a42f-e412a5d2cfe7" targetNamespace="http://schemas.microsoft.com/office/2006/metadata/properties" ma:root="true" ma:fieldsID="a9d7c88e765710a62d7fbfa5d1c39d66" ns1:_="" ns2:_="" ns3:_="" ns4:_="">
    <xsd:import namespace="http://schemas.microsoft.com/sharepoint/v3"/>
    <xsd:import namespace="d0dfa800-9ef0-44cb-8a12-633e29de1e0b"/>
    <xsd:import namespace="e771ab56-0c5d-40e7-b080-2686d2b89623"/>
    <xsd:import namespace="ce530a30-1469-477c-a42f-e412a5d2cfe7"/>
    <xsd:element name="properties">
      <xsd:complexType>
        <xsd:sequence>
          <xsd:element name="documentManagement">
            <xsd:complexType>
              <xsd:all>
                <xsd:element ref="ns2:_dlc_DocId" minOccurs="0"/>
                <xsd:element ref="ns2:_dlc_DocIdUrl" minOccurs="0"/>
                <xsd:element ref="ns2:_dlc_DocIdPersistId" minOccurs="0"/>
                <xsd:element ref="ns2:i33d79d771804d3fbb0a7948c73bb64e" minOccurs="0"/>
                <xsd:element ref="ns2:TaxCatchAll" minOccurs="0"/>
                <xsd:element ref="ns3:ShareHubID" minOccurs="0"/>
                <xsd:element ref="ns2:TaxKeywordTaxHTField" minOccurs="0"/>
                <xsd:element ref="ns1:Comments" minOccurs="0"/>
                <xsd:element ref="ns4:lcf76f155ced4ddcb4097134ff3c332f" minOccurs="0"/>
                <xsd:element ref="ns4:MediaServiceMetadata" minOccurs="0"/>
                <xsd:element ref="ns4:MediaServiceFastMetadata" minOccurs="0"/>
                <xsd:element ref="ns4:MediaServiceSearchProperties" minOccurs="0"/>
                <xsd:element ref="ns4:MediaServiceDateTaken" minOccurs="0"/>
                <xsd:element ref="ns4:MediaServiceObjectDetectorVersions"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dfa800-9ef0-44cb-8a12-633e29de1e0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33d79d771804d3fbb0a7948c73bb64e" ma:index="12" nillable="true" ma:taxonomy="true" ma:internalName="i33d79d771804d3fbb0a7948c73bb64e" ma:taxonomyFieldName="SecurityClassification" ma:displayName="Security Classification" ma:default="" ma:fieldId="{233d79d7-7180-4d3f-bb0a-7948c73bb64e}"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3e71626-501d-4005-9cdb-ece5cfae16ce}" ma:internalName="TaxCatchAll" ma:showField="CatchAllData" ma:web="d0dfa800-9ef0-44cb-8a12-633e29de1e0b">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530a30-1469-477c-a42f-e412a5d2cfe7"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HubID xmlns="e771ab56-0c5d-40e7-b080-2686d2b89623">DOC24-191449</ShareHubID>
    <Comments xmlns="http://schemas.microsoft.com/sharepoint/v3" xsi:nil="true"/>
    <TaxCatchAll xmlns="d0dfa800-9ef0-44cb-8a12-633e29de1e0b">
      <Value>4</Value>
    </TaxCatchAll>
    <TaxKeywordTaxHTField xmlns="d0dfa800-9ef0-44cb-8a12-633e29de1e0b">
      <Terms xmlns="http://schemas.microsoft.com/office/infopath/2007/PartnerControls"/>
    </TaxKeywordTaxHTField>
    <_dlc_DocId xmlns="d0dfa800-9ef0-44cb-8a12-633e29de1e0b">PMCdoc-213507164-77086</_dlc_DocId>
    <_dlc_DocIdUrl xmlns="d0dfa800-9ef0-44cb-8a12-633e29de1e0b">
      <Url>https://pmc01.sharepoint.com/sites/pmc-ms-cb/_layouts/15/DocIdRedir.aspx?ID=PMCdoc-213507164-77086</Url>
      <Description>PMCdoc-213507164-77086</Description>
    </_dlc_DocIdUrl>
    <_dlc_DocIdPersistId xmlns="d0dfa800-9ef0-44cb-8a12-633e29de1e0b">false</_dlc_DocIdPersistId>
    <lcf76f155ced4ddcb4097134ff3c332f xmlns="ce530a30-1469-477c-a42f-e412a5d2cfe7">
      <Terms xmlns="http://schemas.microsoft.com/office/infopath/2007/PartnerControls"/>
    </lcf76f155ced4ddcb4097134ff3c332f>
    <i33d79d771804d3fbb0a7948c73bb64e xmlns="d0dfa800-9ef0-44cb-8a12-633e29de1e0b">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i33d79d771804d3fbb0a7948c73bb64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7E4708-43EC-4546-88CC-A203E4A4A5FB}">
  <ds:schemaRefs>
    <ds:schemaRef ds:uri="http://schemas.microsoft.com/sharepoint/events"/>
  </ds:schemaRefs>
</ds:datastoreItem>
</file>

<file path=customXml/itemProps2.xml><?xml version="1.0" encoding="utf-8"?>
<ds:datastoreItem xmlns:ds="http://schemas.openxmlformats.org/officeDocument/2006/customXml" ds:itemID="{1EA5F982-0A7E-4072-9DC1-A8F358552A6F}">
  <ds:schemaRefs>
    <ds:schemaRef ds:uri="http://schemas.openxmlformats.org/officeDocument/2006/bibliography"/>
  </ds:schemaRefs>
</ds:datastoreItem>
</file>

<file path=customXml/itemProps3.xml><?xml version="1.0" encoding="utf-8"?>
<ds:datastoreItem xmlns:ds="http://schemas.openxmlformats.org/officeDocument/2006/customXml" ds:itemID="{CE73E76D-EAC6-4CF9-978C-0A65358F2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dfa800-9ef0-44cb-8a12-633e29de1e0b"/>
    <ds:schemaRef ds:uri="e771ab56-0c5d-40e7-b080-2686d2b89623"/>
    <ds:schemaRef ds:uri="ce530a30-1469-477c-a42f-e412a5d2c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D4CC1A-1FCC-46CA-B7B5-EAF3FB16A9C2}">
  <ds:schemaRefs>
    <ds:schemaRef ds:uri="http://schemas.microsoft.com/office/2006/metadata/properties"/>
    <ds:schemaRef ds:uri="http://schemas.microsoft.com/office/infopath/2007/PartnerControls"/>
    <ds:schemaRef ds:uri="e771ab56-0c5d-40e7-b080-2686d2b89623"/>
    <ds:schemaRef ds:uri="http://schemas.microsoft.com/sharepoint/v3"/>
    <ds:schemaRef ds:uri="d0dfa800-9ef0-44cb-8a12-633e29de1e0b"/>
    <ds:schemaRef ds:uri="ce530a30-1469-477c-a42f-e412a5d2cfe7"/>
  </ds:schemaRefs>
</ds:datastoreItem>
</file>

<file path=customXml/itemProps5.xml><?xml version="1.0" encoding="utf-8"?>
<ds:datastoreItem xmlns:ds="http://schemas.openxmlformats.org/officeDocument/2006/customXml" ds:itemID="{040C0072-2E20-495C-AF67-D8F36FCE6C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23</Pages>
  <Words>6202</Words>
  <Characters>37215</Characters>
  <Application>Microsoft Office Word</Application>
  <DocSecurity>0</DocSecurity>
  <Lines>930</Lines>
  <Paragraphs>667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42750</CharactersWithSpaces>
  <SharedDoc>false</SharedDoc>
  <HLinks>
    <vt:vector size="324" baseType="variant">
      <vt:variant>
        <vt:i4>6488113</vt:i4>
      </vt:variant>
      <vt:variant>
        <vt:i4>198</vt:i4>
      </vt:variant>
      <vt:variant>
        <vt:i4>0</vt:i4>
      </vt:variant>
      <vt:variant>
        <vt:i4>5</vt:i4>
      </vt:variant>
      <vt:variant>
        <vt:lpwstr>http://www.pmc.gov.au/BETA</vt:lpwstr>
      </vt:variant>
      <vt:variant>
        <vt:lpwstr/>
      </vt:variant>
      <vt:variant>
        <vt:i4>6881284</vt:i4>
      </vt:variant>
      <vt:variant>
        <vt:i4>195</vt:i4>
      </vt:variant>
      <vt:variant>
        <vt:i4>0</vt:i4>
      </vt:variant>
      <vt:variant>
        <vt:i4>5</vt:i4>
      </vt:variant>
      <vt:variant>
        <vt:lpwstr>mailto:media@pmc.gov.au</vt:lpwstr>
      </vt:variant>
      <vt:variant>
        <vt:lpwstr/>
      </vt:variant>
      <vt:variant>
        <vt:i4>4390957</vt:i4>
      </vt:variant>
      <vt:variant>
        <vt:i4>192</vt:i4>
      </vt:variant>
      <vt:variant>
        <vt:i4>0</vt:i4>
      </vt:variant>
      <vt:variant>
        <vt:i4>5</vt:i4>
      </vt:variant>
      <vt:variant>
        <vt:lpwstr>mailto:beta@pmc.gov.au</vt:lpwstr>
      </vt:variant>
      <vt:variant>
        <vt:lpwstr/>
      </vt:variant>
      <vt:variant>
        <vt:i4>6553711</vt:i4>
      </vt:variant>
      <vt:variant>
        <vt:i4>189</vt:i4>
      </vt:variant>
      <vt:variant>
        <vt:i4>0</vt:i4>
      </vt:variant>
      <vt:variant>
        <vt:i4>5</vt:i4>
      </vt:variant>
      <vt:variant>
        <vt:lpwstr>https://pmc.gov.au/cca</vt:lpwstr>
      </vt:variant>
      <vt:variant>
        <vt:lpwstr/>
      </vt:variant>
      <vt:variant>
        <vt:i4>5308424</vt:i4>
      </vt:variant>
      <vt:variant>
        <vt:i4>186</vt:i4>
      </vt:variant>
      <vt:variant>
        <vt:i4>0</vt:i4>
      </vt:variant>
      <vt:variant>
        <vt:i4>5</vt:i4>
      </vt:variant>
      <vt:variant>
        <vt:lpwstr>https://creativecommons.org/licenses/by/4.0/</vt:lpwstr>
      </vt:variant>
      <vt:variant>
        <vt:lpwstr/>
      </vt:variant>
      <vt:variant>
        <vt:i4>4390957</vt:i4>
      </vt:variant>
      <vt:variant>
        <vt:i4>183</vt:i4>
      </vt:variant>
      <vt:variant>
        <vt:i4>0</vt:i4>
      </vt:variant>
      <vt:variant>
        <vt:i4>5</vt:i4>
      </vt:variant>
      <vt:variant>
        <vt:lpwstr>mailto:beta@pmc.gov.au</vt:lpwstr>
      </vt:variant>
      <vt:variant>
        <vt:lpwstr/>
      </vt:variant>
      <vt:variant>
        <vt:i4>7340156</vt:i4>
      </vt:variant>
      <vt:variant>
        <vt:i4>180</vt:i4>
      </vt:variant>
      <vt:variant>
        <vt:i4>0</vt:i4>
      </vt:variant>
      <vt:variant>
        <vt:i4>5</vt:i4>
      </vt:variant>
      <vt:variant>
        <vt:lpwstr>https://www.pmc.gov.au/beta/projects/home-energy-upgrades-empowering-homeowners-make-informed-decisions</vt:lpwstr>
      </vt:variant>
      <vt:variant>
        <vt:lpwstr/>
      </vt:variant>
      <vt:variant>
        <vt:i4>7012402</vt:i4>
      </vt:variant>
      <vt:variant>
        <vt:i4>177</vt:i4>
      </vt:variant>
      <vt:variant>
        <vt:i4>0</vt:i4>
      </vt:variant>
      <vt:variant>
        <vt:i4>5</vt:i4>
      </vt:variant>
      <vt:variant>
        <vt:lpwstr>https://www.pmc.gov.au/beta/projects/informing-design-yoursuper-comparison-tool</vt:lpwstr>
      </vt:variant>
      <vt:variant>
        <vt:lpwstr/>
      </vt:variant>
      <vt:variant>
        <vt:i4>7340071</vt:i4>
      </vt:variant>
      <vt:variant>
        <vt:i4>174</vt:i4>
      </vt:variant>
      <vt:variant>
        <vt:i4>0</vt:i4>
      </vt:variant>
      <vt:variant>
        <vt:i4>5</vt:i4>
      </vt:variant>
      <vt:variant>
        <vt:lpwstr>https://www.pmc.gov.au/beta/projects/women-economics-student-mentoring-program</vt:lpwstr>
      </vt:variant>
      <vt:variant>
        <vt:lpwstr/>
      </vt:variant>
      <vt:variant>
        <vt:i4>5308494</vt:i4>
      </vt:variant>
      <vt:variant>
        <vt:i4>171</vt:i4>
      </vt:variant>
      <vt:variant>
        <vt:i4>0</vt:i4>
      </vt:variant>
      <vt:variant>
        <vt:i4>5</vt:i4>
      </vt:variant>
      <vt:variant>
        <vt:lpwstr>https://www.pmc.gov.au/beta/projects/improving-tax-compliance-income-tax-returns-filed-through-tax-agents</vt:lpwstr>
      </vt:variant>
      <vt:variant>
        <vt:lpwstr/>
      </vt:variant>
      <vt:variant>
        <vt:i4>1048660</vt:i4>
      </vt:variant>
      <vt:variant>
        <vt:i4>168</vt:i4>
      </vt:variant>
      <vt:variant>
        <vt:i4>0</vt:i4>
      </vt:variant>
      <vt:variant>
        <vt:i4>5</vt:i4>
      </vt:variant>
      <vt:variant>
        <vt:lpwstr>https://www.pmc.gov.au/beta/projects/increasing-workplace-giving</vt:lpwstr>
      </vt:variant>
      <vt:variant>
        <vt:lpwstr/>
      </vt:variant>
      <vt:variant>
        <vt:i4>3801206</vt:i4>
      </vt:variant>
      <vt:variant>
        <vt:i4>165</vt:i4>
      </vt:variant>
      <vt:variant>
        <vt:i4>0</vt:i4>
      </vt:variant>
      <vt:variant>
        <vt:i4>5</vt:i4>
      </vt:variant>
      <vt:variant>
        <vt:lpwstr>https://www.pmc.gov.au/beta/projects/unconscious-bias-australian-public-service-shortlisting-processes</vt:lpwstr>
      </vt:variant>
      <vt:variant>
        <vt:lpwstr/>
      </vt:variant>
      <vt:variant>
        <vt:i4>6291509</vt:i4>
      </vt:variant>
      <vt:variant>
        <vt:i4>162</vt:i4>
      </vt:variant>
      <vt:variant>
        <vt:i4>0</vt:i4>
      </vt:variant>
      <vt:variant>
        <vt:i4>5</vt:i4>
      </vt:variant>
      <vt:variant>
        <vt:lpwstr>https://www.pmc.gov.au/beta/projects/supporting-retirees-retirement-income-planning</vt:lpwstr>
      </vt:variant>
      <vt:variant>
        <vt:lpwstr/>
      </vt:variant>
      <vt:variant>
        <vt:i4>3735592</vt:i4>
      </vt:variant>
      <vt:variant>
        <vt:i4>159</vt:i4>
      </vt:variant>
      <vt:variant>
        <vt:i4>0</vt:i4>
      </vt:variant>
      <vt:variant>
        <vt:i4>5</vt:i4>
      </vt:variant>
      <vt:variant>
        <vt:lpwstr>https://www.pmc.gov.au/beta/projects/effective-use-sms-encourage-timely-reporting-behaviour-using-digital-channels</vt:lpwstr>
      </vt:variant>
      <vt:variant>
        <vt:lpwstr/>
      </vt:variant>
      <vt:variant>
        <vt:i4>7929911</vt:i4>
      </vt:variant>
      <vt:variant>
        <vt:i4>156</vt:i4>
      </vt:variant>
      <vt:variant>
        <vt:i4>0</vt:i4>
      </vt:variant>
      <vt:variant>
        <vt:i4>5</vt:i4>
      </vt:variant>
      <vt:variant>
        <vt:lpwstr>https://www.pmc.gov.au/beta/projects/introducing-behavioural-insights-personal-property-securities-register</vt:lpwstr>
      </vt:variant>
      <vt:variant>
        <vt:lpwstr/>
      </vt:variant>
      <vt:variant>
        <vt:i4>2490425</vt:i4>
      </vt:variant>
      <vt:variant>
        <vt:i4>153</vt:i4>
      </vt:variant>
      <vt:variant>
        <vt:i4>0</vt:i4>
      </vt:variant>
      <vt:variant>
        <vt:i4>5</vt:i4>
      </vt:variant>
      <vt:variant>
        <vt:lpwstr>https://www.pmc.gov.au/beta/projects/paid-parental-leave-decisions</vt:lpwstr>
      </vt:variant>
      <vt:variant>
        <vt:lpwstr/>
      </vt:variant>
      <vt:variant>
        <vt:i4>3342444</vt:i4>
      </vt:variant>
      <vt:variant>
        <vt:i4>150</vt:i4>
      </vt:variant>
      <vt:variant>
        <vt:i4>0</vt:i4>
      </vt:variant>
      <vt:variant>
        <vt:i4>5</vt:i4>
      </vt:variant>
      <vt:variant>
        <vt:lpwstr>https://www.pmc.gov.au/beta/projects/improving-organ-donor-registration-among-young-adults</vt:lpwstr>
      </vt:variant>
      <vt:variant>
        <vt:lpwstr/>
      </vt:variant>
      <vt:variant>
        <vt:i4>2556028</vt:i4>
      </vt:variant>
      <vt:variant>
        <vt:i4>147</vt:i4>
      </vt:variant>
      <vt:variant>
        <vt:i4>0</vt:i4>
      </vt:variant>
      <vt:variant>
        <vt:i4>5</vt:i4>
      </vt:variant>
      <vt:variant>
        <vt:lpwstr>https://www.pmc.gov.au/beta/projects/applying-behavioural-insights-online-wagering</vt:lpwstr>
      </vt:variant>
      <vt:variant>
        <vt:lpwstr/>
      </vt:variant>
      <vt:variant>
        <vt:i4>4456514</vt:i4>
      </vt:variant>
      <vt:variant>
        <vt:i4>144</vt:i4>
      </vt:variant>
      <vt:variant>
        <vt:i4>0</vt:i4>
      </vt:variant>
      <vt:variant>
        <vt:i4>5</vt:i4>
      </vt:variant>
      <vt:variant>
        <vt:lpwstr>https://www.pmc.gov.au/beta/projects/increasing-transparency-online-foreign-exchange-calculators</vt:lpwstr>
      </vt:variant>
      <vt:variant>
        <vt:lpwstr/>
      </vt:variant>
      <vt:variant>
        <vt:i4>851984</vt:i4>
      </vt:variant>
      <vt:variant>
        <vt:i4>141</vt:i4>
      </vt:variant>
      <vt:variant>
        <vt:i4>0</vt:i4>
      </vt:variant>
      <vt:variant>
        <vt:i4>5</vt:i4>
      </vt:variant>
      <vt:variant>
        <vt:lpwstr>https://www.pmc.gov.au/beta/projects/workplace-experience-hospitality-apprentices</vt:lpwstr>
      </vt:variant>
      <vt:variant>
        <vt:lpwstr/>
      </vt:variant>
      <vt:variant>
        <vt:i4>2752636</vt:i4>
      </vt:variant>
      <vt:variant>
        <vt:i4>138</vt:i4>
      </vt:variant>
      <vt:variant>
        <vt:i4>0</vt:i4>
      </vt:variant>
      <vt:variant>
        <vt:i4>5</vt:i4>
      </vt:variant>
      <vt:variant>
        <vt:lpwstr>https://www.pmc.gov.au/beta/projects/strengthening-students-resilience</vt:lpwstr>
      </vt:variant>
      <vt:variant>
        <vt:lpwstr/>
      </vt:variant>
      <vt:variant>
        <vt:i4>1441817</vt:i4>
      </vt:variant>
      <vt:variant>
        <vt:i4>135</vt:i4>
      </vt:variant>
      <vt:variant>
        <vt:i4>0</vt:i4>
      </vt:variant>
      <vt:variant>
        <vt:i4>5</vt:i4>
      </vt:variant>
      <vt:variant>
        <vt:lpwstr>https://www.pmc.gov.au/beta/projects/paid-family-and-domestic-violence-leave</vt:lpwstr>
      </vt:variant>
      <vt:variant>
        <vt:lpwstr/>
      </vt:variant>
      <vt:variant>
        <vt:i4>3473450</vt:i4>
      </vt:variant>
      <vt:variant>
        <vt:i4>132</vt:i4>
      </vt:variant>
      <vt:variant>
        <vt:i4>0</vt:i4>
      </vt:variant>
      <vt:variant>
        <vt:i4>5</vt:i4>
      </vt:variant>
      <vt:variant>
        <vt:lpwstr>https://www.pmc.gov.au/beta/projects/energy-labels-make-cents-testing-effect-appliance-energy-rating-labels</vt:lpwstr>
      </vt:variant>
      <vt:variant>
        <vt:lpwstr/>
      </vt:variant>
      <vt:variant>
        <vt:i4>3407968</vt:i4>
      </vt:variant>
      <vt:variant>
        <vt:i4>129</vt:i4>
      </vt:variant>
      <vt:variant>
        <vt:i4>0</vt:i4>
      </vt:variant>
      <vt:variant>
        <vt:i4>5</vt:i4>
      </vt:variant>
      <vt:variant>
        <vt:lpwstr>https://www.pmc.gov.au/beta/projects/simplifying-energy-fact-sheets-improve-consumer-understanding</vt:lpwstr>
      </vt:variant>
      <vt:variant>
        <vt:lpwstr/>
      </vt:variant>
      <vt:variant>
        <vt:i4>2162749</vt:i4>
      </vt:variant>
      <vt:variant>
        <vt:i4>126</vt:i4>
      </vt:variant>
      <vt:variant>
        <vt:i4>0</vt:i4>
      </vt:variant>
      <vt:variant>
        <vt:i4>5</vt:i4>
      </vt:variant>
      <vt:variant>
        <vt:lpwstr>https://www.pmc.gov.au/beta/projects/redesigning-electricity-bills-support-consumer-engagement</vt:lpwstr>
      </vt:variant>
      <vt:variant>
        <vt:lpwstr/>
      </vt:variant>
      <vt:variant>
        <vt:i4>1376336</vt:i4>
      </vt:variant>
      <vt:variant>
        <vt:i4>123</vt:i4>
      </vt:variant>
      <vt:variant>
        <vt:i4>0</vt:i4>
      </vt:variant>
      <vt:variant>
        <vt:i4>5</vt:i4>
      </vt:variant>
      <vt:variant>
        <vt:lpwstr>https://www.pmc.gov.au/beta/projects/empowered-switch-energy-made-easier</vt:lpwstr>
      </vt:variant>
      <vt:variant>
        <vt:lpwstr/>
      </vt:variant>
      <vt:variant>
        <vt:i4>2752548</vt:i4>
      </vt:variant>
      <vt:variant>
        <vt:i4>120</vt:i4>
      </vt:variant>
      <vt:variant>
        <vt:i4>0</vt:i4>
      </vt:variant>
      <vt:variant>
        <vt:i4>5</vt:i4>
      </vt:variant>
      <vt:variant>
        <vt:lpwstr>https://www.pmc.gov.au/beta/projects/increasing-disability-identification-australian-public-service</vt:lpwstr>
      </vt:variant>
      <vt:variant>
        <vt:lpwstr/>
      </vt:variant>
      <vt:variant>
        <vt:i4>655364</vt:i4>
      </vt:variant>
      <vt:variant>
        <vt:i4>117</vt:i4>
      </vt:variant>
      <vt:variant>
        <vt:i4>0</vt:i4>
      </vt:variant>
      <vt:variant>
        <vt:i4>5</vt:i4>
      </vt:variant>
      <vt:variant>
        <vt:lpwstr>https://www.pmc.gov.au/beta/projects/making-it-less-taxing-better-compliance-deferred-gst</vt:lpwstr>
      </vt:variant>
      <vt:variant>
        <vt:lpwstr/>
      </vt:variant>
      <vt:variant>
        <vt:i4>655364</vt:i4>
      </vt:variant>
      <vt:variant>
        <vt:i4>114</vt:i4>
      </vt:variant>
      <vt:variant>
        <vt:i4>0</vt:i4>
      </vt:variant>
      <vt:variant>
        <vt:i4>5</vt:i4>
      </vt:variant>
      <vt:variant>
        <vt:lpwstr>https://www.pmc.gov.au/beta/projects/making-it-less-taxing-better-compliance-deferred-gst</vt:lpwstr>
      </vt:variant>
      <vt:variant>
        <vt:lpwstr/>
      </vt:variant>
      <vt:variant>
        <vt:i4>2424894</vt:i4>
      </vt:variant>
      <vt:variant>
        <vt:i4>111</vt:i4>
      </vt:variant>
      <vt:variant>
        <vt:i4>0</vt:i4>
      </vt:variant>
      <vt:variant>
        <vt:i4>5</vt:i4>
      </vt:variant>
      <vt:variant>
        <vt:lpwstr>https://www.pmc.gov.au/beta/projects/encouraging-survey-participation-evaluate-social-service-program-outcomes</vt:lpwstr>
      </vt:variant>
      <vt:variant>
        <vt:lpwstr/>
      </vt:variant>
      <vt:variant>
        <vt:i4>4784209</vt:i4>
      </vt:variant>
      <vt:variant>
        <vt:i4>108</vt:i4>
      </vt:variant>
      <vt:variant>
        <vt:i4>0</vt:i4>
      </vt:variant>
      <vt:variant>
        <vt:i4>5</vt:i4>
      </vt:variant>
      <vt:variant>
        <vt:lpwstr>https://www.pmc.gov.au/beta/projects/password123-applying-behavioural-insights-cyber-security-advice</vt:lpwstr>
      </vt:variant>
      <vt:variant>
        <vt:lpwstr/>
      </vt:variant>
      <vt:variant>
        <vt:i4>4784209</vt:i4>
      </vt:variant>
      <vt:variant>
        <vt:i4>105</vt:i4>
      </vt:variant>
      <vt:variant>
        <vt:i4>0</vt:i4>
      </vt:variant>
      <vt:variant>
        <vt:i4>5</vt:i4>
      </vt:variant>
      <vt:variant>
        <vt:lpwstr>https://www.pmc.gov.au/beta/projects/password123-applying-behavioural-insights-cyber-security-advice</vt:lpwstr>
      </vt:variant>
      <vt:variant>
        <vt:lpwstr/>
      </vt:variant>
      <vt:variant>
        <vt:i4>3145790</vt:i4>
      </vt:variant>
      <vt:variant>
        <vt:i4>102</vt:i4>
      </vt:variant>
      <vt:variant>
        <vt:i4>0</vt:i4>
      </vt:variant>
      <vt:variant>
        <vt:i4>5</vt:i4>
      </vt:variant>
      <vt:variant>
        <vt:lpwstr>https://www.pmc.gov.au/beta/projects/using-behavioural-insights-boost-impact-cyber-security-alerts</vt:lpwstr>
      </vt:variant>
      <vt:variant>
        <vt:lpwstr/>
      </vt:variant>
      <vt:variant>
        <vt:i4>4784209</vt:i4>
      </vt:variant>
      <vt:variant>
        <vt:i4>99</vt:i4>
      </vt:variant>
      <vt:variant>
        <vt:i4>0</vt:i4>
      </vt:variant>
      <vt:variant>
        <vt:i4>5</vt:i4>
      </vt:variant>
      <vt:variant>
        <vt:lpwstr>https://www.pmc.gov.au/beta/projects/password123-applying-behavioural-insights-cyber-security-advice</vt:lpwstr>
      </vt:variant>
      <vt:variant>
        <vt:lpwstr/>
      </vt:variant>
      <vt:variant>
        <vt:i4>2621482</vt:i4>
      </vt:variant>
      <vt:variant>
        <vt:i4>96</vt:i4>
      </vt:variant>
      <vt:variant>
        <vt:i4>0</vt:i4>
      </vt:variant>
      <vt:variant>
        <vt:i4>5</vt:i4>
      </vt:variant>
      <vt:variant>
        <vt:lpwstr>https://www.pmc.gov.au/beta/projects/credit-when-its-due-reducing-credit-card-debt</vt:lpwstr>
      </vt:variant>
      <vt:variant>
        <vt:lpwstr/>
      </vt:variant>
      <vt:variant>
        <vt:i4>8126520</vt:i4>
      </vt:variant>
      <vt:variant>
        <vt:i4>93</vt:i4>
      </vt:variant>
      <vt:variant>
        <vt:i4>0</vt:i4>
      </vt:variant>
      <vt:variant>
        <vt:i4>5</vt:i4>
      </vt:variant>
      <vt:variant>
        <vt:lpwstr>https://www.pmc.gov.au/beta/projects/testing-communications-strategies-2026-census</vt:lpwstr>
      </vt:variant>
      <vt:variant>
        <vt:lpwstr/>
      </vt:variant>
      <vt:variant>
        <vt:i4>917505</vt:i4>
      </vt:variant>
      <vt:variant>
        <vt:i4>90</vt:i4>
      </vt:variant>
      <vt:variant>
        <vt:i4>0</vt:i4>
      </vt:variant>
      <vt:variant>
        <vt:i4>5</vt:i4>
      </vt:variant>
      <vt:variant>
        <vt:lpwstr>https://www.pmc.gov.au/beta/projects/counting-us-how-start-dates-affect-census-participation</vt:lpwstr>
      </vt:variant>
      <vt:variant>
        <vt:lpwstr/>
      </vt:variant>
      <vt:variant>
        <vt:i4>2555966</vt:i4>
      </vt:variant>
      <vt:variant>
        <vt:i4>87</vt:i4>
      </vt:variant>
      <vt:variant>
        <vt:i4>0</vt:i4>
      </vt:variant>
      <vt:variant>
        <vt:i4>5</vt:i4>
      </vt:variant>
      <vt:variant>
        <vt:lpwstr>https://www.pmc.gov.au/beta/projects/improving-government-confirmation-processes-using-sms</vt:lpwstr>
      </vt:variant>
      <vt:variant>
        <vt:lpwstr/>
      </vt:variant>
      <vt:variant>
        <vt:i4>3735656</vt:i4>
      </vt:variant>
      <vt:variant>
        <vt:i4>84</vt:i4>
      </vt:variant>
      <vt:variant>
        <vt:i4>0</vt:i4>
      </vt:variant>
      <vt:variant>
        <vt:i4>5</vt:i4>
      </vt:variant>
      <vt:variant>
        <vt:lpwstr>https://www.pmc.gov.au/beta/projects/improving-energy-bills</vt:lpwstr>
      </vt:variant>
      <vt:variant>
        <vt:lpwstr/>
      </vt:variant>
      <vt:variant>
        <vt:i4>3735656</vt:i4>
      </vt:variant>
      <vt:variant>
        <vt:i4>81</vt:i4>
      </vt:variant>
      <vt:variant>
        <vt:i4>0</vt:i4>
      </vt:variant>
      <vt:variant>
        <vt:i4>5</vt:i4>
      </vt:variant>
      <vt:variant>
        <vt:lpwstr>https://www.pmc.gov.au/beta/projects/improving-energy-bills</vt:lpwstr>
      </vt:variant>
      <vt:variant>
        <vt:lpwstr/>
      </vt:variant>
      <vt:variant>
        <vt:i4>6881342</vt:i4>
      </vt:variant>
      <vt:variant>
        <vt:i4>78</vt:i4>
      </vt:variant>
      <vt:variant>
        <vt:i4>0</vt:i4>
      </vt:variant>
      <vt:variant>
        <vt:i4>5</vt:i4>
      </vt:variant>
      <vt:variant>
        <vt:lpwstr>https://www.pmc.gov.au/beta/projects/helping-people-understand-outcomes-bankruptcy</vt:lpwstr>
      </vt:variant>
      <vt:variant>
        <vt:lpwstr/>
      </vt:variant>
      <vt:variant>
        <vt:i4>6881342</vt:i4>
      </vt:variant>
      <vt:variant>
        <vt:i4>75</vt:i4>
      </vt:variant>
      <vt:variant>
        <vt:i4>0</vt:i4>
      </vt:variant>
      <vt:variant>
        <vt:i4>5</vt:i4>
      </vt:variant>
      <vt:variant>
        <vt:lpwstr>https://www.pmc.gov.au/beta/projects/helping-people-understand-outcomes-bankruptcy</vt:lpwstr>
      </vt:variant>
      <vt:variant>
        <vt:lpwstr/>
      </vt:variant>
      <vt:variant>
        <vt:i4>131086</vt:i4>
      </vt:variant>
      <vt:variant>
        <vt:i4>72</vt:i4>
      </vt:variant>
      <vt:variant>
        <vt:i4>0</vt:i4>
      </vt:variant>
      <vt:variant>
        <vt:i4>5</vt:i4>
      </vt:variant>
      <vt:variant>
        <vt:lpwstr>https://www.pmc.gov.au/beta/projects/prompting-better-deal-understanding-and-overcoming-barriers-financial-product-switching</vt:lpwstr>
      </vt:variant>
      <vt:variant>
        <vt:lpwstr/>
      </vt:variant>
      <vt:variant>
        <vt:i4>131086</vt:i4>
      </vt:variant>
      <vt:variant>
        <vt:i4>69</vt:i4>
      </vt:variant>
      <vt:variant>
        <vt:i4>0</vt:i4>
      </vt:variant>
      <vt:variant>
        <vt:i4>5</vt:i4>
      </vt:variant>
      <vt:variant>
        <vt:lpwstr>https://www.pmc.gov.au/beta/projects/prompting-better-deal-understanding-and-overcoming-barriers-financial-product-switching</vt:lpwstr>
      </vt:variant>
      <vt:variant>
        <vt:lpwstr/>
      </vt:variant>
      <vt:variant>
        <vt:i4>8126504</vt:i4>
      </vt:variant>
      <vt:variant>
        <vt:i4>66</vt:i4>
      </vt:variant>
      <vt:variant>
        <vt:i4>0</vt:i4>
      </vt:variant>
      <vt:variant>
        <vt:i4>5</vt:i4>
      </vt:variant>
      <vt:variant>
        <vt:lpwstr>https://www.pmc.gov.au/beta/projects/building-persistent-compliance-labour-law</vt:lpwstr>
      </vt:variant>
      <vt:variant>
        <vt:lpwstr/>
      </vt:variant>
      <vt:variant>
        <vt:i4>7274543</vt:i4>
      </vt:variant>
      <vt:variant>
        <vt:i4>63</vt:i4>
      </vt:variant>
      <vt:variant>
        <vt:i4>0</vt:i4>
      </vt:variant>
      <vt:variant>
        <vt:i4>5</vt:i4>
      </vt:variant>
      <vt:variant>
        <vt:lpwstr>https://www.pmc.gov.au/beta/projects/testing-incentives-encourage-asbestos-removal</vt:lpwstr>
      </vt:variant>
      <vt:variant>
        <vt:lpwstr/>
      </vt:variant>
      <vt:variant>
        <vt:i4>327691</vt:i4>
      </vt:variant>
      <vt:variant>
        <vt:i4>60</vt:i4>
      </vt:variant>
      <vt:variant>
        <vt:i4>0</vt:i4>
      </vt:variant>
      <vt:variant>
        <vt:i4>5</vt:i4>
      </vt:variant>
      <vt:variant>
        <vt:lpwstr>https://www.pmc.gov.au/beta/projects/nudge-vs-superbugs-reducing-overprescribing-antibiotics</vt:lpwstr>
      </vt:variant>
      <vt:variant>
        <vt:lpwstr/>
      </vt:variant>
      <vt:variant>
        <vt:i4>1245252</vt:i4>
      </vt:variant>
      <vt:variant>
        <vt:i4>57</vt:i4>
      </vt:variant>
      <vt:variant>
        <vt:i4>0</vt:i4>
      </vt:variant>
      <vt:variant>
        <vt:i4>5</vt:i4>
      </vt:variant>
      <vt:variant>
        <vt:lpwstr>https://www.pmc.gov.au/beta/projects/supporting-consumer-decision-making-about-add-insurance</vt:lpwstr>
      </vt:variant>
      <vt:variant>
        <vt:lpwstr/>
      </vt:variant>
      <vt:variant>
        <vt:i4>262214</vt:i4>
      </vt:variant>
      <vt:variant>
        <vt:i4>54</vt:i4>
      </vt:variant>
      <vt:variant>
        <vt:i4>0</vt:i4>
      </vt:variant>
      <vt:variant>
        <vt:i4>5</vt:i4>
      </vt:variant>
      <vt:variant>
        <vt:lpwstr>https://www.pmc.gov.au/beta/projects/increasing-participation-adult-migrant-english-program-amep</vt:lpwstr>
      </vt:variant>
      <vt:variant>
        <vt:lpwstr/>
      </vt:variant>
      <vt:variant>
        <vt:i4>4128869</vt:i4>
      </vt:variant>
      <vt:variant>
        <vt:i4>51</vt:i4>
      </vt:variant>
      <vt:variant>
        <vt:i4>0</vt:i4>
      </vt:variant>
      <vt:variant>
        <vt:i4>5</vt:i4>
      </vt:variant>
      <vt:variant>
        <vt:lpwstr>https://doi.org/10.1073/pnas.210734611</vt:lpwstr>
      </vt:variant>
      <vt:variant>
        <vt:lpwstr/>
      </vt:variant>
      <vt:variant>
        <vt:i4>1179688</vt:i4>
      </vt:variant>
      <vt:variant>
        <vt:i4>48</vt:i4>
      </vt:variant>
      <vt:variant>
        <vt:i4>0</vt:i4>
      </vt:variant>
      <vt:variant>
        <vt:i4>5</vt:i4>
      </vt:variant>
      <vt:variant>
        <vt:lpwstr>https://www.ifo.de/DocDL/cesifo1_wp11863.pdf</vt:lpwstr>
      </vt:variant>
      <vt:variant>
        <vt:lpwstr/>
      </vt:variant>
      <vt:variant>
        <vt:i4>655378</vt:i4>
      </vt:variant>
      <vt:variant>
        <vt:i4>45</vt:i4>
      </vt:variant>
      <vt:variant>
        <vt:i4>0</vt:i4>
      </vt:variant>
      <vt:variant>
        <vt:i4>5</vt:i4>
      </vt:variant>
      <vt:variant>
        <vt:lpwstr>https://hubo-home.com/publication/assessing-nudge-impact-a-comprehensive-second-order-meta-analysis/</vt:lpwstr>
      </vt:variant>
      <vt:variant>
        <vt:lpwstr/>
      </vt:variant>
      <vt:variant>
        <vt:i4>3080292</vt:i4>
      </vt:variant>
      <vt:variant>
        <vt:i4>42</vt:i4>
      </vt:variant>
      <vt:variant>
        <vt:i4>0</vt:i4>
      </vt:variant>
      <vt:variant>
        <vt:i4>5</vt:i4>
      </vt:variant>
      <vt:variant>
        <vt:lpwstr>https://colab.ws/articles/10.1002/bdm.70053</vt:lpwstr>
      </vt:variant>
      <vt:variant>
        <vt:lpwstr/>
      </vt:variant>
      <vt:variant>
        <vt:i4>8323188</vt:i4>
      </vt:variant>
      <vt:variant>
        <vt:i4>36</vt:i4>
      </vt:variant>
      <vt:variant>
        <vt:i4>0</vt:i4>
      </vt:variant>
      <vt:variant>
        <vt:i4>5</vt:i4>
      </vt:variant>
      <vt:variant>
        <vt:lpwstr>https://doi.org/10.3982%2FECTA18709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years of BETA - Meta analysis of our behavioural trials</dc:title>
  <dc:subject/>
  <cp:keywords/>
  <dc:description/>
  <cp:lastPrinted>2026-04-27T13:55:00Z</cp:lastPrinted>
  <dcterms:created xsi:type="dcterms:W3CDTF">2026-10-28T15:01:00Z</dcterms:created>
  <dcterms:modified xsi:type="dcterms:W3CDTF">2026-10-30T01:35:00Z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0x0101004F285619428CBE4886618267E9F1076D</vt:lpwstr>
  </property>
  <property fmtid="{D5CDD505-2E9C-101B-9397-08002B2CF9AE}" pid="3" name="HPRMSecurityLevel">
    <vt:lpwstr>1;#UNCLASSIFIED|9c49a7c7-17c7-412f-8077-62dec89b9196</vt:lpwstr>
  </property>
  <property fmtid="{D5CDD505-2E9C-101B-9397-08002B2CF9AE}" pid="4" name="HPRMSecurityCaveat">
    <vt:lpwstr/>
  </property>
  <property fmtid="{D5CDD505-2E9C-101B-9397-08002B2CF9AE}" pid="5" name="ESearchTags">
    <vt:lpwstr/>
  </property>
  <property fmtid="{D5CDD505-2E9C-101B-9397-08002B2CF9AE}" pid="6" name="PMC.ESearch.TagGeneratedTime">
    <vt:lpwstr>2023-10-30T11:32:27</vt:lpwstr>
  </property>
  <property fmtid="{D5CDD505-2E9C-101B-9397-08002B2CF9AE}" pid="7" name="TaxKeyword">
    <vt:lpwstr/>
  </property>
  <property fmtid="{D5CDD505-2E9C-101B-9397-08002B2CF9AE}" pid="8" name="PMCNotes">
    <vt:lpwstr/>
  </property>
  <property fmtid="{D5CDD505-2E9C-101B-9397-08002B2CF9AE}" pid="9" name="jd1c641577414dfdab1686c9d5d0dbd0">
    <vt:lpwstr/>
  </property>
  <property fmtid="{D5CDD505-2E9C-101B-9397-08002B2CF9AE}" pid="10" name="GUID">
    <vt:lpwstr>4a0533e7-272b-451c-95d8-2efb87e75c0f</vt:lpwstr>
  </property>
  <property fmtid="{D5CDD505-2E9C-101B-9397-08002B2CF9AE}" pid="11" name="xd_Signature">
    <vt:bool>false</vt:bool>
  </property>
  <property fmtid="{D5CDD505-2E9C-101B-9397-08002B2CF9AE}" pid="12" name="xd_ProgID">
    <vt:lpwstr/>
  </property>
  <property fmtid="{D5CDD505-2E9C-101B-9397-08002B2CF9AE}" pid="13" name="InformationMarker">
    <vt:lpwstr/>
  </property>
  <property fmtid="{D5CDD505-2E9C-101B-9397-08002B2CF9AE}" pid="14" name="FolderID">
    <vt:lpwstr/>
  </property>
  <property fmtid="{D5CDD505-2E9C-101B-9397-08002B2CF9AE}" pid="15" name="SharedWithUsers">
    <vt:lpwstr/>
  </property>
  <property fmtid="{D5CDD505-2E9C-101B-9397-08002B2CF9AE}" pid="16" name="TriggerFlowInfo">
    <vt:lpwstr/>
  </property>
  <property fmtid="{D5CDD505-2E9C-101B-9397-08002B2CF9AE}" pid="17" name="SecurityClassification">
    <vt:lpwstr>4;#OFFICIAL|9e0ec9cb-4e7f-4d4a-bd32-1ee7525c6d87</vt:lpwstr>
  </property>
  <property fmtid="{D5CDD505-2E9C-101B-9397-08002B2CF9AE}" pid="18" name="i755b1c31c454897b397742914183978">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MediaServiceImageTags">
    <vt:lpwstr/>
  </property>
  <property fmtid="{D5CDD505-2E9C-101B-9397-08002B2CF9AE}" pid="23" name="docLang">
    <vt:lpwstr>en</vt:lpwstr>
  </property>
  <property fmtid="{D5CDD505-2E9C-101B-9397-08002B2CF9AE}" pid="24" name="MSIP_Label_78735fde-13bf-4304-b60c-623e0caf8a78_Enabled">
    <vt:lpwstr>True</vt:lpwstr>
  </property>
  <property fmtid="{D5CDD505-2E9C-101B-9397-08002B2CF9AE}" pid="25" name="MSIP_Label_78735fde-13bf-4304-b60c-623e0caf8a78_SiteId">
    <vt:lpwstr>b964751a-419e-4acd-aeb0-b5807bc26fcc</vt:lpwstr>
  </property>
  <property fmtid="{D5CDD505-2E9C-101B-9397-08002B2CF9AE}" pid="26" name="MSIP_Label_78735fde-13bf-4304-b60c-623e0caf8a78_SetDate">
    <vt:lpwstr>2026-08-28T20:09:33Z</vt:lpwstr>
  </property>
  <property fmtid="{D5CDD505-2E9C-101B-9397-08002B2CF9AE}" pid="27" name="MSIP_Label_78735fde-13bf-4304-b60c-623e0caf8a78_Name">
    <vt:lpwstr>OFFICIAL</vt:lpwstr>
  </property>
  <property fmtid="{D5CDD505-2E9C-101B-9397-08002B2CF9AE}" pid="28" name="MSIP_Label_78735fde-13bf-4304-b60c-623e0caf8a78_ActionId">
    <vt:lpwstr>a6fbf98a-f213-4a24-b104-02e59b46544a</vt:lpwstr>
  </property>
  <property fmtid="{D5CDD505-2E9C-101B-9397-08002B2CF9AE}" pid="29" name="MSIP_Label_78735fde-13bf-4304-b60c-623e0caf8a78_Removed">
    <vt:lpwstr>False</vt:lpwstr>
  </property>
  <property fmtid="{D5CDD505-2E9C-101B-9397-08002B2CF9AE}" pid="30" name="MSIP_Label_78735fde-13bf-4304-b60c-623e0caf8a78_Extended_MSFT_Method">
    <vt:lpwstr>Standard</vt:lpwstr>
  </property>
  <property fmtid="{D5CDD505-2E9C-101B-9397-08002B2CF9AE}" pid="31" name="Sensitivity">
    <vt:lpwstr>OFFICIAL</vt:lpwstr>
  </property>
  <property fmtid="{D5CDD505-2E9C-101B-9397-08002B2CF9AE}" pid="32" name="_dlc_DocIdItemGuid">
    <vt:lpwstr>f0df441e-fccb-42c2-ac97-8909735a9be7</vt:lpwstr>
  </property>
</Properties>
</file>