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p w14:paraId="4BE8344C" w14:textId="77777777" w:rsidR="00A62EF3" w:rsidRDefault="00CA0EC0" w:rsidP="00E21483">
      <w:pPr>
        <w:pStyle w:val="Title"/>
        <w:ind w:right="3259"/>
      </w:pPr>
      <w:sdt>
        <w:sdtPr>
          <w:alias w:val="Title"/>
          <w:tag w:val=""/>
          <w:id w:val="879900963"/>
          <w:placeholder>
            <w:docPart w:val="88CDE94EFDFD46EDA08723501BC8EC52"/>
          </w:placeholder>
          <w:dataBinding w:prefixMappings="xmlns:ns0='http://purl.org/dc/elements/1.1/' xmlns:ns1='http://schemas.openxmlformats.org/package/2006/metadata/core-properties' " w:xpath="/ns1:coreProperties[1]/ns0:title[1]" w:storeItemID="{6C3C8BC8-F283-45AE-878A-BAB7291924A1}"/>
          <w:text/>
        </w:sdtPr>
        <w:sdtEndPr/>
        <w:sdtContent>
          <w:r w:rsidR="00F25DA5">
            <w:t xml:space="preserve">Appendix G: </w:t>
          </w:r>
          <w:r w:rsidR="001F6E4A">
            <w:t>Requirements for Documentation</w:t>
          </w:r>
        </w:sdtContent>
      </w:sdt>
    </w:p>
    <w:p w14:paraId="4BE8344D" w14:textId="77777777" w:rsidR="001F6E4A" w:rsidRDefault="001F6E4A" w:rsidP="00593129">
      <w:pPr>
        <w:pStyle w:val="Heading1"/>
        <w:spacing w:after="360"/>
      </w:pPr>
      <w:r>
        <w:t>Documents to be lodged with Legislation Section for the Legislation Approval Process</w:t>
      </w:r>
    </w:p>
    <w:p w14:paraId="4BE8344E" w14:textId="77777777" w:rsidR="001F6E4A" w:rsidRPr="006B48A2" w:rsidRDefault="001F6E4A" w:rsidP="001F6E4A">
      <w:pPr>
        <w:tabs>
          <w:tab w:val="left" w:pos="2880"/>
        </w:tabs>
      </w:pPr>
      <w:r w:rsidRPr="007368A4">
        <w:t>Deadline:</w:t>
      </w:r>
      <w:r w:rsidRPr="007368A4">
        <w:tab/>
      </w:r>
      <w:r w:rsidRPr="006B48A2">
        <w:rPr>
          <w:b/>
        </w:rPr>
        <w:t>11am, Wednesday the week before introduction</w:t>
      </w:r>
    </w:p>
    <w:p w14:paraId="4BE8344F" w14:textId="77777777" w:rsidR="001F6E4A" w:rsidRDefault="001F6E4A" w:rsidP="001F6E4A">
      <w:pPr>
        <w:tabs>
          <w:tab w:val="left" w:pos="2880"/>
        </w:tabs>
        <w:rPr>
          <w:rStyle w:val="Hyperlink"/>
        </w:rPr>
      </w:pPr>
      <w:r>
        <w:t>Electronic lodgement to</w:t>
      </w:r>
      <w:r w:rsidRPr="007368A4">
        <w:t>:</w:t>
      </w:r>
      <w:r w:rsidRPr="007368A4">
        <w:tab/>
      </w:r>
      <w:hyperlink r:id="rId12" w:history="1">
        <w:r w:rsidRPr="00491B72">
          <w:rPr>
            <w:rStyle w:val="Hyperlink"/>
          </w:rPr>
          <w:t>lodgement@pmc.gov.au</w:t>
        </w:r>
      </w:hyperlink>
      <w:r w:rsidRPr="00491B72">
        <w:rPr>
          <w:rStyle w:val="Hyperlink"/>
        </w:rPr>
        <w:t xml:space="preserve"> </w:t>
      </w:r>
    </w:p>
    <w:p w14:paraId="4BE83450" w14:textId="77777777" w:rsidR="001F6E4A" w:rsidRDefault="001F6E4A" w:rsidP="001F6E4A">
      <w:pPr>
        <w:tabs>
          <w:tab w:val="left" w:pos="2880"/>
        </w:tabs>
        <w:spacing w:before="120" w:after="120" w:line="240" w:lineRule="auto"/>
        <w:ind w:left="2880" w:hanging="2880"/>
        <w:contextualSpacing/>
      </w:pPr>
      <w:r>
        <w:t>Documents:</w:t>
      </w:r>
      <w:r>
        <w:tab/>
        <w:t xml:space="preserve">bill and explanatory </w:t>
      </w:r>
      <w:r w:rsidRPr="00C227CB">
        <w:t>memorandum</w:t>
      </w:r>
      <w:r>
        <w:t xml:space="preserve"> </w:t>
      </w:r>
      <w:r>
        <w:rPr>
          <w:sz w:val="8"/>
        </w:rPr>
        <w:br/>
      </w:r>
      <w:r>
        <w:t>or</w:t>
      </w:r>
    </w:p>
    <w:p w14:paraId="4BE83451" w14:textId="77777777" w:rsidR="001F6E4A" w:rsidRPr="007368A4" w:rsidRDefault="001F6E4A" w:rsidP="001F6E4A">
      <w:pPr>
        <w:tabs>
          <w:tab w:val="left" w:pos="2880"/>
        </w:tabs>
        <w:spacing w:before="120" w:after="120" w:line="240" w:lineRule="auto"/>
        <w:ind w:left="2880"/>
      </w:pPr>
      <w:proofErr w:type="gramStart"/>
      <w:r w:rsidRPr="008D6AAE">
        <w:t>government</w:t>
      </w:r>
      <w:proofErr w:type="gramEnd"/>
      <w:r w:rsidRPr="008D6AAE">
        <w:t xml:space="preserve"> amendments</w:t>
      </w:r>
      <w:r>
        <w:t xml:space="preserve"> and s</w:t>
      </w:r>
      <w:r w:rsidRPr="008D6AAE">
        <w:t>upplementary explanatory</w:t>
      </w:r>
      <w:r>
        <w:t xml:space="preserve"> memorandum </w:t>
      </w:r>
    </w:p>
    <w:p w14:paraId="4BE83452" w14:textId="77777777" w:rsidR="001F6E4A" w:rsidRPr="007368A4" w:rsidRDefault="001F6E4A" w:rsidP="001F6E4A">
      <w:pPr>
        <w:tabs>
          <w:tab w:val="left" w:pos="2880"/>
        </w:tabs>
        <w:spacing w:before="120" w:after="120" w:line="240" w:lineRule="auto"/>
      </w:pPr>
      <w:r>
        <w:t>Enquiries</w:t>
      </w:r>
      <w:r w:rsidRPr="007368A4">
        <w:t>:</w:t>
      </w:r>
      <w:r w:rsidRPr="007368A4">
        <w:tab/>
      </w:r>
      <w:r w:rsidR="00593129">
        <w:t>(02) 6271 5783;</w:t>
      </w:r>
      <w:r>
        <w:t xml:space="preserve"> (02) 6271 576</w:t>
      </w:r>
      <w:r w:rsidR="00593129">
        <w:t xml:space="preserve">2; </w:t>
      </w:r>
      <w:r>
        <w:t>(02) 6271 5955</w:t>
      </w:r>
    </w:p>
    <w:p w14:paraId="4BE83453" w14:textId="77777777" w:rsidR="001F6E4A" w:rsidRDefault="001F6E4A" w:rsidP="001F6E4A">
      <w:pPr>
        <w:pStyle w:val="Heading2"/>
      </w:pPr>
      <w:r>
        <w:t>Additional documents required</w:t>
      </w:r>
    </w:p>
    <w:p w14:paraId="4BE83454" w14:textId="77777777" w:rsidR="001F6E4A" w:rsidRPr="001F6E4A" w:rsidRDefault="001F6E4A" w:rsidP="00593129">
      <w:pPr>
        <w:pStyle w:val="BulletedList-Level1"/>
      </w:pPr>
      <w:r w:rsidRPr="001F6E4A">
        <w:t xml:space="preserve">covering email due </w:t>
      </w:r>
      <w:r w:rsidRPr="006B48A2">
        <w:rPr>
          <w:b/>
        </w:rPr>
        <w:t>11am, Friday the week before introduction</w:t>
      </w:r>
      <w:r w:rsidRPr="001F6E4A">
        <w:t xml:space="preserve"> evidencing a minister’s text approval of:</w:t>
      </w:r>
    </w:p>
    <w:p w14:paraId="4BE83455" w14:textId="77777777" w:rsidR="001F6E4A" w:rsidRPr="001F6E4A" w:rsidRDefault="001F6E4A" w:rsidP="00593129">
      <w:pPr>
        <w:pStyle w:val="BulletedList-Level2"/>
      </w:pPr>
      <w:r w:rsidRPr="001F6E4A">
        <w:t xml:space="preserve">the bill </w:t>
      </w:r>
      <w:r w:rsidRPr="001F6E4A">
        <w:rPr>
          <w:b/>
        </w:rPr>
        <w:t>and</w:t>
      </w:r>
      <w:r w:rsidRPr="001F6E4A">
        <w:t xml:space="preserve"> explanatory memorandum; </w:t>
      </w:r>
      <w:r w:rsidRPr="001F6E4A">
        <w:rPr>
          <w:b/>
        </w:rPr>
        <w:br/>
        <w:t>or</w:t>
      </w:r>
    </w:p>
    <w:p w14:paraId="4BE83456" w14:textId="77777777" w:rsidR="001F6E4A" w:rsidRPr="001F6E4A" w:rsidRDefault="001F6E4A" w:rsidP="00593129">
      <w:pPr>
        <w:pStyle w:val="BulletedList-Level2"/>
      </w:pPr>
      <w:r w:rsidRPr="001F6E4A">
        <w:t xml:space="preserve">the government amendments </w:t>
      </w:r>
      <w:r w:rsidRPr="001F6E4A">
        <w:rPr>
          <w:b/>
        </w:rPr>
        <w:t>and</w:t>
      </w:r>
      <w:r w:rsidRPr="001F6E4A">
        <w:t xml:space="preserve"> suppl</w:t>
      </w:r>
      <w:r w:rsidR="00593129">
        <w:t>ementary explanatory memorandum</w:t>
      </w:r>
    </w:p>
    <w:p w14:paraId="4BE83457" w14:textId="77777777" w:rsidR="001F6E4A" w:rsidRPr="001F6E4A" w:rsidRDefault="001F6E4A" w:rsidP="00593129">
      <w:pPr>
        <w:pStyle w:val="BulletedList-Level1"/>
      </w:pPr>
      <w:proofErr w:type="gramStart"/>
      <w:r w:rsidRPr="001F6E4A">
        <w:t>copies</w:t>
      </w:r>
      <w:proofErr w:type="gramEnd"/>
      <w:r w:rsidRPr="001F6E4A">
        <w:t xml:space="preserve"> of letters or emails evidencing approval provided by other ministers for policy issues or, if required, agreement by other ministers/departments (SES level) to the text of amendments to legislation administered by them.</w:t>
      </w:r>
    </w:p>
    <w:p w14:paraId="4BE83458" w14:textId="77777777" w:rsidR="001F6E4A" w:rsidRPr="001F6E4A" w:rsidRDefault="001F6E4A" w:rsidP="00593129">
      <w:pPr>
        <w:pStyle w:val="BulletedList-Level1"/>
        <w:rPr>
          <w:b/>
        </w:rPr>
      </w:pPr>
      <w:r w:rsidRPr="001F6E4A">
        <w:t>If changes are required after the documents have been lodged, the updated documents are to be re-lodged. Advise your Parliamentary Affairs and Legislation Section officer as soon as possible.</w:t>
      </w:r>
    </w:p>
    <w:p w14:paraId="4BE83459" w14:textId="77777777" w:rsidR="001F6E4A" w:rsidRDefault="001F6E4A" w:rsidP="001F6E4A">
      <w:pPr>
        <w:pStyle w:val="Heading2"/>
      </w:pPr>
      <w:r>
        <w:t>Naming conventions for subject heading of lodgement email</w:t>
      </w:r>
    </w:p>
    <w:p w14:paraId="4BE8345A" w14:textId="77777777" w:rsidR="001F6E4A" w:rsidRPr="00F15F53" w:rsidRDefault="001F6E4A" w:rsidP="00593129">
      <w:pPr>
        <w:pStyle w:val="BulletedList-Level1"/>
      </w:pPr>
      <w:r w:rsidRPr="00F15F53">
        <w:t>EM – [Name of Bill] – Week of introduction</w:t>
      </w:r>
    </w:p>
    <w:p w14:paraId="4BE8345B" w14:textId="77777777" w:rsidR="001F6E4A" w:rsidRDefault="001F6E4A" w:rsidP="00593129">
      <w:pPr>
        <w:pStyle w:val="BulletedList-Level1"/>
      </w:pPr>
      <w:proofErr w:type="spellStart"/>
      <w:r w:rsidRPr="00F15F53">
        <w:t>SuppEM</w:t>
      </w:r>
      <w:proofErr w:type="spellEnd"/>
      <w:r w:rsidRPr="00F15F53">
        <w:t xml:space="preserve"> – [Name of Bill] – Week of introduction</w:t>
      </w:r>
    </w:p>
    <w:p w14:paraId="4BE8345C" w14:textId="77777777" w:rsidR="001F6E4A" w:rsidRPr="00F15F53" w:rsidRDefault="001F6E4A" w:rsidP="001F6E4A">
      <w:pPr>
        <w:spacing w:before="120" w:after="120"/>
      </w:pPr>
      <w:r>
        <w:t>For example:</w:t>
      </w:r>
    </w:p>
    <w:p w14:paraId="4BE8345D" w14:textId="77777777" w:rsidR="001F6E4A" w:rsidRPr="00F15F53" w:rsidRDefault="001F6E4A" w:rsidP="00593129">
      <w:pPr>
        <w:pStyle w:val="BulletedList-Level1"/>
      </w:pPr>
      <w:r w:rsidRPr="00F15F53">
        <w:t xml:space="preserve">EM – Tax Laws Amendment Bill (No. 1) </w:t>
      </w:r>
      <w:r>
        <w:t xml:space="preserve">2024 </w:t>
      </w:r>
      <w:r w:rsidRPr="00F15F53">
        <w:t>– Week 1</w:t>
      </w:r>
    </w:p>
    <w:p w14:paraId="4BE8345E" w14:textId="77777777" w:rsidR="001F6E4A" w:rsidRDefault="001F6E4A" w:rsidP="00593129">
      <w:pPr>
        <w:pStyle w:val="BulletedList-Level1"/>
      </w:pPr>
      <w:proofErr w:type="spellStart"/>
      <w:r w:rsidRPr="00F15F53">
        <w:lastRenderedPageBreak/>
        <w:t>SuppEM</w:t>
      </w:r>
      <w:proofErr w:type="spellEnd"/>
      <w:r w:rsidRPr="00F15F53">
        <w:t xml:space="preserve"> – Amendments to the Tax Laws Amendment Bill (No. </w:t>
      </w:r>
      <w:r>
        <w:t>1</w:t>
      </w:r>
      <w:r w:rsidRPr="00F15F53">
        <w:t>) 20</w:t>
      </w:r>
      <w:r>
        <w:t>24</w:t>
      </w:r>
      <w:r w:rsidRPr="00F15F53">
        <w:t xml:space="preserve"> – Week 3</w:t>
      </w:r>
    </w:p>
    <w:p w14:paraId="4BE8345F" w14:textId="77777777" w:rsidR="001F6E4A" w:rsidRDefault="001F6E4A" w:rsidP="001F6E4A">
      <w:r>
        <w:t xml:space="preserve">If changes are required after the documents have been lodged, the updated documents are to be </w:t>
      </w:r>
      <w:r w:rsidR="00593129">
        <w:br/>
      </w:r>
      <w:r>
        <w:t>re-lodged. The following naming conventions apply:</w:t>
      </w:r>
    </w:p>
    <w:p w14:paraId="4BE83460" w14:textId="77777777" w:rsidR="001F6E4A" w:rsidRPr="00B6648B" w:rsidRDefault="001F6E4A" w:rsidP="00593129">
      <w:pPr>
        <w:pStyle w:val="BulletedList-Level1"/>
      </w:pPr>
      <w:r w:rsidRPr="00B6648B">
        <w:t xml:space="preserve">UPDATED EM or UPDATED </w:t>
      </w:r>
      <w:proofErr w:type="spellStart"/>
      <w:r w:rsidRPr="00B6648B">
        <w:t>SuppEM</w:t>
      </w:r>
      <w:proofErr w:type="spellEnd"/>
      <w:r w:rsidRPr="00B6648B">
        <w:t xml:space="preserve"> – [Name of Bill] – Week of introduction</w:t>
      </w:r>
    </w:p>
    <w:p w14:paraId="4BE83461" w14:textId="77777777" w:rsidR="001F6E4A" w:rsidRPr="00B6648B" w:rsidRDefault="001F6E4A" w:rsidP="001F6E4A">
      <w:pPr>
        <w:spacing w:after="120"/>
      </w:pPr>
      <w:r w:rsidRPr="00B6648B">
        <w:t>For example:</w:t>
      </w:r>
    </w:p>
    <w:p w14:paraId="4BE83462" w14:textId="77777777" w:rsidR="001F6E4A" w:rsidRPr="00B6648B" w:rsidRDefault="001F6E4A" w:rsidP="00593129">
      <w:pPr>
        <w:pStyle w:val="BulletedList-Level1"/>
      </w:pPr>
      <w:r w:rsidRPr="00B6648B">
        <w:t xml:space="preserve">UPDATED EM – Tax Laws Amendment Bill (No. 1) </w:t>
      </w:r>
      <w:r>
        <w:t xml:space="preserve">2024 </w:t>
      </w:r>
      <w:r w:rsidRPr="00B6648B">
        <w:t>– Week 1</w:t>
      </w:r>
    </w:p>
    <w:p w14:paraId="4BE83463" w14:textId="77777777" w:rsidR="001F6E4A" w:rsidRDefault="001F6E4A" w:rsidP="00593129">
      <w:pPr>
        <w:pStyle w:val="BulletedList-Level1"/>
      </w:pPr>
      <w:r w:rsidRPr="00B6648B">
        <w:t xml:space="preserve">UPDATED </w:t>
      </w:r>
      <w:proofErr w:type="spellStart"/>
      <w:r w:rsidRPr="00B6648B">
        <w:t>SuppEM</w:t>
      </w:r>
      <w:proofErr w:type="spellEnd"/>
      <w:r w:rsidRPr="00B6648B">
        <w:t xml:space="preserve"> – Amendments to the Tax Laws Amendment Bill (No. </w:t>
      </w:r>
      <w:r>
        <w:t>1)</w:t>
      </w:r>
      <w:r w:rsidRPr="00B6648B">
        <w:t xml:space="preserve"> 20</w:t>
      </w:r>
      <w:r>
        <w:t>24</w:t>
      </w:r>
      <w:r w:rsidRPr="00B6648B">
        <w:t xml:space="preserve"> – Week 3</w:t>
      </w:r>
    </w:p>
    <w:p w14:paraId="4BE83464" w14:textId="77777777" w:rsidR="001F6E4A" w:rsidRPr="00E32376" w:rsidRDefault="001F6E4A" w:rsidP="001F6E4A">
      <w:r>
        <w:t>The Office of Parliamentary Counsel will lodge the settled bill/amendments</w:t>
      </w:r>
      <w:r w:rsidRPr="00F15F53">
        <w:t xml:space="preserve"> </w:t>
      </w:r>
      <w:r>
        <w:t>with the Parliamentary Affairs and Legislation Section separately, via email.</w:t>
      </w:r>
    </w:p>
    <w:p w14:paraId="4BE83465" w14:textId="77777777" w:rsidR="001F6E4A" w:rsidRDefault="001F6E4A" w:rsidP="001F6E4A">
      <w:pPr>
        <w:pStyle w:val="Heading1"/>
      </w:pPr>
      <w:r>
        <w:t>Documents to be lodged with Parliament House</w:t>
      </w:r>
    </w:p>
    <w:p w14:paraId="4BE83466" w14:textId="77777777" w:rsidR="001F6E4A" w:rsidRPr="008D34D6" w:rsidRDefault="001F6E4A" w:rsidP="001F6E4A">
      <w:pPr>
        <w:tabs>
          <w:tab w:val="left" w:pos="1440"/>
        </w:tabs>
        <w:ind w:left="1440" w:hanging="1440"/>
      </w:pPr>
      <w:r w:rsidRPr="007368A4">
        <w:t>Deadline:</w:t>
      </w:r>
      <w:r w:rsidRPr="007368A4">
        <w:tab/>
      </w:r>
      <w:r w:rsidRPr="00532693">
        <w:rPr>
          <w:b/>
        </w:rPr>
        <w:t xml:space="preserve">At least </w:t>
      </w:r>
      <w:r w:rsidRPr="00532693">
        <w:rPr>
          <w:b/>
          <w:u w:val="single"/>
        </w:rPr>
        <w:t>one sitting day before introduction</w:t>
      </w:r>
      <w:r w:rsidRPr="00532693">
        <w:rPr>
          <w:b/>
        </w:rPr>
        <w:t xml:space="preserve"> of the bill</w:t>
      </w:r>
      <w:r>
        <w:rPr>
          <w:b/>
        </w:rPr>
        <w:t xml:space="preserve"> or tabling of amendments</w:t>
      </w:r>
      <w:r w:rsidRPr="00532693">
        <w:rPr>
          <w:b/>
        </w:rPr>
        <w:t xml:space="preserve">; deliver to all recipients, including </w:t>
      </w:r>
      <w:r w:rsidRPr="00532693">
        <w:rPr>
          <w:b/>
          <w:u w:val="single"/>
        </w:rPr>
        <w:t>both</w:t>
      </w:r>
      <w:r w:rsidRPr="00532693">
        <w:rPr>
          <w:b/>
        </w:rPr>
        <w:t xml:space="preserve"> Table Offices</w:t>
      </w:r>
    </w:p>
    <w:p w14:paraId="4BE83467" w14:textId="77777777" w:rsidR="001F6E4A" w:rsidRPr="00532693" w:rsidRDefault="001F6E4A" w:rsidP="001F6E4A">
      <w:pPr>
        <w:tabs>
          <w:tab w:val="left" w:pos="1440"/>
        </w:tabs>
        <w:spacing w:after="120"/>
        <w:rPr>
          <w:b/>
        </w:rPr>
      </w:pPr>
      <w:r>
        <w:t>Deliver to:</w:t>
      </w:r>
      <w:r w:rsidRPr="007368A4">
        <w:tab/>
      </w:r>
      <w:r w:rsidR="00593129" w:rsidRPr="00532693">
        <w:rPr>
          <w:b/>
        </w:rPr>
        <w:t>Table Offices</w:t>
      </w:r>
    </w:p>
    <w:p w14:paraId="4BE83468" w14:textId="77777777" w:rsidR="001F6E4A" w:rsidRDefault="001F6E4A" w:rsidP="001F6E4A">
      <w:pPr>
        <w:tabs>
          <w:tab w:val="left" w:pos="1440"/>
        </w:tabs>
        <w:ind w:left="1440"/>
      </w:pPr>
      <w:r w:rsidRPr="00532693">
        <w:rPr>
          <w:b/>
        </w:rPr>
        <w:t>House of Representatives</w:t>
      </w:r>
      <w:r w:rsidRPr="00532693">
        <w:rPr>
          <w:b/>
        </w:rPr>
        <w:br/>
      </w:r>
      <w:r>
        <w:t>Bills Manager</w:t>
      </w:r>
      <w:r>
        <w:br/>
      </w:r>
      <w:r w:rsidRPr="00E32376">
        <w:t xml:space="preserve">House of Representatives </w:t>
      </w:r>
      <w:r>
        <w:t>Table Office</w:t>
      </w:r>
      <w:r w:rsidRPr="00E32376">
        <w:t xml:space="preserve"> (RG 89</w:t>
      </w:r>
      <w:proofErr w:type="gramStart"/>
      <w:r w:rsidRPr="00E32376">
        <w:t>)</w:t>
      </w:r>
      <w:proofErr w:type="gramEnd"/>
      <w:r>
        <w:br/>
        <w:t>Tel. (02) 6277 4802</w:t>
      </w:r>
    </w:p>
    <w:p w14:paraId="4BE83469" w14:textId="77777777" w:rsidR="001F6E4A" w:rsidRDefault="001F6E4A" w:rsidP="001F6E4A">
      <w:pPr>
        <w:tabs>
          <w:tab w:val="left" w:pos="1440"/>
        </w:tabs>
        <w:ind w:left="1440"/>
      </w:pPr>
      <w:r w:rsidRPr="00532693">
        <w:rPr>
          <w:b/>
        </w:rPr>
        <w:t>Senate</w:t>
      </w:r>
      <w:r>
        <w:rPr>
          <w:u w:val="single"/>
        </w:rPr>
        <w:br/>
      </w:r>
      <w:r w:rsidRPr="00E32376">
        <w:t>Legislation Offic</w:t>
      </w:r>
      <w:r>
        <w:t>er</w:t>
      </w:r>
      <w:r>
        <w:br/>
        <w:t>Senate Table Office (SG 25</w:t>
      </w:r>
      <w:proofErr w:type="gramStart"/>
      <w:r>
        <w:t>)</w:t>
      </w:r>
      <w:proofErr w:type="gramEnd"/>
      <w:r>
        <w:br/>
        <w:t xml:space="preserve">Tel. (02) </w:t>
      </w:r>
      <w:r w:rsidRPr="00CE3831">
        <w:t>6277 3033</w:t>
      </w:r>
    </w:p>
    <w:p w14:paraId="4BE8346A" w14:textId="77777777" w:rsidR="001F6E4A" w:rsidRPr="00532693" w:rsidRDefault="00593129" w:rsidP="001F6E4A">
      <w:pPr>
        <w:tabs>
          <w:tab w:val="left" w:pos="1440"/>
        </w:tabs>
        <w:spacing w:after="120"/>
        <w:ind w:left="1440"/>
        <w:rPr>
          <w:b/>
        </w:rPr>
      </w:pPr>
      <w:r w:rsidRPr="00532693">
        <w:rPr>
          <w:b/>
        </w:rPr>
        <w:t xml:space="preserve">Parliamentary Liaison Officers </w:t>
      </w:r>
      <w:r w:rsidR="001F6E4A" w:rsidRPr="00532693">
        <w:rPr>
          <w:b/>
        </w:rPr>
        <w:t>(PLOs)</w:t>
      </w:r>
    </w:p>
    <w:p w14:paraId="4BE8346B" w14:textId="77777777" w:rsidR="001F6E4A" w:rsidRPr="00805785" w:rsidRDefault="001F6E4A" w:rsidP="001F6E4A">
      <w:pPr>
        <w:tabs>
          <w:tab w:val="left" w:pos="1440"/>
        </w:tabs>
        <w:ind w:left="1440"/>
      </w:pPr>
      <w:r w:rsidRPr="00532693">
        <w:rPr>
          <w:b/>
        </w:rPr>
        <w:t>House of Representatives</w:t>
      </w:r>
      <w:r>
        <w:rPr>
          <w:u w:val="single"/>
        </w:rPr>
        <w:br/>
      </w:r>
      <w:r>
        <w:t xml:space="preserve">Parliamentary Liaison </w:t>
      </w:r>
      <w:r w:rsidR="00593129">
        <w:t xml:space="preserve">Officer </w:t>
      </w:r>
      <w:r>
        <w:br/>
        <w:t>(</w:t>
      </w:r>
      <w:r w:rsidRPr="00544416">
        <w:t>RG 98</w:t>
      </w:r>
      <w:proofErr w:type="gramStart"/>
      <w:r w:rsidRPr="00544416">
        <w:t>)</w:t>
      </w:r>
      <w:proofErr w:type="gramEnd"/>
      <w:r>
        <w:br/>
        <w:t>Tel. (02) 6277 7377</w:t>
      </w:r>
    </w:p>
    <w:p w14:paraId="4BE8346C" w14:textId="77777777" w:rsidR="001F6E4A" w:rsidRPr="00805785" w:rsidRDefault="001F6E4A" w:rsidP="001F6E4A">
      <w:pPr>
        <w:tabs>
          <w:tab w:val="left" w:pos="1440"/>
        </w:tabs>
        <w:ind w:left="1440"/>
      </w:pPr>
      <w:r w:rsidRPr="00532693">
        <w:rPr>
          <w:b/>
        </w:rPr>
        <w:t>Senate</w:t>
      </w:r>
      <w:r>
        <w:rPr>
          <w:u w:val="single"/>
        </w:rPr>
        <w:br/>
      </w:r>
      <w:r>
        <w:t xml:space="preserve">Parliamentary Liaison </w:t>
      </w:r>
      <w:r w:rsidR="00593129">
        <w:t xml:space="preserve">Officer </w:t>
      </w:r>
      <w:r>
        <w:br/>
        <w:t>(</w:t>
      </w:r>
      <w:r w:rsidRPr="00CE3831">
        <w:t>SG 89</w:t>
      </w:r>
      <w:proofErr w:type="gramStart"/>
      <w:r>
        <w:t>)</w:t>
      </w:r>
      <w:proofErr w:type="gramEnd"/>
      <w:r>
        <w:br/>
        <w:t>Tel. (02) 6277 7597</w:t>
      </w:r>
    </w:p>
    <w:p w14:paraId="4BE8346D" w14:textId="77777777" w:rsidR="001F6E4A" w:rsidRDefault="001F6E4A" w:rsidP="001F6E4A">
      <w:pPr>
        <w:pStyle w:val="Heading2"/>
      </w:pPr>
      <w:r>
        <w:lastRenderedPageBreak/>
        <w:t>Explanatory memoranda – number of B5* copies</w:t>
      </w:r>
    </w:p>
    <w:tbl>
      <w:tblPr>
        <w:tblStyle w:val="PMClinedrows"/>
        <w:tblW w:w="5000" w:type="pct"/>
        <w:tblLayout w:type="fixed"/>
        <w:tblLook w:val="04A0" w:firstRow="1" w:lastRow="0" w:firstColumn="1" w:lastColumn="0" w:noHBand="0" w:noVBand="1"/>
      </w:tblPr>
      <w:tblGrid>
        <w:gridCol w:w="2835"/>
        <w:gridCol w:w="1543"/>
        <w:gridCol w:w="11"/>
        <w:gridCol w:w="1565"/>
        <w:gridCol w:w="1148"/>
        <w:gridCol w:w="1278"/>
        <w:gridCol w:w="1258"/>
      </w:tblGrid>
      <w:tr w:rsidR="00962597" w:rsidRPr="001F6E4A" w14:paraId="4BE83474" w14:textId="77777777" w:rsidTr="00962597">
        <w:trPr>
          <w:cnfStyle w:val="100000000000" w:firstRow="1" w:lastRow="0" w:firstColumn="0" w:lastColumn="0" w:oddVBand="0" w:evenVBand="0" w:oddHBand="0" w:evenHBand="0" w:firstRowFirstColumn="0" w:firstRowLastColumn="0" w:lastRowFirstColumn="0" w:lastRowLastColumn="0"/>
          <w:trHeight w:val="168"/>
        </w:trPr>
        <w:tc>
          <w:tcPr>
            <w:tcW w:w="2835" w:type="dxa"/>
          </w:tcPr>
          <w:p w14:paraId="4BE8346E" w14:textId="77777777" w:rsidR="00962597" w:rsidRPr="00962597" w:rsidRDefault="00962597" w:rsidP="009D0725">
            <w:pPr>
              <w:spacing w:before="40" w:after="40"/>
              <w:rPr>
                <w:rFonts w:asciiTheme="minorHAnsi" w:eastAsia="Calibri" w:hAnsiTheme="minorHAnsi" w:cstheme="minorHAnsi"/>
                <w:color w:val="FFFFFF" w:themeColor="background1"/>
                <w:szCs w:val="22"/>
              </w:rPr>
            </w:pPr>
            <w:r w:rsidRPr="00962597">
              <w:rPr>
                <w:rFonts w:asciiTheme="minorHAnsi" w:eastAsia="Calibri" w:hAnsiTheme="minorHAnsi" w:cstheme="minorHAnsi"/>
                <w:color w:val="FFFFFF" w:themeColor="background1"/>
                <w:sz w:val="22"/>
                <w:szCs w:val="22"/>
              </w:rPr>
              <w:t>Document</w:t>
            </w:r>
          </w:p>
        </w:tc>
        <w:tc>
          <w:tcPr>
            <w:tcW w:w="1554" w:type="dxa"/>
            <w:gridSpan w:val="2"/>
          </w:tcPr>
          <w:p w14:paraId="4BE8346F" w14:textId="77777777" w:rsidR="00962597" w:rsidRPr="00962597" w:rsidRDefault="00962597" w:rsidP="00364880">
            <w:pPr>
              <w:pStyle w:val="TableText"/>
              <w:jc w:val="center"/>
              <w:rPr>
                <w:rFonts w:asciiTheme="minorHAnsi" w:hAnsiTheme="minorHAnsi" w:cstheme="minorHAnsi"/>
                <w:b w:val="0"/>
                <w:color w:val="FFFFFF" w:themeColor="background1"/>
                <w:sz w:val="22"/>
                <w:szCs w:val="22"/>
              </w:rPr>
            </w:pPr>
            <w:r w:rsidRPr="00962597">
              <w:rPr>
                <w:rFonts w:asciiTheme="minorHAnsi" w:hAnsiTheme="minorHAnsi" w:cstheme="minorHAnsi"/>
                <w:color w:val="FFFFFF" w:themeColor="background1"/>
                <w:sz w:val="22"/>
                <w:szCs w:val="22"/>
              </w:rPr>
              <w:t>Table Offices</w:t>
            </w:r>
            <w:r>
              <w:rPr>
                <w:rFonts w:asciiTheme="minorHAnsi" w:hAnsiTheme="minorHAnsi" w:cstheme="minorHAnsi"/>
                <w:color w:val="FFFFFF" w:themeColor="background1"/>
                <w:sz w:val="22"/>
                <w:szCs w:val="22"/>
              </w:rPr>
              <w:t>, House,</w:t>
            </w:r>
            <w:r w:rsidRPr="00962597">
              <w:rPr>
                <w:rFonts w:asciiTheme="minorHAnsi" w:hAnsiTheme="minorHAnsi" w:cstheme="minorHAnsi"/>
                <w:color w:val="FFFFFF" w:themeColor="background1"/>
                <w:sz w:val="22"/>
                <w:szCs w:val="22"/>
              </w:rPr>
              <w:t xml:space="preserve"> House-initiated bills</w:t>
            </w:r>
          </w:p>
        </w:tc>
        <w:tc>
          <w:tcPr>
            <w:tcW w:w="1565" w:type="dxa"/>
          </w:tcPr>
          <w:p w14:paraId="4BE83470" w14:textId="77777777" w:rsidR="00962597" w:rsidRPr="00962597" w:rsidRDefault="00962597" w:rsidP="00364880">
            <w:pPr>
              <w:pStyle w:val="TableText"/>
              <w:jc w:val="center"/>
              <w:rPr>
                <w:rFonts w:asciiTheme="minorHAnsi" w:hAnsiTheme="minorHAnsi" w:cstheme="minorHAnsi"/>
                <w:color w:val="FFFFFF" w:themeColor="background1"/>
                <w:sz w:val="22"/>
                <w:szCs w:val="22"/>
              </w:rPr>
            </w:pPr>
            <w:r w:rsidRPr="00962597">
              <w:rPr>
                <w:rFonts w:asciiTheme="minorHAnsi" w:hAnsiTheme="minorHAnsi" w:cstheme="minorHAnsi"/>
                <w:color w:val="FFFFFF" w:themeColor="background1"/>
                <w:sz w:val="22"/>
                <w:szCs w:val="22"/>
              </w:rPr>
              <w:t>Table Offices</w:t>
            </w:r>
            <w:r>
              <w:rPr>
                <w:rFonts w:asciiTheme="minorHAnsi" w:hAnsiTheme="minorHAnsi" w:cstheme="minorHAnsi"/>
                <w:color w:val="FFFFFF" w:themeColor="background1"/>
                <w:sz w:val="22"/>
                <w:szCs w:val="22"/>
              </w:rPr>
              <w:t>,</w:t>
            </w:r>
            <w:r w:rsidRPr="00962597">
              <w:rPr>
                <w:rFonts w:asciiTheme="minorHAnsi" w:hAnsiTheme="minorHAnsi" w:cstheme="minorHAnsi"/>
                <w:color w:val="FFFFFF" w:themeColor="background1"/>
                <w:sz w:val="22"/>
                <w:szCs w:val="22"/>
              </w:rPr>
              <w:t xml:space="preserve"> House</w:t>
            </w:r>
            <w:r>
              <w:rPr>
                <w:rFonts w:asciiTheme="minorHAnsi" w:hAnsiTheme="minorHAnsi" w:cstheme="minorHAnsi"/>
                <w:color w:val="FFFFFF" w:themeColor="background1"/>
                <w:sz w:val="22"/>
                <w:szCs w:val="22"/>
              </w:rPr>
              <w:t>,</w:t>
            </w:r>
            <w:r w:rsidRPr="00962597">
              <w:rPr>
                <w:rFonts w:asciiTheme="minorHAnsi" w:hAnsiTheme="minorHAnsi" w:cstheme="minorHAnsi"/>
                <w:color w:val="FFFFFF" w:themeColor="background1"/>
                <w:sz w:val="22"/>
                <w:szCs w:val="22"/>
              </w:rPr>
              <w:t xml:space="preserve"> Senate-initiated bills</w:t>
            </w:r>
          </w:p>
        </w:tc>
        <w:tc>
          <w:tcPr>
            <w:tcW w:w="1148" w:type="dxa"/>
          </w:tcPr>
          <w:p w14:paraId="4BE83471" w14:textId="77777777" w:rsidR="00962597" w:rsidRPr="00962597" w:rsidRDefault="00962597" w:rsidP="00364880">
            <w:pPr>
              <w:pStyle w:val="TableText"/>
              <w:jc w:val="center"/>
              <w:rPr>
                <w:rFonts w:asciiTheme="minorHAnsi" w:hAnsiTheme="minorHAnsi" w:cstheme="minorHAnsi"/>
                <w:color w:val="FFFFFF" w:themeColor="background1"/>
                <w:sz w:val="22"/>
                <w:szCs w:val="22"/>
              </w:rPr>
            </w:pPr>
            <w:r w:rsidRPr="00962597">
              <w:rPr>
                <w:rFonts w:asciiTheme="minorHAnsi" w:hAnsiTheme="minorHAnsi" w:cstheme="minorHAnsi"/>
                <w:color w:val="FFFFFF" w:themeColor="background1"/>
                <w:sz w:val="22"/>
                <w:szCs w:val="22"/>
              </w:rPr>
              <w:t>Table Offices</w:t>
            </w:r>
            <w:r>
              <w:rPr>
                <w:rFonts w:asciiTheme="minorHAnsi" w:hAnsiTheme="minorHAnsi" w:cstheme="minorHAnsi"/>
                <w:color w:val="FFFFFF" w:themeColor="background1"/>
                <w:sz w:val="22"/>
                <w:szCs w:val="22"/>
              </w:rPr>
              <w:t>,</w:t>
            </w:r>
            <w:r w:rsidRPr="00962597">
              <w:rPr>
                <w:rFonts w:asciiTheme="minorHAnsi" w:hAnsiTheme="minorHAnsi" w:cstheme="minorHAnsi"/>
                <w:color w:val="FFFFFF" w:themeColor="background1"/>
                <w:sz w:val="22"/>
                <w:szCs w:val="22"/>
              </w:rPr>
              <w:t xml:space="preserve"> Senate</w:t>
            </w:r>
          </w:p>
        </w:tc>
        <w:tc>
          <w:tcPr>
            <w:tcW w:w="1278" w:type="dxa"/>
          </w:tcPr>
          <w:p w14:paraId="4BE83472" w14:textId="77777777" w:rsidR="00962597" w:rsidRPr="00962597" w:rsidRDefault="00962597" w:rsidP="00364880">
            <w:pPr>
              <w:pStyle w:val="TableText"/>
              <w:jc w:val="center"/>
              <w:rPr>
                <w:rFonts w:asciiTheme="minorHAnsi" w:hAnsiTheme="minorHAnsi" w:cstheme="minorHAnsi"/>
                <w:color w:val="FFFFFF" w:themeColor="background1"/>
                <w:sz w:val="22"/>
                <w:szCs w:val="22"/>
              </w:rPr>
            </w:pPr>
            <w:r w:rsidRPr="00962597">
              <w:rPr>
                <w:rFonts w:asciiTheme="minorHAnsi" w:hAnsiTheme="minorHAnsi" w:cstheme="minorHAnsi"/>
                <w:color w:val="FFFFFF" w:themeColor="background1"/>
                <w:sz w:val="22"/>
                <w:szCs w:val="22"/>
              </w:rPr>
              <w:t>PLOs</w:t>
            </w:r>
            <w:r>
              <w:rPr>
                <w:rFonts w:asciiTheme="minorHAnsi" w:hAnsiTheme="minorHAnsi" w:cstheme="minorHAnsi"/>
                <w:color w:val="FFFFFF" w:themeColor="background1"/>
                <w:sz w:val="22"/>
                <w:szCs w:val="22"/>
              </w:rPr>
              <w:t>,</w:t>
            </w:r>
            <w:r w:rsidRPr="00962597">
              <w:rPr>
                <w:rFonts w:asciiTheme="minorHAnsi" w:hAnsiTheme="minorHAnsi" w:cstheme="minorHAnsi"/>
                <w:color w:val="FFFFFF" w:themeColor="background1"/>
                <w:sz w:val="22"/>
                <w:szCs w:val="22"/>
              </w:rPr>
              <w:t xml:space="preserve"> House</w:t>
            </w:r>
          </w:p>
        </w:tc>
        <w:tc>
          <w:tcPr>
            <w:tcW w:w="1258" w:type="dxa"/>
          </w:tcPr>
          <w:p w14:paraId="4BE83473" w14:textId="77777777" w:rsidR="00962597" w:rsidRPr="00962597" w:rsidRDefault="00962597" w:rsidP="00364880">
            <w:pPr>
              <w:pStyle w:val="TableText"/>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PLOs, </w:t>
            </w:r>
            <w:r w:rsidRPr="00962597">
              <w:rPr>
                <w:rFonts w:asciiTheme="minorHAnsi" w:hAnsiTheme="minorHAnsi" w:cstheme="minorHAnsi"/>
                <w:color w:val="FFFFFF" w:themeColor="background1"/>
                <w:sz w:val="22"/>
                <w:szCs w:val="22"/>
              </w:rPr>
              <w:t>Senate</w:t>
            </w:r>
          </w:p>
        </w:tc>
      </w:tr>
      <w:tr w:rsidR="001F6E4A" w:rsidRPr="001F6E4A" w14:paraId="4BE8347B" w14:textId="77777777" w:rsidTr="00962597">
        <w:trPr>
          <w:cnfStyle w:val="000000100000" w:firstRow="0" w:lastRow="0" w:firstColumn="0" w:lastColumn="0" w:oddVBand="0" w:evenVBand="0" w:oddHBand="1" w:evenHBand="0" w:firstRowFirstColumn="0" w:firstRowLastColumn="0" w:lastRowFirstColumn="0" w:lastRowLastColumn="0"/>
        </w:trPr>
        <w:tc>
          <w:tcPr>
            <w:tcW w:w="2835" w:type="dxa"/>
          </w:tcPr>
          <w:p w14:paraId="4BE83475"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Explanatory memorandum</w:t>
            </w:r>
          </w:p>
        </w:tc>
        <w:tc>
          <w:tcPr>
            <w:tcW w:w="1543" w:type="dxa"/>
          </w:tcPr>
          <w:p w14:paraId="4BE83476"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60</w:t>
            </w:r>
          </w:p>
        </w:tc>
        <w:tc>
          <w:tcPr>
            <w:tcW w:w="1576" w:type="dxa"/>
            <w:gridSpan w:val="2"/>
          </w:tcPr>
          <w:p w14:paraId="4BE83477"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148" w:type="dxa"/>
          </w:tcPr>
          <w:p w14:paraId="4BE83478"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278" w:type="dxa"/>
          </w:tcPr>
          <w:p w14:paraId="4BE83479"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2</w:t>
            </w:r>
          </w:p>
        </w:tc>
        <w:tc>
          <w:tcPr>
            <w:tcW w:w="1258" w:type="dxa"/>
          </w:tcPr>
          <w:p w14:paraId="4BE8347A"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w:t>
            </w:r>
          </w:p>
        </w:tc>
      </w:tr>
      <w:tr w:rsidR="001F6E4A" w:rsidRPr="001F6E4A" w14:paraId="4BE83482" w14:textId="77777777" w:rsidTr="00962597">
        <w:tc>
          <w:tcPr>
            <w:tcW w:w="2835" w:type="dxa"/>
          </w:tcPr>
          <w:p w14:paraId="4BE8347C"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Correction/addendum to explanatory memorandum</w:t>
            </w:r>
          </w:p>
        </w:tc>
        <w:tc>
          <w:tcPr>
            <w:tcW w:w="1543" w:type="dxa"/>
          </w:tcPr>
          <w:p w14:paraId="4BE8347D"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576" w:type="dxa"/>
            <w:gridSpan w:val="2"/>
          </w:tcPr>
          <w:p w14:paraId="4BE8347E"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148" w:type="dxa"/>
          </w:tcPr>
          <w:p w14:paraId="4BE8347F"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278" w:type="dxa"/>
          </w:tcPr>
          <w:p w14:paraId="4BE83480"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2</w:t>
            </w:r>
          </w:p>
        </w:tc>
        <w:tc>
          <w:tcPr>
            <w:tcW w:w="1258" w:type="dxa"/>
          </w:tcPr>
          <w:p w14:paraId="4BE83481"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w:t>
            </w:r>
          </w:p>
        </w:tc>
      </w:tr>
      <w:tr w:rsidR="001F6E4A" w:rsidRPr="001F6E4A" w14:paraId="4BE83489" w14:textId="77777777" w:rsidTr="00962597">
        <w:trPr>
          <w:cnfStyle w:val="000000100000" w:firstRow="0" w:lastRow="0" w:firstColumn="0" w:lastColumn="0" w:oddVBand="0" w:evenVBand="0" w:oddHBand="1" w:evenHBand="0" w:firstRowFirstColumn="0" w:firstRowLastColumn="0" w:lastRowFirstColumn="0" w:lastRowLastColumn="0"/>
        </w:trPr>
        <w:tc>
          <w:tcPr>
            <w:tcW w:w="2835" w:type="dxa"/>
          </w:tcPr>
          <w:p w14:paraId="4BE83483"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Replacement explanatory memorandum</w:t>
            </w:r>
          </w:p>
        </w:tc>
        <w:tc>
          <w:tcPr>
            <w:tcW w:w="1543" w:type="dxa"/>
          </w:tcPr>
          <w:p w14:paraId="4BE83484"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576" w:type="dxa"/>
            <w:gridSpan w:val="2"/>
          </w:tcPr>
          <w:p w14:paraId="4BE83485"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148" w:type="dxa"/>
          </w:tcPr>
          <w:p w14:paraId="4BE83486"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278" w:type="dxa"/>
          </w:tcPr>
          <w:p w14:paraId="4BE83487"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2</w:t>
            </w:r>
          </w:p>
        </w:tc>
        <w:tc>
          <w:tcPr>
            <w:tcW w:w="1258" w:type="dxa"/>
          </w:tcPr>
          <w:p w14:paraId="4BE83488"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w:t>
            </w:r>
          </w:p>
        </w:tc>
      </w:tr>
      <w:tr w:rsidR="001F6E4A" w:rsidRPr="001F6E4A" w14:paraId="4BE83490" w14:textId="77777777" w:rsidTr="00962597">
        <w:tc>
          <w:tcPr>
            <w:tcW w:w="2835" w:type="dxa"/>
          </w:tcPr>
          <w:p w14:paraId="4BE8348A"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Supplementary explanatory memorandum</w:t>
            </w:r>
          </w:p>
        </w:tc>
        <w:tc>
          <w:tcPr>
            <w:tcW w:w="1543" w:type="dxa"/>
          </w:tcPr>
          <w:p w14:paraId="4BE8348B"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576" w:type="dxa"/>
            <w:gridSpan w:val="2"/>
          </w:tcPr>
          <w:p w14:paraId="4BE8348C"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15</w:t>
            </w:r>
          </w:p>
        </w:tc>
        <w:tc>
          <w:tcPr>
            <w:tcW w:w="1148" w:type="dxa"/>
          </w:tcPr>
          <w:p w14:paraId="4BE8348D"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278" w:type="dxa"/>
          </w:tcPr>
          <w:p w14:paraId="4BE8348E"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2</w:t>
            </w:r>
          </w:p>
        </w:tc>
        <w:tc>
          <w:tcPr>
            <w:tcW w:w="1258" w:type="dxa"/>
          </w:tcPr>
          <w:p w14:paraId="4BE8348F"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w:t>
            </w:r>
          </w:p>
        </w:tc>
      </w:tr>
      <w:tr w:rsidR="001F6E4A" w:rsidRPr="001F6E4A" w14:paraId="4BE83497" w14:textId="77777777" w:rsidTr="00962597">
        <w:trPr>
          <w:cnfStyle w:val="000000100000" w:firstRow="0" w:lastRow="0" w:firstColumn="0" w:lastColumn="0" w:oddVBand="0" w:evenVBand="0" w:oddHBand="1" w:evenHBand="0" w:firstRowFirstColumn="0" w:firstRowLastColumn="0" w:lastRowFirstColumn="0" w:lastRowLastColumn="0"/>
        </w:trPr>
        <w:tc>
          <w:tcPr>
            <w:tcW w:w="2835" w:type="dxa"/>
          </w:tcPr>
          <w:p w14:paraId="4BE83491"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Correction to supplementary explanatory memorandum</w:t>
            </w:r>
          </w:p>
        </w:tc>
        <w:tc>
          <w:tcPr>
            <w:tcW w:w="1543" w:type="dxa"/>
          </w:tcPr>
          <w:p w14:paraId="4BE83492"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30</w:t>
            </w:r>
          </w:p>
        </w:tc>
        <w:tc>
          <w:tcPr>
            <w:tcW w:w="1576" w:type="dxa"/>
            <w:gridSpan w:val="2"/>
          </w:tcPr>
          <w:p w14:paraId="4BE83493"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15</w:t>
            </w:r>
          </w:p>
        </w:tc>
        <w:tc>
          <w:tcPr>
            <w:tcW w:w="1148" w:type="dxa"/>
          </w:tcPr>
          <w:p w14:paraId="4BE83494"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40</w:t>
            </w:r>
          </w:p>
        </w:tc>
        <w:tc>
          <w:tcPr>
            <w:tcW w:w="1278" w:type="dxa"/>
          </w:tcPr>
          <w:p w14:paraId="4BE83495"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2</w:t>
            </w:r>
          </w:p>
        </w:tc>
        <w:tc>
          <w:tcPr>
            <w:tcW w:w="1258" w:type="dxa"/>
          </w:tcPr>
          <w:p w14:paraId="4BE83496" w14:textId="77777777" w:rsidR="001F6E4A" w:rsidRPr="001F6E4A" w:rsidRDefault="001F6E4A" w:rsidP="00364880">
            <w:pPr>
              <w:pStyle w:val="TableText"/>
              <w:jc w:val="center"/>
              <w:rPr>
                <w:rFonts w:asciiTheme="minorHAnsi" w:hAnsiTheme="minorHAnsi" w:cstheme="minorHAnsi"/>
                <w:sz w:val="22"/>
                <w:szCs w:val="22"/>
              </w:rPr>
            </w:pPr>
            <w:r w:rsidRPr="001F6E4A">
              <w:rPr>
                <w:rFonts w:asciiTheme="minorHAnsi" w:hAnsiTheme="minorHAnsi" w:cstheme="minorHAnsi"/>
                <w:sz w:val="22"/>
                <w:szCs w:val="22"/>
              </w:rPr>
              <w:t>1</w:t>
            </w:r>
          </w:p>
        </w:tc>
      </w:tr>
      <w:tr w:rsidR="001F6E4A" w:rsidRPr="001F6E4A" w14:paraId="4BE8349E" w14:textId="77777777" w:rsidTr="00962597">
        <w:tc>
          <w:tcPr>
            <w:tcW w:w="2835" w:type="dxa"/>
          </w:tcPr>
          <w:p w14:paraId="4BE83498" w14:textId="77777777" w:rsidR="001F6E4A" w:rsidRPr="001F6E4A" w:rsidRDefault="001F6E4A" w:rsidP="00364880">
            <w:pPr>
              <w:pStyle w:val="TableText"/>
              <w:rPr>
                <w:rFonts w:asciiTheme="minorHAnsi" w:hAnsiTheme="minorHAnsi" w:cstheme="minorHAnsi"/>
                <w:sz w:val="22"/>
                <w:szCs w:val="22"/>
              </w:rPr>
            </w:pPr>
            <w:r w:rsidRPr="001F6E4A">
              <w:rPr>
                <w:rFonts w:asciiTheme="minorHAnsi" w:hAnsiTheme="minorHAnsi" w:cstheme="minorHAnsi"/>
                <w:sz w:val="22"/>
                <w:szCs w:val="22"/>
              </w:rPr>
              <w:t>Revised explanatory memorandum</w:t>
            </w:r>
          </w:p>
        </w:tc>
        <w:tc>
          <w:tcPr>
            <w:tcW w:w="1543" w:type="dxa"/>
          </w:tcPr>
          <w:p w14:paraId="4BE83499" w14:textId="77777777" w:rsidR="001F6E4A" w:rsidRPr="001F6E4A" w:rsidRDefault="001F6E4A" w:rsidP="00364880">
            <w:pPr>
              <w:spacing w:before="40" w:after="40"/>
              <w:jc w:val="center"/>
              <w:rPr>
                <w:rFonts w:asciiTheme="minorHAnsi" w:eastAsia="Calibri" w:hAnsiTheme="minorHAnsi" w:cstheme="minorHAnsi"/>
                <w:szCs w:val="22"/>
              </w:rPr>
            </w:pPr>
            <w:r w:rsidRPr="001F6E4A">
              <w:rPr>
                <w:rFonts w:asciiTheme="minorHAnsi" w:eastAsia="Calibri" w:hAnsiTheme="minorHAnsi" w:cstheme="minorHAnsi"/>
                <w:szCs w:val="22"/>
              </w:rPr>
              <w:t>30</w:t>
            </w:r>
          </w:p>
        </w:tc>
        <w:tc>
          <w:tcPr>
            <w:tcW w:w="1576" w:type="dxa"/>
            <w:gridSpan w:val="2"/>
          </w:tcPr>
          <w:p w14:paraId="4BE8349A" w14:textId="77777777" w:rsidR="001F6E4A" w:rsidRPr="001F6E4A" w:rsidRDefault="001F6E4A" w:rsidP="00364880">
            <w:pPr>
              <w:spacing w:before="40" w:after="40"/>
              <w:jc w:val="center"/>
              <w:rPr>
                <w:rFonts w:asciiTheme="minorHAnsi" w:eastAsia="Calibri" w:hAnsiTheme="minorHAnsi" w:cstheme="minorHAnsi"/>
                <w:szCs w:val="22"/>
              </w:rPr>
            </w:pPr>
            <w:r w:rsidRPr="001F6E4A">
              <w:rPr>
                <w:rFonts w:asciiTheme="minorHAnsi" w:eastAsia="Calibri" w:hAnsiTheme="minorHAnsi" w:cstheme="minorHAnsi"/>
                <w:szCs w:val="22"/>
              </w:rPr>
              <w:t>15</w:t>
            </w:r>
          </w:p>
        </w:tc>
        <w:tc>
          <w:tcPr>
            <w:tcW w:w="1148" w:type="dxa"/>
          </w:tcPr>
          <w:p w14:paraId="4BE8349B" w14:textId="77777777" w:rsidR="001F6E4A" w:rsidRPr="001F6E4A" w:rsidRDefault="001F6E4A" w:rsidP="00364880">
            <w:pPr>
              <w:spacing w:before="40" w:after="40"/>
              <w:jc w:val="center"/>
              <w:rPr>
                <w:rFonts w:asciiTheme="minorHAnsi" w:eastAsia="Calibri" w:hAnsiTheme="minorHAnsi" w:cstheme="minorHAnsi"/>
                <w:szCs w:val="22"/>
              </w:rPr>
            </w:pPr>
            <w:r w:rsidRPr="001F6E4A">
              <w:rPr>
                <w:rFonts w:asciiTheme="minorHAnsi" w:eastAsia="Calibri" w:hAnsiTheme="minorHAnsi" w:cstheme="minorHAnsi"/>
                <w:szCs w:val="22"/>
              </w:rPr>
              <w:t>40</w:t>
            </w:r>
          </w:p>
        </w:tc>
        <w:tc>
          <w:tcPr>
            <w:tcW w:w="1278" w:type="dxa"/>
          </w:tcPr>
          <w:p w14:paraId="4BE8349C" w14:textId="77777777" w:rsidR="001F6E4A" w:rsidRPr="001F6E4A" w:rsidRDefault="001F6E4A" w:rsidP="00364880">
            <w:pPr>
              <w:spacing w:before="40" w:after="40"/>
              <w:jc w:val="center"/>
              <w:rPr>
                <w:rFonts w:asciiTheme="minorHAnsi" w:eastAsia="Calibri" w:hAnsiTheme="minorHAnsi" w:cstheme="minorHAnsi"/>
                <w:szCs w:val="22"/>
              </w:rPr>
            </w:pPr>
            <w:r w:rsidRPr="001F6E4A">
              <w:rPr>
                <w:rFonts w:asciiTheme="minorHAnsi" w:eastAsia="Calibri" w:hAnsiTheme="minorHAnsi" w:cstheme="minorHAnsi"/>
                <w:szCs w:val="22"/>
              </w:rPr>
              <w:t>2</w:t>
            </w:r>
          </w:p>
        </w:tc>
        <w:tc>
          <w:tcPr>
            <w:tcW w:w="1258" w:type="dxa"/>
          </w:tcPr>
          <w:p w14:paraId="4BE8349D" w14:textId="77777777" w:rsidR="001F6E4A" w:rsidRPr="001F6E4A" w:rsidRDefault="001F6E4A" w:rsidP="00364880">
            <w:pPr>
              <w:spacing w:before="40" w:after="40"/>
              <w:jc w:val="center"/>
              <w:rPr>
                <w:rFonts w:asciiTheme="minorHAnsi" w:eastAsia="Calibri" w:hAnsiTheme="minorHAnsi" w:cstheme="minorHAnsi"/>
                <w:szCs w:val="22"/>
              </w:rPr>
            </w:pPr>
            <w:r w:rsidRPr="001F6E4A">
              <w:rPr>
                <w:rFonts w:asciiTheme="minorHAnsi" w:eastAsia="Calibri" w:hAnsiTheme="minorHAnsi" w:cstheme="minorHAnsi"/>
                <w:szCs w:val="22"/>
              </w:rPr>
              <w:t>1</w:t>
            </w:r>
          </w:p>
        </w:tc>
      </w:tr>
    </w:tbl>
    <w:p w14:paraId="4BE8349F" w14:textId="77777777" w:rsidR="001F6E4A" w:rsidRPr="00CE504E" w:rsidRDefault="001F6E4A" w:rsidP="001F6E4A">
      <w:r w:rsidRPr="00797D64">
        <w:t xml:space="preserve">* </w:t>
      </w:r>
      <w:r>
        <w:t>T</w:t>
      </w:r>
      <w:r w:rsidRPr="00797D64">
        <w:t xml:space="preserve">o be prepared by </w:t>
      </w:r>
      <w:proofErr w:type="spellStart"/>
      <w:r w:rsidRPr="00797D64">
        <w:t>CanPrint</w:t>
      </w:r>
      <w:proofErr w:type="spellEnd"/>
      <w:r w:rsidRPr="00797D64">
        <w:t>, or other</w:t>
      </w:r>
      <w:r w:rsidRPr="00CE504E">
        <w:t xml:space="preserve"> chosen </w:t>
      </w:r>
      <w:r>
        <w:t>print provid</w:t>
      </w:r>
      <w:r w:rsidRPr="00CE504E">
        <w:t xml:space="preserve">er. It is recommended that at least 10 additional copies </w:t>
      </w:r>
      <w:r>
        <w:t xml:space="preserve">of each explanatory memoranda </w:t>
      </w:r>
      <w:r w:rsidRPr="00CE504E">
        <w:t xml:space="preserve">be ordered for </w:t>
      </w:r>
      <w:r>
        <w:t xml:space="preserve">use by Ministers’ Offices and </w:t>
      </w:r>
      <w:r w:rsidRPr="00CE504E">
        <w:t>departments</w:t>
      </w:r>
      <w:r>
        <w:t>.</w:t>
      </w:r>
    </w:p>
    <w:p w14:paraId="4BE834A0" w14:textId="77777777" w:rsidR="001F6E4A" w:rsidRDefault="001F6E4A" w:rsidP="001F6E4A">
      <w:pPr>
        <w:pStyle w:val="Heading2"/>
      </w:pPr>
      <w:r>
        <w:t>Second reading speeches – number of copies (B5 or A4)*</w:t>
      </w:r>
    </w:p>
    <w:tbl>
      <w:tblPr>
        <w:tblStyle w:val="PMClinedrows"/>
        <w:tblW w:w="5000" w:type="pct"/>
        <w:tblLayout w:type="fixed"/>
        <w:tblLook w:val="04A0" w:firstRow="1" w:lastRow="0" w:firstColumn="1" w:lastColumn="0" w:noHBand="0" w:noVBand="1"/>
      </w:tblPr>
      <w:tblGrid>
        <w:gridCol w:w="3045"/>
        <w:gridCol w:w="1858"/>
        <w:gridCol w:w="1691"/>
        <w:gridCol w:w="1522"/>
        <w:gridCol w:w="1522"/>
      </w:tblGrid>
      <w:tr w:rsidR="001F6E4A" w:rsidRPr="00DB3293" w14:paraId="4BE834A6" w14:textId="77777777" w:rsidTr="001B3859">
        <w:trPr>
          <w:cnfStyle w:val="100000000000" w:firstRow="1" w:lastRow="0" w:firstColumn="0" w:lastColumn="0" w:oddVBand="0" w:evenVBand="0" w:oddHBand="0" w:evenHBand="0" w:firstRowFirstColumn="0" w:firstRowLastColumn="0" w:lastRowFirstColumn="0" w:lastRowLastColumn="0"/>
        </w:trPr>
        <w:tc>
          <w:tcPr>
            <w:tcW w:w="3045" w:type="dxa"/>
          </w:tcPr>
          <w:p w14:paraId="4BE834A1" w14:textId="77777777" w:rsidR="001F6E4A" w:rsidRPr="001B3859" w:rsidRDefault="001B3859" w:rsidP="00364880">
            <w:pPr>
              <w:spacing w:before="40" w:after="40"/>
              <w:jc w:val="center"/>
              <w:rPr>
                <w:rFonts w:asciiTheme="minorHAnsi" w:eastAsia="Calibri" w:hAnsiTheme="minorHAnsi" w:cstheme="minorHAnsi"/>
                <w:color w:val="FFFFFF" w:themeColor="background1"/>
                <w:szCs w:val="22"/>
              </w:rPr>
            </w:pPr>
            <w:r w:rsidRPr="001B3859">
              <w:rPr>
                <w:rFonts w:asciiTheme="minorHAnsi" w:eastAsia="Calibri" w:hAnsiTheme="minorHAnsi" w:cstheme="minorHAnsi"/>
                <w:color w:val="FFFFFF" w:themeColor="background1"/>
                <w:sz w:val="22"/>
                <w:szCs w:val="22"/>
              </w:rPr>
              <w:t>Document</w:t>
            </w:r>
          </w:p>
        </w:tc>
        <w:tc>
          <w:tcPr>
            <w:tcW w:w="1858" w:type="dxa"/>
          </w:tcPr>
          <w:p w14:paraId="4BE834A2" w14:textId="77777777" w:rsidR="001F6E4A" w:rsidRPr="001B3859" w:rsidRDefault="001B3859" w:rsidP="00364880">
            <w:pPr>
              <w:pStyle w:val="TableText"/>
              <w:jc w:val="center"/>
              <w:rPr>
                <w:rFonts w:asciiTheme="minorHAnsi" w:hAnsiTheme="minorHAnsi" w:cstheme="minorHAnsi"/>
                <w:color w:val="FFFFFF" w:themeColor="background1"/>
                <w:sz w:val="22"/>
                <w:szCs w:val="22"/>
              </w:rPr>
            </w:pPr>
            <w:r w:rsidRPr="001B3859">
              <w:rPr>
                <w:rFonts w:asciiTheme="minorHAnsi" w:hAnsiTheme="minorHAnsi" w:cstheme="minorHAnsi"/>
                <w:color w:val="FFFFFF" w:themeColor="background1"/>
                <w:sz w:val="22"/>
                <w:szCs w:val="22"/>
              </w:rPr>
              <w:t xml:space="preserve">Table Offices </w:t>
            </w:r>
            <w:r w:rsidR="001F6E4A" w:rsidRPr="001B3859">
              <w:rPr>
                <w:rFonts w:asciiTheme="minorHAnsi" w:hAnsiTheme="minorHAnsi" w:cstheme="minorHAnsi"/>
                <w:color w:val="FFFFFF" w:themeColor="background1"/>
                <w:sz w:val="22"/>
                <w:szCs w:val="22"/>
              </w:rPr>
              <w:t>House</w:t>
            </w:r>
          </w:p>
        </w:tc>
        <w:tc>
          <w:tcPr>
            <w:tcW w:w="1691" w:type="dxa"/>
          </w:tcPr>
          <w:p w14:paraId="4BE834A3" w14:textId="77777777" w:rsidR="001F6E4A" w:rsidRPr="001B3859" w:rsidRDefault="001B3859" w:rsidP="00364880">
            <w:pPr>
              <w:pStyle w:val="TableText"/>
              <w:jc w:val="center"/>
              <w:rPr>
                <w:rFonts w:asciiTheme="minorHAnsi" w:hAnsiTheme="minorHAnsi" w:cstheme="minorHAnsi"/>
                <w:color w:val="FFFFFF" w:themeColor="background1"/>
                <w:sz w:val="22"/>
                <w:szCs w:val="22"/>
              </w:rPr>
            </w:pPr>
            <w:r w:rsidRPr="001B3859">
              <w:rPr>
                <w:rFonts w:asciiTheme="minorHAnsi" w:hAnsiTheme="minorHAnsi" w:cstheme="minorHAnsi"/>
                <w:color w:val="FFFFFF" w:themeColor="background1"/>
                <w:sz w:val="22"/>
                <w:szCs w:val="22"/>
              </w:rPr>
              <w:t xml:space="preserve">Table Offices </w:t>
            </w:r>
            <w:r w:rsidR="001F6E4A" w:rsidRPr="001B3859">
              <w:rPr>
                <w:rFonts w:asciiTheme="minorHAnsi" w:hAnsiTheme="minorHAnsi" w:cstheme="minorHAnsi"/>
                <w:color w:val="FFFFFF" w:themeColor="background1"/>
                <w:sz w:val="22"/>
                <w:szCs w:val="22"/>
              </w:rPr>
              <w:t>Senate</w:t>
            </w:r>
          </w:p>
        </w:tc>
        <w:tc>
          <w:tcPr>
            <w:tcW w:w="1522" w:type="dxa"/>
          </w:tcPr>
          <w:p w14:paraId="4BE834A4" w14:textId="77777777" w:rsidR="001F6E4A" w:rsidRPr="001B3859" w:rsidRDefault="001B3859" w:rsidP="00364880">
            <w:pPr>
              <w:pStyle w:val="TableText"/>
              <w:jc w:val="center"/>
              <w:rPr>
                <w:rFonts w:asciiTheme="minorHAnsi" w:hAnsiTheme="minorHAnsi" w:cstheme="minorHAnsi"/>
                <w:color w:val="FFFFFF" w:themeColor="background1"/>
                <w:sz w:val="22"/>
                <w:szCs w:val="22"/>
              </w:rPr>
            </w:pPr>
            <w:r w:rsidRPr="001B3859">
              <w:rPr>
                <w:rFonts w:asciiTheme="minorHAnsi" w:hAnsiTheme="minorHAnsi" w:cstheme="minorHAnsi"/>
                <w:color w:val="FFFFFF" w:themeColor="background1"/>
                <w:sz w:val="22"/>
                <w:szCs w:val="22"/>
              </w:rPr>
              <w:t xml:space="preserve">PLOs </w:t>
            </w:r>
            <w:r w:rsidR="001F6E4A" w:rsidRPr="001B3859">
              <w:rPr>
                <w:rFonts w:asciiTheme="minorHAnsi" w:hAnsiTheme="minorHAnsi" w:cstheme="minorHAnsi"/>
                <w:color w:val="FFFFFF" w:themeColor="background1"/>
                <w:sz w:val="22"/>
                <w:szCs w:val="22"/>
              </w:rPr>
              <w:t>House</w:t>
            </w:r>
          </w:p>
        </w:tc>
        <w:tc>
          <w:tcPr>
            <w:tcW w:w="1522" w:type="dxa"/>
          </w:tcPr>
          <w:p w14:paraId="4BE834A5" w14:textId="77777777" w:rsidR="001F6E4A" w:rsidRPr="001B3859" w:rsidRDefault="001B3859" w:rsidP="00364880">
            <w:pPr>
              <w:pStyle w:val="TableText"/>
              <w:jc w:val="center"/>
              <w:rPr>
                <w:rFonts w:asciiTheme="minorHAnsi" w:hAnsiTheme="minorHAnsi" w:cstheme="minorHAnsi"/>
                <w:color w:val="FFFFFF" w:themeColor="background1"/>
                <w:sz w:val="22"/>
                <w:szCs w:val="22"/>
              </w:rPr>
            </w:pPr>
            <w:r w:rsidRPr="001B3859">
              <w:rPr>
                <w:rFonts w:asciiTheme="minorHAnsi" w:hAnsiTheme="minorHAnsi" w:cstheme="minorHAnsi"/>
                <w:color w:val="FFFFFF" w:themeColor="background1"/>
                <w:sz w:val="22"/>
                <w:szCs w:val="22"/>
              </w:rPr>
              <w:t xml:space="preserve">PLOs </w:t>
            </w:r>
            <w:r w:rsidR="001F6E4A" w:rsidRPr="001B3859">
              <w:rPr>
                <w:rFonts w:asciiTheme="minorHAnsi" w:hAnsiTheme="minorHAnsi" w:cstheme="minorHAnsi"/>
                <w:color w:val="FFFFFF" w:themeColor="background1"/>
                <w:sz w:val="22"/>
                <w:szCs w:val="22"/>
              </w:rPr>
              <w:t>Senate</w:t>
            </w:r>
          </w:p>
        </w:tc>
      </w:tr>
      <w:tr w:rsidR="001F6E4A" w:rsidRPr="00DB3293" w14:paraId="4BE834AC" w14:textId="77777777" w:rsidTr="001B3859">
        <w:trPr>
          <w:cnfStyle w:val="000000100000" w:firstRow="0" w:lastRow="0" w:firstColumn="0" w:lastColumn="0" w:oddVBand="0" w:evenVBand="0" w:oddHBand="1" w:evenHBand="0" w:firstRowFirstColumn="0" w:firstRowLastColumn="0" w:lastRowFirstColumn="0" w:lastRowLastColumn="0"/>
        </w:trPr>
        <w:tc>
          <w:tcPr>
            <w:tcW w:w="3045" w:type="dxa"/>
          </w:tcPr>
          <w:p w14:paraId="4BE834A7" w14:textId="77777777" w:rsidR="001F6E4A" w:rsidRPr="00DB3293" w:rsidRDefault="001F6E4A" w:rsidP="00364880">
            <w:pPr>
              <w:pStyle w:val="TableText"/>
              <w:rPr>
                <w:rFonts w:asciiTheme="minorHAnsi" w:hAnsiTheme="minorHAnsi" w:cstheme="minorHAnsi"/>
                <w:sz w:val="22"/>
                <w:szCs w:val="22"/>
              </w:rPr>
            </w:pPr>
            <w:r w:rsidRPr="00DB3293">
              <w:rPr>
                <w:rFonts w:asciiTheme="minorHAnsi" w:hAnsiTheme="minorHAnsi" w:cstheme="minorHAnsi"/>
                <w:sz w:val="22"/>
                <w:szCs w:val="22"/>
              </w:rPr>
              <w:t>Second reading speeches</w:t>
            </w:r>
          </w:p>
        </w:tc>
        <w:tc>
          <w:tcPr>
            <w:tcW w:w="1858" w:type="dxa"/>
          </w:tcPr>
          <w:p w14:paraId="4BE834A8" w14:textId="77777777" w:rsidR="001F6E4A" w:rsidRPr="00DB3293" w:rsidRDefault="001F6E4A" w:rsidP="00364880">
            <w:pPr>
              <w:pStyle w:val="TableText"/>
              <w:jc w:val="center"/>
              <w:rPr>
                <w:rFonts w:asciiTheme="minorHAnsi" w:hAnsiTheme="minorHAnsi" w:cstheme="minorHAnsi"/>
                <w:sz w:val="22"/>
                <w:szCs w:val="22"/>
              </w:rPr>
            </w:pPr>
            <w:r w:rsidRPr="00DB3293">
              <w:rPr>
                <w:rFonts w:asciiTheme="minorHAnsi" w:hAnsiTheme="minorHAnsi" w:cstheme="minorHAnsi"/>
                <w:sz w:val="22"/>
                <w:szCs w:val="22"/>
              </w:rPr>
              <w:t>30</w:t>
            </w:r>
          </w:p>
        </w:tc>
        <w:tc>
          <w:tcPr>
            <w:tcW w:w="1691" w:type="dxa"/>
          </w:tcPr>
          <w:p w14:paraId="4BE834A9" w14:textId="77777777" w:rsidR="001F6E4A" w:rsidRPr="00DB3293" w:rsidRDefault="001F6E4A" w:rsidP="00364880">
            <w:pPr>
              <w:pStyle w:val="TableText"/>
              <w:jc w:val="center"/>
              <w:rPr>
                <w:rFonts w:asciiTheme="minorHAnsi" w:hAnsiTheme="minorHAnsi" w:cstheme="minorHAnsi"/>
                <w:sz w:val="22"/>
                <w:szCs w:val="22"/>
              </w:rPr>
            </w:pPr>
            <w:r w:rsidRPr="00DB3293">
              <w:rPr>
                <w:rFonts w:asciiTheme="minorHAnsi" w:hAnsiTheme="minorHAnsi" w:cstheme="minorHAnsi"/>
                <w:sz w:val="22"/>
                <w:szCs w:val="22"/>
              </w:rPr>
              <w:t>40</w:t>
            </w:r>
          </w:p>
        </w:tc>
        <w:tc>
          <w:tcPr>
            <w:tcW w:w="1522" w:type="dxa"/>
          </w:tcPr>
          <w:p w14:paraId="4BE834AA" w14:textId="77777777" w:rsidR="001F6E4A" w:rsidRPr="00DB3293" w:rsidRDefault="001F6E4A" w:rsidP="00364880">
            <w:pPr>
              <w:pStyle w:val="TableText"/>
              <w:jc w:val="center"/>
              <w:rPr>
                <w:rFonts w:asciiTheme="minorHAnsi" w:hAnsiTheme="minorHAnsi" w:cstheme="minorHAnsi"/>
                <w:sz w:val="22"/>
                <w:szCs w:val="22"/>
              </w:rPr>
            </w:pPr>
            <w:r w:rsidRPr="00DB3293">
              <w:rPr>
                <w:rFonts w:asciiTheme="minorHAnsi" w:hAnsiTheme="minorHAnsi" w:cstheme="minorHAnsi"/>
                <w:sz w:val="22"/>
                <w:szCs w:val="22"/>
              </w:rPr>
              <w:t>2</w:t>
            </w:r>
          </w:p>
        </w:tc>
        <w:tc>
          <w:tcPr>
            <w:tcW w:w="1522" w:type="dxa"/>
          </w:tcPr>
          <w:p w14:paraId="4BE834AB" w14:textId="77777777" w:rsidR="001F6E4A" w:rsidRPr="00DB3293" w:rsidRDefault="001F6E4A" w:rsidP="00364880">
            <w:pPr>
              <w:pStyle w:val="TableText"/>
              <w:jc w:val="center"/>
              <w:rPr>
                <w:rFonts w:asciiTheme="minorHAnsi" w:hAnsiTheme="minorHAnsi" w:cstheme="minorHAnsi"/>
                <w:sz w:val="22"/>
                <w:szCs w:val="22"/>
              </w:rPr>
            </w:pPr>
            <w:r w:rsidRPr="00DB3293">
              <w:rPr>
                <w:rFonts w:asciiTheme="minorHAnsi" w:hAnsiTheme="minorHAnsi" w:cstheme="minorHAnsi"/>
                <w:sz w:val="22"/>
                <w:szCs w:val="22"/>
              </w:rPr>
              <w:t>1</w:t>
            </w:r>
          </w:p>
        </w:tc>
      </w:tr>
    </w:tbl>
    <w:p w14:paraId="4BE834AD" w14:textId="77777777" w:rsidR="001F6E4A" w:rsidRDefault="001F6E4A" w:rsidP="001F6E4A">
      <w:r>
        <w:t>* Can be copied ‘in house’ if preferred (A4 paper, stapled, single or double-sided).</w:t>
      </w:r>
    </w:p>
    <w:p w14:paraId="4BE834AE" w14:textId="77777777" w:rsidR="00DB3293" w:rsidRDefault="00DB3293" w:rsidP="00DB3293">
      <w:pPr>
        <w:spacing w:before="360"/>
      </w:pPr>
      <w:r>
        <w:t>At the same time as the documents are delivered to Parliament House, d</w:t>
      </w:r>
      <w:r w:rsidRPr="00E32376">
        <w:t xml:space="preserve">epartments must provide a </w:t>
      </w:r>
      <w:r w:rsidRPr="00BC3DC9">
        <w:t xml:space="preserve">Microsoft Word file of explanatory memoranda </w:t>
      </w:r>
      <w:r>
        <w:t xml:space="preserve">and second reading speeches </w:t>
      </w:r>
      <w:r w:rsidRPr="00BC3DC9">
        <w:t xml:space="preserve">to the relevant Table Office </w:t>
      </w:r>
      <w:r>
        <w:t xml:space="preserve">and PLO </w:t>
      </w:r>
      <w:r w:rsidRPr="00BC3DC9">
        <w:t>via email</w:t>
      </w:r>
      <w:r>
        <w:t xml:space="preserve"> — see email addresses below</w:t>
      </w:r>
      <w:r w:rsidRPr="00BC3DC9">
        <w:t>:</w:t>
      </w:r>
    </w:p>
    <w:p w14:paraId="4BE834AF" w14:textId="77777777" w:rsidR="00DB3293" w:rsidRPr="00E32376" w:rsidRDefault="00CA0EC0" w:rsidP="00DB3293">
      <w:pPr>
        <w:ind w:left="360"/>
      </w:pPr>
      <w:hyperlink r:id="rId13" w:history="1">
        <w:r w:rsidR="00DB3293" w:rsidRPr="00491B72">
          <w:rPr>
            <w:rStyle w:val="Hyperlink"/>
          </w:rPr>
          <w:t>Bills.Manager.Reps@aph.gov.au</w:t>
        </w:r>
      </w:hyperlink>
      <w:r w:rsidR="00DB3293" w:rsidRPr="00E32376">
        <w:br/>
        <w:t>(if House</w:t>
      </w:r>
      <w:r w:rsidR="00DB3293">
        <w:t>-</w:t>
      </w:r>
      <w:r w:rsidR="00DB3293" w:rsidRPr="00E32376">
        <w:t>initiated bill or House explanatory memorandum)</w:t>
      </w:r>
    </w:p>
    <w:p w14:paraId="4BE834B0" w14:textId="77777777" w:rsidR="00DB3293" w:rsidRDefault="00CA0EC0" w:rsidP="00DB3293">
      <w:pPr>
        <w:ind w:left="360"/>
      </w:pPr>
      <w:hyperlink r:id="rId14" w:history="1">
        <w:r w:rsidR="00DB3293" w:rsidRPr="00491B72">
          <w:rPr>
            <w:rStyle w:val="Hyperlink"/>
          </w:rPr>
          <w:t>table.legislation.sen@aph.gov.au</w:t>
        </w:r>
      </w:hyperlink>
      <w:r w:rsidR="00DB3293" w:rsidRPr="00E32376">
        <w:br/>
        <w:t>(if Senate</w:t>
      </w:r>
      <w:r w:rsidR="00DB3293">
        <w:t>-</w:t>
      </w:r>
      <w:r w:rsidR="00DB3293" w:rsidRPr="00E32376">
        <w:t>initiated bill or Senate explanatory memorandum)</w:t>
      </w:r>
    </w:p>
    <w:p w14:paraId="4BE834B1" w14:textId="77777777" w:rsidR="00DB3293" w:rsidRPr="00E32376" w:rsidRDefault="00CA0EC0" w:rsidP="00DB3293">
      <w:pPr>
        <w:ind w:left="360"/>
      </w:pPr>
      <w:hyperlink r:id="rId15" w:history="1">
        <w:r w:rsidR="00DB3293" w:rsidRPr="00491B72">
          <w:rPr>
            <w:rStyle w:val="Hyperlink"/>
          </w:rPr>
          <w:t>HousePLO@pmc.gov.au</w:t>
        </w:r>
      </w:hyperlink>
      <w:r w:rsidR="00DB3293" w:rsidRPr="00491B72">
        <w:rPr>
          <w:rStyle w:val="Hyperlink"/>
        </w:rPr>
        <w:t xml:space="preserve"> </w:t>
      </w:r>
      <w:r w:rsidR="00DB3293" w:rsidRPr="00E32376">
        <w:br/>
        <w:t>(if House</w:t>
      </w:r>
      <w:r w:rsidR="00DB3293">
        <w:t>-</w:t>
      </w:r>
      <w:r w:rsidR="00DB3293" w:rsidRPr="00E32376">
        <w:t>initiated bill or House explanatory memorandum)</w:t>
      </w:r>
    </w:p>
    <w:p w14:paraId="4BE834B2" w14:textId="77777777" w:rsidR="00DB3293" w:rsidRDefault="00CA0EC0" w:rsidP="00DB3293">
      <w:pPr>
        <w:ind w:left="360"/>
      </w:pPr>
      <w:hyperlink r:id="rId16" w:history="1">
        <w:r w:rsidR="00DB3293" w:rsidRPr="00491B72">
          <w:rPr>
            <w:rStyle w:val="Hyperlink"/>
          </w:rPr>
          <w:t>SenatePLO@pmc.gov.au</w:t>
        </w:r>
      </w:hyperlink>
      <w:r w:rsidR="00DB3293">
        <w:br/>
      </w:r>
      <w:r w:rsidR="00DB3293" w:rsidRPr="00E32376">
        <w:t>(if Senate</w:t>
      </w:r>
      <w:r w:rsidR="00DB3293">
        <w:t>-</w:t>
      </w:r>
      <w:r w:rsidR="00DB3293" w:rsidRPr="00E32376">
        <w:t>initiated bill or Senate explanatory memorandum)</w:t>
      </w:r>
    </w:p>
    <w:p w14:paraId="4BE834B3" w14:textId="77777777" w:rsidR="00DB3293" w:rsidRDefault="00DB3293" w:rsidP="00DB3293">
      <w:r w:rsidRPr="00E32376">
        <w:t xml:space="preserve">The email forwarding the </w:t>
      </w:r>
      <w:r>
        <w:t>documents</w:t>
      </w:r>
      <w:r w:rsidRPr="00E32376">
        <w:t xml:space="preserve"> must include the name of the bill to which the explanatory memorandum </w:t>
      </w:r>
      <w:r>
        <w:t xml:space="preserve">and second reading speech </w:t>
      </w:r>
      <w:r w:rsidRPr="00E32376">
        <w:t>relate and a departmental contact.</w:t>
      </w:r>
    </w:p>
    <w:p w14:paraId="4BE834B4" w14:textId="77777777" w:rsidR="00DB3293" w:rsidRDefault="00DB3293" w:rsidP="00DB3293">
      <w:r w:rsidRPr="00E32376">
        <w:t xml:space="preserve">Departments and agencies </w:t>
      </w:r>
      <w:r>
        <w:t>are</w:t>
      </w:r>
      <w:r w:rsidRPr="00E32376">
        <w:t xml:space="preserve"> responsible for ensuring that the text of the Word file of an explanatory memorandum is identical to the text of the hard copy as printed (apart fr</w:t>
      </w:r>
      <w:r>
        <w:t xml:space="preserve">om differences in formatting). </w:t>
      </w:r>
      <w:r w:rsidRPr="00E32376">
        <w:t>The Table Offices will check the title page but will not accept responsibility for any discrepancies between the electronic text and the printed copy.</w:t>
      </w:r>
    </w:p>
    <w:p w14:paraId="4BE834B5" w14:textId="77777777" w:rsidR="001F6E4A" w:rsidRDefault="00DB3293" w:rsidP="001F6E4A">
      <w:r>
        <w:t>S</w:t>
      </w:r>
      <w:r w:rsidRPr="00E32376">
        <w:t xml:space="preserve">econd reading speeches </w:t>
      </w:r>
      <w:r>
        <w:t>are to</w:t>
      </w:r>
      <w:r w:rsidRPr="00E32376">
        <w:t xml:space="preserve"> be written in a way that makes them suitable for both the House and the Senate. If a different speech is required for the Senate</w:t>
      </w:r>
      <w:r>
        <w:t>,</w:t>
      </w:r>
      <w:r w:rsidRPr="00E32376">
        <w:t xml:space="preserve"> it must not contain references appropr</w:t>
      </w:r>
      <w:r>
        <w:t xml:space="preserve">iate to a speech to the House. </w:t>
      </w:r>
    </w:p>
    <w:p w14:paraId="4BE834B6" w14:textId="77777777" w:rsidR="00DB3293" w:rsidRDefault="00DB3293" w:rsidP="00DB3293">
      <w:pPr>
        <w:pStyle w:val="Heading1"/>
      </w:pPr>
      <w:r>
        <w:t>Documents to be lodged with Ministers</w:t>
      </w:r>
    </w:p>
    <w:p w14:paraId="4BE834B7" w14:textId="77777777" w:rsidR="00DB3293" w:rsidRDefault="00DB3293" w:rsidP="00593129">
      <w:pPr>
        <w:keepLines/>
      </w:pPr>
      <w:r w:rsidRPr="00CC54EB">
        <w:t xml:space="preserve">Sufficient copies of the documents </w:t>
      </w:r>
      <w:r>
        <w:t>are to</w:t>
      </w:r>
      <w:r w:rsidRPr="00CC54EB">
        <w:t xml:space="preserve"> be provided to the</w:t>
      </w:r>
      <w:r>
        <w:t xml:space="preserve"> responsible</w:t>
      </w:r>
      <w:r w:rsidRPr="00CC54EB">
        <w:t xml:space="preserve"> minister’s office to meet</w:t>
      </w:r>
      <w:r>
        <w:t xml:space="preserve"> their requirements. In addition, for House-initiated bills only, one copy of an explanatory memorandum must be provided to the minister, for presentation to the House at the time of introduction or moving. Two copies of the second reading speech are also to be provided: one for the minister for use in the House and, if required by the minister, one for the Opposition.</w:t>
      </w:r>
    </w:p>
    <w:p w14:paraId="4BE834B8" w14:textId="77777777" w:rsidR="00DB3293" w:rsidRDefault="00DB3293" w:rsidP="00DB3293">
      <w:pPr>
        <w:pStyle w:val="Heading1"/>
      </w:pPr>
      <w:r>
        <w:t>Other issues relating to Explanatory Memoranda</w:t>
      </w:r>
    </w:p>
    <w:p w14:paraId="4BE834B9" w14:textId="77777777" w:rsidR="00DB3293" w:rsidRDefault="00DB3293" w:rsidP="00DB3293">
      <w:pPr>
        <w:pStyle w:val="Heading2"/>
      </w:pPr>
      <w:r>
        <w:t>Security</w:t>
      </w:r>
    </w:p>
    <w:p w14:paraId="4BE834BA" w14:textId="2ACB457D" w:rsidR="00DB3293" w:rsidRPr="00E32376" w:rsidRDefault="00DB3293" w:rsidP="00DB3293">
      <w:r w:rsidRPr="00E32376">
        <w:t xml:space="preserve">As bills and explanatory memoranda are confidential to the government until tabled, </w:t>
      </w:r>
      <w:r>
        <w:t>email transmissions of these documents are to be classified ‘</w:t>
      </w:r>
      <w:r w:rsidR="00074DE4">
        <w:t>OFFICIAL</w:t>
      </w:r>
      <w:r>
        <w:t xml:space="preserve">’. </w:t>
      </w:r>
      <w:r w:rsidRPr="00E32376">
        <w:t>If Senate amendments are cleared by the minister for circulation and the supplementary explanatory memorandum is available and cleared, that supplementary explanatory memorandum is circulated with the amendments and therefore remains confidential only until the time of circulation.</w:t>
      </w:r>
    </w:p>
    <w:p w14:paraId="4BE834BB" w14:textId="77777777" w:rsidR="00DB3293" w:rsidRDefault="00DB3293" w:rsidP="00DB3293">
      <w:pPr>
        <w:pStyle w:val="Heading2"/>
      </w:pPr>
      <w:r>
        <w:lastRenderedPageBreak/>
        <w:t>International Standard Book Numbers</w:t>
      </w:r>
    </w:p>
    <w:p w14:paraId="4BE834BC" w14:textId="77777777" w:rsidR="00DB3293" w:rsidRDefault="00DB3293" w:rsidP="00DB3293">
      <w:r>
        <w:t>The International Standard Book Number (ISBN) is a unique identifier for books. It is used internationally across the book trade and library sector to identify, differentiate and locate specific publications.</w:t>
      </w:r>
    </w:p>
    <w:p w14:paraId="4BE834BD" w14:textId="77777777" w:rsidR="00DB3293" w:rsidRPr="00E32376" w:rsidRDefault="00DB3293" w:rsidP="00DB3293">
      <w:r w:rsidRPr="00977E98">
        <w:t xml:space="preserve">Departments, as publishers of explanatory memoranda, are responsible for giving each explanatory memorandum an International Standard Book Number (ISBN). A barcode created from the ISBN is a feature that must be included if departments/printers have the required software. </w:t>
      </w:r>
      <w:proofErr w:type="spellStart"/>
      <w:r w:rsidRPr="00977E98">
        <w:t>CanPrint</w:t>
      </w:r>
      <w:proofErr w:type="spellEnd"/>
      <w:r w:rsidRPr="00977E98">
        <w:t xml:space="preserve"> will give the documents an ISBN as a matter of routine.</w:t>
      </w:r>
    </w:p>
    <w:p w14:paraId="4BE834BE" w14:textId="77777777" w:rsidR="00DB3293" w:rsidRDefault="00DB3293" w:rsidP="00DB3293">
      <w:pPr>
        <w:pStyle w:val="Heading2"/>
      </w:pPr>
      <w:r>
        <w:t>Insufficient time to print an explanatory memorandum</w:t>
      </w:r>
    </w:p>
    <w:p w14:paraId="4BE834BF" w14:textId="77777777" w:rsidR="00DB3293" w:rsidRDefault="00DB3293" w:rsidP="00DB3293">
      <w:pPr>
        <w:keepLines/>
      </w:pPr>
      <w:r w:rsidRPr="00E32376">
        <w:t>When a department has an extremely tight timeframe in which to print an explanatory</w:t>
      </w:r>
      <w:r>
        <w:t xml:space="preserve">, supplementary, or revised </w:t>
      </w:r>
      <w:r w:rsidRPr="00E32376">
        <w:t>memorandum</w:t>
      </w:r>
      <w:r>
        <w:t>,</w:t>
      </w:r>
      <w:r w:rsidRPr="00E32376">
        <w:t xml:space="preserve"> it can, </w:t>
      </w:r>
      <w:r w:rsidRPr="0073486A">
        <w:rPr>
          <w:b/>
        </w:rPr>
        <w:t>with the agreement of the relevant Table Office</w:t>
      </w:r>
      <w:r w:rsidRPr="00E32376">
        <w:t>, provide A4 photocopies</w:t>
      </w:r>
      <w:r>
        <w:t xml:space="preserve">. </w:t>
      </w:r>
      <w:r w:rsidRPr="00E32376">
        <w:t xml:space="preserve">The printed B5 copies </w:t>
      </w:r>
      <w:r>
        <w:t>must</w:t>
      </w:r>
      <w:r w:rsidRPr="00E32376">
        <w:t xml:space="preserve"> be provided to the Table Offices at a later date.</w:t>
      </w:r>
      <w:r>
        <w:t xml:space="preserve"> </w:t>
      </w:r>
      <w:r w:rsidRPr="00E32376">
        <w:t xml:space="preserve">Departments </w:t>
      </w:r>
      <w:r w:rsidRPr="0073486A">
        <w:rPr>
          <w:b/>
        </w:rPr>
        <w:t>must</w:t>
      </w:r>
      <w:r w:rsidRPr="00E32376">
        <w:t xml:space="preserve"> discuss the requirements for documentation in these circumstances with the relevant Table Office.</w:t>
      </w:r>
    </w:p>
    <w:p w14:paraId="4BE834C0" w14:textId="77777777" w:rsidR="00DB3293" w:rsidRDefault="00DB3293" w:rsidP="00DB3293">
      <w:pPr>
        <w:pStyle w:val="Heading2"/>
      </w:pPr>
      <w:proofErr w:type="spellStart"/>
      <w:r>
        <w:t>CanPrint</w:t>
      </w:r>
      <w:proofErr w:type="spellEnd"/>
      <w:r>
        <w:t xml:space="preserve"> requirements</w:t>
      </w:r>
    </w:p>
    <w:p w14:paraId="4BE834C1" w14:textId="7ADEFEC0" w:rsidR="00DB3293" w:rsidRPr="00736BE9" w:rsidRDefault="00DB3293" w:rsidP="00DB3293">
      <w:r>
        <w:t xml:space="preserve">An explanatory memorandum to be printed by </w:t>
      </w:r>
      <w:hyperlink r:id="rId17" w:history="1">
        <w:proofErr w:type="spellStart"/>
        <w:r w:rsidRPr="00491B72">
          <w:rPr>
            <w:rStyle w:val="Hyperlink"/>
          </w:rPr>
          <w:t>CanPrint</w:t>
        </w:r>
        <w:proofErr w:type="spellEnd"/>
      </w:hyperlink>
      <w:r>
        <w:t xml:space="preserve"> can be supplied by email. In either case, the document must be provided as a print</w:t>
      </w:r>
      <w:r>
        <w:noBreakHyphen/>
        <w:t xml:space="preserve">ready PDF file, with all fonts embedded. </w:t>
      </w:r>
      <w:hyperlink r:id="rId18" w:history="1">
        <w:proofErr w:type="spellStart"/>
        <w:r w:rsidRPr="00491B72">
          <w:rPr>
            <w:rStyle w:val="Hyperlink"/>
          </w:rPr>
          <w:t>CanPrint</w:t>
        </w:r>
        <w:proofErr w:type="spellEnd"/>
      </w:hyperlink>
      <w:r>
        <w:t xml:space="preserve"> can be contacted to make the necessary arrangements.</w:t>
      </w:r>
    </w:p>
    <w:p w14:paraId="4BE834C2" w14:textId="77777777" w:rsidR="00DB3293" w:rsidRPr="00DB3293" w:rsidRDefault="00DB3293" w:rsidP="00DB3293">
      <w:pPr>
        <w:ind w:left="360"/>
      </w:pPr>
      <w:proofErr w:type="spellStart"/>
      <w:r w:rsidRPr="00E32376">
        <w:t>CanPrint</w:t>
      </w:r>
      <w:proofErr w:type="spellEnd"/>
      <w:r w:rsidRPr="00E32376">
        <w:t xml:space="preserve"> Publications Warehouse</w:t>
      </w:r>
      <w:r w:rsidRPr="00E32376">
        <w:br/>
        <w:t xml:space="preserve">16 </w:t>
      </w:r>
      <w:proofErr w:type="spellStart"/>
      <w:r w:rsidRPr="00E32376">
        <w:t>Nyrang</w:t>
      </w:r>
      <w:proofErr w:type="spellEnd"/>
      <w:r w:rsidRPr="00E32376">
        <w:t xml:space="preserve"> Street</w:t>
      </w:r>
      <w:r>
        <w:br/>
      </w:r>
      <w:r w:rsidRPr="00E32376">
        <w:t>Fyshwick</w:t>
      </w:r>
      <w:r>
        <w:br/>
        <w:t xml:space="preserve">Tel. (02) </w:t>
      </w:r>
      <w:r w:rsidRPr="00E32376">
        <w:t xml:space="preserve">6295 </w:t>
      </w:r>
      <w:r>
        <w:t>4422</w:t>
      </w:r>
      <w:bookmarkEnd w:id="0"/>
    </w:p>
    <w:sectPr w:rsidR="00DB3293" w:rsidRPr="00DB3293" w:rsidSect="00BF72B2">
      <w:headerReference w:type="default" r:id="rId19"/>
      <w:footerReference w:type="default" r:id="rId20"/>
      <w:headerReference w:type="first" r:id="rId21"/>
      <w:footerReference w:type="first" r:id="rId22"/>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7158" w14:textId="77777777" w:rsidR="00CA0EC0" w:rsidRDefault="00CA0EC0" w:rsidP="00F957C6">
      <w:pPr>
        <w:spacing w:after="0" w:line="240" w:lineRule="auto"/>
      </w:pPr>
      <w:r>
        <w:separator/>
      </w:r>
    </w:p>
    <w:p w14:paraId="6E3202CD" w14:textId="77777777" w:rsidR="00CA0EC0" w:rsidRDefault="00CA0EC0"/>
    <w:p w14:paraId="0FA25768" w14:textId="77777777" w:rsidR="00CA0EC0" w:rsidRDefault="00CA0EC0"/>
  </w:endnote>
  <w:endnote w:type="continuationSeparator" w:id="0">
    <w:p w14:paraId="2F019F60" w14:textId="77777777" w:rsidR="00CA0EC0" w:rsidRDefault="00CA0EC0" w:rsidP="00F957C6">
      <w:pPr>
        <w:spacing w:after="0" w:line="240" w:lineRule="auto"/>
      </w:pPr>
      <w:r>
        <w:continuationSeparator/>
      </w:r>
    </w:p>
    <w:p w14:paraId="6C4C010F" w14:textId="77777777" w:rsidR="00CA0EC0" w:rsidRDefault="00CA0EC0"/>
    <w:p w14:paraId="3AD19ED3" w14:textId="77777777" w:rsidR="00CA0EC0" w:rsidRDefault="00CA0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34D0" w14:textId="5E2810BF" w:rsidR="00F31A92" w:rsidRPr="00593129" w:rsidRDefault="00037513" w:rsidP="00593129">
    <w:pPr>
      <w:pStyle w:val="Classification"/>
      <w:rPr>
        <w:color w:val="auto"/>
      </w:rPr>
    </w:pPr>
    <w:r w:rsidRPr="00852F35">
      <w:rPr>
        <w:color w:val="6E6E6E"/>
        <w:szCs w:val="18"/>
      </w:rPr>
      <w:t>PM&amp;C |</w:t>
    </w:r>
    <w:r w:rsidR="00376FE6" w:rsidRPr="00852F35">
      <w:rPr>
        <w:color w:val="6E6E6E"/>
        <w:szCs w:val="18"/>
      </w:rPr>
      <w:t xml:space="preserve"> </w:t>
    </w:r>
    <w:sdt>
      <w:sdtPr>
        <w:rPr>
          <w:color w:val="6E6E6E"/>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F25DA5">
          <w:rPr>
            <w:color w:val="6E6E6E"/>
            <w:szCs w:val="18"/>
          </w:rPr>
          <w:t>Appendix G: Requirements for Documentation</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6B48A2">
      <w:rPr>
        <w:rFonts w:cs="Segoe UI"/>
        <w:noProof/>
        <w:color w:val="6E6E6E"/>
      </w:rPr>
      <w:t>4</w:t>
    </w:r>
    <w:r w:rsidRPr="00852F35">
      <w:rPr>
        <w:rFonts w:cs="Segoe UI"/>
        <w:noProof/>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34D4" w14:textId="7C55FA5E" w:rsidR="00F31A92" w:rsidRPr="00593129" w:rsidRDefault="00BB1526" w:rsidP="00593129">
    <w:pPr>
      <w:pStyle w:val="Classification"/>
    </w:pPr>
    <w:r w:rsidRPr="00852F35">
      <w:rPr>
        <w:color w:val="6E6E6E"/>
        <w:szCs w:val="18"/>
      </w:rPr>
      <w:t xml:space="preserve">PM&amp;C | </w:t>
    </w:r>
    <w:sdt>
      <w:sdtPr>
        <w:rPr>
          <w:color w:val="6E6E6E"/>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F25DA5">
          <w:rPr>
            <w:color w:val="6E6E6E"/>
            <w:szCs w:val="18"/>
          </w:rPr>
          <w:t>Appendix G: Requirements for Documentation</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6B48A2">
      <w:rPr>
        <w:rFonts w:cs="Segoe UI"/>
        <w:noProof/>
        <w:color w:val="6E6E6E"/>
      </w:rPr>
      <w:t>1</w:t>
    </w:r>
    <w:r w:rsidRPr="00852F35">
      <w:rPr>
        <w:rFonts w:cs="Segoe UI"/>
        <w:noProof/>
        <w:color w:val="6E6E6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FD8F" w14:textId="77777777" w:rsidR="00CA0EC0" w:rsidRDefault="00CA0EC0" w:rsidP="00F957C6">
      <w:pPr>
        <w:spacing w:after="0" w:line="240" w:lineRule="auto"/>
      </w:pPr>
      <w:r>
        <w:separator/>
      </w:r>
    </w:p>
    <w:p w14:paraId="68F013F0" w14:textId="77777777" w:rsidR="00CA0EC0" w:rsidRDefault="00CA0EC0"/>
    <w:p w14:paraId="5D39D8D8" w14:textId="77777777" w:rsidR="00CA0EC0" w:rsidRDefault="00CA0EC0"/>
  </w:footnote>
  <w:footnote w:type="continuationSeparator" w:id="0">
    <w:p w14:paraId="436D2DB2" w14:textId="77777777" w:rsidR="00CA0EC0" w:rsidRDefault="00CA0EC0" w:rsidP="00F957C6">
      <w:pPr>
        <w:spacing w:after="0" w:line="240" w:lineRule="auto"/>
      </w:pPr>
      <w:r>
        <w:continuationSeparator/>
      </w:r>
    </w:p>
    <w:p w14:paraId="4E7ECDD2" w14:textId="77777777" w:rsidR="00CA0EC0" w:rsidRDefault="00CA0EC0"/>
    <w:p w14:paraId="71AAC80E" w14:textId="77777777" w:rsidR="00CA0EC0" w:rsidRDefault="00CA0E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34CF" w14:textId="77777777" w:rsidR="00F31A92" w:rsidRDefault="00D04E61" w:rsidP="00593129">
    <w:pPr>
      <w:pStyle w:val="Classification"/>
      <w:spacing w:after="1200"/>
      <w:jc w:val="left"/>
    </w:pPr>
    <w:r>
      <w:rPr>
        <w:noProof/>
        <w:lang w:eastAsia="en-AU"/>
      </w:rPr>
      <mc:AlternateContent>
        <mc:Choice Requires="wps">
          <w:drawing>
            <wp:anchor distT="0" distB="0" distL="114300" distR="114300" simplePos="0" relativeHeight="251677696" behindDoc="1" locked="0" layoutInCell="1" allowOverlap="1" wp14:anchorId="4BE834D5" wp14:editId="4BE834D6">
              <wp:simplePos x="0" y="0"/>
              <wp:positionH relativeFrom="column">
                <wp:posOffset>6221730</wp:posOffset>
              </wp:positionH>
              <wp:positionV relativeFrom="page">
                <wp:posOffset>691515</wp:posOffset>
              </wp:positionV>
              <wp:extent cx="608400" cy="0"/>
              <wp:effectExtent l="0" t="0" r="20320" b="19050"/>
              <wp:wrapNone/>
              <wp:docPr id="4" name="Straight Connector 4" descr="decorative"/>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064526" id="Straight Connector 4" o:spid="_x0000_s1026" alt="decorative"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9.9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" strokecolor="black [3200]"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34D1" w14:textId="77777777" w:rsidR="00037513" w:rsidRPr="002D0A99" w:rsidRDefault="00A62EF3" w:rsidP="002D0A99">
    <w:pPr>
      <w:pStyle w:val="Header"/>
      <w:rPr>
        <w:rFonts w:ascii="Segoe UI" w:hAnsi="Segoe UI"/>
        <w:caps/>
        <w:color w:val="C00000"/>
        <w:sz w:val="18"/>
      </w:rPr>
    </w:pPr>
    <w:r>
      <w:rPr>
        <w:rFonts w:ascii="Segoe UI" w:hAnsi="Segoe UI"/>
        <w:caps/>
        <w:noProof/>
        <w:color w:val="C00000"/>
        <w:sz w:val="18"/>
        <w:lang w:eastAsia="en-AU"/>
      </w:rPr>
      <w:drawing>
        <wp:anchor distT="0" distB="0" distL="114300" distR="114300" simplePos="0" relativeHeight="251681792" behindDoc="1" locked="0" layoutInCell="1" allowOverlap="1" wp14:anchorId="4BE834D7" wp14:editId="4BE834D8">
          <wp:simplePos x="0" y="0"/>
          <wp:positionH relativeFrom="column">
            <wp:posOffset>4742815</wp:posOffset>
          </wp:positionH>
          <wp:positionV relativeFrom="paragraph">
            <wp:posOffset>-517525</wp:posOffset>
          </wp:positionV>
          <wp:extent cx="1473795" cy="1789544"/>
          <wp:effectExtent l="0" t="0" r="0" b="1270"/>
          <wp:wrapNone/>
          <wp:docPr id="28" name="Picture 2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795" cy="1789544"/>
                  </a:xfrm>
                  <a:prstGeom prst="rect">
                    <a:avLst/>
                  </a:prstGeom>
                </pic:spPr>
              </pic:pic>
            </a:graphicData>
          </a:graphic>
          <wp14:sizeRelH relativeFrom="margin">
            <wp14:pctWidth>0</wp14:pctWidth>
          </wp14:sizeRelH>
          <wp14:sizeRelV relativeFrom="margin">
            <wp14:pctHeight>0</wp14:pctHeight>
          </wp14:sizeRelV>
        </wp:anchor>
      </w:drawing>
    </w:r>
    <w:r w:rsidRPr="002160A7">
      <w:rPr>
        <w:noProof/>
        <w:lang w:eastAsia="en-AU"/>
      </w:rPr>
      <w:drawing>
        <wp:anchor distT="0" distB="0" distL="114300" distR="114300" simplePos="0" relativeHeight="251679744" behindDoc="1" locked="0" layoutInCell="1" allowOverlap="1" wp14:anchorId="4BE834D9" wp14:editId="4BE834DA">
          <wp:simplePos x="0" y="0"/>
          <wp:positionH relativeFrom="column">
            <wp:posOffset>-214540</wp:posOffset>
          </wp:positionH>
          <wp:positionV relativeFrom="page">
            <wp:posOffset>115570</wp:posOffset>
          </wp:positionV>
          <wp:extent cx="3600000" cy="806400"/>
          <wp:effectExtent l="0" t="0" r="0" b="0"/>
          <wp:wrapNone/>
          <wp:docPr id="29" name="Picture 29"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513">
      <w:rPr>
        <w:noProof/>
        <w:lang w:eastAsia="en-AU"/>
      </w:rPr>
      <mc:AlternateContent>
        <mc:Choice Requires="wps">
          <w:drawing>
            <wp:anchor distT="0" distB="0" distL="114300" distR="114300" simplePos="0" relativeHeight="251675648" behindDoc="1" locked="0" layoutInCell="1" allowOverlap="1" wp14:anchorId="4BE834DB" wp14:editId="4BE834DC">
              <wp:simplePos x="0" y="0"/>
              <wp:positionH relativeFrom="column">
                <wp:posOffset>6220460</wp:posOffset>
              </wp:positionH>
              <wp:positionV relativeFrom="page">
                <wp:posOffset>691515</wp:posOffset>
              </wp:positionV>
              <wp:extent cx="609600" cy="0"/>
              <wp:effectExtent l="0" t="0" r="19050" b="19050"/>
              <wp:wrapNone/>
              <wp:docPr id="108" name="Straight Connector 108" descr="decorative"/>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6900F" id="Straight Connector 108" o:spid="_x0000_s1026" alt="decorative"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" strokecolor="black [3200]" strokeweight=".5pt">
              <v:stroke joinstyle="miter"/>
              <w10:wrap anchory="page"/>
            </v:line>
          </w:pict>
        </mc:Fallback>
      </mc:AlternateContent>
    </w:r>
  </w:p>
  <w:p w14:paraId="4BE834D2" w14:textId="77777777" w:rsidR="00831D08" w:rsidRDefault="00831D08"/>
  <w:p w14:paraId="4BE834D3" w14:textId="77777777" w:rsidR="00F31A92" w:rsidRDefault="00F31A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5941D5"/>
    <w:multiLevelType w:val="hybridMultilevel"/>
    <w:tmpl w:val="0E80A4B2"/>
    <w:lvl w:ilvl="0" w:tplc="637C09C2">
      <w:start w:val="1"/>
      <w:numFmt w:val="bullet"/>
      <w:lvlText w:val=""/>
      <w:lvlJc w:val="left"/>
      <w:pPr>
        <w:ind w:left="720" w:hanging="360"/>
      </w:pPr>
      <w:rPr>
        <w:rFonts w:ascii="Symbol" w:hAnsi="Symbol" w:hint="default"/>
      </w:rPr>
    </w:lvl>
    <w:lvl w:ilvl="1" w:tplc="D5AE18C6">
      <w:start w:val="1"/>
      <w:numFmt w:val="bullet"/>
      <w:pStyle w:val="Dash"/>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0"/>
  </w:num>
  <w:num w:numId="20">
    <w:abstractNumId w:val="20"/>
    <w:lvlOverride w:ilvl="0">
      <w:startOverride w:val="1"/>
    </w:lvlOverride>
  </w:num>
  <w:num w:numId="21">
    <w:abstractNumId w:val="25"/>
  </w:num>
  <w:num w:numId="22">
    <w:abstractNumId w:val="23"/>
  </w:num>
  <w:num w:numId="23">
    <w:abstractNumId w:val="11"/>
    <w:lvlOverride w:ilvl="0">
      <w:startOverride w:val="1"/>
    </w:lvlOverride>
  </w:num>
  <w:num w:numId="24">
    <w:abstractNumId w:val="25"/>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14"/>
  </w:num>
  <w:num w:numId="28">
    <w:abstractNumId w:val="19"/>
  </w:num>
  <w:num w:numId="29">
    <w:abstractNumId w:val="13"/>
  </w:num>
  <w:num w:numId="30">
    <w:abstractNumId w:val="15"/>
  </w:num>
  <w:num w:numId="31">
    <w:abstractNumId w:val="12"/>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17"/>
  </w:num>
  <w:num w:numId="39">
    <w:abstractNumId w:val="25"/>
    <w:lvlOverride w:ilvl="0">
      <w:startOverride w:val="1"/>
    </w:lvlOverride>
  </w:num>
  <w:num w:numId="40">
    <w:abstractNumId w:val="18"/>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24"/>
    <w:rsid w:val="00000547"/>
    <w:rsid w:val="00027038"/>
    <w:rsid w:val="0003154E"/>
    <w:rsid w:val="00037513"/>
    <w:rsid w:val="00050E86"/>
    <w:rsid w:val="0006627F"/>
    <w:rsid w:val="00074DE4"/>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B3859"/>
    <w:rsid w:val="001C50FD"/>
    <w:rsid w:val="001C574D"/>
    <w:rsid w:val="001E2E1B"/>
    <w:rsid w:val="001F15C1"/>
    <w:rsid w:val="001F6E4A"/>
    <w:rsid w:val="00203ABE"/>
    <w:rsid w:val="00212266"/>
    <w:rsid w:val="00212443"/>
    <w:rsid w:val="00220DDA"/>
    <w:rsid w:val="00227DB5"/>
    <w:rsid w:val="0023241F"/>
    <w:rsid w:val="0024417B"/>
    <w:rsid w:val="00266CCC"/>
    <w:rsid w:val="00274D42"/>
    <w:rsid w:val="00275B1F"/>
    <w:rsid w:val="00285CAF"/>
    <w:rsid w:val="002B661A"/>
    <w:rsid w:val="002C7A05"/>
    <w:rsid w:val="002D0A99"/>
    <w:rsid w:val="002D195F"/>
    <w:rsid w:val="002D6B3D"/>
    <w:rsid w:val="002E2CBE"/>
    <w:rsid w:val="002E5916"/>
    <w:rsid w:val="00302659"/>
    <w:rsid w:val="00303A4C"/>
    <w:rsid w:val="00303C55"/>
    <w:rsid w:val="00303D51"/>
    <w:rsid w:val="00307D64"/>
    <w:rsid w:val="00311C2D"/>
    <w:rsid w:val="00317030"/>
    <w:rsid w:val="00333C8F"/>
    <w:rsid w:val="00342256"/>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40362"/>
    <w:rsid w:val="00551B0B"/>
    <w:rsid w:val="00561FB9"/>
    <w:rsid w:val="00591288"/>
    <w:rsid w:val="005917FD"/>
    <w:rsid w:val="00593129"/>
    <w:rsid w:val="005A4AA1"/>
    <w:rsid w:val="005B3358"/>
    <w:rsid w:val="005C0F15"/>
    <w:rsid w:val="005C3C13"/>
    <w:rsid w:val="005C56AE"/>
    <w:rsid w:val="005D4706"/>
    <w:rsid w:val="005E0244"/>
    <w:rsid w:val="005E6890"/>
    <w:rsid w:val="006147EB"/>
    <w:rsid w:val="006200C8"/>
    <w:rsid w:val="006200EB"/>
    <w:rsid w:val="00621EA3"/>
    <w:rsid w:val="00622341"/>
    <w:rsid w:val="00624DE3"/>
    <w:rsid w:val="00640234"/>
    <w:rsid w:val="0064343A"/>
    <w:rsid w:val="00665FB6"/>
    <w:rsid w:val="006A008F"/>
    <w:rsid w:val="006A5AA6"/>
    <w:rsid w:val="006B48A2"/>
    <w:rsid w:val="006B57DC"/>
    <w:rsid w:val="006E170D"/>
    <w:rsid w:val="006E698B"/>
    <w:rsid w:val="006F41B8"/>
    <w:rsid w:val="0070317A"/>
    <w:rsid w:val="0071548B"/>
    <w:rsid w:val="007203E4"/>
    <w:rsid w:val="007204A9"/>
    <w:rsid w:val="00735B0D"/>
    <w:rsid w:val="0074227D"/>
    <w:rsid w:val="00756929"/>
    <w:rsid w:val="00767DBB"/>
    <w:rsid w:val="00774646"/>
    <w:rsid w:val="00777D6F"/>
    <w:rsid w:val="00781695"/>
    <w:rsid w:val="00790ECB"/>
    <w:rsid w:val="00797C3A"/>
    <w:rsid w:val="007A02A7"/>
    <w:rsid w:val="007A0EE6"/>
    <w:rsid w:val="007C0935"/>
    <w:rsid w:val="007D3E3F"/>
    <w:rsid w:val="007F4E93"/>
    <w:rsid w:val="008046D4"/>
    <w:rsid w:val="00831D08"/>
    <w:rsid w:val="00833150"/>
    <w:rsid w:val="00833792"/>
    <w:rsid w:val="00846824"/>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597"/>
    <w:rsid w:val="00962EE8"/>
    <w:rsid w:val="00976EE9"/>
    <w:rsid w:val="00984376"/>
    <w:rsid w:val="009A6D9C"/>
    <w:rsid w:val="009C11D9"/>
    <w:rsid w:val="009C60F6"/>
    <w:rsid w:val="009D0725"/>
    <w:rsid w:val="009E77DB"/>
    <w:rsid w:val="009F0889"/>
    <w:rsid w:val="009F6A0F"/>
    <w:rsid w:val="00A008E6"/>
    <w:rsid w:val="00A12C83"/>
    <w:rsid w:val="00A14757"/>
    <w:rsid w:val="00A62EF3"/>
    <w:rsid w:val="00A918A7"/>
    <w:rsid w:val="00A92E46"/>
    <w:rsid w:val="00AA705F"/>
    <w:rsid w:val="00AC2566"/>
    <w:rsid w:val="00AC2CDC"/>
    <w:rsid w:val="00AD236D"/>
    <w:rsid w:val="00AD7805"/>
    <w:rsid w:val="00AE6129"/>
    <w:rsid w:val="00B12FA1"/>
    <w:rsid w:val="00B407A9"/>
    <w:rsid w:val="00B56736"/>
    <w:rsid w:val="00B6596F"/>
    <w:rsid w:val="00B7428C"/>
    <w:rsid w:val="00BB1526"/>
    <w:rsid w:val="00BD171D"/>
    <w:rsid w:val="00BD57F5"/>
    <w:rsid w:val="00BE48A4"/>
    <w:rsid w:val="00BE56F0"/>
    <w:rsid w:val="00BF72B2"/>
    <w:rsid w:val="00C05A2C"/>
    <w:rsid w:val="00C12D35"/>
    <w:rsid w:val="00C47620"/>
    <w:rsid w:val="00C67859"/>
    <w:rsid w:val="00C70947"/>
    <w:rsid w:val="00C87076"/>
    <w:rsid w:val="00CA0EC0"/>
    <w:rsid w:val="00CA2D23"/>
    <w:rsid w:val="00CC6110"/>
    <w:rsid w:val="00CF21F3"/>
    <w:rsid w:val="00CF76C9"/>
    <w:rsid w:val="00D03799"/>
    <w:rsid w:val="00D04E61"/>
    <w:rsid w:val="00D10635"/>
    <w:rsid w:val="00D44F71"/>
    <w:rsid w:val="00D500C1"/>
    <w:rsid w:val="00D525B8"/>
    <w:rsid w:val="00D633DB"/>
    <w:rsid w:val="00D67571"/>
    <w:rsid w:val="00D76E45"/>
    <w:rsid w:val="00D80316"/>
    <w:rsid w:val="00D8303C"/>
    <w:rsid w:val="00DA18A2"/>
    <w:rsid w:val="00DB3293"/>
    <w:rsid w:val="00DD7C3B"/>
    <w:rsid w:val="00DF2267"/>
    <w:rsid w:val="00DF2F8D"/>
    <w:rsid w:val="00E05FA4"/>
    <w:rsid w:val="00E11E02"/>
    <w:rsid w:val="00E21483"/>
    <w:rsid w:val="00E224F4"/>
    <w:rsid w:val="00E2753F"/>
    <w:rsid w:val="00E84F06"/>
    <w:rsid w:val="00E86525"/>
    <w:rsid w:val="00E92551"/>
    <w:rsid w:val="00E93027"/>
    <w:rsid w:val="00EB5D8F"/>
    <w:rsid w:val="00EC417F"/>
    <w:rsid w:val="00ED0697"/>
    <w:rsid w:val="00F03073"/>
    <w:rsid w:val="00F25DA5"/>
    <w:rsid w:val="00F31A92"/>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344C"/>
  <w14:discardImageEditingData/>
  <w15:chartTrackingRefBased/>
  <w15:docId w15:val="{AA264331-8916-4079-A1D0-34E4F19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5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nhideWhenUsed/>
    <w:qFormat/>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Dash">
    <w:name w:val="Dash"/>
    <w:basedOn w:val="Normal"/>
    <w:qFormat/>
    <w:rsid w:val="001F6E4A"/>
    <w:pPr>
      <w:numPr>
        <w:ilvl w:val="1"/>
        <w:numId w:val="42"/>
      </w:numPr>
      <w:spacing w:after="120" w:line="240" w:lineRule="atLeast"/>
      <w:ind w:left="720"/>
    </w:pPr>
    <w:rPr>
      <w:rFonts w:ascii="Montserrat Light" w:eastAsia="Times New Roman" w:hAnsi="Montserrat Light" w:cs="Arial"/>
      <w:color w:val="000000"/>
      <w:sz w:val="18"/>
      <w:szCs w:val="22"/>
      <w:lang w:eastAsia="en-AU"/>
    </w:rPr>
  </w:style>
  <w:style w:type="paragraph" w:customStyle="1" w:styleId="TableText">
    <w:name w:val="TableText"/>
    <w:basedOn w:val="Normal"/>
    <w:qFormat/>
    <w:rsid w:val="001F6E4A"/>
    <w:pPr>
      <w:spacing w:before="80" w:after="80" w:line="240" w:lineRule="atLeast"/>
    </w:pPr>
    <w:rPr>
      <w:rFonts w:ascii="Montserrat Light" w:eastAsia="Calibri" w:hAnsi="Montserrat Light" w:cs="Arial"/>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lls.Manager.Reps@aph.gov.au" TargetMode="External"/><Relationship Id="rId18" Type="http://schemas.openxmlformats.org/officeDocument/2006/relationships/hyperlink" Target="http://canprint.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lodgement@pmc.gov.au" TargetMode="External"/><Relationship Id="rId17" Type="http://schemas.openxmlformats.org/officeDocument/2006/relationships/hyperlink" Target="http://canprint.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natePLO@pm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HousePLO@pm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ble.legislation.sen@aph.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CDE94EFDFD46EDA08723501BC8EC52"/>
        <w:category>
          <w:name w:val="General"/>
          <w:gallery w:val="placeholder"/>
        </w:category>
        <w:types>
          <w:type w:val="bbPlcHdr"/>
        </w:types>
        <w:behaviors>
          <w:behavior w:val="content"/>
        </w:behaviors>
        <w:guid w:val="{C78ACABC-AFC9-413E-B957-A74AF50E0A08}"/>
      </w:docPartPr>
      <w:docPartBody>
        <w:p w:rsidR="00973A93" w:rsidRDefault="00973A93">
          <w:pPr>
            <w:pStyle w:val="88CDE94EFDFD46EDA08723501BC8EC52"/>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3"/>
    <w:rsid w:val="00973A93"/>
    <w:rsid w:val="00C66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CDE94EFDFD46EDA08723501BC8EC52">
    <w:name w:val="88CDE94EFDFD46EDA08723501BC8E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64aa49a47801a8ea277985285498c180">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6ecab23f1f05a750c41732c1cc7da99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PMCdoc-1475984859-55</_dlc_DocId>
    <_dlc_DocIdUrl xmlns="9eb1f307-a489-40bf-8d3d-f7559b8c4701">
      <Url>https://pmc01.sharepoint.com/sites/pmc-gv-pals/_layouts/15/DocIdRedir.aspx?ID=PMCdoc-1475984859-55</Url>
      <Description>PMCdoc-1475984859-55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2.xml><?xml version="1.0" encoding="utf-8"?>
<ds:datastoreItem xmlns:ds="http://schemas.openxmlformats.org/officeDocument/2006/customXml" ds:itemID="{F63EA582-B34E-4294-93DD-A579345431A8}">
  <ds:schemaRefs>
    <ds:schemaRef ds:uri="http://schemas.microsoft.com/sharepoint/events"/>
  </ds:schemaRefs>
</ds:datastoreItem>
</file>

<file path=customXml/itemProps3.xml><?xml version="1.0" encoding="utf-8"?>
<ds:datastoreItem xmlns:ds="http://schemas.openxmlformats.org/officeDocument/2006/customXml" ds:itemID="{81DF31DD-2F92-4B82-B5FA-E53BC6AF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375C8670-528A-4FC5-99B5-83DC566D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Appendix G: Requirements for Documentation</vt:lpstr>
    </vt:vector>
  </TitlesOfParts>
  <Manager>[Authoring Area]</Manager>
  <Company>Department of the Prime Minister and Cabinet</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Requirements for Documentation</dc:title>
  <dc:subject/>
  <dc:creator>Sullivan, Catherine</dc:creator>
  <cp:keywords/>
  <dc:description/>
  <cp:lastModifiedBy>Cameron, Suzana</cp:lastModifiedBy>
  <cp:revision>5</cp:revision>
  <dcterms:created xsi:type="dcterms:W3CDTF">2025-07-11T03:37:00Z</dcterms:created>
  <dcterms:modified xsi:type="dcterms:W3CDTF">2025-11-19T02:23:00Z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37e34a77-f89e-4b34-9812-2584e7825613</vt:lpwstr>
  </property>
  <property fmtid="{D5CDD505-2E9C-101B-9397-08002B2CF9AE}" pid="12" name="InformationMarker">
    <vt:lpwstr/>
  </property>
</Properties>
</file>