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5C842" w14:textId="54FFE368" w:rsidR="004B4BC0" w:rsidRDefault="00E74E0D" w:rsidP="00087D4E">
      <w:pPr>
        <w:pStyle w:val="Heading1"/>
      </w:pPr>
      <w:bookmarkStart w:id="0" w:name="_GoBack"/>
      <w:bookmarkEnd w:id="0"/>
      <w:r>
        <w:t xml:space="preserve">Pre-analysis plan: </w:t>
      </w:r>
      <w:r w:rsidR="004774F7">
        <w:t xml:space="preserve">Stay </w:t>
      </w:r>
      <w:r w:rsidR="001E4503">
        <w:t xml:space="preserve">Smart Online </w:t>
      </w:r>
      <w:r w:rsidR="00E77EB0">
        <w:t>A</w:t>
      </w:r>
      <w:r w:rsidR="001E4503">
        <w:t xml:space="preserve">lert </w:t>
      </w:r>
      <w:r w:rsidR="00E77EB0">
        <w:t>S</w:t>
      </w:r>
      <w:r w:rsidR="001E4503">
        <w:t>ervice</w:t>
      </w:r>
      <w:r w:rsidR="004774F7">
        <w:t xml:space="preserve"> </w:t>
      </w:r>
    </w:p>
    <w:p w14:paraId="4D394743" w14:textId="0C0B2CD3" w:rsidR="00E74E0D" w:rsidRDefault="00E74E0D" w:rsidP="00E74E0D">
      <w:pPr>
        <w:pStyle w:val="Heading2"/>
      </w:pPr>
      <w:r w:rsidRPr="00E74E0D">
        <w:t>Policy problem, trial aims and research question</w:t>
      </w:r>
    </w:p>
    <w:p w14:paraId="4AC09E8A" w14:textId="72F33562" w:rsidR="00E74E0D" w:rsidRDefault="004774F7" w:rsidP="00E74E0D">
      <w:r>
        <w:t xml:space="preserve">The Stay Smart Online alert service is an email subscription that sends </w:t>
      </w:r>
      <w:r w:rsidR="00340BB6">
        <w:t>alerts</w:t>
      </w:r>
      <w:r>
        <w:t xml:space="preserve"> whenever a major cyber incident has occurred. </w:t>
      </w:r>
      <w:r w:rsidR="001B22E0">
        <w:t>Alerts</w:t>
      </w:r>
      <w:r>
        <w:t xml:space="preserve"> tend to be about prominent and widespread scams, fake emails, </w:t>
      </w:r>
      <w:r w:rsidR="001B22E0">
        <w:t xml:space="preserve">data breaches, </w:t>
      </w:r>
      <w:r w:rsidR="00BB1553">
        <w:t xml:space="preserve">or malware. </w:t>
      </w:r>
    </w:p>
    <w:p w14:paraId="30EA2BBB" w14:textId="7753DAD9" w:rsidR="00BB1553" w:rsidRDefault="00BB1553" w:rsidP="00E74E0D">
      <w:r>
        <w:t>The aim of the alerts are to provide timely advice to members of the public either to prevent them from falling victim to the incident, or helping them to rectify the problem if they have been a victim, by providing advice and next steps.</w:t>
      </w:r>
      <w:r w:rsidR="00214154">
        <w:t xml:space="preserve"> </w:t>
      </w:r>
    </w:p>
    <w:p w14:paraId="13EFA661" w14:textId="215EBC94" w:rsidR="00BB1553" w:rsidRPr="00E74E0D" w:rsidRDefault="00214154" w:rsidP="00E74E0D">
      <w:r>
        <w:t xml:space="preserve">This trial </w:t>
      </w:r>
      <w:r w:rsidRPr="00E77EB0">
        <w:t>aims to test the effect of different behavioural concepts to</w:t>
      </w:r>
      <w:r>
        <w:t xml:space="preserve"> see which </w:t>
      </w:r>
      <w:r w:rsidR="00E77EB0">
        <w:t>email design elements increase</w:t>
      </w:r>
      <w:r>
        <w:t xml:space="preserve"> the likelihood that </w:t>
      </w:r>
      <w:r w:rsidRPr="00C10025">
        <w:t xml:space="preserve">people will </w:t>
      </w:r>
      <w:r w:rsidR="008F77EB" w:rsidRPr="00C10025">
        <w:t>engage with</w:t>
      </w:r>
      <w:r w:rsidRPr="00C10025">
        <w:t xml:space="preserve"> the advice</w:t>
      </w:r>
      <w:r>
        <w:t>, and share it with their friends</w:t>
      </w:r>
      <w:r w:rsidR="00BB1369">
        <w:t>,</w:t>
      </w:r>
      <w:r>
        <w:t xml:space="preserve"> family</w:t>
      </w:r>
      <w:r w:rsidR="00BB1369">
        <w:t xml:space="preserve"> or colleagues</w:t>
      </w:r>
      <w:r>
        <w:t xml:space="preserve">. </w:t>
      </w:r>
    </w:p>
    <w:p w14:paraId="29D322DB" w14:textId="577AC4E7" w:rsidR="00E74E0D" w:rsidRPr="00E74E0D" w:rsidRDefault="00340BB6" w:rsidP="00E74E0D">
      <w:pPr>
        <w:pStyle w:val="Heading2"/>
      </w:pPr>
      <w:r>
        <w:t>Sample and randomisation</w:t>
      </w:r>
      <w:r w:rsidR="00E74E0D" w:rsidRPr="00E74E0D">
        <w:t xml:space="preserve"> </w:t>
      </w:r>
    </w:p>
    <w:p w14:paraId="36CEDE23" w14:textId="000C33FD" w:rsidR="00340BB6" w:rsidRDefault="001E4503" w:rsidP="00E74E0D">
      <w:r w:rsidRPr="001E4503">
        <w:t>This trial is an individually randomised email experiment conducted online as part of the Stay Smart Online Alert Service. The sample for this trial is the entire subscriber base for the Stay Smart Online Service at the time of implementation (i.e. around a week prior to sending the emails, to allow for randomisation). This is roughly 54,000 individuals</w:t>
      </w:r>
      <w:r w:rsidR="004567FC">
        <w:t xml:space="preserve">. </w:t>
      </w:r>
      <w:r w:rsidR="00340BB6">
        <w:t>S</w:t>
      </w:r>
      <w:r w:rsidRPr="001E4503">
        <w:t>ubscribers who sign-up to the service after the date of randomisation wil</w:t>
      </w:r>
      <w:r w:rsidR="00340BB6">
        <w:t>l not be included in the trial</w:t>
      </w:r>
      <w:r w:rsidRPr="001E4503">
        <w:t xml:space="preserve">. </w:t>
      </w:r>
    </w:p>
    <w:p w14:paraId="1F416B27" w14:textId="50D72AC2" w:rsidR="004A08FF" w:rsidRDefault="00340BB6" w:rsidP="00E74E0D">
      <w:r>
        <w:t>Subscribers</w:t>
      </w:r>
      <w:r w:rsidR="001E4503" w:rsidRPr="001E4503">
        <w:t xml:space="preserve"> will be randomised </w:t>
      </w:r>
      <w:r w:rsidR="00965CFB">
        <w:t xml:space="preserve">(using a script) </w:t>
      </w:r>
      <w:r w:rsidR="001E4503" w:rsidRPr="001E4503">
        <w:t xml:space="preserve">into one of </w:t>
      </w:r>
      <w:r>
        <w:t>six groups</w:t>
      </w:r>
      <w:r w:rsidR="00965CFB">
        <w:t>, with a balanced allocation ratio,</w:t>
      </w:r>
      <w:r>
        <w:t xml:space="preserve"> using </w:t>
      </w:r>
      <w:r w:rsidR="001E4503" w:rsidRPr="001E4503">
        <w:t>complete randomisation. Another BETA staff member not directly involved in the project will verify the randomisation code.</w:t>
      </w:r>
    </w:p>
    <w:p w14:paraId="427BCF2E" w14:textId="7D0B8986" w:rsidR="00FB69B5" w:rsidRDefault="00FB69B5" w:rsidP="00FB69B5">
      <w:pPr>
        <w:pStyle w:val="Heading2"/>
      </w:pPr>
      <w:r>
        <w:t>Interventions</w:t>
      </w:r>
    </w:p>
    <w:p w14:paraId="3EA7C79A" w14:textId="01C237FF" w:rsidR="003A246F" w:rsidRDefault="003A246F" w:rsidP="00C10025">
      <w:r>
        <w:t>All subscribers to the SSO alert service will receive a</w:t>
      </w:r>
      <w:r w:rsidR="007D1739">
        <w:t>n email outlining prominent online security threats from 20</w:t>
      </w:r>
      <w:r w:rsidR="001E4503">
        <w:t xml:space="preserve">19. The trial </w:t>
      </w:r>
      <w:r w:rsidR="004669A2">
        <w:t>is</w:t>
      </w:r>
      <w:r w:rsidR="001E4503">
        <w:t xml:space="preserve"> a 2</w:t>
      </w:r>
      <w:r w:rsidR="00336939">
        <w:t>x3</w:t>
      </w:r>
      <w:r w:rsidR="007D1739">
        <w:t xml:space="preserve"> factorial design</w:t>
      </w:r>
      <w:r w:rsidR="008B206C">
        <w:t>, thus we will have two independent variables (IV), one with two levels, the other with three:</w:t>
      </w:r>
    </w:p>
    <w:p w14:paraId="1A3DC620" w14:textId="0B2C29E3" w:rsidR="001E4503" w:rsidRDefault="008B206C" w:rsidP="001E4503">
      <w:r>
        <w:rPr>
          <w:b/>
        </w:rPr>
        <w:t xml:space="preserve">IV. </w:t>
      </w:r>
      <w:r w:rsidR="001E4503">
        <w:rPr>
          <w:b/>
        </w:rPr>
        <w:t>A:</w:t>
      </w:r>
      <w:r w:rsidR="001E4503" w:rsidRPr="0017228B">
        <w:rPr>
          <w:b/>
        </w:rPr>
        <w:t xml:space="preserve"> Call to Share:</w:t>
      </w:r>
      <w:r w:rsidR="001E4503">
        <w:t xml:space="preserve"> Email will include </w:t>
      </w:r>
      <w:r>
        <w:t xml:space="preserve">either </w:t>
      </w:r>
      <w:r w:rsidR="001E4503">
        <w:t>an explicit prompt to share the email for the benefit of others</w:t>
      </w:r>
      <w:r w:rsidR="004669A2">
        <w:t>,</w:t>
      </w:r>
      <w:r>
        <w:t xml:space="preserve"> or </w:t>
      </w:r>
      <w:r w:rsidR="004669A2">
        <w:t>a</w:t>
      </w:r>
      <w:r>
        <w:t xml:space="preserve"> </w:t>
      </w:r>
      <w:r w:rsidR="00E72E48">
        <w:t>set of typical share buttons</w:t>
      </w:r>
      <w:r w:rsidR="001E4503">
        <w:t>.</w:t>
      </w:r>
    </w:p>
    <w:p w14:paraId="44A6F6B0" w14:textId="1A9DCE13" w:rsidR="007D1739" w:rsidRDefault="008B206C" w:rsidP="00C10025">
      <w:r>
        <w:rPr>
          <w:b/>
        </w:rPr>
        <w:lastRenderedPageBreak/>
        <w:t xml:space="preserve">IV. </w:t>
      </w:r>
      <w:r w:rsidR="001E4503">
        <w:rPr>
          <w:b/>
        </w:rPr>
        <w:t>B:</w:t>
      </w:r>
      <w:r w:rsidR="007D1739" w:rsidRPr="0017228B">
        <w:rPr>
          <w:b/>
        </w:rPr>
        <w:t xml:space="preserve"> Visual Design:</w:t>
      </w:r>
      <w:r w:rsidR="007D1739">
        <w:t xml:space="preserve"> Individuals will receive one of three possible emails with differing visual design; a standard email, an email with enhanced icons or an email with different icons. Emails will differ only in the icons included. </w:t>
      </w:r>
    </w:p>
    <w:p w14:paraId="61281A4A" w14:textId="28C7EE97" w:rsidR="00A05C5C" w:rsidRDefault="00A05C5C" w:rsidP="00C10025">
      <w:r>
        <w:t xml:space="preserve">The table below shows the notation used to refer to individual groups formed from our two IV’s. </w:t>
      </w:r>
    </w:p>
    <w:tbl>
      <w:tblPr>
        <w:tblStyle w:val="GridTable5Dark-Accent2"/>
        <w:tblW w:w="0" w:type="auto"/>
        <w:jc w:val="center"/>
        <w:tblLook w:val="04A0" w:firstRow="1" w:lastRow="0" w:firstColumn="1" w:lastColumn="0" w:noHBand="0" w:noVBand="1"/>
      </w:tblPr>
      <w:tblGrid>
        <w:gridCol w:w="1129"/>
        <w:gridCol w:w="2049"/>
        <w:gridCol w:w="1764"/>
        <w:gridCol w:w="1663"/>
        <w:gridCol w:w="1663"/>
      </w:tblGrid>
      <w:tr w:rsidR="00C05232" w14:paraId="732802CE" w14:textId="77777777" w:rsidTr="008B206C">
        <w:trPr>
          <w:cnfStyle w:val="100000000000" w:firstRow="1" w:lastRow="0" w:firstColumn="0" w:lastColumn="0" w:oddVBand="0" w:evenVBand="0" w:oddHBand="0"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3178" w:type="dxa"/>
            <w:gridSpan w:val="2"/>
            <w:vMerge w:val="restart"/>
            <w:vAlign w:val="center"/>
          </w:tcPr>
          <w:p w14:paraId="2D255819" w14:textId="6C0A404E" w:rsidR="00C05232" w:rsidRDefault="00C05232" w:rsidP="008B206C"/>
        </w:tc>
        <w:tc>
          <w:tcPr>
            <w:tcW w:w="5090" w:type="dxa"/>
            <w:gridSpan w:val="3"/>
            <w:vAlign w:val="center"/>
          </w:tcPr>
          <w:p w14:paraId="2B6F9807" w14:textId="5378BFBA" w:rsidR="00C05232" w:rsidRPr="00A05C5C" w:rsidRDefault="00C05232" w:rsidP="008B206C">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Visual Design</w:t>
            </w:r>
          </w:p>
        </w:tc>
      </w:tr>
      <w:tr w:rsidR="00C05232" w14:paraId="5ED1BBCB" w14:textId="77777777" w:rsidTr="008B206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178" w:type="dxa"/>
            <w:gridSpan w:val="2"/>
            <w:vMerge/>
            <w:vAlign w:val="center"/>
          </w:tcPr>
          <w:p w14:paraId="54EBFD69" w14:textId="41777C09" w:rsidR="00C05232" w:rsidRDefault="00C05232" w:rsidP="008B206C"/>
        </w:tc>
        <w:tc>
          <w:tcPr>
            <w:tcW w:w="1764" w:type="dxa"/>
            <w:shd w:val="clear" w:color="auto" w:fill="117479" w:themeFill="accent2"/>
            <w:vAlign w:val="center"/>
          </w:tcPr>
          <w:p w14:paraId="7C6580EE" w14:textId="258E02E6" w:rsidR="00C05232" w:rsidRPr="00C05232" w:rsidRDefault="00C05232" w:rsidP="008B206C">
            <w:pPr>
              <w:jc w:val="center"/>
              <w:cnfStyle w:val="000000100000" w:firstRow="0" w:lastRow="0" w:firstColumn="0" w:lastColumn="0" w:oddVBand="0" w:evenVBand="0" w:oddHBand="1" w:evenHBand="0" w:firstRowFirstColumn="0" w:firstRowLastColumn="0" w:lastRowFirstColumn="0" w:lastRowLastColumn="0"/>
              <w:rPr>
                <w:b/>
              </w:rPr>
            </w:pPr>
            <w:r w:rsidRPr="00C05232">
              <w:rPr>
                <w:b/>
                <w:color w:val="FFFFFF" w:themeColor="background1"/>
              </w:rPr>
              <w:t xml:space="preserve">Standard </w:t>
            </w:r>
          </w:p>
        </w:tc>
        <w:tc>
          <w:tcPr>
            <w:tcW w:w="1663" w:type="dxa"/>
            <w:shd w:val="clear" w:color="auto" w:fill="117479" w:themeFill="accent2"/>
            <w:vAlign w:val="center"/>
          </w:tcPr>
          <w:p w14:paraId="5D1017DB" w14:textId="3437BB3A" w:rsidR="00C05232" w:rsidRPr="00C05232" w:rsidRDefault="00C05232" w:rsidP="008B206C">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C05232">
              <w:rPr>
                <w:b/>
                <w:color w:val="FFFFFF" w:themeColor="background1"/>
              </w:rPr>
              <w:t>Icons 1</w:t>
            </w:r>
          </w:p>
        </w:tc>
        <w:tc>
          <w:tcPr>
            <w:tcW w:w="1663" w:type="dxa"/>
            <w:shd w:val="clear" w:color="auto" w:fill="117479" w:themeFill="accent2"/>
            <w:vAlign w:val="center"/>
          </w:tcPr>
          <w:p w14:paraId="4D700DE4" w14:textId="34F59619" w:rsidR="00C05232" w:rsidRPr="00C05232" w:rsidRDefault="00C05232" w:rsidP="008B206C">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C05232">
              <w:rPr>
                <w:b/>
                <w:color w:val="FFFFFF" w:themeColor="background1"/>
              </w:rPr>
              <w:t>Icons 2</w:t>
            </w:r>
          </w:p>
        </w:tc>
      </w:tr>
      <w:tr w:rsidR="00A05C5C" w14:paraId="700F97A6" w14:textId="77777777" w:rsidTr="008B206C">
        <w:trPr>
          <w:trHeight w:val="546"/>
          <w:jc w:val="center"/>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tcPr>
          <w:p w14:paraId="157E70E2" w14:textId="4134A844" w:rsidR="00A05C5C" w:rsidRPr="00A05C5C" w:rsidRDefault="00A05C5C" w:rsidP="008B206C">
            <w:pPr>
              <w:rPr>
                <w:color w:val="FFFFFF" w:themeColor="background1"/>
              </w:rPr>
            </w:pPr>
            <w:r>
              <w:rPr>
                <w:color w:val="FFFFFF" w:themeColor="background1"/>
              </w:rPr>
              <w:t>Call to Share</w:t>
            </w:r>
          </w:p>
        </w:tc>
        <w:tc>
          <w:tcPr>
            <w:tcW w:w="2049" w:type="dxa"/>
            <w:shd w:val="clear" w:color="auto" w:fill="117479" w:themeFill="accent2"/>
            <w:vAlign w:val="center"/>
          </w:tcPr>
          <w:p w14:paraId="2F1E3E07" w14:textId="2DB1B521" w:rsidR="00A05C5C" w:rsidRPr="00C05232" w:rsidRDefault="00A05C5C" w:rsidP="008B206C">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C05232">
              <w:rPr>
                <w:b/>
                <w:color w:val="FFFFFF" w:themeColor="background1"/>
              </w:rPr>
              <w:t>No Call to share</w:t>
            </w:r>
          </w:p>
        </w:tc>
        <w:tc>
          <w:tcPr>
            <w:tcW w:w="1764" w:type="dxa"/>
            <w:vAlign w:val="center"/>
          </w:tcPr>
          <w:p w14:paraId="363E5FDF" w14:textId="79FDDC9C" w:rsidR="00A05C5C" w:rsidRDefault="00A05C5C" w:rsidP="008B206C">
            <w:pPr>
              <w:cnfStyle w:val="000000000000" w:firstRow="0" w:lastRow="0" w:firstColumn="0" w:lastColumn="0" w:oddVBand="0" w:evenVBand="0" w:oddHBand="0" w:evenHBand="0" w:firstRowFirstColumn="0" w:firstRowLastColumn="0" w:lastRowFirstColumn="0" w:lastRowLastColumn="0"/>
            </w:pPr>
            <w:r>
              <w:t>A0B0</w:t>
            </w:r>
          </w:p>
        </w:tc>
        <w:tc>
          <w:tcPr>
            <w:tcW w:w="1663" w:type="dxa"/>
            <w:vAlign w:val="center"/>
          </w:tcPr>
          <w:p w14:paraId="11F0B2E0" w14:textId="100FD72F" w:rsidR="00A05C5C" w:rsidRDefault="001E4503" w:rsidP="008B206C">
            <w:pPr>
              <w:cnfStyle w:val="000000000000" w:firstRow="0" w:lastRow="0" w:firstColumn="0" w:lastColumn="0" w:oddVBand="0" w:evenVBand="0" w:oddHBand="0" w:evenHBand="0" w:firstRowFirstColumn="0" w:firstRowLastColumn="0" w:lastRowFirstColumn="0" w:lastRowLastColumn="0"/>
            </w:pPr>
            <w:r>
              <w:t>A0</w:t>
            </w:r>
            <w:r w:rsidR="00A05C5C">
              <w:t>B</w:t>
            </w:r>
            <w:r>
              <w:t>1</w:t>
            </w:r>
          </w:p>
        </w:tc>
        <w:tc>
          <w:tcPr>
            <w:tcW w:w="1663" w:type="dxa"/>
            <w:vAlign w:val="center"/>
          </w:tcPr>
          <w:p w14:paraId="5A0AEC14" w14:textId="1A022A90" w:rsidR="00A05C5C" w:rsidRDefault="001E4503" w:rsidP="008B206C">
            <w:pPr>
              <w:cnfStyle w:val="000000000000" w:firstRow="0" w:lastRow="0" w:firstColumn="0" w:lastColumn="0" w:oddVBand="0" w:evenVBand="0" w:oddHBand="0" w:evenHBand="0" w:firstRowFirstColumn="0" w:firstRowLastColumn="0" w:lastRowFirstColumn="0" w:lastRowLastColumn="0"/>
            </w:pPr>
            <w:r>
              <w:t>A0</w:t>
            </w:r>
            <w:r w:rsidR="00A05C5C">
              <w:t>B</w:t>
            </w:r>
            <w:r w:rsidR="008B206C">
              <w:t>2</w:t>
            </w:r>
          </w:p>
        </w:tc>
      </w:tr>
      <w:tr w:rsidR="00A05C5C" w14:paraId="5E37B5D1" w14:textId="77777777" w:rsidTr="008B206C">
        <w:trPr>
          <w:cnfStyle w:val="000000100000" w:firstRow="0" w:lastRow="0" w:firstColumn="0" w:lastColumn="0" w:oddVBand="0" w:evenVBand="0" w:oddHBand="1" w:evenHBand="0" w:firstRowFirstColumn="0" w:firstRowLastColumn="0" w:lastRowFirstColumn="0" w:lastRowLastColumn="0"/>
          <w:trHeight w:val="588"/>
          <w:jc w:val="center"/>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2DBD5A1C" w14:textId="77777777" w:rsidR="00A05C5C" w:rsidRPr="00A05C5C" w:rsidRDefault="00A05C5C" w:rsidP="008B206C">
            <w:pPr>
              <w:rPr>
                <w:color w:val="FFFFFF" w:themeColor="background1"/>
              </w:rPr>
            </w:pPr>
          </w:p>
        </w:tc>
        <w:tc>
          <w:tcPr>
            <w:tcW w:w="2049" w:type="dxa"/>
            <w:shd w:val="clear" w:color="auto" w:fill="117479" w:themeFill="accent2"/>
            <w:vAlign w:val="center"/>
          </w:tcPr>
          <w:p w14:paraId="2139BA16" w14:textId="2EBD42ED" w:rsidR="00A05C5C" w:rsidRPr="00C05232" w:rsidRDefault="00A05C5C" w:rsidP="008B206C">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C05232">
              <w:rPr>
                <w:b/>
                <w:color w:val="FFFFFF" w:themeColor="background1"/>
              </w:rPr>
              <w:t>Call to share</w:t>
            </w:r>
          </w:p>
        </w:tc>
        <w:tc>
          <w:tcPr>
            <w:tcW w:w="1764" w:type="dxa"/>
            <w:vAlign w:val="center"/>
          </w:tcPr>
          <w:p w14:paraId="3EA49E5B" w14:textId="3717FE07" w:rsidR="00A05C5C" w:rsidRDefault="001E4503" w:rsidP="008B206C">
            <w:pPr>
              <w:cnfStyle w:val="000000100000" w:firstRow="0" w:lastRow="0" w:firstColumn="0" w:lastColumn="0" w:oddVBand="0" w:evenVBand="0" w:oddHBand="1" w:evenHBand="0" w:firstRowFirstColumn="0" w:firstRowLastColumn="0" w:lastRowFirstColumn="0" w:lastRowLastColumn="0"/>
            </w:pPr>
            <w:r>
              <w:t>A1B0</w:t>
            </w:r>
          </w:p>
        </w:tc>
        <w:tc>
          <w:tcPr>
            <w:tcW w:w="1663" w:type="dxa"/>
            <w:vAlign w:val="center"/>
          </w:tcPr>
          <w:p w14:paraId="4C5BE405" w14:textId="75159176" w:rsidR="00A05C5C" w:rsidRDefault="00A05C5C" w:rsidP="008B206C">
            <w:pPr>
              <w:cnfStyle w:val="000000100000" w:firstRow="0" w:lastRow="0" w:firstColumn="0" w:lastColumn="0" w:oddVBand="0" w:evenVBand="0" w:oddHBand="1" w:evenHBand="0" w:firstRowFirstColumn="0" w:firstRowLastColumn="0" w:lastRowFirstColumn="0" w:lastRowLastColumn="0"/>
            </w:pPr>
            <w:r>
              <w:t>A1B1</w:t>
            </w:r>
          </w:p>
        </w:tc>
        <w:tc>
          <w:tcPr>
            <w:tcW w:w="1663" w:type="dxa"/>
            <w:vAlign w:val="center"/>
          </w:tcPr>
          <w:p w14:paraId="7C478149" w14:textId="202DA211" w:rsidR="00A05C5C" w:rsidRDefault="001E4503" w:rsidP="008B206C">
            <w:pPr>
              <w:cnfStyle w:val="000000100000" w:firstRow="0" w:lastRow="0" w:firstColumn="0" w:lastColumn="0" w:oddVBand="0" w:evenVBand="0" w:oddHBand="1" w:evenHBand="0" w:firstRowFirstColumn="0" w:firstRowLastColumn="0" w:lastRowFirstColumn="0" w:lastRowLastColumn="0"/>
            </w:pPr>
            <w:r>
              <w:t>A1</w:t>
            </w:r>
            <w:r w:rsidR="00A05C5C">
              <w:t>B</w:t>
            </w:r>
            <w:r w:rsidR="008B206C">
              <w:t>2</w:t>
            </w:r>
          </w:p>
        </w:tc>
      </w:tr>
    </w:tbl>
    <w:p w14:paraId="012D79DA" w14:textId="538DF6E3" w:rsidR="00FB69B5" w:rsidRDefault="008B25FF" w:rsidP="00FB69B5">
      <w:pPr>
        <w:pStyle w:val="Heading2"/>
      </w:pPr>
      <w:r>
        <w:t>Primary o</w:t>
      </w:r>
      <w:r w:rsidR="00FB69B5" w:rsidRPr="00E74E0D">
        <w:t>utcome</w:t>
      </w:r>
      <w:r>
        <w:t>s</w:t>
      </w:r>
      <w:r w:rsidR="00FB69B5" w:rsidRPr="00E74E0D">
        <w:t xml:space="preserve"> </w:t>
      </w:r>
    </w:p>
    <w:p w14:paraId="08454779" w14:textId="1079CB5B" w:rsidR="00E64D07" w:rsidRPr="00E64D07" w:rsidRDefault="00E64D07" w:rsidP="00E64D07">
      <w:r>
        <w:t>All outcomes will be measured exactly one week after sending the emails.</w:t>
      </w:r>
    </w:p>
    <w:p w14:paraId="2FE4A076" w14:textId="6574F954" w:rsidR="008B206C" w:rsidRDefault="008B206C" w:rsidP="008B206C">
      <w:pPr>
        <w:jc w:val="both"/>
      </w:pPr>
      <w:r>
        <w:t>There are two</w:t>
      </w:r>
      <w:r w:rsidR="007D3C7E">
        <w:t xml:space="preserve"> primary outcomes, both of which are binary</w:t>
      </w:r>
      <w:r w:rsidR="00F42923" w:rsidRPr="00F42923">
        <w:t xml:space="preserve"> </w:t>
      </w:r>
      <w:r w:rsidR="00F42923">
        <w:t xml:space="preserve">and from which we will </w:t>
      </w:r>
      <w:r w:rsidR="004669A2">
        <w:t>calculate sample</w:t>
      </w:r>
      <w:r w:rsidR="00F42923">
        <w:t xml:space="preserve"> proportions</w:t>
      </w:r>
      <w:r w:rsidR="007D3C7E">
        <w:t xml:space="preserve">. </w:t>
      </w:r>
    </w:p>
    <w:p w14:paraId="48A844FC" w14:textId="459FEC57" w:rsidR="00FB69B5" w:rsidRDefault="003F1E15" w:rsidP="008B206C">
      <w:pPr>
        <w:pStyle w:val="ListParagraph"/>
        <w:numPr>
          <w:ilvl w:val="0"/>
          <w:numId w:val="4"/>
        </w:numPr>
        <w:jc w:val="both"/>
      </w:pPr>
      <w:r>
        <w:t>Sharing</w:t>
      </w:r>
      <w:r w:rsidR="00FB69B5">
        <w:t xml:space="preserve"> </w:t>
      </w:r>
      <w:r w:rsidR="007D3C7E">
        <w:t>= 1 if an individual clicks on the link to share the email, 0 otherwise.</w:t>
      </w:r>
    </w:p>
    <w:p w14:paraId="7A6B5881" w14:textId="4944C05F" w:rsidR="00FB69B5" w:rsidRDefault="007D3C7E" w:rsidP="00FB69B5">
      <w:pPr>
        <w:pStyle w:val="ListParagraph"/>
        <w:numPr>
          <w:ilvl w:val="0"/>
          <w:numId w:val="4"/>
        </w:numPr>
      </w:pPr>
      <w:r>
        <w:t xml:space="preserve">Engagement = 1 if an individual clicks </w:t>
      </w:r>
      <w:r w:rsidR="00FB69B5">
        <w:t xml:space="preserve">on </w:t>
      </w:r>
      <w:r>
        <w:t>a hyperlink for more information, 0 otherwise</w:t>
      </w:r>
      <w:r w:rsidR="004669A2">
        <w:t>.</w:t>
      </w:r>
    </w:p>
    <w:p w14:paraId="4DB81CC7" w14:textId="2D2D4A61" w:rsidR="00FB69B5" w:rsidRDefault="008B25FF" w:rsidP="00FB69B5">
      <w:pPr>
        <w:pStyle w:val="Heading2"/>
      </w:pPr>
      <w:r>
        <w:t>Primary hypotheses</w:t>
      </w:r>
    </w:p>
    <w:p w14:paraId="50C83467" w14:textId="7152F5BA" w:rsidR="00C71D49" w:rsidRDefault="00FB69B5" w:rsidP="00C71D49">
      <w:pPr>
        <w:ind w:left="720" w:hanging="720"/>
      </w:pPr>
      <w:r>
        <w:t>H1</w:t>
      </w:r>
      <w:r w:rsidR="00944B79">
        <w:t>.</w:t>
      </w:r>
      <w:r>
        <w:tab/>
      </w:r>
      <w:r w:rsidR="00EE517F">
        <w:t>A1</w:t>
      </w:r>
      <w:r w:rsidR="003A246F">
        <w:t xml:space="preserve"> &gt; </w:t>
      </w:r>
      <w:r w:rsidR="00EE517F">
        <w:t>A0</w:t>
      </w:r>
      <w:r w:rsidR="00522239">
        <w:t xml:space="preserve"> </w:t>
      </w:r>
      <w:r w:rsidR="00177983">
        <w:t>(sharing outcome only)</w:t>
      </w:r>
    </w:p>
    <w:p w14:paraId="193A1890" w14:textId="1F527C9B" w:rsidR="00C71D49" w:rsidRDefault="00C71D49" w:rsidP="00C71D49">
      <w:pPr>
        <w:ind w:left="720"/>
      </w:pPr>
      <w:r>
        <w:t>Emails that contain the Sharing call to action will result in significantly higher rates of sharing than emails which do not contain the sharing banner.</w:t>
      </w:r>
    </w:p>
    <w:p w14:paraId="04E9A16E" w14:textId="0ED315A9" w:rsidR="00FB69B5" w:rsidRDefault="00944B79" w:rsidP="00C71D49">
      <w:pPr>
        <w:ind w:left="720" w:hanging="720"/>
      </w:pPr>
      <w:r>
        <w:t>H2.</w:t>
      </w:r>
      <w:r w:rsidR="00FB69B5">
        <w:tab/>
      </w:r>
      <w:r w:rsidR="007D3C7E">
        <w:t>B</w:t>
      </w:r>
      <w:r w:rsidR="003A246F">
        <w:t xml:space="preserve">1 &gt; </w:t>
      </w:r>
      <w:r w:rsidR="007D3C7E">
        <w:t>B0</w:t>
      </w:r>
      <w:r w:rsidR="004567FC">
        <w:t xml:space="preserve"> (engagement outcome only)</w:t>
      </w:r>
    </w:p>
    <w:p w14:paraId="68B98CA1" w14:textId="4D352690" w:rsidR="00C71D49" w:rsidRDefault="00C71D49" w:rsidP="00C71D49">
      <w:pPr>
        <w:ind w:left="720" w:hanging="720"/>
      </w:pPr>
      <w:r>
        <w:tab/>
        <w:t>Emails that contain the first set of icons (timing related) will show significantly higher rates of engagement than emails that contain no icons.</w:t>
      </w:r>
    </w:p>
    <w:p w14:paraId="3F855BCB" w14:textId="54ED8556" w:rsidR="00FB69B5" w:rsidRDefault="00944B79" w:rsidP="00C71D49">
      <w:pPr>
        <w:ind w:left="720" w:hanging="720"/>
      </w:pPr>
      <w:r>
        <w:t>H3.</w:t>
      </w:r>
      <w:r w:rsidR="00FB69B5">
        <w:tab/>
      </w:r>
      <w:r w:rsidR="007D3C7E">
        <w:t>B</w:t>
      </w:r>
      <w:r w:rsidR="003A246F">
        <w:t xml:space="preserve">2 &gt; </w:t>
      </w:r>
      <w:r w:rsidR="007D3C7E">
        <w:t>B0</w:t>
      </w:r>
      <w:r w:rsidR="008B25FF">
        <w:t xml:space="preserve"> </w:t>
      </w:r>
      <w:r w:rsidR="004567FC">
        <w:t>(engagement outcome only)</w:t>
      </w:r>
    </w:p>
    <w:p w14:paraId="5959E8A5" w14:textId="27787E84" w:rsidR="00C71D49" w:rsidRDefault="00C71D49" w:rsidP="00C71D49">
      <w:pPr>
        <w:ind w:left="720" w:hanging="720"/>
      </w:pPr>
      <w:r>
        <w:tab/>
        <w:t>Emails that contain the second set of icons (action related) will show significantly higher rates of engagement than emails that contain no icons.</w:t>
      </w:r>
    </w:p>
    <w:p w14:paraId="196A7C02" w14:textId="0A87C8E8" w:rsidR="00C05232" w:rsidRDefault="00944B79" w:rsidP="00C71D49">
      <w:pPr>
        <w:ind w:left="720" w:hanging="720"/>
      </w:pPr>
      <w:r>
        <w:t>H4.</w:t>
      </w:r>
      <w:r w:rsidR="00FB69B5">
        <w:tab/>
      </w:r>
      <w:r w:rsidR="007D3C7E">
        <w:t>B2</w:t>
      </w:r>
      <w:r w:rsidR="003A246F">
        <w:t xml:space="preserve"> ≠ </w:t>
      </w:r>
      <w:r w:rsidR="007D3C7E">
        <w:t>B1</w:t>
      </w:r>
      <w:r w:rsidR="008B25FF">
        <w:t xml:space="preserve"> </w:t>
      </w:r>
      <w:r w:rsidR="004567FC">
        <w:t>(engagement outcome only)</w:t>
      </w:r>
    </w:p>
    <w:p w14:paraId="76D09AB9" w14:textId="06AE104F" w:rsidR="00C71D49" w:rsidRDefault="00C71D49" w:rsidP="00C71D49">
      <w:pPr>
        <w:ind w:left="720"/>
      </w:pPr>
      <w:r>
        <w:t>Emails that contain the first set of icons (timing related) will show significantly different rates of engagement than emails that contain the second set of icons (action related).</w:t>
      </w:r>
    </w:p>
    <w:p w14:paraId="19BB1701" w14:textId="77777777" w:rsidR="00C71D49" w:rsidRDefault="00C71D49" w:rsidP="00C71D49">
      <w:pPr>
        <w:ind w:left="720" w:hanging="720"/>
      </w:pPr>
    </w:p>
    <w:p w14:paraId="34116E3C" w14:textId="74C7E284" w:rsidR="006C43EF" w:rsidRDefault="006C43EF" w:rsidP="00C10025">
      <w:r>
        <w:lastRenderedPageBreak/>
        <w:t>H1, H2 and H3</w:t>
      </w:r>
      <w:r w:rsidRPr="006C43EF">
        <w:t xml:space="preserve"> will be one-sided</w:t>
      </w:r>
      <w:r>
        <w:t xml:space="preserve"> hypothesis tests</w:t>
      </w:r>
      <w:r w:rsidRPr="006C43EF">
        <w:t xml:space="preserve">. </w:t>
      </w:r>
      <w:r>
        <w:t>H4 will be</w:t>
      </w:r>
      <w:r w:rsidRPr="006C43EF">
        <w:t xml:space="preserve"> a two-sided test</w:t>
      </w:r>
      <w:r>
        <w:t xml:space="preserve"> as we </w:t>
      </w:r>
      <w:r w:rsidR="004669A2">
        <w:t>have no theory in regards to</w:t>
      </w:r>
      <w:r>
        <w:t xml:space="preserve"> directionality</w:t>
      </w:r>
      <w:r w:rsidRPr="006C43EF">
        <w:t>.</w:t>
      </w:r>
    </w:p>
    <w:p w14:paraId="179691E0" w14:textId="7F46B604" w:rsidR="00E74E0D" w:rsidRPr="00E74E0D" w:rsidRDefault="008C3A54" w:rsidP="00E74E0D">
      <w:pPr>
        <w:pStyle w:val="Heading2"/>
      </w:pPr>
      <w:r>
        <w:t>Method of a</w:t>
      </w:r>
      <w:r w:rsidR="00E74E0D" w:rsidRPr="00E74E0D">
        <w:t>nalysis</w:t>
      </w:r>
    </w:p>
    <w:p w14:paraId="18C37B86" w14:textId="00074428" w:rsidR="00C05232" w:rsidRDefault="00D550A1" w:rsidP="00F41E50">
      <w:pPr>
        <w:keepNext/>
      </w:pPr>
      <w:r>
        <w:t>We will use</w:t>
      </w:r>
      <w:r w:rsidR="00C05232">
        <w:t xml:space="preserve"> ordinary least squares (OLS) re</w:t>
      </w:r>
      <w:r>
        <w:t xml:space="preserve">gression to estimate </w:t>
      </w:r>
      <w:r w:rsidR="00C05232">
        <w:t xml:space="preserve">our </w:t>
      </w:r>
      <w:r w:rsidR="004669A2">
        <w:t xml:space="preserve">three </w:t>
      </w:r>
      <w:r w:rsidR="00C05232">
        <w:t>main effec</w:t>
      </w:r>
      <w:r w:rsidR="004669A2">
        <w:t>ts</w:t>
      </w:r>
      <w:r w:rsidR="00C05232">
        <w:t xml:space="preserve">. </w:t>
      </w:r>
      <w:r>
        <w:t>These</w:t>
      </w:r>
      <w:r w:rsidR="0052717B">
        <w:t xml:space="preserve"> estimate</w:t>
      </w:r>
      <w:r>
        <w:t>s</w:t>
      </w:r>
      <w:r w:rsidR="0052717B">
        <w:t>, confidence intervals and p-values will be derived from a model with the following specification:</w:t>
      </w:r>
    </w:p>
    <w:p w14:paraId="16666F63" w14:textId="51F6FACE" w:rsidR="00F16964" w:rsidRPr="00F16964" w:rsidRDefault="00F16964" w:rsidP="00934121">
      <w:pPr>
        <w:rPr>
          <w:spacing w:val="4"/>
        </w:rPr>
      </w:pPr>
      <m:oMathPara>
        <m:oMath>
          <m:r>
            <w:rPr>
              <w:rFonts w:ascii="Cambria Math" w:hAnsi="Cambria Math" w:cstheme="minorHAnsi"/>
              <w:spacing w:val="4"/>
            </w:rPr>
            <m:t>y= α+</m:t>
          </m:r>
          <m:sSub>
            <m:sSubPr>
              <m:ctrlPr>
                <w:rPr>
                  <w:rFonts w:ascii="Cambria Math" w:hAnsi="Cambria Math" w:cstheme="minorHAnsi"/>
                  <w:i/>
                  <w:spacing w:val="4"/>
                </w:rPr>
              </m:ctrlPr>
            </m:sSubPr>
            <m:e>
              <m:r>
                <w:rPr>
                  <w:rFonts w:ascii="Cambria Math" w:hAnsi="Cambria Math" w:cstheme="minorHAnsi"/>
                  <w:spacing w:val="4"/>
                </w:rPr>
                <m:t>τ</m:t>
              </m:r>
            </m:e>
            <m:sub>
              <m:r>
                <w:rPr>
                  <w:rFonts w:ascii="Cambria Math" w:hAnsi="Cambria Math" w:cstheme="minorHAnsi"/>
                  <w:spacing w:val="4"/>
                </w:rPr>
                <m:t>1</m:t>
              </m:r>
            </m:sub>
          </m:sSub>
          <m:r>
            <w:rPr>
              <w:rFonts w:ascii="Cambria Math" w:hAnsi="Cambria Math" w:cstheme="minorHAnsi"/>
              <w:spacing w:val="4"/>
            </w:rPr>
            <m:t>A+</m:t>
          </m:r>
          <m:sSub>
            <m:sSubPr>
              <m:ctrlPr>
                <w:rPr>
                  <w:rFonts w:ascii="Cambria Math" w:hAnsi="Cambria Math" w:cstheme="minorHAnsi"/>
                  <w:i/>
                  <w:spacing w:val="4"/>
                </w:rPr>
              </m:ctrlPr>
            </m:sSubPr>
            <m:e>
              <m:r>
                <w:rPr>
                  <w:rFonts w:ascii="Cambria Math" w:hAnsi="Cambria Math" w:cstheme="minorHAnsi"/>
                  <w:spacing w:val="4"/>
                </w:rPr>
                <m:t>τ</m:t>
              </m:r>
            </m:e>
            <m:sub>
              <m:r>
                <w:rPr>
                  <w:rFonts w:ascii="Cambria Math" w:hAnsi="Cambria Math" w:cstheme="minorHAnsi"/>
                  <w:spacing w:val="4"/>
                </w:rPr>
                <m:t>2</m:t>
              </m:r>
            </m:sub>
          </m:sSub>
          <m:r>
            <w:rPr>
              <w:rFonts w:ascii="Cambria Math" w:hAnsi="Cambria Math" w:cstheme="minorHAnsi"/>
              <w:spacing w:val="4"/>
            </w:rPr>
            <m:t xml:space="preserve">B+ </m:t>
          </m:r>
          <m:sSub>
            <m:sSubPr>
              <m:ctrlPr>
                <w:rPr>
                  <w:rFonts w:ascii="Cambria Math" w:hAnsi="Cambria Math" w:cstheme="minorHAnsi"/>
                  <w:i/>
                  <w:spacing w:val="4"/>
                </w:rPr>
              </m:ctrlPr>
            </m:sSubPr>
            <m:e>
              <m:r>
                <w:rPr>
                  <w:rFonts w:ascii="Cambria Math" w:hAnsi="Cambria Math" w:cstheme="minorHAnsi"/>
                  <w:spacing w:val="4"/>
                </w:rPr>
                <m:t>τ</m:t>
              </m:r>
            </m:e>
            <m:sub>
              <m:r>
                <w:rPr>
                  <w:rFonts w:ascii="Cambria Math" w:hAnsi="Cambria Math" w:cstheme="minorHAnsi"/>
                  <w:spacing w:val="4"/>
                </w:rPr>
                <m:t>3</m:t>
              </m:r>
            </m:sub>
          </m:sSub>
          <m:r>
            <w:rPr>
              <w:rFonts w:ascii="Cambria Math" w:hAnsi="Cambria Math" w:cstheme="minorHAnsi"/>
              <w:spacing w:val="4"/>
            </w:rPr>
            <m:t xml:space="preserve">C+ϵ </m:t>
          </m:r>
        </m:oMath>
      </m:oMathPara>
    </w:p>
    <w:p w14:paraId="6BA2873B" w14:textId="58411766" w:rsidR="00D550A1" w:rsidRDefault="00F16964" w:rsidP="00D550A1">
      <w:r>
        <w:t>W</w:t>
      </w:r>
      <w:r w:rsidR="00934121">
        <w:t xml:space="preserve">here </w:t>
      </w:r>
      <m:oMath>
        <m:r>
          <w:rPr>
            <w:rFonts w:ascii="Cambria Math" w:hAnsi="Cambria Math"/>
            <w:color w:val="3F3F3F"/>
          </w:rPr>
          <m:t>y</m:t>
        </m:r>
      </m:oMath>
      <w:r w:rsidR="00934121">
        <w:t xml:space="preserve"> is one of our </w:t>
      </w:r>
      <w:r w:rsidR="00182F89">
        <w:t>two</w:t>
      </w:r>
      <w:r w:rsidR="00934121">
        <w:t xml:space="preserve"> primary outcomes, </w:t>
      </w:r>
      <m:oMath>
        <m:r>
          <w:rPr>
            <w:rFonts w:ascii="Cambria Math" w:hAnsi="Cambria Math"/>
          </w:rPr>
          <m:t>α</m:t>
        </m:r>
      </m:oMath>
      <w:r w:rsidR="00934121">
        <w:rPr>
          <w:rFonts w:cstheme="minorHAnsi"/>
        </w:rPr>
        <w:t xml:space="preserve"> is the intercept,</w:t>
      </w:r>
      <w:r w:rsidR="00934121" w:rsidRPr="002D26B1">
        <w:t xml:space="preserve"> </w:t>
      </w:r>
      <m:oMath>
        <m:sSub>
          <m:sSubPr>
            <m:ctrlPr>
              <w:rPr>
                <w:rFonts w:ascii="Cambria Math" w:hAnsi="Cambria Math" w:cstheme="minorHAnsi"/>
                <w:i/>
                <w:spacing w:val="4"/>
              </w:rPr>
            </m:ctrlPr>
          </m:sSubPr>
          <m:e>
            <m:r>
              <w:rPr>
                <w:rFonts w:ascii="Cambria Math" w:hAnsi="Cambria Math" w:cstheme="minorHAnsi"/>
                <w:spacing w:val="4"/>
              </w:rPr>
              <m:t>τ</m:t>
            </m:r>
          </m:e>
          <m:sub>
            <m:r>
              <w:rPr>
                <w:rFonts w:ascii="Cambria Math" w:hAnsi="Cambria Math" w:cstheme="minorHAnsi"/>
                <w:spacing w:val="4"/>
              </w:rPr>
              <m:t>1</m:t>
            </m:r>
          </m:sub>
        </m:sSub>
      </m:oMath>
      <w:r w:rsidR="006C43EF">
        <w:t xml:space="preserve"> is the main effect of including a call to share, </w:t>
      </w:r>
      <m:oMath>
        <m:sSub>
          <m:sSubPr>
            <m:ctrlPr>
              <w:rPr>
                <w:rFonts w:ascii="Cambria Math" w:hAnsi="Cambria Math" w:cstheme="minorHAnsi"/>
                <w:i/>
                <w:spacing w:val="4"/>
              </w:rPr>
            </m:ctrlPr>
          </m:sSubPr>
          <m:e>
            <m:r>
              <w:rPr>
                <w:rFonts w:ascii="Cambria Math" w:hAnsi="Cambria Math" w:cstheme="minorHAnsi"/>
                <w:spacing w:val="4"/>
              </w:rPr>
              <m:t>τ</m:t>
            </m:r>
          </m:e>
          <m:sub>
            <m:r>
              <w:rPr>
                <w:rFonts w:ascii="Cambria Math" w:hAnsi="Cambria Math" w:cstheme="minorHAnsi"/>
                <w:spacing w:val="4"/>
              </w:rPr>
              <m:t>2</m:t>
            </m:r>
          </m:sub>
        </m:sSub>
      </m:oMath>
      <w:r w:rsidR="006C43EF">
        <w:rPr>
          <w:spacing w:val="4"/>
        </w:rPr>
        <w:t xml:space="preserve"> is the main effect of including the first set of icons and </w:t>
      </w:r>
      <m:oMath>
        <m:sSub>
          <m:sSubPr>
            <m:ctrlPr>
              <w:rPr>
                <w:rFonts w:ascii="Cambria Math" w:hAnsi="Cambria Math" w:cstheme="minorHAnsi"/>
                <w:i/>
                <w:spacing w:val="4"/>
              </w:rPr>
            </m:ctrlPr>
          </m:sSubPr>
          <m:e>
            <m:r>
              <w:rPr>
                <w:rFonts w:ascii="Cambria Math" w:hAnsi="Cambria Math" w:cstheme="minorHAnsi"/>
                <w:spacing w:val="4"/>
              </w:rPr>
              <m:t>τ</m:t>
            </m:r>
          </m:e>
          <m:sub>
            <m:r>
              <w:rPr>
                <w:rFonts w:ascii="Cambria Math" w:hAnsi="Cambria Math" w:cstheme="minorHAnsi"/>
                <w:spacing w:val="4"/>
              </w:rPr>
              <m:t>3</m:t>
            </m:r>
          </m:sub>
        </m:sSub>
      </m:oMath>
      <w:r w:rsidR="006C43EF">
        <w:rPr>
          <w:spacing w:val="4"/>
        </w:rPr>
        <w:t xml:space="preserve"> is the main effect of including the second set of icons</w:t>
      </w:r>
      <w:r w:rsidR="00934121">
        <w:t>,</w:t>
      </w:r>
      <w:r w:rsidR="00934121" w:rsidRPr="002D26B1">
        <w:t xml:space="preserve"> </w:t>
      </w:r>
      <w:r w:rsidR="00934121">
        <w:t>and</w:t>
      </w:r>
      <w:r w:rsidR="00934121" w:rsidRPr="002D26B1">
        <w:t xml:space="preserve"> </w:t>
      </w:r>
      <m:oMath>
        <m:r>
          <w:rPr>
            <w:rFonts w:ascii="Cambria Math" w:hAnsi="Cambria Math"/>
          </w:rPr>
          <m:t>ε</m:t>
        </m:r>
      </m:oMath>
      <w:r w:rsidR="00934121" w:rsidRPr="002D26B1">
        <w:t xml:space="preserve"> </w:t>
      </w:r>
      <w:r w:rsidR="00934121">
        <w:t>is an</w:t>
      </w:r>
      <w:r w:rsidR="00934121" w:rsidRPr="002D26B1">
        <w:t xml:space="preserve"> error term</w:t>
      </w:r>
      <w:r w:rsidR="00934121">
        <w:t xml:space="preserve"> which picks up variance not explainable by treatment indicators</w:t>
      </w:r>
      <w:r w:rsidR="00934121" w:rsidRPr="002D26B1">
        <w:t>.</w:t>
      </w:r>
      <w:r w:rsidR="00934121">
        <w:t xml:space="preserve"> </w:t>
      </w:r>
    </w:p>
    <w:p w14:paraId="542B7A4C" w14:textId="4C9E8E78" w:rsidR="00D550A1" w:rsidRDefault="00D550A1" w:rsidP="00D550A1">
      <w:pPr>
        <w:rPr>
          <w:lang w:eastAsia="en-US"/>
        </w:rPr>
      </w:pPr>
      <w:r>
        <w:t xml:space="preserve">We will also estimate a second model which will include interaction terms for </w:t>
      </w:r>
      <m:oMath>
        <m:r>
          <w:rPr>
            <w:rFonts w:ascii="Cambria Math" w:hAnsi="Cambria Math" w:cstheme="minorHAnsi"/>
            <w:spacing w:val="4"/>
          </w:rPr>
          <m:t>A ×B</m:t>
        </m:r>
      </m:oMath>
      <w:r>
        <w:rPr>
          <w:spacing w:val="4"/>
        </w:rPr>
        <w:t xml:space="preserve"> and </w:t>
      </w:r>
      <m:oMath>
        <m:r>
          <w:rPr>
            <w:rFonts w:ascii="Cambria Math" w:hAnsi="Cambria Math" w:cstheme="minorHAnsi"/>
            <w:spacing w:val="4"/>
          </w:rPr>
          <m:t>A×C</m:t>
        </m:r>
      </m:oMath>
      <w:r w:rsidR="004669A2">
        <w:rPr>
          <w:spacing w:val="4"/>
        </w:rPr>
        <w:t xml:space="preserve">. We do not expect interactions, </w:t>
      </w:r>
      <w:r>
        <w:rPr>
          <w:spacing w:val="4"/>
        </w:rPr>
        <w:t>and have not powered the trial to dete</w:t>
      </w:r>
      <w:r w:rsidR="002A5755">
        <w:rPr>
          <w:spacing w:val="4"/>
        </w:rPr>
        <w:t xml:space="preserve">ct them. </w:t>
      </w:r>
      <w:r w:rsidR="004669A2">
        <w:rPr>
          <w:spacing w:val="4"/>
        </w:rPr>
        <w:t>Any e</w:t>
      </w:r>
      <w:r w:rsidR="002A5755">
        <w:rPr>
          <w:spacing w:val="4"/>
        </w:rPr>
        <w:t xml:space="preserve">vidence </w:t>
      </w:r>
      <w:r w:rsidR="004669A2">
        <w:rPr>
          <w:spacing w:val="4"/>
        </w:rPr>
        <w:t>of</w:t>
      </w:r>
      <w:r w:rsidR="002A5755">
        <w:rPr>
          <w:spacing w:val="4"/>
        </w:rPr>
        <w:t xml:space="preserve"> strong interaction effects will be incorporated into our interpretation.</w:t>
      </w:r>
    </w:p>
    <w:p w14:paraId="09096419" w14:textId="59EBDE7B" w:rsidR="00A83E5D" w:rsidRDefault="00A83E5D" w:rsidP="00D550A1">
      <w:pPr>
        <w:pStyle w:val="Heading2"/>
      </w:pPr>
      <w:r>
        <w:t>Secondary/Exploratory Analysis</w:t>
      </w:r>
    </w:p>
    <w:p w14:paraId="48C2FA23" w14:textId="7608AD63" w:rsidR="00177983" w:rsidRDefault="004D508D" w:rsidP="00177983">
      <w:r>
        <w:t xml:space="preserve">All treatment arms have new functionality to print and/or save the email as a PDF version. </w:t>
      </w:r>
      <w:r w:rsidR="00177983">
        <w:t>We will apply the specified hypothesis tests and models to a secondary outcome</w:t>
      </w:r>
      <w:r>
        <w:t>, which looks at what effects our treatments have upon the rate of</w:t>
      </w:r>
      <w:r w:rsidR="00177983">
        <w:t xml:space="preserve"> print</w:t>
      </w:r>
      <w:r>
        <w:t xml:space="preserve">ing or saving </w:t>
      </w:r>
      <w:r w:rsidR="00177983">
        <w:t>the emails</w:t>
      </w:r>
      <w:r>
        <w:t>.</w:t>
      </w:r>
    </w:p>
    <w:p w14:paraId="1B8B2AAE" w14:textId="3A1BA40B" w:rsidR="00C20D0B" w:rsidRDefault="00C20D0B" w:rsidP="00F236BC">
      <w:pPr>
        <w:pStyle w:val="Heading2"/>
      </w:pPr>
      <w:r w:rsidRPr="00E74E0D">
        <w:t>Sample size</w:t>
      </w:r>
      <w:r w:rsidR="00BE1114">
        <w:t xml:space="preserve"> and </w:t>
      </w:r>
      <w:r w:rsidRPr="00E74E0D">
        <w:t>power</w:t>
      </w:r>
      <w:r w:rsidR="00BE1114">
        <w:t xml:space="preserve">: splitting into testing and </w:t>
      </w:r>
      <w:r w:rsidR="00B81C73">
        <w:t>hold-out data set</w:t>
      </w:r>
      <w:r w:rsidR="00BE1114">
        <w:t>s</w:t>
      </w:r>
    </w:p>
    <w:p w14:paraId="44F12084" w14:textId="17D41178" w:rsidR="00C20D0B" w:rsidRDefault="00C20D0B" w:rsidP="00C20D0B">
      <w:r>
        <w:t>We expect a sample of roughly 54,000, which gives approximately 9</w:t>
      </w:r>
      <w:r w:rsidR="00B81C73">
        <w:t>,</w:t>
      </w:r>
      <w:r>
        <w:t xml:space="preserve">000 individuals per group. However, we expect only </w:t>
      </w:r>
      <w:r w:rsidR="0042062C">
        <w:t>48</w:t>
      </w:r>
      <w:r>
        <w:t>% of these will open the email and receive treatment. We will measure email open rates and only include those who open the email in our analysis. There is no plausible mechanism by which treatment could influence open rates. After this exclusion we expect a final sample</w:t>
      </w:r>
      <w:r w:rsidR="0042062C">
        <w:t xml:space="preserve"> of</w:t>
      </w:r>
      <w:r>
        <w:t xml:space="preserve"> </w:t>
      </w:r>
      <w:r w:rsidR="0042062C">
        <w:t>around</w:t>
      </w:r>
      <w:r>
        <w:t xml:space="preserve"> </w:t>
      </w:r>
      <w:r w:rsidR="0042062C">
        <w:t>25,900.</w:t>
      </w:r>
    </w:p>
    <w:p w14:paraId="2E9722D0" w14:textId="1B7A11AE" w:rsidR="00321883" w:rsidRDefault="002075D3" w:rsidP="00C20D0B">
      <w:r>
        <w:t>W</w:t>
      </w:r>
      <w:r w:rsidR="00B81C73">
        <w:t xml:space="preserve">e </w:t>
      </w:r>
      <w:r w:rsidR="00BE1114">
        <w:t xml:space="preserve">will randomly </w:t>
      </w:r>
      <w:r w:rsidR="00B81C73">
        <w:t>divide the data into a ‘testing data set’ and a ‘hold-out data set’</w:t>
      </w:r>
      <w:r w:rsidR="00BE1114">
        <w:t xml:space="preserve"> at a 1:1 ratio</w:t>
      </w:r>
      <w:r w:rsidR="00B81C73">
        <w:t xml:space="preserve">. </w:t>
      </w:r>
      <w:r w:rsidR="00321883">
        <w:t>(Note: we will only do this if the open rates are at least 30%. Otherwise, we will proceed with analysis of the entire data set)</w:t>
      </w:r>
      <w:r>
        <w:t>.</w:t>
      </w:r>
      <w:r w:rsidR="00321883">
        <w:t xml:space="preserve"> Splitting allows us to replicate findings for pre-specified hypotheses </w:t>
      </w:r>
      <w:r>
        <w:t xml:space="preserve">and </w:t>
      </w:r>
      <w:r w:rsidR="00321883">
        <w:t xml:space="preserve">conduct exploratory data analysis on the ‘testing’ data and update our hypotheses before analysis the hold-out data. </w:t>
      </w:r>
    </w:p>
    <w:p w14:paraId="6B0F512C" w14:textId="00C67CAD" w:rsidR="00B81C73" w:rsidRDefault="00321883" w:rsidP="00C20D0B">
      <w:r>
        <w:t xml:space="preserve">To implement the data splitting and analysis, we </w:t>
      </w:r>
      <w:r w:rsidR="00B81C73">
        <w:t>will follow these steps:</w:t>
      </w:r>
    </w:p>
    <w:p w14:paraId="5EA4A7B2" w14:textId="16410295" w:rsidR="00B81C73" w:rsidRDefault="00B81C73" w:rsidP="00B81C73">
      <w:pPr>
        <w:pStyle w:val="ListParagraph"/>
        <w:numPr>
          <w:ilvl w:val="0"/>
          <w:numId w:val="10"/>
        </w:numPr>
      </w:pPr>
      <w:r>
        <w:t xml:space="preserve">One analyst will split the sample randomly and provide one half of the data (the testing data) to the main analyst, while keeping the hold-out data in a separate, restricted location. </w:t>
      </w:r>
    </w:p>
    <w:p w14:paraId="24402326" w14:textId="0FEC9DFA" w:rsidR="00B81C73" w:rsidRDefault="00B81C73" w:rsidP="00B81C73">
      <w:pPr>
        <w:pStyle w:val="ListParagraph"/>
        <w:numPr>
          <w:ilvl w:val="0"/>
          <w:numId w:val="10"/>
        </w:numPr>
      </w:pPr>
      <w:r>
        <w:lastRenderedPageBreak/>
        <w:t>The main analyst will use the testing data to (a) test hypotheses</w:t>
      </w:r>
      <w:r w:rsidR="00B63C0D">
        <w:t xml:space="preserve"> pre</w:t>
      </w:r>
      <w:r w:rsidR="00B63C0D">
        <w:noBreakHyphen/>
        <w:t>specified in this plan</w:t>
      </w:r>
      <w:r>
        <w:t>, and (b) conduct exploratory analysis to develop further hypotheses.</w:t>
      </w:r>
    </w:p>
    <w:p w14:paraId="3F0AD6CF" w14:textId="03DD73F8" w:rsidR="00B81C73" w:rsidRDefault="00B81C73" w:rsidP="00B81C73">
      <w:pPr>
        <w:pStyle w:val="ListParagraph"/>
        <w:numPr>
          <w:ilvl w:val="0"/>
          <w:numId w:val="10"/>
        </w:numPr>
      </w:pPr>
      <w:r>
        <w:t>Any additional hypotheses will be added to an updated version of the pre</w:t>
      </w:r>
      <w:r w:rsidR="00890540">
        <w:noBreakHyphen/>
      </w:r>
      <w:r>
        <w:t>analysis plan before the hold-out data is released to the main analyst.</w:t>
      </w:r>
    </w:p>
    <w:p w14:paraId="705D1452" w14:textId="7FB1D5BA" w:rsidR="00C71D49" w:rsidRDefault="00B81C73" w:rsidP="00F803D7">
      <w:pPr>
        <w:pStyle w:val="ListParagraph"/>
        <w:numPr>
          <w:ilvl w:val="0"/>
          <w:numId w:val="10"/>
        </w:numPr>
      </w:pPr>
      <w:r>
        <w:t xml:space="preserve">The hold-out data will be used to (c) replicate any results from the testing data, and (d) seek to confirm any new hypotheses generated from the testing data. </w:t>
      </w:r>
    </w:p>
    <w:p w14:paraId="64614C16" w14:textId="18A5F5D9" w:rsidR="002075D3" w:rsidRDefault="002075D3" w:rsidP="002075D3">
      <w:r>
        <w:t>We will use an alpha level of 0.01 for all hypothesis tests.</w:t>
      </w:r>
    </w:p>
    <w:p w14:paraId="4DDDE7EF" w14:textId="0E84B367" w:rsidR="00F236BC" w:rsidRDefault="00712385" w:rsidP="00712385">
      <w:pPr>
        <w:pStyle w:val="Heading3"/>
      </w:pPr>
      <w:r>
        <w:t>Engagement</w:t>
      </w:r>
    </w:p>
    <w:p w14:paraId="69D4DCD2" w14:textId="73F7C7B5" w:rsidR="00C20D0B" w:rsidRDefault="001F4DAD" w:rsidP="00F236BC">
      <w:r>
        <w:t xml:space="preserve">In previous </w:t>
      </w:r>
      <w:r w:rsidR="003D3C2E">
        <w:t>emails</w:t>
      </w:r>
      <w:r>
        <w:t xml:space="preserve">, </w:t>
      </w:r>
      <w:r w:rsidR="00F236BC">
        <w:t xml:space="preserve">the rate of hyperlink clicks </w:t>
      </w:r>
      <w:r w:rsidR="0042062C">
        <w:t xml:space="preserve">(among those who opened emails) </w:t>
      </w:r>
      <w:r>
        <w:t>was</w:t>
      </w:r>
      <w:r w:rsidR="0042062C">
        <w:t xml:space="preserve"> around 8</w:t>
      </w:r>
      <w:r w:rsidR="002075D3">
        <w:t>%. For main effects relating to engagement, we estimate that we have</w:t>
      </w:r>
      <w:r w:rsidR="003D3C2E">
        <w:t xml:space="preserve"> 95</w:t>
      </w:r>
      <w:r w:rsidR="002075D3">
        <w:t xml:space="preserve">% power </w:t>
      </w:r>
      <w:r w:rsidR="00A44907">
        <w:t xml:space="preserve">(in both testing and holdout samples) </w:t>
      </w:r>
      <w:r w:rsidR="002075D3">
        <w:t>to detect an increase in clicks from 8% to 9.</w:t>
      </w:r>
      <w:r w:rsidR="003D3C2E">
        <w:t>8</w:t>
      </w:r>
      <w:r w:rsidR="002075D3">
        <w:t>%</w:t>
      </w:r>
      <w:r w:rsidR="003D3C2E">
        <w:t xml:space="preserve"> at an alpha of 0.01</w:t>
      </w:r>
      <w:r w:rsidR="002075D3">
        <w:t>.</w:t>
      </w:r>
      <w:r w:rsidR="003D3C2E">
        <w:t xml:space="preserve"> </w:t>
      </w:r>
    </w:p>
    <w:p w14:paraId="0889FD2C" w14:textId="392D64E9" w:rsidR="00F236BC" w:rsidRDefault="00F236BC" w:rsidP="00712385">
      <w:pPr>
        <w:pStyle w:val="Heading3"/>
      </w:pPr>
      <w:r>
        <w:t>Forwarding</w:t>
      </w:r>
    </w:p>
    <w:p w14:paraId="1D8521ED" w14:textId="2BF6F781" w:rsidR="00F236BC" w:rsidRDefault="0042062C" w:rsidP="00F236BC">
      <w:r>
        <w:t>We do not have data on previous forwarding rates</w:t>
      </w:r>
      <w:r w:rsidR="002075D3">
        <w:t>.</w:t>
      </w:r>
      <w:r w:rsidR="003D3C2E">
        <w:t xml:space="preserve"> Assuming a baseline forwarding rate of 2%, at an alpha of 0.01, we estimate that we will have 95% power </w:t>
      </w:r>
      <w:r w:rsidR="00A44907">
        <w:t xml:space="preserve">(in both testing and holdout samples) </w:t>
      </w:r>
      <w:r w:rsidR="003D3C2E">
        <w:t>to detect an increase in forwarding from 2% to 3%.</w:t>
      </w:r>
    </w:p>
    <w:p w14:paraId="0CD3DC48" w14:textId="0337A6DF" w:rsidR="00D550A1" w:rsidRDefault="00D550A1" w:rsidP="00D550A1">
      <w:pPr>
        <w:pStyle w:val="Heading2"/>
      </w:pPr>
      <w:r>
        <w:t>Interpretation</w:t>
      </w:r>
    </w:p>
    <w:p w14:paraId="14AE1073" w14:textId="2F8B25B6" w:rsidR="0052717B" w:rsidRDefault="0052717B" w:rsidP="00F41E50">
      <w:pPr>
        <w:keepNext/>
      </w:pPr>
      <w:r>
        <w:t>We will make use of p-values to aid the interpretation of our results. However, we w</w:t>
      </w:r>
      <w:r w:rsidR="0011053F">
        <w:t>ill consider the p-value together with effect size</w:t>
      </w:r>
      <w:r w:rsidR="00743593">
        <w:t>, robustness checks</w:t>
      </w:r>
      <w:r w:rsidR="0011053F">
        <w:t xml:space="preserve"> and design limitations to assess the strength of a finding. </w:t>
      </w:r>
    </w:p>
    <w:p w14:paraId="4E71B43B" w14:textId="243C82BB" w:rsidR="0011053F" w:rsidRDefault="0011053F" w:rsidP="00F41E50">
      <w:pPr>
        <w:keepNext/>
      </w:pPr>
      <w:r>
        <w:t>Including a call-to-share or altering the icons of an email are</w:t>
      </w:r>
      <w:r w:rsidR="00743593">
        <w:t xml:space="preserve"> very</w:t>
      </w:r>
      <w:r>
        <w:t xml:space="preserve"> low cost interventions, meaning that a small effect could be practically meaningful. The intervention is low risk, so there is little consequence in acting upon a false-positive result. </w:t>
      </w:r>
    </w:p>
    <w:p w14:paraId="16E48E83" w14:textId="4CF937DC" w:rsidR="001E4503" w:rsidRPr="0017228B" w:rsidRDefault="00D550A1" w:rsidP="001E4503">
      <w:pPr>
        <w:pStyle w:val="Heading2"/>
      </w:pPr>
      <w:r>
        <w:t>Trial Threats</w:t>
      </w:r>
    </w:p>
    <w:p w14:paraId="6BF4CE7D" w14:textId="77777777" w:rsidR="001E4503" w:rsidRDefault="001E4503" w:rsidP="001E4503">
      <w:r>
        <w:t>There is a chance that individuals who are signed-up for the service with multiple emails will receive both control and treatment group emails. However, we do not expect this to be a significant number of individuals.</w:t>
      </w:r>
    </w:p>
    <w:p w14:paraId="29A29416" w14:textId="302402D0" w:rsidR="001E4503" w:rsidRDefault="001E4503" w:rsidP="001E4503">
      <w:r>
        <w:t xml:space="preserve">We are unable to measure the amount of time that participants spend on reading each email. Instead we are using hyperlink click throughs as a proxy for engagement. In addition, we will be unable to measure the number of emails forwarded through the email server, rather than our forwarding banner. </w:t>
      </w:r>
      <w:r w:rsidR="00E77EB0">
        <w:t xml:space="preserve">It is possible that the platform of email delivery will allow us to use a proxy measure for this (by </w:t>
      </w:r>
      <w:r w:rsidR="00E77EB0">
        <w:lastRenderedPageBreak/>
        <w:t>tracking engagement from users who are not registered to the alert service and therefore likely had the email forwarded to them). We will delve into this further in exploratory research; but regardless, it is a limitation of our ability to infer effects.</w:t>
      </w:r>
    </w:p>
    <w:p w14:paraId="6DB12895" w14:textId="704568E6" w:rsidR="0014775B" w:rsidRDefault="0014775B" w:rsidP="0014775B">
      <w:pPr>
        <w:pStyle w:val="Heading2"/>
      </w:pPr>
      <w:r>
        <w:t>Missing Data</w:t>
      </w:r>
      <w:r w:rsidR="004D508D">
        <w:t xml:space="preserve"> and Exclusions from Analysis</w:t>
      </w:r>
    </w:p>
    <w:p w14:paraId="450D78C0" w14:textId="1A51D944" w:rsidR="0014775B" w:rsidRDefault="0014775B" w:rsidP="0014775B">
      <w:r>
        <w:t>Participants who unsubscribe from the Alert service will be recorded as missing data and excluded from analysis.</w:t>
      </w:r>
    </w:p>
    <w:p w14:paraId="5108D1D4" w14:textId="14239970" w:rsidR="004D508D" w:rsidRDefault="004D508D" w:rsidP="0014775B">
      <w:r>
        <w:t xml:space="preserve">Considering our treatments </w:t>
      </w:r>
      <w:r w:rsidR="0033678A">
        <w:t>will not</w:t>
      </w:r>
      <w:r>
        <w:t xml:space="preserve"> have any effect on the likelihood that an individual will open the email we send them, individuals who do not open the email and did not engage with the email in any way will be excluded from our analysis.</w:t>
      </w:r>
    </w:p>
    <w:p w14:paraId="4BD9C760" w14:textId="5EE52396" w:rsidR="004D508D" w:rsidRDefault="0033678A" w:rsidP="004D508D">
      <w:r>
        <w:t>However, users may be able</w:t>
      </w:r>
      <w:r w:rsidR="004D508D">
        <w:t xml:space="preserve"> engage with links and content in the emails without technically ‘opening’ them (mostly through email preview functions, which are quite common). Individuals that engage in this fashion but did not technically ‘open’ the emails will </w:t>
      </w:r>
      <w:r w:rsidR="004D508D" w:rsidRPr="004D508D">
        <w:rPr>
          <w:i/>
        </w:rPr>
        <w:t xml:space="preserve">not </w:t>
      </w:r>
      <w:r w:rsidR="004D508D">
        <w:t>be excluded from analysis.</w:t>
      </w:r>
    </w:p>
    <w:p w14:paraId="6363EE39" w14:textId="121E124A" w:rsidR="00E74E0D" w:rsidRPr="00E74E0D" w:rsidRDefault="00E74E0D" w:rsidP="00E74E0D">
      <w:pPr>
        <w:pStyle w:val="Heading2"/>
      </w:pPr>
      <w:r w:rsidRPr="00E74E0D">
        <w:t>Pre-analysis plan commitments</w:t>
      </w:r>
    </w:p>
    <w:p w14:paraId="4FD6C483" w14:textId="132042D0" w:rsidR="008B33B6" w:rsidRPr="00944B79" w:rsidRDefault="0052717B" w:rsidP="00944B79">
      <w:pPr>
        <w:pStyle w:val="ListBullet"/>
        <w:numPr>
          <w:ilvl w:val="0"/>
          <w:numId w:val="0"/>
        </w:numPr>
      </w:pPr>
      <w:r>
        <w:t>N</w:t>
      </w:r>
      <w:r w:rsidR="00E74E0D" w:rsidRPr="00E74E0D">
        <w:t>o analysis</w:t>
      </w:r>
      <w:r>
        <w:t xml:space="preserve"> of trial data</w:t>
      </w:r>
      <w:r w:rsidR="00E74E0D" w:rsidRPr="00E74E0D">
        <w:t xml:space="preserve"> has been undertaken prior to the comple</w:t>
      </w:r>
      <w:r w:rsidR="00177983">
        <w:t>tion of this pre</w:t>
      </w:r>
      <w:r w:rsidR="00ED4884">
        <w:t>-</w:t>
      </w:r>
      <w:r w:rsidR="00177983">
        <w:t xml:space="preserve">analysis plan. </w:t>
      </w:r>
      <w:r w:rsidR="00E74E0D" w:rsidRPr="00E74E0D">
        <w:t>We will</w:t>
      </w:r>
      <w:r w:rsidR="00177983">
        <w:t xml:space="preserve"> also</w:t>
      </w:r>
      <w:r w:rsidR="00E74E0D" w:rsidRPr="00E74E0D">
        <w:t xml:space="preserve"> be transparent about, and provide jus</w:t>
      </w:r>
      <w:r w:rsidR="00177983">
        <w:t>tification for, any deviations from this plan.</w:t>
      </w:r>
    </w:p>
    <w:p w14:paraId="1AF12D1B" w14:textId="77777777" w:rsidR="00944B79" w:rsidRDefault="00944B79">
      <w:pPr>
        <w:spacing w:before="0" w:after="0" w:line="240" w:lineRule="auto"/>
        <w:rPr>
          <w:rFonts w:asciiTheme="majorHAnsi" w:hAnsiTheme="majorHAnsi"/>
          <w:b/>
          <w:color w:val="117479" w:themeColor="accent2"/>
          <w:sz w:val="24"/>
          <w:szCs w:val="44"/>
        </w:rPr>
      </w:pPr>
      <w:r>
        <w:br w:type="page"/>
      </w:r>
    </w:p>
    <w:p w14:paraId="0CEE23B4" w14:textId="5719FC4E" w:rsidR="008B33B6" w:rsidRDefault="008B33B6" w:rsidP="00712385">
      <w:pPr>
        <w:pStyle w:val="Heading2"/>
        <w:spacing w:before="0" w:afterLines="120" w:after="288" w:line="240" w:lineRule="auto"/>
        <w:contextualSpacing w:val="0"/>
      </w:pPr>
      <w:r>
        <w:lastRenderedPageBreak/>
        <w:t xml:space="preserve">Pre-analysis plan update: Stay Smart Online Alert Service </w:t>
      </w:r>
    </w:p>
    <w:p w14:paraId="2FD00150" w14:textId="2E0313A3" w:rsidR="008B33B6" w:rsidRPr="008B33B6" w:rsidRDefault="008B33B6" w:rsidP="00712385">
      <w:pPr>
        <w:spacing w:before="0" w:afterLines="120" w:after="288" w:line="240" w:lineRule="auto"/>
      </w:pPr>
      <w:r>
        <w:t>9 April 2020</w:t>
      </w:r>
    </w:p>
    <w:p w14:paraId="706E87A1" w14:textId="77777777" w:rsidR="008B33B6" w:rsidRDefault="008B33B6" w:rsidP="00712385">
      <w:pPr>
        <w:pStyle w:val="Heading2"/>
        <w:spacing w:before="0" w:afterLines="120" w:after="288" w:line="240" w:lineRule="auto"/>
        <w:contextualSpacing w:val="0"/>
      </w:pPr>
      <w:r>
        <w:t>Background and purpose</w:t>
      </w:r>
    </w:p>
    <w:p w14:paraId="0F9867F0" w14:textId="77777777" w:rsidR="008B33B6" w:rsidRDefault="008B33B6" w:rsidP="00712385">
      <w:pPr>
        <w:spacing w:before="0" w:afterLines="120" w:after="288" w:line="240" w:lineRule="auto"/>
      </w:pPr>
      <w:r>
        <w:t xml:space="preserve">We used a ‘Test’ data set to test several pre-specified hypotheses and to conduct further exploratory analysis – see the original pre-analysis plan (PAP) for details. This PAP Update pre specifies changes to our hypotheses – based on the results from the Test data – before we commence analysis on the ‘Hold Out’ data set. </w:t>
      </w:r>
    </w:p>
    <w:p w14:paraId="4F795B4D" w14:textId="77777777" w:rsidR="008B33B6" w:rsidRDefault="008B33B6" w:rsidP="00712385">
      <w:pPr>
        <w:pStyle w:val="Heading2"/>
        <w:spacing w:before="0" w:afterLines="120" w:after="288" w:line="240" w:lineRule="auto"/>
        <w:contextualSpacing w:val="0"/>
      </w:pPr>
      <w:r>
        <w:t>Email open rates</w:t>
      </w:r>
    </w:p>
    <w:p w14:paraId="6574A520" w14:textId="64DBEE04" w:rsidR="008B33B6" w:rsidRDefault="008B33B6" w:rsidP="00712385">
      <w:pPr>
        <w:spacing w:before="0" w:afterLines="120" w:after="288" w:line="240" w:lineRule="auto"/>
      </w:pPr>
      <w:r>
        <w:t>Contrary to our expectations in the PAP, we observed material differences in open rates between emails with icons and those without. These differences also appear to be statistically significant (to the extent that such a claim is meaningful for a hypothesis generated after the results are known). We speculate that some people may see the email in preview mode before actually opening the email. Some of those who see the icons during the preview may be more inclined to go ahead and open the email. This leads to two changes to our original PAP for our analysis of the Hold Out data.</w:t>
      </w:r>
    </w:p>
    <w:p w14:paraId="73D03DD8" w14:textId="1878AC14" w:rsidR="008B33B6" w:rsidRDefault="008B33B6" w:rsidP="00712385">
      <w:pPr>
        <w:spacing w:before="0" w:afterLines="120" w:after="288" w:line="240" w:lineRule="auto"/>
      </w:pPr>
      <w:r>
        <w:t>First, the original hypotheses H1-H4 will be tested on the full data set, not just the subset of the data with those who opened the email. That is, we will revert to conducting a pure Intent To Treat (ITT) analysis. Since the outcome variables, expressed as percentages, will be much smaller for the full data set than for the subset who opened the email, we may, for convenience, present our outcomes as a fraction of 1,000 emails sent (rather as a fraction of 100).</w:t>
      </w:r>
    </w:p>
    <w:p w14:paraId="16E1764A" w14:textId="77777777" w:rsidR="008B33B6" w:rsidRDefault="008B33B6" w:rsidP="00712385">
      <w:pPr>
        <w:spacing w:before="0" w:afterLines="120" w:after="288" w:line="240" w:lineRule="auto"/>
      </w:pPr>
      <w:r>
        <w:t>Second, we will add a new outcome variable (email open rates, a binary variable = 1 if the email is opened, =0 otherwise) and a new hypothesis:</w:t>
      </w:r>
    </w:p>
    <w:p w14:paraId="7398F828" w14:textId="3963BC85" w:rsidR="008B33B6" w:rsidRDefault="008B33B6" w:rsidP="00712385">
      <w:pPr>
        <w:spacing w:before="0" w:afterLines="120" w:after="288" w:line="240" w:lineRule="auto"/>
      </w:pPr>
      <w:r>
        <w:t>H5: B1 + B2 (pooled) &gt; B0 (email open rate outcome). Emails that contain either icons (timing or action related) will show significantly higher open rates than those that contain no icons (one sided test).</w:t>
      </w:r>
    </w:p>
    <w:p w14:paraId="791368CA" w14:textId="45F324B1" w:rsidR="008B33B6" w:rsidRDefault="008B33B6" w:rsidP="00712385">
      <w:pPr>
        <w:pStyle w:val="Heading2"/>
        <w:spacing w:before="0" w:afterLines="120" w:after="288" w:line="240" w:lineRule="auto"/>
        <w:contextualSpacing w:val="0"/>
      </w:pPr>
      <w:r>
        <w:t>Factorial design and interaction effects</w:t>
      </w:r>
    </w:p>
    <w:p w14:paraId="78A7F42E" w14:textId="77777777" w:rsidR="008B33B6" w:rsidRDefault="008B33B6" w:rsidP="00712385">
      <w:pPr>
        <w:spacing w:before="0" w:afterLines="120" w:after="288" w:line="240" w:lineRule="auto"/>
      </w:pPr>
      <w:r>
        <w:t>In the original PAP, we pre specified that we would conduct tests using both a short-form model (without interactions between the two factors in our factorial design) and a long-form model (including interactions), both using OLS regression. The results from the Test data show material differences in both effect sizes and p-values between the two models. Consequently, we will follow the recommendation of Muralidharan, Romero and Wuthrich (2020) and use the long-form model with interactions for our main analysis for all hypotheses. We may conduct several of the following robustness checks:</w:t>
      </w:r>
    </w:p>
    <w:p w14:paraId="1284D5A8" w14:textId="77777777" w:rsidR="00944B79" w:rsidRDefault="008B33B6" w:rsidP="00712385">
      <w:pPr>
        <w:pStyle w:val="ListParagraph"/>
        <w:numPr>
          <w:ilvl w:val="0"/>
          <w:numId w:val="11"/>
        </w:numPr>
        <w:spacing w:before="0" w:afterLines="120" w:after="288" w:line="240" w:lineRule="auto"/>
      </w:pPr>
      <w:r>
        <w:t>Remove the possible interaction by dropping treatments from the analysis (eg test H2 through a comparison of A0B1 &gt; A0B0)</w:t>
      </w:r>
    </w:p>
    <w:p w14:paraId="40CBBDB3" w14:textId="77777777" w:rsidR="00944B79" w:rsidRDefault="008B33B6" w:rsidP="00712385">
      <w:pPr>
        <w:pStyle w:val="ListParagraph"/>
        <w:numPr>
          <w:ilvl w:val="0"/>
          <w:numId w:val="11"/>
        </w:numPr>
        <w:spacing w:before="0" w:afterLines="120" w:after="288" w:line="240" w:lineRule="auto"/>
      </w:pPr>
      <w:r>
        <w:t>The short-form model without interactions</w:t>
      </w:r>
    </w:p>
    <w:p w14:paraId="7407F7F5" w14:textId="59C7C0A2" w:rsidR="008B33B6" w:rsidRDefault="008B33B6" w:rsidP="00712385">
      <w:pPr>
        <w:pStyle w:val="ListParagraph"/>
        <w:numPr>
          <w:ilvl w:val="0"/>
          <w:numId w:val="11"/>
        </w:numPr>
        <w:spacing w:before="0" w:afterLines="120" w:after="288" w:line="240" w:lineRule="auto"/>
      </w:pPr>
      <w:r>
        <w:lastRenderedPageBreak/>
        <w:t>Logistic regression of the models above</w:t>
      </w:r>
    </w:p>
    <w:p w14:paraId="205A9EE8" w14:textId="287DA462" w:rsidR="008B33B6" w:rsidRDefault="008B33B6" w:rsidP="00712385">
      <w:pPr>
        <w:pStyle w:val="Heading2"/>
        <w:spacing w:before="0" w:afterLines="120" w:after="288" w:line="240" w:lineRule="auto"/>
        <w:contextualSpacing w:val="0"/>
      </w:pPr>
      <w:r>
        <w:t>Results for existing hypotheses</w:t>
      </w:r>
    </w:p>
    <w:p w14:paraId="7F0DF5EB" w14:textId="00873BA1" w:rsidR="00944B79" w:rsidRDefault="008B33B6" w:rsidP="00712385">
      <w:pPr>
        <w:spacing w:before="0" w:afterLines="120" w:after="288" w:line="240" w:lineRule="auto"/>
      </w:pPr>
      <w:r>
        <w:t xml:space="preserve">In the Hold Out data, we will re-test all existing hypotheses using our preferred method above (ie, using the full data set including un-opened emails, and using the long-form model with interactions). Here are our updated expectations based on the results from the Test data. </w:t>
      </w:r>
    </w:p>
    <w:p w14:paraId="49765891" w14:textId="77777777" w:rsidR="008B33B6" w:rsidRDefault="008B33B6" w:rsidP="00712385">
      <w:pPr>
        <w:spacing w:before="0" w:afterLines="120" w:after="288" w:line="240" w:lineRule="auto"/>
      </w:pPr>
      <w:r>
        <w:t>H1 (call to share): The results from the Test data confirm H1. We expect to replicate this result in the Hold Out data.</w:t>
      </w:r>
    </w:p>
    <w:p w14:paraId="5C309847" w14:textId="77777777" w:rsidR="008B33B6" w:rsidRDefault="008B33B6" w:rsidP="00712385">
      <w:pPr>
        <w:spacing w:before="0" w:afterLines="120" w:after="288" w:line="240" w:lineRule="auto"/>
      </w:pPr>
      <w:r>
        <w:t>H2 (timing icon): The Test data results appear to confirm H2 although this conclusion is based on weighing the evidence from several analyses. Nonetheless, we expect to confirm H2 when it is re-tested.</w:t>
      </w:r>
    </w:p>
    <w:p w14:paraId="4F4EC152" w14:textId="77777777" w:rsidR="008B33B6" w:rsidRDefault="008B33B6" w:rsidP="00712385">
      <w:pPr>
        <w:spacing w:before="0" w:afterLines="120" w:after="288" w:line="240" w:lineRule="auto"/>
      </w:pPr>
      <w:r>
        <w:t>H3 (action icon): The Test data gave a null result for H3 (both a large p-value and a negligible effect size). Based on this, we now think it less likely that the re-test will give a confirmation of H3.</w:t>
      </w:r>
    </w:p>
    <w:p w14:paraId="17804A04" w14:textId="10BC7F20" w:rsidR="008B33B6" w:rsidRDefault="008B33B6" w:rsidP="00712385">
      <w:pPr>
        <w:spacing w:before="0" w:afterLines="120" w:after="288" w:line="240" w:lineRule="auto"/>
      </w:pPr>
      <w:r>
        <w:t xml:space="preserve">H4 (timing icon vs action icon): The Test data gave a null result for H4 and so we expect the re-test will probably also return a null result. </w:t>
      </w:r>
    </w:p>
    <w:p w14:paraId="2FA43766" w14:textId="77777777" w:rsidR="008B33B6" w:rsidRDefault="008B33B6" w:rsidP="00712385">
      <w:pPr>
        <w:pStyle w:val="Heading2"/>
        <w:spacing w:before="0" w:afterLines="120" w:after="288" w:line="240" w:lineRule="auto"/>
        <w:contextualSpacing w:val="0"/>
      </w:pPr>
      <w:r>
        <w:t>Extension of H2</w:t>
      </w:r>
    </w:p>
    <w:p w14:paraId="4B09D963" w14:textId="77777777" w:rsidR="008B33B6" w:rsidRDefault="008B33B6" w:rsidP="00712385">
      <w:pPr>
        <w:spacing w:before="0" w:afterLines="120" w:after="288" w:line="240" w:lineRule="auto"/>
      </w:pPr>
      <w:r>
        <w:t>If H2 is confirmed in the Hold Out data, we will conduct further analysis to see if we can determine what type of engagement increased as a result of the timing icon. Preliminary analysis of the Test data suggests that the increased engagement mainly related to clicking on the ‘print and save’ link so our hypothesis, contingent on confirmation of H2, is that the timing icon increases engagement on ‘print and save’ more than on other engagement options.</w:t>
      </w:r>
    </w:p>
    <w:p w14:paraId="53B9B7C4" w14:textId="0C096BF5" w:rsidR="008B33B6" w:rsidRDefault="008B33B6" w:rsidP="00712385">
      <w:pPr>
        <w:pStyle w:val="Heading2"/>
        <w:spacing w:before="0" w:afterLines="120" w:after="288" w:line="240" w:lineRule="auto"/>
        <w:contextualSpacing w:val="0"/>
      </w:pPr>
      <w:r>
        <w:t>References</w:t>
      </w:r>
    </w:p>
    <w:p w14:paraId="4668E661" w14:textId="27D8D19B" w:rsidR="00E74E0D" w:rsidRDefault="008B33B6" w:rsidP="00712385">
      <w:pPr>
        <w:spacing w:before="0" w:afterLines="120" w:after="288" w:line="240" w:lineRule="auto"/>
      </w:pPr>
      <w:r>
        <w:t xml:space="preserve">Muralidharan, Romero and Wuthrich (2020) ‘Factorial designs, model selection, and (incorrect) inference in randomized experiments’ Working Paper (5 February) </w:t>
      </w:r>
      <w:hyperlink r:id="rId12" w:history="1">
        <w:r w:rsidRPr="00FF50CD">
          <w:rPr>
            <w:rStyle w:val="Hyperlink"/>
          </w:rPr>
          <w:t>https://econweb.ucsd.edu/~kamurali/papers/Working%20Papers/CrossCuts%20(Current%20WP).pdf</w:t>
        </w:r>
      </w:hyperlink>
      <w:r>
        <w:t xml:space="preserve"> </w:t>
      </w:r>
    </w:p>
    <w:sectPr w:rsidR="00E74E0D" w:rsidSect="00E74E0D">
      <w:pgSz w:w="11906" w:h="16838" w:code="9"/>
      <w:pgMar w:top="2041" w:right="2381" w:bottom="1247" w:left="1247"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5AE94" w14:textId="77777777" w:rsidR="004F1D90" w:rsidRDefault="004F1D90">
      <w:r>
        <w:separator/>
      </w:r>
    </w:p>
  </w:endnote>
  <w:endnote w:type="continuationSeparator" w:id="0">
    <w:p w14:paraId="2531C5FF" w14:textId="77777777" w:rsidR="004F1D90" w:rsidRDefault="004F1D90">
      <w:r>
        <w:continuationSeparator/>
      </w:r>
    </w:p>
  </w:endnote>
  <w:endnote w:type="continuationNotice" w:id="1">
    <w:p w14:paraId="7CD8CAC7" w14:textId="77777777" w:rsidR="004F1D90" w:rsidRDefault="004F1D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4A34C" w14:textId="77777777" w:rsidR="004F1D90" w:rsidRDefault="004F1D90">
      <w:r>
        <w:separator/>
      </w:r>
    </w:p>
  </w:footnote>
  <w:footnote w:type="continuationSeparator" w:id="0">
    <w:p w14:paraId="602A494D" w14:textId="77777777" w:rsidR="004F1D90" w:rsidRDefault="004F1D90">
      <w:r>
        <w:continuationSeparator/>
      </w:r>
    </w:p>
  </w:footnote>
  <w:footnote w:type="continuationNotice" w:id="1">
    <w:p w14:paraId="4317169F" w14:textId="77777777" w:rsidR="004F1D90" w:rsidRDefault="004F1D9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45F1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B5BBB"/>
    <w:multiLevelType w:val="hybridMultilevel"/>
    <w:tmpl w:val="779636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C0120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922D99"/>
    <w:multiLevelType w:val="hybridMultilevel"/>
    <w:tmpl w:val="E2BCE1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690F52"/>
    <w:multiLevelType w:val="hybridMultilevel"/>
    <w:tmpl w:val="0AD277B0"/>
    <w:lvl w:ilvl="0" w:tplc="AA343364">
      <w:start w:val="3"/>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9A9629C"/>
    <w:multiLevelType w:val="hybridMultilevel"/>
    <w:tmpl w:val="9CA6F2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6A7891"/>
    <w:multiLevelType w:val="multilevel"/>
    <w:tmpl w:val="E15E891A"/>
    <w:lvl w:ilvl="0">
      <w:start w:val="1"/>
      <w:numFmt w:val="decimal"/>
      <w:pStyle w:val="FigureHeading"/>
      <w:suff w:val="space"/>
      <w:lvlText w:val="Figure %1:"/>
      <w:lvlJc w:val="left"/>
      <w:pPr>
        <w:ind w:left="720" w:hanging="720"/>
      </w:pPr>
      <w:rPr>
        <w:rFonts w:ascii="Helvetica" w:hAnsi="Helvetica"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8A97204"/>
    <w:multiLevelType w:val="hybridMultilevel"/>
    <w:tmpl w:val="B1B27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973E8B"/>
    <w:multiLevelType w:val="hybridMultilevel"/>
    <w:tmpl w:val="189A2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A224C0"/>
    <w:multiLevelType w:val="hybridMultilevel"/>
    <w:tmpl w:val="AD0C39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 w:numId="3">
    <w:abstractNumId w:val="7"/>
  </w:num>
  <w:num w:numId="4">
    <w:abstractNumId w:val="10"/>
  </w:num>
  <w:num w:numId="5">
    <w:abstractNumId w:val="4"/>
  </w:num>
  <w:num w:numId="6">
    <w:abstractNumId w:val="5"/>
  </w:num>
  <w:num w:numId="7">
    <w:abstractNumId w:val="3"/>
  </w:num>
  <w:num w:numId="8">
    <w:abstractNumId w:val="2"/>
  </w:num>
  <w:num w:numId="9">
    <w:abstractNumId w:val="6"/>
  </w:num>
  <w:num w:numId="10">
    <w:abstractNumId w:val="8"/>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isplayBackgroundShape/>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97"/>
    <w:rsid w:val="00005785"/>
    <w:rsid w:val="00006876"/>
    <w:rsid w:val="000079AD"/>
    <w:rsid w:val="00007D1F"/>
    <w:rsid w:val="00010D84"/>
    <w:rsid w:val="00010F15"/>
    <w:rsid w:val="00011CE3"/>
    <w:rsid w:val="000176B5"/>
    <w:rsid w:val="00022E9C"/>
    <w:rsid w:val="00024EF0"/>
    <w:rsid w:val="00025631"/>
    <w:rsid w:val="00027B26"/>
    <w:rsid w:val="00030705"/>
    <w:rsid w:val="00032861"/>
    <w:rsid w:val="00032B77"/>
    <w:rsid w:val="00037F3D"/>
    <w:rsid w:val="00037FFB"/>
    <w:rsid w:val="000407C6"/>
    <w:rsid w:val="00042285"/>
    <w:rsid w:val="00043256"/>
    <w:rsid w:val="00045A89"/>
    <w:rsid w:val="00046F8E"/>
    <w:rsid w:val="00047524"/>
    <w:rsid w:val="0005040E"/>
    <w:rsid w:val="0005087D"/>
    <w:rsid w:val="00050F9E"/>
    <w:rsid w:val="000547EF"/>
    <w:rsid w:val="00056004"/>
    <w:rsid w:val="0006075A"/>
    <w:rsid w:val="00061C84"/>
    <w:rsid w:val="00062484"/>
    <w:rsid w:val="00063129"/>
    <w:rsid w:val="00064EE9"/>
    <w:rsid w:val="00065022"/>
    <w:rsid w:val="00065A5E"/>
    <w:rsid w:val="00070681"/>
    <w:rsid w:val="0007097B"/>
    <w:rsid w:val="00070F67"/>
    <w:rsid w:val="00072DA5"/>
    <w:rsid w:val="00080A09"/>
    <w:rsid w:val="00081CEB"/>
    <w:rsid w:val="00083082"/>
    <w:rsid w:val="00083F36"/>
    <w:rsid w:val="00086D9F"/>
    <w:rsid w:val="00087B2C"/>
    <w:rsid w:val="00087D4E"/>
    <w:rsid w:val="00087DBD"/>
    <w:rsid w:val="00090718"/>
    <w:rsid w:val="00091B4E"/>
    <w:rsid w:val="00091CD7"/>
    <w:rsid w:val="00093DD5"/>
    <w:rsid w:val="000A03DD"/>
    <w:rsid w:val="000A1A09"/>
    <w:rsid w:val="000A47A8"/>
    <w:rsid w:val="000A48B2"/>
    <w:rsid w:val="000A73FB"/>
    <w:rsid w:val="000B0129"/>
    <w:rsid w:val="000B218A"/>
    <w:rsid w:val="000C014D"/>
    <w:rsid w:val="000C29B4"/>
    <w:rsid w:val="000C5CD8"/>
    <w:rsid w:val="000C7A69"/>
    <w:rsid w:val="000D1158"/>
    <w:rsid w:val="000D4703"/>
    <w:rsid w:val="000E12D4"/>
    <w:rsid w:val="000E39EF"/>
    <w:rsid w:val="000E51CE"/>
    <w:rsid w:val="000E620E"/>
    <w:rsid w:val="000F2063"/>
    <w:rsid w:val="000F3D28"/>
    <w:rsid w:val="000F63C4"/>
    <w:rsid w:val="000F6D72"/>
    <w:rsid w:val="000F7463"/>
    <w:rsid w:val="00100200"/>
    <w:rsid w:val="0010263D"/>
    <w:rsid w:val="00102824"/>
    <w:rsid w:val="0010300A"/>
    <w:rsid w:val="00107712"/>
    <w:rsid w:val="0011053F"/>
    <w:rsid w:val="001131F0"/>
    <w:rsid w:val="001139C7"/>
    <w:rsid w:val="00114EBC"/>
    <w:rsid w:val="001239B3"/>
    <w:rsid w:val="0012427E"/>
    <w:rsid w:val="001247E0"/>
    <w:rsid w:val="001252F6"/>
    <w:rsid w:val="00126750"/>
    <w:rsid w:val="001271A1"/>
    <w:rsid w:val="00131C0F"/>
    <w:rsid w:val="001325BF"/>
    <w:rsid w:val="00132F0D"/>
    <w:rsid w:val="00133713"/>
    <w:rsid w:val="00135B7E"/>
    <w:rsid w:val="00140FC9"/>
    <w:rsid w:val="001413C5"/>
    <w:rsid w:val="001419B4"/>
    <w:rsid w:val="0014231B"/>
    <w:rsid w:val="00142956"/>
    <w:rsid w:val="00142D10"/>
    <w:rsid w:val="001432B0"/>
    <w:rsid w:val="00144868"/>
    <w:rsid w:val="001452BC"/>
    <w:rsid w:val="0014775B"/>
    <w:rsid w:val="00150D2A"/>
    <w:rsid w:val="00150E25"/>
    <w:rsid w:val="00150EA9"/>
    <w:rsid w:val="00151650"/>
    <w:rsid w:val="00151A68"/>
    <w:rsid w:val="00155B98"/>
    <w:rsid w:val="00157001"/>
    <w:rsid w:val="00157709"/>
    <w:rsid w:val="00160B66"/>
    <w:rsid w:val="00160E91"/>
    <w:rsid w:val="00165626"/>
    <w:rsid w:val="00166272"/>
    <w:rsid w:val="001671D2"/>
    <w:rsid w:val="001672BC"/>
    <w:rsid w:val="00167CF4"/>
    <w:rsid w:val="00170BE9"/>
    <w:rsid w:val="0017147C"/>
    <w:rsid w:val="0017194E"/>
    <w:rsid w:val="0017228B"/>
    <w:rsid w:val="0017249B"/>
    <w:rsid w:val="001727A4"/>
    <w:rsid w:val="00177983"/>
    <w:rsid w:val="00177EC4"/>
    <w:rsid w:val="00181533"/>
    <w:rsid w:val="001824C8"/>
    <w:rsid w:val="00182698"/>
    <w:rsid w:val="00182F89"/>
    <w:rsid w:val="001864FD"/>
    <w:rsid w:val="00190B0E"/>
    <w:rsid w:val="001936A7"/>
    <w:rsid w:val="001943DD"/>
    <w:rsid w:val="00196BAC"/>
    <w:rsid w:val="001A009A"/>
    <w:rsid w:val="001A0BF0"/>
    <w:rsid w:val="001A13F6"/>
    <w:rsid w:val="001A2D78"/>
    <w:rsid w:val="001A7249"/>
    <w:rsid w:val="001B22E0"/>
    <w:rsid w:val="001B2C80"/>
    <w:rsid w:val="001B385A"/>
    <w:rsid w:val="001B3904"/>
    <w:rsid w:val="001B3AEC"/>
    <w:rsid w:val="001B3E8D"/>
    <w:rsid w:val="001B5259"/>
    <w:rsid w:val="001B53B8"/>
    <w:rsid w:val="001B5F13"/>
    <w:rsid w:val="001B60D4"/>
    <w:rsid w:val="001B6F28"/>
    <w:rsid w:val="001C4F4F"/>
    <w:rsid w:val="001C6BA1"/>
    <w:rsid w:val="001C6F22"/>
    <w:rsid w:val="001D141C"/>
    <w:rsid w:val="001D2904"/>
    <w:rsid w:val="001D652D"/>
    <w:rsid w:val="001D693F"/>
    <w:rsid w:val="001D6EDF"/>
    <w:rsid w:val="001D6F9E"/>
    <w:rsid w:val="001E38FB"/>
    <w:rsid w:val="001E4133"/>
    <w:rsid w:val="001E4503"/>
    <w:rsid w:val="001E52C2"/>
    <w:rsid w:val="001E6A27"/>
    <w:rsid w:val="001F0BE1"/>
    <w:rsid w:val="001F101A"/>
    <w:rsid w:val="001F24EF"/>
    <w:rsid w:val="001F4DAD"/>
    <w:rsid w:val="001F56C7"/>
    <w:rsid w:val="001F6AFF"/>
    <w:rsid w:val="00203039"/>
    <w:rsid w:val="00204B17"/>
    <w:rsid w:val="002069D2"/>
    <w:rsid w:val="002075D3"/>
    <w:rsid w:val="002111E1"/>
    <w:rsid w:val="00211DA2"/>
    <w:rsid w:val="00213693"/>
    <w:rsid w:val="00214154"/>
    <w:rsid w:val="00215137"/>
    <w:rsid w:val="00215479"/>
    <w:rsid w:val="00215CCB"/>
    <w:rsid w:val="00216CF5"/>
    <w:rsid w:val="00216DFE"/>
    <w:rsid w:val="002178FE"/>
    <w:rsid w:val="0022037B"/>
    <w:rsid w:val="00222C8D"/>
    <w:rsid w:val="002256A8"/>
    <w:rsid w:val="00225C97"/>
    <w:rsid w:val="00230E6B"/>
    <w:rsid w:val="00232B97"/>
    <w:rsid w:val="0023523A"/>
    <w:rsid w:val="0023757C"/>
    <w:rsid w:val="00237C47"/>
    <w:rsid w:val="002402E4"/>
    <w:rsid w:val="002421A0"/>
    <w:rsid w:val="00242B98"/>
    <w:rsid w:val="002445A1"/>
    <w:rsid w:val="00246FE6"/>
    <w:rsid w:val="002470E3"/>
    <w:rsid w:val="0025207D"/>
    <w:rsid w:val="002535AE"/>
    <w:rsid w:val="00254DE9"/>
    <w:rsid w:val="002615D3"/>
    <w:rsid w:val="0026268A"/>
    <w:rsid w:val="00262845"/>
    <w:rsid w:val="002672F1"/>
    <w:rsid w:val="00271414"/>
    <w:rsid w:val="00271922"/>
    <w:rsid w:val="00273412"/>
    <w:rsid w:val="0027373F"/>
    <w:rsid w:val="00274ACF"/>
    <w:rsid w:val="00277388"/>
    <w:rsid w:val="00277C8F"/>
    <w:rsid w:val="0028159B"/>
    <w:rsid w:val="00282671"/>
    <w:rsid w:val="00282861"/>
    <w:rsid w:val="002843E2"/>
    <w:rsid w:val="00287BAA"/>
    <w:rsid w:val="0029180D"/>
    <w:rsid w:val="00293489"/>
    <w:rsid w:val="0029521F"/>
    <w:rsid w:val="00295B30"/>
    <w:rsid w:val="00296F5E"/>
    <w:rsid w:val="002A30F0"/>
    <w:rsid w:val="002A38A4"/>
    <w:rsid w:val="002A47A0"/>
    <w:rsid w:val="002A5755"/>
    <w:rsid w:val="002A6DF5"/>
    <w:rsid w:val="002B6406"/>
    <w:rsid w:val="002B6809"/>
    <w:rsid w:val="002C4231"/>
    <w:rsid w:val="002C7080"/>
    <w:rsid w:val="002D00B0"/>
    <w:rsid w:val="002D2364"/>
    <w:rsid w:val="002D2E16"/>
    <w:rsid w:val="002D6050"/>
    <w:rsid w:val="002D6E3E"/>
    <w:rsid w:val="002E21D6"/>
    <w:rsid w:val="002E45F0"/>
    <w:rsid w:val="002E7778"/>
    <w:rsid w:val="002F7B4E"/>
    <w:rsid w:val="00304B3E"/>
    <w:rsid w:val="00304D97"/>
    <w:rsid w:val="00310767"/>
    <w:rsid w:val="0031180A"/>
    <w:rsid w:val="00313127"/>
    <w:rsid w:val="00313304"/>
    <w:rsid w:val="003155F4"/>
    <w:rsid w:val="003168FC"/>
    <w:rsid w:val="00320309"/>
    <w:rsid w:val="00321883"/>
    <w:rsid w:val="00321D1E"/>
    <w:rsid w:val="0032530E"/>
    <w:rsid w:val="00325A61"/>
    <w:rsid w:val="00326976"/>
    <w:rsid w:val="003279E4"/>
    <w:rsid w:val="003311D7"/>
    <w:rsid w:val="00332B8B"/>
    <w:rsid w:val="0033521E"/>
    <w:rsid w:val="003364C7"/>
    <w:rsid w:val="0033678A"/>
    <w:rsid w:val="00336939"/>
    <w:rsid w:val="00337CA2"/>
    <w:rsid w:val="003404A4"/>
    <w:rsid w:val="00340BB6"/>
    <w:rsid w:val="003418E4"/>
    <w:rsid w:val="00342071"/>
    <w:rsid w:val="00346843"/>
    <w:rsid w:val="00347104"/>
    <w:rsid w:val="00350852"/>
    <w:rsid w:val="0035096E"/>
    <w:rsid w:val="0035129C"/>
    <w:rsid w:val="0035219F"/>
    <w:rsid w:val="00355D01"/>
    <w:rsid w:val="00360B81"/>
    <w:rsid w:val="00366283"/>
    <w:rsid w:val="0036777E"/>
    <w:rsid w:val="003701FA"/>
    <w:rsid w:val="00372A26"/>
    <w:rsid w:val="00372EC7"/>
    <w:rsid w:val="0037484C"/>
    <w:rsid w:val="003749CD"/>
    <w:rsid w:val="00374A6C"/>
    <w:rsid w:val="00382718"/>
    <w:rsid w:val="00382B3B"/>
    <w:rsid w:val="00385ED2"/>
    <w:rsid w:val="003866D6"/>
    <w:rsid w:val="0038714A"/>
    <w:rsid w:val="00391F86"/>
    <w:rsid w:val="003923FB"/>
    <w:rsid w:val="003931C7"/>
    <w:rsid w:val="00393F00"/>
    <w:rsid w:val="003945C0"/>
    <w:rsid w:val="003A246F"/>
    <w:rsid w:val="003A25A7"/>
    <w:rsid w:val="003B52CE"/>
    <w:rsid w:val="003B535C"/>
    <w:rsid w:val="003B5F0C"/>
    <w:rsid w:val="003C2120"/>
    <w:rsid w:val="003C47C0"/>
    <w:rsid w:val="003C4BB1"/>
    <w:rsid w:val="003C63A3"/>
    <w:rsid w:val="003D030E"/>
    <w:rsid w:val="003D040D"/>
    <w:rsid w:val="003D1F49"/>
    <w:rsid w:val="003D2061"/>
    <w:rsid w:val="003D3C2E"/>
    <w:rsid w:val="003D543B"/>
    <w:rsid w:val="003D6AE7"/>
    <w:rsid w:val="003D7E3D"/>
    <w:rsid w:val="003E02C5"/>
    <w:rsid w:val="003E1FE3"/>
    <w:rsid w:val="003E32A7"/>
    <w:rsid w:val="003E3915"/>
    <w:rsid w:val="003E74AE"/>
    <w:rsid w:val="003F1A33"/>
    <w:rsid w:val="003F1E15"/>
    <w:rsid w:val="003F3072"/>
    <w:rsid w:val="003F31E6"/>
    <w:rsid w:val="00401057"/>
    <w:rsid w:val="004024E4"/>
    <w:rsid w:val="004061B4"/>
    <w:rsid w:val="00406289"/>
    <w:rsid w:val="00406578"/>
    <w:rsid w:val="004074EF"/>
    <w:rsid w:val="004102C3"/>
    <w:rsid w:val="0041307C"/>
    <w:rsid w:val="00413699"/>
    <w:rsid w:val="00415398"/>
    <w:rsid w:val="004167B4"/>
    <w:rsid w:val="004167BC"/>
    <w:rsid w:val="0042032D"/>
    <w:rsid w:val="0042062C"/>
    <w:rsid w:val="004225DC"/>
    <w:rsid w:val="00423A41"/>
    <w:rsid w:val="00425FBA"/>
    <w:rsid w:val="00427C7D"/>
    <w:rsid w:val="00430D7E"/>
    <w:rsid w:val="00432332"/>
    <w:rsid w:val="00432368"/>
    <w:rsid w:val="00433B04"/>
    <w:rsid w:val="00435337"/>
    <w:rsid w:val="0043784D"/>
    <w:rsid w:val="00440256"/>
    <w:rsid w:val="00440E22"/>
    <w:rsid w:val="0044547D"/>
    <w:rsid w:val="00446F93"/>
    <w:rsid w:val="00451A74"/>
    <w:rsid w:val="004552AB"/>
    <w:rsid w:val="004553FF"/>
    <w:rsid w:val="0045622C"/>
    <w:rsid w:val="004567FC"/>
    <w:rsid w:val="00464B51"/>
    <w:rsid w:val="00464FB1"/>
    <w:rsid w:val="004669A2"/>
    <w:rsid w:val="00467185"/>
    <w:rsid w:val="00467736"/>
    <w:rsid w:val="0047050C"/>
    <w:rsid w:val="00472A45"/>
    <w:rsid w:val="00473930"/>
    <w:rsid w:val="00474D25"/>
    <w:rsid w:val="004750DB"/>
    <w:rsid w:val="004774F7"/>
    <w:rsid w:val="00480F21"/>
    <w:rsid w:val="0048108E"/>
    <w:rsid w:val="004821BA"/>
    <w:rsid w:val="0048537F"/>
    <w:rsid w:val="004874E5"/>
    <w:rsid w:val="00487885"/>
    <w:rsid w:val="00490A65"/>
    <w:rsid w:val="0049116C"/>
    <w:rsid w:val="00491968"/>
    <w:rsid w:val="004930C9"/>
    <w:rsid w:val="00493F62"/>
    <w:rsid w:val="00494832"/>
    <w:rsid w:val="004957C2"/>
    <w:rsid w:val="00495AF1"/>
    <w:rsid w:val="00497A89"/>
    <w:rsid w:val="004A08FF"/>
    <w:rsid w:val="004A4CED"/>
    <w:rsid w:val="004A4D74"/>
    <w:rsid w:val="004A6BE6"/>
    <w:rsid w:val="004B047F"/>
    <w:rsid w:val="004B0828"/>
    <w:rsid w:val="004B3304"/>
    <w:rsid w:val="004B3DF1"/>
    <w:rsid w:val="004B4BC0"/>
    <w:rsid w:val="004B5555"/>
    <w:rsid w:val="004C0484"/>
    <w:rsid w:val="004C259B"/>
    <w:rsid w:val="004C777E"/>
    <w:rsid w:val="004D0C54"/>
    <w:rsid w:val="004D16A4"/>
    <w:rsid w:val="004D508D"/>
    <w:rsid w:val="004E17A6"/>
    <w:rsid w:val="004E6682"/>
    <w:rsid w:val="004E6D8A"/>
    <w:rsid w:val="004F0411"/>
    <w:rsid w:val="004F15EF"/>
    <w:rsid w:val="004F1D90"/>
    <w:rsid w:val="004F22FE"/>
    <w:rsid w:val="004F416C"/>
    <w:rsid w:val="004F774D"/>
    <w:rsid w:val="005013B0"/>
    <w:rsid w:val="005015E4"/>
    <w:rsid w:val="005017A6"/>
    <w:rsid w:val="0050291D"/>
    <w:rsid w:val="005064CD"/>
    <w:rsid w:val="00506C00"/>
    <w:rsid w:val="00511016"/>
    <w:rsid w:val="005159B3"/>
    <w:rsid w:val="00522239"/>
    <w:rsid w:val="00522C03"/>
    <w:rsid w:val="00523110"/>
    <w:rsid w:val="00525EA4"/>
    <w:rsid w:val="0052717B"/>
    <w:rsid w:val="005276B7"/>
    <w:rsid w:val="0052791F"/>
    <w:rsid w:val="00532CFF"/>
    <w:rsid w:val="00534D3D"/>
    <w:rsid w:val="00536880"/>
    <w:rsid w:val="00540AD0"/>
    <w:rsid w:val="00543A76"/>
    <w:rsid w:val="00547738"/>
    <w:rsid w:val="005522F3"/>
    <w:rsid w:val="005523D1"/>
    <w:rsid w:val="0055532E"/>
    <w:rsid w:val="00555BC3"/>
    <w:rsid w:val="00557C8E"/>
    <w:rsid w:val="00561B2B"/>
    <w:rsid w:val="0056357E"/>
    <w:rsid w:val="00563B63"/>
    <w:rsid w:val="00564952"/>
    <w:rsid w:val="0056645F"/>
    <w:rsid w:val="00571AB1"/>
    <w:rsid w:val="00577E1C"/>
    <w:rsid w:val="00580DB1"/>
    <w:rsid w:val="005814AC"/>
    <w:rsid w:val="00583E5A"/>
    <w:rsid w:val="00584676"/>
    <w:rsid w:val="00584923"/>
    <w:rsid w:val="005854B7"/>
    <w:rsid w:val="00587AB1"/>
    <w:rsid w:val="0059070B"/>
    <w:rsid w:val="0059283C"/>
    <w:rsid w:val="00594E9D"/>
    <w:rsid w:val="00595082"/>
    <w:rsid w:val="005A0D95"/>
    <w:rsid w:val="005A224B"/>
    <w:rsid w:val="005A5EAE"/>
    <w:rsid w:val="005B1225"/>
    <w:rsid w:val="005B17D8"/>
    <w:rsid w:val="005B1D82"/>
    <w:rsid w:val="005B4077"/>
    <w:rsid w:val="005B65E5"/>
    <w:rsid w:val="005C28B0"/>
    <w:rsid w:val="005C2F01"/>
    <w:rsid w:val="005C5F3C"/>
    <w:rsid w:val="005D01BE"/>
    <w:rsid w:val="005D1177"/>
    <w:rsid w:val="005D1D13"/>
    <w:rsid w:val="005D254A"/>
    <w:rsid w:val="005D5460"/>
    <w:rsid w:val="005E08CD"/>
    <w:rsid w:val="005E37E8"/>
    <w:rsid w:val="005E74C5"/>
    <w:rsid w:val="005F219D"/>
    <w:rsid w:val="005F2437"/>
    <w:rsid w:val="005F318A"/>
    <w:rsid w:val="005F7710"/>
    <w:rsid w:val="006004F7"/>
    <w:rsid w:val="00603261"/>
    <w:rsid w:val="00605A3B"/>
    <w:rsid w:val="00607597"/>
    <w:rsid w:val="00610F93"/>
    <w:rsid w:val="006127CC"/>
    <w:rsid w:val="00614661"/>
    <w:rsid w:val="006243C6"/>
    <w:rsid w:val="006273BC"/>
    <w:rsid w:val="00632009"/>
    <w:rsid w:val="00632D70"/>
    <w:rsid w:val="00633CF1"/>
    <w:rsid w:val="00635A6C"/>
    <w:rsid w:val="00637091"/>
    <w:rsid w:val="00642839"/>
    <w:rsid w:val="006457F8"/>
    <w:rsid w:val="00645CCB"/>
    <w:rsid w:val="0064700E"/>
    <w:rsid w:val="006472A3"/>
    <w:rsid w:val="006474E0"/>
    <w:rsid w:val="006478CB"/>
    <w:rsid w:val="00650B88"/>
    <w:rsid w:val="00652C58"/>
    <w:rsid w:val="006530EF"/>
    <w:rsid w:val="006554DD"/>
    <w:rsid w:val="00660951"/>
    <w:rsid w:val="006636E2"/>
    <w:rsid w:val="00664C4E"/>
    <w:rsid w:val="00666273"/>
    <w:rsid w:val="00667FA9"/>
    <w:rsid w:val="0067233D"/>
    <w:rsid w:val="00672B2E"/>
    <w:rsid w:val="006745AE"/>
    <w:rsid w:val="00676870"/>
    <w:rsid w:val="00676AF3"/>
    <w:rsid w:val="00677895"/>
    <w:rsid w:val="00677BEF"/>
    <w:rsid w:val="006814A3"/>
    <w:rsid w:val="00682AFC"/>
    <w:rsid w:val="00683344"/>
    <w:rsid w:val="00684FC9"/>
    <w:rsid w:val="0069072B"/>
    <w:rsid w:val="0069174B"/>
    <w:rsid w:val="006924FD"/>
    <w:rsid w:val="00693340"/>
    <w:rsid w:val="006933DC"/>
    <w:rsid w:val="006A04C7"/>
    <w:rsid w:val="006A4287"/>
    <w:rsid w:val="006B05E3"/>
    <w:rsid w:val="006B09BC"/>
    <w:rsid w:val="006B1986"/>
    <w:rsid w:val="006B6D5D"/>
    <w:rsid w:val="006B7B5A"/>
    <w:rsid w:val="006C0801"/>
    <w:rsid w:val="006C0C2C"/>
    <w:rsid w:val="006C1EAA"/>
    <w:rsid w:val="006C216F"/>
    <w:rsid w:val="006C43EF"/>
    <w:rsid w:val="006C45D4"/>
    <w:rsid w:val="006C490E"/>
    <w:rsid w:val="006D11BD"/>
    <w:rsid w:val="006D2042"/>
    <w:rsid w:val="006D5C5C"/>
    <w:rsid w:val="006D66E3"/>
    <w:rsid w:val="006D75BA"/>
    <w:rsid w:val="006D7855"/>
    <w:rsid w:val="006E010C"/>
    <w:rsid w:val="006E1003"/>
    <w:rsid w:val="006E16BF"/>
    <w:rsid w:val="006E18F0"/>
    <w:rsid w:val="006E2C89"/>
    <w:rsid w:val="006E38AF"/>
    <w:rsid w:val="006E4F93"/>
    <w:rsid w:val="006F10FE"/>
    <w:rsid w:val="006F1174"/>
    <w:rsid w:val="006F6876"/>
    <w:rsid w:val="00700135"/>
    <w:rsid w:val="0070212F"/>
    <w:rsid w:val="007034D5"/>
    <w:rsid w:val="00704C40"/>
    <w:rsid w:val="00705180"/>
    <w:rsid w:val="00710A39"/>
    <w:rsid w:val="00711605"/>
    <w:rsid w:val="00711DF6"/>
    <w:rsid w:val="00712385"/>
    <w:rsid w:val="00716FBC"/>
    <w:rsid w:val="00717090"/>
    <w:rsid w:val="00720739"/>
    <w:rsid w:val="0072253E"/>
    <w:rsid w:val="00723E1F"/>
    <w:rsid w:val="0072443D"/>
    <w:rsid w:val="007247E5"/>
    <w:rsid w:val="007248B7"/>
    <w:rsid w:val="007254CA"/>
    <w:rsid w:val="007267D2"/>
    <w:rsid w:val="00730CF8"/>
    <w:rsid w:val="00731A90"/>
    <w:rsid w:val="00732608"/>
    <w:rsid w:val="0073303F"/>
    <w:rsid w:val="00733251"/>
    <w:rsid w:val="00734083"/>
    <w:rsid w:val="00736DCA"/>
    <w:rsid w:val="00743593"/>
    <w:rsid w:val="00745C47"/>
    <w:rsid w:val="00745E49"/>
    <w:rsid w:val="0075003D"/>
    <w:rsid w:val="00751D97"/>
    <w:rsid w:val="00752C55"/>
    <w:rsid w:val="007562D4"/>
    <w:rsid w:val="007573FA"/>
    <w:rsid w:val="007575EB"/>
    <w:rsid w:val="00757EF9"/>
    <w:rsid w:val="00761DBF"/>
    <w:rsid w:val="00761FCF"/>
    <w:rsid w:val="00765503"/>
    <w:rsid w:val="00767B7E"/>
    <w:rsid w:val="007705E9"/>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7C88"/>
    <w:rsid w:val="007A1013"/>
    <w:rsid w:val="007A235B"/>
    <w:rsid w:val="007A4CA9"/>
    <w:rsid w:val="007A60B4"/>
    <w:rsid w:val="007A7D19"/>
    <w:rsid w:val="007A7EC2"/>
    <w:rsid w:val="007B042D"/>
    <w:rsid w:val="007B05BB"/>
    <w:rsid w:val="007B441B"/>
    <w:rsid w:val="007B6E0A"/>
    <w:rsid w:val="007B764C"/>
    <w:rsid w:val="007C118A"/>
    <w:rsid w:val="007C636F"/>
    <w:rsid w:val="007D0FC7"/>
    <w:rsid w:val="007D1739"/>
    <w:rsid w:val="007D39EB"/>
    <w:rsid w:val="007D3C7E"/>
    <w:rsid w:val="007E7319"/>
    <w:rsid w:val="007E74E1"/>
    <w:rsid w:val="007E77A8"/>
    <w:rsid w:val="007F491C"/>
    <w:rsid w:val="00800D07"/>
    <w:rsid w:val="008025F3"/>
    <w:rsid w:val="00803BF8"/>
    <w:rsid w:val="008061C9"/>
    <w:rsid w:val="008066D8"/>
    <w:rsid w:val="008074BB"/>
    <w:rsid w:val="00811A18"/>
    <w:rsid w:val="008121AF"/>
    <w:rsid w:val="00812E18"/>
    <w:rsid w:val="00813711"/>
    <w:rsid w:val="00821E64"/>
    <w:rsid w:val="008253C4"/>
    <w:rsid w:val="008263C2"/>
    <w:rsid w:val="008307DB"/>
    <w:rsid w:val="00831A7E"/>
    <w:rsid w:val="00833398"/>
    <w:rsid w:val="00835D9D"/>
    <w:rsid w:val="00835FC9"/>
    <w:rsid w:val="008368F8"/>
    <w:rsid w:val="008370E3"/>
    <w:rsid w:val="008418FA"/>
    <w:rsid w:val="00842959"/>
    <w:rsid w:val="00843390"/>
    <w:rsid w:val="0085235A"/>
    <w:rsid w:val="00854138"/>
    <w:rsid w:val="00854410"/>
    <w:rsid w:val="008544DF"/>
    <w:rsid w:val="008602B6"/>
    <w:rsid w:val="00860AAD"/>
    <w:rsid w:val="00861AA6"/>
    <w:rsid w:val="008708F3"/>
    <w:rsid w:val="00871354"/>
    <w:rsid w:val="00872BCC"/>
    <w:rsid w:val="00873611"/>
    <w:rsid w:val="00873C8F"/>
    <w:rsid w:val="008745FE"/>
    <w:rsid w:val="00874FB3"/>
    <w:rsid w:val="00877F7C"/>
    <w:rsid w:val="00880BE3"/>
    <w:rsid w:val="00881359"/>
    <w:rsid w:val="00882093"/>
    <w:rsid w:val="00882588"/>
    <w:rsid w:val="00884ADE"/>
    <w:rsid w:val="008856CF"/>
    <w:rsid w:val="00885864"/>
    <w:rsid w:val="00890540"/>
    <w:rsid w:val="00890A1D"/>
    <w:rsid w:val="0089383B"/>
    <w:rsid w:val="0089534B"/>
    <w:rsid w:val="0089616F"/>
    <w:rsid w:val="008A014B"/>
    <w:rsid w:val="008A0232"/>
    <w:rsid w:val="008B0470"/>
    <w:rsid w:val="008B05E7"/>
    <w:rsid w:val="008B06C5"/>
    <w:rsid w:val="008B164E"/>
    <w:rsid w:val="008B206C"/>
    <w:rsid w:val="008B25FF"/>
    <w:rsid w:val="008B33B6"/>
    <w:rsid w:val="008B4F06"/>
    <w:rsid w:val="008B502A"/>
    <w:rsid w:val="008B57D8"/>
    <w:rsid w:val="008B65CF"/>
    <w:rsid w:val="008B7A65"/>
    <w:rsid w:val="008C1219"/>
    <w:rsid w:val="008C123E"/>
    <w:rsid w:val="008C137D"/>
    <w:rsid w:val="008C22DD"/>
    <w:rsid w:val="008C3A54"/>
    <w:rsid w:val="008C3DFD"/>
    <w:rsid w:val="008C3ED0"/>
    <w:rsid w:val="008C5DA5"/>
    <w:rsid w:val="008C5E94"/>
    <w:rsid w:val="008D196A"/>
    <w:rsid w:val="008D27BC"/>
    <w:rsid w:val="008E3EF2"/>
    <w:rsid w:val="008E51C9"/>
    <w:rsid w:val="008E5BEB"/>
    <w:rsid w:val="008E6306"/>
    <w:rsid w:val="008F6355"/>
    <w:rsid w:val="008F68F7"/>
    <w:rsid w:val="008F77EB"/>
    <w:rsid w:val="009005A6"/>
    <w:rsid w:val="009006CF"/>
    <w:rsid w:val="00900C71"/>
    <w:rsid w:val="00902A1C"/>
    <w:rsid w:val="009037B6"/>
    <w:rsid w:val="0090546D"/>
    <w:rsid w:val="0090595A"/>
    <w:rsid w:val="00906CBE"/>
    <w:rsid w:val="00910024"/>
    <w:rsid w:val="00910384"/>
    <w:rsid w:val="0091532E"/>
    <w:rsid w:val="0091643D"/>
    <w:rsid w:val="00916E33"/>
    <w:rsid w:val="0092093B"/>
    <w:rsid w:val="00930669"/>
    <w:rsid w:val="00932C33"/>
    <w:rsid w:val="00934121"/>
    <w:rsid w:val="00936292"/>
    <w:rsid w:val="00937C63"/>
    <w:rsid w:val="009427A1"/>
    <w:rsid w:val="00942FFE"/>
    <w:rsid w:val="00944B79"/>
    <w:rsid w:val="009551E0"/>
    <w:rsid w:val="0095654E"/>
    <w:rsid w:val="00956F3C"/>
    <w:rsid w:val="0096577C"/>
    <w:rsid w:val="00965CFB"/>
    <w:rsid w:val="00970678"/>
    <w:rsid w:val="00971C34"/>
    <w:rsid w:val="00972488"/>
    <w:rsid w:val="009726D0"/>
    <w:rsid w:val="0097421D"/>
    <w:rsid w:val="00976117"/>
    <w:rsid w:val="00976A23"/>
    <w:rsid w:val="009800BC"/>
    <w:rsid w:val="009816F6"/>
    <w:rsid w:val="009843BA"/>
    <w:rsid w:val="009900F0"/>
    <w:rsid w:val="00990B9B"/>
    <w:rsid w:val="00991370"/>
    <w:rsid w:val="00991769"/>
    <w:rsid w:val="00991ACA"/>
    <w:rsid w:val="009928B5"/>
    <w:rsid w:val="00993236"/>
    <w:rsid w:val="00993D8C"/>
    <w:rsid w:val="00994E3D"/>
    <w:rsid w:val="00997522"/>
    <w:rsid w:val="009A297E"/>
    <w:rsid w:val="009A6127"/>
    <w:rsid w:val="009B0CC1"/>
    <w:rsid w:val="009B69F0"/>
    <w:rsid w:val="009B713C"/>
    <w:rsid w:val="009C0F18"/>
    <w:rsid w:val="009C12C6"/>
    <w:rsid w:val="009C2555"/>
    <w:rsid w:val="009C705A"/>
    <w:rsid w:val="009C7778"/>
    <w:rsid w:val="009C7EE6"/>
    <w:rsid w:val="009D06AE"/>
    <w:rsid w:val="009D09E2"/>
    <w:rsid w:val="009D1E42"/>
    <w:rsid w:val="009D282B"/>
    <w:rsid w:val="009D7148"/>
    <w:rsid w:val="009E02FD"/>
    <w:rsid w:val="009E4C74"/>
    <w:rsid w:val="009E56CC"/>
    <w:rsid w:val="009E59F1"/>
    <w:rsid w:val="009E62B6"/>
    <w:rsid w:val="009F0A1A"/>
    <w:rsid w:val="009F1A46"/>
    <w:rsid w:val="009F26CA"/>
    <w:rsid w:val="009F35DA"/>
    <w:rsid w:val="009F4034"/>
    <w:rsid w:val="009F43D0"/>
    <w:rsid w:val="00A000F0"/>
    <w:rsid w:val="00A00568"/>
    <w:rsid w:val="00A00884"/>
    <w:rsid w:val="00A00EEB"/>
    <w:rsid w:val="00A020CE"/>
    <w:rsid w:val="00A02F62"/>
    <w:rsid w:val="00A02FA3"/>
    <w:rsid w:val="00A030C3"/>
    <w:rsid w:val="00A04803"/>
    <w:rsid w:val="00A05C5C"/>
    <w:rsid w:val="00A10147"/>
    <w:rsid w:val="00A10EDE"/>
    <w:rsid w:val="00A11331"/>
    <w:rsid w:val="00A12348"/>
    <w:rsid w:val="00A131E6"/>
    <w:rsid w:val="00A13843"/>
    <w:rsid w:val="00A146A5"/>
    <w:rsid w:val="00A1535A"/>
    <w:rsid w:val="00A17466"/>
    <w:rsid w:val="00A204B3"/>
    <w:rsid w:val="00A20576"/>
    <w:rsid w:val="00A21593"/>
    <w:rsid w:val="00A221F7"/>
    <w:rsid w:val="00A22C21"/>
    <w:rsid w:val="00A25CDA"/>
    <w:rsid w:val="00A2604E"/>
    <w:rsid w:val="00A31CCE"/>
    <w:rsid w:val="00A33C95"/>
    <w:rsid w:val="00A34FF3"/>
    <w:rsid w:val="00A35351"/>
    <w:rsid w:val="00A361C7"/>
    <w:rsid w:val="00A36723"/>
    <w:rsid w:val="00A43140"/>
    <w:rsid w:val="00A44907"/>
    <w:rsid w:val="00A46697"/>
    <w:rsid w:val="00A46DF5"/>
    <w:rsid w:val="00A5149A"/>
    <w:rsid w:val="00A53650"/>
    <w:rsid w:val="00A53E51"/>
    <w:rsid w:val="00A57183"/>
    <w:rsid w:val="00A60693"/>
    <w:rsid w:val="00A6196D"/>
    <w:rsid w:val="00A619C0"/>
    <w:rsid w:val="00A61ADF"/>
    <w:rsid w:val="00A61BE8"/>
    <w:rsid w:val="00A62012"/>
    <w:rsid w:val="00A624CB"/>
    <w:rsid w:val="00A62AC0"/>
    <w:rsid w:val="00A75118"/>
    <w:rsid w:val="00A76BD2"/>
    <w:rsid w:val="00A8267D"/>
    <w:rsid w:val="00A82E14"/>
    <w:rsid w:val="00A83E5D"/>
    <w:rsid w:val="00A8688E"/>
    <w:rsid w:val="00A8722B"/>
    <w:rsid w:val="00A901E9"/>
    <w:rsid w:val="00A917B6"/>
    <w:rsid w:val="00A91831"/>
    <w:rsid w:val="00A91B3B"/>
    <w:rsid w:val="00A93B4F"/>
    <w:rsid w:val="00A94F7A"/>
    <w:rsid w:val="00A95D3B"/>
    <w:rsid w:val="00A97341"/>
    <w:rsid w:val="00AA0081"/>
    <w:rsid w:val="00AA4E4D"/>
    <w:rsid w:val="00AA5E38"/>
    <w:rsid w:val="00AB0512"/>
    <w:rsid w:val="00AB09ED"/>
    <w:rsid w:val="00AB3DC0"/>
    <w:rsid w:val="00AB4CBB"/>
    <w:rsid w:val="00AC125E"/>
    <w:rsid w:val="00AC45DF"/>
    <w:rsid w:val="00AC474D"/>
    <w:rsid w:val="00AC4DFD"/>
    <w:rsid w:val="00AC4F47"/>
    <w:rsid w:val="00AC5663"/>
    <w:rsid w:val="00AC58FD"/>
    <w:rsid w:val="00AD0F6D"/>
    <w:rsid w:val="00AD1166"/>
    <w:rsid w:val="00AD19D2"/>
    <w:rsid w:val="00AD1A96"/>
    <w:rsid w:val="00AD3042"/>
    <w:rsid w:val="00AD793A"/>
    <w:rsid w:val="00AE0120"/>
    <w:rsid w:val="00AE3038"/>
    <w:rsid w:val="00AE3D4A"/>
    <w:rsid w:val="00AE5956"/>
    <w:rsid w:val="00AE619F"/>
    <w:rsid w:val="00AE7A88"/>
    <w:rsid w:val="00AF060F"/>
    <w:rsid w:val="00AF13D2"/>
    <w:rsid w:val="00AF2A56"/>
    <w:rsid w:val="00AF51D1"/>
    <w:rsid w:val="00AF63AB"/>
    <w:rsid w:val="00B01784"/>
    <w:rsid w:val="00B0388B"/>
    <w:rsid w:val="00B03BEE"/>
    <w:rsid w:val="00B0517E"/>
    <w:rsid w:val="00B0724F"/>
    <w:rsid w:val="00B11314"/>
    <w:rsid w:val="00B113E3"/>
    <w:rsid w:val="00B1156A"/>
    <w:rsid w:val="00B138E3"/>
    <w:rsid w:val="00B13FB5"/>
    <w:rsid w:val="00B16A00"/>
    <w:rsid w:val="00B178FA"/>
    <w:rsid w:val="00B17D8E"/>
    <w:rsid w:val="00B207C3"/>
    <w:rsid w:val="00B21443"/>
    <w:rsid w:val="00B22468"/>
    <w:rsid w:val="00B23267"/>
    <w:rsid w:val="00B23871"/>
    <w:rsid w:val="00B23906"/>
    <w:rsid w:val="00B23F96"/>
    <w:rsid w:val="00B257BF"/>
    <w:rsid w:val="00B27149"/>
    <w:rsid w:val="00B34BB7"/>
    <w:rsid w:val="00B35B4D"/>
    <w:rsid w:val="00B362F0"/>
    <w:rsid w:val="00B36652"/>
    <w:rsid w:val="00B37178"/>
    <w:rsid w:val="00B37789"/>
    <w:rsid w:val="00B4197C"/>
    <w:rsid w:val="00B425AB"/>
    <w:rsid w:val="00B45279"/>
    <w:rsid w:val="00B47090"/>
    <w:rsid w:val="00B532D1"/>
    <w:rsid w:val="00B57925"/>
    <w:rsid w:val="00B601BB"/>
    <w:rsid w:val="00B602A5"/>
    <w:rsid w:val="00B61E3E"/>
    <w:rsid w:val="00B63C0D"/>
    <w:rsid w:val="00B6432A"/>
    <w:rsid w:val="00B679D5"/>
    <w:rsid w:val="00B67A79"/>
    <w:rsid w:val="00B72335"/>
    <w:rsid w:val="00B72D62"/>
    <w:rsid w:val="00B767AF"/>
    <w:rsid w:val="00B80511"/>
    <w:rsid w:val="00B80798"/>
    <w:rsid w:val="00B80876"/>
    <w:rsid w:val="00B81C73"/>
    <w:rsid w:val="00B82C3C"/>
    <w:rsid w:val="00B82DE6"/>
    <w:rsid w:val="00B831CD"/>
    <w:rsid w:val="00B846F6"/>
    <w:rsid w:val="00B85329"/>
    <w:rsid w:val="00B91B73"/>
    <w:rsid w:val="00B91B9D"/>
    <w:rsid w:val="00BA1B71"/>
    <w:rsid w:val="00BA3176"/>
    <w:rsid w:val="00BA5E20"/>
    <w:rsid w:val="00BA607C"/>
    <w:rsid w:val="00BA6734"/>
    <w:rsid w:val="00BB1369"/>
    <w:rsid w:val="00BB1553"/>
    <w:rsid w:val="00BB3E2A"/>
    <w:rsid w:val="00BB48A7"/>
    <w:rsid w:val="00BB7121"/>
    <w:rsid w:val="00BC0479"/>
    <w:rsid w:val="00BC1651"/>
    <w:rsid w:val="00BC16F5"/>
    <w:rsid w:val="00BC18FF"/>
    <w:rsid w:val="00BC287D"/>
    <w:rsid w:val="00BC2A38"/>
    <w:rsid w:val="00BC46EB"/>
    <w:rsid w:val="00BC57FE"/>
    <w:rsid w:val="00BC643B"/>
    <w:rsid w:val="00BD2A41"/>
    <w:rsid w:val="00BD32E5"/>
    <w:rsid w:val="00BD36C4"/>
    <w:rsid w:val="00BD4BC6"/>
    <w:rsid w:val="00BD6E1A"/>
    <w:rsid w:val="00BD79DE"/>
    <w:rsid w:val="00BE1095"/>
    <w:rsid w:val="00BE1114"/>
    <w:rsid w:val="00BE150A"/>
    <w:rsid w:val="00BE6767"/>
    <w:rsid w:val="00BE686C"/>
    <w:rsid w:val="00BE78EC"/>
    <w:rsid w:val="00BF46EE"/>
    <w:rsid w:val="00BF646E"/>
    <w:rsid w:val="00C05232"/>
    <w:rsid w:val="00C0613C"/>
    <w:rsid w:val="00C10025"/>
    <w:rsid w:val="00C10D05"/>
    <w:rsid w:val="00C126C8"/>
    <w:rsid w:val="00C13970"/>
    <w:rsid w:val="00C13DF9"/>
    <w:rsid w:val="00C14FBA"/>
    <w:rsid w:val="00C15484"/>
    <w:rsid w:val="00C15EA1"/>
    <w:rsid w:val="00C174DB"/>
    <w:rsid w:val="00C17A8E"/>
    <w:rsid w:val="00C20D0B"/>
    <w:rsid w:val="00C2378F"/>
    <w:rsid w:val="00C24F70"/>
    <w:rsid w:val="00C25615"/>
    <w:rsid w:val="00C25DC2"/>
    <w:rsid w:val="00C26A06"/>
    <w:rsid w:val="00C33479"/>
    <w:rsid w:val="00C40ED2"/>
    <w:rsid w:val="00C41F10"/>
    <w:rsid w:val="00C432DD"/>
    <w:rsid w:val="00C4423A"/>
    <w:rsid w:val="00C501FE"/>
    <w:rsid w:val="00C520A7"/>
    <w:rsid w:val="00C56957"/>
    <w:rsid w:val="00C5784B"/>
    <w:rsid w:val="00C639FF"/>
    <w:rsid w:val="00C63CB4"/>
    <w:rsid w:val="00C6442A"/>
    <w:rsid w:val="00C64D15"/>
    <w:rsid w:val="00C66088"/>
    <w:rsid w:val="00C67C4C"/>
    <w:rsid w:val="00C71D49"/>
    <w:rsid w:val="00C74B5D"/>
    <w:rsid w:val="00C74F74"/>
    <w:rsid w:val="00C7554B"/>
    <w:rsid w:val="00C75B27"/>
    <w:rsid w:val="00C76F48"/>
    <w:rsid w:val="00C80951"/>
    <w:rsid w:val="00C8205E"/>
    <w:rsid w:val="00C8223A"/>
    <w:rsid w:val="00C82EB5"/>
    <w:rsid w:val="00C82FC0"/>
    <w:rsid w:val="00C87966"/>
    <w:rsid w:val="00C902DE"/>
    <w:rsid w:val="00C916AE"/>
    <w:rsid w:val="00C93AAA"/>
    <w:rsid w:val="00C95FCD"/>
    <w:rsid w:val="00C97188"/>
    <w:rsid w:val="00C97D9F"/>
    <w:rsid w:val="00CA0639"/>
    <w:rsid w:val="00CA11D0"/>
    <w:rsid w:val="00CA2E02"/>
    <w:rsid w:val="00CA583A"/>
    <w:rsid w:val="00CA5EC6"/>
    <w:rsid w:val="00CB5744"/>
    <w:rsid w:val="00CB7022"/>
    <w:rsid w:val="00CB7BC5"/>
    <w:rsid w:val="00CC141E"/>
    <w:rsid w:val="00CC22E3"/>
    <w:rsid w:val="00CC586D"/>
    <w:rsid w:val="00CC7DBC"/>
    <w:rsid w:val="00CD1BA3"/>
    <w:rsid w:val="00CD1D23"/>
    <w:rsid w:val="00CD3612"/>
    <w:rsid w:val="00CD3E69"/>
    <w:rsid w:val="00CD4224"/>
    <w:rsid w:val="00CD6B7D"/>
    <w:rsid w:val="00CD7D29"/>
    <w:rsid w:val="00CE0847"/>
    <w:rsid w:val="00CE0B6C"/>
    <w:rsid w:val="00CE11D0"/>
    <w:rsid w:val="00CE4708"/>
    <w:rsid w:val="00CE4C50"/>
    <w:rsid w:val="00CE6858"/>
    <w:rsid w:val="00CE7450"/>
    <w:rsid w:val="00CE770C"/>
    <w:rsid w:val="00CF50BE"/>
    <w:rsid w:val="00CF538C"/>
    <w:rsid w:val="00CF7625"/>
    <w:rsid w:val="00D031CA"/>
    <w:rsid w:val="00D0506A"/>
    <w:rsid w:val="00D05B50"/>
    <w:rsid w:val="00D10FA1"/>
    <w:rsid w:val="00D1289C"/>
    <w:rsid w:val="00D142D3"/>
    <w:rsid w:val="00D1666F"/>
    <w:rsid w:val="00D2071A"/>
    <w:rsid w:val="00D22F44"/>
    <w:rsid w:val="00D25177"/>
    <w:rsid w:val="00D30F73"/>
    <w:rsid w:val="00D30F97"/>
    <w:rsid w:val="00D313A0"/>
    <w:rsid w:val="00D36FE0"/>
    <w:rsid w:val="00D40799"/>
    <w:rsid w:val="00D41A06"/>
    <w:rsid w:val="00D42ABF"/>
    <w:rsid w:val="00D42F40"/>
    <w:rsid w:val="00D45B67"/>
    <w:rsid w:val="00D5034A"/>
    <w:rsid w:val="00D51F49"/>
    <w:rsid w:val="00D550A1"/>
    <w:rsid w:val="00D55EE8"/>
    <w:rsid w:val="00D562CB"/>
    <w:rsid w:val="00D569D1"/>
    <w:rsid w:val="00D56AD8"/>
    <w:rsid w:val="00D56C05"/>
    <w:rsid w:val="00D5785A"/>
    <w:rsid w:val="00D63293"/>
    <w:rsid w:val="00D6375F"/>
    <w:rsid w:val="00D64C48"/>
    <w:rsid w:val="00D6680B"/>
    <w:rsid w:val="00D72F4F"/>
    <w:rsid w:val="00D731C4"/>
    <w:rsid w:val="00D74EB4"/>
    <w:rsid w:val="00D801FC"/>
    <w:rsid w:val="00D859F5"/>
    <w:rsid w:val="00D85BE0"/>
    <w:rsid w:val="00D87FD7"/>
    <w:rsid w:val="00D91466"/>
    <w:rsid w:val="00D915ED"/>
    <w:rsid w:val="00D91DE4"/>
    <w:rsid w:val="00D92300"/>
    <w:rsid w:val="00D94AFC"/>
    <w:rsid w:val="00D950E6"/>
    <w:rsid w:val="00D97047"/>
    <w:rsid w:val="00DA3619"/>
    <w:rsid w:val="00DB0B88"/>
    <w:rsid w:val="00DB1652"/>
    <w:rsid w:val="00DB5773"/>
    <w:rsid w:val="00DB58A6"/>
    <w:rsid w:val="00DB6B99"/>
    <w:rsid w:val="00DC001A"/>
    <w:rsid w:val="00DD22BB"/>
    <w:rsid w:val="00DD4F44"/>
    <w:rsid w:val="00DD686C"/>
    <w:rsid w:val="00DD7E0C"/>
    <w:rsid w:val="00DE2AC3"/>
    <w:rsid w:val="00DE2E40"/>
    <w:rsid w:val="00DE3598"/>
    <w:rsid w:val="00DE3FBD"/>
    <w:rsid w:val="00DE43F5"/>
    <w:rsid w:val="00DE65FB"/>
    <w:rsid w:val="00DF234F"/>
    <w:rsid w:val="00DF420A"/>
    <w:rsid w:val="00E009DF"/>
    <w:rsid w:val="00E02472"/>
    <w:rsid w:val="00E041F0"/>
    <w:rsid w:val="00E07178"/>
    <w:rsid w:val="00E128D8"/>
    <w:rsid w:val="00E130C3"/>
    <w:rsid w:val="00E17EDF"/>
    <w:rsid w:val="00E2082D"/>
    <w:rsid w:val="00E221E2"/>
    <w:rsid w:val="00E2330D"/>
    <w:rsid w:val="00E24303"/>
    <w:rsid w:val="00E27A16"/>
    <w:rsid w:val="00E30F02"/>
    <w:rsid w:val="00E320C4"/>
    <w:rsid w:val="00E40F7B"/>
    <w:rsid w:val="00E43E48"/>
    <w:rsid w:val="00E46D60"/>
    <w:rsid w:val="00E47C33"/>
    <w:rsid w:val="00E47F58"/>
    <w:rsid w:val="00E54BFC"/>
    <w:rsid w:val="00E55248"/>
    <w:rsid w:val="00E56D9D"/>
    <w:rsid w:val="00E60E2E"/>
    <w:rsid w:val="00E64D07"/>
    <w:rsid w:val="00E71A2D"/>
    <w:rsid w:val="00E72E48"/>
    <w:rsid w:val="00E72FB3"/>
    <w:rsid w:val="00E74A73"/>
    <w:rsid w:val="00E74E0D"/>
    <w:rsid w:val="00E77EB0"/>
    <w:rsid w:val="00E823C1"/>
    <w:rsid w:val="00E82DB7"/>
    <w:rsid w:val="00E83C85"/>
    <w:rsid w:val="00E8579C"/>
    <w:rsid w:val="00E865FE"/>
    <w:rsid w:val="00E91408"/>
    <w:rsid w:val="00E91759"/>
    <w:rsid w:val="00E9654B"/>
    <w:rsid w:val="00EA13E4"/>
    <w:rsid w:val="00EA18DB"/>
    <w:rsid w:val="00EA2FBA"/>
    <w:rsid w:val="00EA3212"/>
    <w:rsid w:val="00EA4DC5"/>
    <w:rsid w:val="00EA5664"/>
    <w:rsid w:val="00EA66DF"/>
    <w:rsid w:val="00EA6ADC"/>
    <w:rsid w:val="00EB13A7"/>
    <w:rsid w:val="00EB14DF"/>
    <w:rsid w:val="00EB1A4D"/>
    <w:rsid w:val="00EB3A07"/>
    <w:rsid w:val="00EB5539"/>
    <w:rsid w:val="00EC3F31"/>
    <w:rsid w:val="00EC4828"/>
    <w:rsid w:val="00EC52E7"/>
    <w:rsid w:val="00EC7E0E"/>
    <w:rsid w:val="00ED3698"/>
    <w:rsid w:val="00ED4794"/>
    <w:rsid w:val="00ED4884"/>
    <w:rsid w:val="00ED78CC"/>
    <w:rsid w:val="00ED7B59"/>
    <w:rsid w:val="00EE265C"/>
    <w:rsid w:val="00EE517F"/>
    <w:rsid w:val="00EE5C63"/>
    <w:rsid w:val="00EF416F"/>
    <w:rsid w:val="00F00449"/>
    <w:rsid w:val="00F0095C"/>
    <w:rsid w:val="00F01129"/>
    <w:rsid w:val="00F01CCA"/>
    <w:rsid w:val="00F01F2C"/>
    <w:rsid w:val="00F02104"/>
    <w:rsid w:val="00F04EF6"/>
    <w:rsid w:val="00F06C17"/>
    <w:rsid w:val="00F121B2"/>
    <w:rsid w:val="00F138B4"/>
    <w:rsid w:val="00F13C82"/>
    <w:rsid w:val="00F1632B"/>
    <w:rsid w:val="00F16964"/>
    <w:rsid w:val="00F202CA"/>
    <w:rsid w:val="00F223A7"/>
    <w:rsid w:val="00F236BC"/>
    <w:rsid w:val="00F26A64"/>
    <w:rsid w:val="00F334CB"/>
    <w:rsid w:val="00F33532"/>
    <w:rsid w:val="00F3495A"/>
    <w:rsid w:val="00F34E2C"/>
    <w:rsid w:val="00F370BC"/>
    <w:rsid w:val="00F37143"/>
    <w:rsid w:val="00F41E50"/>
    <w:rsid w:val="00F42923"/>
    <w:rsid w:val="00F50562"/>
    <w:rsid w:val="00F50A92"/>
    <w:rsid w:val="00F50B0B"/>
    <w:rsid w:val="00F50D01"/>
    <w:rsid w:val="00F547A4"/>
    <w:rsid w:val="00F56BC1"/>
    <w:rsid w:val="00F618C4"/>
    <w:rsid w:val="00F65774"/>
    <w:rsid w:val="00F65A34"/>
    <w:rsid w:val="00F65F4C"/>
    <w:rsid w:val="00F71A60"/>
    <w:rsid w:val="00F725DA"/>
    <w:rsid w:val="00F7536E"/>
    <w:rsid w:val="00F75652"/>
    <w:rsid w:val="00F76137"/>
    <w:rsid w:val="00F7782D"/>
    <w:rsid w:val="00F8168B"/>
    <w:rsid w:val="00F81CF2"/>
    <w:rsid w:val="00F81F93"/>
    <w:rsid w:val="00F857D1"/>
    <w:rsid w:val="00F86FD9"/>
    <w:rsid w:val="00F91DCC"/>
    <w:rsid w:val="00F9323F"/>
    <w:rsid w:val="00F943FE"/>
    <w:rsid w:val="00F95814"/>
    <w:rsid w:val="00F95CE9"/>
    <w:rsid w:val="00F97100"/>
    <w:rsid w:val="00FA01D9"/>
    <w:rsid w:val="00FB0401"/>
    <w:rsid w:val="00FB69B5"/>
    <w:rsid w:val="00FC1DFB"/>
    <w:rsid w:val="00FC1EF2"/>
    <w:rsid w:val="00FC3343"/>
    <w:rsid w:val="00FC33BA"/>
    <w:rsid w:val="00FC35AB"/>
    <w:rsid w:val="00FC6134"/>
    <w:rsid w:val="00FC654D"/>
    <w:rsid w:val="00FC77CF"/>
    <w:rsid w:val="00FD0555"/>
    <w:rsid w:val="00FD06F5"/>
    <w:rsid w:val="00FD5961"/>
    <w:rsid w:val="00FE3EFA"/>
    <w:rsid w:val="00FE5C56"/>
    <w:rsid w:val="00FE5E20"/>
    <w:rsid w:val="00FE7AAC"/>
    <w:rsid w:val="00FE7B06"/>
    <w:rsid w:val="00FE7E98"/>
    <w:rsid w:val="00FF06BC"/>
    <w:rsid w:val="00FF0864"/>
    <w:rsid w:val="00FF20AC"/>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6F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3" w:qFormat="1"/>
    <w:lsdException w:name="heading 4" w:uiPriority="3" w:qFormat="1"/>
    <w:lsdException w:name="heading 5" w:uiPriority="99"/>
    <w:lsdException w:name="heading 6" w:semiHidden="1" w:uiPriority="99"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5"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Emphasis" w:uiPriority="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89"/>
    <w:pPr>
      <w:spacing w:before="120" w:after="120" w:line="320" w:lineRule="atLeast"/>
    </w:pPr>
    <w:rPr>
      <w:rFonts w:asciiTheme="minorHAnsi" w:hAnsiTheme="minorHAnsi"/>
      <w:color w:val="3F3F3F" w:themeColor="text1"/>
      <w:sz w:val="22"/>
      <w:szCs w:val="24"/>
    </w:rPr>
  </w:style>
  <w:style w:type="paragraph" w:styleId="Heading1">
    <w:name w:val="heading 1"/>
    <w:aliases w:val="Small H1"/>
    <w:basedOn w:val="Normal"/>
    <w:next w:val="Normal"/>
    <w:uiPriority w:val="2"/>
    <w:qFormat/>
    <w:rsid w:val="00595082"/>
    <w:pPr>
      <w:keepNext/>
      <w:keepLines/>
      <w:pBdr>
        <w:bottom w:val="single" w:sz="24" w:space="31" w:color="20B9A3" w:themeColor="background2"/>
      </w:pBdr>
      <w:spacing w:before="0" w:after="360" w:line="240" w:lineRule="auto"/>
      <w:contextualSpacing/>
      <w:outlineLvl w:val="0"/>
    </w:pPr>
    <w:rPr>
      <w:rFonts w:asciiTheme="majorHAnsi" w:hAnsiTheme="majorHAnsi"/>
      <w:b/>
      <w:color w:val="auto"/>
      <w:sz w:val="80"/>
      <w:szCs w:val="44"/>
    </w:rPr>
  </w:style>
  <w:style w:type="paragraph" w:styleId="Heading2">
    <w:name w:val="heading 2"/>
    <w:basedOn w:val="Normal"/>
    <w:next w:val="Normal"/>
    <w:link w:val="Heading2Char"/>
    <w:uiPriority w:val="3"/>
    <w:qFormat/>
    <w:rsid w:val="002535AE"/>
    <w:pPr>
      <w:keepNext/>
      <w:keepLines/>
      <w:spacing w:before="240"/>
      <w:contextualSpacing/>
      <w:outlineLvl w:val="1"/>
    </w:pPr>
    <w:rPr>
      <w:rFonts w:asciiTheme="majorHAnsi" w:hAnsiTheme="majorHAnsi"/>
      <w:b/>
      <w:color w:val="117479" w:themeColor="accent2"/>
      <w:sz w:val="24"/>
      <w:szCs w:val="44"/>
    </w:rPr>
  </w:style>
  <w:style w:type="paragraph" w:styleId="Heading3">
    <w:name w:val="heading 3"/>
    <w:basedOn w:val="Normal"/>
    <w:next w:val="Normal"/>
    <w:uiPriority w:val="3"/>
    <w:qFormat/>
    <w:rsid w:val="002535AE"/>
    <w:pPr>
      <w:keepNext/>
      <w:keepLines/>
      <w:spacing w:before="240"/>
      <w:contextualSpacing/>
      <w:outlineLvl w:val="2"/>
    </w:pPr>
    <w:rPr>
      <w:rFonts w:asciiTheme="majorHAnsi" w:hAnsiTheme="majorHAnsi"/>
      <w:b/>
      <w:color w:val="auto"/>
      <w:sz w:val="24"/>
      <w:szCs w:val="28"/>
    </w:rPr>
  </w:style>
  <w:style w:type="paragraph" w:styleId="Heading4">
    <w:name w:val="heading 4"/>
    <w:basedOn w:val="Normal"/>
    <w:next w:val="Normal"/>
    <w:uiPriority w:val="3"/>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ind w:left="357" w:hanging="357"/>
    </w:pPr>
  </w:style>
  <w:style w:type="paragraph" w:styleId="Footer">
    <w:name w:val="footer"/>
    <w:basedOn w:val="Header"/>
    <w:uiPriority w:val="99"/>
    <w:rsid w:val="00A00EEB"/>
    <w:pPr>
      <w:pBdr>
        <w:bottom w:val="single" w:sz="24" w:space="12" w:color="20B9A3" w:themeColor="background2"/>
      </w:pBdr>
      <w:tabs>
        <w:tab w:val="clear" w:pos="10319"/>
        <w:tab w:val="right" w:pos="9940"/>
      </w:tabs>
      <w:ind w:right="-1661"/>
    </w:pPr>
  </w:style>
  <w:style w:type="character" w:styleId="Hyperlink">
    <w:name w:val="Hyperlink"/>
    <w:basedOn w:val="DefaultParagraphFont"/>
    <w:uiPriority w:val="99"/>
    <w:rsid w:val="00B23F96"/>
    <w:rPr>
      <w:color w:val="117479" w:themeColor="accent2"/>
      <w:u w:val="single"/>
    </w:rPr>
  </w:style>
  <w:style w:type="character" w:customStyle="1" w:styleId="Heading5Char">
    <w:name w:val="Heading 5 Char"/>
    <w:basedOn w:val="DefaultParagraphFont"/>
    <w:link w:val="Heading5"/>
    <w:uiPriority w:val="99"/>
    <w:semiHidden/>
    <w:rsid w:val="00160B66"/>
    <w:rPr>
      <w:rFonts w:ascii="Arial" w:hAnsi="Arial"/>
      <w:b/>
      <w:color w:val="3F3F3F" w:themeColor="text1"/>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rsid w:val="00010D84"/>
    <w:pPr>
      <w:ind w:left="720"/>
    </w:pPr>
  </w:style>
  <w:style w:type="character" w:customStyle="1" w:styleId="Heading2Char">
    <w:name w:val="Heading 2 Char"/>
    <w:basedOn w:val="DefaultParagraphFont"/>
    <w:link w:val="Heading2"/>
    <w:uiPriority w:val="3"/>
    <w:rsid w:val="009843BA"/>
    <w:rPr>
      <w:rFonts w:asciiTheme="majorHAnsi" w:hAnsiTheme="majorHAnsi"/>
      <w:b/>
      <w:color w:val="117479" w:themeColor="accent2"/>
      <w:sz w:val="24"/>
      <w:szCs w:val="44"/>
    </w:rPr>
  </w:style>
  <w:style w:type="paragraph" w:styleId="TOC1">
    <w:name w:val="toc 1"/>
    <w:basedOn w:val="Normal"/>
    <w:next w:val="Normal"/>
    <w:autoRedefine/>
    <w:uiPriority w:val="39"/>
    <w:rsid w:val="00087D4E"/>
    <w:pPr>
      <w:pBdr>
        <w:bottom w:val="single" w:sz="24" w:space="6" w:color="20B9A3" w:themeColor="background2"/>
        <w:between w:val="single" w:sz="24" w:space="1" w:color="20B9A3" w:themeColor="background2"/>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semiHidden/>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3F3F3F" w:themeColor="text1"/>
      <w:szCs w:val="22"/>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142E3B" w:themeColor="accent6"/>
          <w:bottom w:val="single" w:sz="4" w:space="0" w:color="142E3B" w:themeColor="accent6"/>
        </w:tcBorders>
        <w:shd w:val="clear" w:color="auto" w:fill="142E3B"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4"/>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E43E48"/>
    <w:pPr>
      <w:spacing w:after="80" w:line="240" w:lineRule="auto"/>
    </w:pPr>
    <w:rPr>
      <w:color w:val="FFFFFF" w:themeColor="background1"/>
    </w:rPr>
  </w:style>
  <w:style w:type="paragraph" w:customStyle="1" w:styleId="FigureHeading">
    <w:name w:val="Figure Heading"/>
    <w:basedOn w:val="Normal"/>
    <w:next w:val="Normal"/>
    <w:uiPriority w:val="48"/>
    <w:qFormat/>
    <w:rsid w:val="004061B4"/>
    <w:pPr>
      <w:keepNext/>
      <w:keepLines/>
      <w:numPr>
        <w:numId w:val="3"/>
      </w:numPr>
      <w:tabs>
        <w:tab w:val="left" w:pos="907"/>
      </w:tabs>
      <w:spacing w:before="240"/>
      <w:contextualSpacing/>
    </w:pPr>
    <w:rPr>
      <w:b/>
      <w:color w:val="auto"/>
      <w:sz w:val="24"/>
    </w:rPr>
  </w:style>
  <w:style w:type="character" w:customStyle="1" w:styleId="UnresolvedMention">
    <w:name w:val="Unresolved Mention"/>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1936A7"/>
    <w:pPr>
      <w:pBdr>
        <w:bottom w:val="single" w:sz="24" w:space="31" w:color="20B9A3" w:themeColor="background2"/>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C26A06"/>
    <w:pPr>
      <w:spacing w:before="240"/>
      <w:contextualSpacing/>
    </w:pPr>
    <w:rPr>
      <w:b/>
      <w:color w:val="117479" w:themeColor="accent2"/>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2"/>
    <w:qFormat/>
    <w:rsid w:val="009843BA"/>
    <w:rPr>
      <w:sz w:val="186"/>
      <w:szCs w:val="186"/>
    </w:rPr>
  </w:style>
  <w:style w:type="paragraph" w:styleId="ListNumber">
    <w:name w:val="List Number"/>
    <w:basedOn w:val="Normal"/>
    <w:uiPriority w:val="5"/>
    <w:qFormat/>
    <w:rsid w:val="00BA3176"/>
    <w:pPr>
      <w:numPr>
        <w:numId w:val="2"/>
      </w:numPr>
      <w:ind w:left="357" w:hanging="357"/>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semiHidden/>
    <w:unhideWhenUsed/>
    <w:rsid w:val="009C705A"/>
    <w:pPr>
      <w:spacing w:line="240" w:lineRule="auto"/>
    </w:pPr>
    <w:rPr>
      <w:sz w:val="20"/>
      <w:szCs w:val="20"/>
    </w:rPr>
  </w:style>
  <w:style w:type="character" w:customStyle="1" w:styleId="CommentTextChar">
    <w:name w:val="Comment Text Char"/>
    <w:basedOn w:val="DefaultParagraphFont"/>
    <w:link w:val="CommentText"/>
    <w:uiPriority w:val="99"/>
    <w:semiHidden/>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table" w:styleId="GridTable5Dark-Accent2">
    <w:name w:val="Grid Table 5 Dark Accent 2"/>
    <w:basedOn w:val="TableNormal"/>
    <w:uiPriority w:val="50"/>
    <w:rsid w:val="00A05C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2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747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747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747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7479" w:themeFill="accent2"/>
      </w:tcPr>
    </w:tblStylePr>
    <w:tblStylePr w:type="band1Vert">
      <w:tblPr/>
      <w:tcPr>
        <w:shd w:val="clear" w:color="auto" w:fill="7CE6EC" w:themeFill="accent2" w:themeFillTint="66"/>
      </w:tcPr>
    </w:tblStylePr>
    <w:tblStylePr w:type="band1Horz">
      <w:tblPr/>
      <w:tcPr>
        <w:shd w:val="clear" w:color="auto" w:fill="7CE6E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onweb.ucsd.edu/~kamurali/papers/Working%20Papers/CrossCuts%20(Current%20WP).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117479"/>
      </a:accent2>
      <a:accent3>
        <a:srgbClr val="8D734A"/>
      </a:accent3>
      <a:accent4>
        <a:srgbClr val="9F2234"/>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HubID xmlns="e771ab56-0c5d-40e7-b080-2686d2b89623" xsi:nil="true"/>
    <TaxCatchAll xmlns="d0dfa800-9ef0-44cb-8a12-633e29de1e0b">
      <Value>4</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PMCdoc-213507164-66857</_dlc_DocId>
    <_dlc_DocIdUrl xmlns="d0dfa800-9ef0-44cb-8a12-633e29de1e0b">
      <Url>https://pmc01.sharepoint.com/sites/pmc-ms-cb/_layouts/15/DocIdRedir.aspx?ID=PMCdoc-213507164-66857</Url>
      <Description>PMCdoc-213507164-66857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E9407-26E7-42E6-882C-0BC13C136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55501-9218-4D03-B4AB-1C93765039A9}">
  <ds:schemaRefs>
    <ds:schemaRef ds:uri="http://schemas.microsoft.com/sharepoint/v3/contenttype/forms"/>
  </ds:schemaRefs>
</ds:datastoreItem>
</file>

<file path=customXml/itemProps3.xml><?xml version="1.0" encoding="utf-8"?>
<ds:datastoreItem xmlns:ds="http://schemas.openxmlformats.org/officeDocument/2006/customXml" ds:itemID="{FC9244B2-0D0C-4851-B9FD-1A50C085615B}">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d0dfa800-9ef0-44cb-8a12-633e29de1e0b"/>
    <ds:schemaRef ds:uri="ce530a30-1469-477c-a42f-e412a5d2cfe7"/>
    <ds:schemaRef ds:uri="e771ab56-0c5d-40e7-b080-2686d2b89623"/>
    <ds:schemaRef ds:uri="http://www.w3.org/XML/1998/namespace"/>
    <ds:schemaRef ds:uri="http://purl.org/dc/dcmitype/"/>
  </ds:schemaRefs>
</ds:datastoreItem>
</file>

<file path=customXml/itemProps4.xml><?xml version="1.0" encoding="utf-8"?>
<ds:datastoreItem xmlns:ds="http://schemas.openxmlformats.org/officeDocument/2006/customXml" ds:itemID="{31ACD4FD-8984-440F-923A-0ED8F8887461}">
  <ds:schemaRefs>
    <ds:schemaRef ds:uri="http://schemas.microsoft.com/sharepoint/events"/>
  </ds:schemaRefs>
</ds:datastoreItem>
</file>

<file path=customXml/itemProps5.xml><?xml version="1.0" encoding="utf-8"?>
<ds:datastoreItem xmlns:ds="http://schemas.openxmlformats.org/officeDocument/2006/customXml" ds:itemID="{747579D7-FB45-467F-87DC-2A7C72E5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2301</Words>
  <Characters>11556</Characters>
  <Application>Microsoft Office Word</Application>
  <DocSecurity>0</DocSecurity>
  <Lines>231</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Pre-analysis plan: Stay Smart Online Alert Service</dc:title>
  <dc:creator/>
  <cp:lastModifiedBy/>
  <dcterms:created xsi:type="dcterms:W3CDTF">2025-08-27T07:23:00Z</dcterms:created>
  <dcterms:modified xsi:type="dcterms:W3CDTF">2025-08-27T07:23:00Z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2020-03-11T09:51:15</vt:lpwstr>
  </property>
  <property fmtid="{D5CDD505-2E9C-101B-9397-08002B2CF9AE}" pid="7" name="SecurityClassification">
    <vt:lpwstr>4;#OFFICIAL|9e0ec9cb-4e7f-4d4a-bd32-1ee7525c6d87</vt:lpwstr>
  </property>
  <property fmtid="{D5CDD505-2E9C-101B-9397-08002B2CF9AE}" pid="8" name="_dlc_DocIdItemGuid">
    <vt:lpwstr>6a747882-e72f-4bdb-a085-425d13d2f95f</vt:lpwstr>
  </property>
  <property fmtid="{D5CDD505-2E9C-101B-9397-08002B2CF9AE}" pid="9" name="TaxKeyword">
    <vt:lpwstr/>
  </property>
  <property fmtid="{D5CDD505-2E9C-101B-9397-08002B2CF9AE}" pid="10" name="InformationMarker">
    <vt:lpwstr/>
  </property>
  <property fmtid="{D5CDD505-2E9C-101B-9397-08002B2CF9AE}" pid="11" name="MediaServiceImageTags">
    <vt:lpwstr/>
  </property>
</Properties>
</file>